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ED7E3E" w:rsidRDefault="00B535F6" w:rsidP="0087684F">
      <w:pPr>
        <w:spacing w:after="120"/>
        <w:ind w:left="720" w:hanging="720"/>
        <w:jc w:val="left"/>
        <w:outlineLvl w:val="0"/>
        <w:rPr>
          <w:b/>
          <w:sz w:val="36"/>
          <w:szCs w:val="36"/>
        </w:rPr>
      </w:pPr>
      <w:r>
        <w:rPr>
          <w:b/>
          <w:sz w:val="36"/>
          <w:szCs w:val="36"/>
        </w:rPr>
        <w:t>5.01</w:t>
      </w:r>
      <w:r w:rsidR="00150527">
        <w:rPr>
          <w:b/>
          <w:sz w:val="36"/>
          <w:szCs w:val="36"/>
        </w:rPr>
        <w:tab/>
        <w:t>BELIMUMAB</w:t>
      </w:r>
      <w:r w:rsidR="00B60939" w:rsidRPr="00ED7E3E">
        <w:rPr>
          <w:b/>
          <w:sz w:val="36"/>
          <w:szCs w:val="36"/>
        </w:rPr>
        <w:t xml:space="preserve">, </w:t>
      </w:r>
      <w:r w:rsidR="0001325E">
        <w:rPr>
          <w:b/>
          <w:sz w:val="36"/>
          <w:szCs w:val="36"/>
        </w:rPr>
        <w:br/>
        <w:t>Injection 200 mg in 1 mL pre-filled pen</w:t>
      </w:r>
      <w:r w:rsidR="00B60939" w:rsidRPr="00ED7E3E">
        <w:rPr>
          <w:b/>
          <w:sz w:val="36"/>
          <w:szCs w:val="36"/>
        </w:rPr>
        <w:t xml:space="preserve">, </w:t>
      </w:r>
      <w:r w:rsidR="0001325E">
        <w:rPr>
          <w:b/>
          <w:sz w:val="36"/>
          <w:szCs w:val="36"/>
        </w:rPr>
        <w:br/>
      </w:r>
      <w:r w:rsidR="00150527">
        <w:rPr>
          <w:b/>
          <w:sz w:val="36"/>
          <w:szCs w:val="36"/>
        </w:rPr>
        <w:t>Benlysta</w:t>
      </w:r>
      <w:bookmarkStart w:id="0" w:name="_GoBack"/>
      <w:bookmarkEnd w:id="0"/>
      <w:r w:rsidR="00B60939" w:rsidRPr="00ED7E3E">
        <w:rPr>
          <w:b/>
          <w:sz w:val="36"/>
          <w:szCs w:val="36"/>
          <w:vertAlign w:val="superscript"/>
        </w:rPr>
        <w:t>®</w:t>
      </w:r>
      <w:r w:rsidR="00B60939" w:rsidRPr="00ED7E3E">
        <w:rPr>
          <w:b/>
          <w:sz w:val="36"/>
          <w:szCs w:val="36"/>
        </w:rPr>
        <w:t xml:space="preserve">, </w:t>
      </w:r>
      <w:r w:rsidR="0001325E">
        <w:rPr>
          <w:b/>
          <w:sz w:val="36"/>
          <w:szCs w:val="36"/>
        </w:rPr>
        <w:br/>
      </w:r>
      <w:r w:rsidR="00C46CA1" w:rsidRPr="00C46CA1">
        <w:rPr>
          <w:b/>
          <w:sz w:val="36"/>
          <w:szCs w:val="36"/>
        </w:rPr>
        <w:t>GlaxoSmithKline</w:t>
      </w:r>
      <w:r w:rsidR="0001325E">
        <w:rPr>
          <w:b/>
          <w:sz w:val="36"/>
          <w:szCs w:val="36"/>
        </w:rPr>
        <w:t xml:space="preserve"> Australia Pty Ltd</w:t>
      </w:r>
      <w:r w:rsidR="00B60939" w:rsidRPr="00ED7E3E">
        <w:rPr>
          <w:b/>
          <w:sz w:val="36"/>
          <w:szCs w:val="36"/>
        </w:rPr>
        <w:t>.</w:t>
      </w:r>
    </w:p>
    <w:p w:rsidR="00172AD3" w:rsidRPr="009E7711" w:rsidRDefault="00172AD3" w:rsidP="0087684F">
      <w:pPr>
        <w:pStyle w:val="PBACHeading1"/>
        <w:spacing w:before="0"/>
      </w:pPr>
      <w:bookmarkStart w:id="1" w:name="_Toc19712615"/>
      <w:r w:rsidRPr="009E7711">
        <w:t>Purpose of Application</w:t>
      </w:r>
      <w:bookmarkEnd w:id="1"/>
    </w:p>
    <w:p w:rsidR="00172AD3" w:rsidRPr="00D16630" w:rsidRDefault="00172AD3" w:rsidP="0087684F">
      <w:pPr>
        <w:pStyle w:val="ListParagraph"/>
        <w:widowControl/>
        <w:numPr>
          <w:ilvl w:val="1"/>
          <w:numId w:val="1"/>
        </w:numPr>
        <w:spacing w:after="120"/>
      </w:pPr>
      <w:r w:rsidRPr="00ED7E3E">
        <w:t>The submission requested a Section 100 Authority Required (Written</w:t>
      </w:r>
      <w:r>
        <w:t>/Telephone</w:t>
      </w:r>
      <w:r w:rsidRPr="00ED7E3E">
        <w:t xml:space="preserve">) listing for belimumab as add-on therapy for the treatment of active auto-antibody positive systemic lupus erythematosus (SLE) with a high degree of disease activity, despite defined ongoing standard of </w:t>
      </w:r>
      <w:r w:rsidRPr="00D16630">
        <w:t>care (SOC). This is the first consideration of belimumab by the PBAC.</w:t>
      </w:r>
    </w:p>
    <w:p w:rsidR="00172AD3" w:rsidRPr="00ED7E3E" w:rsidRDefault="00172AD3" w:rsidP="0087684F">
      <w:pPr>
        <w:pStyle w:val="ListParagraph"/>
        <w:widowControl/>
        <w:numPr>
          <w:ilvl w:val="1"/>
          <w:numId w:val="1"/>
        </w:numPr>
        <w:spacing w:after="120"/>
      </w:pPr>
      <w:r w:rsidRPr="00ED7E3E">
        <w:t xml:space="preserve">The basis for the requested listing was </w:t>
      </w:r>
      <w:r w:rsidR="00C7424A">
        <w:t xml:space="preserve">a </w:t>
      </w:r>
      <w:r w:rsidRPr="00ED7E3E">
        <w:t>co</w:t>
      </w:r>
      <w:r w:rsidR="004917D7">
        <w:t>st-utility analys</w:t>
      </w:r>
      <w:r w:rsidR="00C7424A">
        <w:t>i</w:t>
      </w:r>
      <w:r w:rsidR="004917D7">
        <w:t>s versus SOC.</w:t>
      </w:r>
      <w:r w:rsidR="000F4C37">
        <w:t xml:space="preserve"> </w:t>
      </w:r>
      <w:r w:rsidR="000F4C37" w:rsidRPr="00F226C6">
        <w:t>The key components of the clinical issue addressed by the submission are presented in</w:t>
      </w:r>
      <w:r w:rsidR="000F4C37">
        <w:t xml:space="preserve"> Table 1.</w:t>
      </w:r>
    </w:p>
    <w:p w:rsidR="00172AD3" w:rsidRPr="00ED7E3E" w:rsidRDefault="00172AD3" w:rsidP="0087684F">
      <w:pPr>
        <w:keepNext/>
        <w:keepLines/>
        <w:suppressLineNumbers/>
        <w:suppressAutoHyphens/>
        <w:rPr>
          <w:rStyle w:val="CommentReference"/>
        </w:rPr>
      </w:pPr>
      <w:r>
        <w:rPr>
          <w:rStyle w:val="CommentReference"/>
        </w:rPr>
        <w:t>Table 1</w:t>
      </w:r>
      <w:r w:rsidRPr="00ED7E3E">
        <w:rPr>
          <w:rStyle w:val="CommentReference"/>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8"/>
        <w:gridCol w:w="7488"/>
      </w:tblGrid>
      <w:tr w:rsidR="00172AD3" w:rsidRPr="000416AC" w:rsidTr="0011582A">
        <w:tc>
          <w:tcPr>
            <w:tcW w:w="1668" w:type="dxa"/>
            <w:vAlign w:val="center"/>
          </w:tcPr>
          <w:p w:rsidR="00172AD3" w:rsidRPr="000416AC" w:rsidRDefault="00172AD3" w:rsidP="0087684F">
            <w:pPr>
              <w:pStyle w:val="Tabletext"/>
              <w:keepNext/>
              <w:keepLines/>
              <w:suppressLineNumbers/>
              <w:suppressAutoHyphens/>
              <w:rPr>
                <w:b/>
              </w:rPr>
            </w:pPr>
            <w:r w:rsidRPr="000416AC">
              <w:rPr>
                <w:b/>
              </w:rPr>
              <w:t>Component</w:t>
            </w:r>
          </w:p>
        </w:tc>
        <w:tc>
          <w:tcPr>
            <w:tcW w:w="7488" w:type="dxa"/>
            <w:vAlign w:val="center"/>
          </w:tcPr>
          <w:p w:rsidR="00172AD3" w:rsidRPr="000416AC" w:rsidRDefault="00172AD3" w:rsidP="0087684F">
            <w:pPr>
              <w:pStyle w:val="Tabletext"/>
              <w:keepNext/>
              <w:keepLines/>
              <w:suppressLineNumbers/>
              <w:suppressAutoHyphens/>
              <w:jc w:val="center"/>
              <w:rPr>
                <w:b/>
              </w:rPr>
            </w:pPr>
            <w:r w:rsidRPr="000416AC">
              <w:rPr>
                <w:b/>
              </w:rPr>
              <w:t>Description</w:t>
            </w:r>
          </w:p>
        </w:tc>
      </w:tr>
      <w:tr w:rsidR="00172AD3" w:rsidRPr="000416AC" w:rsidTr="0011582A">
        <w:tc>
          <w:tcPr>
            <w:tcW w:w="1668" w:type="dxa"/>
            <w:vAlign w:val="center"/>
          </w:tcPr>
          <w:p w:rsidR="00172AD3" w:rsidRPr="000416AC" w:rsidRDefault="00172AD3" w:rsidP="0087684F">
            <w:pPr>
              <w:pStyle w:val="Tabletext"/>
              <w:keepNext/>
              <w:keepLines/>
              <w:suppressLineNumbers/>
              <w:suppressAutoHyphens/>
            </w:pPr>
            <w:r w:rsidRPr="000416AC">
              <w:t>Population</w:t>
            </w:r>
          </w:p>
        </w:tc>
        <w:tc>
          <w:tcPr>
            <w:tcW w:w="7488" w:type="dxa"/>
            <w:vAlign w:val="center"/>
          </w:tcPr>
          <w:p w:rsidR="00172AD3" w:rsidRPr="000416AC" w:rsidRDefault="00172AD3" w:rsidP="0087684F">
            <w:pPr>
              <w:pStyle w:val="Tabletext"/>
              <w:keepNext/>
              <w:keepLines/>
              <w:suppressLineNumbers/>
              <w:suppressAutoHyphens/>
            </w:pPr>
            <w:r w:rsidRPr="000416AC">
              <w:t>Adult patients with active SLE with a high degree of disease activity despite standard therapy</w:t>
            </w:r>
          </w:p>
        </w:tc>
      </w:tr>
      <w:tr w:rsidR="00172AD3" w:rsidRPr="000416AC" w:rsidTr="0011582A">
        <w:tc>
          <w:tcPr>
            <w:tcW w:w="1668" w:type="dxa"/>
            <w:vAlign w:val="center"/>
          </w:tcPr>
          <w:p w:rsidR="00172AD3" w:rsidRPr="000416AC" w:rsidRDefault="00172AD3" w:rsidP="0087684F">
            <w:pPr>
              <w:pStyle w:val="Tabletext"/>
              <w:keepNext/>
              <w:keepLines/>
              <w:suppressLineNumbers/>
              <w:suppressAutoHyphens/>
            </w:pPr>
            <w:r w:rsidRPr="000416AC">
              <w:t>Intervention</w:t>
            </w:r>
          </w:p>
        </w:tc>
        <w:tc>
          <w:tcPr>
            <w:tcW w:w="7488" w:type="dxa"/>
            <w:vAlign w:val="center"/>
          </w:tcPr>
          <w:p w:rsidR="00172AD3" w:rsidRPr="000416AC" w:rsidRDefault="00172AD3" w:rsidP="0087684F">
            <w:pPr>
              <w:pStyle w:val="Tabletext"/>
              <w:keepNext/>
              <w:keepLines/>
              <w:suppressLineNumbers/>
              <w:suppressAutoHyphens/>
            </w:pPr>
            <w:r w:rsidRPr="000416AC">
              <w:t xml:space="preserve">Belimumab 200 mg subcutaneous </w:t>
            </w:r>
            <w:r>
              <w:t xml:space="preserve">injection </w:t>
            </w:r>
            <w:r w:rsidRPr="000416AC">
              <w:t>once weekly</w:t>
            </w:r>
          </w:p>
        </w:tc>
      </w:tr>
      <w:tr w:rsidR="00172AD3" w:rsidRPr="000416AC" w:rsidTr="0011582A">
        <w:tc>
          <w:tcPr>
            <w:tcW w:w="1668" w:type="dxa"/>
            <w:vAlign w:val="center"/>
          </w:tcPr>
          <w:p w:rsidR="00172AD3" w:rsidRPr="000416AC" w:rsidRDefault="00172AD3" w:rsidP="0087684F">
            <w:pPr>
              <w:pStyle w:val="Tabletext"/>
              <w:keepNext/>
              <w:keepLines/>
              <w:suppressLineNumbers/>
              <w:suppressAutoHyphens/>
            </w:pPr>
            <w:r w:rsidRPr="000416AC">
              <w:t>Comparator</w:t>
            </w:r>
          </w:p>
        </w:tc>
        <w:tc>
          <w:tcPr>
            <w:tcW w:w="7488" w:type="dxa"/>
            <w:vAlign w:val="center"/>
          </w:tcPr>
          <w:p w:rsidR="00172AD3" w:rsidRPr="000416AC" w:rsidRDefault="00172AD3" w:rsidP="0087684F">
            <w:pPr>
              <w:pStyle w:val="Tabletext"/>
              <w:keepNext/>
              <w:keepLines/>
              <w:suppressLineNumbers/>
              <w:suppressAutoHyphens/>
            </w:pPr>
            <w:r w:rsidRPr="000416AC">
              <w:t xml:space="preserve">Placebo </w:t>
            </w:r>
          </w:p>
        </w:tc>
      </w:tr>
      <w:tr w:rsidR="00172AD3" w:rsidRPr="000416AC" w:rsidTr="0011582A">
        <w:tc>
          <w:tcPr>
            <w:tcW w:w="1668" w:type="dxa"/>
            <w:vAlign w:val="center"/>
          </w:tcPr>
          <w:p w:rsidR="00172AD3" w:rsidRPr="000416AC" w:rsidRDefault="00172AD3" w:rsidP="0087684F">
            <w:pPr>
              <w:pStyle w:val="Tabletext"/>
              <w:keepNext/>
              <w:keepLines/>
              <w:suppressLineNumbers/>
              <w:suppressAutoHyphens/>
            </w:pPr>
            <w:r w:rsidRPr="000416AC">
              <w:t>Outcomes</w:t>
            </w:r>
          </w:p>
        </w:tc>
        <w:tc>
          <w:tcPr>
            <w:tcW w:w="7488" w:type="dxa"/>
            <w:vAlign w:val="center"/>
          </w:tcPr>
          <w:p w:rsidR="00172AD3" w:rsidRPr="000416AC" w:rsidRDefault="00172AD3" w:rsidP="0087684F">
            <w:pPr>
              <w:pStyle w:val="Tabletext"/>
              <w:keepNext/>
              <w:keepLines/>
              <w:suppressLineNumbers/>
              <w:suppressAutoHyphens/>
            </w:pPr>
            <w:r w:rsidRPr="000416AC">
              <w:t>SLE Responder Index (SRI) (a composite outcome consisting of SELENA-SLEDAI, PGA, BILAG), SFI flare, Prednisone use, SDI, Adverse events</w:t>
            </w:r>
          </w:p>
        </w:tc>
      </w:tr>
      <w:tr w:rsidR="00172AD3" w:rsidRPr="000416AC" w:rsidTr="0011582A">
        <w:tc>
          <w:tcPr>
            <w:tcW w:w="1668" w:type="dxa"/>
            <w:vAlign w:val="center"/>
          </w:tcPr>
          <w:p w:rsidR="00172AD3" w:rsidRPr="000416AC" w:rsidRDefault="00172AD3" w:rsidP="0087684F">
            <w:pPr>
              <w:pStyle w:val="Tabletext"/>
              <w:keepNext/>
              <w:keepLines/>
              <w:suppressLineNumbers/>
              <w:suppressAutoHyphens/>
            </w:pPr>
            <w:r w:rsidRPr="000416AC">
              <w:t>Clinical claim</w:t>
            </w:r>
          </w:p>
        </w:tc>
        <w:tc>
          <w:tcPr>
            <w:tcW w:w="7488" w:type="dxa"/>
            <w:vAlign w:val="center"/>
          </w:tcPr>
          <w:p w:rsidR="00172AD3" w:rsidRPr="000416AC" w:rsidRDefault="00172AD3" w:rsidP="0087684F">
            <w:pPr>
              <w:pStyle w:val="Tabletext"/>
              <w:keepNext/>
              <w:keepLines/>
              <w:suppressLineNumbers/>
              <w:suppressAutoHyphens/>
            </w:pPr>
            <w:r w:rsidRPr="000416AC">
              <w:t>Superior effectiveness</w:t>
            </w:r>
          </w:p>
          <w:p w:rsidR="00172AD3" w:rsidRPr="005338E7" w:rsidRDefault="00782BD0" w:rsidP="0087684F">
            <w:pPr>
              <w:pStyle w:val="Tabletext"/>
              <w:keepNext/>
              <w:keepLines/>
              <w:suppressLineNumbers/>
              <w:suppressAutoHyphens/>
            </w:pPr>
            <w:r w:rsidRPr="005338E7">
              <w:t>Inferior safety</w:t>
            </w:r>
            <w:r w:rsidR="009F39E2" w:rsidRPr="005338E7">
              <w:rPr>
                <w:vertAlign w:val="superscript"/>
              </w:rPr>
              <w:t>a</w:t>
            </w:r>
          </w:p>
        </w:tc>
      </w:tr>
    </w:tbl>
    <w:p w:rsidR="00172AD3" w:rsidRPr="000416AC" w:rsidRDefault="00172AD3" w:rsidP="0087684F">
      <w:pPr>
        <w:pStyle w:val="TableFooter"/>
        <w:keepNext/>
        <w:keepLines/>
        <w:suppressLineNumbers/>
        <w:suppressAutoHyphens/>
      </w:pPr>
      <w:r w:rsidRPr="000416AC">
        <w:t>Abbreviations: BILAG, British Isles Lupus Assessment Group; PGA, Physician Global Assessment; SC, subcutaneous; SDI, Systemic Lupus International Collaborating Clinics (SLICC)/ACR Damage Index; SELENA-SLEDAI, Safety of Estrogens in Lupus Erythematosus National Assessment version of the Systemic Lupus Erythematosus Disease Activity Index. SFI, SLE Flare Index; SLE, systemic lupus erythematosus; SoC, standard of care; SRI, Systemic Lupus Erythematosus Responder Index</w:t>
      </w:r>
    </w:p>
    <w:p w:rsidR="00172AD3" w:rsidRDefault="00172AD3" w:rsidP="0087684F">
      <w:pPr>
        <w:pStyle w:val="TableFooter"/>
        <w:keepNext/>
        <w:keepLines/>
        <w:suppressLineNumbers/>
        <w:suppressAutoHyphens/>
      </w:pPr>
      <w:r w:rsidRPr="000416AC">
        <w:t>Source: Table 10, p2 of the submission.</w:t>
      </w:r>
    </w:p>
    <w:p w:rsidR="009F39E2" w:rsidRPr="005338E7" w:rsidRDefault="009F39E2" w:rsidP="0087684F">
      <w:pPr>
        <w:pStyle w:val="TableFooter"/>
        <w:keepNext/>
        <w:keepLines/>
        <w:suppressLineNumbers/>
        <w:suppressAutoHyphens/>
      </w:pPr>
      <w:r w:rsidRPr="005338E7">
        <w:rPr>
          <w:vertAlign w:val="superscript"/>
        </w:rPr>
        <w:t>a</w:t>
      </w:r>
      <w:r w:rsidRPr="005338E7">
        <w:t xml:space="preserve"> The submission claimed non-inferior safety of belimumab compared with SOC, except for the important identified risk for psychiatric events. The PSCR </w:t>
      </w:r>
      <w:r w:rsidR="000925D1" w:rsidRPr="005338E7">
        <w:t xml:space="preserve">(p4) </w:t>
      </w:r>
      <w:r w:rsidRPr="005338E7">
        <w:t>stated that the Sponsor acknowledge</w:t>
      </w:r>
      <w:r w:rsidR="00C7424A" w:rsidRPr="005338E7">
        <w:t>d</w:t>
      </w:r>
      <w:r w:rsidRPr="005338E7">
        <w:t xml:space="preserve"> a claim of inferior </w:t>
      </w:r>
      <w:r w:rsidR="00C7424A" w:rsidRPr="005338E7">
        <w:t>(</w:t>
      </w:r>
      <w:r w:rsidRPr="005338E7">
        <w:t>as opposed to non-inferior safety</w:t>
      </w:r>
      <w:r w:rsidR="00C7424A" w:rsidRPr="005338E7">
        <w:t>)</w:t>
      </w:r>
      <w:r w:rsidRPr="005338E7">
        <w:t xml:space="preserve"> may be more reasonable.</w:t>
      </w:r>
    </w:p>
    <w:p w:rsidR="00172AD3" w:rsidRPr="005546F0" w:rsidRDefault="00172AD3" w:rsidP="0087684F">
      <w:pPr>
        <w:pStyle w:val="PBACHeading1"/>
        <w:spacing w:before="0"/>
      </w:pPr>
      <w:bookmarkStart w:id="2" w:name="_Toc19712616"/>
      <w:r w:rsidRPr="005546F0">
        <w:t>Requested listing</w:t>
      </w:r>
      <w:bookmarkEnd w:id="2"/>
    </w:p>
    <w:p w:rsidR="00666987" w:rsidRPr="007773E4" w:rsidRDefault="005338E7" w:rsidP="0087684F">
      <w:pPr>
        <w:pStyle w:val="ListParagraph"/>
        <w:widowControl/>
        <w:numPr>
          <w:ilvl w:val="1"/>
          <w:numId w:val="1"/>
        </w:numPr>
        <w:spacing w:after="120"/>
      </w:pPr>
      <w:r w:rsidRPr="007773E4">
        <w:rPr>
          <w:rFonts w:cs="Calibri"/>
          <w:bCs/>
        </w:rPr>
        <w:t xml:space="preserve">The restriction requested by the submission is outlined below. Suggestions and additions proposed by the </w:t>
      </w:r>
      <w:r w:rsidR="00FB7A23" w:rsidRPr="007773E4">
        <w:rPr>
          <w:rFonts w:cs="Calibri"/>
          <w:bCs/>
        </w:rPr>
        <w:t>PBAC</w:t>
      </w:r>
      <w:r w:rsidRPr="007773E4">
        <w:rPr>
          <w:rFonts w:cs="Calibri"/>
          <w:bCs/>
        </w:rPr>
        <w:t xml:space="preserve"> to the requested listing are added in italics and suggested deletions are crossed out with strikethrough.</w:t>
      </w:r>
    </w:p>
    <w:tbl>
      <w:tblPr>
        <w:tblW w:w="9072" w:type="dxa"/>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Caption w:val="requested listing"/>
      </w:tblPr>
      <w:tblGrid>
        <w:gridCol w:w="1948"/>
        <w:gridCol w:w="813"/>
        <w:gridCol w:w="1079"/>
        <w:gridCol w:w="817"/>
        <w:gridCol w:w="1420"/>
        <w:gridCol w:w="1726"/>
        <w:gridCol w:w="1269"/>
      </w:tblGrid>
      <w:tr w:rsidR="00172AD3" w:rsidRPr="000416AC" w:rsidTr="00760256">
        <w:trPr>
          <w:tblHeader/>
        </w:trPr>
        <w:tc>
          <w:tcPr>
            <w:tcW w:w="1954" w:type="dxa"/>
          </w:tcPr>
          <w:p w:rsidR="00172AD3" w:rsidRPr="000416AC" w:rsidRDefault="00172AD3" w:rsidP="005338E7">
            <w:pPr>
              <w:pStyle w:val="Tabletext"/>
              <w:rPr>
                <w:b/>
                <w:bCs/>
              </w:rPr>
            </w:pPr>
            <w:r w:rsidRPr="000416AC">
              <w:rPr>
                <w:b/>
              </w:rPr>
              <w:t>Name, restriction, manner of administration, form</w:t>
            </w:r>
          </w:p>
        </w:tc>
        <w:tc>
          <w:tcPr>
            <w:tcW w:w="813" w:type="dxa"/>
          </w:tcPr>
          <w:p w:rsidR="00172AD3" w:rsidRPr="000416AC" w:rsidRDefault="00172AD3" w:rsidP="005338E7">
            <w:pPr>
              <w:pStyle w:val="Tabletext"/>
              <w:jc w:val="center"/>
              <w:rPr>
                <w:b/>
                <w:bCs/>
              </w:rPr>
            </w:pPr>
            <w:r w:rsidRPr="000416AC">
              <w:rPr>
                <w:b/>
              </w:rPr>
              <w:t>Maximum quantity (packs)</w:t>
            </w:r>
          </w:p>
        </w:tc>
        <w:tc>
          <w:tcPr>
            <w:tcW w:w="1081" w:type="dxa"/>
          </w:tcPr>
          <w:p w:rsidR="00172AD3" w:rsidRPr="000416AC" w:rsidRDefault="00172AD3" w:rsidP="005338E7">
            <w:pPr>
              <w:pStyle w:val="Tabletext"/>
              <w:jc w:val="center"/>
              <w:rPr>
                <w:b/>
                <w:bCs/>
              </w:rPr>
            </w:pPr>
            <w:r w:rsidRPr="000416AC">
              <w:rPr>
                <w:b/>
              </w:rPr>
              <w:t>Maximum quantity (units)</w:t>
            </w:r>
          </w:p>
        </w:tc>
        <w:tc>
          <w:tcPr>
            <w:tcW w:w="818" w:type="dxa"/>
          </w:tcPr>
          <w:p w:rsidR="00172AD3" w:rsidRPr="000416AC" w:rsidRDefault="00172AD3" w:rsidP="005338E7">
            <w:pPr>
              <w:pStyle w:val="Tabletext"/>
              <w:rPr>
                <w:b/>
                <w:bCs/>
              </w:rPr>
            </w:pPr>
            <w:r w:rsidRPr="000416AC">
              <w:rPr>
                <w:b/>
              </w:rPr>
              <w:t>No. of repeats</w:t>
            </w:r>
          </w:p>
        </w:tc>
        <w:tc>
          <w:tcPr>
            <w:tcW w:w="3157" w:type="dxa"/>
            <w:gridSpan w:val="2"/>
          </w:tcPr>
          <w:p w:rsidR="00172AD3" w:rsidRPr="000416AC" w:rsidRDefault="00172AD3" w:rsidP="005338E7">
            <w:pPr>
              <w:pStyle w:val="Tabletext"/>
              <w:rPr>
                <w:b/>
                <w:bCs/>
              </w:rPr>
            </w:pPr>
            <w:r w:rsidRPr="000416AC">
              <w:rPr>
                <w:b/>
              </w:rPr>
              <w:t>Dispensed price for maximum quantity</w:t>
            </w:r>
          </w:p>
        </w:tc>
        <w:tc>
          <w:tcPr>
            <w:tcW w:w="1249" w:type="dxa"/>
          </w:tcPr>
          <w:p w:rsidR="00172AD3" w:rsidRPr="000416AC" w:rsidRDefault="00172AD3" w:rsidP="005338E7">
            <w:pPr>
              <w:pStyle w:val="Tabletext"/>
              <w:rPr>
                <w:b/>
                <w:bCs/>
              </w:rPr>
            </w:pPr>
            <w:r w:rsidRPr="000416AC">
              <w:rPr>
                <w:b/>
              </w:rPr>
              <w:t>Proprietary name and manufacturer</w:t>
            </w:r>
          </w:p>
        </w:tc>
      </w:tr>
      <w:tr w:rsidR="00172AD3" w:rsidRPr="005546F0" w:rsidTr="00760256">
        <w:trPr>
          <w:tblHeader/>
        </w:trPr>
        <w:tc>
          <w:tcPr>
            <w:tcW w:w="1954" w:type="dxa"/>
          </w:tcPr>
          <w:p w:rsidR="00172AD3" w:rsidRPr="005546F0" w:rsidRDefault="00172AD3" w:rsidP="005338E7">
            <w:pPr>
              <w:pStyle w:val="Tabletext"/>
            </w:pPr>
            <w:r w:rsidRPr="005546F0">
              <w:t>BELIMUMAB</w:t>
            </w:r>
          </w:p>
          <w:p w:rsidR="00172AD3" w:rsidRPr="005546F0" w:rsidRDefault="00172AD3" w:rsidP="005338E7">
            <w:pPr>
              <w:pStyle w:val="Tabletext"/>
              <w:rPr>
                <w:b/>
                <w:bCs/>
              </w:rPr>
            </w:pPr>
            <w:r w:rsidRPr="005546F0">
              <w:t>Single dose pre-filled pen (autoinjector) 200 mg</w:t>
            </w:r>
          </w:p>
        </w:tc>
        <w:tc>
          <w:tcPr>
            <w:tcW w:w="813" w:type="dxa"/>
            <w:vAlign w:val="center"/>
          </w:tcPr>
          <w:p w:rsidR="00172AD3" w:rsidRPr="005546F0" w:rsidRDefault="00172AD3" w:rsidP="005338E7">
            <w:pPr>
              <w:pStyle w:val="Tabletext"/>
              <w:jc w:val="center"/>
              <w:rPr>
                <w:rFonts w:ascii="Times" w:hAnsi="Times"/>
              </w:rPr>
            </w:pPr>
            <w:r w:rsidRPr="005546F0">
              <w:t>1</w:t>
            </w:r>
          </w:p>
        </w:tc>
        <w:tc>
          <w:tcPr>
            <w:tcW w:w="1081" w:type="dxa"/>
            <w:vAlign w:val="center"/>
          </w:tcPr>
          <w:p w:rsidR="00172AD3" w:rsidRPr="005546F0" w:rsidRDefault="00172AD3" w:rsidP="005338E7">
            <w:pPr>
              <w:pStyle w:val="Tabletext"/>
              <w:jc w:val="center"/>
              <w:rPr>
                <w:rFonts w:ascii="Times" w:hAnsi="Times"/>
              </w:rPr>
            </w:pPr>
            <w:r w:rsidRPr="005546F0">
              <w:t>4</w:t>
            </w:r>
          </w:p>
        </w:tc>
        <w:tc>
          <w:tcPr>
            <w:tcW w:w="818" w:type="dxa"/>
            <w:vAlign w:val="center"/>
          </w:tcPr>
          <w:p w:rsidR="00782BD0" w:rsidRPr="005546F0" w:rsidRDefault="00782BD0" w:rsidP="005338E7">
            <w:pPr>
              <w:pStyle w:val="Tabletext"/>
              <w:jc w:val="center"/>
            </w:pPr>
          </w:p>
          <w:p w:rsidR="00172AD3" w:rsidRPr="005546F0" w:rsidRDefault="00172AD3" w:rsidP="005338E7">
            <w:pPr>
              <w:pStyle w:val="Tabletext"/>
              <w:jc w:val="center"/>
            </w:pPr>
            <w:r w:rsidRPr="005546F0">
              <w:t>5</w:t>
            </w:r>
          </w:p>
          <w:p w:rsidR="00782BD0" w:rsidRPr="005546F0" w:rsidRDefault="00782BD0" w:rsidP="005338E7">
            <w:pPr>
              <w:pStyle w:val="Tabletext"/>
              <w:jc w:val="center"/>
              <w:rPr>
                <w:rFonts w:ascii="Times" w:hAnsi="Times"/>
              </w:rPr>
            </w:pPr>
          </w:p>
        </w:tc>
        <w:tc>
          <w:tcPr>
            <w:tcW w:w="1424" w:type="dxa"/>
          </w:tcPr>
          <w:p w:rsidR="00172AD3" w:rsidRPr="005546F0" w:rsidRDefault="002E5D02" w:rsidP="005338E7">
            <w:pPr>
              <w:pStyle w:val="Tabletext"/>
              <w:rPr>
                <w:bCs/>
                <w:u w:val="single"/>
              </w:rPr>
            </w:pPr>
            <w:r>
              <w:rPr>
                <w:bCs/>
                <w:u w:val="single"/>
              </w:rPr>
              <w:t>Published</w:t>
            </w:r>
            <w:r w:rsidR="00172AD3" w:rsidRPr="005546F0">
              <w:rPr>
                <w:bCs/>
                <w:u w:val="single"/>
              </w:rPr>
              <w:t>:</w:t>
            </w:r>
          </w:p>
          <w:p w:rsidR="00782BD0" w:rsidRPr="005546F0" w:rsidRDefault="00782BD0" w:rsidP="005338E7">
            <w:pPr>
              <w:pStyle w:val="Tabletext"/>
              <w:rPr>
                <w:bCs/>
              </w:rPr>
            </w:pPr>
            <w:r w:rsidRPr="005546F0">
              <w:rPr>
                <w:bCs/>
              </w:rPr>
              <w:t>Public: $</w:t>
            </w:r>
            <w:r w:rsidR="006D6DCE">
              <w:rPr>
                <w:bCs/>
                <w:noProof/>
                <w:color w:val="000000"/>
                <w:highlight w:val="black"/>
              </w:rPr>
              <w:t>'''''''''''''''''''''</w:t>
            </w:r>
          </w:p>
          <w:p w:rsidR="00172AD3" w:rsidRPr="005546F0" w:rsidRDefault="00782BD0" w:rsidP="005338E7">
            <w:pPr>
              <w:pStyle w:val="Tabletext"/>
              <w:rPr>
                <w:bCs/>
              </w:rPr>
            </w:pPr>
            <w:r w:rsidRPr="005546F0">
              <w:rPr>
                <w:bCs/>
              </w:rPr>
              <w:t>Private</w:t>
            </w:r>
            <w:r w:rsidR="00172AD3" w:rsidRPr="005546F0">
              <w:rPr>
                <w:bCs/>
              </w:rPr>
              <w:t>: $</w:t>
            </w:r>
            <w:r w:rsidR="006D6DCE">
              <w:rPr>
                <w:bCs/>
                <w:noProof/>
                <w:color w:val="000000"/>
                <w:highlight w:val="black"/>
              </w:rPr>
              <w:t>''''''''''''''''''''</w:t>
            </w:r>
          </w:p>
        </w:tc>
        <w:tc>
          <w:tcPr>
            <w:tcW w:w="1733" w:type="dxa"/>
          </w:tcPr>
          <w:p w:rsidR="00172AD3" w:rsidRPr="005546F0" w:rsidRDefault="002E5D02" w:rsidP="005338E7">
            <w:pPr>
              <w:pStyle w:val="Tabletext"/>
              <w:rPr>
                <w:bCs/>
              </w:rPr>
            </w:pPr>
            <w:r>
              <w:rPr>
                <w:bCs/>
                <w:u w:val="single"/>
              </w:rPr>
              <w:t>Effective</w:t>
            </w:r>
            <w:r w:rsidR="00172AD3" w:rsidRPr="005546F0">
              <w:rPr>
                <w:bCs/>
              </w:rPr>
              <w:t>:</w:t>
            </w:r>
          </w:p>
          <w:p w:rsidR="00782BD0" w:rsidRPr="005546F0" w:rsidRDefault="00782BD0" w:rsidP="005338E7">
            <w:pPr>
              <w:pStyle w:val="Tabletext"/>
              <w:rPr>
                <w:bCs/>
              </w:rPr>
            </w:pPr>
            <w:r w:rsidRPr="005546F0">
              <w:rPr>
                <w:bCs/>
              </w:rPr>
              <w:t>Public: $</w:t>
            </w:r>
            <w:r w:rsidR="006D6DCE">
              <w:rPr>
                <w:bCs/>
                <w:noProof/>
                <w:color w:val="000000"/>
                <w:highlight w:val="black"/>
              </w:rPr>
              <w:t>''''''''''''''''</w:t>
            </w:r>
          </w:p>
          <w:p w:rsidR="00172AD3" w:rsidRPr="005546F0" w:rsidRDefault="00782BD0" w:rsidP="005338E7">
            <w:pPr>
              <w:pStyle w:val="Tabletext"/>
              <w:rPr>
                <w:rFonts w:ascii="Times" w:hAnsi="Times"/>
              </w:rPr>
            </w:pPr>
            <w:r w:rsidRPr="005546F0">
              <w:rPr>
                <w:bCs/>
              </w:rPr>
              <w:t>Private</w:t>
            </w:r>
            <w:r w:rsidR="00172AD3" w:rsidRPr="005546F0">
              <w:rPr>
                <w:bCs/>
              </w:rPr>
              <w:t>: $</w:t>
            </w:r>
            <w:r w:rsidR="006D6DCE">
              <w:rPr>
                <w:bCs/>
                <w:noProof/>
                <w:color w:val="000000"/>
                <w:highlight w:val="black"/>
              </w:rPr>
              <w:t>''''''''''''''''''</w:t>
            </w:r>
          </w:p>
        </w:tc>
        <w:tc>
          <w:tcPr>
            <w:tcW w:w="1249" w:type="dxa"/>
            <w:vAlign w:val="center"/>
          </w:tcPr>
          <w:p w:rsidR="00172AD3" w:rsidRPr="005546F0" w:rsidRDefault="00172AD3" w:rsidP="005338E7">
            <w:pPr>
              <w:pStyle w:val="Tabletext"/>
              <w:jc w:val="center"/>
              <w:rPr>
                <w:bCs/>
              </w:rPr>
            </w:pPr>
            <w:r w:rsidRPr="005546F0">
              <w:rPr>
                <w:bCs/>
              </w:rPr>
              <w:t>BENLYSTA® SC</w:t>
            </w:r>
          </w:p>
          <w:p w:rsidR="00172AD3" w:rsidRPr="005546F0" w:rsidRDefault="00172AD3" w:rsidP="005338E7">
            <w:pPr>
              <w:pStyle w:val="Tabletext"/>
              <w:jc w:val="center"/>
              <w:rPr>
                <w:rFonts w:ascii="Times" w:hAnsi="Times"/>
              </w:rPr>
            </w:pPr>
            <w:r w:rsidRPr="005546F0">
              <w:rPr>
                <w:bCs/>
              </w:rPr>
              <w:t>GlaxoSmithKline</w:t>
            </w:r>
          </w:p>
        </w:tc>
      </w:tr>
    </w:tbl>
    <w:tbl>
      <w:tblPr>
        <w:tblStyle w:val="TableGrid"/>
        <w:tblW w:w="5000" w:type="pct"/>
        <w:tblLook w:val="04A0" w:firstRow="1" w:lastRow="0" w:firstColumn="1" w:lastColumn="0" w:noHBand="0" w:noVBand="1"/>
        <w:tblCaption w:val="requested listing"/>
      </w:tblPr>
      <w:tblGrid>
        <w:gridCol w:w="1728"/>
        <w:gridCol w:w="7289"/>
      </w:tblGrid>
      <w:tr w:rsidR="005546F0" w:rsidRPr="00DA3DE1" w:rsidTr="00247046">
        <w:trPr>
          <w:tblHeader/>
        </w:trPr>
        <w:tc>
          <w:tcPr>
            <w:tcW w:w="958" w:type="pct"/>
            <w:shd w:val="clear" w:color="auto" w:fill="auto"/>
          </w:tcPr>
          <w:p w:rsidR="005546F0" w:rsidRPr="00DA3DE1" w:rsidRDefault="005546F0" w:rsidP="000F336E">
            <w:pPr>
              <w:pStyle w:val="Tabletext"/>
              <w:rPr>
                <w:b/>
                <w:bCs/>
                <w:szCs w:val="20"/>
              </w:rPr>
            </w:pPr>
            <w:r w:rsidRPr="00DA3DE1">
              <w:rPr>
                <w:b/>
                <w:bCs/>
                <w:szCs w:val="20"/>
              </w:rPr>
              <w:t>Category/program</w:t>
            </w:r>
          </w:p>
        </w:tc>
        <w:tc>
          <w:tcPr>
            <w:tcW w:w="4042" w:type="pct"/>
          </w:tcPr>
          <w:p w:rsidR="005546F0" w:rsidRPr="00DA3DE1" w:rsidRDefault="003F4A65" w:rsidP="000F336E">
            <w:pPr>
              <w:pStyle w:val="Tabletext"/>
              <w:rPr>
                <w:szCs w:val="20"/>
              </w:rPr>
            </w:pPr>
            <w:r>
              <w:rPr>
                <w:szCs w:val="20"/>
              </w:rPr>
              <w:t>Section 100 – Highly Specialised Drugs Program</w:t>
            </w:r>
          </w:p>
        </w:tc>
      </w:tr>
      <w:tr w:rsidR="005546F0" w:rsidRPr="00DA3DE1" w:rsidTr="00760256">
        <w:tc>
          <w:tcPr>
            <w:tcW w:w="958" w:type="pct"/>
            <w:tcBorders>
              <w:top w:val="single" w:sz="4" w:space="0" w:color="auto"/>
              <w:left w:val="single" w:sz="4" w:space="0" w:color="auto"/>
              <w:bottom w:val="single" w:sz="4" w:space="0" w:color="auto"/>
              <w:right w:val="single" w:sz="4" w:space="0" w:color="auto"/>
            </w:tcBorders>
          </w:tcPr>
          <w:p w:rsidR="005546F0" w:rsidRPr="00DA3DE1" w:rsidRDefault="005546F0" w:rsidP="000F336E">
            <w:pPr>
              <w:rPr>
                <w:rFonts w:ascii="Arial Narrow" w:hAnsi="Arial Narrow"/>
                <w:b/>
                <w:i/>
                <w:sz w:val="20"/>
                <w:szCs w:val="20"/>
              </w:rPr>
            </w:pPr>
            <w:r w:rsidRPr="00DA3DE1">
              <w:rPr>
                <w:rFonts w:ascii="Arial Narrow" w:hAnsi="Arial Narrow"/>
                <w:b/>
                <w:i/>
                <w:sz w:val="20"/>
                <w:szCs w:val="20"/>
              </w:rPr>
              <w:t>Prescriber type:</w:t>
            </w:r>
          </w:p>
        </w:tc>
        <w:tc>
          <w:tcPr>
            <w:tcW w:w="4042" w:type="pct"/>
            <w:tcBorders>
              <w:top w:val="single" w:sz="4" w:space="0" w:color="auto"/>
              <w:left w:val="single" w:sz="4" w:space="0" w:color="auto"/>
              <w:bottom w:val="single" w:sz="4" w:space="0" w:color="auto"/>
              <w:right w:val="single" w:sz="4" w:space="0" w:color="auto"/>
            </w:tcBorders>
          </w:tcPr>
          <w:p w:rsidR="005546F0" w:rsidRPr="00DA3DE1" w:rsidRDefault="005546F0" w:rsidP="000F336E">
            <w:pPr>
              <w:rPr>
                <w:rFonts w:ascii="Arial Narrow" w:hAnsi="Arial Narrow"/>
                <w:i/>
                <w:sz w:val="20"/>
                <w:szCs w:val="20"/>
              </w:rPr>
            </w:pPr>
            <w:r w:rsidRPr="00DA3DE1">
              <w:rPr>
                <w:rFonts w:ascii="Arial Narrow" w:hAnsi="Arial Narrow"/>
                <w:i/>
                <w:sz w:val="20"/>
                <w:szCs w:val="20"/>
              </w:rPr>
              <w:fldChar w:fldCharType="begin">
                <w:ffData>
                  <w:name w:val="Check1"/>
                  <w:enabled/>
                  <w:calcOnExit w:val="0"/>
                  <w:checkBox>
                    <w:sizeAuto/>
                    <w:default w:val="0"/>
                  </w:checkBox>
                </w:ffData>
              </w:fldChar>
            </w:r>
            <w:r w:rsidRPr="00DA3DE1">
              <w:rPr>
                <w:rFonts w:ascii="Arial Narrow" w:hAnsi="Arial Narrow"/>
                <w:i/>
                <w:sz w:val="20"/>
                <w:szCs w:val="20"/>
              </w:rPr>
              <w:instrText xml:space="preserve"> FORMCHECKBOX </w:instrText>
            </w:r>
            <w:r w:rsidR="00EE1F1C">
              <w:rPr>
                <w:rFonts w:ascii="Arial Narrow" w:hAnsi="Arial Narrow"/>
                <w:i/>
                <w:sz w:val="20"/>
                <w:szCs w:val="20"/>
              </w:rPr>
            </w:r>
            <w:r w:rsidR="00EE1F1C">
              <w:rPr>
                <w:rFonts w:ascii="Arial Narrow" w:hAnsi="Arial Narrow"/>
                <w:i/>
                <w:sz w:val="20"/>
                <w:szCs w:val="20"/>
              </w:rPr>
              <w:fldChar w:fldCharType="separate"/>
            </w:r>
            <w:r w:rsidRPr="00DA3DE1">
              <w:rPr>
                <w:rFonts w:ascii="Arial Narrow" w:hAnsi="Arial Narrow"/>
                <w:i/>
                <w:sz w:val="20"/>
                <w:szCs w:val="20"/>
              </w:rPr>
              <w:fldChar w:fldCharType="end"/>
            </w:r>
            <w:r w:rsidRPr="00DA3DE1">
              <w:rPr>
                <w:rFonts w:ascii="Arial Narrow" w:hAnsi="Arial Narrow"/>
                <w:i/>
                <w:sz w:val="20"/>
                <w:szCs w:val="20"/>
              </w:rPr>
              <w:t xml:space="preserve">Dental  </w:t>
            </w:r>
            <w:r w:rsidRPr="00DA3DE1">
              <w:rPr>
                <w:rFonts w:ascii="Arial Narrow" w:hAnsi="Arial Narrow"/>
                <w:i/>
                <w:sz w:val="20"/>
                <w:szCs w:val="20"/>
              </w:rPr>
              <w:fldChar w:fldCharType="begin">
                <w:ffData>
                  <w:name w:val=""/>
                  <w:enabled/>
                  <w:calcOnExit w:val="0"/>
                  <w:checkBox>
                    <w:sizeAuto/>
                    <w:default w:val="1"/>
                  </w:checkBox>
                </w:ffData>
              </w:fldChar>
            </w:r>
            <w:r w:rsidRPr="00DA3DE1">
              <w:rPr>
                <w:rFonts w:ascii="Arial Narrow" w:hAnsi="Arial Narrow"/>
                <w:i/>
                <w:sz w:val="20"/>
                <w:szCs w:val="20"/>
              </w:rPr>
              <w:instrText xml:space="preserve"> FORMCHECKBOX </w:instrText>
            </w:r>
            <w:r w:rsidR="00EE1F1C">
              <w:rPr>
                <w:rFonts w:ascii="Arial Narrow" w:hAnsi="Arial Narrow"/>
                <w:i/>
                <w:sz w:val="20"/>
                <w:szCs w:val="20"/>
              </w:rPr>
            </w:r>
            <w:r w:rsidR="00EE1F1C">
              <w:rPr>
                <w:rFonts w:ascii="Arial Narrow" w:hAnsi="Arial Narrow"/>
                <w:i/>
                <w:sz w:val="20"/>
                <w:szCs w:val="20"/>
              </w:rPr>
              <w:fldChar w:fldCharType="separate"/>
            </w:r>
            <w:r w:rsidRPr="00DA3DE1">
              <w:rPr>
                <w:rFonts w:ascii="Arial Narrow" w:hAnsi="Arial Narrow"/>
                <w:i/>
                <w:sz w:val="20"/>
                <w:szCs w:val="20"/>
              </w:rPr>
              <w:fldChar w:fldCharType="end"/>
            </w:r>
            <w:r w:rsidRPr="00DA3DE1">
              <w:rPr>
                <w:rFonts w:ascii="Arial Narrow" w:hAnsi="Arial Narrow"/>
                <w:i/>
                <w:sz w:val="20"/>
                <w:szCs w:val="20"/>
              </w:rPr>
              <w:t xml:space="preserve">Medical Practitioners  </w:t>
            </w:r>
            <w:r w:rsidRPr="00DA3DE1">
              <w:rPr>
                <w:rFonts w:ascii="Arial Narrow" w:hAnsi="Arial Narrow"/>
                <w:i/>
                <w:sz w:val="20"/>
                <w:szCs w:val="20"/>
              </w:rPr>
              <w:fldChar w:fldCharType="begin">
                <w:ffData>
                  <w:name w:val="Check3"/>
                  <w:enabled/>
                  <w:calcOnExit w:val="0"/>
                  <w:checkBox>
                    <w:sizeAuto/>
                    <w:default w:val="0"/>
                  </w:checkBox>
                </w:ffData>
              </w:fldChar>
            </w:r>
            <w:r w:rsidRPr="00DA3DE1">
              <w:rPr>
                <w:rFonts w:ascii="Arial Narrow" w:hAnsi="Arial Narrow"/>
                <w:i/>
                <w:sz w:val="20"/>
                <w:szCs w:val="20"/>
              </w:rPr>
              <w:instrText xml:space="preserve"> FORMCHECKBOX </w:instrText>
            </w:r>
            <w:r w:rsidR="00EE1F1C">
              <w:rPr>
                <w:rFonts w:ascii="Arial Narrow" w:hAnsi="Arial Narrow"/>
                <w:i/>
                <w:sz w:val="20"/>
                <w:szCs w:val="20"/>
              </w:rPr>
            </w:r>
            <w:r w:rsidR="00EE1F1C">
              <w:rPr>
                <w:rFonts w:ascii="Arial Narrow" w:hAnsi="Arial Narrow"/>
                <w:i/>
                <w:sz w:val="20"/>
                <w:szCs w:val="20"/>
              </w:rPr>
              <w:fldChar w:fldCharType="separate"/>
            </w:r>
            <w:r w:rsidRPr="00DA3DE1">
              <w:rPr>
                <w:rFonts w:ascii="Arial Narrow" w:hAnsi="Arial Narrow"/>
                <w:i/>
                <w:sz w:val="20"/>
                <w:szCs w:val="20"/>
              </w:rPr>
              <w:fldChar w:fldCharType="end"/>
            </w:r>
            <w:r w:rsidRPr="00DA3DE1">
              <w:rPr>
                <w:rFonts w:ascii="Arial Narrow" w:hAnsi="Arial Narrow"/>
                <w:i/>
                <w:sz w:val="20"/>
                <w:szCs w:val="20"/>
              </w:rPr>
              <w:t xml:space="preserve">Nurse practitioners  </w:t>
            </w:r>
            <w:r w:rsidRPr="00DA3DE1">
              <w:rPr>
                <w:rFonts w:ascii="Arial Narrow" w:hAnsi="Arial Narrow"/>
                <w:i/>
                <w:sz w:val="20"/>
                <w:szCs w:val="20"/>
              </w:rPr>
              <w:fldChar w:fldCharType="begin">
                <w:ffData>
                  <w:name w:val=""/>
                  <w:enabled/>
                  <w:calcOnExit w:val="0"/>
                  <w:checkBox>
                    <w:sizeAuto/>
                    <w:default w:val="0"/>
                  </w:checkBox>
                </w:ffData>
              </w:fldChar>
            </w:r>
            <w:r w:rsidRPr="00DA3DE1">
              <w:rPr>
                <w:rFonts w:ascii="Arial Narrow" w:hAnsi="Arial Narrow"/>
                <w:i/>
                <w:sz w:val="20"/>
                <w:szCs w:val="20"/>
              </w:rPr>
              <w:instrText xml:space="preserve"> FORMCHECKBOX </w:instrText>
            </w:r>
            <w:r w:rsidR="00EE1F1C">
              <w:rPr>
                <w:rFonts w:ascii="Arial Narrow" w:hAnsi="Arial Narrow"/>
                <w:i/>
                <w:sz w:val="20"/>
                <w:szCs w:val="20"/>
              </w:rPr>
            </w:r>
            <w:r w:rsidR="00EE1F1C">
              <w:rPr>
                <w:rFonts w:ascii="Arial Narrow" w:hAnsi="Arial Narrow"/>
                <w:i/>
                <w:sz w:val="20"/>
                <w:szCs w:val="20"/>
              </w:rPr>
              <w:fldChar w:fldCharType="separate"/>
            </w:r>
            <w:r w:rsidRPr="00DA3DE1">
              <w:rPr>
                <w:rFonts w:ascii="Arial Narrow" w:hAnsi="Arial Narrow"/>
                <w:i/>
                <w:sz w:val="20"/>
                <w:szCs w:val="20"/>
              </w:rPr>
              <w:fldChar w:fldCharType="end"/>
            </w:r>
            <w:r w:rsidRPr="00DA3DE1">
              <w:rPr>
                <w:rFonts w:ascii="Arial Narrow" w:hAnsi="Arial Narrow"/>
                <w:i/>
                <w:sz w:val="20"/>
                <w:szCs w:val="20"/>
              </w:rPr>
              <w:t xml:space="preserve">Optometrists  </w:t>
            </w:r>
            <w:r w:rsidRPr="00DA3DE1">
              <w:rPr>
                <w:rFonts w:ascii="Arial Narrow" w:hAnsi="Arial Narrow"/>
                <w:i/>
                <w:sz w:val="20"/>
                <w:szCs w:val="20"/>
              </w:rPr>
              <w:fldChar w:fldCharType="begin">
                <w:ffData>
                  <w:name w:val="Check5"/>
                  <w:enabled/>
                  <w:calcOnExit w:val="0"/>
                  <w:checkBox>
                    <w:sizeAuto/>
                    <w:default w:val="0"/>
                  </w:checkBox>
                </w:ffData>
              </w:fldChar>
            </w:r>
            <w:r w:rsidRPr="00DA3DE1">
              <w:rPr>
                <w:rFonts w:ascii="Arial Narrow" w:hAnsi="Arial Narrow"/>
                <w:i/>
                <w:sz w:val="20"/>
                <w:szCs w:val="20"/>
              </w:rPr>
              <w:instrText xml:space="preserve"> FORMCHECKBOX </w:instrText>
            </w:r>
            <w:r w:rsidR="00EE1F1C">
              <w:rPr>
                <w:rFonts w:ascii="Arial Narrow" w:hAnsi="Arial Narrow"/>
                <w:i/>
                <w:sz w:val="20"/>
                <w:szCs w:val="20"/>
              </w:rPr>
            </w:r>
            <w:r w:rsidR="00EE1F1C">
              <w:rPr>
                <w:rFonts w:ascii="Arial Narrow" w:hAnsi="Arial Narrow"/>
                <w:i/>
                <w:sz w:val="20"/>
                <w:szCs w:val="20"/>
              </w:rPr>
              <w:fldChar w:fldCharType="separate"/>
            </w:r>
            <w:r w:rsidRPr="00DA3DE1">
              <w:rPr>
                <w:rFonts w:ascii="Arial Narrow" w:hAnsi="Arial Narrow"/>
                <w:i/>
                <w:sz w:val="20"/>
                <w:szCs w:val="20"/>
              </w:rPr>
              <w:fldChar w:fldCharType="end"/>
            </w:r>
            <w:r w:rsidRPr="00DA3DE1">
              <w:rPr>
                <w:rFonts w:ascii="Arial Narrow" w:hAnsi="Arial Narrow"/>
                <w:i/>
                <w:sz w:val="20"/>
                <w:szCs w:val="20"/>
              </w:rPr>
              <w:t>Midwives</w:t>
            </w:r>
          </w:p>
        </w:tc>
      </w:tr>
      <w:tr w:rsidR="005546F0" w:rsidRPr="00DA3DE1" w:rsidTr="00760256">
        <w:tc>
          <w:tcPr>
            <w:tcW w:w="958" w:type="pct"/>
            <w:tcBorders>
              <w:top w:val="single" w:sz="4" w:space="0" w:color="auto"/>
              <w:left w:val="single" w:sz="4" w:space="0" w:color="auto"/>
              <w:bottom w:val="single" w:sz="4" w:space="0" w:color="auto"/>
              <w:right w:val="single" w:sz="4" w:space="0" w:color="auto"/>
            </w:tcBorders>
          </w:tcPr>
          <w:p w:rsidR="005546F0" w:rsidRPr="00DA3DE1" w:rsidRDefault="005546F0" w:rsidP="000F336E">
            <w:pPr>
              <w:rPr>
                <w:rFonts w:ascii="Arial Narrow" w:hAnsi="Arial Narrow"/>
                <w:b/>
                <w:i/>
                <w:sz w:val="20"/>
                <w:szCs w:val="20"/>
              </w:rPr>
            </w:pPr>
            <w:r w:rsidRPr="00DA3DE1">
              <w:rPr>
                <w:rFonts w:ascii="Arial Narrow" w:hAnsi="Arial Narrow"/>
                <w:b/>
                <w:i/>
                <w:sz w:val="20"/>
                <w:szCs w:val="20"/>
              </w:rPr>
              <w:t>Episodicity:</w:t>
            </w:r>
          </w:p>
        </w:tc>
        <w:tc>
          <w:tcPr>
            <w:tcW w:w="4042" w:type="pct"/>
          </w:tcPr>
          <w:p w:rsidR="005546F0" w:rsidRPr="00DA3DE1" w:rsidRDefault="005546F0" w:rsidP="000F336E">
            <w:pPr>
              <w:pStyle w:val="Tabletext"/>
              <w:rPr>
                <w:i/>
                <w:szCs w:val="20"/>
              </w:rPr>
            </w:pPr>
            <w:r w:rsidRPr="00DA3DE1">
              <w:rPr>
                <w:i/>
                <w:szCs w:val="20"/>
              </w:rPr>
              <w:t>Active</w:t>
            </w:r>
          </w:p>
        </w:tc>
      </w:tr>
      <w:tr w:rsidR="005546F0" w:rsidRPr="00DA3DE1" w:rsidTr="00760256">
        <w:tc>
          <w:tcPr>
            <w:tcW w:w="958" w:type="pct"/>
            <w:shd w:val="clear" w:color="auto" w:fill="auto"/>
          </w:tcPr>
          <w:p w:rsidR="005546F0" w:rsidRPr="00DA3DE1" w:rsidRDefault="005546F0" w:rsidP="000F336E">
            <w:pPr>
              <w:pStyle w:val="Tabletext"/>
              <w:rPr>
                <w:b/>
                <w:bCs/>
                <w:szCs w:val="20"/>
              </w:rPr>
            </w:pPr>
            <w:r w:rsidRPr="00DA3DE1">
              <w:rPr>
                <w:b/>
                <w:bCs/>
                <w:szCs w:val="20"/>
              </w:rPr>
              <w:t>Condition:</w:t>
            </w:r>
          </w:p>
        </w:tc>
        <w:tc>
          <w:tcPr>
            <w:tcW w:w="4042" w:type="pct"/>
          </w:tcPr>
          <w:p w:rsidR="005546F0" w:rsidRPr="00DA3DE1" w:rsidRDefault="005546F0" w:rsidP="000F336E">
            <w:pPr>
              <w:pStyle w:val="Tabletext"/>
              <w:rPr>
                <w:szCs w:val="20"/>
              </w:rPr>
            </w:pPr>
            <w:r w:rsidRPr="00DA3DE1">
              <w:rPr>
                <w:szCs w:val="20"/>
              </w:rPr>
              <w:t xml:space="preserve">Systemic lupus erythematosus </w:t>
            </w:r>
            <w:r w:rsidRPr="00DA3DE1">
              <w:rPr>
                <w:strike/>
                <w:szCs w:val="20"/>
              </w:rPr>
              <w:t>(SLE)</w:t>
            </w:r>
          </w:p>
        </w:tc>
      </w:tr>
      <w:tr w:rsidR="005546F0" w:rsidRPr="00DA3DE1" w:rsidTr="00760256">
        <w:tc>
          <w:tcPr>
            <w:tcW w:w="958" w:type="pct"/>
            <w:shd w:val="clear" w:color="auto" w:fill="auto"/>
          </w:tcPr>
          <w:p w:rsidR="005546F0" w:rsidRPr="00DA3DE1" w:rsidRDefault="005546F0" w:rsidP="000F336E">
            <w:pPr>
              <w:pStyle w:val="Tabletext"/>
              <w:rPr>
                <w:b/>
                <w:bCs/>
                <w:szCs w:val="20"/>
              </w:rPr>
            </w:pPr>
            <w:r w:rsidRPr="00DA3DE1">
              <w:rPr>
                <w:b/>
                <w:bCs/>
                <w:szCs w:val="20"/>
              </w:rPr>
              <w:lastRenderedPageBreak/>
              <w:t>PBS indication:</w:t>
            </w:r>
          </w:p>
        </w:tc>
        <w:tc>
          <w:tcPr>
            <w:tcW w:w="4042" w:type="pct"/>
          </w:tcPr>
          <w:p w:rsidR="005546F0" w:rsidRPr="00DA3DE1" w:rsidRDefault="005546F0" w:rsidP="000F336E">
            <w:pPr>
              <w:pStyle w:val="Tabletext"/>
              <w:rPr>
                <w:szCs w:val="20"/>
              </w:rPr>
            </w:pPr>
            <w:r w:rsidRPr="00DA3DE1">
              <w:rPr>
                <w:strike/>
                <w:szCs w:val="20"/>
              </w:rPr>
              <w:t>Highly active auto-antibody positive</w:t>
            </w:r>
            <w:r w:rsidRPr="00DA3DE1">
              <w:rPr>
                <w:szCs w:val="20"/>
              </w:rPr>
              <w:t xml:space="preserve"> </w:t>
            </w:r>
            <w:r w:rsidRPr="00DA3DE1">
              <w:rPr>
                <w:i/>
                <w:szCs w:val="20"/>
              </w:rPr>
              <w:t>Active systemic lupus erythematosus</w:t>
            </w:r>
            <w:r w:rsidRPr="00DA3DE1">
              <w:rPr>
                <w:szCs w:val="20"/>
              </w:rPr>
              <w:t xml:space="preserve"> </w:t>
            </w:r>
            <w:r w:rsidRPr="00DA3DE1">
              <w:rPr>
                <w:strike/>
                <w:szCs w:val="20"/>
              </w:rPr>
              <w:t>(SLE)</w:t>
            </w:r>
            <w:r w:rsidRPr="00DA3DE1">
              <w:rPr>
                <w:szCs w:val="20"/>
              </w:rPr>
              <w:t xml:space="preserve"> </w:t>
            </w:r>
            <w:r w:rsidRPr="00DA3DE1">
              <w:rPr>
                <w:strike/>
                <w:szCs w:val="20"/>
              </w:rPr>
              <w:t>despite standard of care therapy</w:t>
            </w:r>
          </w:p>
        </w:tc>
      </w:tr>
      <w:tr w:rsidR="005546F0" w:rsidRPr="00DA3DE1" w:rsidTr="00760256">
        <w:tc>
          <w:tcPr>
            <w:tcW w:w="958" w:type="pct"/>
            <w:shd w:val="clear" w:color="auto" w:fill="auto"/>
          </w:tcPr>
          <w:p w:rsidR="005546F0" w:rsidRPr="00DA3DE1" w:rsidRDefault="005546F0" w:rsidP="000F336E">
            <w:pPr>
              <w:pStyle w:val="Tabletext"/>
              <w:rPr>
                <w:b/>
                <w:bCs/>
                <w:szCs w:val="20"/>
              </w:rPr>
            </w:pPr>
            <w:r w:rsidRPr="00DA3DE1">
              <w:rPr>
                <w:b/>
                <w:bCs/>
                <w:szCs w:val="20"/>
              </w:rPr>
              <w:t>Treatment phase:</w:t>
            </w:r>
          </w:p>
        </w:tc>
        <w:tc>
          <w:tcPr>
            <w:tcW w:w="4042" w:type="pct"/>
          </w:tcPr>
          <w:p w:rsidR="005546F0" w:rsidRPr="00DA3DE1" w:rsidRDefault="005546F0" w:rsidP="000F336E">
            <w:pPr>
              <w:pStyle w:val="Tabletext"/>
              <w:rPr>
                <w:szCs w:val="20"/>
              </w:rPr>
            </w:pPr>
            <w:r w:rsidRPr="00DA3DE1">
              <w:rPr>
                <w:szCs w:val="20"/>
              </w:rPr>
              <w:t>Initial</w:t>
            </w:r>
          </w:p>
        </w:tc>
      </w:tr>
      <w:tr w:rsidR="005546F0" w:rsidRPr="00DA3DE1" w:rsidTr="00760256">
        <w:tc>
          <w:tcPr>
            <w:tcW w:w="958" w:type="pct"/>
            <w:shd w:val="clear" w:color="auto" w:fill="auto"/>
          </w:tcPr>
          <w:p w:rsidR="005546F0" w:rsidRPr="00DA3DE1" w:rsidRDefault="005546F0" w:rsidP="000F336E">
            <w:pPr>
              <w:pStyle w:val="Tabletext"/>
              <w:rPr>
                <w:b/>
                <w:bCs/>
                <w:szCs w:val="20"/>
              </w:rPr>
            </w:pPr>
            <w:r w:rsidRPr="00DA3DE1">
              <w:rPr>
                <w:b/>
                <w:bCs/>
                <w:szCs w:val="20"/>
              </w:rPr>
              <w:t>Restriction:</w:t>
            </w:r>
          </w:p>
        </w:tc>
        <w:tc>
          <w:tcPr>
            <w:tcW w:w="4042" w:type="pct"/>
          </w:tcPr>
          <w:p w:rsidR="005546F0" w:rsidRPr="00DA3DE1" w:rsidRDefault="005546F0" w:rsidP="000F336E">
            <w:pPr>
              <w:pStyle w:val="Tabletext"/>
              <w:rPr>
                <w:szCs w:val="20"/>
              </w:rPr>
            </w:pPr>
            <w:r w:rsidRPr="00DA3DE1">
              <w:rPr>
                <w:szCs w:val="20"/>
              </w:rPr>
              <w:fldChar w:fldCharType="begin">
                <w:ffData>
                  <w:name w:val="Check5"/>
                  <w:enabled/>
                  <w:calcOnExit w:val="0"/>
                  <w:checkBox>
                    <w:sizeAuto/>
                    <w:default w:val="1"/>
                  </w:checkBox>
                </w:ffData>
              </w:fldChar>
            </w:r>
            <w:r w:rsidRPr="00DA3DE1">
              <w:rPr>
                <w:szCs w:val="20"/>
              </w:rPr>
              <w:instrText xml:space="preserve"> FORMCHECKBOX </w:instrText>
            </w:r>
            <w:r w:rsidR="00EE1F1C">
              <w:rPr>
                <w:szCs w:val="20"/>
              </w:rPr>
            </w:r>
            <w:r w:rsidR="00EE1F1C">
              <w:rPr>
                <w:szCs w:val="20"/>
              </w:rPr>
              <w:fldChar w:fldCharType="separate"/>
            </w:r>
            <w:r w:rsidRPr="00DA3DE1">
              <w:rPr>
                <w:szCs w:val="20"/>
              </w:rPr>
              <w:fldChar w:fldCharType="end"/>
            </w:r>
            <w:r w:rsidRPr="00DA3DE1">
              <w:rPr>
                <w:szCs w:val="20"/>
              </w:rPr>
              <w:t xml:space="preserve"> Authority Required - In Writing</w:t>
            </w:r>
          </w:p>
        </w:tc>
      </w:tr>
      <w:tr w:rsidR="005546F0" w:rsidRPr="00DA3DE1" w:rsidTr="00760256">
        <w:trPr>
          <w:trHeight w:val="417"/>
        </w:trPr>
        <w:tc>
          <w:tcPr>
            <w:tcW w:w="958" w:type="pct"/>
            <w:shd w:val="clear" w:color="auto" w:fill="auto"/>
          </w:tcPr>
          <w:p w:rsidR="005546F0" w:rsidRPr="00DA3DE1" w:rsidRDefault="005546F0" w:rsidP="000F336E">
            <w:pPr>
              <w:pStyle w:val="Tabletext"/>
              <w:rPr>
                <w:b/>
                <w:bCs/>
                <w:szCs w:val="20"/>
              </w:rPr>
            </w:pPr>
            <w:r w:rsidRPr="00DA3DE1">
              <w:rPr>
                <w:b/>
                <w:bCs/>
                <w:szCs w:val="20"/>
              </w:rPr>
              <w:t>Treatment criteria:</w:t>
            </w:r>
          </w:p>
        </w:tc>
        <w:tc>
          <w:tcPr>
            <w:tcW w:w="4042" w:type="pct"/>
          </w:tcPr>
          <w:p w:rsidR="005546F0" w:rsidRPr="00DA3DE1" w:rsidRDefault="005546F0" w:rsidP="000F336E">
            <w:pPr>
              <w:pStyle w:val="Tabletext"/>
              <w:rPr>
                <w:strike/>
                <w:szCs w:val="20"/>
              </w:rPr>
            </w:pPr>
            <w:r w:rsidRPr="00DA3DE1">
              <w:rPr>
                <w:strike/>
                <w:szCs w:val="20"/>
              </w:rPr>
              <w:t>Must be treated by an immunologist or rheumatologist or other specialist physician experienced in the diagnosis and treatment of SLE.</w:t>
            </w:r>
          </w:p>
          <w:p w:rsidR="005546F0" w:rsidRPr="00DA3DE1" w:rsidRDefault="005546F0" w:rsidP="000F336E">
            <w:pPr>
              <w:pStyle w:val="Tabletext"/>
              <w:rPr>
                <w:szCs w:val="20"/>
              </w:rPr>
            </w:pPr>
          </w:p>
          <w:p w:rsidR="005546F0" w:rsidRPr="00DA3DE1" w:rsidRDefault="005546F0" w:rsidP="000F336E">
            <w:pPr>
              <w:pStyle w:val="Tabletext"/>
              <w:rPr>
                <w:i/>
                <w:szCs w:val="20"/>
              </w:rPr>
            </w:pPr>
            <w:r w:rsidRPr="00DA3DE1">
              <w:rPr>
                <w:i/>
                <w:szCs w:val="20"/>
              </w:rPr>
              <w:t>13595</w:t>
            </w:r>
          </w:p>
          <w:p w:rsidR="005546F0" w:rsidRPr="00DA3DE1" w:rsidRDefault="005546F0" w:rsidP="000F336E">
            <w:pPr>
              <w:pStyle w:val="Tabletext"/>
              <w:rPr>
                <w:i/>
                <w:szCs w:val="20"/>
              </w:rPr>
            </w:pPr>
            <w:r w:rsidRPr="00DA3DE1">
              <w:rPr>
                <w:i/>
                <w:szCs w:val="20"/>
              </w:rPr>
              <w:t>[10111] Must be treated by a rheumatologist; or</w:t>
            </w:r>
          </w:p>
          <w:p w:rsidR="005546F0" w:rsidRDefault="005546F0" w:rsidP="000F336E">
            <w:pPr>
              <w:pStyle w:val="Tabletext"/>
              <w:pBdr>
                <w:bottom w:val="dashed" w:sz="4" w:space="1" w:color="auto"/>
              </w:pBdr>
              <w:rPr>
                <w:i/>
                <w:szCs w:val="20"/>
              </w:rPr>
            </w:pPr>
            <w:r w:rsidRPr="00DA3DE1">
              <w:rPr>
                <w:i/>
                <w:szCs w:val="20"/>
              </w:rPr>
              <w:t>[13593] Must be treated by a clinical immunologist</w:t>
            </w:r>
            <w:r w:rsidR="0087684F">
              <w:rPr>
                <w:i/>
                <w:szCs w:val="20"/>
              </w:rPr>
              <w:t>;</w:t>
            </w:r>
            <w:r w:rsidRPr="00DA3DE1">
              <w:rPr>
                <w:i/>
                <w:szCs w:val="20"/>
              </w:rPr>
              <w:t>.</w:t>
            </w:r>
            <w:r w:rsidR="00FB7A23">
              <w:rPr>
                <w:i/>
                <w:szCs w:val="20"/>
              </w:rPr>
              <w:t xml:space="preserve"> or</w:t>
            </w:r>
          </w:p>
          <w:p w:rsidR="005546F0" w:rsidRPr="00DA3DE1" w:rsidRDefault="007773E4" w:rsidP="00E718A9">
            <w:pPr>
              <w:pStyle w:val="Tabletext"/>
              <w:pBdr>
                <w:bottom w:val="dashed" w:sz="4" w:space="1" w:color="auto"/>
              </w:pBdr>
              <w:rPr>
                <w:i/>
                <w:szCs w:val="20"/>
              </w:rPr>
            </w:pPr>
            <w:r>
              <w:rPr>
                <w:i/>
                <w:szCs w:val="20"/>
              </w:rPr>
              <w:t xml:space="preserve">[13590] </w:t>
            </w:r>
            <w:r w:rsidR="00FB7A23">
              <w:rPr>
                <w:i/>
                <w:szCs w:val="20"/>
              </w:rPr>
              <w:t>Must be treated by a nephrologist</w:t>
            </w:r>
            <w:r w:rsidR="0087684F">
              <w:rPr>
                <w:i/>
                <w:szCs w:val="20"/>
              </w:rPr>
              <w:t>.</w:t>
            </w:r>
          </w:p>
        </w:tc>
      </w:tr>
      <w:tr w:rsidR="005546F0" w:rsidRPr="00DA3DE1" w:rsidTr="00760256">
        <w:trPr>
          <w:trHeight w:val="557"/>
        </w:trPr>
        <w:tc>
          <w:tcPr>
            <w:tcW w:w="958" w:type="pct"/>
            <w:shd w:val="clear" w:color="auto" w:fill="auto"/>
          </w:tcPr>
          <w:p w:rsidR="005546F0" w:rsidRPr="00DA3DE1" w:rsidRDefault="005546F0" w:rsidP="000F336E">
            <w:pPr>
              <w:pStyle w:val="Tabletext"/>
              <w:rPr>
                <w:b/>
                <w:bCs/>
                <w:szCs w:val="20"/>
              </w:rPr>
            </w:pPr>
            <w:r w:rsidRPr="00DA3DE1">
              <w:rPr>
                <w:b/>
                <w:bCs/>
                <w:szCs w:val="20"/>
              </w:rPr>
              <w:t>Clinical criteria:</w:t>
            </w:r>
          </w:p>
        </w:tc>
        <w:tc>
          <w:tcPr>
            <w:tcW w:w="4042" w:type="pct"/>
          </w:tcPr>
          <w:p w:rsidR="005546F0" w:rsidRPr="00FB7A23" w:rsidRDefault="00FB7A23" w:rsidP="000F336E">
            <w:pPr>
              <w:pStyle w:val="Tabletext"/>
              <w:rPr>
                <w:i/>
                <w:szCs w:val="20"/>
              </w:rPr>
            </w:pPr>
            <w:r w:rsidRPr="00FB7A23">
              <w:rPr>
                <w:i/>
                <w:szCs w:val="20"/>
              </w:rPr>
              <w:t>Adult</w:t>
            </w:r>
            <w:r>
              <w:rPr>
                <w:szCs w:val="20"/>
              </w:rPr>
              <w:t xml:space="preserve"> p</w:t>
            </w:r>
            <w:r w:rsidR="005546F0" w:rsidRPr="00FB7A23">
              <w:rPr>
                <w:strike/>
                <w:szCs w:val="20"/>
              </w:rPr>
              <w:t>P</w:t>
            </w:r>
            <w:r w:rsidR="005546F0" w:rsidRPr="00FB7A23">
              <w:rPr>
                <w:szCs w:val="20"/>
              </w:rPr>
              <w:t>atient must have a confirmed and documented diagnosis of SLE</w:t>
            </w:r>
            <w:r>
              <w:rPr>
                <w:szCs w:val="20"/>
              </w:rPr>
              <w:t xml:space="preserve"> </w:t>
            </w:r>
            <w:r w:rsidRPr="00FB7A23">
              <w:rPr>
                <w:i/>
                <w:szCs w:val="20"/>
              </w:rPr>
              <w:t>(according to the ACR/EULAR SLE Classification Criteria 2019)</w:t>
            </w:r>
            <w:r w:rsidR="0087684F">
              <w:rPr>
                <w:i/>
                <w:szCs w:val="20"/>
              </w:rPr>
              <w:t>,</w:t>
            </w:r>
            <w:r w:rsidRPr="00FB7A23">
              <w:rPr>
                <w:i/>
                <w:szCs w:val="20"/>
              </w:rPr>
              <w:t xml:space="preserve">  </w:t>
            </w:r>
          </w:p>
          <w:p w:rsidR="005546F0" w:rsidRPr="00FB7A23" w:rsidRDefault="005546F0" w:rsidP="000F336E">
            <w:pPr>
              <w:pStyle w:val="Tabletext"/>
              <w:rPr>
                <w:szCs w:val="20"/>
              </w:rPr>
            </w:pPr>
            <w:r w:rsidRPr="00FB7A23">
              <w:rPr>
                <w:szCs w:val="20"/>
              </w:rPr>
              <w:t>AND</w:t>
            </w:r>
          </w:p>
          <w:p w:rsidR="005546F0" w:rsidRPr="00DA3DE1" w:rsidRDefault="005546F0" w:rsidP="000F336E">
            <w:pPr>
              <w:pStyle w:val="Tabletext"/>
              <w:rPr>
                <w:strike/>
                <w:szCs w:val="20"/>
              </w:rPr>
            </w:pPr>
            <w:r w:rsidRPr="00DA3DE1">
              <w:rPr>
                <w:strike/>
                <w:szCs w:val="20"/>
              </w:rPr>
              <w:t>Patient must have an anti-double stranded deoxyribonucleic acid (anti-dsDNA) serum antibody test result which is unequivocally positive</w:t>
            </w:r>
          </w:p>
          <w:p w:rsidR="007773E4" w:rsidRDefault="005546F0" w:rsidP="000F336E">
            <w:pPr>
              <w:pStyle w:val="Tabletext"/>
              <w:pBdr>
                <w:bottom w:val="dashed" w:sz="4" w:space="1" w:color="auto"/>
              </w:pBdr>
              <w:rPr>
                <w:i/>
                <w:szCs w:val="20"/>
              </w:rPr>
            </w:pPr>
            <w:r w:rsidRPr="00DA3DE1">
              <w:rPr>
                <w:i/>
                <w:szCs w:val="20"/>
              </w:rPr>
              <w:t xml:space="preserve">[new concept] Patient must have </w:t>
            </w:r>
            <w:r w:rsidR="007773E4" w:rsidRPr="007773E4">
              <w:rPr>
                <w:i/>
                <w:szCs w:val="20"/>
              </w:rPr>
              <w:t xml:space="preserve">laboratory evidence of disease activity with an elevated </w:t>
            </w:r>
            <w:r w:rsidRPr="00DA3DE1">
              <w:rPr>
                <w:i/>
                <w:szCs w:val="20"/>
              </w:rPr>
              <w:t>anti-double stranded deoxyribonucleic acid (anti-dsDNA) titre despite standard therapy</w:t>
            </w:r>
            <w:r w:rsidR="0087684F">
              <w:rPr>
                <w:i/>
                <w:szCs w:val="20"/>
              </w:rPr>
              <w:t>;</w:t>
            </w:r>
            <w:r w:rsidRPr="00DA3DE1">
              <w:rPr>
                <w:i/>
                <w:szCs w:val="20"/>
              </w:rPr>
              <w:t xml:space="preserve"> </w:t>
            </w:r>
            <w:r w:rsidR="002E5D02">
              <w:rPr>
                <w:i/>
                <w:szCs w:val="20"/>
              </w:rPr>
              <w:t>OR</w:t>
            </w:r>
            <w:r w:rsidRPr="00DA3DE1">
              <w:rPr>
                <w:i/>
                <w:szCs w:val="20"/>
              </w:rPr>
              <w:t xml:space="preserve"> </w:t>
            </w:r>
          </w:p>
          <w:p w:rsidR="005546F0" w:rsidRPr="00DA3DE1" w:rsidRDefault="007773E4" w:rsidP="000F336E">
            <w:pPr>
              <w:pStyle w:val="Tabletext"/>
              <w:pBdr>
                <w:bottom w:val="dashed" w:sz="4" w:space="1" w:color="auto"/>
              </w:pBdr>
              <w:rPr>
                <w:i/>
                <w:szCs w:val="20"/>
              </w:rPr>
            </w:pPr>
            <w:r w:rsidRPr="00DA3DE1">
              <w:rPr>
                <w:i/>
                <w:szCs w:val="20"/>
              </w:rPr>
              <w:t xml:space="preserve">Patient must have </w:t>
            </w:r>
            <w:r w:rsidR="00FB7A23" w:rsidRPr="00FB7A23">
              <w:rPr>
                <w:i/>
                <w:szCs w:val="20"/>
              </w:rPr>
              <w:t>low complement (C3,</w:t>
            </w:r>
            <w:r w:rsidR="00FB7A23">
              <w:rPr>
                <w:i/>
                <w:szCs w:val="20"/>
              </w:rPr>
              <w:t xml:space="preserve"> </w:t>
            </w:r>
            <w:r w:rsidR="00FB7A23" w:rsidRPr="00FB7A23">
              <w:rPr>
                <w:i/>
                <w:szCs w:val="20"/>
              </w:rPr>
              <w:t>C4) levels</w:t>
            </w:r>
            <w:r>
              <w:rPr>
                <w:i/>
                <w:szCs w:val="20"/>
              </w:rPr>
              <w:t xml:space="preserve"> </w:t>
            </w:r>
            <w:r w:rsidRPr="00DA3DE1">
              <w:rPr>
                <w:i/>
                <w:szCs w:val="20"/>
              </w:rPr>
              <w:t>despite standard therapy</w:t>
            </w:r>
            <w:r w:rsidR="0087684F">
              <w:rPr>
                <w:i/>
                <w:szCs w:val="20"/>
              </w:rPr>
              <w:t>.</w:t>
            </w:r>
          </w:p>
          <w:p w:rsidR="005546F0" w:rsidRPr="00DA3DE1" w:rsidRDefault="005546F0" w:rsidP="000F336E">
            <w:pPr>
              <w:pStyle w:val="Tabletext"/>
              <w:rPr>
                <w:szCs w:val="20"/>
              </w:rPr>
            </w:pPr>
            <w:r w:rsidRPr="00DA3DE1">
              <w:rPr>
                <w:szCs w:val="20"/>
              </w:rPr>
              <w:t>AND</w:t>
            </w:r>
          </w:p>
          <w:p w:rsidR="005546F0" w:rsidRPr="00DA3DE1" w:rsidRDefault="005546F0" w:rsidP="000F336E">
            <w:pPr>
              <w:pStyle w:val="Tabletext"/>
              <w:rPr>
                <w:szCs w:val="20"/>
              </w:rPr>
            </w:pPr>
            <w:r w:rsidRPr="00DA3DE1">
              <w:rPr>
                <w:i/>
                <w:szCs w:val="20"/>
              </w:rPr>
              <w:t>[new concept]</w:t>
            </w:r>
            <w:r w:rsidRPr="00DA3DE1">
              <w:rPr>
                <w:szCs w:val="20"/>
              </w:rPr>
              <w:t xml:space="preserve"> Patient must have a </w:t>
            </w:r>
            <w:r w:rsidRPr="00580E7A">
              <w:rPr>
                <w:strike/>
                <w:szCs w:val="20"/>
              </w:rPr>
              <w:t xml:space="preserve">Safety of Estrogens in Lupus Erythematosus National Assessment </w:t>
            </w:r>
            <w:r w:rsidRPr="00DA3DE1">
              <w:rPr>
                <w:szCs w:val="20"/>
              </w:rPr>
              <w:t>Systemic Lupus Erythematosus Disease Activity Index</w:t>
            </w:r>
            <w:r w:rsidR="002E5D02">
              <w:rPr>
                <w:szCs w:val="20"/>
              </w:rPr>
              <w:t xml:space="preserve"> </w:t>
            </w:r>
            <w:r w:rsidR="002E5D02">
              <w:rPr>
                <w:i/>
                <w:szCs w:val="20"/>
              </w:rPr>
              <w:t>2000</w:t>
            </w:r>
            <w:r w:rsidRPr="00DA3DE1">
              <w:rPr>
                <w:szCs w:val="20"/>
              </w:rPr>
              <w:t xml:space="preserve"> (</w:t>
            </w:r>
            <w:r w:rsidRPr="002E5D02">
              <w:rPr>
                <w:strike/>
                <w:szCs w:val="20"/>
              </w:rPr>
              <w:t>SELENA-</w:t>
            </w:r>
            <w:r w:rsidRPr="00DA3DE1">
              <w:rPr>
                <w:szCs w:val="20"/>
              </w:rPr>
              <w:t>SLEDAI</w:t>
            </w:r>
            <w:r w:rsidR="002E5D02">
              <w:rPr>
                <w:i/>
                <w:szCs w:val="20"/>
              </w:rPr>
              <w:t>-2K</w:t>
            </w:r>
            <w:r w:rsidRPr="00DA3DE1">
              <w:rPr>
                <w:szCs w:val="20"/>
              </w:rPr>
              <w:t>) score of at least 10</w:t>
            </w:r>
            <w:r w:rsidRPr="00DA3DE1">
              <w:rPr>
                <w:i/>
                <w:szCs w:val="20"/>
              </w:rPr>
              <w:t xml:space="preserve"> </w:t>
            </w:r>
            <w:r w:rsidR="002E5D02">
              <w:rPr>
                <w:i/>
                <w:szCs w:val="20"/>
              </w:rPr>
              <w:t>points</w:t>
            </w:r>
            <w:r w:rsidR="0087684F">
              <w:rPr>
                <w:i/>
                <w:szCs w:val="20"/>
              </w:rPr>
              <w:t>,</w:t>
            </w:r>
          </w:p>
          <w:p w:rsidR="005546F0" w:rsidRDefault="005546F0" w:rsidP="000F336E">
            <w:pPr>
              <w:pStyle w:val="Tabletext"/>
              <w:rPr>
                <w:szCs w:val="20"/>
              </w:rPr>
            </w:pPr>
            <w:r w:rsidRPr="00DA3DE1">
              <w:rPr>
                <w:szCs w:val="20"/>
              </w:rPr>
              <w:t>AND</w:t>
            </w:r>
          </w:p>
          <w:p w:rsidR="002E5D02" w:rsidRPr="002E5D02" w:rsidRDefault="002E5D02" w:rsidP="002E5D02">
            <w:pPr>
              <w:pStyle w:val="Tabletext"/>
              <w:rPr>
                <w:i/>
                <w:szCs w:val="20"/>
              </w:rPr>
            </w:pPr>
            <w:r w:rsidRPr="002E5D02">
              <w:rPr>
                <w:i/>
                <w:szCs w:val="20"/>
              </w:rPr>
              <w:t>Patient must be currently receiving hydroxychloroquine</w:t>
            </w:r>
            <w:r>
              <w:rPr>
                <w:i/>
                <w:szCs w:val="20"/>
              </w:rPr>
              <w:t xml:space="preserve"> and must have received this</w:t>
            </w:r>
            <w:r w:rsidRPr="002E5D02">
              <w:rPr>
                <w:i/>
                <w:szCs w:val="20"/>
              </w:rPr>
              <w:t xml:space="preserve"> for at least </w:t>
            </w:r>
            <w:r>
              <w:rPr>
                <w:i/>
                <w:szCs w:val="20"/>
              </w:rPr>
              <w:t>three</w:t>
            </w:r>
            <w:r w:rsidRPr="002E5D02">
              <w:rPr>
                <w:i/>
                <w:szCs w:val="20"/>
              </w:rPr>
              <w:t xml:space="preserve"> months</w:t>
            </w:r>
            <w:r w:rsidR="0087684F">
              <w:rPr>
                <w:i/>
                <w:szCs w:val="20"/>
              </w:rPr>
              <w:t>,</w:t>
            </w:r>
            <w:r w:rsidRPr="002E5D02">
              <w:rPr>
                <w:i/>
                <w:szCs w:val="20"/>
              </w:rPr>
              <w:t xml:space="preserve"> </w:t>
            </w:r>
          </w:p>
          <w:p w:rsidR="002E5D02" w:rsidRDefault="002E5D02" w:rsidP="002E5D02">
            <w:pPr>
              <w:pStyle w:val="Tabletext"/>
              <w:rPr>
                <w:i/>
                <w:szCs w:val="20"/>
              </w:rPr>
            </w:pPr>
            <w:r w:rsidRPr="002E5D02">
              <w:rPr>
                <w:i/>
                <w:szCs w:val="20"/>
              </w:rPr>
              <w:t>AND</w:t>
            </w:r>
          </w:p>
          <w:p w:rsidR="002E5D02" w:rsidRDefault="002E5D02" w:rsidP="002E5D02">
            <w:pPr>
              <w:pStyle w:val="Tabletext"/>
              <w:rPr>
                <w:i/>
                <w:szCs w:val="20"/>
              </w:rPr>
            </w:pPr>
            <w:r w:rsidRPr="002E5D02">
              <w:rPr>
                <w:i/>
                <w:szCs w:val="20"/>
              </w:rPr>
              <w:t>Patient must be currently receiving immunosuppressant medication</w:t>
            </w:r>
            <w:r>
              <w:rPr>
                <w:i/>
                <w:szCs w:val="20"/>
              </w:rPr>
              <w:t xml:space="preserve"> and must have received this</w:t>
            </w:r>
            <w:r w:rsidRPr="002E5D02">
              <w:rPr>
                <w:i/>
                <w:szCs w:val="20"/>
              </w:rPr>
              <w:t xml:space="preserve"> for at least </w:t>
            </w:r>
            <w:r>
              <w:rPr>
                <w:i/>
                <w:szCs w:val="20"/>
              </w:rPr>
              <w:t>three</w:t>
            </w:r>
            <w:r w:rsidRPr="002E5D02">
              <w:rPr>
                <w:i/>
                <w:szCs w:val="20"/>
              </w:rPr>
              <w:t xml:space="preserve"> months (methotrexate 20mg per week, azathioprine 100 mg per day, or mycophenolate)</w:t>
            </w:r>
            <w:r w:rsidR="0087684F">
              <w:rPr>
                <w:i/>
                <w:szCs w:val="20"/>
              </w:rPr>
              <w:t>,</w:t>
            </w:r>
            <w:r w:rsidRPr="002E5D02">
              <w:rPr>
                <w:i/>
                <w:szCs w:val="20"/>
              </w:rPr>
              <w:t xml:space="preserve"> </w:t>
            </w:r>
          </w:p>
          <w:p w:rsidR="002E5D02" w:rsidRDefault="002E5D02" w:rsidP="002E5D02">
            <w:pPr>
              <w:pStyle w:val="Tabletext"/>
              <w:rPr>
                <w:i/>
                <w:szCs w:val="20"/>
              </w:rPr>
            </w:pPr>
            <w:r w:rsidRPr="002E5D02">
              <w:rPr>
                <w:i/>
                <w:szCs w:val="20"/>
              </w:rPr>
              <w:t xml:space="preserve">AND </w:t>
            </w:r>
          </w:p>
          <w:p w:rsidR="002E5D02" w:rsidRDefault="002E5D02" w:rsidP="002E5D02">
            <w:pPr>
              <w:pStyle w:val="Tabletext"/>
              <w:rPr>
                <w:i/>
                <w:szCs w:val="20"/>
              </w:rPr>
            </w:pPr>
            <w:r w:rsidRPr="002E5D02">
              <w:rPr>
                <w:i/>
                <w:szCs w:val="20"/>
              </w:rPr>
              <w:t>Patient must be currently receiving prednisolone or equivalent ≥</w:t>
            </w:r>
            <w:r w:rsidR="003F4A65">
              <w:rPr>
                <w:i/>
                <w:szCs w:val="20"/>
              </w:rPr>
              <w:t xml:space="preserve"> </w:t>
            </w:r>
            <w:r w:rsidRPr="002E5D02">
              <w:rPr>
                <w:i/>
                <w:szCs w:val="20"/>
              </w:rPr>
              <w:t>7.5 mg per day</w:t>
            </w:r>
            <w:r>
              <w:rPr>
                <w:i/>
                <w:szCs w:val="20"/>
              </w:rPr>
              <w:t xml:space="preserve"> and must have received this</w:t>
            </w:r>
            <w:r w:rsidRPr="002E5D02">
              <w:rPr>
                <w:i/>
                <w:szCs w:val="20"/>
              </w:rPr>
              <w:t xml:space="preserve"> for at least one month</w:t>
            </w:r>
            <w:r w:rsidR="0087684F">
              <w:rPr>
                <w:i/>
                <w:szCs w:val="20"/>
              </w:rPr>
              <w:t>,</w:t>
            </w:r>
            <w:r w:rsidRPr="002E5D02">
              <w:rPr>
                <w:i/>
                <w:szCs w:val="20"/>
              </w:rPr>
              <w:t xml:space="preserve"> </w:t>
            </w:r>
          </w:p>
          <w:p w:rsidR="002E5D02" w:rsidRPr="002E5D02" w:rsidRDefault="002E5D02" w:rsidP="002E5D02">
            <w:pPr>
              <w:pStyle w:val="Tabletext"/>
              <w:rPr>
                <w:i/>
                <w:szCs w:val="20"/>
              </w:rPr>
            </w:pPr>
            <w:r w:rsidRPr="002E5D02">
              <w:rPr>
                <w:i/>
                <w:szCs w:val="20"/>
              </w:rPr>
              <w:t>AND</w:t>
            </w:r>
          </w:p>
          <w:p w:rsidR="002E5D02" w:rsidRPr="002E5D02" w:rsidRDefault="002E5D02" w:rsidP="002E5D02">
            <w:pPr>
              <w:pStyle w:val="Tabletext"/>
              <w:rPr>
                <w:i/>
                <w:szCs w:val="20"/>
              </w:rPr>
            </w:pPr>
            <w:r w:rsidRPr="002E5D02">
              <w:rPr>
                <w:i/>
                <w:szCs w:val="20"/>
              </w:rPr>
              <w:t>Patient must not have severe renal or central nervous system systemic lupus erythematosus</w:t>
            </w:r>
            <w:r w:rsidR="0087684F">
              <w:rPr>
                <w:i/>
                <w:szCs w:val="20"/>
              </w:rPr>
              <w:t>.</w:t>
            </w:r>
          </w:p>
          <w:p w:rsidR="002E5D02" w:rsidRPr="002E5D02" w:rsidRDefault="002E5D02" w:rsidP="002E5D02">
            <w:pPr>
              <w:pStyle w:val="Tabletext"/>
              <w:rPr>
                <w:i/>
                <w:szCs w:val="20"/>
              </w:rPr>
            </w:pPr>
          </w:p>
          <w:p w:rsidR="005546F0" w:rsidRPr="00DA3DE1" w:rsidRDefault="005546F0" w:rsidP="000F336E">
            <w:pPr>
              <w:pStyle w:val="Tabletext"/>
              <w:rPr>
                <w:strike/>
                <w:szCs w:val="20"/>
              </w:rPr>
            </w:pPr>
            <w:r w:rsidRPr="00DA3DE1">
              <w:rPr>
                <w:strike/>
                <w:szCs w:val="20"/>
              </w:rPr>
              <w:t>Patient must be receiving</w:t>
            </w:r>
            <w:r w:rsidRPr="00DA3DE1">
              <w:rPr>
                <w:i/>
                <w:strike/>
                <w:szCs w:val="20"/>
              </w:rPr>
              <w:t xml:space="preserve"> </w:t>
            </w:r>
            <w:r w:rsidRPr="00DA3DE1">
              <w:rPr>
                <w:strike/>
                <w:szCs w:val="20"/>
              </w:rPr>
              <w:t>standard of care therapy for SLE which includes a combination of an antimalarial agent, a corticosteroid and an IS agent unless there are contraindications / intolerances which preclude use of triple therapy.</w:t>
            </w:r>
          </w:p>
          <w:p w:rsidR="005546F0" w:rsidRPr="002E5D02" w:rsidRDefault="005546F0" w:rsidP="000F336E">
            <w:pPr>
              <w:pStyle w:val="Tabletext"/>
              <w:rPr>
                <w:strike/>
                <w:szCs w:val="20"/>
              </w:rPr>
            </w:pPr>
            <w:r w:rsidRPr="002E5D02">
              <w:rPr>
                <w:strike/>
                <w:szCs w:val="20"/>
              </w:rPr>
              <w:t>Patient must be unable to reduce the dose of corticosteroid to below 7.5 mg prednisone per day or equivalent</w:t>
            </w:r>
          </w:p>
          <w:p w:rsidR="005546F0" w:rsidRPr="00DA3DE1" w:rsidRDefault="005546F0" w:rsidP="000F336E">
            <w:pPr>
              <w:pStyle w:val="Tabletext"/>
              <w:rPr>
                <w:strike/>
                <w:szCs w:val="20"/>
              </w:rPr>
            </w:pPr>
          </w:p>
          <w:p w:rsidR="005546F0" w:rsidRPr="00DA3DE1" w:rsidRDefault="005546F0" w:rsidP="000F336E">
            <w:pPr>
              <w:pStyle w:val="Tabletext"/>
              <w:rPr>
                <w:strike/>
                <w:szCs w:val="20"/>
              </w:rPr>
            </w:pPr>
            <w:r w:rsidRPr="00DA3DE1">
              <w:rPr>
                <w:strike/>
                <w:szCs w:val="20"/>
              </w:rPr>
              <w:t>Notes</w:t>
            </w:r>
          </w:p>
          <w:p w:rsidR="005546F0" w:rsidRPr="00DA3DE1" w:rsidRDefault="005546F0" w:rsidP="000F336E">
            <w:pPr>
              <w:pStyle w:val="Tabletext"/>
              <w:rPr>
                <w:strike/>
                <w:szCs w:val="20"/>
              </w:rPr>
            </w:pPr>
            <w:r w:rsidRPr="00DA3DE1">
              <w:rPr>
                <w:strike/>
                <w:szCs w:val="20"/>
              </w:rPr>
              <w:t>Use of an antimalarial agent and/or IS agent as a constituent of the standard of care triple therapy for SLE may be precluded if the agent is considered clinically inappropriate or cannot be tolerated at the minimum effective dose recommended in the current EULAR guidance for the management of SLE.</w:t>
            </w:r>
          </w:p>
          <w:p w:rsidR="005546F0" w:rsidRPr="00DA3DE1" w:rsidRDefault="005546F0" w:rsidP="000F336E">
            <w:pPr>
              <w:pStyle w:val="Tabletext"/>
              <w:rPr>
                <w:strike/>
                <w:szCs w:val="20"/>
              </w:rPr>
            </w:pPr>
            <w:r w:rsidRPr="00DA3DE1">
              <w:rPr>
                <w:strike/>
                <w:szCs w:val="20"/>
              </w:rPr>
              <w:t>A patient who has previously failed to respond to a course of PBS-subsidised belimumab for the treatment of SLE will not be eligible to receive further PBS-subsidised treatment with belimumab.</w:t>
            </w:r>
          </w:p>
          <w:p w:rsidR="005546F0" w:rsidRPr="00DA3DE1" w:rsidRDefault="005546F0" w:rsidP="000F336E">
            <w:pPr>
              <w:pStyle w:val="Tabletext"/>
              <w:rPr>
                <w:i/>
                <w:szCs w:val="20"/>
              </w:rPr>
            </w:pPr>
            <w:r w:rsidRPr="00DA3DE1">
              <w:rPr>
                <w:i/>
                <w:szCs w:val="20"/>
              </w:rPr>
              <w:t>[11365] Patient must not have previously received PBS-subsidised treatment with this drug for this condition.</w:t>
            </w:r>
          </w:p>
        </w:tc>
      </w:tr>
      <w:tr w:rsidR="005546F0" w:rsidRPr="008820FC" w:rsidTr="00760256">
        <w:tc>
          <w:tcPr>
            <w:tcW w:w="958" w:type="pct"/>
            <w:shd w:val="clear" w:color="auto" w:fill="auto"/>
          </w:tcPr>
          <w:p w:rsidR="005546F0" w:rsidRPr="005D4FC9" w:rsidRDefault="005546F0" w:rsidP="000F336E">
            <w:pPr>
              <w:pStyle w:val="Tabletext"/>
              <w:rPr>
                <w:b/>
                <w:bCs/>
              </w:rPr>
            </w:pPr>
            <w:r w:rsidRPr="005D4FC9">
              <w:rPr>
                <w:b/>
                <w:bCs/>
              </w:rPr>
              <w:t>Population criteria:</w:t>
            </w:r>
          </w:p>
        </w:tc>
        <w:tc>
          <w:tcPr>
            <w:tcW w:w="4042" w:type="pct"/>
          </w:tcPr>
          <w:p w:rsidR="005546F0" w:rsidRPr="00EA47DB" w:rsidRDefault="005546F0" w:rsidP="000F336E">
            <w:pPr>
              <w:pStyle w:val="Tabletext"/>
              <w:rPr>
                <w:strike/>
              </w:rPr>
            </w:pPr>
            <w:r w:rsidRPr="00EA47DB">
              <w:rPr>
                <w:strike/>
              </w:rPr>
              <w:t>Patient must be at least 18 years of age</w:t>
            </w:r>
          </w:p>
          <w:p w:rsidR="005546F0" w:rsidRPr="00EA47DB" w:rsidRDefault="005546F0" w:rsidP="000F336E">
            <w:pPr>
              <w:pStyle w:val="Tabletext"/>
              <w:rPr>
                <w:i/>
              </w:rPr>
            </w:pPr>
          </w:p>
        </w:tc>
      </w:tr>
      <w:tr w:rsidR="005546F0" w:rsidRPr="008820FC" w:rsidTr="00760256">
        <w:tc>
          <w:tcPr>
            <w:tcW w:w="958" w:type="pct"/>
            <w:shd w:val="clear" w:color="auto" w:fill="auto"/>
          </w:tcPr>
          <w:p w:rsidR="005546F0" w:rsidRPr="005D4FC9" w:rsidRDefault="005546F0" w:rsidP="000F336E">
            <w:pPr>
              <w:pStyle w:val="Tabletext"/>
              <w:rPr>
                <w:b/>
                <w:bCs/>
              </w:rPr>
            </w:pPr>
            <w:r w:rsidRPr="005D4FC9">
              <w:rPr>
                <w:b/>
                <w:bCs/>
              </w:rPr>
              <w:lastRenderedPageBreak/>
              <w:t xml:space="preserve">Prescriber </w:t>
            </w:r>
            <w:r>
              <w:rPr>
                <w:b/>
                <w:bCs/>
              </w:rPr>
              <w:t>i</w:t>
            </w:r>
            <w:r w:rsidRPr="005D4FC9">
              <w:rPr>
                <w:b/>
                <w:bCs/>
              </w:rPr>
              <w:t>nstructions</w:t>
            </w:r>
          </w:p>
        </w:tc>
        <w:tc>
          <w:tcPr>
            <w:tcW w:w="4042" w:type="pct"/>
          </w:tcPr>
          <w:p w:rsidR="005546F0" w:rsidRPr="008C6D7F" w:rsidRDefault="005546F0" w:rsidP="000F336E">
            <w:pPr>
              <w:pStyle w:val="Tabletext"/>
              <w:rPr>
                <w:color w:val="000000" w:themeColor="text1"/>
              </w:rPr>
            </w:pPr>
            <w:r>
              <w:rPr>
                <w:i/>
                <w:color w:val="000000" w:themeColor="text1"/>
              </w:rPr>
              <w:t xml:space="preserve"> [new concept] </w:t>
            </w:r>
            <w:r w:rsidRPr="008C6D7F">
              <w:rPr>
                <w:color w:val="000000" w:themeColor="text1"/>
              </w:rPr>
              <w:t>The authority application must be made in writing and must include:</w:t>
            </w:r>
          </w:p>
          <w:p w:rsidR="005546F0" w:rsidRPr="008C6D7F" w:rsidRDefault="005546F0" w:rsidP="000F336E">
            <w:pPr>
              <w:pStyle w:val="Tabletext"/>
              <w:rPr>
                <w:color w:val="000000" w:themeColor="text1"/>
              </w:rPr>
            </w:pPr>
            <w:r w:rsidRPr="008C6D7F">
              <w:rPr>
                <w:color w:val="000000" w:themeColor="text1"/>
              </w:rPr>
              <w:t>a) a completed authority prescription form; and</w:t>
            </w:r>
          </w:p>
          <w:p w:rsidR="005546F0" w:rsidRPr="008C6D7F" w:rsidRDefault="005546F0" w:rsidP="000F336E">
            <w:pPr>
              <w:pStyle w:val="Tabletext"/>
              <w:rPr>
                <w:color w:val="000000" w:themeColor="text1"/>
              </w:rPr>
            </w:pPr>
            <w:r w:rsidRPr="008C6D7F">
              <w:rPr>
                <w:color w:val="000000" w:themeColor="text1"/>
              </w:rPr>
              <w:t xml:space="preserve">(b) details of </w:t>
            </w:r>
            <w:r w:rsidRPr="00C17A7A">
              <w:rPr>
                <w:strike/>
                <w:color w:val="000000" w:themeColor="text1"/>
              </w:rPr>
              <w:t>prior</w:t>
            </w:r>
            <w:r w:rsidRPr="008C6D7F">
              <w:rPr>
                <w:color w:val="000000" w:themeColor="text1"/>
              </w:rPr>
              <w:t xml:space="preserve"> </w:t>
            </w:r>
            <w:r>
              <w:rPr>
                <w:i/>
                <w:color w:val="000000" w:themeColor="text1"/>
              </w:rPr>
              <w:t xml:space="preserve">current </w:t>
            </w:r>
            <w:r w:rsidRPr="008C6D7F">
              <w:rPr>
                <w:color w:val="000000" w:themeColor="text1"/>
              </w:rPr>
              <w:t xml:space="preserve">therapy used (dosage, date of commencement and duration of therapy) </w:t>
            </w:r>
            <w:r w:rsidRPr="002F0C30">
              <w:rPr>
                <w:strike/>
                <w:color w:val="000000" w:themeColor="text1"/>
              </w:rPr>
              <w:t>unless clinically inappropriate; and</w:t>
            </w:r>
          </w:p>
          <w:p w:rsidR="005546F0" w:rsidRDefault="005546F0" w:rsidP="000F336E">
            <w:pPr>
              <w:pStyle w:val="Tabletext"/>
              <w:rPr>
                <w:color w:val="000000" w:themeColor="text1"/>
              </w:rPr>
            </w:pPr>
            <w:r w:rsidRPr="008C6D7F">
              <w:rPr>
                <w:color w:val="000000" w:themeColor="text1"/>
              </w:rPr>
              <w:t xml:space="preserve">(c) </w:t>
            </w:r>
            <w:r>
              <w:rPr>
                <w:color w:val="000000" w:themeColor="text1"/>
              </w:rPr>
              <w:t xml:space="preserve">a completed </w:t>
            </w:r>
            <w:r w:rsidRPr="002E5D02">
              <w:rPr>
                <w:strike/>
                <w:color w:val="000000" w:themeColor="text1"/>
              </w:rPr>
              <w:t>SELENA-</w:t>
            </w:r>
            <w:r w:rsidRPr="008C6D7F">
              <w:rPr>
                <w:color w:val="000000" w:themeColor="text1"/>
              </w:rPr>
              <w:t>SLEDAI</w:t>
            </w:r>
            <w:r w:rsidR="002E5D02">
              <w:rPr>
                <w:i/>
                <w:color w:val="000000" w:themeColor="text1"/>
              </w:rPr>
              <w:t>-2K</w:t>
            </w:r>
            <w:r w:rsidRPr="008C6D7F">
              <w:rPr>
                <w:color w:val="000000" w:themeColor="text1"/>
              </w:rPr>
              <w:t xml:space="preserve"> score</w:t>
            </w:r>
            <w:r>
              <w:rPr>
                <w:color w:val="000000" w:themeColor="text1"/>
              </w:rPr>
              <w:t xml:space="preserve"> sheet, </w:t>
            </w:r>
            <w:r w:rsidRPr="008C6D7F">
              <w:rPr>
                <w:color w:val="000000" w:themeColor="text1"/>
              </w:rPr>
              <w:t>including the date of assessment</w:t>
            </w:r>
            <w:r>
              <w:rPr>
                <w:color w:val="000000" w:themeColor="text1"/>
              </w:rPr>
              <w:t>, and</w:t>
            </w:r>
          </w:p>
          <w:p w:rsidR="005546F0" w:rsidRDefault="005546F0" w:rsidP="000F336E">
            <w:pPr>
              <w:pStyle w:val="Tabletext"/>
              <w:pBdr>
                <w:bottom w:val="dashed" w:sz="4" w:space="1" w:color="auto"/>
              </w:pBdr>
              <w:rPr>
                <w:color w:val="000000" w:themeColor="text1"/>
              </w:rPr>
            </w:pPr>
            <w:r w:rsidRPr="008C6D7F">
              <w:rPr>
                <w:color w:val="000000" w:themeColor="text1"/>
              </w:rPr>
              <w:t xml:space="preserve">(d) a copy of the </w:t>
            </w:r>
            <w:r w:rsidR="002E5D02" w:rsidRPr="002E5D02">
              <w:rPr>
                <w:i/>
                <w:color w:val="000000" w:themeColor="text1"/>
              </w:rPr>
              <w:t xml:space="preserve">pathology report showing </w:t>
            </w:r>
            <w:r w:rsidR="002E5D02">
              <w:rPr>
                <w:i/>
                <w:color w:val="000000" w:themeColor="text1"/>
              </w:rPr>
              <w:t xml:space="preserve">low complement (C3, C4) and/or </w:t>
            </w:r>
            <w:r w:rsidRPr="008C6D7F">
              <w:rPr>
                <w:color w:val="000000" w:themeColor="text1"/>
              </w:rPr>
              <w:t xml:space="preserve">anti-dsDNA </w:t>
            </w:r>
            <w:r w:rsidRPr="002E5D02">
              <w:rPr>
                <w:strike/>
                <w:color w:val="000000" w:themeColor="text1"/>
              </w:rPr>
              <w:t>pathology report,</w:t>
            </w:r>
            <w:r w:rsidRPr="008C6D7F">
              <w:rPr>
                <w:color w:val="000000" w:themeColor="text1"/>
              </w:rPr>
              <w:t xml:space="preserve"> including the testing laboratory’s reference range</w:t>
            </w:r>
            <w:r>
              <w:rPr>
                <w:color w:val="000000" w:themeColor="text1"/>
              </w:rPr>
              <w:t>.</w:t>
            </w:r>
          </w:p>
          <w:p w:rsidR="005546F0" w:rsidRDefault="005546F0" w:rsidP="000F336E">
            <w:pPr>
              <w:pStyle w:val="Tabletext"/>
              <w:rPr>
                <w:i/>
                <w:color w:val="000000" w:themeColor="text1"/>
              </w:rPr>
            </w:pPr>
          </w:p>
          <w:p w:rsidR="005546F0" w:rsidRDefault="005546F0" w:rsidP="000F336E">
            <w:pPr>
              <w:pStyle w:val="Tabletext"/>
              <w:pBdr>
                <w:bottom w:val="dashed" w:sz="4" w:space="1" w:color="auto"/>
              </w:pBdr>
              <w:rPr>
                <w:i/>
                <w:color w:val="000000" w:themeColor="text1"/>
              </w:rPr>
            </w:pPr>
            <w:r w:rsidRPr="002C174E">
              <w:rPr>
                <w:i/>
                <w:color w:val="000000" w:themeColor="text1"/>
              </w:rPr>
              <w:t>[13830] The name of the specialist consulted must be provided at the time of application for initial supply.</w:t>
            </w:r>
          </w:p>
          <w:p w:rsidR="005546F0" w:rsidRPr="002C174E" w:rsidRDefault="005546F0" w:rsidP="000F336E">
            <w:pPr>
              <w:pStyle w:val="Tabletext"/>
              <w:rPr>
                <w:i/>
                <w:color w:val="000000" w:themeColor="text1"/>
              </w:rPr>
            </w:pPr>
          </w:p>
          <w:p w:rsidR="005546F0" w:rsidRDefault="005546F0" w:rsidP="000F336E">
            <w:pPr>
              <w:pStyle w:val="Tabletext"/>
              <w:pBdr>
                <w:bottom w:val="dashed" w:sz="4" w:space="1" w:color="auto"/>
              </w:pBdr>
              <w:rPr>
                <w:i/>
                <w:color w:val="000000" w:themeColor="text1"/>
              </w:rPr>
            </w:pPr>
            <w:r w:rsidRPr="002C174E">
              <w:rPr>
                <w:i/>
                <w:color w:val="000000" w:themeColor="text1"/>
              </w:rPr>
              <w:t>[8607] The date of the pathology report and name of the Approved Pathology Authority must be provided at the time of application.</w:t>
            </w:r>
          </w:p>
          <w:p w:rsidR="005546F0" w:rsidRPr="002C174E" w:rsidRDefault="005546F0" w:rsidP="000F336E">
            <w:pPr>
              <w:pStyle w:val="Tabletext"/>
              <w:rPr>
                <w:i/>
                <w:color w:val="000000" w:themeColor="text1"/>
              </w:rPr>
            </w:pPr>
          </w:p>
          <w:p w:rsidR="005546F0" w:rsidRDefault="005546F0" w:rsidP="000F336E">
            <w:pPr>
              <w:pStyle w:val="Tabletext"/>
              <w:pBdr>
                <w:bottom w:val="dashed" w:sz="4" w:space="1" w:color="auto"/>
              </w:pBdr>
              <w:rPr>
                <w:i/>
                <w:color w:val="000000" w:themeColor="text1"/>
              </w:rPr>
            </w:pPr>
            <w:r w:rsidRPr="002C174E">
              <w:rPr>
                <w:i/>
                <w:color w:val="000000" w:themeColor="text1"/>
              </w:rPr>
              <w:t xml:space="preserve">[new concept] History of </w:t>
            </w:r>
            <w:r>
              <w:rPr>
                <w:i/>
                <w:color w:val="000000" w:themeColor="text1"/>
              </w:rPr>
              <w:t>s</w:t>
            </w:r>
            <w:r w:rsidRPr="00F76DBC">
              <w:rPr>
                <w:i/>
                <w:color w:val="000000" w:themeColor="text1"/>
              </w:rPr>
              <w:t xml:space="preserve">ystemic lupus erythematosus </w:t>
            </w:r>
            <w:r w:rsidRPr="002C174E">
              <w:rPr>
                <w:i/>
                <w:color w:val="000000" w:themeColor="text1"/>
              </w:rPr>
              <w:t>medication therapy should be based on documented use of treatment prescribed by a physician.</w:t>
            </w:r>
          </w:p>
          <w:p w:rsidR="005546F0" w:rsidRDefault="005546F0" w:rsidP="000F336E">
            <w:pPr>
              <w:pStyle w:val="Tabletext"/>
              <w:rPr>
                <w:i/>
                <w:color w:val="000000" w:themeColor="text1"/>
              </w:rPr>
            </w:pPr>
          </w:p>
          <w:p w:rsidR="005546F0" w:rsidRPr="00AF42E4" w:rsidRDefault="005546F0" w:rsidP="000F336E">
            <w:pPr>
              <w:pStyle w:val="Tabletext"/>
              <w:pBdr>
                <w:bottom w:val="dashed" w:sz="4" w:space="1" w:color="auto"/>
              </w:pBdr>
              <w:rPr>
                <w:i/>
                <w:color w:val="000000" w:themeColor="text1"/>
              </w:rPr>
            </w:pPr>
            <w:r>
              <w:rPr>
                <w:i/>
                <w:color w:val="000000" w:themeColor="text1"/>
              </w:rPr>
              <w:t xml:space="preserve">[new concept] </w:t>
            </w:r>
            <w:r w:rsidRPr="00AF42E4">
              <w:rPr>
                <w:i/>
                <w:color w:val="000000" w:themeColor="text1"/>
              </w:rPr>
              <w:t>Standard of care</w:t>
            </w:r>
            <w:r>
              <w:rPr>
                <w:i/>
                <w:color w:val="000000" w:themeColor="text1"/>
              </w:rPr>
              <w:t xml:space="preserve"> </w:t>
            </w:r>
            <w:r w:rsidRPr="00AF42E4">
              <w:rPr>
                <w:i/>
                <w:color w:val="000000" w:themeColor="text1"/>
              </w:rPr>
              <w:t xml:space="preserve">for this condition is a combination of an antimalarial medicine, a </w:t>
            </w:r>
            <w:r>
              <w:rPr>
                <w:i/>
                <w:color w:val="000000" w:themeColor="text1"/>
              </w:rPr>
              <w:t>corticosteroid</w:t>
            </w:r>
            <w:r w:rsidRPr="00AF42E4">
              <w:rPr>
                <w:i/>
                <w:color w:val="000000" w:themeColor="text1"/>
              </w:rPr>
              <w:t xml:space="preserve"> (at least 7.5 mg per day prednisolone or equivalent) and a syste</w:t>
            </w:r>
            <w:r>
              <w:rPr>
                <w:i/>
                <w:color w:val="000000" w:themeColor="text1"/>
              </w:rPr>
              <w:t>mic immunosuppressive medicine.</w:t>
            </w:r>
          </w:p>
          <w:p w:rsidR="005546F0" w:rsidRDefault="005546F0" w:rsidP="000F336E">
            <w:pPr>
              <w:pStyle w:val="Tabletext"/>
              <w:pBdr>
                <w:top w:val="dashed" w:sz="4" w:space="1" w:color="auto"/>
                <w:bottom w:val="dashed" w:sz="4" w:space="1" w:color="auto"/>
              </w:pBdr>
              <w:rPr>
                <w:i/>
                <w:color w:val="000000" w:themeColor="text1"/>
              </w:rPr>
            </w:pPr>
          </w:p>
          <w:p w:rsidR="005546F0" w:rsidRPr="00AF42E4" w:rsidRDefault="005546F0" w:rsidP="000F336E">
            <w:pPr>
              <w:pStyle w:val="Tabletext"/>
              <w:pBdr>
                <w:top w:val="dashed" w:sz="4" w:space="1" w:color="auto"/>
                <w:bottom w:val="dashed" w:sz="4" w:space="1" w:color="auto"/>
              </w:pBdr>
              <w:rPr>
                <w:i/>
                <w:color w:val="000000" w:themeColor="text1"/>
              </w:rPr>
            </w:pPr>
            <w:r>
              <w:rPr>
                <w:i/>
                <w:color w:val="000000" w:themeColor="text1"/>
              </w:rPr>
              <w:t xml:space="preserve">[new concept] </w:t>
            </w:r>
            <w:r w:rsidRPr="00AF42E4">
              <w:rPr>
                <w:i/>
                <w:color w:val="000000" w:themeColor="text1"/>
              </w:rPr>
              <w:t xml:space="preserve">Where intolerance to </w:t>
            </w:r>
            <w:r>
              <w:rPr>
                <w:i/>
                <w:color w:val="000000" w:themeColor="text1"/>
              </w:rPr>
              <w:t xml:space="preserve">standard of care </w:t>
            </w:r>
            <w:r w:rsidRPr="00AF42E4">
              <w:rPr>
                <w:i/>
                <w:color w:val="000000" w:themeColor="text1"/>
              </w:rPr>
              <w:t xml:space="preserve">of a severity necessitating permanent treatment withdrawal </w:t>
            </w:r>
            <w:r>
              <w:rPr>
                <w:i/>
                <w:color w:val="000000" w:themeColor="text1"/>
              </w:rPr>
              <w:t xml:space="preserve">has </w:t>
            </w:r>
            <w:r w:rsidRPr="00AF42E4">
              <w:rPr>
                <w:i/>
                <w:color w:val="000000" w:themeColor="text1"/>
              </w:rPr>
              <w:t>occurred</w:t>
            </w:r>
            <w:r>
              <w:rPr>
                <w:i/>
                <w:color w:val="000000" w:themeColor="text1"/>
              </w:rPr>
              <w:t xml:space="preserve"> or is expected to occur</w:t>
            </w:r>
            <w:r w:rsidRPr="00AF42E4">
              <w:rPr>
                <w:i/>
                <w:color w:val="000000" w:themeColor="text1"/>
              </w:rPr>
              <w:t>, details of the degree of this toxicity must be provided at the time of application.</w:t>
            </w:r>
          </w:p>
          <w:p w:rsidR="005546F0" w:rsidRDefault="005546F0" w:rsidP="000F336E">
            <w:pPr>
              <w:pStyle w:val="Tabletext"/>
              <w:rPr>
                <w:i/>
                <w:color w:val="000000" w:themeColor="text1"/>
              </w:rPr>
            </w:pPr>
          </w:p>
          <w:p w:rsidR="005546F0" w:rsidRDefault="005546F0" w:rsidP="000F336E">
            <w:pPr>
              <w:pStyle w:val="Tabletext"/>
              <w:pBdr>
                <w:bottom w:val="dashed" w:sz="4" w:space="1" w:color="auto"/>
              </w:pBdr>
              <w:rPr>
                <w:i/>
                <w:color w:val="000000" w:themeColor="text1"/>
              </w:rPr>
            </w:pPr>
            <w:r>
              <w:rPr>
                <w:i/>
                <w:color w:val="000000" w:themeColor="text1"/>
              </w:rPr>
              <w:t xml:space="preserve">[new concept] </w:t>
            </w:r>
            <w:r w:rsidRPr="00AF42E4">
              <w:rPr>
                <w:i/>
                <w:color w:val="000000" w:themeColor="text1"/>
              </w:rPr>
              <w:t>If treatment with standard of care therapy is contraindicated according to the relevant TGA-approved Product Information, details of the contraindication must be provided at the time of application.</w:t>
            </w:r>
          </w:p>
          <w:p w:rsidR="005546F0" w:rsidRDefault="005546F0" w:rsidP="000F336E">
            <w:pPr>
              <w:pStyle w:val="Tabletext"/>
              <w:rPr>
                <w:i/>
                <w:color w:val="000000" w:themeColor="text1"/>
              </w:rPr>
            </w:pPr>
          </w:p>
          <w:p w:rsidR="005546F0" w:rsidRPr="00362BDB" w:rsidRDefault="005546F0" w:rsidP="000F336E">
            <w:pPr>
              <w:pStyle w:val="Tabletext"/>
              <w:rPr>
                <w:i/>
                <w:color w:val="000000" w:themeColor="text1"/>
              </w:rPr>
            </w:pPr>
            <w:r w:rsidRPr="00F76DBC">
              <w:rPr>
                <w:i/>
                <w:color w:val="000000" w:themeColor="text1"/>
              </w:rPr>
              <w:t>[17036] If fewer than the maximum stated repeats in the relevant treatment phase are requested at the time of the application, authority approvals for sufficient repeats to complete the balance of the stated repeats in the relevant treatment phase may be requested by telephone by contacting the Department of Human Services and applying through the Balance of Supply restriction. Under no circumstances will telephone approvals be granted for treatment that would otherwise extend the relevant treatment phase.</w:t>
            </w:r>
          </w:p>
        </w:tc>
      </w:tr>
      <w:tr w:rsidR="005546F0" w:rsidRPr="008820FC" w:rsidTr="00760256">
        <w:tc>
          <w:tcPr>
            <w:tcW w:w="958" w:type="pct"/>
            <w:shd w:val="clear" w:color="auto" w:fill="auto"/>
          </w:tcPr>
          <w:p w:rsidR="005546F0" w:rsidRPr="00D9226F" w:rsidRDefault="005546F0" w:rsidP="000F336E">
            <w:pPr>
              <w:pStyle w:val="Tabletext"/>
              <w:rPr>
                <w:b/>
                <w:bCs/>
                <w:i/>
              </w:rPr>
            </w:pPr>
            <w:r w:rsidRPr="00D9226F">
              <w:rPr>
                <w:b/>
                <w:bCs/>
                <w:i/>
              </w:rPr>
              <w:t>Administrative advice</w:t>
            </w:r>
          </w:p>
        </w:tc>
        <w:tc>
          <w:tcPr>
            <w:tcW w:w="4042" w:type="pct"/>
          </w:tcPr>
          <w:p w:rsidR="005546F0" w:rsidRPr="00F51367" w:rsidRDefault="005546F0" w:rsidP="000F336E">
            <w:pPr>
              <w:pStyle w:val="Tabletext"/>
              <w:rPr>
                <w:i/>
                <w:color w:val="000000" w:themeColor="text1"/>
                <w:u w:val="single"/>
              </w:rPr>
            </w:pPr>
            <w:r w:rsidRPr="00F51367">
              <w:rPr>
                <w:i/>
                <w:color w:val="000000" w:themeColor="text1"/>
                <w:u w:val="single"/>
              </w:rPr>
              <w:t>Note</w:t>
            </w:r>
          </w:p>
          <w:p w:rsidR="005546F0" w:rsidRPr="00105D15" w:rsidRDefault="005546F0" w:rsidP="000F336E">
            <w:pPr>
              <w:pStyle w:val="Tabletext"/>
              <w:pBdr>
                <w:bottom w:val="dashed" w:sz="4" w:space="1" w:color="auto"/>
              </w:pBdr>
              <w:rPr>
                <w:i/>
                <w:color w:val="000000" w:themeColor="text1"/>
              </w:rPr>
            </w:pPr>
            <w:r w:rsidRPr="00105D15">
              <w:rPr>
                <w:i/>
                <w:color w:val="000000" w:themeColor="text1"/>
              </w:rPr>
              <w:t>[7608] Special Pricing Arrangements apply.</w:t>
            </w:r>
          </w:p>
          <w:p w:rsidR="005546F0" w:rsidRDefault="005546F0" w:rsidP="000F336E">
            <w:pPr>
              <w:pStyle w:val="Tabletext"/>
              <w:rPr>
                <w:color w:val="000000" w:themeColor="text1"/>
                <w:u w:val="single"/>
              </w:rPr>
            </w:pPr>
          </w:p>
          <w:p w:rsidR="005546F0" w:rsidRPr="00105D15" w:rsidRDefault="005546F0" w:rsidP="000F336E">
            <w:pPr>
              <w:pStyle w:val="Tabletext"/>
              <w:rPr>
                <w:i/>
                <w:color w:val="000000" w:themeColor="text1"/>
                <w:u w:val="single"/>
              </w:rPr>
            </w:pPr>
            <w:r w:rsidRPr="00105D15">
              <w:rPr>
                <w:i/>
                <w:color w:val="000000" w:themeColor="text1"/>
                <w:u w:val="single"/>
              </w:rPr>
              <w:t>Note</w:t>
            </w:r>
          </w:p>
          <w:p w:rsidR="005546F0" w:rsidRPr="00D9226F" w:rsidRDefault="005546F0" w:rsidP="000F336E">
            <w:pPr>
              <w:pStyle w:val="Tabletext"/>
              <w:rPr>
                <w:i/>
                <w:color w:val="000000" w:themeColor="text1"/>
              </w:rPr>
            </w:pPr>
            <w:r w:rsidRPr="00F51367">
              <w:rPr>
                <w:i/>
                <w:color w:val="000000" w:themeColor="text1"/>
              </w:rPr>
              <w:t>[7753]</w:t>
            </w:r>
            <w:r w:rsidRPr="00F51367">
              <w:rPr>
                <w:color w:val="000000" w:themeColor="text1"/>
              </w:rPr>
              <w:t xml:space="preserve"> </w:t>
            </w:r>
            <w:r w:rsidRPr="00D9226F">
              <w:rPr>
                <w:i/>
                <w:color w:val="000000" w:themeColor="text1"/>
              </w:rPr>
              <w:t xml:space="preserve">Any queries concerning the arrangements to prescribe may be directed to the Department of Human Services on 1800 700 270 (hours of operation 8 a.m. to 5 p.m. EST Monday to Friday). </w:t>
            </w:r>
          </w:p>
          <w:p w:rsidR="005546F0" w:rsidRPr="00D9226F" w:rsidRDefault="005546F0" w:rsidP="000F336E">
            <w:pPr>
              <w:pStyle w:val="Tabletext"/>
              <w:rPr>
                <w:i/>
                <w:color w:val="000000" w:themeColor="text1"/>
              </w:rPr>
            </w:pPr>
            <w:r w:rsidRPr="00D9226F">
              <w:rPr>
                <w:i/>
                <w:color w:val="000000" w:themeColor="text1"/>
              </w:rPr>
              <w:t>Prescribing information (including Authority Application forms and other relevant documentation as applicable) is available on the Departme</w:t>
            </w:r>
            <w:r>
              <w:rPr>
                <w:i/>
                <w:color w:val="000000" w:themeColor="text1"/>
              </w:rPr>
              <w:t xml:space="preserve">nt of Human Services website at </w:t>
            </w:r>
            <w:r w:rsidRPr="00D9226F">
              <w:rPr>
                <w:i/>
                <w:color w:val="000000" w:themeColor="text1"/>
              </w:rPr>
              <w:t xml:space="preserve">www.humanservices.gov.au </w:t>
            </w:r>
          </w:p>
          <w:p w:rsidR="005546F0" w:rsidRPr="00D9226F" w:rsidRDefault="005546F0" w:rsidP="000F336E">
            <w:pPr>
              <w:pStyle w:val="Tabletext"/>
              <w:rPr>
                <w:i/>
                <w:color w:val="000000" w:themeColor="text1"/>
              </w:rPr>
            </w:pPr>
            <w:r w:rsidRPr="00D9226F">
              <w:rPr>
                <w:i/>
                <w:color w:val="000000" w:themeColor="text1"/>
              </w:rPr>
              <w:t xml:space="preserve">Applications for authority to prescribe should be forwarded to: </w:t>
            </w:r>
          </w:p>
          <w:p w:rsidR="005546F0" w:rsidRPr="00D9226F" w:rsidRDefault="005546F0" w:rsidP="000F336E">
            <w:pPr>
              <w:pStyle w:val="Tabletext"/>
              <w:rPr>
                <w:i/>
                <w:color w:val="000000" w:themeColor="text1"/>
              </w:rPr>
            </w:pPr>
            <w:r w:rsidRPr="00D9226F">
              <w:rPr>
                <w:i/>
                <w:color w:val="000000" w:themeColor="text1"/>
              </w:rPr>
              <w:t>Department of Human Services</w:t>
            </w:r>
          </w:p>
          <w:p w:rsidR="005546F0" w:rsidRPr="00D9226F" w:rsidRDefault="005546F0" w:rsidP="000F336E">
            <w:pPr>
              <w:pStyle w:val="Tabletext"/>
              <w:rPr>
                <w:i/>
                <w:color w:val="000000" w:themeColor="text1"/>
              </w:rPr>
            </w:pPr>
            <w:r w:rsidRPr="00D9226F">
              <w:rPr>
                <w:i/>
                <w:color w:val="000000" w:themeColor="text1"/>
              </w:rPr>
              <w:t xml:space="preserve">Complex Drugs </w:t>
            </w:r>
          </w:p>
          <w:p w:rsidR="005546F0" w:rsidRPr="00D9226F" w:rsidRDefault="005546F0" w:rsidP="000F336E">
            <w:pPr>
              <w:pStyle w:val="Tabletext"/>
              <w:rPr>
                <w:i/>
                <w:color w:val="000000" w:themeColor="text1"/>
              </w:rPr>
            </w:pPr>
            <w:r w:rsidRPr="00D9226F">
              <w:rPr>
                <w:i/>
                <w:color w:val="000000" w:themeColor="text1"/>
              </w:rPr>
              <w:t xml:space="preserve">Reply Paid 9826 </w:t>
            </w:r>
          </w:p>
          <w:p w:rsidR="005546F0" w:rsidRPr="008C6D7F" w:rsidRDefault="005546F0" w:rsidP="000F336E">
            <w:pPr>
              <w:pStyle w:val="Tabletext"/>
              <w:rPr>
                <w:color w:val="000000" w:themeColor="text1"/>
              </w:rPr>
            </w:pPr>
            <w:r w:rsidRPr="00D9226F">
              <w:rPr>
                <w:i/>
                <w:color w:val="000000" w:themeColor="text1"/>
              </w:rPr>
              <w:t>HOBART TAS 7001</w:t>
            </w:r>
            <w:r>
              <w:rPr>
                <w:color w:val="000000" w:themeColor="text1"/>
              </w:rPr>
              <w:t xml:space="preserve"> </w:t>
            </w:r>
          </w:p>
        </w:tc>
      </w:tr>
      <w:tr w:rsidR="005546F0" w:rsidRPr="008820FC" w:rsidTr="00760256">
        <w:tc>
          <w:tcPr>
            <w:tcW w:w="958" w:type="pct"/>
            <w:shd w:val="clear" w:color="auto" w:fill="auto"/>
          </w:tcPr>
          <w:p w:rsidR="005546F0" w:rsidRPr="00A77609" w:rsidRDefault="005546F0" w:rsidP="000F336E">
            <w:pPr>
              <w:pStyle w:val="Tabletext"/>
              <w:rPr>
                <w:b/>
                <w:bCs/>
              </w:rPr>
            </w:pPr>
            <w:r w:rsidRPr="00A77609">
              <w:rPr>
                <w:b/>
                <w:bCs/>
              </w:rPr>
              <w:lastRenderedPageBreak/>
              <w:t>Cautions</w:t>
            </w:r>
          </w:p>
        </w:tc>
        <w:tc>
          <w:tcPr>
            <w:tcW w:w="4042" w:type="pct"/>
          </w:tcPr>
          <w:p w:rsidR="005546F0" w:rsidRPr="00A77609" w:rsidRDefault="005546F0" w:rsidP="000F336E">
            <w:pPr>
              <w:pStyle w:val="Tabletext"/>
              <w:rPr>
                <w:color w:val="000000" w:themeColor="text1"/>
              </w:rPr>
            </w:pPr>
            <w:r w:rsidRPr="00A77609">
              <w:rPr>
                <w:color w:val="000000" w:themeColor="text1"/>
              </w:rPr>
              <w:t xml:space="preserve">It is recommended that the first subcutaneous injection of belimumab </w:t>
            </w:r>
            <w:r w:rsidRPr="00A77609">
              <w:rPr>
                <w:strike/>
                <w:color w:val="000000" w:themeColor="text1"/>
              </w:rPr>
              <w:t>should</w:t>
            </w:r>
            <w:r w:rsidRPr="00A77609">
              <w:rPr>
                <w:color w:val="000000" w:themeColor="text1"/>
              </w:rPr>
              <w:t xml:space="preserve"> be under the supervision of a healthcare professional in a setting that is sufficiently </w:t>
            </w:r>
            <w:r w:rsidRPr="00A77609">
              <w:rPr>
                <w:strike/>
                <w:color w:val="000000" w:themeColor="text1"/>
              </w:rPr>
              <w:t>qualified</w:t>
            </w:r>
            <w:r w:rsidRPr="00A77609">
              <w:rPr>
                <w:color w:val="000000" w:themeColor="text1"/>
              </w:rPr>
              <w:t xml:space="preserve"> </w:t>
            </w:r>
            <w:r w:rsidRPr="00A77609">
              <w:rPr>
                <w:i/>
                <w:color w:val="000000" w:themeColor="text1"/>
              </w:rPr>
              <w:t>equipped</w:t>
            </w:r>
            <w:r>
              <w:rPr>
                <w:color w:val="000000" w:themeColor="text1"/>
              </w:rPr>
              <w:t xml:space="preserve"> </w:t>
            </w:r>
            <w:r w:rsidRPr="00A77609">
              <w:rPr>
                <w:color w:val="000000" w:themeColor="text1"/>
              </w:rPr>
              <w:t>to manage hypersensitivity reactions</w:t>
            </w:r>
            <w:r>
              <w:rPr>
                <w:color w:val="000000" w:themeColor="text1"/>
              </w:rPr>
              <w:t>.</w:t>
            </w:r>
            <w:r w:rsidRPr="00A77609">
              <w:rPr>
                <w:strike/>
                <w:color w:val="000000" w:themeColor="text1"/>
              </w:rPr>
              <w:t>, if necessary</w:t>
            </w:r>
          </w:p>
        </w:tc>
      </w:tr>
    </w:tbl>
    <w:p w:rsidR="005546F0" w:rsidRDefault="005546F0" w:rsidP="005546F0"/>
    <w:tbl>
      <w:tblPr>
        <w:tblW w:w="5000" w:type="pct"/>
        <w:tblLook w:val="0000" w:firstRow="0" w:lastRow="0" w:firstColumn="0" w:lastColumn="0" w:noHBand="0" w:noVBand="0"/>
        <w:tblCaption w:val="requested listing"/>
      </w:tblPr>
      <w:tblGrid>
        <w:gridCol w:w="9027"/>
      </w:tblGrid>
      <w:tr w:rsidR="005546F0" w:rsidRPr="00C254D9" w:rsidTr="000F336E">
        <w:trPr>
          <w:trHeight w:val="360"/>
        </w:trPr>
        <w:tc>
          <w:tcPr>
            <w:tcW w:w="5000" w:type="pct"/>
            <w:tcBorders>
              <w:bottom w:val="single" w:sz="4" w:space="0" w:color="auto"/>
            </w:tcBorders>
          </w:tcPr>
          <w:p w:rsidR="005546F0" w:rsidRDefault="005546F0" w:rsidP="000F336E">
            <w:pPr>
              <w:rPr>
                <w:rFonts w:ascii="Arial Narrow" w:hAnsi="Arial Narrow"/>
                <w:sz w:val="20"/>
                <w:szCs w:val="20"/>
              </w:rPr>
            </w:pPr>
          </w:p>
          <w:tbl>
            <w:tblPr>
              <w:tblW w:w="9179" w:type="dxa"/>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736"/>
              <w:gridCol w:w="992"/>
              <w:gridCol w:w="993"/>
              <w:gridCol w:w="708"/>
              <w:gridCol w:w="1418"/>
              <w:gridCol w:w="1276"/>
              <w:gridCol w:w="2056"/>
            </w:tblGrid>
            <w:tr w:rsidR="005546F0" w:rsidRPr="000416AC" w:rsidTr="0087684F">
              <w:tc>
                <w:tcPr>
                  <w:tcW w:w="1736" w:type="dxa"/>
                </w:tcPr>
                <w:p w:rsidR="005546F0" w:rsidRPr="000416AC" w:rsidRDefault="005546F0" w:rsidP="005546F0">
                  <w:pPr>
                    <w:pStyle w:val="Tabletext"/>
                    <w:rPr>
                      <w:b/>
                      <w:bCs/>
                    </w:rPr>
                  </w:pPr>
                  <w:r w:rsidRPr="000416AC">
                    <w:rPr>
                      <w:b/>
                    </w:rPr>
                    <w:t>Name, restriction, manner of administration, form</w:t>
                  </w:r>
                </w:p>
              </w:tc>
              <w:tc>
                <w:tcPr>
                  <w:tcW w:w="992" w:type="dxa"/>
                </w:tcPr>
                <w:p w:rsidR="005546F0" w:rsidRPr="000416AC" w:rsidRDefault="005546F0" w:rsidP="005546F0">
                  <w:pPr>
                    <w:pStyle w:val="Tabletext"/>
                    <w:jc w:val="center"/>
                    <w:rPr>
                      <w:b/>
                      <w:bCs/>
                    </w:rPr>
                  </w:pPr>
                  <w:r w:rsidRPr="000416AC">
                    <w:rPr>
                      <w:b/>
                    </w:rPr>
                    <w:t>Maximum quantity (packs)</w:t>
                  </w:r>
                </w:p>
              </w:tc>
              <w:tc>
                <w:tcPr>
                  <w:tcW w:w="993" w:type="dxa"/>
                </w:tcPr>
                <w:p w:rsidR="005546F0" w:rsidRPr="000416AC" w:rsidRDefault="005546F0" w:rsidP="005546F0">
                  <w:pPr>
                    <w:pStyle w:val="Tabletext"/>
                    <w:jc w:val="center"/>
                    <w:rPr>
                      <w:b/>
                      <w:bCs/>
                    </w:rPr>
                  </w:pPr>
                  <w:r w:rsidRPr="000416AC">
                    <w:rPr>
                      <w:b/>
                    </w:rPr>
                    <w:t>Maximum quantity (units)</w:t>
                  </w:r>
                </w:p>
              </w:tc>
              <w:tc>
                <w:tcPr>
                  <w:tcW w:w="708" w:type="dxa"/>
                </w:tcPr>
                <w:p w:rsidR="005546F0" w:rsidRPr="000416AC" w:rsidRDefault="005546F0" w:rsidP="005546F0">
                  <w:pPr>
                    <w:pStyle w:val="Tabletext"/>
                    <w:rPr>
                      <w:b/>
                      <w:bCs/>
                    </w:rPr>
                  </w:pPr>
                  <w:r w:rsidRPr="000416AC">
                    <w:rPr>
                      <w:b/>
                    </w:rPr>
                    <w:t>No. of repeats</w:t>
                  </w:r>
                </w:p>
              </w:tc>
              <w:tc>
                <w:tcPr>
                  <w:tcW w:w="2694" w:type="dxa"/>
                  <w:gridSpan w:val="2"/>
                </w:tcPr>
                <w:p w:rsidR="005546F0" w:rsidRPr="000416AC" w:rsidRDefault="005546F0" w:rsidP="005546F0">
                  <w:pPr>
                    <w:pStyle w:val="Tabletext"/>
                    <w:rPr>
                      <w:b/>
                      <w:bCs/>
                    </w:rPr>
                  </w:pPr>
                  <w:r w:rsidRPr="000416AC">
                    <w:rPr>
                      <w:b/>
                    </w:rPr>
                    <w:t>Dispensed price for maximum quantity</w:t>
                  </w:r>
                </w:p>
              </w:tc>
              <w:tc>
                <w:tcPr>
                  <w:tcW w:w="2056" w:type="dxa"/>
                </w:tcPr>
                <w:p w:rsidR="005546F0" w:rsidRPr="000416AC" w:rsidRDefault="005546F0" w:rsidP="005546F0">
                  <w:pPr>
                    <w:pStyle w:val="Tabletext"/>
                    <w:rPr>
                      <w:b/>
                      <w:bCs/>
                    </w:rPr>
                  </w:pPr>
                  <w:r w:rsidRPr="000416AC">
                    <w:rPr>
                      <w:b/>
                    </w:rPr>
                    <w:t>Proprietary name and manufacturer</w:t>
                  </w:r>
                </w:p>
              </w:tc>
            </w:tr>
            <w:tr w:rsidR="005546F0" w:rsidRPr="005546F0" w:rsidTr="0087684F">
              <w:tc>
                <w:tcPr>
                  <w:tcW w:w="1736" w:type="dxa"/>
                </w:tcPr>
                <w:p w:rsidR="005546F0" w:rsidRPr="005546F0" w:rsidRDefault="005546F0" w:rsidP="005546F0">
                  <w:pPr>
                    <w:pStyle w:val="Tabletext"/>
                  </w:pPr>
                  <w:r w:rsidRPr="005546F0">
                    <w:t>BELIMUMAB</w:t>
                  </w:r>
                </w:p>
                <w:p w:rsidR="0087684F" w:rsidRDefault="005546F0" w:rsidP="005546F0">
                  <w:pPr>
                    <w:pStyle w:val="Tabletext"/>
                  </w:pPr>
                  <w:r w:rsidRPr="005546F0">
                    <w:t xml:space="preserve">Single dose pre-filled pen (autoinjector) </w:t>
                  </w:r>
                </w:p>
                <w:p w:rsidR="005546F0" w:rsidRPr="005546F0" w:rsidRDefault="005546F0" w:rsidP="005546F0">
                  <w:pPr>
                    <w:pStyle w:val="Tabletext"/>
                    <w:rPr>
                      <w:b/>
                      <w:bCs/>
                    </w:rPr>
                  </w:pPr>
                  <w:r w:rsidRPr="005546F0">
                    <w:t>200 mg</w:t>
                  </w:r>
                </w:p>
              </w:tc>
              <w:tc>
                <w:tcPr>
                  <w:tcW w:w="992" w:type="dxa"/>
                  <w:vAlign w:val="center"/>
                </w:tcPr>
                <w:p w:rsidR="005546F0" w:rsidRPr="005546F0" w:rsidRDefault="005546F0" w:rsidP="005546F0">
                  <w:pPr>
                    <w:pStyle w:val="Tabletext"/>
                    <w:jc w:val="center"/>
                    <w:rPr>
                      <w:rFonts w:ascii="Times" w:hAnsi="Times"/>
                    </w:rPr>
                  </w:pPr>
                  <w:r w:rsidRPr="005546F0">
                    <w:t>1</w:t>
                  </w:r>
                </w:p>
              </w:tc>
              <w:tc>
                <w:tcPr>
                  <w:tcW w:w="993" w:type="dxa"/>
                  <w:vAlign w:val="center"/>
                </w:tcPr>
                <w:p w:rsidR="005546F0" w:rsidRPr="005546F0" w:rsidRDefault="005546F0" w:rsidP="005546F0">
                  <w:pPr>
                    <w:pStyle w:val="Tabletext"/>
                    <w:jc w:val="center"/>
                    <w:rPr>
                      <w:rFonts w:ascii="Times" w:hAnsi="Times"/>
                    </w:rPr>
                  </w:pPr>
                  <w:r w:rsidRPr="005546F0">
                    <w:t>4</w:t>
                  </w:r>
                </w:p>
              </w:tc>
              <w:tc>
                <w:tcPr>
                  <w:tcW w:w="708" w:type="dxa"/>
                  <w:vAlign w:val="center"/>
                </w:tcPr>
                <w:p w:rsidR="005546F0" w:rsidRPr="005546F0" w:rsidRDefault="005546F0" w:rsidP="005546F0">
                  <w:pPr>
                    <w:pStyle w:val="Tabletext"/>
                    <w:jc w:val="center"/>
                  </w:pPr>
                </w:p>
                <w:p w:rsidR="005546F0" w:rsidRPr="005546F0" w:rsidRDefault="005546F0" w:rsidP="005546F0">
                  <w:pPr>
                    <w:pStyle w:val="Tabletext"/>
                    <w:jc w:val="center"/>
                  </w:pPr>
                  <w:r w:rsidRPr="005546F0">
                    <w:t>5</w:t>
                  </w:r>
                </w:p>
                <w:p w:rsidR="005546F0" w:rsidRPr="005546F0" w:rsidRDefault="005546F0" w:rsidP="005546F0">
                  <w:pPr>
                    <w:pStyle w:val="Tabletext"/>
                    <w:jc w:val="center"/>
                    <w:rPr>
                      <w:rFonts w:ascii="Times" w:hAnsi="Times"/>
                    </w:rPr>
                  </w:pPr>
                </w:p>
              </w:tc>
              <w:tc>
                <w:tcPr>
                  <w:tcW w:w="1418" w:type="dxa"/>
                </w:tcPr>
                <w:p w:rsidR="005546F0" w:rsidRPr="005546F0" w:rsidRDefault="005546F0" w:rsidP="005546F0">
                  <w:pPr>
                    <w:pStyle w:val="Tabletext"/>
                    <w:rPr>
                      <w:bCs/>
                      <w:u w:val="single"/>
                    </w:rPr>
                  </w:pPr>
                  <w:r w:rsidRPr="005546F0">
                    <w:rPr>
                      <w:bCs/>
                      <w:u w:val="single"/>
                    </w:rPr>
                    <w:t>Published:</w:t>
                  </w:r>
                </w:p>
                <w:p w:rsidR="005546F0" w:rsidRPr="005546F0" w:rsidRDefault="005546F0" w:rsidP="005546F0">
                  <w:pPr>
                    <w:pStyle w:val="Tabletext"/>
                    <w:rPr>
                      <w:bCs/>
                    </w:rPr>
                  </w:pPr>
                  <w:r w:rsidRPr="005546F0">
                    <w:rPr>
                      <w:bCs/>
                    </w:rPr>
                    <w:t>Public: $1,400.00</w:t>
                  </w:r>
                </w:p>
                <w:p w:rsidR="005546F0" w:rsidRPr="005546F0" w:rsidRDefault="005546F0" w:rsidP="005546F0">
                  <w:pPr>
                    <w:pStyle w:val="Tabletext"/>
                    <w:rPr>
                      <w:bCs/>
                    </w:rPr>
                  </w:pPr>
                  <w:r w:rsidRPr="005546F0">
                    <w:rPr>
                      <w:bCs/>
                    </w:rPr>
                    <w:t>Private: $1,447.39</w:t>
                  </w:r>
                </w:p>
              </w:tc>
              <w:tc>
                <w:tcPr>
                  <w:tcW w:w="1276" w:type="dxa"/>
                </w:tcPr>
                <w:p w:rsidR="005546F0" w:rsidRPr="005546F0" w:rsidRDefault="005546F0" w:rsidP="005546F0">
                  <w:pPr>
                    <w:pStyle w:val="Tabletext"/>
                    <w:rPr>
                      <w:bCs/>
                    </w:rPr>
                  </w:pPr>
                  <w:r w:rsidRPr="005546F0">
                    <w:rPr>
                      <w:bCs/>
                      <w:u w:val="single"/>
                    </w:rPr>
                    <w:t>Effective</w:t>
                  </w:r>
                  <w:r w:rsidRPr="005546F0">
                    <w:rPr>
                      <w:bCs/>
                    </w:rPr>
                    <w:t>:</w:t>
                  </w:r>
                </w:p>
                <w:p w:rsidR="005546F0" w:rsidRPr="005546F0" w:rsidRDefault="005546F0" w:rsidP="005546F0">
                  <w:pPr>
                    <w:pStyle w:val="Tabletext"/>
                    <w:rPr>
                      <w:bCs/>
                    </w:rPr>
                  </w:pPr>
                  <w:r w:rsidRPr="005546F0">
                    <w:rPr>
                      <w:bCs/>
                    </w:rPr>
                    <w:t>Public: $</w:t>
                  </w:r>
                  <w:r w:rsidR="006D6DCE">
                    <w:rPr>
                      <w:bCs/>
                      <w:noProof/>
                      <w:color w:val="000000"/>
                      <w:highlight w:val="black"/>
                    </w:rPr>
                    <w:t>'''''''''''''''</w:t>
                  </w:r>
                </w:p>
                <w:p w:rsidR="005546F0" w:rsidRPr="005546F0" w:rsidRDefault="005546F0" w:rsidP="005546F0">
                  <w:pPr>
                    <w:pStyle w:val="Tabletext"/>
                    <w:rPr>
                      <w:rFonts w:ascii="Times" w:hAnsi="Times"/>
                    </w:rPr>
                  </w:pPr>
                  <w:r w:rsidRPr="005546F0">
                    <w:rPr>
                      <w:bCs/>
                    </w:rPr>
                    <w:t>Private: $</w:t>
                  </w:r>
                  <w:r w:rsidR="006D6DCE">
                    <w:rPr>
                      <w:bCs/>
                      <w:noProof/>
                      <w:color w:val="000000"/>
                      <w:highlight w:val="black"/>
                    </w:rPr>
                    <w:t>'''''''''''''''</w:t>
                  </w:r>
                </w:p>
              </w:tc>
              <w:tc>
                <w:tcPr>
                  <w:tcW w:w="2056" w:type="dxa"/>
                  <w:vAlign w:val="center"/>
                </w:tcPr>
                <w:p w:rsidR="005546F0" w:rsidRPr="005546F0" w:rsidRDefault="005546F0" w:rsidP="0087684F">
                  <w:pPr>
                    <w:pStyle w:val="Tabletext"/>
                    <w:rPr>
                      <w:bCs/>
                    </w:rPr>
                  </w:pPr>
                  <w:r w:rsidRPr="005546F0">
                    <w:rPr>
                      <w:bCs/>
                    </w:rPr>
                    <w:t>BENLYSTA® SC</w:t>
                  </w:r>
                </w:p>
                <w:p w:rsidR="005546F0" w:rsidRPr="005546F0" w:rsidRDefault="005546F0" w:rsidP="0087684F">
                  <w:pPr>
                    <w:pStyle w:val="Tabletext"/>
                    <w:rPr>
                      <w:rFonts w:ascii="Times" w:hAnsi="Times"/>
                    </w:rPr>
                  </w:pPr>
                  <w:r w:rsidRPr="005546F0">
                    <w:rPr>
                      <w:bCs/>
                    </w:rPr>
                    <w:t>GlaxoSmithKline</w:t>
                  </w:r>
                </w:p>
              </w:tc>
            </w:tr>
          </w:tbl>
          <w:p w:rsidR="005546F0" w:rsidRPr="00C254D9" w:rsidRDefault="005546F0" w:rsidP="000F336E">
            <w:pPr>
              <w:rPr>
                <w:rFonts w:ascii="Arial Narrow" w:hAnsi="Arial Narrow"/>
                <w:sz w:val="20"/>
                <w:szCs w:val="20"/>
              </w:rPr>
            </w:pPr>
          </w:p>
        </w:tc>
      </w:tr>
    </w:tbl>
    <w:tbl>
      <w:tblPr>
        <w:tblStyle w:val="TableGrid"/>
        <w:tblW w:w="5000" w:type="pct"/>
        <w:tblLook w:val="04A0" w:firstRow="1" w:lastRow="0" w:firstColumn="1" w:lastColumn="0" w:noHBand="0" w:noVBand="1"/>
        <w:tblCaption w:val="requested listing"/>
      </w:tblPr>
      <w:tblGrid>
        <w:gridCol w:w="1728"/>
        <w:gridCol w:w="7289"/>
      </w:tblGrid>
      <w:tr w:rsidR="005546F0" w:rsidRPr="008820FC" w:rsidTr="00247046">
        <w:trPr>
          <w:tblHeader/>
        </w:trPr>
        <w:tc>
          <w:tcPr>
            <w:tcW w:w="958" w:type="pct"/>
            <w:shd w:val="clear" w:color="auto" w:fill="auto"/>
          </w:tcPr>
          <w:p w:rsidR="005546F0" w:rsidRPr="00DA3DE1" w:rsidRDefault="005546F0" w:rsidP="000F336E">
            <w:pPr>
              <w:pStyle w:val="Tabletext"/>
              <w:rPr>
                <w:b/>
                <w:bCs/>
                <w:szCs w:val="20"/>
              </w:rPr>
            </w:pPr>
            <w:r w:rsidRPr="00DA3DE1">
              <w:rPr>
                <w:b/>
                <w:bCs/>
                <w:szCs w:val="20"/>
              </w:rPr>
              <w:t>Category/program</w:t>
            </w:r>
          </w:p>
        </w:tc>
        <w:tc>
          <w:tcPr>
            <w:tcW w:w="4042" w:type="pct"/>
          </w:tcPr>
          <w:p w:rsidR="005546F0" w:rsidRPr="00DA3DE1" w:rsidRDefault="005546F0" w:rsidP="000F336E">
            <w:pPr>
              <w:pStyle w:val="Tabletext"/>
              <w:rPr>
                <w:szCs w:val="20"/>
              </w:rPr>
            </w:pPr>
            <w:r w:rsidRPr="00DA3DE1">
              <w:rPr>
                <w:szCs w:val="20"/>
              </w:rPr>
              <w:t>GENERAL - General Schedule (Code GE)</w:t>
            </w:r>
          </w:p>
        </w:tc>
      </w:tr>
      <w:tr w:rsidR="005546F0" w:rsidRPr="008820FC" w:rsidTr="000F336E">
        <w:tc>
          <w:tcPr>
            <w:tcW w:w="958" w:type="pct"/>
            <w:tcBorders>
              <w:top w:val="single" w:sz="4" w:space="0" w:color="auto"/>
              <w:left w:val="single" w:sz="4" w:space="0" w:color="auto"/>
              <w:bottom w:val="single" w:sz="4" w:space="0" w:color="auto"/>
              <w:right w:val="single" w:sz="4" w:space="0" w:color="auto"/>
            </w:tcBorders>
          </w:tcPr>
          <w:p w:rsidR="005546F0" w:rsidRPr="00DA3DE1" w:rsidRDefault="005546F0" w:rsidP="000F336E">
            <w:pPr>
              <w:rPr>
                <w:rFonts w:ascii="Arial Narrow" w:hAnsi="Arial Narrow"/>
                <w:b/>
                <w:i/>
                <w:sz w:val="20"/>
                <w:szCs w:val="20"/>
              </w:rPr>
            </w:pPr>
            <w:r w:rsidRPr="00DA3DE1">
              <w:rPr>
                <w:rFonts w:ascii="Arial Narrow" w:hAnsi="Arial Narrow"/>
                <w:b/>
                <w:i/>
                <w:sz w:val="20"/>
                <w:szCs w:val="20"/>
              </w:rPr>
              <w:t>Prescriber type:</w:t>
            </w:r>
          </w:p>
        </w:tc>
        <w:tc>
          <w:tcPr>
            <w:tcW w:w="4042" w:type="pct"/>
            <w:tcBorders>
              <w:top w:val="single" w:sz="4" w:space="0" w:color="auto"/>
              <w:left w:val="single" w:sz="4" w:space="0" w:color="auto"/>
              <w:bottom w:val="single" w:sz="4" w:space="0" w:color="auto"/>
              <w:right w:val="single" w:sz="4" w:space="0" w:color="auto"/>
            </w:tcBorders>
          </w:tcPr>
          <w:p w:rsidR="005546F0" w:rsidRPr="00DA3DE1" w:rsidRDefault="005546F0" w:rsidP="000F336E">
            <w:pPr>
              <w:rPr>
                <w:rFonts w:ascii="Arial Narrow" w:hAnsi="Arial Narrow"/>
                <w:i/>
                <w:sz w:val="20"/>
                <w:szCs w:val="20"/>
              </w:rPr>
            </w:pPr>
            <w:r w:rsidRPr="00DA3DE1">
              <w:rPr>
                <w:rFonts w:ascii="Arial Narrow" w:hAnsi="Arial Narrow"/>
                <w:i/>
                <w:sz w:val="20"/>
                <w:szCs w:val="20"/>
              </w:rPr>
              <w:fldChar w:fldCharType="begin">
                <w:ffData>
                  <w:name w:val="Check1"/>
                  <w:enabled/>
                  <w:calcOnExit w:val="0"/>
                  <w:checkBox>
                    <w:sizeAuto/>
                    <w:default w:val="0"/>
                  </w:checkBox>
                </w:ffData>
              </w:fldChar>
            </w:r>
            <w:r w:rsidRPr="00DA3DE1">
              <w:rPr>
                <w:rFonts w:ascii="Arial Narrow" w:hAnsi="Arial Narrow"/>
                <w:i/>
                <w:sz w:val="20"/>
                <w:szCs w:val="20"/>
              </w:rPr>
              <w:instrText xml:space="preserve"> FORMCHECKBOX </w:instrText>
            </w:r>
            <w:r w:rsidR="00EE1F1C">
              <w:rPr>
                <w:rFonts w:ascii="Arial Narrow" w:hAnsi="Arial Narrow"/>
                <w:i/>
                <w:sz w:val="20"/>
                <w:szCs w:val="20"/>
              </w:rPr>
            </w:r>
            <w:r w:rsidR="00EE1F1C">
              <w:rPr>
                <w:rFonts w:ascii="Arial Narrow" w:hAnsi="Arial Narrow"/>
                <w:i/>
                <w:sz w:val="20"/>
                <w:szCs w:val="20"/>
              </w:rPr>
              <w:fldChar w:fldCharType="separate"/>
            </w:r>
            <w:r w:rsidRPr="00DA3DE1">
              <w:rPr>
                <w:rFonts w:ascii="Arial Narrow" w:hAnsi="Arial Narrow"/>
                <w:i/>
                <w:sz w:val="20"/>
                <w:szCs w:val="20"/>
              </w:rPr>
              <w:fldChar w:fldCharType="end"/>
            </w:r>
            <w:r w:rsidRPr="00DA3DE1">
              <w:rPr>
                <w:rFonts w:ascii="Arial Narrow" w:hAnsi="Arial Narrow"/>
                <w:i/>
                <w:sz w:val="20"/>
                <w:szCs w:val="20"/>
              </w:rPr>
              <w:t xml:space="preserve">Dental  </w:t>
            </w:r>
            <w:r w:rsidRPr="00DA3DE1">
              <w:rPr>
                <w:rFonts w:ascii="Arial Narrow" w:hAnsi="Arial Narrow"/>
                <w:i/>
                <w:sz w:val="20"/>
                <w:szCs w:val="20"/>
              </w:rPr>
              <w:fldChar w:fldCharType="begin">
                <w:ffData>
                  <w:name w:val=""/>
                  <w:enabled/>
                  <w:calcOnExit w:val="0"/>
                  <w:checkBox>
                    <w:sizeAuto/>
                    <w:default w:val="1"/>
                  </w:checkBox>
                </w:ffData>
              </w:fldChar>
            </w:r>
            <w:r w:rsidRPr="00DA3DE1">
              <w:rPr>
                <w:rFonts w:ascii="Arial Narrow" w:hAnsi="Arial Narrow"/>
                <w:i/>
                <w:sz w:val="20"/>
                <w:szCs w:val="20"/>
              </w:rPr>
              <w:instrText xml:space="preserve"> FORMCHECKBOX </w:instrText>
            </w:r>
            <w:r w:rsidR="00EE1F1C">
              <w:rPr>
                <w:rFonts w:ascii="Arial Narrow" w:hAnsi="Arial Narrow"/>
                <w:i/>
                <w:sz w:val="20"/>
                <w:szCs w:val="20"/>
              </w:rPr>
            </w:r>
            <w:r w:rsidR="00EE1F1C">
              <w:rPr>
                <w:rFonts w:ascii="Arial Narrow" w:hAnsi="Arial Narrow"/>
                <w:i/>
                <w:sz w:val="20"/>
                <w:szCs w:val="20"/>
              </w:rPr>
              <w:fldChar w:fldCharType="separate"/>
            </w:r>
            <w:r w:rsidRPr="00DA3DE1">
              <w:rPr>
                <w:rFonts w:ascii="Arial Narrow" w:hAnsi="Arial Narrow"/>
                <w:i/>
                <w:sz w:val="20"/>
                <w:szCs w:val="20"/>
              </w:rPr>
              <w:fldChar w:fldCharType="end"/>
            </w:r>
            <w:r w:rsidRPr="00DA3DE1">
              <w:rPr>
                <w:rFonts w:ascii="Arial Narrow" w:hAnsi="Arial Narrow"/>
                <w:i/>
                <w:sz w:val="20"/>
                <w:szCs w:val="20"/>
              </w:rPr>
              <w:t xml:space="preserve">Medical Practitioners  </w:t>
            </w:r>
            <w:r w:rsidRPr="00DA3DE1">
              <w:rPr>
                <w:rFonts w:ascii="Arial Narrow" w:hAnsi="Arial Narrow"/>
                <w:i/>
                <w:sz w:val="20"/>
                <w:szCs w:val="20"/>
              </w:rPr>
              <w:fldChar w:fldCharType="begin">
                <w:ffData>
                  <w:name w:val="Check3"/>
                  <w:enabled/>
                  <w:calcOnExit w:val="0"/>
                  <w:checkBox>
                    <w:sizeAuto/>
                    <w:default w:val="0"/>
                  </w:checkBox>
                </w:ffData>
              </w:fldChar>
            </w:r>
            <w:r w:rsidRPr="00DA3DE1">
              <w:rPr>
                <w:rFonts w:ascii="Arial Narrow" w:hAnsi="Arial Narrow"/>
                <w:i/>
                <w:sz w:val="20"/>
                <w:szCs w:val="20"/>
              </w:rPr>
              <w:instrText xml:space="preserve"> FORMCHECKBOX </w:instrText>
            </w:r>
            <w:r w:rsidR="00EE1F1C">
              <w:rPr>
                <w:rFonts w:ascii="Arial Narrow" w:hAnsi="Arial Narrow"/>
                <w:i/>
                <w:sz w:val="20"/>
                <w:szCs w:val="20"/>
              </w:rPr>
            </w:r>
            <w:r w:rsidR="00EE1F1C">
              <w:rPr>
                <w:rFonts w:ascii="Arial Narrow" w:hAnsi="Arial Narrow"/>
                <w:i/>
                <w:sz w:val="20"/>
                <w:szCs w:val="20"/>
              </w:rPr>
              <w:fldChar w:fldCharType="separate"/>
            </w:r>
            <w:r w:rsidRPr="00DA3DE1">
              <w:rPr>
                <w:rFonts w:ascii="Arial Narrow" w:hAnsi="Arial Narrow"/>
                <w:i/>
                <w:sz w:val="20"/>
                <w:szCs w:val="20"/>
              </w:rPr>
              <w:fldChar w:fldCharType="end"/>
            </w:r>
            <w:r w:rsidRPr="00DA3DE1">
              <w:rPr>
                <w:rFonts w:ascii="Arial Narrow" w:hAnsi="Arial Narrow"/>
                <w:i/>
                <w:sz w:val="20"/>
                <w:szCs w:val="20"/>
              </w:rPr>
              <w:t xml:space="preserve">Nurse practitioners  </w:t>
            </w:r>
            <w:r w:rsidRPr="00DA3DE1">
              <w:rPr>
                <w:rFonts w:ascii="Arial Narrow" w:hAnsi="Arial Narrow"/>
                <w:i/>
                <w:sz w:val="20"/>
                <w:szCs w:val="20"/>
              </w:rPr>
              <w:fldChar w:fldCharType="begin">
                <w:ffData>
                  <w:name w:val=""/>
                  <w:enabled/>
                  <w:calcOnExit w:val="0"/>
                  <w:checkBox>
                    <w:sizeAuto/>
                    <w:default w:val="0"/>
                  </w:checkBox>
                </w:ffData>
              </w:fldChar>
            </w:r>
            <w:r w:rsidRPr="00DA3DE1">
              <w:rPr>
                <w:rFonts w:ascii="Arial Narrow" w:hAnsi="Arial Narrow"/>
                <w:i/>
                <w:sz w:val="20"/>
                <w:szCs w:val="20"/>
              </w:rPr>
              <w:instrText xml:space="preserve"> FORMCHECKBOX </w:instrText>
            </w:r>
            <w:r w:rsidR="00EE1F1C">
              <w:rPr>
                <w:rFonts w:ascii="Arial Narrow" w:hAnsi="Arial Narrow"/>
                <w:i/>
                <w:sz w:val="20"/>
                <w:szCs w:val="20"/>
              </w:rPr>
            </w:r>
            <w:r w:rsidR="00EE1F1C">
              <w:rPr>
                <w:rFonts w:ascii="Arial Narrow" w:hAnsi="Arial Narrow"/>
                <w:i/>
                <w:sz w:val="20"/>
                <w:szCs w:val="20"/>
              </w:rPr>
              <w:fldChar w:fldCharType="separate"/>
            </w:r>
            <w:r w:rsidRPr="00DA3DE1">
              <w:rPr>
                <w:rFonts w:ascii="Arial Narrow" w:hAnsi="Arial Narrow"/>
                <w:i/>
                <w:sz w:val="20"/>
                <w:szCs w:val="20"/>
              </w:rPr>
              <w:fldChar w:fldCharType="end"/>
            </w:r>
            <w:r w:rsidRPr="00DA3DE1">
              <w:rPr>
                <w:rFonts w:ascii="Arial Narrow" w:hAnsi="Arial Narrow"/>
                <w:i/>
                <w:sz w:val="20"/>
                <w:szCs w:val="20"/>
              </w:rPr>
              <w:t xml:space="preserve">Optometrists  </w:t>
            </w:r>
            <w:r w:rsidRPr="00DA3DE1">
              <w:rPr>
                <w:rFonts w:ascii="Arial Narrow" w:hAnsi="Arial Narrow"/>
                <w:i/>
                <w:sz w:val="20"/>
                <w:szCs w:val="20"/>
              </w:rPr>
              <w:fldChar w:fldCharType="begin">
                <w:ffData>
                  <w:name w:val="Check5"/>
                  <w:enabled/>
                  <w:calcOnExit w:val="0"/>
                  <w:checkBox>
                    <w:sizeAuto/>
                    <w:default w:val="0"/>
                  </w:checkBox>
                </w:ffData>
              </w:fldChar>
            </w:r>
            <w:r w:rsidRPr="00DA3DE1">
              <w:rPr>
                <w:rFonts w:ascii="Arial Narrow" w:hAnsi="Arial Narrow"/>
                <w:i/>
                <w:sz w:val="20"/>
                <w:szCs w:val="20"/>
              </w:rPr>
              <w:instrText xml:space="preserve"> FORMCHECKBOX </w:instrText>
            </w:r>
            <w:r w:rsidR="00EE1F1C">
              <w:rPr>
                <w:rFonts w:ascii="Arial Narrow" w:hAnsi="Arial Narrow"/>
                <w:i/>
                <w:sz w:val="20"/>
                <w:szCs w:val="20"/>
              </w:rPr>
            </w:r>
            <w:r w:rsidR="00EE1F1C">
              <w:rPr>
                <w:rFonts w:ascii="Arial Narrow" w:hAnsi="Arial Narrow"/>
                <w:i/>
                <w:sz w:val="20"/>
                <w:szCs w:val="20"/>
              </w:rPr>
              <w:fldChar w:fldCharType="separate"/>
            </w:r>
            <w:r w:rsidRPr="00DA3DE1">
              <w:rPr>
                <w:rFonts w:ascii="Arial Narrow" w:hAnsi="Arial Narrow"/>
                <w:i/>
                <w:sz w:val="20"/>
                <w:szCs w:val="20"/>
              </w:rPr>
              <w:fldChar w:fldCharType="end"/>
            </w:r>
            <w:r w:rsidRPr="00DA3DE1">
              <w:rPr>
                <w:rFonts w:ascii="Arial Narrow" w:hAnsi="Arial Narrow"/>
                <w:i/>
                <w:sz w:val="20"/>
                <w:szCs w:val="20"/>
              </w:rPr>
              <w:t>Midwives</w:t>
            </w:r>
          </w:p>
        </w:tc>
      </w:tr>
      <w:tr w:rsidR="005546F0" w:rsidRPr="008820FC" w:rsidTr="000F336E">
        <w:tc>
          <w:tcPr>
            <w:tcW w:w="958" w:type="pct"/>
            <w:shd w:val="clear" w:color="auto" w:fill="auto"/>
          </w:tcPr>
          <w:p w:rsidR="005546F0" w:rsidRPr="00DA3DE1" w:rsidRDefault="005546F0" w:rsidP="000F336E">
            <w:pPr>
              <w:pStyle w:val="Tabletext"/>
              <w:rPr>
                <w:b/>
                <w:bCs/>
                <w:szCs w:val="20"/>
              </w:rPr>
            </w:pPr>
            <w:r w:rsidRPr="00DA3DE1">
              <w:rPr>
                <w:b/>
                <w:bCs/>
                <w:szCs w:val="20"/>
              </w:rPr>
              <w:t>Condition:</w:t>
            </w:r>
          </w:p>
        </w:tc>
        <w:tc>
          <w:tcPr>
            <w:tcW w:w="4042" w:type="pct"/>
          </w:tcPr>
          <w:p w:rsidR="005546F0" w:rsidRPr="00DA3DE1" w:rsidRDefault="005546F0" w:rsidP="000F336E">
            <w:pPr>
              <w:pStyle w:val="Tabletext"/>
              <w:rPr>
                <w:szCs w:val="20"/>
              </w:rPr>
            </w:pPr>
            <w:r w:rsidRPr="00DA3DE1">
              <w:rPr>
                <w:szCs w:val="20"/>
              </w:rPr>
              <w:t xml:space="preserve">Systemic lupus erythematosus </w:t>
            </w:r>
            <w:r w:rsidRPr="00DA3DE1">
              <w:rPr>
                <w:strike/>
                <w:szCs w:val="20"/>
              </w:rPr>
              <w:t>(SLE)</w:t>
            </w:r>
          </w:p>
        </w:tc>
      </w:tr>
      <w:tr w:rsidR="005546F0" w:rsidRPr="008820FC" w:rsidTr="000F336E">
        <w:tc>
          <w:tcPr>
            <w:tcW w:w="958" w:type="pct"/>
            <w:shd w:val="clear" w:color="auto" w:fill="auto"/>
          </w:tcPr>
          <w:p w:rsidR="005546F0" w:rsidRPr="00DA3DE1" w:rsidRDefault="005546F0" w:rsidP="000F336E">
            <w:pPr>
              <w:pStyle w:val="Tabletext"/>
              <w:rPr>
                <w:b/>
                <w:bCs/>
                <w:szCs w:val="20"/>
              </w:rPr>
            </w:pPr>
            <w:r w:rsidRPr="00DA3DE1">
              <w:rPr>
                <w:b/>
                <w:bCs/>
                <w:szCs w:val="20"/>
              </w:rPr>
              <w:t>PBS indication:</w:t>
            </w:r>
          </w:p>
        </w:tc>
        <w:tc>
          <w:tcPr>
            <w:tcW w:w="4042" w:type="pct"/>
          </w:tcPr>
          <w:p w:rsidR="005546F0" w:rsidRPr="00DA3DE1" w:rsidRDefault="005546F0" w:rsidP="000F336E">
            <w:pPr>
              <w:pStyle w:val="Tabletext"/>
              <w:rPr>
                <w:i/>
                <w:szCs w:val="20"/>
              </w:rPr>
            </w:pPr>
            <w:r w:rsidRPr="00DA3DE1">
              <w:rPr>
                <w:strike/>
                <w:szCs w:val="20"/>
              </w:rPr>
              <w:t>Auto-antibody-positive SLE c</w:t>
            </w:r>
            <w:r w:rsidRPr="00DA3DE1">
              <w:rPr>
                <w:szCs w:val="20"/>
              </w:rPr>
              <w:t xml:space="preserve"> </w:t>
            </w:r>
            <w:r w:rsidRPr="00DA3DE1">
              <w:rPr>
                <w:i/>
                <w:szCs w:val="20"/>
              </w:rPr>
              <w:t>Systemic lupus erythematosus</w:t>
            </w:r>
          </w:p>
        </w:tc>
      </w:tr>
      <w:tr w:rsidR="005546F0" w:rsidRPr="008820FC" w:rsidTr="000F336E">
        <w:tc>
          <w:tcPr>
            <w:tcW w:w="958" w:type="pct"/>
            <w:shd w:val="clear" w:color="auto" w:fill="auto"/>
          </w:tcPr>
          <w:p w:rsidR="005546F0" w:rsidRPr="00DA3DE1" w:rsidRDefault="005546F0" w:rsidP="000F336E">
            <w:pPr>
              <w:pStyle w:val="Tabletext"/>
              <w:rPr>
                <w:b/>
                <w:bCs/>
                <w:szCs w:val="20"/>
              </w:rPr>
            </w:pPr>
            <w:r w:rsidRPr="00DA3DE1">
              <w:rPr>
                <w:b/>
                <w:bCs/>
                <w:szCs w:val="20"/>
              </w:rPr>
              <w:t>Treatment phase:</w:t>
            </w:r>
          </w:p>
        </w:tc>
        <w:tc>
          <w:tcPr>
            <w:tcW w:w="4042" w:type="pct"/>
          </w:tcPr>
          <w:p w:rsidR="005546F0" w:rsidRPr="00DA3DE1" w:rsidRDefault="005546F0" w:rsidP="000F336E">
            <w:pPr>
              <w:pStyle w:val="Tabletext"/>
              <w:rPr>
                <w:szCs w:val="20"/>
              </w:rPr>
            </w:pPr>
            <w:r w:rsidRPr="00DA3DE1">
              <w:rPr>
                <w:szCs w:val="20"/>
              </w:rPr>
              <w:t>Continuing</w:t>
            </w:r>
          </w:p>
        </w:tc>
      </w:tr>
      <w:tr w:rsidR="005546F0" w:rsidRPr="008820FC" w:rsidTr="000F336E">
        <w:tc>
          <w:tcPr>
            <w:tcW w:w="958" w:type="pct"/>
            <w:shd w:val="clear" w:color="auto" w:fill="auto"/>
          </w:tcPr>
          <w:p w:rsidR="005546F0" w:rsidRPr="00DA3DE1" w:rsidRDefault="005546F0" w:rsidP="000F336E">
            <w:pPr>
              <w:pStyle w:val="Tabletext"/>
              <w:rPr>
                <w:b/>
                <w:bCs/>
                <w:szCs w:val="20"/>
              </w:rPr>
            </w:pPr>
            <w:r w:rsidRPr="00DA3DE1">
              <w:rPr>
                <w:b/>
                <w:bCs/>
                <w:szCs w:val="20"/>
              </w:rPr>
              <w:t>Restriction:</w:t>
            </w:r>
          </w:p>
        </w:tc>
        <w:tc>
          <w:tcPr>
            <w:tcW w:w="4042" w:type="pct"/>
          </w:tcPr>
          <w:p w:rsidR="005546F0" w:rsidRPr="00DA3DE1" w:rsidRDefault="005546F0" w:rsidP="000F336E">
            <w:pPr>
              <w:pStyle w:val="Tabletext"/>
              <w:rPr>
                <w:szCs w:val="20"/>
              </w:rPr>
            </w:pPr>
            <w:r w:rsidRPr="00DA3DE1">
              <w:rPr>
                <w:szCs w:val="20"/>
              </w:rPr>
              <w:fldChar w:fldCharType="begin">
                <w:ffData>
                  <w:name w:val="Check5"/>
                  <w:enabled/>
                  <w:calcOnExit w:val="0"/>
                  <w:checkBox>
                    <w:sizeAuto/>
                    <w:default w:val="1"/>
                  </w:checkBox>
                </w:ffData>
              </w:fldChar>
            </w:r>
            <w:r w:rsidRPr="00DA3DE1">
              <w:rPr>
                <w:szCs w:val="20"/>
              </w:rPr>
              <w:instrText xml:space="preserve"> FORMCHECKBOX </w:instrText>
            </w:r>
            <w:r w:rsidR="00EE1F1C">
              <w:rPr>
                <w:szCs w:val="20"/>
              </w:rPr>
            </w:r>
            <w:r w:rsidR="00EE1F1C">
              <w:rPr>
                <w:szCs w:val="20"/>
              </w:rPr>
              <w:fldChar w:fldCharType="separate"/>
            </w:r>
            <w:r w:rsidRPr="00DA3DE1">
              <w:rPr>
                <w:szCs w:val="20"/>
              </w:rPr>
              <w:fldChar w:fldCharType="end"/>
            </w:r>
            <w:r w:rsidRPr="00DA3DE1">
              <w:rPr>
                <w:szCs w:val="20"/>
              </w:rPr>
              <w:t xml:space="preserve"> Authority Required – by telephone</w:t>
            </w:r>
          </w:p>
        </w:tc>
      </w:tr>
      <w:tr w:rsidR="005546F0" w:rsidRPr="008820FC" w:rsidTr="000F336E">
        <w:trPr>
          <w:trHeight w:val="417"/>
        </w:trPr>
        <w:tc>
          <w:tcPr>
            <w:tcW w:w="958" w:type="pct"/>
            <w:shd w:val="clear" w:color="auto" w:fill="auto"/>
          </w:tcPr>
          <w:p w:rsidR="005546F0" w:rsidRPr="00DA3DE1" w:rsidRDefault="005546F0" w:rsidP="000F336E">
            <w:pPr>
              <w:pStyle w:val="Tabletext"/>
              <w:rPr>
                <w:b/>
                <w:bCs/>
                <w:szCs w:val="20"/>
              </w:rPr>
            </w:pPr>
            <w:r w:rsidRPr="00DA3DE1">
              <w:rPr>
                <w:b/>
                <w:bCs/>
                <w:szCs w:val="20"/>
              </w:rPr>
              <w:t>Treatment criteria:</w:t>
            </w:r>
          </w:p>
        </w:tc>
        <w:tc>
          <w:tcPr>
            <w:tcW w:w="4042" w:type="pct"/>
          </w:tcPr>
          <w:p w:rsidR="005546F0" w:rsidRPr="00DA3DE1" w:rsidRDefault="005546F0" w:rsidP="000F336E">
            <w:pPr>
              <w:pStyle w:val="Tabletext"/>
              <w:rPr>
                <w:strike/>
                <w:szCs w:val="20"/>
              </w:rPr>
            </w:pPr>
            <w:r w:rsidRPr="00DA3DE1">
              <w:rPr>
                <w:strike/>
                <w:szCs w:val="20"/>
              </w:rPr>
              <w:t>Must be treated by an immunologist or rheumatologist or other specialist physician experienced in the diagnosis and treatment of SLE.</w:t>
            </w:r>
          </w:p>
          <w:p w:rsidR="005546F0" w:rsidRPr="00DA3DE1" w:rsidRDefault="005546F0" w:rsidP="000F336E">
            <w:pPr>
              <w:pStyle w:val="Tabletext"/>
              <w:rPr>
                <w:i/>
                <w:szCs w:val="20"/>
              </w:rPr>
            </w:pPr>
            <w:r w:rsidRPr="00DA3DE1">
              <w:rPr>
                <w:i/>
                <w:szCs w:val="20"/>
              </w:rPr>
              <w:t>13595</w:t>
            </w:r>
          </w:p>
          <w:p w:rsidR="005546F0" w:rsidRPr="00DA3DE1" w:rsidRDefault="005546F0" w:rsidP="000F336E">
            <w:pPr>
              <w:pStyle w:val="Tabletext"/>
              <w:rPr>
                <w:i/>
                <w:szCs w:val="20"/>
              </w:rPr>
            </w:pPr>
            <w:r w:rsidRPr="00DA3DE1">
              <w:rPr>
                <w:i/>
                <w:szCs w:val="20"/>
              </w:rPr>
              <w:t>[10111] Must be treated by a rheumatologist; or</w:t>
            </w:r>
          </w:p>
          <w:p w:rsidR="002E5D02" w:rsidRPr="002E5D02" w:rsidRDefault="005546F0" w:rsidP="002E5D02">
            <w:pPr>
              <w:pStyle w:val="Tabletext"/>
              <w:rPr>
                <w:i/>
                <w:szCs w:val="20"/>
              </w:rPr>
            </w:pPr>
            <w:r w:rsidRPr="00DA3DE1">
              <w:rPr>
                <w:i/>
                <w:szCs w:val="20"/>
              </w:rPr>
              <w:t>[13593] Must be treated by a clinical immunologist</w:t>
            </w:r>
            <w:r w:rsidR="002E5D02">
              <w:rPr>
                <w:i/>
                <w:szCs w:val="20"/>
              </w:rPr>
              <w:t>;</w:t>
            </w:r>
            <w:r w:rsidR="002E5D02" w:rsidRPr="002E5D02">
              <w:rPr>
                <w:i/>
                <w:szCs w:val="20"/>
              </w:rPr>
              <w:t xml:space="preserve"> or</w:t>
            </w:r>
          </w:p>
          <w:p w:rsidR="005546F0" w:rsidRPr="00DA3DE1" w:rsidRDefault="002E5D02" w:rsidP="002E5D02">
            <w:pPr>
              <w:pStyle w:val="Tabletext"/>
              <w:rPr>
                <w:szCs w:val="20"/>
              </w:rPr>
            </w:pPr>
            <w:r w:rsidRPr="002E5D02">
              <w:rPr>
                <w:i/>
                <w:szCs w:val="20"/>
              </w:rPr>
              <w:t>[13590] Must be treated by a nephrologist.</w:t>
            </w:r>
          </w:p>
        </w:tc>
      </w:tr>
      <w:tr w:rsidR="005546F0" w:rsidRPr="008820FC" w:rsidTr="000F336E">
        <w:trPr>
          <w:trHeight w:val="557"/>
        </w:trPr>
        <w:tc>
          <w:tcPr>
            <w:tcW w:w="958" w:type="pct"/>
            <w:shd w:val="clear" w:color="auto" w:fill="auto"/>
          </w:tcPr>
          <w:p w:rsidR="005546F0" w:rsidRPr="00DA3DE1" w:rsidRDefault="005546F0" w:rsidP="000F336E">
            <w:pPr>
              <w:pStyle w:val="Tabletext"/>
              <w:rPr>
                <w:b/>
                <w:bCs/>
                <w:szCs w:val="20"/>
              </w:rPr>
            </w:pPr>
            <w:r w:rsidRPr="00DA3DE1">
              <w:rPr>
                <w:b/>
                <w:bCs/>
                <w:szCs w:val="20"/>
              </w:rPr>
              <w:t>Clinical criteria:</w:t>
            </w:r>
          </w:p>
        </w:tc>
        <w:tc>
          <w:tcPr>
            <w:tcW w:w="4042" w:type="pct"/>
          </w:tcPr>
          <w:p w:rsidR="005546F0" w:rsidRPr="00DA3DE1" w:rsidRDefault="005546F0" w:rsidP="000F336E">
            <w:pPr>
              <w:pStyle w:val="Tabletext"/>
              <w:rPr>
                <w:strike/>
                <w:szCs w:val="20"/>
              </w:rPr>
            </w:pPr>
            <w:r w:rsidRPr="00DA3DE1">
              <w:rPr>
                <w:strike/>
                <w:szCs w:val="20"/>
              </w:rPr>
              <w:t>Patient must have previously been issued with an authority prescription to receive this drug</w:t>
            </w:r>
          </w:p>
          <w:p w:rsidR="005546F0" w:rsidRPr="00DA3DE1" w:rsidRDefault="005546F0" w:rsidP="000F336E">
            <w:pPr>
              <w:pStyle w:val="Tabletext"/>
              <w:pBdr>
                <w:bottom w:val="dashed" w:sz="4" w:space="1" w:color="auto"/>
              </w:pBdr>
              <w:rPr>
                <w:i/>
                <w:szCs w:val="20"/>
              </w:rPr>
            </w:pPr>
            <w:r w:rsidRPr="00DA3DE1">
              <w:rPr>
                <w:i/>
                <w:szCs w:val="20"/>
              </w:rPr>
              <w:t>[10972] Patient must have previously been issued with an authority prescription for this drug for this condition. [phase out 18091, 19469, 23815 draft]</w:t>
            </w:r>
          </w:p>
          <w:p w:rsidR="005546F0" w:rsidRPr="00DA3DE1" w:rsidRDefault="005546F0" w:rsidP="000F336E">
            <w:pPr>
              <w:pStyle w:val="Tabletext"/>
              <w:rPr>
                <w:szCs w:val="20"/>
              </w:rPr>
            </w:pPr>
            <w:r w:rsidRPr="00DA3DE1">
              <w:rPr>
                <w:szCs w:val="20"/>
              </w:rPr>
              <w:t>AND</w:t>
            </w:r>
          </w:p>
          <w:p w:rsidR="005546F0" w:rsidRPr="00DA3DE1" w:rsidRDefault="005546F0" w:rsidP="000F336E">
            <w:pPr>
              <w:pStyle w:val="Tabletext"/>
              <w:pBdr>
                <w:bottom w:val="dashed" w:sz="4" w:space="1" w:color="auto"/>
              </w:pBdr>
              <w:rPr>
                <w:szCs w:val="20"/>
              </w:rPr>
            </w:pPr>
            <w:r w:rsidRPr="00DA3DE1">
              <w:rPr>
                <w:i/>
                <w:szCs w:val="20"/>
              </w:rPr>
              <w:t xml:space="preserve">[new concept] </w:t>
            </w:r>
            <w:r w:rsidRPr="00DA3DE1">
              <w:rPr>
                <w:szCs w:val="20"/>
              </w:rPr>
              <w:t xml:space="preserve">Patient must have demonstrated or maintained </w:t>
            </w:r>
            <w:r w:rsidRPr="00DA3DE1">
              <w:rPr>
                <w:strike/>
                <w:szCs w:val="20"/>
              </w:rPr>
              <w:t>an adequate response to PBS-subsidised treatment with this drug where an adequate response is defined as</w:t>
            </w:r>
            <w:r w:rsidRPr="00DA3DE1">
              <w:rPr>
                <w:szCs w:val="20"/>
              </w:rPr>
              <w:t xml:space="preserve"> at least a 4-point reduction in </w:t>
            </w:r>
            <w:r w:rsidRPr="002E5D02">
              <w:rPr>
                <w:strike/>
                <w:szCs w:val="20"/>
              </w:rPr>
              <w:t>Safety of Estrogens in Lupus Erythematosus National Assessment</w:t>
            </w:r>
            <w:r w:rsidRPr="00DA3DE1">
              <w:rPr>
                <w:szCs w:val="20"/>
              </w:rPr>
              <w:t xml:space="preserve"> </w:t>
            </w:r>
            <w:r w:rsidRPr="003F4A65">
              <w:rPr>
                <w:strike/>
                <w:szCs w:val="20"/>
              </w:rPr>
              <w:t xml:space="preserve">Systemic Lupus Erythematosus National Assessment </w:t>
            </w:r>
            <w:r w:rsidRPr="00DA3DE1">
              <w:rPr>
                <w:szCs w:val="20"/>
              </w:rPr>
              <w:t xml:space="preserve">Systemic Lupus Erythematosus Disease Activity Index </w:t>
            </w:r>
            <w:r w:rsidR="003F4A65">
              <w:rPr>
                <w:i/>
                <w:szCs w:val="20"/>
              </w:rPr>
              <w:t xml:space="preserve">2000 </w:t>
            </w:r>
            <w:r w:rsidRPr="00DA3DE1">
              <w:rPr>
                <w:szCs w:val="20"/>
              </w:rPr>
              <w:t>(</w:t>
            </w:r>
            <w:r w:rsidRPr="003F4A65">
              <w:rPr>
                <w:strike/>
                <w:szCs w:val="20"/>
              </w:rPr>
              <w:t>SELENA-</w:t>
            </w:r>
            <w:r w:rsidRPr="00DA3DE1">
              <w:rPr>
                <w:szCs w:val="20"/>
              </w:rPr>
              <w:t>SLEDAI</w:t>
            </w:r>
            <w:r w:rsidR="003F4A65">
              <w:rPr>
                <w:i/>
                <w:szCs w:val="20"/>
              </w:rPr>
              <w:t>-2K</w:t>
            </w:r>
            <w:r w:rsidRPr="00DA3DE1">
              <w:rPr>
                <w:szCs w:val="20"/>
              </w:rPr>
              <w:t>) score, compared to the baseline assessment; OR</w:t>
            </w:r>
          </w:p>
          <w:p w:rsidR="005546F0" w:rsidRPr="00DA3DE1" w:rsidRDefault="005546F0" w:rsidP="000F336E">
            <w:pPr>
              <w:pStyle w:val="Tabletext"/>
              <w:pBdr>
                <w:bottom w:val="dashed" w:sz="4" w:space="1" w:color="auto"/>
              </w:pBdr>
              <w:rPr>
                <w:szCs w:val="20"/>
              </w:rPr>
            </w:pPr>
            <w:r w:rsidRPr="00DA3DE1">
              <w:rPr>
                <w:szCs w:val="20"/>
              </w:rPr>
              <w:t xml:space="preserve">Patient must have demonstrated or maintained at least a 4-point reduction in </w:t>
            </w:r>
            <w:r w:rsidRPr="003F4A65">
              <w:rPr>
                <w:strike/>
                <w:szCs w:val="20"/>
              </w:rPr>
              <w:t>Safety of Estrogens in Lupus Erythematosus National Assessment Systemic Lupus Erythematosus National Assessment</w:t>
            </w:r>
            <w:r w:rsidRPr="00DA3DE1">
              <w:rPr>
                <w:szCs w:val="20"/>
              </w:rPr>
              <w:t xml:space="preserve"> Systemic Lupus Erythematosus Disease Activity Index</w:t>
            </w:r>
            <w:r w:rsidR="003F4A65">
              <w:rPr>
                <w:i/>
                <w:szCs w:val="20"/>
              </w:rPr>
              <w:t xml:space="preserve"> 2000</w:t>
            </w:r>
            <w:r w:rsidRPr="00DA3DE1">
              <w:rPr>
                <w:szCs w:val="20"/>
              </w:rPr>
              <w:t xml:space="preserve"> (</w:t>
            </w:r>
            <w:r w:rsidRPr="003F4A65">
              <w:rPr>
                <w:strike/>
                <w:szCs w:val="20"/>
              </w:rPr>
              <w:t>SELENA-</w:t>
            </w:r>
            <w:r w:rsidRPr="00DA3DE1">
              <w:rPr>
                <w:szCs w:val="20"/>
              </w:rPr>
              <w:t>SLEDAI</w:t>
            </w:r>
            <w:r w:rsidR="003F4A65">
              <w:rPr>
                <w:i/>
                <w:szCs w:val="20"/>
              </w:rPr>
              <w:t>-2K</w:t>
            </w:r>
            <w:r w:rsidRPr="00DA3DE1">
              <w:rPr>
                <w:szCs w:val="20"/>
              </w:rPr>
              <w:t xml:space="preserve">) score, compared to the baseline assessment prior to having a treatment break for clinical reasons. </w:t>
            </w:r>
          </w:p>
          <w:p w:rsidR="005546F0" w:rsidRPr="00DA3DE1" w:rsidRDefault="005546F0" w:rsidP="000F336E">
            <w:pPr>
              <w:pStyle w:val="Tabletext"/>
              <w:rPr>
                <w:szCs w:val="20"/>
              </w:rPr>
            </w:pPr>
            <w:r w:rsidRPr="00DA3DE1">
              <w:rPr>
                <w:szCs w:val="20"/>
              </w:rPr>
              <w:t>AND</w:t>
            </w:r>
          </w:p>
          <w:p w:rsidR="005546F0" w:rsidRPr="00DA3DE1" w:rsidRDefault="005546F0" w:rsidP="000F336E">
            <w:pPr>
              <w:pStyle w:val="Tabletext"/>
              <w:rPr>
                <w:strike/>
                <w:szCs w:val="20"/>
              </w:rPr>
            </w:pPr>
            <w:r w:rsidRPr="00DA3DE1">
              <w:rPr>
                <w:strike/>
                <w:szCs w:val="20"/>
              </w:rPr>
              <w:t>Patient must not receive more than 6 months of treatment under this restriction without undergoing a review and documented reassessment by the prescribing physician</w:t>
            </w:r>
            <w:r w:rsidRPr="00DA3DE1">
              <w:rPr>
                <w:i/>
                <w:szCs w:val="20"/>
              </w:rPr>
              <w:t xml:space="preserve"> </w:t>
            </w:r>
          </w:p>
          <w:p w:rsidR="005546F0" w:rsidRPr="00DA3DE1" w:rsidRDefault="005546F0" w:rsidP="000F336E">
            <w:pPr>
              <w:pStyle w:val="Tabletext"/>
              <w:rPr>
                <w:szCs w:val="20"/>
              </w:rPr>
            </w:pPr>
          </w:p>
          <w:p w:rsidR="005546F0" w:rsidRPr="00DA3DE1" w:rsidRDefault="005546F0" w:rsidP="000F336E">
            <w:pPr>
              <w:pStyle w:val="Tabletext"/>
              <w:rPr>
                <w:strike/>
                <w:szCs w:val="20"/>
              </w:rPr>
            </w:pPr>
            <w:r w:rsidRPr="00DA3DE1">
              <w:rPr>
                <w:strike/>
                <w:szCs w:val="20"/>
              </w:rPr>
              <w:t xml:space="preserve">Note: A patient who has failed to respond or maintain a response to a course of PBS-subsidised will not be eligible to receive further PBS-subsidised treatment with belimumab for this condition </w:t>
            </w:r>
          </w:p>
        </w:tc>
      </w:tr>
      <w:tr w:rsidR="005546F0" w:rsidRPr="008820FC" w:rsidTr="000F336E">
        <w:tc>
          <w:tcPr>
            <w:tcW w:w="958" w:type="pct"/>
            <w:shd w:val="clear" w:color="auto" w:fill="auto"/>
          </w:tcPr>
          <w:p w:rsidR="005546F0" w:rsidRPr="00DA3DE1" w:rsidRDefault="005546F0" w:rsidP="000F336E">
            <w:pPr>
              <w:pStyle w:val="Tabletext"/>
              <w:rPr>
                <w:b/>
                <w:bCs/>
                <w:szCs w:val="20"/>
              </w:rPr>
            </w:pPr>
            <w:r w:rsidRPr="00DA3DE1">
              <w:rPr>
                <w:b/>
                <w:bCs/>
                <w:szCs w:val="20"/>
              </w:rPr>
              <w:t>Prescriber instructions</w:t>
            </w:r>
          </w:p>
        </w:tc>
        <w:tc>
          <w:tcPr>
            <w:tcW w:w="4042" w:type="pct"/>
          </w:tcPr>
          <w:p w:rsidR="005546F0" w:rsidRPr="00DA3DE1" w:rsidRDefault="005546F0" w:rsidP="000F336E">
            <w:pPr>
              <w:pStyle w:val="Tabletext"/>
              <w:pBdr>
                <w:bottom w:val="dashed" w:sz="4" w:space="1" w:color="auto"/>
              </w:pBdr>
              <w:rPr>
                <w:strike/>
                <w:szCs w:val="20"/>
              </w:rPr>
            </w:pPr>
            <w:r w:rsidRPr="00DA3DE1">
              <w:rPr>
                <w:strike/>
                <w:szCs w:val="20"/>
              </w:rPr>
              <w:t>The first assessment should, where possible, be completed by the same physician who initiated treatment with belimumab</w:t>
            </w:r>
          </w:p>
          <w:p w:rsidR="005546F0" w:rsidRPr="00DA3DE1" w:rsidRDefault="005546F0" w:rsidP="000F336E">
            <w:pPr>
              <w:pStyle w:val="Tabletext"/>
              <w:rPr>
                <w:i/>
                <w:szCs w:val="20"/>
              </w:rPr>
            </w:pPr>
            <w:r w:rsidRPr="00DA3DE1">
              <w:rPr>
                <w:i/>
                <w:szCs w:val="20"/>
              </w:rPr>
              <w:t>[17036] If fewer than the maximum stated repeats in the relevant treatment phase are requested at the time of the application, authority approvals for sufficient repeats to complete the balance of the stated repeats in the relevant treatment phase may be requested by telephone by contacting the Department of Human Services and applying through the Balance of Supply restriction. Under no circumstances will telephone approvals be granted for treatment that would otherwise extend the relevant treatment phase.</w:t>
            </w:r>
          </w:p>
        </w:tc>
      </w:tr>
      <w:tr w:rsidR="005546F0" w:rsidRPr="008820FC" w:rsidTr="000F336E">
        <w:tc>
          <w:tcPr>
            <w:tcW w:w="958" w:type="pct"/>
            <w:shd w:val="clear" w:color="auto" w:fill="auto"/>
          </w:tcPr>
          <w:p w:rsidR="005546F0" w:rsidRPr="00DA3DE1" w:rsidRDefault="005546F0" w:rsidP="000F336E">
            <w:pPr>
              <w:pStyle w:val="Tabletext"/>
              <w:rPr>
                <w:b/>
                <w:bCs/>
                <w:i/>
                <w:szCs w:val="20"/>
              </w:rPr>
            </w:pPr>
            <w:r w:rsidRPr="00DA3DE1">
              <w:rPr>
                <w:b/>
                <w:bCs/>
                <w:i/>
                <w:szCs w:val="20"/>
              </w:rPr>
              <w:lastRenderedPageBreak/>
              <w:t>Administrative advice</w:t>
            </w:r>
          </w:p>
        </w:tc>
        <w:tc>
          <w:tcPr>
            <w:tcW w:w="4042" w:type="pct"/>
          </w:tcPr>
          <w:p w:rsidR="005546F0" w:rsidRPr="00DA3DE1" w:rsidRDefault="005546F0" w:rsidP="000F336E">
            <w:pPr>
              <w:pStyle w:val="Tabletext"/>
              <w:rPr>
                <w:i/>
                <w:color w:val="000000" w:themeColor="text1"/>
                <w:szCs w:val="20"/>
                <w:u w:val="single"/>
              </w:rPr>
            </w:pPr>
            <w:r w:rsidRPr="00DA3DE1">
              <w:rPr>
                <w:i/>
                <w:color w:val="000000" w:themeColor="text1"/>
                <w:szCs w:val="20"/>
                <w:u w:val="single"/>
              </w:rPr>
              <w:t>Note</w:t>
            </w:r>
          </w:p>
          <w:p w:rsidR="005546F0" w:rsidRPr="00DA3DE1" w:rsidRDefault="005546F0" w:rsidP="000F336E">
            <w:pPr>
              <w:pStyle w:val="Tabletext"/>
              <w:rPr>
                <w:i/>
                <w:color w:val="000000" w:themeColor="text1"/>
                <w:szCs w:val="20"/>
              </w:rPr>
            </w:pPr>
            <w:r w:rsidRPr="00DA3DE1">
              <w:rPr>
                <w:i/>
                <w:color w:val="000000" w:themeColor="text1"/>
                <w:szCs w:val="20"/>
              </w:rPr>
              <w:t>[7608] Special Pricing Arrangements apply.</w:t>
            </w:r>
          </w:p>
          <w:p w:rsidR="005546F0" w:rsidRPr="00DA3DE1" w:rsidRDefault="005546F0" w:rsidP="000F336E">
            <w:pPr>
              <w:pStyle w:val="Tabletext"/>
              <w:rPr>
                <w:i/>
                <w:color w:val="000000" w:themeColor="text1"/>
                <w:szCs w:val="20"/>
                <w:u w:val="single"/>
              </w:rPr>
            </w:pPr>
          </w:p>
          <w:p w:rsidR="005546F0" w:rsidRPr="00DA3DE1" w:rsidRDefault="005546F0" w:rsidP="000F336E">
            <w:pPr>
              <w:pStyle w:val="Tabletext"/>
              <w:rPr>
                <w:i/>
                <w:color w:val="000000" w:themeColor="text1"/>
                <w:szCs w:val="20"/>
                <w:u w:val="single"/>
              </w:rPr>
            </w:pPr>
            <w:r w:rsidRPr="00DA3DE1">
              <w:rPr>
                <w:i/>
                <w:color w:val="000000" w:themeColor="text1"/>
                <w:szCs w:val="20"/>
                <w:u w:val="single"/>
              </w:rPr>
              <w:t>Note</w:t>
            </w:r>
          </w:p>
          <w:p w:rsidR="005546F0" w:rsidRPr="00DA3DE1" w:rsidRDefault="005546F0" w:rsidP="000F336E">
            <w:pPr>
              <w:pStyle w:val="Tabletext"/>
              <w:rPr>
                <w:i/>
                <w:color w:val="000000" w:themeColor="text1"/>
                <w:szCs w:val="20"/>
              </w:rPr>
            </w:pPr>
            <w:r w:rsidRPr="00DA3DE1">
              <w:rPr>
                <w:i/>
                <w:color w:val="000000" w:themeColor="text1"/>
                <w:szCs w:val="20"/>
              </w:rPr>
              <w:t>[14726; Complex Authority Required flag] Any queries concerning the arrangements to prescribe may be directed to the Department of Human Services on 1800 700 270 (hours of operation 8 a.m. to 5 p.m. EST Monday to Friday).</w:t>
            </w:r>
          </w:p>
        </w:tc>
      </w:tr>
    </w:tbl>
    <w:p w:rsidR="00172AD3" w:rsidRDefault="00172AD3" w:rsidP="005338E7">
      <w:pPr>
        <w:rPr>
          <w:rFonts w:ascii="Arial Narrow" w:hAnsi="Arial Narrow"/>
          <w:b/>
          <w:sz w:val="20"/>
          <w:szCs w:val="20"/>
        </w:rPr>
      </w:pPr>
    </w:p>
    <w:p w:rsidR="00B70A55" w:rsidRPr="00A45550" w:rsidRDefault="00331128" w:rsidP="001F2D98">
      <w:pPr>
        <w:pStyle w:val="ListParagraph"/>
        <w:widowControl/>
        <w:numPr>
          <w:ilvl w:val="1"/>
          <w:numId w:val="1"/>
        </w:numPr>
        <w:spacing w:after="120"/>
      </w:pPr>
      <w:r w:rsidRPr="00A45550">
        <w:rPr>
          <w:szCs w:val="24"/>
        </w:rPr>
        <w:t xml:space="preserve">The key issues regarding the proposed restriction are summarised in </w:t>
      </w:r>
      <w:r w:rsidR="00153C32" w:rsidRPr="00A45550">
        <w:rPr>
          <w:szCs w:val="24"/>
        </w:rPr>
        <w:t>Table 2</w:t>
      </w:r>
      <w:r w:rsidRPr="00A45550">
        <w:rPr>
          <w:szCs w:val="24"/>
        </w:rPr>
        <w:t xml:space="preserve"> below, and discussed below the table.</w:t>
      </w:r>
      <w:r w:rsidR="00172AD3" w:rsidRPr="00A45550">
        <w:rPr>
          <w:szCs w:val="24"/>
        </w:rPr>
        <w:t xml:space="preserve"> </w:t>
      </w:r>
    </w:p>
    <w:p w:rsidR="005E5B36" w:rsidRPr="00AA0165" w:rsidRDefault="00AA0165" w:rsidP="001F2D98">
      <w:pPr>
        <w:widowControl/>
        <w:rPr>
          <w:rStyle w:val="CommentReference"/>
        </w:rPr>
      </w:pPr>
      <w:r>
        <w:rPr>
          <w:rStyle w:val="CommentReference"/>
        </w:rPr>
        <w:t xml:space="preserve">Table </w:t>
      </w:r>
      <w:r w:rsidR="0065391B">
        <w:rPr>
          <w:rStyle w:val="CommentReference"/>
        </w:rPr>
        <w:t>2</w:t>
      </w:r>
      <w:r>
        <w:rPr>
          <w:rStyle w:val="CommentReference"/>
        </w:rPr>
        <w:t xml:space="preserve">: </w:t>
      </w:r>
      <w:r w:rsidR="00B64BB4">
        <w:rPr>
          <w:rStyle w:val="CommentReference"/>
        </w:rPr>
        <w:t xml:space="preserve">Comparison of </w:t>
      </w:r>
      <w:r>
        <w:rPr>
          <w:rStyle w:val="CommentReference"/>
        </w:rPr>
        <w:t xml:space="preserve">proposed </w:t>
      </w:r>
      <w:r w:rsidR="00B64BB4">
        <w:rPr>
          <w:rStyle w:val="CommentReference"/>
        </w:rPr>
        <w:t xml:space="preserve">PBS </w:t>
      </w:r>
      <w:r>
        <w:rPr>
          <w:rStyle w:val="CommentReference"/>
        </w:rPr>
        <w:t>restriction</w:t>
      </w:r>
      <w:r w:rsidR="00B64BB4">
        <w:rPr>
          <w:rStyle w:val="CommentReference"/>
        </w:rPr>
        <w:t xml:space="preserve"> and the trial populations</w:t>
      </w:r>
    </w:p>
    <w:tbl>
      <w:tblPr>
        <w:tblStyle w:val="Summarybox2"/>
        <w:tblW w:w="8926" w:type="dxa"/>
        <w:tblLook w:val="06A0" w:firstRow="1" w:lastRow="0" w:firstColumn="1" w:lastColumn="0" w:noHBand="1" w:noVBand="1"/>
        <w:tblCaption w:val="Table 2: Comparison of proposed PBS restriction and the trial populations"/>
      </w:tblPr>
      <w:tblGrid>
        <w:gridCol w:w="1980"/>
        <w:gridCol w:w="2835"/>
        <w:gridCol w:w="4111"/>
      </w:tblGrid>
      <w:tr w:rsidR="00AC5B77" w:rsidTr="001F2D98">
        <w:trPr>
          <w:tblHeader/>
        </w:trPr>
        <w:tc>
          <w:tcPr>
            <w:tcW w:w="1980" w:type="dxa"/>
            <w:shd w:val="clear" w:color="auto" w:fill="FFFFFF" w:themeFill="background1"/>
          </w:tcPr>
          <w:p w:rsidR="00AC5B77" w:rsidRPr="00AC5B77" w:rsidRDefault="00AA0165" w:rsidP="001F2D98">
            <w:pPr>
              <w:pStyle w:val="Tabletext"/>
              <w:rPr>
                <w:b/>
              </w:rPr>
            </w:pPr>
            <w:r>
              <w:rPr>
                <w:b/>
              </w:rPr>
              <w:t xml:space="preserve">Proposed </w:t>
            </w:r>
            <w:r w:rsidR="00AC5B77" w:rsidRPr="00AC5B77">
              <w:rPr>
                <w:b/>
              </w:rPr>
              <w:t xml:space="preserve">PBS restriction </w:t>
            </w:r>
          </w:p>
        </w:tc>
        <w:tc>
          <w:tcPr>
            <w:tcW w:w="2835" w:type="dxa"/>
            <w:shd w:val="clear" w:color="auto" w:fill="FFFFFF" w:themeFill="background1"/>
          </w:tcPr>
          <w:p w:rsidR="00AC5B77" w:rsidRPr="00AC5B77" w:rsidRDefault="00B64BB4" w:rsidP="001F2D98">
            <w:pPr>
              <w:pStyle w:val="Tabletext"/>
              <w:rPr>
                <w:b/>
              </w:rPr>
            </w:pPr>
            <w:r>
              <w:rPr>
                <w:b/>
              </w:rPr>
              <w:t>Trial inclusion criteria</w:t>
            </w:r>
          </w:p>
        </w:tc>
        <w:tc>
          <w:tcPr>
            <w:tcW w:w="4111" w:type="dxa"/>
            <w:shd w:val="clear" w:color="auto" w:fill="FFFFFF" w:themeFill="background1"/>
          </w:tcPr>
          <w:p w:rsidR="00AC5B77" w:rsidRPr="00A45550" w:rsidRDefault="00DC358D" w:rsidP="001F2D98">
            <w:pPr>
              <w:pStyle w:val="Tabletext"/>
              <w:rPr>
                <w:b/>
              </w:rPr>
            </w:pPr>
            <w:r>
              <w:rPr>
                <w:b/>
              </w:rPr>
              <w:t xml:space="preserve">PBAC </w:t>
            </w:r>
            <w:r w:rsidR="00AC5B77" w:rsidRPr="00A45550">
              <w:rPr>
                <w:b/>
              </w:rPr>
              <w:t>Comment</w:t>
            </w:r>
          </w:p>
        </w:tc>
      </w:tr>
      <w:tr w:rsidR="00192101" w:rsidTr="001F2D98">
        <w:tc>
          <w:tcPr>
            <w:tcW w:w="8926" w:type="dxa"/>
            <w:gridSpan w:val="3"/>
            <w:shd w:val="clear" w:color="auto" w:fill="FFFFFF" w:themeFill="background1"/>
          </w:tcPr>
          <w:p w:rsidR="00192101" w:rsidRPr="00A45550" w:rsidRDefault="00192101" w:rsidP="001F2D98">
            <w:pPr>
              <w:pStyle w:val="Tabletext"/>
              <w:rPr>
                <w:b/>
              </w:rPr>
            </w:pPr>
            <w:r w:rsidRPr="00A45550">
              <w:rPr>
                <w:b/>
              </w:rPr>
              <w:t>Initial restriction</w:t>
            </w:r>
          </w:p>
        </w:tc>
      </w:tr>
      <w:tr w:rsidR="00AC5B77" w:rsidTr="001F2D98">
        <w:tc>
          <w:tcPr>
            <w:tcW w:w="1980" w:type="dxa"/>
            <w:shd w:val="clear" w:color="auto" w:fill="FFFFFF" w:themeFill="background1"/>
          </w:tcPr>
          <w:p w:rsidR="00AC5B77" w:rsidRPr="00AC5B77" w:rsidRDefault="00AC5B77" w:rsidP="001F2D98">
            <w:pPr>
              <w:pStyle w:val="Tabletext"/>
            </w:pPr>
            <w:r w:rsidRPr="00AC5B77">
              <w:t>Confirmed and documented diagnosis of SLE</w:t>
            </w:r>
          </w:p>
        </w:tc>
        <w:tc>
          <w:tcPr>
            <w:tcW w:w="2835" w:type="dxa"/>
            <w:shd w:val="clear" w:color="auto" w:fill="FFFFFF" w:themeFill="background1"/>
          </w:tcPr>
          <w:p w:rsidR="00AC5B77" w:rsidRPr="00192101" w:rsidRDefault="00AC5B77" w:rsidP="001F2D98">
            <w:pPr>
              <w:pStyle w:val="Tabletext"/>
              <w:rPr>
                <w:vertAlign w:val="superscript"/>
              </w:rPr>
            </w:pPr>
            <w:r w:rsidRPr="00AC5B77">
              <w:t xml:space="preserve">BLISS-SC: Diagnosis </w:t>
            </w:r>
            <w:r w:rsidR="00AA0165">
              <w:t xml:space="preserve">of </w:t>
            </w:r>
            <w:r w:rsidRPr="00AC5B77">
              <w:t xml:space="preserve">SLE according to </w:t>
            </w:r>
            <w:r w:rsidR="00BF21C5">
              <w:t xml:space="preserve">1997 </w:t>
            </w:r>
            <w:r w:rsidRPr="00AC5B77">
              <w:t>American College of Rheumatology (ACR) criteria</w:t>
            </w:r>
            <w:r w:rsidR="00192101">
              <w:t xml:space="preserve"> </w:t>
            </w:r>
            <w:r w:rsidR="00192101">
              <w:rPr>
                <w:vertAlign w:val="superscript"/>
              </w:rPr>
              <w:t>a</w:t>
            </w:r>
          </w:p>
        </w:tc>
        <w:tc>
          <w:tcPr>
            <w:tcW w:w="4111" w:type="dxa"/>
            <w:shd w:val="clear" w:color="auto" w:fill="FFFFFF" w:themeFill="background1"/>
          </w:tcPr>
          <w:p w:rsidR="00AC5B77" w:rsidRPr="00A45550" w:rsidRDefault="00801759" w:rsidP="001F2D98">
            <w:pPr>
              <w:pStyle w:val="Tabletext"/>
            </w:pPr>
            <w:r>
              <w:t>The</w:t>
            </w:r>
            <w:r w:rsidR="00AF7DA2">
              <w:t xml:space="preserve"> PBAC considered diagnosis should be according to EULAR</w:t>
            </w:r>
            <w:r w:rsidR="00DC358D">
              <w:t>/ACR</w:t>
            </w:r>
            <w:r w:rsidR="00AF7DA2">
              <w:t xml:space="preserve"> SLE criteria 2019.</w:t>
            </w:r>
            <w:r w:rsidR="00DC358D">
              <w:t xml:space="preserve"> </w:t>
            </w:r>
          </w:p>
        </w:tc>
      </w:tr>
      <w:tr w:rsidR="00AC5B77" w:rsidTr="001F2D98">
        <w:tc>
          <w:tcPr>
            <w:tcW w:w="1980" w:type="dxa"/>
            <w:shd w:val="clear" w:color="auto" w:fill="auto"/>
          </w:tcPr>
          <w:p w:rsidR="00AC5B77" w:rsidRPr="00AC5B77" w:rsidRDefault="00AC5B77" w:rsidP="001F2D98">
            <w:pPr>
              <w:pStyle w:val="Tabletext"/>
            </w:pPr>
            <w:r w:rsidRPr="00AC5B77">
              <w:t>Unequivocally positive anti-dsDNA</w:t>
            </w:r>
          </w:p>
        </w:tc>
        <w:tc>
          <w:tcPr>
            <w:tcW w:w="2835" w:type="dxa"/>
            <w:shd w:val="clear" w:color="auto" w:fill="auto"/>
          </w:tcPr>
          <w:p w:rsidR="00AC5B77" w:rsidRPr="00192101" w:rsidRDefault="00192101" w:rsidP="001F2D98">
            <w:pPr>
              <w:pStyle w:val="Tabletext"/>
              <w:rPr>
                <w:vertAlign w:val="superscript"/>
              </w:rPr>
            </w:pPr>
            <w:r>
              <w:t>BLISS-SC: ANA (titr</w:t>
            </w:r>
            <w:r w:rsidR="006530C0">
              <w:t>e</w:t>
            </w:r>
            <w:r w:rsidR="00AC5B77" w:rsidRPr="00AC5B77">
              <w:t xml:space="preserve"> ≥</w:t>
            </w:r>
            <w:r>
              <w:t xml:space="preserve"> </w:t>
            </w:r>
            <w:r w:rsidR="00AC5B77" w:rsidRPr="00AC5B77">
              <w:t>1:80) and/or anti-dsDNA antibody (≥</w:t>
            </w:r>
            <w:r>
              <w:t xml:space="preserve"> </w:t>
            </w:r>
            <w:r w:rsidR="00AC5B77" w:rsidRPr="00AC5B77">
              <w:t>30 IU/mL)</w:t>
            </w:r>
            <w:r>
              <w:t xml:space="preserve"> </w:t>
            </w:r>
            <w:r>
              <w:rPr>
                <w:vertAlign w:val="superscript"/>
              </w:rPr>
              <w:t>b</w:t>
            </w:r>
          </w:p>
        </w:tc>
        <w:tc>
          <w:tcPr>
            <w:tcW w:w="4111" w:type="dxa"/>
            <w:shd w:val="clear" w:color="auto" w:fill="auto"/>
          </w:tcPr>
          <w:p w:rsidR="00AC5B77" w:rsidRPr="00A45550" w:rsidRDefault="00AC5B77" w:rsidP="001F2D98">
            <w:pPr>
              <w:pStyle w:val="Tabletext"/>
            </w:pPr>
            <w:r w:rsidRPr="00A45550">
              <w:t>P</w:t>
            </w:r>
            <w:r w:rsidR="00EA0422">
              <w:t>roposed restriction</w:t>
            </w:r>
            <w:r w:rsidRPr="00A45550">
              <w:t xml:space="preserve"> more specific to SLE (</w:t>
            </w:r>
            <w:r w:rsidR="00EB165D" w:rsidRPr="00A45550">
              <w:t>requires positive anti-dsDNA</w:t>
            </w:r>
            <w:r w:rsidRPr="00A45550">
              <w:t>)</w:t>
            </w:r>
            <w:r w:rsidR="00EB165D" w:rsidRPr="00A45550">
              <w:t>.</w:t>
            </w:r>
            <w:r w:rsidR="005D54BE" w:rsidRPr="00A45550">
              <w:t xml:space="preserve"> </w:t>
            </w:r>
            <w:r w:rsidRPr="00A45550">
              <w:t>PSCR</w:t>
            </w:r>
            <w:r w:rsidR="00AA0165" w:rsidRPr="00A45550">
              <w:t xml:space="preserve"> stated this was </w:t>
            </w:r>
            <w:r w:rsidR="008D689D" w:rsidRPr="00A45550">
              <w:t>to target patients most likely to respond.</w:t>
            </w:r>
            <w:r w:rsidR="00AF7DA2">
              <w:t xml:space="preserve"> </w:t>
            </w:r>
            <w:r w:rsidR="00EA0422">
              <w:t>The PBAC considered that low complement (C3, C4) should be an alternative to anti-dsDNA.</w:t>
            </w:r>
            <w:r w:rsidR="00AF7DA2">
              <w:t xml:space="preserve"> </w:t>
            </w:r>
          </w:p>
        </w:tc>
      </w:tr>
      <w:tr w:rsidR="00C810FF" w:rsidTr="001F2D98">
        <w:tc>
          <w:tcPr>
            <w:tcW w:w="1980" w:type="dxa"/>
            <w:shd w:val="clear" w:color="auto" w:fill="auto"/>
          </w:tcPr>
          <w:p w:rsidR="00C810FF" w:rsidRPr="00AC5B77" w:rsidRDefault="00C810FF" w:rsidP="001F2D98">
            <w:pPr>
              <w:pStyle w:val="Tabletext"/>
            </w:pPr>
            <w:r w:rsidRPr="00AC5B77">
              <w:t>SELENA-SLEDAI score  ≥ 10</w:t>
            </w:r>
          </w:p>
        </w:tc>
        <w:tc>
          <w:tcPr>
            <w:tcW w:w="2835" w:type="dxa"/>
            <w:shd w:val="clear" w:color="auto" w:fill="auto"/>
          </w:tcPr>
          <w:p w:rsidR="00C810FF" w:rsidRPr="00AC5B77" w:rsidRDefault="00C810FF" w:rsidP="001F2D98">
            <w:pPr>
              <w:pStyle w:val="Tabletext"/>
            </w:pPr>
            <w:r w:rsidRPr="00AC5B77">
              <w:t>BLISS-SC : ≥</w:t>
            </w:r>
            <w:r>
              <w:t xml:space="preserve"> </w:t>
            </w:r>
            <w:r w:rsidRPr="00AC5B77">
              <w:t xml:space="preserve">8  </w:t>
            </w:r>
          </w:p>
          <w:p w:rsidR="00C810FF" w:rsidRPr="00AC5B77" w:rsidRDefault="00C810FF" w:rsidP="001F2D98">
            <w:pPr>
              <w:pStyle w:val="Tabletext"/>
            </w:pPr>
            <w:r w:rsidRPr="00AC5B77">
              <w:t>NE-ASIA and EMBRACE</w:t>
            </w:r>
            <w:r>
              <w:t>:</w:t>
            </w:r>
            <w:r w:rsidRPr="00AC5B77">
              <w:t xml:space="preserve"> ≥</w:t>
            </w:r>
            <w:r>
              <w:t xml:space="preserve"> </w:t>
            </w:r>
            <w:r w:rsidRPr="00AC5B77">
              <w:t xml:space="preserve">8 </w:t>
            </w:r>
          </w:p>
          <w:p w:rsidR="00C810FF" w:rsidRPr="00AC5B77" w:rsidRDefault="00C810FF" w:rsidP="001F2D98">
            <w:pPr>
              <w:pStyle w:val="Tabletext"/>
            </w:pPr>
            <w:r w:rsidRPr="00AC5B77">
              <w:t>BLISS-52 and BLISS-76</w:t>
            </w:r>
            <w:r>
              <w:t>:</w:t>
            </w:r>
            <w:r w:rsidRPr="00AC5B77">
              <w:t xml:space="preserve"> ≥</w:t>
            </w:r>
            <w:r>
              <w:t xml:space="preserve"> </w:t>
            </w:r>
            <w:r w:rsidRPr="00AC5B77">
              <w:t>6</w:t>
            </w:r>
          </w:p>
        </w:tc>
        <w:tc>
          <w:tcPr>
            <w:tcW w:w="4111" w:type="dxa"/>
            <w:shd w:val="clear" w:color="auto" w:fill="auto"/>
          </w:tcPr>
          <w:p w:rsidR="00683EB3" w:rsidRDefault="00E718A9" w:rsidP="001F2D98">
            <w:pPr>
              <w:pStyle w:val="Tabletext"/>
            </w:pPr>
            <w:r>
              <w:t xml:space="preserve">The </w:t>
            </w:r>
            <w:r w:rsidR="00C810FF" w:rsidRPr="00A45550">
              <w:t>PBS population may have more severe disease than trial population. Score ≥ 10 supported by</w:t>
            </w:r>
            <w:r w:rsidR="0040769A" w:rsidRPr="00A45550">
              <w:t xml:space="preserve"> a</w:t>
            </w:r>
            <w:r w:rsidR="00C810FF" w:rsidRPr="00A45550">
              <w:t xml:space="preserve"> pre-specified subgroup analysis from BLISS-SC</w:t>
            </w:r>
            <w:r w:rsidR="00753844" w:rsidRPr="00A45550">
              <w:t>.</w:t>
            </w:r>
            <w:r w:rsidR="00753844" w:rsidRPr="00A45550">
              <w:rPr>
                <w:vertAlign w:val="superscript"/>
              </w:rPr>
              <w:t>c</w:t>
            </w:r>
            <w:r w:rsidR="00C810FF" w:rsidRPr="00A45550">
              <w:t xml:space="preserve"> </w:t>
            </w:r>
          </w:p>
          <w:p w:rsidR="00C810FF" w:rsidRPr="00A45550" w:rsidRDefault="00683EB3" w:rsidP="001F2D98">
            <w:pPr>
              <w:pStyle w:val="Tabletext"/>
            </w:pPr>
            <w:r>
              <w:t>SLEDAI-2K is more commonly used in clinical practice.</w:t>
            </w:r>
            <w:r w:rsidR="00E718A9">
              <w:t xml:space="preserve"> </w:t>
            </w:r>
            <w:r w:rsidR="00801759">
              <w:t xml:space="preserve">The </w:t>
            </w:r>
            <w:r w:rsidR="00AF7DA2">
              <w:t>PBAC considered SLEDAI-2</w:t>
            </w:r>
            <w:r w:rsidR="00801759">
              <w:t>K</w:t>
            </w:r>
            <w:r w:rsidR="00AF7DA2">
              <w:t xml:space="preserve"> </w:t>
            </w:r>
            <w:r w:rsidR="00AF7DA2" w:rsidRPr="00A45550">
              <w:t>≥ 10</w:t>
            </w:r>
            <w:r w:rsidR="00AF7DA2">
              <w:t xml:space="preserve"> should be included in the PBS restriction.</w:t>
            </w:r>
          </w:p>
        </w:tc>
      </w:tr>
      <w:tr w:rsidR="00FF3578" w:rsidTr="001F2D98">
        <w:tc>
          <w:tcPr>
            <w:tcW w:w="1980" w:type="dxa"/>
            <w:shd w:val="clear" w:color="auto" w:fill="auto"/>
          </w:tcPr>
          <w:p w:rsidR="00FF3578" w:rsidRPr="00AC5B77" w:rsidRDefault="00FF3578" w:rsidP="001F2D98">
            <w:pPr>
              <w:pStyle w:val="Tabletext"/>
            </w:pPr>
            <w:r>
              <w:rPr>
                <w:color w:val="000000"/>
              </w:rPr>
              <w:t>Unable to reduce the dose of corticosteroid to below 7.5 mg prednisone per day or equivalent</w:t>
            </w:r>
          </w:p>
        </w:tc>
        <w:tc>
          <w:tcPr>
            <w:tcW w:w="2835" w:type="dxa"/>
            <w:shd w:val="clear" w:color="auto" w:fill="auto"/>
          </w:tcPr>
          <w:p w:rsidR="00FF3578" w:rsidRPr="00F64945" w:rsidRDefault="00FF3578" w:rsidP="001F2D98">
            <w:pPr>
              <w:pStyle w:val="Tabletext"/>
              <w:rPr>
                <w:rFonts w:ascii="Arial" w:hAnsi="Arial" w:cs="Arial"/>
                <w:i/>
                <w:sz w:val="36"/>
                <w:szCs w:val="36"/>
              </w:rPr>
            </w:pPr>
            <w:r>
              <w:rPr>
                <w:color w:val="000000" w:themeColor="dark1"/>
              </w:rPr>
              <w:t xml:space="preserve">Not required in trial eligibility criteria. </w:t>
            </w:r>
          </w:p>
          <w:p w:rsidR="00FF3578" w:rsidRPr="00AC5B77" w:rsidRDefault="00FF3578" w:rsidP="001F2D98">
            <w:pPr>
              <w:pStyle w:val="Tabletext"/>
            </w:pPr>
            <w:r w:rsidRPr="00F64945">
              <w:rPr>
                <w:color w:val="000000" w:themeColor="dark1"/>
              </w:rPr>
              <w:t>BLISS-SC: 14% of patients were not taking oral corticosteroids and a further 26% were taking ≤ 7.5 mg/day at baseline</w:t>
            </w:r>
            <w:r w:rsidRPr="00F64945">
              <w:rPr>
                <w:i/>
                <w:color w:val="000000" w:themeColor="dark1"/>
              </w:rPr>
              <w:t xml:space="preserve">. </w:t>
            </w:r>
          </w:p>
        </w:tc>
        <w:tc>
          <w:tcPr>
            <w:tcW w:w="4111" w:type="dxa"/>
            <w:shd w:val="clear" w:color="auto" w:fill="auto"/>
          </w:tcPr>
          <w:p w:rsidR="00FF3578" w:rsidRPr="00A45550" w:rsidRDefault="00FF3578" w:rsidP="001F2D98">
            <w:pPr>
              <w:pStyle w:val="Tabletext"/>
            </w:pPr>
            <w:r w:rsidRPr="00A45550">
              <w:rPr>
                <w:color w:val="000000" w:themeColor="dark1"/>
              </w:rPr>
              <w:t xml:space="preserve">PSCR stated this was to target use to patients with highest clinical need. </w:t>
            </w:r>
            <w:r w:rsidR="0003566B" w:rsidRPr="00A45550">
              <w:rPr>
                <w:color w:val="000000" w:themeColor="dark1"/>
              </w:rPr>
              <w:t>Pre-specified s</w:t>
            </w:r>
            <w:r w:rsidRPr="00A45550">
              <w:rPr>
                <w:color w:val="000000" w:themeColor="dark1"/>
              </w:rPr>
              <w:t xml:space="preserve">ubgroup analyses </w:t>
            </w:r>
            <w:r w:rsidR="0003566B" w:rsidRPr="00A45550">
              <w:rPr>
                <w:color w:val="000000" w:themeColor="dark1"/>
              </w:rPr>
              <w:t xml:space="preserve">from BLISS-SC </w:t>
            </w:r>
            <w:r w:rsidR="006E07D6" w:rsidRPr="00A45550">
              <w:rPr>
                <w:color w:val="000000" w:themeColor="dark1"/>
              </w:rPr>
              <w:t>supported</w:t>
            </w:r>
            <w:r w:rsidR="0003566B" w:rsidRPr="00A45550">
              <w:rPr>
                <w:color w:val="000000" w:themeColor="dark1"/>
              </w:rPr>
              <w:t xml:space="preserve"> a</w:t>
            </w:r>
            <w:r w:rsidRPr="00A45550">
              <w:rPr>
                <w:color w:val="000000" w:themeColor="dark1"/>
              </w:rPr>
              <w:t xml:space="preserve"> greater treatment effect in patients on corticosteroids at baseline (regardless of dose).</w:t>
            </w:r>
            <w:r w:rsidR="00753844" w:rsidRPr="00A45550">
              <w:rPr>
                <w:vertAlign w:val="superscript"/>
              </w:rPr>
              <w:t>c</w:t>
            </w:r>
            <w:r w:rsidRPr="00A45550">
              <w:rPr>
                <w:color w:val="000000" w:themeColor="dark1"/>
              </w:rPr>
              <w:t xml:space="preserve"> </w:t>
            </w:r>
            <w:r w:rsidR="00E718A9" w:rsidRPr="00E718A9">
              <w:rPr>
                <w:color w:val="000000" w:themeColor="dark1"/>
              </w:rPr>
              <w:t>The PBAC considered that patients must have taken prednisolone or equivalent ≥7.5 mg per day for at least one month to receive belimumab.</w:t>
            </w:r>
          </w:p>
        </w:tc>
      </w:tr>
      <w:tr w:rsidR="00FF3578" w:rsidTr="001F2D98">
        <w:tc>
          <w:tcPr>
            <w:tcW w:w="1980" w:type="dxa"/>
            <w:shd w:val="clear" w:color="auto" w:fill="auto"/>
          </w:tcPr>
          <w:p w:rsidR="00FF3578" w:rsidRDefault="00FF3578" w:rsidP="001F2D98">
            <w:pPr>
              <w:pStyle w:val="Tabletext"/>
            </w:pPr>
            <w:r>
              <w:rPr>
                <w:color w:val="000000"/>
              </w:rPr>
              <w:t xml:space="preserve">Concomitant triple therapy (antimalarial, corticosteroid and immunosuppressant) unless contraindicated </w:t>
            </w:r>
            <w:r w:rsidR="00FC6266">
              <w:rPr>
                <w:color w:val="000000"/>
              </w:rPr>
              <w:t>or intolerant</w:t>
            </w:r>
          </w:p>
        </w:tc>
        <w:tc>
          <w:tcPr>
            <w:tcW w:w="2835" w:type="dxa"/>
            <w:shd w:val="clear" w:color="auto" w:fill="auto"/>
          </w:tcPr>
          <w:p w:rsidR="00FF3578" w:rsidRDefault="00FF3578" w:rsidP="001F2D98">
            <w:pPr>
              <w:pStyle w:val="Tabletext"/>
              <w:rPr>
                <w:color w:val="000000" w:themeColor="dark1"/>
              </w:rPr>
            </w:pPr>
            <w:r>
              <w:rPr>
                <w:color w:val="000000" w:themeColor="dark1"/>
              </w:rPr>
              <w:t xml:space="preserve">Triple (or attempted) therapy not required in trial eligibility criteria. </w:t>
            </w:r>
          </w:p>
          <w:p w:rsidR="00FF3578" w:rsidRDefault="00FF3578" w:rsidP="001F2D98">
            <w:pPr>
              <w:pStyle w:val="Tabletext"/>
              <w:rPr>
                <w:rFonts w:ascii="Arial" w:hAnsi="Arial" w:cs="Arial"/>
                <w:sz w:val="36"/>
                <w:szCs w:val="36"/>
              </w:rPr>
            </w:pPr>
            <w:r>
              <w:rPr>
                <w:color w:val="000000" w:themeColor="dark1"/>
              </w:rPr>
              <w:t>BLISS-SC: only 24% of patients were on triple therapy at baseline.</w:t>
            </w:r>
          </w:p>
          <w:p w:rsidR="00FF3578" w:rsidRDefault="00FF3578" w:rsidP="001F2D98">
            <w:pPr>
              <w:pStyle w:val="Tabletext"/>
            </w:pPr>
          </w:p>
        </w:tc>
        <w:tc>
          <w:tcPr>
            <w:tcW w:w="4111" w:type="dxa"/>
            <w:shd w:val="clear" w:color="auto" w:fill="auto"/>
          </w:tcPr>
          <w:p w:rsidR="00FF3578" w:rsidRPr="00A45550" w:rsidRDefault="00FC6266" w:rsidP="001F2D98">
            <w:pPr>
              <w:pStyle w:val="Tabletext"/>
              <w:rPr>
                <w:color w:val="000000" w:themeColor="dark1"/>
              </w:rPr>
            </w:pPr>
            <w:r w:rsidRPr="00A45550">
              <w:rPr>
                <w:color w:val="000000" w:themeColor="dark1"/>
              </w:rPr>
              <w:t>The ESC noted this was b</w:t>
            </w:r>
            <w:r w:rsidR="00FF3578" w:rsidRPr="00A45550">
              <w:rPr>
                <w:color w:val="000000" w:themeColor="dark1"/>
              </w:rPr>
              <w:t xml:space="preserve">ased on </w:t>
            </w:r>
            <w:r w:rsidRPr="00A45550">
              <w:rPr>
                <w:color w:val="000000" w:themeColor="dark1"/>
              </w:rPr>
              <w:t xml:space="preserve">a </w:t>
            </w:r>
            <w:r w:rsidR="00FF3578" w:rsidRPr="00A45550">
              <w:rPr>
                <w:color w:val="000000" w:themeColor="dark1"/>
              </w:rPr>
              <w:t>post hoc analysis.</w:t>
            </w:r>
            <w:r w:rsidR="00753844" w:rsidRPr="00A45550">
              <w:rPr>
                <w:vertAlign w:val="superscript"/>
              </w:rPr>
              <w:t xml:space="preserve"> c</w:t>
            </w:r>
            <w:r w:rsidR="00FF3578" w:rsidRPr="00A45550">
              <w:rPr>
                <w:color w:val="000000" w:themeColor="dark1"/>
              </w:rPr>
              <w:t xml:space="preserve"> </w:t>
            </w:r>
          </w:p>
          <w:p w:rsidR="00FF3578" w:rsidRPr="00A45550" w:rsidRDefault="00E848F4" w:rsidP="001F2D98">
            <w:pPr>
              <w:pStyle w:val="Tabletext"/>
            </w:pPr>
            <w:r w:rsidRPr="00A45550">
              <w:rPr>
                <w:color w:val="000000" w:themeColor="dark1"/>
              </w:rPr>
              <w:t xml:space="preserve">The </w:t>
            </w:r>
            <w:r w:rsidR="00801759">
              <w:rPr>
                <w:color w:val="000000" w:themeColor="dark1"/>
              </w:rPr>
              <w:t xml:space="preserve">PBAC </w:t>
            </w:r>
            <w:r w:rsidR="00753844" w:rsidRPr="00A45550">
              <w:rPr>
                <w:color w:val="000000" w:themeColor="dark1"/>
              </w:rPr>
              <w:t xml:space="preserve">considered patients </w:t>
            </w:r>
            <w:r w:rsidR="00801759">
              <w:rPr>
                <w:color w:val="000000" w:themeColor="dark1"/>
              </w:rPr>
              <w:t>should be</w:t>
            </w:r>
            <w:r w:rsidR="00753844" w:rsidRPr="00A45550">
              <w:rPr>
                <w:color w:val="000000" w:themeColor="dark1"/>
              </w:rPr>
              <w:t xml:space="preserve"> on triple therapy simultaneously</w:t>
            </w:r>
            <w:r w:rsidR="00FC6266" w:rsidRPr="00A45550">
              <w:rPr>
                <w:color w:val="000000" w:themeColor="dark1"/>
              </w:rPr>
              <w:t xml:space="preserve"> </w:t>
            </w:r>
            <w:r w:rsidR="00801759">
              <w:rPr>
                <w:color w:val="000000" w:themeColor="dark1"/>
              </w:rPr>
              <w:t>at the time of application</w:t>
            </w:r>
            <w:r w:rsidRPr="00A45550">
              <w:rPr>
                <w:color w:val="000000" w:themeColor="dark1"/>
              </w:rPr>
              <w:t>.</w:t>
            </w:r>
          </w:p>
        </w:tc>
      </w:tr>
      <w:tr w:rsidR="00FF3578" w:rsidTr="001F2D98">
        <w:tc>
          <w:tcPr>
            <w:tcW w:w="1980" w:type="dxa"/>
          </w:tcPr>
          <w:p w:rsidR="00FF3578" w:rsidRDefault="00FF3578" w:rsidP="001F2D98">
            <w:pPr>
              <w:pStyle w:val="Tabletext"/>
            </w:pPr>
            <w:r>
              <w:t>No exclusion criteria incorporated into proposed PBS restriction</w:t>
            </w:r>
          </w:p>
        </w:tc>
        <w:tc>
          <w:tcPr>
            <w:tcW w:w="2835" w:type="dxa"/>
          </w:tcPr>
          <w:p w:rsidR="00FF3578" w:rsidRPr="00AC5B77" w:rsidRDefault="00FF3578" w:rsidP="001F2D98">
            <w:pPr>
              <w:pStyle w:val="Tabletext"/>
            </w:pPr>
            <w:r w:rsidRPr="00AC5B77">
              <w:t>Exclu</w:t>
            </w:r>
            <w:r>
              <w:t>ded patients with</w:t>
            </w:r>
            <w:r w:rsidRPr="00AC5B77">
              <w:t xml:space="preserve">: </w:t>
            </w:r>
          </w:p>
          <w:p w:rsidR="00FF3578" w:rsidRPr="00AC5B77" w:rsidRDefault="00FF3578" w:rsidP="001F2D98">
            <w:pPr>
              <w:pStyle w:val="Tabletext"/>
            </w:pPr>
            <w:r w:rsidRPr="00AC5B77">
              <w:t xml:space="preserve">Severe lupus </w:t>
            </w:r>
            <w:r w:rsidR="00E848F4" w:rsidRPr="00E848F4">
              <w:t>nephritis</w:t>
            </w:r>
          </w:p>
          <w:p w:rsidR="00FF3578" w:rsidRPr="00AC5B77" w:rsidRDefault="00FF3578" w:rsidP="001F2D98">
            <w:pPr>
              <w:pStyle w:val="Tabletext"/>
            </w:pPr>
            <w:r w:rsidRPr="00AC5B77">
              <w:t xml:space="preserve">Severe CNS lupus, </w:t>
            </w:r>
          </w:p>
          <w:p w:rsidR="00FF3578" w:rsidRDefault="00FF3578" w:rsidP="001F2D98">
            <w:pPr>
              <w:pStyle w:val="Tabletext"/>
            </w:pPr>
            <w:r w:rsidRPr="00AC5B77">
              <w:t xml:space="preserve">Prior B-cell targeted therapy </w:t>
            </w:r>
          </w:p>
        </w:tc>
        <w:tc>
          <w:tcPr>
            <w:tcW w:w="4111" w:type="dxa"/>
          </w:tcPr>
          <w:p w:rsidR="00FF3578" w:rsidRPr="00A45550" w:rsidRDefault="00E718A9" w:rsidP="001F2D98">
            <w:pPr>
              <w:pStyle w:val="Tabletext"/>
            </w:pPr>
            <w:r>
              <w:t xml:space="preserve">The </w:t>
            </w:r>
            <w:r w:rsidR="00FF3578" w:rsidRPr="00A45550">
              <w:t>PSCR state</w:t>
            </w:r>
            <w:r w:rsidR="003846AB" w:rsidRPr="00A45550">
              <w:t>d this is</w:t>
            </w:r>
            <w:r w:rsidR="00FF3578" w:rsidRPr="00A45550">
              <w:t xml:space="preserve"> covered in </w:t>
            </w:r>
            <w:r w:rsidR="00FC6266" w:rsidRPr="00A45550">
              <w:t xml:space="preserve">the </w:t>
            </w:r>
            <w:r w:rsidR="00FF3578" w:rsidRPr="00A45550">
              <w:t>PI.</w:t>
            </w:r>
          </w:p>
          <w:p w:rsidR="00FF3578" w:rsidRPr="00A45550" w:rsidRDefault="00FF3578" w:rsidP="001F2D98">
            <w:pPr>
              <w:pStyle w:val="Tabletext"/>
            </w:pPr>
            <w:r w:rsidRPr="00A45550">
              <w:t>The</w:t>
            </w:r>
            <w:r w:rsidR="00801759">
              <w:t xml:space="preserve"> PBAC</w:t>
            </w:r>
            <w:r w:rsidRPr="00A45550">
              <w:t xml:space="preserve"> considered </w:t>
            </w:r>
            <w:r w:rsidR="00E848F4" w:rsidRPr="00A45550">
              <w:t>patients with severe active</w:t>
            </w:r>
            <w:r w:rsidRPr="00A45550">
              <w:t xml:space="preserve"> </w:t>
            </w:r>
            <w:r w:rsidR="00E848F4" w:rsidRPr="00A45550">
              <w:t>lupus nephritis and CNS lupus</w:t>
            </w:r>
            <w:r w:rsidR="00801759">
              <w:t xml:space="preserve"> should be excluded from the PBS restriction, consistent with the trial</w:t>
            </w:r>
            <w:r w:rsidR="00E848F4" w:rsidRPr="00A45550">
              <w:t>.</w:t>
            </w:r>
          </w:p>
        </w:tc>
      </w:tr>
      <w:tr w:rsidR="00FF3578" w:rsidTr="001F2D98">
        <w:tc>
          <w:tcPr>
            <w:tcW w:w="8926" w:type="dxa"/>
            <w:gridSpan w:val="3"/>
          </w:tcPr>
          <w:p w:rsidR="00FF3578" w:rsidRPr="00A45550" w:rsidRDefault="00FF3578" w:rsidP="001F2D98">
            <w:pPr>
              <w:pStyle w:val="Tabletext"/>
              <w:rPr>
                <w:color w:val="000000" w:themeColor="dark1"/>
              </w:rPr>
            </w:pPr>
            <w:r w:rsidRPr="00A45550">
              <w:rPr>
                <w:b/>
                <w:color w:val="000000"/>
              </w:rPr>
              <w:t>Continuing restriction</w:t>
            </w:r>
          </w:p>
        </w:tc>
      </w:tr>
      <w:tr w:rsidR="00FF3578" w:rsidTr="001F2D98">
        <w:tc>
          <w:tcPr>
            <w:tcW w:w="1980" w:type="dxa"/>
            <w:shd w:val="clear" w:color="auto" w:fill="auto"/>
          </w:tcPr>
          <w:p w:rsidR="00FF3578" w:rsidRDefault="00FF3578" w:rsidP="001F2D98">
            <w:pPr>
              <w:pStyle w:val="TableTextCA"/>
              <w:jc w:val="left"/>
              <w:rPr>
                <w:rFonts w:ascii="Arial" w:hAnsi="Arial" w:cs="Arial"/>
                <w:lang w:eastAsia="en-AU"/>
              </w:rPr>
            </w:pPr>
            <w:r>
              <w:t xml:space="preserve">≥ 4 point reduction in SELENA-SLEDAI score </w:t>
            </w:r>
            <w:r>
              <w:lastRenderedPageBreak/>
              <w:t xml:space="preserve">compared with baseline. </w:t>
            </w:r>
          </w:p>
          <w:p w:rsidR="00FF3578" w:rsidRDefault="00FF3578" w:rsidP="001F2D98">
            <w:pPr>
              <w:pStyle w:val="TableTextCA"/>
              <w:jc w:val="left"/>
              <w:rPr>
                <w:color w:val="000000"/>
              </w:rPr>
            </w:pPr>
            <w:r>
              <w:t>Assessed at 6 months</w:t>
            </w:r>
          </w:p>
        </w:tc>
        <w:tc>
          <w:tcPr>
            <w:tcW w:w="2835" w:type="dxa"/>
            <w:shd w:val="clear" w:color="auto" w:fill="auto"/>
          </w:tcPr>
          <w:p w:rsidR="00117F42" w:rsidRDefault="00FF3578" w:rsidP="001F2D98">
            <w:pPr>
              <w:pStyle w:val="TableTextCA"/>
              <w:jc w:val="left"/>
            </w:pPr>
            <w:r>
              <w:lastRenderedPageBreak/>
              <w:t xml:space="preserve">BLISS-SC: SRI - composite of SELENA-SLEDAI ≥ 4, PGA, BILAG A. </w:t>
            </w:r>
          </w:p>
          <w:p w:rsidR="00FF3578" w:rsidRDefault="00FF3578" w:rsidP="001F2D98">
            <w:pPr>
              <w:pStyle w:val="TableTextCA"/>
              <w:jc w:val="left"/>
              <w:rPr>
                <w:color w:val="000000" w:themeColor="dark1"/>
              </w:rPr>
            </w:pPr>
            <w:r>
              <w:lastRenderedPageBreak/>
              <w:t>Assessed at 12 months</w:t>
            </w:r>
          </w:p>
        </w:tc>
        <w:tc>
          <w:tcPr>
            <w:tcW w:w="4111" w:type="dxa"/>
            <w:shd w:val="clear" w:color="auto" w:fill="auto"/>
          </w:tcPr>
          <w:p w:rsidR="00117F42" w:rsidRPr="00A45550" w:rsidRDefault="00E718A9" w:rsidP="001F2D98">
            <w:pPr>
              <w:pStyle w:val="TableTextCA"/>
              <w:jc w:val="left"/>
              <w:rPr>
                <w:rFonts w:ascii="Arial" w:hAnsi="Arial" w:cs="Arial"/>
              </w:rPr>
            </w:pPr>
            <w:r>
              <w:lastRenderedPageBreak/>
              <w:t xml:space="preserve">The </w:t>
            </w:r>
            <w:r w:rsidR="00FF3578" w:rsidRPr="00A45550">
              <w:t xml:space="preserve">PBS restriction </w:t>
            </w:r>
            <w:r>
              <w:t xml:space="preserve">is </w:t>
            </w:r>
            <w:r w:rsidR="00FF3578" w:rsidRPr="00A45550">
              <w:t xml:space="preserve">broader than </w:t>
            </w:r>
            <w:r>
              <w:t xml:space="preserve">the </w:t>
            </w:r>
            <w:r w:rsidR="00FF3578" w:rsidRPr="00A45550">
              <w:t>trial definition</w:t>
            </w:r>
            <w:r w:rsidR="005D54BE" w:rsidRPr="00A45550">
              <w:t xml:space="preserve"> </w:t>
            </w:r>
            <w:r w:rsidR="004F36C8" w:rsidRPr="00A45550">
              <w:t>of response</w:t>
            </w:r>
            <w:r w:rsidR="00F716E4" w:rsidRPr="00A45550">
              <w:t>, however o</w:t>
            </w:r>
            <w:r w:rsidR="00117F42" w:rsidRPr="00A45550">
              <w:t xml:space="preserve">utcomes </w:t>
            </w:r>
            <w:r w:rsidR="00F716E4" w:rsidRPr="00A45550">
              <w:t xml:space="preserve">were </w:t>
            </w:r>
            <w:r w:rsidR="00117F42" w:rsidRPr="00A45550">
              <w:t>driven by SELENA-SLEDAI in clinical trials.</w:t>
            </w:r>
          </w:p>
          <w:p w:rsidR="00FF3578" w:rsidRPr="00A45550" w:rsidRDefault="00801759" w:rsidP="001F2D98">
            <w:pPr>
              <w:pStyle w:val="TableTextCA"/>
              <w:jc w:val="left"/>
              <w:rPr>
                <w:color w:val="000000" w:themeColor="dark1"/>
              </w:rPr>
            </w:pPr>
            <w:r>
              <w:lastRenderedPageBreak/>
              <w:t>PBAC considered ≥ 4 point reduction in SLEDAI-2K should be used in the continuation criteria</w:t>
            </w:r>
            <w:r w:rsidR="004F36C8" w:rsidRPr="00A45550">
              <w:t xml:space="preserve">. </w:t>
            </w:r>
          </w:p>
        </w:tc>
      </w:tr>
    </w:tbl>
    <w:p w:rsidR="00B64BB4" w:rsidRDefault="00192101" w:rsidP="001F2D98">
      <w:pPr>
        <w:pStyle w:val="TableFooter"/>
        <w:widowControl/>
      </w:pPr>
      <w:r>
        <w:lastRenderedPageBreak/>
        <w:t>Source: Appendix 1, p92 of Bliss-SC protocol</w:t>
      </w:r>
      <w:r w:rsidR="00B64BB4">
        <w:t>;</w:t>
      </w:r>
      <w:r w:rsidR="00B64BB4" w:rsidRPr="00B64BB4">
        <w:t xml:space="preserve"> Table A1, pp1-5 of Appendix B to submission; p38 of BLISS-SC protocol; p38 of BLISS-SC CSR; p30 of BLISS 5</w:t>
      </w:r>
      <w:r w:rsidR="003846AB" w:rsidRPr="00B64BB4">
        <w:t>2 CSR;p31 of BLISS 76 CSR</w:t>
      </w:r>
    </w:p>
    <w:p w:rsidR="00192101" w:rsidRDefault="00EA0422" w:rsidP="001F2D98">
      <w:pPr>
        <w:pStyle w:val="TableFooter"/>
        <w:widowControl/>
      </w:pPr>
      <w:r>
        <w:t>ACR=</w:t>
      </w:r>
      <w:r w:rsidR="00DC358D" w:rsidRPr="00DC358D">
        <w:t xml:space="preserve"> </w:t>
      </w:r>
      <w:r w:rsidR="000B4FDF">
        <w:t>A</w:t>
      </w:r>
      <w:r w:rsidR="00DC358D" w:rsidRPr="00DC358D">
        <w:t>merican College of Rheumatology</w:t>
      </w:r>
      <w:r>
        <w:t xml:space="preserve">; </w:t>
      </w:r>
      <w:r w:rsidR="00B64BB4" w:rsidRPr="00B64BB4">
        <w:t xml:space="preserve">ANA=anti-nuclear antibody; anti-dsDNA=anti-double stranded deoxyribonucleic acid; CNS=central nervous system; </w:t>
      </w:r>
      <w:r>
        <w:t xml:space="preserve">EULAR = </w:t>
      </w:r>
      <w:r w:rsidRPr="00DC358D">
        <w:t>European League Against Rheumatism</w:t>
      </w:r>
      <w:r>
        <w:t>;</w:t>
      </w:r>
      <w:r w:rsidRPr="00B64BB4">
        <w:t xml:space="preserve"> </w:t>
      </w:r>
      <w:r w:rsidR="00E718A9" w:rsidRPr="00E718A9">
        <w:t xml:space="preserve">PI=Product Information; PSCR=Pre-Sub-Committee Response; </w:t>
      </w:r>
      <w:r w:rsidR="00B64BB4" w:rsidRPr="00B64BB4">
        <w:t>SLE=systemic lupus erythematosus; SELENA=Safety of Estrogen in Lupus Erythematosus National Assessment; SLEDAI=Systemic Lupus Erythematosus Disease Activity Index</w:t>
      </w:r>
      <w:r w:rsidR="00E718A9" w:rsidRPr="00E718A9">
        <w:t>; SOC=standard of care</w:t>
      </w:r>
      <w:r w:rsidR="00E718A9">
        <w:t>.</w:t>
      </w:r>
    </w:p>
    <w:p w:rsidR="00192101" w:rsidRPr="00192101" w:rsidRDefault="00192101" w:rsidP="001F2D98">
      <w:pPr>
        <w:pStyle w:val="TableFooter"/>
        <w:widowControl/>
      </w:pPr>
      <w:r w:rsidRPr="00192101">
        <w:rPr>
          <w:vertAlign w:val="superscript"/>
        </w:rPr>
        <w:t>a</w:t>
      </w:r>
      <w:r>
        <w:rPr>
          <w:vertAlign w:val="superscript"/>
        </w:rPr>
        <w:t xml:space="preserve"> </w:t>
      </w:r>
      <w:r>
        <w:t>Requires</w:t>
      </w:r>
      <w:r w:rsidR="00F75A46">
        <w:t xml:space="preserve"> a patient to have</w:t>
      </w:r>
      <w:r>
        <w:t xml:space="preserve"> 4 or more of </w:t>
      </w:r>
      <w:r w:rsidR="00F75A46">
        <w:t>specific</w:t>
      </w:r>
      <w:r>
        <w:t xml:space="preserve"> criteria from the following </w:t>
      </w:r>
      <w:r w:rsidR="00F75A46">
        <w:t xml:space="preserve">11 </w:t>
      </w:r>
      <w:r>
        <w:t>categories: malar “butterfly” rash, discoid rash, photosensitivity, oral ulcers, arthritis, serositis, renal disorder, neurological disorder, haematological disorder, immunologic disorder (which may include anti-DN</w:t>
      </w:r>
      <w:r w:rsidR="00B4147A">
        <w:t>A</w:t>
      </w:r>
      <w:r>
        <w:t xml:space="preserve">, among others), ANA. </w:t>
      </w:r>
    </w:p>
    <w:p w:rsidR="005E5B36" w:rsidRPr="00A45550" w:rsidRDefault="00192101" w:rsidP="001F2D98">
      <w:pPr>
        <w:pStyle w:val="TableFooter"/>
        <w:widowControl/>
      </w:pPr>
      <w:r>
        <w:rPr>
          <w:vertAlign w:val="superscript"/>
        </w:rPr>
        <w:t xml:space="preserve">b </w:t>
      </w:r>
      <w:r w:rsidRPr="00A45550">
        <w:t xml:space="preserve">From 2 independent time points </w:t>
      </w:r>
    </w:p>
    <w:p w:rsidR="00753844" w:rsidRPr="00A45550" w:rsidRDefault="00753844" w:rsidP="001F2D98">
      <w:pPr>
        <w:pStyle w:val="TableFooter"/>
        <w:widowControl/>
        <w:spacing w:after="240"/>
      </w:pPr>
      <w:r w:rsidRPr="00A45550">
        <w:rPr>
          <w:vertAlign w:val="superscript"/>
        </w:rPr>
        <w:t>c</w:t>
      </w:r>
      <w:r w:rsidRPr="00A45550">
        <w:t xml:space="preserve"> There were significant limitations with these subgroup analyses, as outlined in Paragraph 6.</w:t>
      </w:r>
      <w:r w:rsidR="00240955">
        <w:t>20</w:t>
      </w:r>
    </w:p>
    <w:p w:rsidR="006F311C" w:rsidRDefault="00856882" w:rsidP="001F2D98">
      <w:pPr>
        <w:pStyle w:val="ListParagraph"/>
        <w:numPr>
          <w:ilvl w:val="1"/>
          <w:numId w:val="1"/>
        </w:numPr>
        <w:spacing w:after="120"/>
      </w:pPr>
      <w:r w:rsidRPr="0022277A">
        <w:t xml:space="preserve">The proposed PBS restriction </w:t>
      </w:r>
      <w:r>
        <w:t>was narrower</w:t>
      </w:r>
      <w:r w:rsidRPr="0022277A">
        <w:t xml:space="preserve"> than the eligibility criteria for the key trials </w:t>
      </w:r>
      <w:r w:rsidR="006F311C">
        <w:t>as</w:t>
      </w:r>
      <w:r w:rsidRPr="0022277A">
        <w:t xml:space="preserve"> it require</w:t>
      </w:r>
      <w:r w:rsidR="006F311C">
        <w:t>d</w:t>
      </w:r>
      <w:r w:rsidRPr="0022277A">
        <w:t xml:space="preserve"> patients to: be positive for anti-ds DNA (the trials also allowed ANA titre ≥1:80); have a SELENA-SLEDAI score ≥10 (the trials all used lower scores); be on prednisone ≥ 7.5 mg/day (prednisone was not required at baseline in any of the trials)</w:t>
      </w:r>
      <w:r w:rsidR="00637A91">
        <w:t>; and be on c</w:t>
      </w:r>
      <w:r w:rsidR="00637A91">
        <w:rPr>
          <w:color w:val="000000"/>
        </w:rPr>
        <w:t>oncomitant triple therapy (not required in any of the trials).</w:t>
      </w:r>
      <w:r>
        <w:t xml:space="preserve"> The PBAC noted tha</w:t>
      </w:r>
      <w:r w:rsidR="006F311C">
        <w:t xml:space="preserve">t these criteria would target patients who have </w:t>
      </w:r>
      <w:r w:rsidR="00F5245A">
        <w:t>a high</w:t>
      </w:r>
      <w:r w:rsidR="006F311C">
        <w:t xml:space="preserve"> clinical need and who are most likely </w:t>
      </w:r>
      <w:r w:rsidR="006F311C" w:rsidRPr="003F4A65">
        <w:t xml:space="preserve">to respond based on </w:t>
      </w:r>
      <w:r w:rsidR="007A61BC" w:rsidRPr="003F4A65">
        <w:t>results of subgroup analyses of the trials (refer to Paragraph</w:t>
      </w:r>
      <w:r w:rsidR="00AF3D14">
        <w:t>s</w:t>
      </w:r>
      <w:r w:rsidR="007A61BC" w:rsidRPr="003F4A65">
        <w:t xml:space="preserve"> 6.</w:t>
      </w:r>
      <w:r w:rsidR="00240955">
        <w:t>19</w:t>
      </w:r>
      <w:r w:rsidR="00AF3D14">
        <w:t xml:space="preserve"> to 6.2</w:t>
      </w:r>
      <w:r w:rsidR="00240955">
        <w:t>0</w:t>
      </w:r>
      <w:r w:rsidR="007A61BC" w:rsidRPr="003F4A65">
        <w:t>)</w:t>
      </w:r>
      <w:r w:rsidR="007A61BC">
        <w:t xml:space="preserve"> and an</w:t>
      </w:r>
      <w:r w:rsidR="007A61BC" w:rsidRPr="007A61BC">
        <w:t xml:space="preserve"> Italian study of belimumab</w:t>
      </w:r>
      <w:r w:rsidR="00992A53">
        <w:t xml:space="preserve"> use</w:t>
      </w:r>
      <w:r w:rsidR="007A61BC" w:rsidRPr="007A61BC">
        <w:t xml:space="preserve"> in the ‘real world’ setting which found that predictors of response were SLEDAI-2K ≥ 10, polyarthritis and prednisone </w:t>
      </w:r>
      <w:r w:rsidR="006F311C">
        <w:t>≥7.5 </w:t>
      </w:r>
      <w:r w:rsidR="007A61BC" w:rsidRPr="007A61BC">
        <w:t>mg/day</w:t>
      </w:r>
      <w:r w:rsidR="006F311C">
        <w:rPr>
          <w:rStyle w:val="FootnoteReference"/>
        </w:rPr>
        <w:footnoteReference w:id="1"/>
      </w:r>
      <w:r w:rsidR="007A61BC" w:rsidRPr="007A61BC">
        <w:t>.</w:t>
      </w:r>
      <w:r w:rsidR="007A61BC">
        <w:t xml:space="preserve"> </w:t>
      </w:r>
      <w:r w:rsidR="00372D9A">
        <w:t>Further, t</w:t>
      </w:r>
      <w:r w:rsidR="006F311C">
        <w:t xml:space="preserve">he PBAC noted that </w:t>
      </w:r>
      <w:r w:rsidR="006F311C" w:rsidRPr="00856882">
        <w:t xml:space="preserve">the ‘2019 update of the EULAR recommendations for the management of </w:t>
      </w:r>
      <w:r w:rsidR="006F311C">
        <w:t>SLE</w:t>
      </w:r>
      <w:r w:rsidR="006F311C" w:rsidRPr="00856882">
        <w:t>’</w:t>
      </w:r>
      <w:r w:rsidR="006F311C">
        <w:t xml:space="preserve"> </w:t>
      </w:r>
      <w:r w:rsidR="006F311C" w:rsidRPr="00856882">
        <w:t xml:space="preserve">stated that the </w:t>
      </w:r>
      <w:r w:rsidR="00372D9A">
        <w:t>‘</w:t>
      </w:r>
      <w:r w:rsidR="006F311C" w:rsidRPr="00856882">
        <w:t>patients who are more likely to respond to belimumab include those with high disease activity (e</w:t>
      </w:r>
      <w:r w:rsidR="006F311C">
        <w:t>.</w:t>
      </w:r>
      <w:r w:rsidR="006F311C" w:rsidRPr="00856882">
        <w:t>g</w:t>
      </w:r>
      <w:r w:rsidR="006F311C">
        <w:t>.</w:t>
      </w:r>
      <w:r w:rsidR="006F311C" w:rsidRPr="00856882">
        <w:t xml:space="preserve"> SLEDAI &gt;</w:t>
      </w:r>
      <w:r w:rsidR="006F311C">
        <w:t xml:space="preserve"> </w:t>
      </w:r>
      <w:r w:rsidR="006F311C" w:rsidRPr="00856882">
        <w:t>10), prednisone dose &gt;</w:t>
      </w:r>
      <w:r w:rsidR="006F311C">
        <w:t xml:space="preserve"> </w:t>
      </w:r>
      <w:r w:rsidR="006F311C" w:rsidRPr="00856882">
        <w:t>7.5 mg/day and serological activity (low C3/C4, high anti-dsDNA titres), with cutaneous, musculoskeletal and serological manifestations responding the most</w:t>
      </w:r>
      <w:r w:rsidR="00372D9A">
        <w:t>’</w:t>
      </w:r>
      <w:r w:rsidR="006F311C">
        <w:t>.</w:t>
      </w:r>
      <w:r w:rsidR="006F311C">
        <w:rPr>
          <w:rStyle w:val="FootnoteReference"/>
        </w:rPr>
        <w:footnoteReference w:id="2"/>
      </w:r>
    </w:p>
    <w:p w:rsidR="00F5245A" w:rsidRPr="00F5245A" w:rsidRDefault="00F5245A" w:rsidP="001F2D98">
      <w:pPr>
        <w:spacing w:after="120"/>
        <w:rPr>
          <w:u w:val="single"/>
        </w:rPr>
      </w:pPr>
      <w:r w:rsidRPr="00F5245A">
        <w:rPr>
          <w:u w:val="single"/>
        </w:rPr>
        <w:t>Diagnostic criteria</w:t>
      </w:r>
    </w:p>
    <w:p w:rsidR="00AC5B77" w:rsidRPr="00A45550" w:rsidRDefault="00AC5B77" w:rsidP="001F2D98">
      <w:pPr>
        <w:pStyle w:val="ListParagraph"/>
        <w:widowControl/>
        <w:numPr>
          <w:ilvl w:val="1"/>
          <w:numId w:val="1"/>
        </w:numPr>
        <w:spacing w:after="120"/>
      </w:pPr>
      <w:r w:rsidRPr="00A45550">
        <w:rPr>
          <w:szCs w:val="24"/>
        </w:rPr>
        <w:t xml:space="preserve">The proposed restriction states “Patient must have a confirmed and documented diagnosis of SLE”, </w:t>
      </w:r>
      <w:r w:rsidR="00F75A46" w:rsidRPr="00A45550">
        <w:rPr>
          <w:szCs w:val="24"/>
        </w:rPr>
        <w:t>however</w:t>
      </w:r>
      <w:r w:rsidRPr="00A45550">
        <w:rPr>
          <w:szCs w:val="24"/>
        </w:rPr>
        <w:t xml:space="preserve"> no clear diagnostic criteria</w:t>
      </w:r>
      <w:r w:rsidR="00F75A46" w:rsidRPr="00A45550">
        <w:rPr>
          <w:szCs w:val="24"/>
        </w:rPr>
        <w:t xml:space="preserve"> </w:t>
      </w:r>
      <w:r w:rsidR="000B556A" w:rsidRPr="00A45550">
        <w:rPr>
          <w:szCs w:val="24"/>
        </w:rPr>
        <w:t>we</w:t>
      </w:r>
      <w:r w:rsidR="00F75A46" w:rsidRPr="00A45550">
        <w:rPr>
          <w:szCs w:val="24"/>
        </w:rPr>
        <w:t>re</w:t>
      </w:r>
      <w:r w:rsidRPr="00A45550">
        <w:rPr>
          <w:szCs w:val="24"/>
        </w:rPr>
        <w:t xml:space="preserve"> specified. </w:t>
      </w:r>
      <w:r w:rsidR="00243315" w:rsidRPr="00A45550">
        <w:rPr>
          <w:szCs w:val="24"/>
        </w:rPr>
        <w:t>All trial</w:t>
      </w:r>
      <w:r w:rsidR="00930E25">
        <w:rPr>
          <w:szCs w:val="24"/>
        </w:rPr>
        <w:t>s</w:t>
      </w:r>
      <w:r w:rsidR="00243315" w:rsidRPr="00A45550">
        <w:rPr>
          <w:szCs w:val="24"/>
        </w:rPr>
        <w:t xml:space="preserve"> included in the submission’s meta-analysis </w:t>
      </w:r>
      <w:r w:rsidR="00F75A46" w:rsidRPr="00A45550">
        <w:rPr>
          <w:szCs w:val="24"/>
        </w:rPr>
        <w:t xml:space="preserve">required </w:t>
      </w:r>
      <w:r w:rsidR="00243315" w:rsidRPr="00A45550">
        <w:rPr>
          <w:szCs w:val="24"/>
        </w:rPr>
        <w:t xml:space="preserve">patients </w:t>
      </w:r>
      <w:r w:rsidR="00F75A46" w:rsidRPr="00A45550">
        <w:rPr>
          <w:szCs w:val="24"/>
        </w:rPr>
        <w:t xml:space="preserve">to have a diagnosis of SLE according to the </w:t>
      </w:r>
      <w:r w:rsidR="00546223">
        <w:rPr>
          <w:szCs w:val="24"/>
        </w:rPr>
        <w:t xml:space="preserve">1997 </w:t>
      </w:r>
      <w:r w:rsidR="00F75A46" w:rsidRPr="00A45550">
        <w:rPr>
          <w:szCs w:val="24"/>
        </w:rPr>
        <w:t>American College of Rheumatology (ACR) criteria.</w:t>
      </w:r>
      <w:r w:rsidRPr="00A45550">
        <w:rPr>
          <w:szCs w:val="24"/>
        </w:rPr>
        <w:t xml:space="preserve"> </w:t>
      </w:r>
      <w:r w:rsidR="00DD57FD">
        <w:rPr>
          <w:szCs w:val="24"/>
        </w:rPr>
        <w:t xml:space="preserve">The </w:t>
      </w:r>
      <w:r w:rsidR="008058F5" w:rsidRPr="00167BA5">
        <w:rPr>
          <w:rFonts w:asciiTheme="minorHAnsi" w:hAnsiTheme="minorHAnsi" w:cstheme="minorHAnsi"/>
          <w:szCs w:val="24"/>
        </w:rPr>
        <w:t>Economics Sub-Committee</w:t>
      </w:r>
      <w:r w:rsidR="008058F5">
        <w:rPr>
          <w:szCs w:val="24"/>
        </w:rPr>
        <w:t xml:space="preserve"> (</w:t>
      </w:r>
      <w:r w:rsidR="00DD57FD">
        <w:rPr>
          <w:szCs w:val="24"/>
        </w:rPr>
        <w:t>E</w:t>
      </w:r>
      <w:r w:rsidRPr="00A45550">
        <w:rPr>
          <w:szCs w:val="24"/>
        </w:rPr>
        <w:t>SC</w:t>
      </w:r>
      <w:r w:rsidR="008058F5">
        <w:rPr>
          <w:szCs w:val="24"/>
        </w:rPr>
        <w:t>)</w:t>
      </w:r>
      <w:r w:rsidRPr="00A45550">
        <w:rPr>
          <w:szCs w:val="24"/>
        </w:rPr>
        <w:t xml:space="preserve"> </w:t>
      </w:r>
      <w:r w:rsidR="00546223">
        <w:rPr>
          <w:szCs w:val="24"/>
        </w:rPr>
        <w:t xml:space="preserve">and PBAC </w:t>
      </w:r>
      <w:r w:rsidRPr="00A45550">
        <w:rPr>
          <w:szCs w:val="24"/>
        </w:rPr>
        <w:t xml:space="preserve">considered that </w:t>
      </w:r>
      <w:r w:rsidR="00B4147A" w:rsidRPr="00A45550">
        <w:rPr>
          <w:szCs w:val="24"/>
        </w:rPr>
        <w:t>specific</w:t>
      </w:r>
      <w:r w:rsidRPr="00A45550">
        <w:rPr>
          <w:szCs w:val="24"/>
        </w:rPr>
        <w:t xml:space="preserve"> SLE diagnostic criteria</w:t>
      </w:r>
      <w:r w:rsidR="00B4147A" w:rsidRPr="00A45550">
        <w:rPr>
          <w:szCs w:val="24"/>
        </w:rPr>
        <w:t xml:space="preserve"> would be required to reduce the risk of </w:t>
      </w:r>
      <w:r w:rsidRPr="00A45550">
        <w:rPr>
          <w:szCs w:val="24"/>
        </w:rPr>
        <w:t xml:space="preserve">leakage </w:t>
      </w:r>
      <w:r w:rsidR="000B556A" w:rsidRPr="00A45550">
        <w:rPr>
          <w:szCs w:val="24"/>
        </w:rPr>
        <w:t>in</w:t>
      </w:r>
      <w:r w:rsidRPr="00A45550">
        <w:rPr>
          <w:szCs w:val="24"/>
        </w:rPr>
        <w:t>to poorly defined connective tissue dis</w:t>
      </w:r>
      <w:r w:rsidR="00B4147A" w:rsidRPr="00A45550">
        <w:rPr>
          <w:szCs w:val="24"/>
        </w:rPr>
        <w:t>orders</w:t>
      </w:r>
      <w:r w:rsidRPr="00A45550">
        <w:rPr>
          <w:szCs w:val="24"/>
        </w:rPr>
        <w:t>.</w:t>
      </w:r>
      <w:r w:rsidR="00546223">
        <w:rPr>
          <w:szCs w:val="24"/>
        </w:rPr>
        <w:t xml:space="preserve"> The PBAC considered that the restriction should require p</w:t>
      </w:r>
      <w:r w:rsidR="00546223" w:rsidRPr="00A45550">
        <w:rPr>
          <w:szCs w:val="24"/>
        </w:rPr>
        <w:t>atient</w:t>
      </w:r>
      <w:r w:rsidR="00546223">
        <w:rPr>
          <w:szCs w:val="24"/>
        </w:rPr>
        <w:t xml:space="preserve">s to </w:t>
      </w:r>
      <w:r w:rsidR="00546223">
        <w:rPr>
          <w:szCs w:val="24"/>
        </w:rPr>
        <w:lastRenderedPageBreak/>
        <w:t>h</w:t>
      </w:r>
      <w:r w:rsidR="00546223" w:rsidRPr="00A45550">
        <w:rPr>
          <w:szCs w:val="24"/>
        </w:rPr>
        <w:t xml:space="preserve">ave a confirmed </w:t>
      </w:r>
      <w:r w:rsidR="00546223">
        <w:rPr>
          <w:szCs w:val="24"/>
        </w:rPr>
        <w:t xml:space="preserve">and documented diagnosis of SLE according to the </w:t>
      </w:r>
      <w:r w:rsidR="00EA0422" w:rsidRPr="00EA0422">
        <w:rPr>
          <w:szCs w:val="24"/>
        </w:rPr>
        <w:t>2019 European League Against Rheumatism</w:t>
      </w:r>
      <w:r w:rsidR="00EA0422">
        <w:rPr>
          <w:szCs w:val="24"/>
        </w:rPr>
        <w:t xml:space="preserve"> (EULAR) </w:t>
      </w:r>
      <w:r w:rsidR="00EA0422" w:rsidRPr="00EA0422">
        <w:rPr>
          <w:szCs w:val="24"/>
        </w:rPr>
        <w:t>/</w:t>
      </w:r>
      <w:r w:rsidR="00EA0422">
        <w:rPr>
          <w:szCs w:val="24"/>
        </w:rPr>
        <w:t xml:space="preserve"> </w:t>
      </w:r>
      <w:r w:rsidR="00EA0422" w:rsidRPr="00EA0422">
        <w:rPr>
          <w:szCs w:val="24"/>
        </w:rPr>
        <w:t xml:space="preserve">American College of Rheumatology </w:t>
      </w:r>
      <w:r w:rsidR="00EA0422">
        <w:rPr>
          <w:szCs w:val="24"/>
        </w:rPr>
        <w:t xml:space="preserve">(ACR) </w:t>
      </w:r>
      <w:r w:rsidR="00EA0422" w:rsidRPr="00EA0422">
        <w:rPr>
          <w:szCs w:val="24"/>
        </w:rPr>
        <w:t xml:space="preserve">classification criteria for </w:t>
      </w:r>
      <w:r w:rsidR="00EA0422">
        <w:rPr>
          <w:szCs w:val="24"/>
        </w:rPr>
        <w:t xml:space="preserve">SLE </w:t>
      </w:r>
      <w:r w:rsidR="00EA0422">
        <w:rPr>
          <w:rStyle w:val="FootnoteReference"/>
          <w:szCs w:val="24"/>
        </w:rPr>
        <w:footnoteReference w:id="3"/>
      </w:r>
      <w:r w:rsidR="00546223">
        <w:rPr>
          <w:szCs w:val="24"/>
        </w:rPr>
        <w:t>. The PBAC noted that this includes a requirement for a po</w:t>
      </w:r>
      <w:r w:rsidR="00546223" w:rsidRPr="00546223">
        <w:rPr>
          <w:szCs w:val="24"/>
        </w:rPr>
        <w:t>sitive ANA</w:t>
      </w:r>
      <w:r w:rsidR="00546223">
        <w:rPr>
          <w:szCs w:val="24"/>
        </w:rPr>
        <w:t>.</w:t>
      </w:r>
      <w:r w:rsidR="00DD57FD">
        <w:rPr>
          <w:szCs w:val="24"/>
        </w:rPr>
        <w:t xml:space="preserve"> As such, </w:t>
      </w:r>
      <w:r w:rsidR="00EA0422">
        <w:rPr>
          <w:szCs w:val="24"/>
        </w:rPr>
        <w:t xml:space="preserve">the PBAC considered that </w:t>
      </w:r>
      <w:r w:rsidR="00DD57FD">
        <w:rPr>
          <w:szCs w:val="24"/>
        </w:rPr>
        <w:t xml:space="preserve">a separate criterion </w:t>
      </w:r>
      <w:r w:rsidR="00EA0422">
        <w:rPr>
          <w:szCs w:val="24"/>
        </w:rPr>
        <w:t>specifying</w:t>
      </w:r>
      <w:r w:rsidR="00DD57FD">
        <w:rPr>
          <w:szCs w:val="24"/>
        </w:rPr>
        <w:t xml:space="preserve"> positive ANA would not be required.</w:t>
      </w:r>
    </w:p>
    <w:p w:rsidR="0009371F" w:rsidRPr="00A45550" w:rsidRDefault="0009371F" w:rsidP="001F2D98">
      <w:pPr>
        <w:pStyle w:val="BodyText"/>
        <w:spacing w:after="120"/>
        <w:rPr>
          <w:u w:val="single"/>
        </w:rPr>
      </w:pPr>
      <w:r w:rsidRPr="00A45550">
        <w:rPr>
          <w:u w:val="single"/>
        </w:rPr>
        <w:t>Anti-dsDNA serum antibody test</w:t>
      </w:r>
    </w:p>
    <w:p w:rsidR="000609C5" w:rsidRPr="00A45550" w:rsidRDefault="00172AD3" w:rsidP="001F2D98">
      <w:pPr>
        <w:pStyle w:val="ListParagraph"/>
        <w:widowControl/>
        <w:numPr>
          <w:ilvl w:val="1"/>
          <w:numId w:val="1"/>
        </w:numPr>
        <w:spacing w:after="120"/>
        <w:rPr>
          <w:szCs w:val="24"/>
        </w:rPr>
      </w:pPr>
      <w:r w:rsidRPr="00A45550">
        <w:rPr>
          <w:szCs w:val="24"/>
        </w:rPr>
        <w:t xml:space="preserve">The proposed restriction limits access to patients with an anti-dsDNA serum antibody test result </w:t>
      </w:r>
      <w:r w:rsidR="008D0C4E" w:rsidRPr="00A45550">
        <w:rPr>
          <w:szCs w:val="24"/>
        </w:rPr>
        <w:t xml:space="preserve">that </w:t>
      </w:r>
      <w:r w:rsidRPr="00A45550">
        <w:rPr>
          <w:szCs w:val="24"/>
        </w:rPr>
        <w:t xml:space="preserve">is unequivocally positive. </w:t>
      </w:r>
      <w:r w:rsidR="00152B7B" w:rsidRPr="00A45550">
        <w:t xml:space="preserve">The </w:t>
      </w:r>
      <w:r w:rsidR="00EA0422">
        <w:t xml:space="preserve">evaluation noted the </w:t>
      </w:r>
      <w:r w:rsidR="00152B7B" w:rsidRPr="00A45550">
        <w:t xml:space="preserve">phrase ‘unequivocally positive’ may be open to interpretation by prescribers and difficult to audit. </w:t>
      </w:r>
      <w:r w:rsidR="000609C5" w:rsidRPr="00A45550">
        <w:rPr>
          <w:szCs w:val="24"/>
        </w:rPr>
        <w:t xml:space="preserve">The </w:t>
      </w:r>
      <w:r w:rsidR="000609C5" w:rsidRPr="00A45550">
        <w:t xml:space="preserve">Pre-Sub-Committee Response (PSCR) stated that a particular reference range was not </w:t>
      </w:r>
      <w:r w:rsidR="005D77E0" w:rsidRPr="00A45550">
        <w:t>specified</w:t>
      </w:r>
      <w:r w:rsidR="000609C5" w:rsidRPr="00A45550">
        <w:t xml:space="preserve"> as different assays are used to determine anti-dsDNA levels, with not all laboratories reporting IU/mL.</w:t>
      </w:r>
      <w:r w:rsidR="000609C5" w:rsidRPr="00A45550">
        <w:rPr>
          <w:szCs w:val="24"/>
        </w:rPr>
        <w:t xml:space="preserve"> </w:t>
      </w:r>
      <w:r w:rsidR="00A70896">
        <w:rPr>
          <w:szCs w:val="24"/>
        </w:rPr>
        <w:t xml:space="preserve">The PBAC considered that it was not necessary to define a </w:t>
      </w:r>
      <w:r w:rsidR="00A70896" w:rsidRPr="00A45550">
        <w:t>particular reference range</w:t>
      </w:r>
      <w:r w:rsidR="00A70896">
        <w:t xml:space="preserve"> f</w:t>
      </w:r>
      <w:r w:rsidR="003F4A65">
        <w:t>or</w:t>
      </w:r>
      <w:r w:rsidR="00A70896">
        <w:t xml:space="preserve"> </w:t>
      </w:r>
      <w:r w:rsidR="00A70896" w:rsidRPr="00A45550">
        <w:t>anti-dsDNA levels</w:t>
      </w:r>
      <w:r w:rsidR="00A70896">
        <w:t>.</w:t>
      </w:r>
    </w:p>
    <w:p w:rsidR="008D0C4E" w:rsidRPr="00331128" w:rsidRDefault="00172AD3" w:rsidP="001F2D98">
      <w:pPr>
        <w:pStyle w:val="ListParagraph"/>
        <w:widowControl/>
        <w:numPr>
          <w:ilvl w:val="1"/>
          <w:numId w:val="1"/>
        </w:numPr>
        <w:spacing w:after="120"/>
        <w:rPr>
          <w:i/>
          <w:szCs w:val="24"/>
        </w:rPr>
      </w:pPr>
      <w:r w:rsidRPr="006960D6">
        <w:rPr>
          <w:szCs w:val="24"/>
        </w:rPr>
        <w:t>In the clinical trials, patients were required to have unequivocally positive autoantibody test results defined as an ANA titre ≥ 1:80 and/or a positive anti-dsDNA (≥ 30 IU/mL) serum antibody test from two independent time points.</w:t>
      </w:r>
      <w:r w:rsidR="006B562F" w:rsidRPr="006960D6">
        <w:rPr>
          <w:szCs w:val="24"/>
        </w:rPr>
        <w:t xml:space="preserve"> </w:t>
      </w:r>
      <w:r w:rsidR="000609C5" w:rsidRPr="006960D6">
        <w:rPr>
          <w:szCs w:val="24"/>
        </w:rPr>
        <w:t xml:space="preserve">Nearly all SLE patients test positive to ANA, however it has low specificity and is not used as a monitoring test for disease activity. Anti-dsDNA is highly specific to SLE, however it has low sensitivity. </w:t>
      </w:r>
    </w:p>
    <w:p w:rsidR="00683EB3" w:rsidRPr="00A45550" w:rsidRDefault="00683EB3" w:rsidP="001F2D98">
      <w:pPr>
        <w:pStyle w:val="ListParagraph"/>
        <w:widowControl/>
        <w:numPr>
          <w:ilvl w:val="1"/>
          <w:numId w:val="1"/>
        </w:numPr>
        <w:spacing w:after="120"/>
        <w:rPr>
          <w:szCs w:val="24"/>
        </w:rPr>
      </w:pPr>
      <w:r w:rsidRPr="00A45550">
        <w:rPr>
          <w:szCs w:val="24"/>
        </w:rPr>
        <w:t>Complement levels are also used to gauge disease activity. In the clinical trials, a numerically larger treatment effect was observed in patients with positive anti-dsDNA and low com</w:t>
      </w:r>
      <w:r w:rsidR="00FB522F">
        <w:rPr>
          <w:szCs w:val="24"/>
        </w:rPr>
        <w:t>plement levels. The PSCR stated</w:t>
      </w:r>
      <w:r w:rsidRPr="00A45550">
        <w:rPr>
          <w:szCs w:val="24"/>
        </w:rPr>
        <w:t>: “An additional criterion</w:t>
      </w:r>
      <w:r w:rsidRPr="00A45550">
        <w:t xml:space="preserve"> </w:t>
      </w:r>
      <w:r w:rsidRPr="00A45550">
        <w:rPr>
          <w:szCs w:val="24"/>
        </w:rPr>
        <w:t>for access to belimumab could be low complement levels (C3 or C4) as the belimumab studies showed subjects with this criterion had greater likelihood of achieving a response. This was independent of anti-dsDNA levels and hence if this were added, the requirement should be anti-dsDNA positive OR low complement.”</w:t>
      </w:r>
    </w:p>
    <w:p w:rsidR="00577C66" w:rsidRPr="00A45550" w:rsidRDefault="0009371F" w:rsidP="001F2D98">
      <w:pPr>
        <w:pStyle w:val="ListParagraph"/>
        <w:widowControl/>
        <w:numPr>
          <w:ilvl w:val="1"/>
          <w:numId w:val="1"/>
        </w:numPr>
        <w:spacing w:after="120"/>
        <w:rPr>
          <w:szCs w:val="24"/>
        </w:rPr>
      </w:pPr>
      <w:r w:rsidRPr="00A45550">
        <w:rPr>
          <w:szCs w:val="24"/>
        </w:rPr>
        <w:t>The ESC noted that the requested restriction (based on anti-dsDNA positivity) was narrower that the eligibility criteria of the key trial</w:t>
      </w:r>
      <w:r w:rsidR="00F716E4" w:rsidRPr="00A45550">
        <w:rPr>
          <w:szCs w:val="24"/>
        </w:rPr>
        <w:t>s</w:t>
      </w:r>
      <w:r w:rsidRPr="00A45550">
        <w:rPr>
          <w:szCs w:val="24"/>
        </w:rPr>
        <w:t xml:space="preserve"> (</w:t>
      </w:r>
      <w:r w:rsidR="00F716E4" w:rsidRPr="00A45550">
        <w:rPr>
          <w:szCs w:val="24"/>
        </w:rPr>
        <w:t>which were</w:t>
      </w:r>
      <w:r w:rsidRPr="00A45550">
        <w:rPr>
          <w:szCs w:val="24"/>
        </w:rPr>
        <w:t xml:space="preserve"> based on anti-dsDNA positivity and/or ANA titre), </w:t>
      </w:r>
      <w:r w:rsidR="00FF3578" w:rsidRPr="00A45550">
        <w:rPr>
          <w:szCs w:val="24"/>
        </w:rPr>
        <w:t>and</w:t>
      </w:r>
      <w:r w:rsidR="00B4147A" w:rsidRPr="00A45550">
        <w:rPr>
          <w:szCs w:val="24"/>
        </w:rPr>
        <w:t xml:space="preserve"> the PSCR stat</w:t>
      </w:r>
      <w:r w:rsidR="00FF3578" w:rsidRPr="00A45550">
        <w:rPr>
          <w:szCs w:val="24"/>
        </w:rPr>
        <w:t>ed</w:t>
      </w:r>
      <w:r w:rsidR="00B4147A" w:rsidRPr="00A45550">
        <w:rPr>
          <w:szCs w:val="24"/>
        </w:rPr>
        <w:t xml:space="preserve"> </w:t>
      </w:r>
      <w:r w:rsidR="00C810FF" w:rsidRPr="00A45550">
        <w:rPr>
          <w:szCs w:val="24"/>
        </w:rPr>
        <w:t xml:space="preserve">patients who were anti-dsDNA positive at baseline were </w:t>
      </w:r>
      <w:r w:rsidR="005D77E0" w:rsidRPr="00A45550">
        <w:rPr>
          <w:szCs w:val="24"/>
        </w:rPr>
        <w:t>“</w:t>
      </w:r>
      <w:r w:rsidR="00B4147A" w:rsidRPr="00A45550">
        <w:rPr>
          <w:szCs w:val="24"/>
        </w:rPr>
        <w:t>a high treatment responding subgroup</w:t>
      </w:r>
      <w:r w:rsidR="005D77E0" w:rsidRPr="00A45550">
        <w:rPr>
          <w:szCs w:val="24"/>
        </w:rPr>
        <w:t>”</w:t>
      </w:r>
      <w:r w:rsidR="00B4147A" w:rsidRPr="00A45550">
        <w:rPr>
          <w:szCs w:val="24"/>
        </w:rPr>
        <w:t xml:space="preserve">. </w:t>
      </w:r>
      <w:r w:rsidR="00E61C93" w:rsidRPr="00A45550">
        <w:rPr>
          <w:szCs w:val="24"/>
        </w:rPr>
        <w:t xml:space="preserve">In the submission’s meta-analysis, </w:t>
      </w:r>
      <w:r w:rsidR="00577C66" w:rsidRPr="00A45550">
        <w:rPr>
          <w:szCs w:val="24"/>
        </w:rPr>
        <w:t xml:space="preserve">there was generally a greater treatment effect in patients who were </w:t>
      </w:r>
      <w:r w:rsidR="00E61C93" w:rsidRPr="00A45550">
        <w:rPr>
          <w:szCs w:val="24"/>
        </w:rPr>
        <w:t>anti-dsDNA positiv</w:t>
      </w:r>
      <w:r w:rsidR="00577C66" w:rsidRPr="00A45550">
        <w:rPr>
          <w:szCs w:val="24"/>
        </w:rPr>
        <w:t>e,</w:t>
      </w:r>
      <w:r w:rsidR="00577C66" w:rsidRPr="00A45550">
        <w:t xml:space="preserve"> </w:t>
      </w:r>
      <w:r w:rsidR="00577C66" w:rsidRPr="00A45550">
        <w:rPr>
          <w:szCs w:val="24"/>
        </w:rPr>
        <w:t xml:space="preserve">however </w:t>
      </w:r>
      <w:r w:rsidR="00577C66" w:rsidRPr="003F4A65">
        <w:rPr>
          <w:szCs w:val="24"/>
        </w:rPr>
        <w:t>there were limitations with these subgroup analyses as outlined in Paragraph</w:t>
      </w:r>
      <w:r w:rsidR="003F4A65" w:rsidRPr="003F4A65">
        <w:rPr>
          <w:szCs w:val="24"/>
        </w:rPr>
        <w:t>s</w:t>
      </w:r>
      <w:r w:rsidR="00577C66" w:rsidRPr="003F4A65">
        <w:rPr>
          <w:szCs w:val="24"/>
        </w:rPr>
        <w:t xml:space="preserve"> 6.</w:t>
      </w:r>
      <w:r w:rsidR="00240955">
        <w:rPr>
          <w:szCs w:val="24"/>
        </w:rPr>
        <w:t>19</w:t>
      </w:r>
      <w:r w:rsidR="003F4A65" w:rsidRPr="003F4A65">
        <w:rPr>
          <w:szCs w:val="24"/>
        </w:rPr>
        <w:t>-</w:t>
      </w:r>
      <w:r w:rsidR="003F4A65">
        <w:rPr>
          <w:szCs w:val="24"/>
        </w:rPr>
        <w:t>6.2</w:t>
      </w:r>
      <w:r w:rsidR="00240955">
        <w:rPr>
          <w:szCs w:val="24"/>
        </w:rPr>
        <w:t>0</w:t>
      </w:r>
      <w:r w:rsidR="00577C66" w:rsidRPr="00A45550">
        <w:rPr>
          <w:szCs w:val="24"/>
        </w:rPr>
        <w:t>.</w:t>
      </w:r>
      <w:r w:rsidR="00E61C93" w:rsidRPr="00A45550">
        <w:rPr>
          <w:szCs w:val="24"/>
        </w:rPr>
        <w:t xml:space="preserve"> </w:t>
      </w:r>
    </w:p>
    <w:p w:rsidR="005D77E0" w:rsidRPr="00A45550" w:rsidRDefault="00E61C93" w:rsidP="001F2D98">
      <w:pPr>
        <w:pStyle w:val="ListParagraph"/>
        <w:widowControl/>
        <w:numPr>
          <w:ilvl w:val="1"/>
          <w:numId w:val="1"/>
        </w:numPr>
        <w:spacing w:after="120"/>
        <w:rPr>
          <w:szCs w:val="24"/>
        </w:rPr>
      </w:pPr>
      <w:r w:rsidRPr="00A45550">
        <w:rPr>
          <w:szCs w:val="24"/>
        </w:rPr>
        <w:t>T</w:t>
      </w:r>
      <w:r w:rsidR="00B4147A" w:rsidRPr="00A45550">
        <w:rPr>
          <w:szCs w:val="24"/>
        </w:rPr>
        <w:t>he PBAC consider</w:t>
      </w:r>
      <w:r w:rsidR="00DD57FD">
        <w:rPr>
          <w:szCs w:val="24"/>
        </w:rPr>
        <w:t xml:space="preserve">ed </w:t>
      </w:r>
      <w:r w:rsidR="00A70896">
        <w:rPr>
          <w:szCs w:val="24"/>
        </w:rPr>
        <w:t xml:space="preserve">that </w:t>
      </w:r>
      <w:r w:rsidR="00DD57FD">
        <w:rPr>
          <w:szCs w:val="24"/>
        </w:rPr>
        <w:t xml:space="preserve">the </w:t>
      </w:r>
      <w:r w:rsidR="00A70896">
        <w:rPr>
          <w:szCs w:val="24"/>
        </w:rPr>
        <w:t>clinical criteria should require patients to have ‘l</w:t>
      </w:r>
      <w:r w:rsidR="00DD57FD" w:rsidRPr="00DD57FD">
        <w:rPr>
          <w:szCs w:val="24"/>
        </w:rPr>
        <w:t>aboratory evidence of disease activity with elevated anti-dsDNA titre OR low complement (C3,</w:t>
      </w:r>
      <w:r w:rsidR="00E718A9">
        <w:rPr>
          <w:szCs w:val="24"/>
        </w:rPr>
        <w:t xml:space="preserve"> </w:t>
      </w:r>
      <w:r w:rsidR="00DD57FD" w:rsidRPr="00DD57FD">
        <w:rPr>
          <w:szCs w:val="24"/>
        </w:rPr>
        <w:t>C4) levels</w:t>
      </w:r>
      <w:r w:rsidR="00A70896">
        <w:rPr>
          <w:szCs w:val="24"/>
        </w:rPr>
        <w:t>’</w:t>
      </w:r>
      <w:r w:rsidR="00683EB3">
        <w:rPr>
          <w:szCs w:val="24"/>
        </w:rPr>
        <w:t>.</w:t>
      </w:r>
    </w:p>
    <w:p w:rsidR="00913057" w:rsidRPr="00A45550" w:rsidRDefault="00B940D4" w:rsidP="001F2D98">
      <w:pPr>
        <w:keepNext/>
        <w:keepLines/>
        <w:widowControl/>
        <w:spacing w:after="120"/>
        <w:ind w:left="720" w:hanging="720"/>
        <w:rPr>
          <w:u w:val="single"/>
        </w:rPr>
      </w:pPr>
      <w:r w:rsidRPr="00A45550">
        <w:rPr>
          <w:u w:val="single"/>
        </w:rPr>
        <w:lastRenderedPageBreak/>
        <w:t>Disease activity index</w:t>
      </w:r>
      <w:r w:rsidR="005E5B36" w:rsidRPr="00A45550">
        <w:rPr>
          <w:u w:val="single"/>
        </w:rPr>
        <w:t xml:space="preserve"> (initiation and continuation)</w:t>
      </w:r>
    </w:p>
    <w:p w:rsidR="003F7F7A" w:rsidRPr="00A45550" w:rsidRDefault="00172AD3" w:rsidP="001F2D98">
      <w:pPr>
        <w:pStyle w:val="ListParagraph"/>
        <w:keepNext/>
        <w:keepLines/>
        <w:widowControl/>
        <w:numPr>
          <w:ilvl w:val="1"/>
          <w:numId w:val="1"/>
        </w:numPr>
        <w:spacing w:after="120"/>
      </w:pPr>
      <w:r w:rsidRPr="00A45550">
        <w:t>The requested restriction requires patients to have a SELENA-SLEDAI score ≥</w:t>
      </w:r>
      <w:r w:rsidR="002551A3" w:rsidRPr="00A45550">
        <w:t xml:space="preserve"> </w:t>
      </w:r>
      <w:r w:rsidRPr="00A45550">
        <w:t>10 to be eligible for initial treatment and achieve/maintain a ≥</w:t>
      </w:r>
      <w:r w:rsidR="002551A3" w:rsidRPr="00A45550">
        <w:t xml:space="preserve"> </w:t>
      </w:r>
      <w:r w:rsidRPr="00A45550">
        <w:t xml:space="preserve">4 point reduction in SELENA-SLEDAI to qualify for continuing treatment. </w:t>
      </w:r>
      <w:r w:rsidR="00204731" w:rsidRPr="00A45550">
        <w:rPr>
          <w:szCs w:val="24"/>
        </w:rPr>
        <w:t>This differed to the eligibility and response criteria in the clinical trials, which required patients to have SELENA-SLEDAI ≥</w:t>
      </w:r>
      <w:r w:rsidR="002551A3" w:rsidRPr="00A45550">
        <w:rPr>
          <w:szCs w:val="24"/>
        </w:rPr>
        <w:t xml:space="preserve"> </w:t>
      </w:r>
      <w:r w:rsidR="00204731" w:rsidRPr="00A45550">
        <w:rPr>
          <w:szCs w:val="24"/>
        </w:rPr>
        <w:t>8 (pivotal trial) or ≥</w:t>
      </w:r>
      <w:r w:rsidR="002551A3" w:rsidRPr="00A45550">
        <w:rPr>
          <w:szCs w:val="24"/>
        </w:rPr>
        <w:t xml:space="preserve"> </w:t>
      </w:r>
      <w:r w:rsidR="00204731" w:rsidRPr="00A45550">
        <w:rPr>
          <w:szCs w:val="24"/>
        </w:rPr>
        <w:t>6 (supportive trials) at baseline, and defined responders according to the SLE responder index (SRI) at Week 52.</w:t>
      </w:r>
      <w:r w:rsidR="003F7F7A" w:rsidRPr="00A45550">
        <w:rPr>
          <w:szCs w:val="24"/>
        </w:rPr>
        <w:t xml:space="preserve"> </w:t>
      </w:r>
    </w:p>
    <w:p w:rsidR="00204731" w:rsidRPr="00A45550" w:rsidRDefault="00FF3578" w:rsidP="001F2D98">
      <w:pPr>
        <w:pStyle w:val="ListParagraph"/>
        <w:widowControl/>
        <w:numPr>
          <w:ilvl w:val="1"/>
          <w:numId w:val="1"/>
        </w:numPr>
        <w:spacing w:after="120"/>
      </w:pPr>
      <w:r w:rsidRPr="00A45550">
        <w:t xml:space="preserve">The ESC </w:t>
      </w:r>
      <w:r w:rsidR="009F12EF" w:rsidRPr="00A45550">
        <w:t xml:space="preserve">noted </w:t>
      </w:r>
      <w:r w:rsidR="00FC6266" w:rsidRPr="00A45550">
        <w:t xml:space="preserve">that, in the pivotal BLISS-SC trial, </w:t>
      </w:r>
      <w:r w:rsidR="00FC6266" w:rsidRPr="00A45550">
        <w:rPr>
          <w:szCs w:val="24"/>
        </w:rPr>
        <w:t xml:space="preserve">there was a greater treatment effect in patients with </w:t>
      </w:r>
      <w:r w:rsidR="00FC6266" w:rsidRPr="00A45550">
        <w:t>a SELENA-SLEDAI score ≥ 10 at baseline</w:t>
      </w:r>
      <w:r w:rsidR="00FC6266" w:rsidRPr="00A45550">
        <w:rPr>
          <w:szCs w:val="24"/>
        </w:rPr>
        <w:t>.</w:t>
      </w:r>
      <w:r w:rsidR="00683EB3">
        <w:rPr>
          <w:szCs w:val="24"/>
        </w:rPr>
        <w:t xml:space="preserve"> </w:t>
      </w:r>
    </w:p>
    <w:p w:rsidR="00683EB3" w:rsidRPr="00683EB3" w:rsidRDefault="00204731" w:rsidP="001F2D98">
      <w:pPr>
        <w:pStyle w:val="ListParagraph"/>
        <w:widowControl/>
        <w:numPr>
          <w:ilvl w:val="1"/>
          <w:numId w:val="1"/>
        </w:numPr>
        <w:spacing w:after="120"/>
      </w:pPr>
      <w:r w:rsidRPr="00A45550">
        <w:rPr>
          <w:szCs w:val="24"/>
        </w:rPr>
        <w:t xml:space="preserve">The evaluation considered that the SELENA-SLEDAI may not be </w:t>
      </w:r>
      <w:r w:rsidR="00347923" w:rsidRPr="00A45550">
        <w:rPr>
          <w:szCs w:val="24"/>
        </w:rPr>
        <w:t xml:space="preserve">the most </w:t>
      </w:r>
      <w:r w:rsidRPr="00A45550">
        <w:rPr>
          <w:szCs w:val="24"/>
        </w:rPr>
        <w:t>appropriate tool to assess PBS eligibility, given its lack of use in routine clinical practice, and inherent limitations as a d</w:t>
      </w:r>
      <w:r w:rsidR="00FB522F">
        <w:rPr>
          <w:szCs w:val="24"/>
        </w:rPr>
        <w:t>isease activity index. The PSCR</w:t>
      </w:r>
      <w:r w:rsidR="003F7F7A" w:rsidRPr="00A45550">
        <w:rPr>
          <w:szCs w:val="24"/>
        </w:rPr>
        <w:t xml:space="preserve"> stated</w:t>
      </w:r>
      <w:r w:rsidRPr="00A45550">
        <w:rPr>
          <w:szCs w:val="24"/>
        </w:rPr>
        <w:t xml:space="preserve"> SELENA-SLEDAI </w:t>
      </w:r>
      <w:r w:rsidR="003F7F7A" w:rsidRPr="00A45550">
        <w:rPr>
          <w:szCs w:val="24"/>
        </w:rPr>
        <w:t>“</w:t>
      </w:r>
      <w:r w:rsidRPr="00A45550">
        <w:rPr>
          <w:szCs w:val="24"/>
        </w:rPr>
        <w:t xml:space="preserve">was chosen because it is a well validated, easy to administer (easier than the BILAG) disease activity index; it is practical for both clinical and research purposes and can be completed by a physician or a trained nurse. The SELENA-SLEDAI version is that which was used in the belimumab trials.” </w:t>
      </w:r>
      <w:r w:rsidR="00FB522F">
        <w:rPr>
          <w:szCs w:val="24"/>
        </w:rPr>
        <w:t>The PSCR</w:t>
      </w:r>
      <w:r w:rsidR="009F12EF" w:rsidRPr="00A45550">
        <w:rPr>
          <w:szCs w:val="24"/>
        </w:rPr>
        <w:t xml:space="preserve"> also included input from a specialist clinician stating </w:t>
      </w:r>
      <w:r w:rsidR="002551A3" w:rsidRPr="00A45550">
        <w:rPr>
          <w:szCs w:val="24"/>
        </w:rPr>
        <w:t xml:space="preserve">that SLEDAI “is easy and practical to use in a clinical care setting. Either the SELENA-SLEDAI or SLEDAI-2K could be used, but since the SLEDAI-2K is more commonly used in </w:t>
      </w:r>
      <w:r w:rsidR="002551A3" w:rsidRPr="00AF3D14">
        <w:rPr>
          <w:szCs w:val="24"/>
        </w:rPr>
        <w:t xml:space="preserve">clinical practice, it may be preferred”. </w:t>
      </w:r>
      <w:r w:rsidR="0065391B" w:rsidRPr="00AF3D14">
        <w:rPr>
          <w:szCs w:val="24"/>
        </w:rPr>
        <w:t>(This is further discussed in Paragraph 4.</w:t>
      </w:r>
      <w:r w:rsidR="00D01511">
        <w:rPr>
          <w:szCs w:val="24"/>
        </w:rPr>
        <w:t>7</w:t>
      </w:r>
      <w:r w:rsidR="0065391B" w:rsidRPr="00AF3D14">
        <w:rPr>
          <w:szCs w:val="24"/>
        </w:rPr>
        <w:t xml:space="preserve"> and Table </w:t>
      </w:r>
      <w:r w:rsidR="00D01511">
        <w:rPr>
          <w:szCs w:val="24"/>
        </w:rPr>
        <w:t>3</w:t>
      </w:r>
      <w:r w:rsidR="0065391B" w:rsidRPr="00AF3D14">
        <w:rPr>
          <w:szCs w:val="24"/>
        </w:rPr>
        <w:t>.)</w:t>
      </w:r>
      <w:r w:rsidR="007B401E" w:rsidRPr="00A45550">
        <w:rPr>
          <w:szCs w:val="24"/>
        </w:rPr>
        <w:t xml:space="preserve"> </w:t>
      </w:r>
    </w:p>
    <w:p w:rsidR="00347923" w:rsidRPr="00A45550" w:rsidRDefault="00683EB3" w:rsidP="001F2D98">
      <w:pPr>
        <w:pStyle w:val="ListParagraph"/>
        <w:widowControl/>
        <w:numPr>
          <w:ilvl w:val="1"/>
          <w:numId w:val="1"/>
        </w:numPr>
        <w:spacing w:after="120"/>
      </w:pPr>
      <w:r>
        <w:rPr>
          <w:szCs w:val="24"/>
        </w:rPr>
        <w:t xml:space="preserve">Overall, the PBAC considered that the PBS restriction should require patients to have a </w:t>
      </w:r>
      <w:r w:rsidRPr="00A45550">
        <w:t>SLEDAI</w:t>
      </w:r>
      <w:r>
        <w:t xml:space="preserve">-2K </w:t>
      </w:r>
      <w:r w:rsidRPr="00A45550">
        <w:t>score ≥ 10 at baseline</w:t>
      </w:r>
      <w:r>
        <w:t xml:space="preserve"> in order to target use to patients more likely to respond.</w:t>
      </w:r>
      <w:r w:rsidR="00AA0A3E">
        <w:t xml:space="preserve"> The PBAC </w:t>
      </w:r>
      <w:r w:rsidR="005D76AA">
        <w:t xml:space="preserve">noted that the </w:t>
      </w:r>
      <w:r w:rsidR="005D76AA" w:rsidRPr="00A45550">
        <w:rPr>
          <w:szCs w:val="24"/>
        </w:rPr>
        <w:t>SLEDAI-2K is more commonly used in clinical practice</w:t>
      </w:r>
      <w:r w:rsidR="005D76AA">
        <w:t xml:space="preserve"> and thus </w:t>
      </w:r>
      <w:r w:rsidR="00AA0A3E">
        <w:t xml:space="preserve">considered </w:t>
      </w:r>
      <w:r w:rsidR="005D76AA">
        <w:t>it</w:t>
      </w:r>
      <w:r w:rsidR="00AA0A3E">
        <w:rPr>
          <w:szCs w:val="24"/>
        </w:rPr>
        <w:t xml:space="preserve"> would </w:t>
      </w:r>
      <w:r w:rsidR="00AA0A3E" w:rsidRPr="00A45550">
        <w:rPr>
          <w:szCs w:val="24"/>
        </w:rPr>
        <w:t>be preferred</w:t>
      </w:r>
      <w:r w:rsidR="00AA0A3E" w:rsidRPr="00AA0A3E">
        <w:rPr>
          <w:szCs w:val="24"/>
        </w:rPr>
        <w:t xml:space="preserve"> </w:t>
      </w:r>
      <w:r w:rsidR="00AA0A3E">
        <w:rPr>
          <w:szCs w:val="24"/>
        </w:rPr>
        <w:t xml:space="preserve">over the </w:t>
      </w:r>
      <w:r w:rsidR="00AA0A3E" w:rsidRPr="00A45550">
        <w:rPr>
          <w:szCs w:val="24"/>
        </w:rPr>
        <w:t xml:space="preserve">SELENA-SLEDAI </w:t>
      </w:r>
      <w:r w:rsidR="005D76AA">
        <w:rPr>
          <w:szCs w:val="24"/>
        </w:rPr>
        <w:t>tool</w:t>
      </w:r>
      <w:r w:rsidR="00AA0A3E">
        <w:rPr>
          <w:szCs w:val="24"/>
        </w:rPr>
        <w:t>.</w:t>
      </w:r>
    </w:p>
    <w:p w:rsidR="005D76AA" w:rsidRPr="005D76AA" w:rsidRDefault="00347923" w:rsidP="001F2D98">
      <w:pPr>
        <w:pStyle w:val="ListParagraph"/>
        <w:widowControl/>
        <w:numPr>
          <w:ilvl w:val="1"/>
          <w:numId w:val="1"/>
        </w:numPr>
        <w:spacing w:after="120"/>
      </w:pPr>
      <w:r w:rsidRPr="00A45550">
        <w:t>The evaluation considered that it may not be appropriate to r</w:t>
      </w:r>
      <w:r w:rsidRPr="00A45550">
        <w:rPr>
          <w:szCs w:val="24"/>
        </w:rPr>
        <w:t>ely solely on a ≥</w:t>
      </w:r>
      <w:r w:rsidR="00E61C93" w:rsidRPr="00A45550">
        <w:rPr>
          <w:szCs w:val="24"/>
        </w:rPr>
        <w:t> </w:t>
      </w:r>
      <w:r w:rsidRPr="00A45550">
        <w:rPr>
          <w:szCs w:val="24"/>
        </w:rPr>
        <w:t xml:space="preserve">4 point reduction in SELENA-SLEDAI to qualify for continuing treatment. </w:t>
      </w:r>
      <w:r w:rsidR="004F36C8" w:rsidRPr="00A45550">
        <w:rPr>
          <w:szCs w:val="24"/>
        </w:rPr>
        <w:t xml:space="preserve">The primary outcome for the BLISS-SC trial was SRI response, which is a composite outcome of ≥ 4 point reduction in SELENA-SLEDAI score, and no worsening in PGA, and no new BILAG A organ domain score or 2 new BILAG B organ domain scores. </w:t>
      </w:r>
      <w:r w:rsidRPr="00A45550">
        <w:rPr>
          <w:szCs w:val="24"/>
        </w:rPr>
        <w:t>The PSCR argued : “</w:t>
      </w:r>
      <w:r w:rsidR="003220AD" w:rsidRPr="00A45550">
        <w:rPr>
          <w:szCs w:val="24"/>
        </w:rPr>
        <w:t>A ≥</w:t>
      </w:r>
      <w:r w:rsidR="00FF3578" w:rsidRPr="00A45550">
        <w:rPr>
          <w:szCs w:val="24"/>
        </w:rPr>
        <w:t xml:space="preserve"> </w:t>
      </w:r>
      <w:r w:rsidR="003220AD" w:rsidRPr="00A45550">
        <w:rPr>
          <w:szCs w:val="24"/>
        </w:rPr>
        <w:t>4-point reduction in SELENA-SLEDAI can also be considered a good proxy for SRI4 composite response. All SRI responders in the trials would necessarily have to have achieved a ≥ 4-point reduction in SELENA-SLEDAI.”</w:t>
      </w:r>
      <w:r w:rsidRPr="00A45550">
        <w:rPr>
          <w:szCs w:val="24"/>
        </w:rPr>
        <w:t xml:space="preserve"> </w:t>
      </w:r>
      <w:r w:rsidR="00117F42" w:rsidRPr="00A45550">
        <w:rPr>
          <w:szCs w:val="24"/>
        </w:rPr>
        <w:t xml:space="preserve">The ESC noted that </w:t>
      </w:r>
      <w:r w:rsidR="00117F42" w:rsidRPr="00A45550">
        <w:t>across all trials in the submission’s meta-analysis only 48/1,561 (3%) patients had a SELENA-SLEDAI response but were not SRI responders</w:t>
      </w:r>
      <w:r w:rsidR="003159B4" w:rsidRPr="00A45550">
        <w:t xml:space="preserve"> and noted that the SRI outcomes were driven by SELENA-SLEDAI</w:t>
      </w:r>
      <w:r w:rsidRPr="00A45550">
        <w:rPr>
          <w:szCs w:val="24"/>
        </w:rPr>
        <w:t xml:space="preserve">. </w:t>
      </w:r>
    </w:p>
    <w:p w:rsidR="00172AD3" w:rsidRPr="00A45550" w:rsidRDefault="00A70896" w:rsidP="001F2D98">
      <w:pPr>
        <w:pStyle w:val="ListParagraph"/>
        <w:widowControl/>
        <w:numPr>
          <w:ilvl w:val="1"/>
          <w:numId w:val="1"/>
        </w:numPr>
        <w:spacing w:after="120"/>
      </w:pPr>
      <w:r>
        <w:rPr>
          <w:szCs w:val="24"/>
        </w:rPr>
        <w:t>The</w:t>
      </w:r>
      <w:r w:rsidR="005D76AA">
        <w:rPr>
          <w:szCs w:val="24"/>
        </w:rPr>
        <w:t xml:space="preserve"> PBAC not</w:t>
      </w:r>
      <w:r>
        <w:rPr>
          <w:szCs w:val="24"/>
        </w:rPr>
        <w:t xml:space="preserve">ed that </w:t>
      </w:r>
      <w:r w:rsidR="005D76AA" w:rsidRPr="00A45550">
        <w:t>the SRI outcomes were driven by SELENA-SLEDAI</w:t>
      </w:r>
      <w:r w:rsidR="005D76AA">
        <w:rPr>
          <w:szCs w:val="24"/>
        </w:rPr>
        <w:t xml:space="preserve">, and other tools (such as the BILAG) would not be practical to use routinely in clinical practice. As such, the PBAC considered that </w:t>
      </w:r>
      <w:r w:rsidR="00B22A5A">
        <w:rPr>
          <w:szCs w:val="24"/>
        </w:rPr>
        <w:t xml:space="preserve">the continuation criteria should be based on a </w:t>
      </w:r>
      <w:r w:rsidR="00B22A5A" w:rsidRPr="00A45550">
        <w:rPr>
          <w:szCs w:val="24"/>
        </w:rPr>
        <w:t>≥ 4-point reduction in SLEDAI</w:t>
      </w:r>
      <w:r w:rsidR="00B22A5A">
        <w:rPr>
          <w:szCs w:val="24"/>
        </w:rPr>
        <w:t>-2K.</w:t>
      </w:r>
    </w:p>
    <w:p w:rsidR="00FF3578" w:rsidRPr="00A45550" w:rsidRDefault="00FF3578" w:rsidP="001F2D98">
      <w:pPr>
        <w:keepNext/>
        <w:keepLines/>
        <w:widowControl/>
        <w:spacing w:after="120"/>
        <w:rPr>
          <w:u w:val="single"/>
        </w:rPr>
      </w:pPr>
      <w:r w:rsidRPr="00A45550">
        <w:rPr>
          <w:u w:val="single"/>
        </w:rPr>
        <w:lastRenderedPageBreak/>
        <w:t>Baseline medications</w:t>
      </w:r>
    </w:p>
    <w:p w:rsidR="003D7160" w:rsidRDefault="00FF3578" w:rsidP="001F2D98">
      <w:pPr>
        <w:pStyle w:val="ListParagraph"/>
        <w:widowControl/>
        <w:numPr>
          <w:ilvl w:val="1"/>
          <w:numId w:val="1"/>
        </w:numPr>
        <w:spacing w:after="120"/>
      </w:pPr>
      <w:r w:rsidRPr="00A45550">
        <w:t>The proposed restriction limits access to patients who are unable to reduce the</w:t>
      </w:r>
      <w:r w:rsidR="009E5F7D" w:rsidRPr="00A45550">
        <w:t>ir</w:t>
      </w:r>
      <w:r w:rsidRPr="00A45550">
        <w:t xml:space="preserve"> corticosteroid dose below 7.5 mg/day of prednisone/equivalent. The PSCR stated this was to target patients with the greatest clinical need and that the risks of corticosteroid-induced organ damage were “substantially increased with continuous corticosteroid doses &gt; 7.5 mg/day”. </w:t>
      </w:r>
      <w:r w:rsidR="003D7160">
        <w:t>C</w:t>
      </w:r>
      <w:r w:rsidR="003D7160" w:rsidRPr="00A45550">
        <w:t xml:space="preserve">orticosteroid use at baseline was not a requirement in the BLISS-SC trial; 14% of patients in the trial were not taking oral corticosteroids and a further 26% were taking </w:t>
      </w:r>
      <w:r w:rsidR="003D7160" w:rsidRPr="00A45550">
        <w:rPr>
          <w:rFonts w:cs="Calibri"/>
        </w:rPr>
        <w:t xml:space="preserve">≤ </w:t>
      </w:r>
      <w:r w:rsidR="003D7160" w:rsidRPr="00A45550">
        <w:t xml:space="preserve">7.5 mg/day at baseline. </w:t>
      </w:r>
      <w:r w:rsidR="003D7160">
        <w:t>The</w:t>
      </w:r>
      <w:r w:rsidR="003D7160" w:rsidRPr="00A45550">
        <w:t xml:space="preserve"> subgroup analyses generally supported a greater treatment effect in patients on corticosteroids at baseline (regardless of dose). </w:t>
      </w:r>
    </w:p>
    <w:p w:rsidR="00FF3578" w:rsidRPr="00A45550" w:rsidRDefault="00FF3578" w:rsidP="001F2D98">
      <w:pPr>
        <w:pStyle w:val="ListParagraph"/>
        <w:widowControl/>
        <w:numPr>
          <w:ilvl w:val="1"/>
          <w:numId w:val="1"/>
        </w:numPr>
        <w:spacing w:after="120"/>
      </w:pPr>
      <w:r w:rsidRPr="00A45550">
        <w:t xml:space="preserve">The ESC noted that </w:t>
      </w:r>
      <w:r w:rsidR="00466B8F" w:rsidRPr="00A45550">
        <w:t xml:space="preserve">the </w:t>
      </w:r>
      <w:r w:rsidR="005D76AA">
        <w:t xml:space="preserve">proposed </w:t>
      </w:r>
      <w:r w:rsidR="00466B8F" w:rsidRPr="00A45550">
        <w:t>restriction does not specify the duration of corticosteroid use</w:t>
      </w:r>
      <w:r w:rsidR="00466B8F">
        <w:t>, though</w:t>
      </w:r>
      <w:r w:rsidR="00466B8F" w:rsidRPr="00A45550">
        <w:t xml:space="preserve"> </w:t>
      </w:r>
      <w:r w:rsidRPr="00A45550">
        <w:t>corticoster</w:t>
      </w:r>
      <w:r w:rsidR="00466B8F">
        <w:t>oid use and doses may fluctuate</w:t>
      </w:r>
      <w:r w:rsidRPr="00A45550">
        <w:t xml:space="preserve">. </w:t>
      </w:r>
      <w:r w:rsidR="003D7160">
        <w:t xml:space="preserve">The PBAC considered that the restriction should require patients to </w:t>
      </w:r>
      <w:r w:rsidR="00466B8F">
        <w:t xml:space="preserve">be </w:t>
      </w:r>
      <w:r w:rsidR="003D7160">
        <w:t>receiv</w:t>
      </w:r>
      <w:r w:rsidR="00466B8F">
        <w:t>ing</w:t>
      </w:r>
      <w:r w:rsidR="003D7160">
        <w:t xml:space="preserve"> </w:t>
      </w:r>
      <w:r w:rsidR="005D76AA">
        <w:rPr>
          <w:rFonts w:cs="Calibri"/>
        </w:rPr>
        <w:t>≥</w:t>
      </w:r>
      <w:r w:rsidR="005D76AA">
        <w:t xml:space="preserve"> </w:t>
      </w:r>
      <w:r w:rsidR="009E5F7D" w:rsidRPr="00A45550">
        <w:t xml:space="preserve">7.5 mg per day </w:t>
      </w:r>
      <w:r w:rsidR="003D7160" w:rsidRPr="00A45550">
        <w:t>prednisone/equivalent</w:t>
      </w:r>
      <w:r w:rsidR="00466B8F">
        <w:t xml:space="preserve"> at the time of commencement of belimumab and </w:t>
      </w:r>
      <w:r w:rsidR="003D7160">
        <w:t>for at least one month</w:t>
      </w:r>
      <w:r w:rsidR="00466B8F">
        <w:t xml:space="preserve"> prior,</w:t>
      </w:r>
      <w:r w:rsidR="003D7160">
        <w:t xml:space="preserve"> in order to </w:t>
      </w:r>
      <w:r w:rsidR="003D7160" w:rsidRPr="00A45550">
        <w:t>target patients with the greatest clinical need</w:t>
      </w:r>
      <w:r w:rsidR="00C0679D">
        <w:t xml:space="preserve"> and who may be more likely to respond</w:t>
      </w:r>
      <w:r w:rsidRPr="00A45550">
        <w:t>.</w:t>
      </w:r>
    </w:p>
    <w:p w:rsidR="00AF3D14" w:rsidRDefault="00832A68" w:rsidP="001F2D98">
      <w:pPr>
        <w:pStyle w:val="ListParagraph"/>
        <w:widowControl/>
        <w:numPr>
          <w:ilvl w:val="1"/>
          <w:numId w:val="1"/>
        </w:numPr>
        <w:spacing w:after="120"/>
      </w:pPr>
      <w:r w:rsidRPr="00A45550">
        <w:t xml:space="preserve">The </w:t>
      </w:r>
      <w:r w:rsidR="00F97D1E" w:rsidRPr="00A45550">
        <w:t>proposed</w:t>
      </w:r>
      <w:r w:rsidRPr="00A45550">
        <w:t xml:space="preserve"> restriction </w:t>
      </w:r>
      <w:r w:rsidR="00F97D1E" w:rsidRPr="00A45550">
        <w:t>required</w:t>
      </w:r>
      <w:r w:rsidRPr="00A45550">
        <w:t xml:space="preserve"> patients </w:t>
      </w:r>
      <w:r w:rsidR="00F97D1E" w:rsidRPr="00A45550">
        <w:t xml:space="preserve">to </w:t>
      </w:r>
      <w:r w:rsidRPr="00A45550">
        <w:t>be receiving standard of care, including a combination of an antimalarial agent, a corticosteroid and an immunosuppressive agent, unless contraindicated or intolerant</w:t>
      </w:r>
      <w:r w:rsidR="00F97D1E" w:rsidRPr="00A45550">
        <w:t>. T</w:t>
      </w:r>
      <w:r w:rsidRPr="00A45550">
        <w:t>h</w:t>
      </w:r>
      <w:r w:rsidR="00FC6266" w:rsidRPr="00A45550">
        <w:t>e ESC noted th</w:t>
      </w:r>
      <w:r w:rsidRPr="00A45550">
        <w:t xml:space="preserve">is was not an eligibility criterion </w:t>
      </w:r>
      <w:r w:rsidR="00F97D1E" w:rsidRPr="00A45550">
        <w:t>in any of the trials, and on</w:t>
      </w:r>
      <w:r w:rsidRPr="00A45550">
        <w:t>ly 24% of patients in the BLISS-SC trial were taking triple therapy</w:t>
      </w:r>
      <w:r w:rsidR="00F97D1E" w:rsidRPr="00A45550">
        <w:t xml:space="preserve"> at baseline</w:t>
      </w:r>
      <w:r w:rsidRPr="00A45550">
        <w:t xml:space="preserve">. </w:t>
      </w:r>
    </w:p>
    <w:p w:rsidR="00466B8F" w:rsidRDefault="003D7160" w:rsidP="001F2D98">
      <w:pPr>
        <w:pStyle w:val="ListParagraph"/>
        <w:widowControl/>
        <w:numPr>
          <w:ilvl w:val="1"/>
          <w:numId w:val="1"/>
        </w:numPr>
        <w:spacing w:after="120"/>
      </w:pPr>
      <w:r>
        <w:t>The PBAC considered that the restriction should require</w:t>
      </w:r>
      <w:r w:rsidR="00466B8F">
        <w:t xml:space="preserve"> </w:t>
      </w:r>
      <w:r>
        <w:t xml:space="preserve">patients to </w:t>
      </w:r>
      <w:r w:rsidR="00466B8F">
        <w:t xml:space="preserve">be </w:t>
      </w:r>
      <w:r>
        <w:t>receiv</w:t>
      </w:r>
      <w:r w:rsidR="00466B8F">
        <w:t>ing</w:t>
      </w:r>
      <w:r>
        <w:t xml:space="preserve"> </w:t>
      </w:r>
      <w:r w:rsidRPr="003D7160">
        <w:t xml:space="preserve">hydroxychloroquine for at least 3 months </w:t>
      </w:r>
      <w:r w:rsidR="00AF3D14">
        <w:t>and</w:t>
      </w:r>
      <w:r w:rsidRPr="003D7160">
        <w:t xml:space="preserve"> immunosuppressant medication for at least 3 months (methotrexate 20mg we</w:t>
      </w:r>
      <w:r w:rsidR="00466B8F">
        <w:t xml:space="preserve">ekly, azathioprine 100mg daily or </w:t>
      </w:r>
      <w:r w:rsidRPr="003D7160">
        <w:t xml:space="preserve">mycophenolate) </w:t>
      </w:r>
      <w:r>
        <w:t xml:space="preserve">in order to </w:t>
      </w:r>
      <w:r w:rsidRPr="00A45550">
        <w:t>target patients with the greatest clinical need</w:t>
      </w:r>
      <w:r w:rsidR="00C0679D">
        <w:t xml:space="preserve"> and who may be more likely to respond</w:t>
      </w:r>
      <w:r w:rsidR="00466B8F">
        <w:t>.</w:t>
      </w:r>
      <w:r w:rsidR="00466B8F" w:rsidRPr="00466B8F">
        <w:t xml:space="preserve"> </w:t>
      </w:r>
    </w:p>
    <w:p w:rsidR="00233972" w:rsidRPr="00A45550" w:rsidRDefault="00466B8F" w:rsidP="001F2D98">
      <w:pPr>
        <w:pStyle w:val="ListParagraph"/>
        <w:widowControl/>
        <w:numPr>
          <w:ilvl w:val="1"/>
          <w:numId w:val="1"/>
        </w:numPr>
        <w:spacing w:after="120"/>
      </w:pPr>
      <w:r>
        <w:t xml:space="preserve">The PBAC considered that patients should be receiving these medicines at the time of commencement of belimumab and for the minimum period of </w:t>
      </w:r>
      <w:r w:rsidR="005D76AA">
        <w:t xml:space="preserve">time </w:t>
      </w:r>
      <w:r>
        <w:t>prior</w:t>
      </w:r>
      <w:r w:rsidR="005D76AA">
        <w:t xml:space="preserve"> to commencement of belimumab</w:t>
      </w:r>
      <w:r>
        <w:t xml:space="preserve"> (one month for corticosteroids and three months for </w:t>
      </w:r>
      <w:r w:rsidRPr="003D7160">
        <w:t xml:space="preserve">hydroxychloroquine </w:t>
      </w:r>
      <w:r>
        <w:t>and</w:t>
      </w:r>
      <w:r w:rsidRPr="003D7160">
        <w:t xml:space="preserve"> immunosuppressant</w:t>
      </w:r>
      <w:r w:rsidR="00F6130C">
        <w:t>s</w:t>
      </w:r>
      <w:r>
        <w:t>).</w:t>
      </w:r>
    </w:p>
    <w:p w:rsidR="00E0580D" w:rsidRPr="00A45550" w:rsidRDefault="00E0580D" w:rsidP="001F2D98">
      <w:pPr>
        <w:widowControl/>
        <w:spacing w:after="120"/>
        <w:ind w:left="720" w:hanging="720"/>
        <w:rPr>
          <w:u w:val="single"/>
        </w:rPr>
      </w:pPr>
      <w:r w:rsidRPr="00A45550">
        <w:rPr>
          <w:u w:val="single"/>
        </w:rPr>
        <w:t>Other issues</w:t>
      </w:r>
    </w:p>
    <w:p w:rsidR="00172AD3" w:rsidRPr="00A45550" w:rsidRDefault="00172AD3" w:rsidP="001F2D98">
      <w:pPr>
        <w:pStyle w:val="ListParagraph"/>
        <w:widowControl/>
        <w:numPr>
          <w:ilvl w:val="1"/>
          <w:numId w:val="1"/>
        </w:numPr>
        <w:spacing w:after="120"/>
        <w:rPr>
          <w:iCs/>
        </w:rPr>
      </w:pPr>
      <w:r w:rsidRPr="00A45550">
        <w:rPr>
          <w:szCs w:val="24"/>
        </w:rPr>
        <w:t>The proposed restriction does not limit eligibility based on clinical manifestations of SLE or concomitant therapies. The clinical trials excluded patients with severe active lupus nephritis and severe active central nervous system lupus, and patients receiving other biologics and IV cyclophosphamide. These points are reflected in the draft TGA Product Information</w:t>
      </w:r>
      <w:r w:rsidR="0093753D" w:rsidRPr="00A45550">
        <w:rPr>
          <w:szCs w:val="24"/>
        </w:rPr>
        <w:t xml:space="preserve"> (PI)</w:t>
      </w:r>
      <w:r w:rsidRPr="00A45550">
        <w:rPr>
          <w:szCs w:val="24"/>
        </w:rPr>
        <w:t>, which states that, “</w:t>
      </w:r>
      <w:r w:rsidRPr="00A45550">
        <w:rPr>
          <w:iCs/>
        </w:rPr>
        <w:t xml:space="preserve">The safety and efficacy of (belimumab) have not been evaluated in patients with severe active lupus nephritis or severe active </w:t>
      </w:r>
      <w:r w:rsidR="00FC00C4">
        <w:rPr>
          <w:iCs/>
        </w:rPr>
        <w:t>c</w:t>
      </w:r>
      <w:r w:rsidRPr="00A45550">
        <w:rPr>
          <w:iCs/>
        </w:rPr>
        <w:t>entral nervous system lupus</w:t>
      </w:r>
      <w:r w:rsidRPr="00A45550">
        <w:rPr>
          <w:szCs w:val="24"/>
        </w:rPr>
        <w:t>”</w:t>
      </w:r>
      <w:r w:rsidRPr="00A45550">
        <w:rPr>
          <w:iCs/>
        </w:rPr>
        <w:t>.</w:t>
      </w:r>
      <w:r w:rsidR="00E0580D" w:rsidRPr="00A45550">
        <w:rPr>
          <w:iCs/>
        </w:rPr>
        <w:t xml:space="preserve"> </w:t>
      </w:r>
      <w:r w:rsidR="00FC00C4">
        <w:rPr>
          <w:iCs/>
        </w:rPr>
        <w:t>As such, t</w:t>
      </w:r>
      <w:r w:rsidR="00E0580D" w:rsidRPr="00A45550">
        <w:rPr>
          <w:iCs/>
        </w:rPr>
        <w:t xml:space="preserve">he </w:t>
      </w:r>
      <w:r w:rsidR="00FC00C4">
        <w:rPr>
          <w:iCs/>
        </w:rPr>
        <w:t xml:space="preserve">PBAC considered that the restriction </w:t>
      </w:r>
      <w:r w:rsidR="00FC00C4">
        <w:rPr>
          <w:iCs/>
        </w:rPr>
        <w:lastRenderedPageBreak/>
        <w:t xml:space="preserve">should </w:t>
      </w:r>
      <w:r w:rsidR="006530C0" w:rsidRPr="00A45550">
        <w:rPr>
          <w:iCs/>
        </w:rPr>
        <w:t xml:space="preserve">specifically </w:t>
      </w:r>
      <w:r w:rsidR="00E0580D" w:rsidRPr="00A45550">
        <w:rPr>
          <w:iCs/>
        </w:rPr>
        <w:t>exclude patients</w:t>
      </w:r>
      <w:r w:rsidR="006530C0" w:rsidRPr="00A45550">
        <w:rPr>
          <w:iCs/>
        </w:rPr>
        <w:t xml:space="preserve"> with </w:t>
      </w:r>
      <w:r w:rsidR="00E848F4" w:rsidRPr="00A45550">
        <w:rPr>
          <w:iCs/>
        </w:rPr>
        <w:t>severe active lupus nephritis and severe active central nervous system lupus</w:t>
      </w:r>
      <w:r w:rsidR="00E0580D" w:rsidRPr="00A45550">
        <w:rPr>
          <w:iCs/>
        </w:rPr>
        <w:t>.</w:t>
      </w:r>
    </w:p>
    <w:p w:rsidR="00AC5B77" w:rsidRDefault="00FC00C4" w:rsidP="001F2D98">
      <w:pPr>
        <w:pStyle w:val="ListParagraph"/>
        <w:widowControl/>
        <w:numPr>
          <w:ilvl w:val="1"/>
          <w:numId w:val="1"/>
        </w:numPr>
        <w:spacing w:after="120"/>
      </w:pPr>
      <w:r>
        <w:t>The PBAC considered that, g</w:t>
      </w:r>
      <w:r w:rsidR="00AC5B77" w:rsidRPr="00A45550">
        <w:t xml:space="preserve">iven the complexity of SLE management, </w:t>
      </w:r>
      <w:r>
        <w:t xml:space="preserve">prescribing should be limited to </w:t>
      </w:r>
      <w:r w:rsidR="00AC5B77" w:rsidRPr="00A45550">
        <w:t>rheumatologists</w:t>
      </w:r>
      <w:r>
        <w:t>,</w:t>
      </w:r>
      <w:r w:rsidR="00AC5B77" w:rsidRPr="00A45550">
        <w:t xml:space="preserve"> </w:t>
      </w:r>
      <w:r>
        <w:t>clinical</w:t>
      </w:r>
      <w:r w:rsidR="00AC5B77" w:rsidRPr="00A45550">
        <w:t xml:space="preserve"> immunologists and nephrologists.</w:t>
      </w:r>
    </w:p>
    <w:p w:rsidR="003A64F4" w:rsidRPr="00FC00C4" w:rsidRDefault="003A64F4" w:rsidP="001F2D98">
      <w:pPr>
        <w:pStyle w:val="ListParagraph"/>
        <w:widowControl/>
        <w:spacing w:after="120"/>
        <w:rPr>
          <w:i/>
        </w:rPr>
      </w:pPr>
      <w:r w:rsidRPr="00FC00C4">
        <w:rPr>
          <w:i/>
        </w:rPr>
        <w:t>For more detail on PBAC’s view, see section 7 PBAC outcome.</w:t>
      </w:r>
    </w:p>
    <w:p w:rsidR="00172AD3" w:rsidRPr="00ED7E3E" w:rsidRDefault="00172AD3" w:rsidP="001F2D98">
      <w:pPr>
        <w:pStyle w:val="PBACHeading1"/>
        <w:spacing w:before="0"/>
      </w:pPr>
      <w:bookmarkStart w:id="3" w:name="_Toc19712617"/>
      <w:r w:rsidRPr="00ED7E3E">
        <w:t>Background</w:t>
      </w:r>
      <w:bookmarkEnd w:id="3"/>
    </w:p>
    <w:p w:rsidR="00172AD3" w:rsidRPr="009B562C" w:rsidRDefault="00172AD3" w:rsidP="009B562C">
      <w:pPr>
        <w:pStyle w:val="Heading2"/>
        <w:spacing w:after="120"/>
      </w:pPr>
      <w:r w:rsidRPr="009B562C">
        <w:t>Registration status</w:t>
      </w:r>
    </w:p>
    <w:p w:rsidR="00BF21C5" w:rsidRDefault="00BF21C5" w:rsidP="001F2D98">
      <w:pPr>
        <w:pStyle w:val="ListParagraph"/>
        <w:widowControl/>
        <w:numPr>
          <w:ilvl w:val="1"/>
          <w:numId w:val="1"/>
        </w:numPr>
        <w:spacing w:after="120"/>
      </w:pPr>
      <w:r w:rsidRPr="00FA3E32">
        <w:t xml:space="preserve">The belimumab subcutaneous (SC) formulation </w:t>
      </w:r>
      <w:r>
        <w:t>was submitted</w:t>
      </w:r>
      <w:r w:rsidRPr="00FA3E32">
        <w:t xml:space="preserve"> under the</w:t>
      </w:r>
      <w:r w:rsidRPr="00E76BBF">
        <w:t xml:space="preserve"> TGA/PBAC Parallel Process. Belimumab is also available as an intravenous (IV) formulation, which was TGA registered on 19 October 2012, however is not PBS-listed. The PBAC has not considered a previous submission for the IV formulation of belimumab in SLE.</w:t>
      </w:r>
    </w:p>
    <w:p w:rsidR="00BF21C5" w:rsidRPr="00E76BBF" w:rsidRDefault="00BF21C5" w:rsidP="001F2D98">
      <w:pPr>
        <w:pStyle w:val="ListParagraph"/>
        <w:widowControl/>
        <w:numPr>
          <w:ilvl w:val="1"/>
          <w:numId w:val="1"/>
        </w:numPr>
        <w:spacing w:after="120"/>
      </w:pPr>
      <w:r w:rsidRPr="00E76BBF">
        <w:t>At the time of evaluation for PBAC consideration, the approved TGA PI for the IV formulations, the draft TGA PI for the SC formulation and the TGA Round 1 CER w</w:t>
      </w:r>
      <w:r>
        <w:t>ere</w:t>
      </w:r>
      <w:r w:rsidRPr="00E76BBF">
        <w:t xml:space="preserve"> available. </w:t>
      </w:r>
    </w:p>
    <w:p w:rsidR="00BF21C5" w:rsidRPr="00E76BBF" w:rsidRDefault="00FA3E32" w:rsidP="001F2D98">
      <w:pPr>
        <w:pStyle w:val="ListParagraph"/>
        <w:widowControl/>
        <w:numPr>
          <w:ilvl w:val="1"/>
          <w:numId w:val="1"/>
        </w:numPr>
        <w:spacing w:after="120"/>
      </w:pPr>
      <w:r w:rsidRPr="00FA3E32">
        <w:t xml:space="preserve">At the time of the PBAC meeting, belimumab had </w:t>
      </w:r>
      <w:r>
        <w:t xml:space="preserve">received a positive </w:t>
      </w:r>
      <w:r w:rsidR="00062546" w:rsidRPr="00FA3E32">
        <w:t xml:space="preserve">TGA </w:t>
      </w:r>
      <w:r>
        <w:t xml:space="preserve">Delegate’s </w:t>
      </w:r>
      <w:r w:rsidR="00BF21C5">
        <w:t xml:space="preserve">appraisal. The TGA Delegate confirmed that the indication </w:t>
      </w:r>
      <w:r w:rsidR="00BF21C5" w:rsidRPr="00E76BBF">
        <w:t>for belimumab SC</w:t>
      </w:r>
      <w:r w:rsidR="00BF21C5">
        <w:t xml:space="preserve"> would be</w:t>
      </w:r>
      <w:r w:rsidR="00BF21C5" w:rsidRPr="00E76BBF">
        <w:t xml:space="preserve"> the same as the approved TGA indication for belimumab IV</w:t>
      </w:r>
      <w:r w:rsidR="00BF21C5">
        <w:t>, which is</w:t>
      </w:r>
      <w:r w:rsidR="00BF21C5" w:rsidRPr="00E76BBF">
        <w:t>: “… add-on therapy for reducing disease activity in adult patients with active, autoantibody-positive systemic lupus erythematosus (SLE) with a high degree of disease activity (e.g. ANA titre ≥1:80 and/or anti-dsDNA titre ≥30 IU/mL) despite standard therapy. The safety and efficacy of (belimumab) have not been evaluated in patients with severe active lupus nephritis or severe active central nervous system lupus.”</w:t>
      </w:r>
    </w:p>
    <w:p w:rsidR="00172AD3" w:rsidRPr="00ED7E3E" w:rsidRDefault="00172AD3" w:rsidP="001F2D98">
      <w:pPr>
        <w:pStyle w:val="PBACHeading1"/>
        <w:spacing w:before="0"/>
      </w:pPr>
      <w:bookmarkStart w:id="4" w:name="_Toc19712618"/>
      <w:r w:rsidRPr="00ED7E3E">
        <w:t>Population and disease</w:t>
      </w:r>
      <w:bookmarkEnd w:id="4"/>
    </w:p>
    <w:p w:rsidR="00172AD3" w:rsidRPr="004A32EC" w:rsidRDefault="00172AD3" w:rsidP="001F2D98">
      <w:pPr>
        <w:pStyle w:val="ListParagraph"/>
        <w:widowControl/>
        <w:numPr>
          <w:ilvl w:val="1"/>
          <w:numId w:val="1"/>
        </w:numPr>
        <w:spacing w:after="120"/>
      </w:pPr>
      <w:r w:rsidRPr="000416AC">
        <w:t xml:space="preserve">SLE is a chronic autoimmune, relapsing, remitting disease, which typically affects multiple organ systems without a predictable pattern, even in the same patient. Patients present with variable expression and severity of clinical features, ranging from mild joint and skin involvement to life-threatening renal, hematologic, or central nervous system involvement. Constitutional symptoms such as fatigue, fever, and weight loss are present in most SLE patients at some point during the course of the disease. Immunologic abnormalities, such as the production of a number </w:t>
      </w:r>
      <w:r>
        <w:t>of antinuclear antibodies (ANA) and</w:t>
      </w:r>
      <w:r w:rsidRPr="000416AC">
        <w:t xml:space="preserve"> anti-double-stranded</w:t>
      </w:r>
      <w:r>
        <w:t xml:space="preserve"> DNA (</w:t>
      </w:r>
      <w:r w:rsidR="00F50BDA">
        <w:t>anti-</w:t>
      </w:r>
      <w:r>
        <w:t>dsDNA)</w:t>
      </w:r>
      <w:r w:rsidRPr="000416AC">
        <w:t xml:space="preserve"> are highly associated with the disease. SLE occurs more commonly in women of childbearing age (20 – 40 years old) and in certain ethnic groups</w:t>
      </w:r>
      <w:r>
        <w:t xml:space="preserve">. </w:t>
      </w:r>
      <w:r w:rsidRPr="000416AC">
        <w:t>In Australia, SLE is more common and more severe in Indigenous Australians and descendants from South-East Asia.</w:t>
      </w:r>
      <w:r w:rsidRPr="000416AC">
        <w:rPr>
          <w:rStyle w:val="FootnoteReference"/>
        </w:rPr>
        <w:footnoteReference w:id="4"/>
      </w:r>
      <w:r w:rsidRPr="000416AC">
        <w:rPr>
          <w:vertAlign w:val="superscript"/>
        </w:rPr>
        <w:t>,</w:t>
      </w:r>
      <w:r w:rsidRPr="000416AC">
        <w:rPr>
          <w:rStyle w:val="FootnoteReference"/>
        </w:rPr>
        <w:footnoteReference w:id="5"/>
      </w:r>
    </w:p>
    <w:p w:rsidR="00201EF1" w:rsidRDefault="00172AD3" w:rsidP="001F2D98">
      <w:pPr>
        <w:pStyle w:val="ListParagraph"/>
        <w:widowControl/>
        <w:numPr>
          <w:ilvl w:val="1"/>
          <w:numId w:val="1"/>
        </w:numPr>
        <w:spacing w:after="120"/>
      </w:pPr>
      <w:r>
        <w:lastRenderedPageBreak/>
        <w:t xml:space="preserve">The clinical heterogeneity of SLE and the lack of highly specific and sensitive pathognomonic features or tests pose a diagnostic challenge. </w:t>
      </w:r>
      <w:r w:rsidR="00224355" w:rsidRPr="003773E0">
        <w:t xml:space="preserve">All trials included in the submission enrolled patients with a diagnosis of SLE according to </w:t>
      </w:r>
      <w:r w:rsidR="00224355">
        <w:t xml:space="preserve">the </w:t>
      </w:r>
      <w:r w:rsidR="00224355" w:rsidRPr="003773E0">
        <w:t>1997 American College of Rheumatology (ACR) criteria</w:t>
      </w:r>
      <w:r w:rsidR="00224355">
        <w:t xml:space="preserve"> in which</w:t>
      </w:r>
      <w:r w:rsidR="00224355" w:rsidRPr="003773E0">
        <w:t xml:space="preserve"> a patient must have ≥4 of the manifestations present, either serially or simultaneously, during any interval of observations. </w:t>
      </w:r>
      <w:r w:rsidR="00243315">
        <w:t xml:space="preserve">However, other more recent diagnostic criteria exist including </w:t>
      </w:r>
      <w:r w:rsidR="00201EF1">
        <w:t xml:space="preserve">the </w:t>
      </w:r>
      <w:r w:rsidR="00243315" w:rsidRPr="00D16630">
        <w:t>2012 Systemic Lupus International Collaborating Clinics (SLICC) criteria</w:t>
      </w:r>
      <w:r w:rsidR="00243315" w:rsidDel="001F4A55">
        <w:t xml:space="preserve"> </w:t>
      </w:r>
      <w:r w:rsidR="00243315">
        <w:t xml:space="preserve">and the </w:t>
      </w:r>
      <w:r w:rsidR="00372D9A" w:rsidRPr="00372D9A">
        <w:t>2019 EULAR / ACR classification criteria for SLE</w:t>
      </w:r>
      <w:r w:rsidR="00372D9A">
        <w:t>.</w:t>
      </w:r>
      <w:r w:rsidR="00243315" w:rsidRPr="00D16630">
        <w:t xml:space="preserve"> </w:t>
      </w:r>
    </w:p>
    <w:p w:rsidR="00172AD3" w:rsidRPr="004A2B37" w:rsidRDefault="00172AD3" w:rsidP="001F2D98">
      <w:pPr>
        <w:pStyle w:val="ListParagraph"/>
        <w:widowControl/>
        <w:numPr>
          <w:ilvl w:val="1"/>
          <w:numId w:val="1"/>
        </w:numPr>
        <w:spacing w:after="120"/>
      </w:pPr>
      <w:r w:rsidRPr="00B13A89">
        <w:t>The goals of therapy are to ensure long-term survival, achieve the lowest possible disease activity, prevent organ damage, minimise drug toxicity, improve quality of life, and educate patients about their role in disease management. The four main groups of drugs that are used to treat SLE are non-steroidal anti-inflammatory drugs (NSAIDs), anti-malarial drugs, corticos</w:t>
      </w:r>
      <w:r>
        <w:t>teroids, and immunosuppressants</w:t>
      </w:r>
      <w:r w:rsidRPr="00B13A89">
        <w:t xml:space="preserve">. Corticosteroids are tapered once disease flares are under control, with the overarching goal to use minimum medication to maintain disease control. The increasing cumulative dose of low-dose maintenance or higher-dose </w:t>
      </w:r>
      <w:r w:rsidRPr="004A2B37">
        <w:t xml:space="preserve">pulsatile corticosteroid treatment contributes to organ damage in SLE patients, for example osteoporosis, diabetes and cataracts. </w:t>
      </w:r>
    </w:p>
    <w:p w:rsidR="00172AD3" w:rsidRPr="009B6FAD" w:rsidRDefault="00172AD3" w:rsidP="001F2D98">
      <w:pPr>
        <w:pStyle w:val="ListParagraph"/>
        <w:widowControl/>
        <w:numPr>
          <w:ilvl w:val="1"/>
          <w:numId w:val="1"/>
        </w:numPr>
        <w:spacing w:after="120"/>
      </w:pPr>
      <w:r w:rsidRPr="009B6FAD">
        <w:t xml:space="preserve">Measuring disease activity or response to treatment is challenging given the complex multi-system nature of SLE, the variability of manifestations both between patients and within the same patient over time, the different co-morbidities and cumulative organ damage between patients, and individualised background polypharmacy. </w:t>
      </w:r>
    </w:p>
    <w:p w:rsidR="00172AD3" w:rsidRPr="00E13A4F" w:rsidRDefault="00201EF1" w:rsidP="001F2D98">
      <w:pPr>
        <w:pStyle w:val="ListParagraph"/>
        <w:widowControl/>
        <w:numPr>
          <w:ilvl w:val="1"/>
          <w:numId w:val="1"/>
        </w:numPr>
        <w:spacing w:after="120"/>
      </w:pPr>
      <w:r>
        <w:t>For assessing response, t</w:t>
      </w:r>
      <w:r w:rsidR="00172AD3">
        <w:t>he main instrument presented by the submission was the SLE responder index (SRI), a composite index consisting of three individual DAIs (</w:t>
      </w:r>
      <w:r w:rsidR="00172AD3" w:rsidRPr="00E13A4F">
        <w:t xml:space="preserve">see Table </w:t>
      </w:r>
      <w:r w:rsidR="00F25061">
        <w:t>3</w:t>
      </w:r>
      <w:r w:rsidR="00FF5842">
        <w:t xml:space="preserve"> </w:t>
      </w:r>
      <w:r w:rsidR="00172AD3" w:rsidRPr="00E13A4F">
        <w:t>below):</w:t>
      </w:r>
    </w:p>
    <w:p w:rsidR="00172AD3" w:rsidRDefault="00172AD3" w:rsidP="001F2D98">
      <w:pPr>
        <w:pStyle w:val="ListParagraph"/>
        <w:widowControl/>
        <w:numPr>
          <w:ilvl w:val="0"/>
          <w:numId w:val="8"/>
        </w:numPr>
        <w:spacing w:after="120"/>
      </w:pPr>
      <w:r>
        <w:t xml:space="preserve">the </w:t>
      </w:r>
      <w:r w:rsidRPr="00617D8A">
        <w:t>Safety of Estrogen in</w:t>
      </w:r>
      <w:r>
        <w:t xml:space="preserve"> Lupus National Assessment</w:t>
      </w:r>
      <w:r w:rsidRPr="00617D8A">
        <w:t xml:space="preserve"> Systemic Lupus Erythematosus Disease Activity Index</w:t>
      </w:r>
      <w:r>
        <w:t xml:space="preserve"> (SELENA-SLEDAI), </w:t>
      </w:r>
    </w:p>
    <w:p w:rsidR="00172AD3" w:rsidRPr="00D16630" w:rsidRDefault="00172AD3" w:rsidP="001F2D98">
      <w:pPr>
        <w:pStyle w:val="ListParagraph"/>
        <w:widowControl/>
        <w:numPr>
          <w:ilvl w:val="0"/>
          <w:numId w:val="8"/>
        </w:numPr>
        <w:spacing w:after="120"/>
      </w:pPr>
      <w:r w:rsidRPr="00D16630">
        <w:t xml:space="preserve">the British Isles Lupus Assessment Group of SLE Clinics (BILAG) index, and </w:t>
      </w:r>
    </w:p>
    <w:p w:rsidR="00172AD3" w:rsidRPr="00D16630" w:rsidRDefault="00172AD3" w:rsidP="001F2D98">
      <w:pPr>
        <w:pStyle w:val="ListParagraph"/>
        <w:widowControl/>
        <w:numPr>
          <w:ilvl w:val="0"/>
          <w:numId w:val="8"/>
        </w:numPr>
        <w:spacing w:after="120"/>
      </w:pPr>
      <w:r w:rsidRPr="00D16630">
        <w:t xml:space="preserve">the Physician’s Global Assessment (PGA). </w:t>
      </w:r>
    </w:p>
    <w:p w:rsidR="00172AD3" w:rsidRPr="004A2B37" w:rsidRDefault="009448A7" w:rsidP="001F2D98">
      <w:pPr>
        <w:pStyle w:val="ListParagraph"/>
        <w:widowControl/>
        <w:numPr>
          <w:ilvl w:val="1"/>
          <w:numId w:val="1"/>
        </w:numPr>
        <w:spacing w:after="120"/>
      </w:pPr>
      <w:r w:rsidRPr="00D16630">
        <w:t>W</w:t>
      </w:r>
      <w:r w:rsidR="00172AD3" w:rsidRPr="00D16630">
        <w:t xml:space="preserve">hile numerous validated </w:t>
      </w:r>
      <w:r w:rsidR="00201EF1" w:rsidRPr="009B6FAD">
        <w:t xml:space="preserve">disease activity indexes </w:t>
      </w:r>
      <w:r w:rsidR="00201EF1">
        <w:t>(</w:t>
      </w:r>
      <w:r w:rsidR="00172AD3" w:rsidRPr="00D16630">
        <w:t>DAIs</w:t>
      </w:r>
      <w:r w:rsidR="00201EF1">
        <w:t>)</w:t>
      </w:r>
      <w:r w:rsidR="00172AD3" w:rsidRPr="00D16630">
        <w:t xml:space="preserve"> exist, all were created for research and clinical trial purposes. Due to the administrative burden of use and the limitations in detecting a clinically meaningful change in patient outcomes, DAIs are not used in routine clinical practice. Furthermore, there is high inter-rater variability in the assessment of disease activity, even </w:t>
      </w:r>
      <w:r w:rsidR="00172AD3" w:rsidRPr="004A2B37">
        <w:t>among trained and experienced clinicians</w:t>
      </w:r>
      <w:r w:rsidR="00172AD3" w:rsidRPr="004A2B37">
        <w:rPr>
          <w:rStyle w:val="FootnoteReference"/>
        </w:rPr>
        <w:footnoteReference w:id="6"/>
      </w:r>
      <w:r w:rsidR="00172AD3" w:rsidRPr="004A2B37">
        <w:t>.</w:t>
      </w:r>
    </w:p>
    <w:p w:rsidR="00172AD3" w:rsidRPr="00E76BBF" w:rsidRDefault="00172AD3" w:rsidP="001F2D98">
      <w:pPr>
        <w:pStyle w:val="ListParagraph"/>
        <w:widowControl/>
        <w:numPr>
          <w:ilvl w:val="1"/>
          <w:numId w:val="1"/>
        </w:numPr>
        <w:spacing w:after="120"/>
      </w:pPr>
      <w:r w:rsidRPr="00E76BBF">
        <w:lastRenderedPageBreak/>
        <w:t>The SRI was developed by the belimumab investigators following retrospective exploratory analyses of a Phase II belimumab</w:t>
      </w:r>
      <w:r w:rsidR="00B160C9" w:rsidRPr="00E76BBF">
        <w:t xml:space="preserve"> randomised controlled trial</w:t>
      </w:r>
      <w:r w:rsidRPr="00E76BBF">
        <w:t xml:space="preserve"> </w:t>
      </w:r>
      <w:r w:rsidR="00B160C9" w:rsidRPr="00E76BBF">
        <w:t>(</w:t>
      </w:r>
      <w:r w:rsidRPr="00E76BBF">
        <w:t>RCT</w:t>
      </w:r>
      <w:r w:rsidR="00B160C9" w:rsidRPr="00E76BBF">
        <w:t>)</w:t>
      </w:r>
      <w:r w:rsidRPr="00E76BBF">
        <w:rPr>
          <w:rStyle w:val="FootnoteReference"/>
        </w:rPr>
        <w:footnoteReference w:id="7"/>
      </w:r>
      <w:r w:rsidRPr="00E76BBF">
        <w:t xml:space="preserve">, and was the first composite index to be used in SLE RCTs. A composite index was thought to make the instrument more responsive than the individual component DAIs. However, there has been no evidence of the superiority of composite indexes over single validated indexes. </w:t>
      </w:r>
      <w:r w:rsidR="00201EF1" w:rsidRPr="00E76BBF">
        <w:t>S</w:t>
      </w:r>
      <w:r w:rsidRPr="00E76BBF">
        <w:t xml:space="preserve">ince the development of the SRI, there has been improved, validated revisions in single DAIs which capture disease activity better than the components of the SRI. For example, the SLEDAI-2K is an updated and better validated tool than the SELENA-SLEDAI, and the revised BILAG-2004 has replaced the original ‘classic’ BILAG (see Table </w:t>
      </w:r>
      <w:r w:rsidR="00F25061">
        <w:t>3</w:t>
      </w:r>
      <w:r w:rsidR="00536DCA" w:rsidRPr="00E76BBF">
        <w:t>)</w:t>
      </w:r>
      <w:r w:rsidR="0095398A" w:rsidRPr="00E76BBF">
        <w:t>.</w:t>
      </w:r>
      <w:r w:rsidR="00E0755F" w:rsidRPr="00E76BBF">
        <w:t xml:space="preserve"> </w:t>
      </w:r>
      <w:r w:rsidR="003D6EA0" w:rsidRPr="00E76BBF">
        <w:t xml:space="preserve">The PSCR </w:t>
      </w:r>
      <w:r w:rsidR="00224355" w:rsidRPr="00E76BBF">
        <w:t>argu</w:t>
      </w:r>
      <w:r w:rsidR="003D6EA0" w:rsidRPr="00E76BBF">
        <w:t xml:space="preserve">ed that </w:t>
      </w:r>
      <w:r w:rsidR="00224355" w:rsidRPr="00E76BBF">
        <w:t xml:space="preserve">there is little difference between </w:t>
      </w:r>
      <w:r w:rsidR="00224355" w:rsidRPr="00E76BBF">
        <w:rPr>
          <w:szCs w:val="24"/>
        </w:rPr>
        <w:t>t</w:t>
      </w:r>
      <w:r w:rsidR="003D6EA0" w:rsidRPr="00E76BBF">
        <w:rPr>
          <w:szCs w:val="24"/>
        </w:rPr>
        <w:t>he SLEDAI-2K and the SELENA-SLEDAI</w:t>
      </w:r>
      <w:r w:rsidR="00224355" w:rsidRPr="00E76BBF">
        <w:rPr>
          <w:szCs w:val="24"/>
        </w:rPr>
        <w:t xml:space="preserve"> (refer to Table </w:t>
      </w:r>
      <w:r w:rsidR="00F61CA4" w:rsidRPr="00E76BBF">
        <w:rPr>
          <w:szCs w:val="24"/>
        </w:rPr>
        <w:t>3</w:t>
      </w:r>
      <w:r w:rsidR="00224355" w:rsidRPr="00E76BBF">
        <w:rPr>
          <w:szCs w:val="24"/>
        </w:rPr>
        <w:t>).</w:t>
      </w:r>
      <w:r w:rsidR="003D6EA0" w:rsidRPr="00E76BBF">
        <w:rPr>
          <w:szCs w:val="24"/>
        </w:rPr>
        <w:t xml:space="preserve"> </w:t>
      </w:r>
    </w:p>
    <w:p w:rsidR="00172AD3" w:rsidRPr="00404DF9" w:rsidRDefault="00172AD3" w:rsidP="00C13D2B">
      <w:pPr>
        <w:keepNext/>
        <w:keepLines/>
        <w:widowControl/>
        <w:suppressLineNumbers/>
        <w:suppressAutoHyphens/>
        <w:rPr>
          <w:rFonts w:ascii="Arial Narrow" w:hAnsi="Arial Narrow"/>
          <w:b/>
          <w:bCs/>
          <w:sz w:val="20"/>
          <w:szCs w:val="20"/>
        </w:rPr>
      </w:pPr>
      <w:r w:rsidRPr="00EC2F6F">
        <w:rPr>
          <w:rFonts w:ascii="Arial Narrow" w:hAnsi="Arial Narrow"/>
          <w:b/>
          <w:bCs/>
          <w:sz w:val="20"/>
          <w:szCs w:val="20"/>
        </w:rPr>
        <w:lastRenderedPageBreak/>
        <w:t xml:space="preserve">Table </w:t>
      </w:r>
      <w:r w:rsidR="00F61CA4">
        <w:rPr>
          <w:rFonts w:ascii="Arial Narrow" w:hAnsi="Arial Narrow"/>
          <w:b/>
          <w:bCs/>
          <w:sz w:val="20"/>
          <w:szCs w:val="20"/>
        </w:rPr>
        <w:t>3</w:t>
      </w:r>
      <w:r w:rsidRPr="00EC2F6F">
        <w:rPr>
          <w:rFonts w:ascii="Arial Narrow" w:hAnsi="Arial Narrow"/>
          <w:b/>
          <w:bCs/>
          <w:sz w:val="20"/>
          <w:szCs w:val="20"/>
        </w:rPr>
        <w:t>: Summary</w:t>
      </w:r>
      <w:r w:rsidRPr="00404DF9">
        <w:rPr>
          <w:rFonts w:ascii="Arial Narrow" w:hAnsi="Arial Narrow"/>
          <w:b/>
          <w:bCs/>
          <w:sz w:val="20"/>
          <w:szCs w:val="20"/>
        </w:rPr>
        <w:t xml:space="preserve"> of </w:t>
      </w:r>
      <w:r>
        <w:rPr>
          <w:rFonts w:ascii="Arial Narrow" w:hAnsi="Arial Narrow"/>
          <w:b/>
          <w:bCs/>
          <w:sz w:val="20"/>
          <w:szCs w:val="20"/>
        </w:rPr>
        <w:t>the</w:t>
      </w:r>
      <w:r w:rsidRPr="00404DF9">
        <w:rPr>
          <w:rFonts w:ascii="Arial Narrow" w:hAnsi="Arial Narrow"/>
          <w:b/>
          <w:bCs/>
          <w:sz w:val="20"/>
          <w:szCs w:val="20"/>
        </w:rPr>
        <w:t xml:space="preserve"> single disease activity indexes relevant to the submission</w:t>
      </w:r>
    </w:p>
    <w:tbl>
      <w:tblPr>
        <w:tblStyle w:val="TableGrid"/>
        <w:tblW w:w="0" w:type="auto"/>
        <w:tblCellMar>
          <w:left w:w="28" w:type="dxa"/>
          <w:right w:w="28" w:type="dxa"/>
        </w:tblCellMar>
        <w:tblLook w:val="04A0" w:firstRow="1" w:lastRow="0" w:firstColumn="1" w:lastColumn="0" w:noHBand="0" w:noVBand="1"/>
        <w:tblCaption w:val="Table 3: Summary of the single disease activity indexes relevant to the submission"/>
      </w:tblPr>
      <w:tblGrid>
        <w:gridCol w:w="676"/>
        <w:gridCol w:w="773"/>
        <w:gridCol w:w="7568"/>
      </w:tblGrid>
      <w:tr w:rsidR="00172AD3" w:rsidRPr="00404DF9" w:rsidTr="00155E64">
        <w:trPr>
          <w:tblHeader/>
        </w:trPr>
        <w:tc>
          <w:tcPr>
            <w:tcW w:w="9017" w:type="dxa"/>
            <w:gridSpan w:val="3"/>
            <w:vAlign w:val="center"/>
          </w:tcPr>
          <w:p w:rsidR="00172AD3" w:rsidRPr="00404DF9" w:rsidRDefault="00172AD3" w:rsidP="00C13D2B">
            <w:pPr>
              <w:keepNext/>
              <w:keepLines/>
              <w:widowControl/>
              <w:suppressLineNumbers/>
              <w:suppressAutoHyphens/>
              <w:rPr>
                <w:rFonts w:ascii="Arial Narrow" w:hAnsi="Arial Narrow"/>
                <w:b/>
                <w:bCs/>
                <w:sz w:val="20"/>
                <w:szCs w:val="20"/>
              </w:rPr>
            </w:pPr>
            <w:r w:rsidRPr="00404DF9">
              <w:rPr>
                <w:rFonts w:ascii="Arial Narrow" w:hAnsi="Arial Narrow"/>
                <w:b/>
                <w:bCs/>
                <w:sz w:val="20"/>
                <w:szCs w:val="20"/>
              </w:rPr>
              <w:t>Single disease activity indexes</w:t>
            </w:r>
          </w:p>
        </w:tc>
      </w:tr>
      <w:tr w:rsidR="00172AD3" w:rsidRPr="00404DF9" w:rsidTr="00155E64">
        <w:trPr>
          <w:tblHeader/>
        </w:trPr>
        <w:tc>
          <w:tcPr>
            <w:tcW w:w="676" w:type="dxa"/>
            <w:vAlign w:val="center"/>
          </w:tcPr>
          <w:p w:rsidR="00172AD3" w:rsidRPr="00404DF9" w:rsidRDefault="00172AD3" w:rsidP="00C13D2B">
            <w:pPr>
              <w:keepNext/>
              <w:keepLines/>
              <w:widowControl/>
              <w:suppressLineNumbers/>
              <w:suppressAutoHyphens/>
              <w:jc w:val="left"/>
              <w:rPr>
                <w:rFonts w:ascii="Arial Narrow" w:hAnsi="Arial Narrow"/>
                <w:b/>
                <w:iCs/>
                <w:sz w:val="20"/>
                <w:szCs w:val="20"/>
              </w:rPr>
            </w:pPr>
            <w:r w:rsidRPr="00404DF9">
              <w:rPr>
                <w:rFonts w:ascii="Arial Narrow" w:hAnsi="Arial Narrow"/>
                <w:b/>
                <w:iCs/>
                <w:sz w:val="20"/>
                <w:szCs w:val="20"/>
              </w:rPr>
              <w:t>Original</w:t>
            </w:r>
          </w:p>
        </w:tc>
        <w:tc>
          <w:tcPr>
            <w:tcW w:w="773" w:type="dxa"/>
          </w:tcPr>
          <w:p w:rsidR="00172AD3" w:rsidRPr="00404DF9" w:rsidRDefault="00172AD3" w:rsidP="00C13D2B">
            <w:pPr>
              <w:keepNext/>
              <w:keepLines/>
              <w:widowControl/>
              <w:suppressLineNumbers/>
              <w:suppressAutoHyphens/>
              <w:rPr>
                <w:rFonts w:ascii="Arial Narrow" w:hAnsi="Arial Narrow"/>
                <w:b/>
                <w:sz w:val="20"/>
                <w:szCs w:val="20"/>
              </w:rPr>
            </w:pPr>
            <w:r w:rsidRPr="00404DF9">
              <w:rPr>
                <w:rFonts w:ascii="Arial Narrow" w:hAnsi="Arial Narrow"/>
                <w:b/>
                <w:sz w:val="20"/>
                <w:szCs w:val="20"/>
              </w:rPr>
              <w:t>Modified</w:t>
            </w:r>
          </w:p>
        </w:tc>
        <w:tc>
          <w:tcPr>
            <w:tcW w:w="7568" w:type="dxa"/>
          </w:tcPr>
          <w:p w:rsidR="00172AD3" w:rsidRPr="00404DF9" w:rsidRDefault="00172AD3" w:rsidP="00C13D2B">
            <w:pPr>
              <w:keepNext/>
              <w:keepLines/>
              <w:widowControl/>
              <w:suppressLineNumbers/>
              <w:suppressAutoHyphens/>
              <w:rPr>
                <w:rFonts w:ascii="Arial Narrow" w:hAnsi="Arial Narrow"/>
                <w:b/>
                <w:bCs/>
                <w:sz w:val="20"/>
                <w:szCs w:val="20"/>
                <w:u w:val="single"/>
              </w:rPr>
            </w:pPr>
            <w:r w:rsidRPr="00404DF9">
              <w:rPr>
                <w:rFonts w:ascii="Arial Narrow" w:hAnsi="Arial Narrow"/>
                <w:b/>
                <w:bCs/>
                <w:sz w:val="20"/>
                <w:szCs w:val="20"/>
                <w:u w:val="single"/>
              </w:rPr>
              <w:t>Scoring system</w:t>
            </w:r>
          </w:p>
        </w:tc>
      </w:tr>
      <w:tr w:rsidR="00172AD3" w:rsidRPr="00404DF9" w:rsidTr="00155E64">
        <w:trPr>
          <w:tblHeader/>
        </w:trPr>
        <w:tc>
          <w:tcPr>
            <w:tcW w:w="676" w:type="dxa"/>
            <w:vAlign w:val="center"/>
          </w:tcPr>
          <w:p w:rsidR="00172AD3" w:rsidRPr="00404DF9" w:rsidRDefault="00172AD3" w:rsidP="00C13D2B">
            <w:pPr>
              <w:keepNext/>
              <w:keepLines/>
              <w:widowControl/>
              <w:suppressLineNumbers/>
              <w:suppressAutoHyphens/>
              <w:rPr>
                <w:rFonts w:ascii="Arial Narrow" w:hAnsi="Arial Narrow"/>
                <w:iCs/>
                <w:sz w:val="20"/>
                <w:szCs w:val="20"/>
              </w:rPr>
            </w:pPr>
            <w:r w:rsidRPr="000F0E8D">
              <w:rPr>
                <w:rFonts w:ascii="Arial Narrow" w:hAnsi="Arial Narrow"/>
                <w:color w:val="0070C0"/>
                <w:sz w:val="20"/>
                <w:szCs w:val="20"/>
              </w:rPr>
              <w:t>BILAG or “classic BILAG”</w:t>
            </w:r>
          </w:p>
        </w:tc>
        <w:tc>
          <w:tcPr>
            <w:tcW w:w="773" w:type="dxa"/>
            <w:vAlign w:val="center"/>
          </w:tcPr>
          <w:p w:rsidR="00172AD3" w:rsidRPr="00404DF9" w:rsidRDefault="00172AD3" w:rsidP="00C13D2B">
            <w:pPr>
              <w:keepNext/>
              <w:keepLines/>
              <w:widowControl/>
              <w:suppressLineNumbers/>
              <w:suppressAutoHyphens/>
              <w:jc w:val="left"/>
              <w:rPr>
                <w:rFonts w:ascii="Arial Narrow" w:hAnsi="Arial Narrow"/>
                <w:sz w:val="20"/>
                <w:szCs w:val="20"/>
              </w:rPr>
            </w:pPr>
            <w:r w:rsidRPr="00404DF9">
              <w:rPr>
                <w:rFonts w:ascii="Arial Narrow" w:hAnsi="Arial Narrow"/>
                <w:sz w:val="20"/>
                <w:szCs w:val="20"/>
              </w:rPr>
              <w:t>BILAG-2004</w:t>
            </w:r>
          </w:p>
        </w:tc>
        <w:tc>
          <w:tcPr>
            <w:tcW w:w="7568" w:type="dxa"/>
          </w:tcPr>
          <w:p w:rsidR="00172AD3" w:rsidRPr="00240BFE" w:rsidRDefault="00172AD3" w:rsidP="00C13D2B">
            <w:pPr>
              <w:keepNext/>
              <w:keepLines/>
              <w:widowControl/>
              <w:suppressLineNumbers/>
              <w:suppressAutoHyphens/>
              <w:rPr>
                <w:rFonts w:ascii="Arial Narrow" w:hAnsi="Arial Narrow"/>
                <w:sz w:val="20"/>
                <w:szCs w:val="20"/>
              </w:rPr>
            </w:pPr>
            <w:r w:rsidRPr="00240BFE">
              <w:rPr>
                <w:rFonts w:ascii="Arial Narrow" w:hAnsi="Arial Narrow"/>
                <w:b/>
                <w:bCs/>
                <w:sz w:val="20"/>
                <w:szCs w:val="20"/>
              </w:rPr>
              <w:t>Measures disease activity in individual organ systems</w:t>
            </w:r>
          </w:p>
          <w:p w:rsidR="00172AD3" w:rsidRPr="00404DF9" w:rsidRDefault="00172AD3" w:rsidP="00C13D2B">
            <w:pPr>
              <w:keepNext/>
              <w:keepLines/>
              <w:widowControl/>
              <w:suppressLineNumbers/>
              <w:suppressAutoHyphens/>
              <w:rPr>
                <w:rFonts w:ascii="Arial Narrow" w:hAnsi="Arial Narrow"/>
                <w:sz w:val="20"/>
                <w:szCs w:val="20"/>
              </w:rPr>
            </w:pPr>
            <w:r w:rsidRPr="00404DF9">
              <w:rPr>
                <w:rFonts w:ascii="Arial Narrow" w:hAnsi="Arial Narrow"/>
                <w:sz w:val="20"/>
                <w:szCs w:val="20"/>
              </w:rPr>
              <w:t>Both versions score each organ/system on an ordinal scale representing level of disease severity and treatment required (A = severe disease requiring action; to E = disease has never been active). The revised BILAG-2004 distinguishes nine organs/systems instead of eight in the classic BILAG. Completing the BILAG is complex, time consuming and not routinely used in clinical practice due to the difficulty of use (physician training is critical for accurate use).</w:t>
            </w:r>
          </w:p>
        </w:tc>
      </w:tr>
      <w:tr w:rsidR="00172AD3" w:rsidRPr="00404DF9" w:rsidTr="00155E64">
        <w:trPr>
          <w:trHeight w:val="727"/>
          <w:tblHeader/>
        </w:trPr>
        <w:tc>
          <w:tcPr>
            <w:tcW w:w="676" w:type="dxa"/>
            <w:vMerge w:val="restart"/>
            <w:vAlign w:val="center"/>
          </w:tcPr>
          <w:p w:rsidR="00172AD3" w:rsidRPr="00404DF9" w:rsidRDefault="00172AD3" w:rsidP="00C13D2B">
            <w:pPr>
              <w:keepNext/>
              <w:keepLines/>
              <w:widowControl/>
              <w:suppressLineNumbers/>
              <w:suppressAutoHyphens/>
              <w:jc w:val="left"/>
              <w:rPr>
                <w:rFonts w:ascii="Arial Narrow" w:hAnsi="Arial Narrow"/>
                <w:iCs/>
                <w:sz w:val="20"/>
                <w:szCs w:val="20"/>
              </w:rPr>
            </w:pPr>
            <w:r w:rsidRPr="00404DF9">
              <w:rPr>
                <w:rFonts w:ascii="Arial Narrow" w:hAnsi="Arial Narrow"/>
                <w:iCs/>
                <w:sz w:val="20"/>
                <w:szCs w:val="20"/>
              </w:rPr>
              <w:t>SLEDAI</w:t>
            </w:r>
          </w:p>
        </w:tc>
        <w:tc>
          <w:tcPr>
            <w:tcW w:w="773" w:type="dxa"/>
            <w:vAlign w:val="center"/>
          </w:tcPr>
          <w:p w:rsidR="00172AD3" w:rsidRPr="000F0E8D" w:rsidRDefault="00172AD3" w:rsidP="00C13D2B">
            <w:pPr>
              <w:keepNext/>
              <w:keepLines/>
              <w:widowControl/>
              <w:suppressLineNumbers/>
              <w:suppressAutoHyphens/>
              <w:jc w:val="left"/>
              <w:rPr>
                <w:rFonts w:ascii="Arial Narrow" w:hAnsi="Arial Narrow"/>
                <w:color w:val="0070C0"/>
                <w:sz w:val="20"/>
                <w:szCs w:val="20"/>
              </w:rPr>
            </w:pPr>
            <w:r w:rsidRPr="000F0E8D">
              <w:rPr>
                <w:rFonts w:ascii="Arial Narrow" w:hAnsi="Arial Narrow"/>
                <w:color w:val="0070C0"/>
                <w:sz w:val="20"/>
                <w:szCs w:val="20"/>
              </w:rPr>
              <w:t>SELENA-SLEDAI</w:t>
            </w:r>
          </w:p>
        </w:tc>
        <w:tc>
          <w:tcPr>
            <w:tcW w:w="7568" w:type="dxa"/>
            <w:vMerge w:val="restart"/>
          </w:tcPr>
          <w:p w:rsidR="00172AD3" w:rsidRPr="00240BFE" w:rsidRDefault="00172AD3" w:rsidP="00C13D2B">
            <w:pPr>
              <w:keepNext/>
              <w:keepLines/>
              <w:widowControl/>
              <w:suppressLineNumbers/>
              <w:suppressAutoHyphens/>
              <w:rPr>
                <w:rFonts w:ascii="Arial Narrow" w:hAnsi="Arial Narrow"/>
                <w:sz w:val="20"/>
                <w:szCs w:val="20"/>
              </w:rPr>
            </w:pPr>
            <w:r w:rsidRPr="00240BFE">
              <w:rPr>
                <w:rFonts w:ascii="Arial Narrow" w:hAnsi="Arial Narrow"/>
                <w:b/>
                <w:bCs/>
                <w:sz w:val="20"/>
                <w:szCs w:val="20"/>
              </w:rPr>
              <w:t>Global measures of disease activity</w:t>
            </w:r>
          </w:p>
          <w:p w:rsidR="00172AD3" w:rsidRPr="00E76BBF" w:rsidRDefault="00172AD3" w:rsidP="00C13D2B">
            <w:pPr>
              <w:keepNext/>
              <w:keepLines/>
              <w:widowControl/>
              <w:suppressLineNumbers/>
              <w:suppressAutoHyphens/>
              <w:rPr>
                <w:rFonts w:ascii="Arial Narrow" w:hAnsi="Arial Narrow"/>
                <w:sz w:val="20"/>
                <w:szCs w:val="20"/>
              </w:rPr>
            </w:pPr>
            <w:r w:rsidRPr="00E76BBF">
              <w:rPr>
                <w:rFonts w:ascii="Arial Narrow" w:hAnsi="Arial Narrow"/>
                <w:sz w:val="20"/>
                <w:szCs w:val="20"/>
              </w:rPr>
              <w:t>All versions evaluate disease activity over the previous 10 days and scores (one to eight) 24 descriptor items on specific manifestations in nine organ systems. There are slight variations in descriptors across versions. A total score of zero indicates no disease activity and scores ≥20 indicates very high disease activity. Literature review conducted during the evaluation indicated that the SLEDAI-2K is a more commonly used and better validated tool than the SELENA-SLEDAI.</w:t>
            </w:r>
            <w:r w:rsidR="00FB522F">
              <w:rPr>
                <w:rFonts w:ascii="Arial Narrow" w:hAnsi="Arial Narrow"/>
                <w:sz w:val="20"/>
                <w:szCs w:val="20"/>
              </w:rPr>
              <w:t xml:space="preserve"> The PSCR stated</w:t>
            </w:r>
            <w:r w:rsidR="0065391B" w:rsidRPr="00E76BBF">
              <w:rPr>
                <w:rFonts w:ascii="Arial Narrow" w:hAnsi="Arial Narrow"/>
                <w:sz w:val="20"/>
                <w:szCs w:val="20"/>
              </w:rPr>
              <w:t xml:space="preserve"> that “The SLEDAI-2K and the SELENA-SLEDAI differ very little and are almost identical apart from the ‘arthritis’ item which is two joints or more in SLEDAI-2K and more than 2 joints in SELENA-SLEDAI. The ‘proteinuria’ item also differs slightly between the two indices; ‘&gt;0.5 g/24 hours’ in SLEDAI-2K and ‘new onset or recent increase of more than 0.5 g/24 hours’ in SELENA-SLEDAI. The total possible score is identical for both, and both have been validated to capture disease activity in the past 30 (not only past 10) days.</w:t>
            </w:r>
            <w:r w:rsidR="00224355" w:rsidRPr="00E76BBF">
              <w:rPr>
                <w:rFonts w:ascii="Arial Narrow" w:hAnsi="Arial Narrow"/>
                <w:sz w:val="20"/>
                <w:szCs w:val="20"/>
              </w:rPr>
              <w:t>”</w:t>
            </w:r>
            <w:r w:rsidR="00946741" w:rsidRPr="00E76BBF">
              <w:rPr>
                <w:rFonts w:ascii="Arial Narrow" w:hAnsi="Arial Narrow"/>
                <w:sz w:val="20"/>
                <w:szCs w:val="20"/>
              </w:rPr>
              <w:t xml:space="preserve"> </w:t>
            </w:r>
            <w:r w:rsidR="008E052D" w:rsidRPr="00E76BBF">
              <w:rPr>
                <w:rFonts w:ascii="Arial Narrow" w:hAnsi="Arial Narrow"/>
                <w:sz w:val="20"/>
                <w:szCs w:val="20"/>
              </w:rPr>
              <w:t xml:space="preserve">Note, </w:t>
            </w:r>
            <w:r w:rsidR="00946741" w:rsidRPr="00E76BBF">
              <w:rPr>
                <w:rFonts w:ascii="Arial Narrow" w:hAnsi="Arial Narrow"/>
                <w:sz w:val="20"/>
                <w:szCs w:val="20"/>
              </w:rPr>
              <w:t>the description for SELENA-SLEDAI in scientific litera</w:t>
            </w:r>
            <w:r w:rsidR="008E052D" w:rsidRPr="00E76BBF">
              <w:rPr>
                <w:rFonts w:ascii="Arial Narrow" w:hAnsi="Arial Narrow"/>
                <w:sz w:val="20"/>
                <w:szCs w:val="20"/>
              </w:rPr>
              <w:t>ture and</w:t>
            </w:r>
            <w:r w:rsidR="00946741" w:rsidRPr="00E76BBF">
              <w:rPr>
                <w:rFonts w:ascii="Arial Narrow" w:hAnsi="Arial Narrow"/>
                <w:sz w:val="20"/>
                <w:szCs w:val="20"/>
              </w:rPr>
              <w:t xml:space="preserve"> the submission (Figure 10) is that disease activity is captured at the time of visit or in the preceding 10 days. The SELENA-2K instrument was originally developed </w:t>
            </w:r>
            <w:r w:rsidR="008E052D" w:rsidRPr="00E76BBF">
              <w:rPr>
                <w:rFonts w:ascii="Arial Narrow" w:hAnsi="Arial Narrow"/>
                <w:sz w:val="20"/>
                <w:szCs w:val="20"/>
              </w:rPr>
              <w:t>to measure disease activity within the last 10 days, and was subsequently extended to 30 days.</w:t>
            </w:r>
          </w:p>
        </w:tc>
      </w:tr>
      <w:tr w:rsidR="00172AD3" w:rsidRPr="00404DF9" w:rsidTr="00155E64">
        <w:trPr>
          <w:trHeight w:val="727"/>
          <w:tblHeader/>
        </w:trPr>
        <w:tc>
          <w:tcPr>
            <w:tcW w:w="676" w:type="dxa"/>
            <w:vMerge/>
            <w:vAlign w:val="center"/>
          </w:tcPr>
          <w:p w:rsidR="00172AD3" w:rsidRPr="00404DF9" w:rsidRDefault="00172AD3" w:rsidP="00C13D2B">
            <w:pPr>
              <w:keepNext/>
              <w:keepLines/>
              <w:widowControl/>
              <w:suppressLineNumbers/>
              <w:suppressAutoHyphens/>
              <w:jc w:val="left"/>
              <w:rPr>
                <w:rFonts w:ascii="Arial Narrow" w:hAnsi="Arial Narrow"/>
                <w:iCs/>
                <w:sz w:val="20"/>
                <w:szCs w:val="20"/>
              </w:rPr>
            </w:pPr>
          </w:p>
        </w:tc>
        <w:tc>
          <w:tcPr>
            <w:tcW w:w="773" w:type="dxa"/>
            <w:vAlign w:val="center"/>
          </w:tcPr>
          <w:p w:rsidR="00172AD3" w:rsidRPr="00404DF9" w:rsidRDefault="00172AD3" w:rsidP="00C13D2B">
            <w:pPr>
              <w:keepNext/>
              <w:keepLines/>
              <w:widowControl/>
              <w:suppressLineNumbers/>
              <w:suppressAutoHyphens/>
              <w:jc w:val="left"/>
              <w:rPr>
                <w:rFonts w:ascii="Arial Narrow" w:hAnsi="Arial Narrow"/>
                <w:sz w:val="20"/>
                <w:szCs w:val="20"/>
              </w:rPr>
            </w:pPr>
            <w:r w:rsidRPr="00404DF9">
              <w:rPr>
                <w:rFonts w:ascii="Arial Narrow" w:hAnsi="Arial Narrow"/>
                <w:sz w:val="20"/>
                <w:szCs w:val="20"/>
              </w:rPr>
              <w:t>SLEDAI-2K</w:t>
            </w:r>
          </w:p>
        </w:tc>
        <w:tc>
          <w:tcPr>
            <w:tcW w:w="7568" w:type="dxa"/>
            <w:vMerge/>
          </w:tcPr>
          <w:p w:rsidR="00172AD3" w:rsidRPr="00404DF9" w:rsidRDefault="00172AD3" w:rsidP="00C13D2B">
            <w:pPr>
              <w:keepNext/>
              <w:keepLines/>
              <w:widowControl/>
              <w:suppressLineNumbers/>
              <w:suppressAutoHyphens/>
              <w:rPr>
                <w:rFonts w:ascii="Arial Narrow" w:hAnsi="Arial Narrow"/>
                <w:sz w:val="20"/>
                <w:szCs w:val="20"/>
              </w:rPr>
            </w:pPr>
          </w:p>
        </w:tc>
      </w:tr>
      <w:tr w:rsidR="00172AD3" w:rsidRPr="00404DF9" w:rsidTr="00155E64">
        <w:trPr>
          <w:trHeight w:val="727"/>
          <w:tblHeader/>
        </w:trPr>
        <w:tc>
          <w:tcPr>
            <w:tcW w:w="1449" w:type="dxa"/>
            <w:gridSpan w:val="2"/>
            <w:vAlign w:val="center"/>
          </w:tcPr>
          <w:p w:rsidR="00172AD3" w:rsidRPr="00404DF9" w:rsidRDefault="00172AD3" w:rsidP="00C13D2B">
            <w:pPr>
              <w:keepNext/>
              <w:keepLines/>
              <w:widowControl/>
              <w:suppressLineNumbers/>
              <w:suppressAutoHyphens/>
              <w:rPr>
                <w:rFonts w:ascii="Arial Narrow" w:hAnsi="Arial Narrow"/>
                <w:sz w:val="20"/>
                <w:szCs w:val="20"/>
              </w:rPr>
            </w:pPr>
            <w:r w:rsidRPr="000F0E8D">
              <w:rPr>
                <w:rFonts w:ascii="Arial Narrow" w:hAnsi="Arial Narrow"/>
                <w:color w:val="0070C0"/>
                <w:sz w:val="20"/>
                <w:szCs w:val="20"/>
              </w:rPr>
              <w:t>PGA</w:t>
            </w:r>
          </w:p>
        </w:tc>
        <w:tc>
          <w:tcPr>
            <w:tcW w:w="7568" w:type="dxa"/>
          </w:tcPr>
          <w:p w:rsidR="00172AD3" w:rsidRPr="00404DF9" w:rsidRDefault="00172AD3" w:rsidP="00C13D2B">
            <w:pPr>
              <w:keepNext/>
              <w:keepLines/>
              <w:widowControl/>
              <w:suppressLineNumbers/>
              <w:suppressAutoHyphens/>
              <w:rPr>
                <w:rFonts w:ascii="Arial Narrow" w:hAnsi="Arial Narrow"/>
                <w:sz w:val="20"/>
                <w:szCs w:val="20"/>
              </w:rPr>
            </w:pPr>
            <w:r w:rsidRPr="00404DF9">
              <w:rPr>
                <w:rFonts w:ascii="Arial Narrow" w:hAnsi="Arial Narrow"/>
                <w:sz w:val="20"/>
                <w:szCs w:val="20"/>
              </w:rPr>
              <w:t xml:space="preserve">A visual analogue scale using three benchmarks for assessing disease activity over the last two weeks (see Figure 11, p59 of the submission). Mild flare will score 1.0 point, moderate flares will score 2.0–2.5 points and severe flares will score a 3 on the 0–3 analogue scale. </w:t>
            </w:r>
          </w:p>
        </w:tc>
      </w:tr>
      <w:tr w:rsidR="00172AD3" w:rsidRPr="00404DF9" w:rsidTr="00155E64">
        <w:trPr>
          <w:tblHeader/>
        </w:trPr>
        <w:tc>
          <w:tcPr>
            <w:tcW w:w="9017" w:type="dxa"/>
            <w:gridSpan w:val="3"/>
            <w:vAlign w:val="center"/>
          </w:tcPr>
          <w:p w:rsidR="00172AD3" w:rsidRPr="00404DF9" w:rsidRDefault="00172AD3" w:rsidP="00C13D2B">
            <w:pPr>
              <w:keepNext/>
              <w:keepLines/>
              <w:widowControl/>
              <w:suppressLineNumbers/>
              <w:suppressAutoHyphens/>
              <w:rPr>
                <w:rFonts w:ascii="Arial Narrow" w:hAnsi="Arial Narrow"/>
                <w:b/>
                <w:sz w:val="20"/>
                <w:szCs w:val="20"/>
              </w:rPr>
            </w:pPr>
            <w:r w:rsidRPr="00404DF9">
              <w:rPr>
                <w:rFonts w:ascii="Arial Narrow" w:hAnsi="Arial Narrow"/>
                <w:b/>
                <w:sz w:val="20"/>
                <w:szCs w:val="20"/>
              </w:rPr>
              <w:t>Other relevant indexes</w:t>
            </w:r>
          </w:p>
        </w:tc>
      </w:tr>
      <w:tr w:rsidR="00172AD3" w:rsidRPr="00404DF9" w:rsidTr="00155E64">
        <w:trPr>
          <w:tblHeader/>
        </w:trPr>
        <w:tc>
          <w:tcPr>
            <w:tcW w:w="676" w:type="dxa"/>
            <w:vAlign w:val="center"/>
          </w:tcPr>
          <w:p w:rsidR="00172AD3" w:rsidRPr="00404DF9" w:rsidRDefault="00172AD3" w:rsidP="00C13D2B">
            <w:pPr>
              <w:keepNext/>
              <w:keepLines/>
              <w:widowControl/>
              <w:suppressLineNumbers/>
              <w:suppressAutoHyphens/>
              <w:rPr>
                <w:rFonts w:ascii="Arial Narrow" w:hAnsi="Arial Narrow"/>
                <w:sz w:val="20"/>
                <w:szCs w:val="20"/>
              </w:rPr>
            </w:pPr>
            <w:r w:rsidRPr="00404DF9">
              <w:rPr>
                <w:rFonts w:ascii="Arial Narrow" w:hAnsi="Arial Narrow"/>
                <w:iCs/>
                <w:sz w:val="20"/>
                <w:szCs w:val="20"/>
              </w:rPr>
              <w:t>SFI</w:t>
            </w:r>
          </w:p>
        </w:tc>
        <w:tc>
          <w:tcPr>
            <w:tcW w:w="8341" w:type="dxa"/>
            <w:gridSpan w:val="2"/>
          </w:tcPr>
          <w:p w:rsidR="00172AD3" w:rsidRPr="00404DF9" w:rsidRDefault="00172AD3" w:rsidP="00C13D2B">
            <w:pPr>
              <w:keepNext/>
              <w:keepLines/>
              <w:widowControl/>
              <w:suppressLineNumbers/>
              <w:suppressAutoHyphens/>
              <w:rPr>
                <w:rFonts w:ascii="Arial Narrow" w:hAnsi="Arial Narrow"/>
                <w:sz w:val="20"/>
                <w:szCs w:val="20"/>
              </w:rPr>
            </w:pPr>
            <w:r w:rsidRPr="00404DF9">
              <w:rPr>
                <w:rFonts w:ascii="Arial Narrow" w:hAnsi="Arial Narrow"/>
                <w:sz w:val="20"/>
                <w:szCs w:val="20"/>
              </w:rPr>
              <w:t>An assessment of new or worsening disease activity, medication changes, and hospitalisations not captured by the SELENA-SLEDAI.</w:t>
            </w:r>
          </w:p>
        </w:tc>
      </w:tr>
      <w:tr w:rsidR="00172AD3" w:rsidRPr="00404DF9" w:rsidTr="00155E64">
        <w:trPr>
          <w:tblHeader/>
        </w:trPr>
        <w:tc>
          <w:tcPr>
            <w:tcW w:w="676" w:type="dxa"/>
            <w:vAlign w:val="center"/>
          </w:tcPr>
          <w:p w:rsidR="00172AD3" w:rsidRPr="00404DF9" w:rsidRDefault="00172AD3" w:rsidP="00C13D2B">
            <w:pPr>
              <w:keepNext/>
              <w:keepLines/>
              <w:widowControl/>
              <w:suppressLineNumbers/>
              <w:suppressAutoHyphens/>
              <w:jc w:val="left"/>
              <w:rPr>
                <w:rFonts w:ascii="Arial Narrow" w:hAnsi="Arial Narrow"/>
                <w:sz w:val="20"/>
                <w:szCs w:val="20"/>
              </w:rPr>
            </w:pPr>
            <w:r w:rsidRPr="00404DF9">
              <w:rPr>
                <w:rFonts w:ascii="Arial Narrow" w:hAnsi="Arial Narrow"/>
                <w:iCs/>
                <w:sz w:val="20"/>
                <w:szCs w:val="20"/>
              </w:rPr>
              <w:t>SDI</w:t>
            </w:r>
          </w:p>
        </w:tc>
        <w:tc>
          <w:tcPr>
            <w:tcW w:w="8341" w:type="dxa"/>
            <w:gridSpan w:val="2"/>
          </w:tcPr>
          <w:p w:rsidR="00172AD3" w:rsidRPr="00404DF9" w:rsidRDefault="00172AD3" w:rsidP="00C13D2B">
            <w:pPr>
              <w:keepNext/>
              <w:keepLines/>
              <w:widowControl/>
              <w:suppressLineNumbers/>
              <w:suppressAutoHyphens/>
              <w:rPr>
                <w:rFonts w:ascii="Arial Narrow" w:hAnsi="Arial Narrow"/>
                <w:sz w:val="20"/>
                <w:szCs w:val="20"/>
              </w:rPr>
            </w:pPr>
            <w:r w:rsidRPr="00404DF9">
              <w:rPr>
                <w:rFonts w:ascii="Arial Narrow" w:hAnsi="Arial Narrow"/>
                <w:sz w:val="20"/>
                <w:szCs w:val="20"/>
              </w:rPr>
              <w:t xml:space="preserve">An assessment of accumulated non-reversible chronic organ damage in 12 organ systems since SLE diagnosis. </w:t>
            </w:r>
            <w:r>
              <w:rPr>
                <w:rFonts w:ascii="Arial Narrow" w:hAnsi="Arial Narrow"/>
                <w:sz w:val="20"/>
                <w:szCs w:val="20"/>
              </w:rPr>
              <w:t xml:space="preserve">However, organ damage does not need to be attributable to SLE. </w:t>
            </w:r>
          </w:p>
        </w:tc>
      </w:tr>
    </w:tbl>
    <w:p w:rsidR="00172AD3" w:rsidRPr="00536DCA" w:rsidRDefault="00172AD3" w:rsidP="00C13D2B">
      <w:pPr>
        <w:keepNext/>
        <w:keepLines/>
        <w:widowControl/>
        <w:suppressLineNumbers/>
        <w:suppressAutoHyphens/>
        <w:rPr>
          <w:rFonts w:ascii="Arial Narrow" w:hAnsi="Arial Narrow"/>
          <w:sz w:val="18"/>
          <w:szCs w:val="18"/>
        </w:rPr>
      </w:pPr>
      <w:r w:rsidRPr="00536DCA">
        <w:rPr>
          <w:rFonts w:ascii="Arial Narrow" w:hAnsi="Arial Narrow"/>
          <w:color w:val="0070C0"/>
          <w:sz w:val="18"/>
          <w:szCs w:val="18"/>
        </w:rPr>
        <w:t xml:space="preserve">Blue </w:t>
      </w:r>
      <w:r w:rsidRPr="00536DCA">
        <w:rPr>
          <w:rFonts w:ascii="Arial Narrow" w:hAnsi="Arial Narrow"/>
          <w:sz w:val="18"/>
          <w:szCs w:val="18"/>
        </w:rPr>
        <w:t>indicates componen</w:t>
      </w:r>
      <w:r w:rsidR="00536DCA">
        <w:rPr>
          <w:rFonts w:ascii="Arial Narrow" w:hAnsi="Arial Narrow"/>
          <w:sz w:val="18"/>
          <w:szCs w:val="18"/>
        </w:rPr>
        <w:t xml:space="preserve">ts of </w:t>
      </w:r>
      <w:r w:rsidR="00536DCA" w:rsidRPr="007645E4">
        <w:rPr>
          <w:rFonts w:ascii="Arial Narrow" w:hAnsi="Arial Narrow"/>
          <w:sz w:val="18"/>
          <w:szCs w:val="18"/>
        </w:rPr>
        <w:t>the SRI</w:t>
      </w:r>
    </w:p>
    <w:p w:rsidR="00172AD3" w:rsidRDefault="00172AD3" w:rsidP="00C13D2B">
      <w:pPr>
        <w:pStyle w:val="TableFooter"/>
        <w:keepNext/>
        <w:keepLines/>
        <w:widowControl/>
        <w:suppressLineNumbers/>
        <w:suppressAutoHyphens/>
      </w:pPr>
      <w:r w:rsidRPr="000416AC">
        <w:t>Abbreviations: BILAG, British Isles Lupus Assessment Group;</w:t>
      </w:r>
      <w:r>
        <w:t xml:space="preserve"> </w:t>
      </w:r>
      <w:r w:rsidRPr="000416AC">
        <w:t>PGA, Physician Global Assessment; SC, subcutaneous; SDI, Systemic Lupus International Collaborating Clinics (SLICC)/ACR Damage Index; SELENA-SLEDAI, Safety of Estrogens in Lupus Erythematosus National Assessment version of the Systemic Lupus Erythematosus Disease Activity Index. SFI, SLE Flare Index; SLE, systemic lupus erythematosus</w:t>
      </w:r>
      <w:r>
        <w:t>.</w:t>
      </w:r>
    </w:p>
    <w:p w:rsidR="00172AD3" w:rsidRPr="009779FE" w:rsidRDefault="00172AD3" w:rsidP="00172AD3">
      <w:pPr>
        <w:widowControl/>
        <w:ind w:left="720"/>
      </w:pPr>
    </w:p>
    <w:p w:rsidR="00172AD3" w:rsidRPr="005854AA" w:rsidRDefault="00172AD3" w:rsidP="00FF5FCE">
      <w:pPr>
        <w:pStyle w:val="ListParagraph"/>
        <w:widowControl/>
        <w:numPr>
          <w:ilvl w:val="1"/>
          <w:numId w:val="1"/>
        </w:numPr>
        <w:spacing w:after="120"/>
      </w:pPr>
      <w:r>
        <w:t>The Hopkins Lupus Cohort study</w:t>
      </w:r>
      <w:r w:rsidR="00A534F9">
        <w:rPr>
          <w:rStyle w:val="FootnoteReference"/>
        </w:rPr>
        <w:footnoteReference w:id="8"/>
      </w:r>
      <w:r>
        <w:t xml:space="preserve"> defined three “patter</w:t>
      </w:r>
      <w:r w:rsidR="001F5D06">
        <w:t>ns” of SLE disease activity: 1) </w:t>
      </w:r>
      <w:r>
        <w:t xml:space="preserve">relapsing remitting, 2) chronic activity and 3) long quiescence, as assessed by the PGA and the modified SLEDAI. </w:t>
      </w:r>
      <w:r w:rsidR="00A534F9">
        <w:t>T</w:t>
      </w:r>
      <w:r>
        <w:t>he measure of disease activity may vary by pattern of disease, and also the instrument used to measure disease activity.</w:t>
      </w:r>
      <w:r w:rsidRPr="001F5D06">
        <w:rPr>
          <w:rFonts w:ascii="Arial Narrow" w:hAnsi="Arial Narrow"/>
          <w:sz w:val="18"/>
          <w:szCs w:val="18"/>
        </w:rPr>
        <w:t xml:space="preserve"> </w:t>
      </w:r>
    </w:p>
    <w:p w:rsidR="003A64F4" w:rsidRPr="001F5D06" w:rsidRDefault="003A64F4" w:rsidP="003A64F4">
      <w:pPr>
        <w:pStyle w:val="ListParagraph"/>
        <w:widowControl/>
        <w:spacing w:after="120"/>
      </w:pPr>
      <w:r w:rsidRPr="003A64F4">
        <w:rPr>
          <w:i/>
        </w:rPr>
        <w:t>For more detail on PBAC’s view, see section 7 PBAC outcome.</w:t>
      </w:r>
    </w:p>
    <w:p w:rsidR="00172AD3" w:rsidRPr="00ED7E3E" w:rsidRDefault="00172AD3" w:rsidP="00AB03F9">
      <w:pPr>
        <w:pStyle w:val="PBACHeading1"/>
        <w:keepNext/>
        <w:keepLines/>
        <w:spacing w:before="0"/>
      </w:pPr>
      <w:bookmarkStart w:id="5" w:name="_Toc19712619"/>
      <w:r w:rsidRPr="00ED7E3E">
        <w:lastRenderedPageBreak/>
        <w:t>Comparator</w:t>
      </w:r>
      <w:bookmarkEnd w:id="5"/>
    </w:p>
    <w:p w:rsidR="00172AD3" w:rsidRPr="00D16630" w:rsidRDefault="00172AD3" w:rsidP="00AB03F9">
      <w:pPr>
        <w:pStyle w:val="ListParagraph"/>
        <w:keepNext/>
        <w:keepLines/>
        <w:widowControl/>
        <w:numPr>
          <w:ilvl w:val="1"/>
          <w:numId w:val="1"/>
        </w:numPr>
        <w:spacing w:after="120"/>
        <w:rPr>
          <w:rFonts w:cs="Calibri"/>
          <w:snapToGrid/>
          <w:szCs w:val="24"/>
          <w:lang w:eastAsia="en-AU"/>
        </w:rPr>
      </w:pPr>
      <w:r w:rsidRPr="00BC2B35">
        <w:rPr>
          <w:rFonts w:cs="Calibri"/>
          <w:snapToGrid/>
          <w:szCs w:val="24"/>
          <w:lang w:eastAsia="en-AU"/>
        </w:rPr>
        <w:t xml:space="preserve">The submission nominated placebo as the main comparator based on the argument that there are </w:t>
      </w:r>
      <w:r w:rsidRPr="00D16630">
        <w:rPr>
          <w:rFonts w:cs="Calibri"/>
          <w:snapToGrid/>
          <w:szCs w:val="24"/>
          <w:lang w:eastAsia="en-AU"/>
        </w:rPr>
        <w:t xml:space="preserve">currently no treatment options for patients with highly active disease despite taking triple therapy. </w:t>
      </w:r>
      <w:r w:rsidR="00E2307F">
        <w:rPr>
          <w:rFonts w:cs="Calibri"/>
          <w:snapToGrid/>
          <w:szCs w:val="24"/>
          <w:lang w:eastAsia="en-AU"/>
        </w:rPr>
        <w:t>The evaluation considered that p</w:t>
      </w:r>
      <w:r w:rsidRPr="00D16630">
        <w:rPr>
          <w:rFonts w:cs="Calibri"/>
          <w:snapToGrid/>
          <w:szCs w:val="24"/>
          <w:lang w:eastAsia="en-AU"/>
        </w:rPr>
        <w:t>lacebo may not be the</w:t>
      </w:r>
      <w:r w:rsidR="003E7824" w:rsidRPr="00D16630">
        <w:rPr>
          <w:rFonts w:cs="Calibri"/>
          <w:snapToGrid/>
          <w:szCs w:val="24"/>
          <w:lang w:eastAsia="en-AU"/>
        </w:rPr>
        <w:t xml:space="preserve"> only</w:t>
      </w:r>
      <w:r w:rsidRPr="00D16630">
        <w:rPr>
          <w:rFonts w:cs="Calibri"/>
          <w:snapToGrid/>
          <w:szCs w:val="24"/>
          <w:lang w:eastAsia="en-AU"/>
        </w:rPr>
        <w:t xml:space="preserve"> relevant comparator given </w:t>
      </w:r>
      <w:r w:rsidR="006F1C01">
        <w:rPr>
          <w:rFonts w:cs="Calibri"/>
          <w:snapToGrid/>
          <w:szCs w:val="24"/>
          <w:lang w:eastAsia="en-AU"/>
        </w:rPr>
        <w:t>some patients may be treated with</w:t>
      </w:r>
      <w:r w:rsidRPr="00D16630">
        <w:rPr>
          <w:rFonts w:cs="Calibri"/>
          <w:snapToGrid/>
          <w:szCs w:val="24"/>
          <w:lang w:eastAsia="en-AU"/>
        </w:rPr>
        <w:t xml:space="preserve"> belimumab IV or rituximab.</w:t>
      </w:r>
    </w:p>
    <w:p w:rsidR="00172AD3" w:rsidRPr="00E2307F" w:rsidRDefault="00172AD3" w:rsidP="00AB03F9">
      <w:pPr>
        <w:pStyle w:val="ListParagraph"/>
        <w:widowControl/>
        <w:numPr>
          <w:ilvl w:val="1"/>
          <w:numId w:val="1"/>
        </w:numPr>
        <w:spacing w:after="120"/>
      </w:pPr>
      <w:r w:rsidRPr="00D16630">
        <w:rPr>
          <w:rFonts w:cs="Calibri"/>
          <w:snapToGrid/>
          <w:szCs w:val="24"/>
          <w:lang w:eastAsia="en-AU"/>
        </w:rPr>
        <w:t xml:space="preserve">Off label rituximab IV </w:t>
      </w:r>
      <w:r w:rsidRPr="007645E4">
        <w:rPr>
          <w:rFonts w:cs="Calibri"/>
          <w:snapToGrid/>
          <w:szCs w:val="24"/>
          <w:lang w:eastAsia="en-AU"/>
        </w:rPr>
        <w:t xml:space="preserve">infusion is also recommended in the </w:t>
      </w:r>
      <w:r w:rsidR="00536DCA" w:rsidRPr="007645E4">
        <w:rPr>
          <w:rFonts w:cs="Calibri"/>
          <w:snapToGrid/>
          <w:szCs w:val="24"/>
          <w:lang w:eastAsia="en-AU"/>
        </w:rPr>
        <w:t>guidelines</w:t>
      </w:r>
      <w:r w:rsidRPr="007645E4">
        <w:rPr>
          <w:rFonts w:cs="Calibri"/>
          <w:snapToGrid/>
          <w:szCs w:val="24"/>
          <w:lang w:eastAsia="en-AU"/>
        </w:rPr>
        <w:t xml:space="preserve"> for patients with severe renal or extra</w:t>
      </w:r>
      <w:r w:rsidR="00081906" w:rsidRPr="007645E4">
        <w:rPr>
          <w:rFonts w:cs="Calibri"/>
          <w:snapToGrid/>
          <w:szCs w:val="24"/>
          <w:lang w:eastAsia="en-AU"/>
        </w:rPr>
        <w:t>-</w:t>
      </w:r>
      <w:r w:rsidRPr="007645E4">
        <w:rPr>
          <w:rFonts w:cs="Calibri"/>
          <w:snapToGrid/>
          <w:szCs w:val="24"/>
          <w:lang w:eastAsia="en-AU"/>
        </w:rPr>
        <w:t>renal organ-threatening disease refractory to other</w:t>
      </w:r>
      <w:r w:rsidRPr="00D16630">
        <w:rPr>
          <w:rFonts w:cs="Calibri"/>
          <w:snapToGrid/>
          <w:szCs w:val="24"/>
          <w:lang w:eastAsia="en-AU"/>
        </w:rPr>
        <w:t xml:space="preserve"> immunosuppressant agents and/or belimumab, or in patients with contraindications to these drugs. </w:t>
      </w:r>
      <w:r w:rsidR="00372D9A">
        <w:rPr>
          <w:rFonts w:cs="Calibri"/>
          <w:snapToGrid/>
          <w:szCs w:val="24"/>
          <w:lang w:eastAsia="en-AU"/>
        </w:rPr>
        <w:t xml:space="preserve">The evaluation considered that </w:t>
      </w:r>
      <w:r w:rsidRPr="00D16630">
        <w:rPr>
          <w:rFonts w:cs="Calibri"/>
          <w:snapToGrid/>
          <w:szCs w:val="24"/>
          <w:lang w:eastAsia="en-AU"/>
        </w:rPr>
        <w:t xml:space="preserve">there </w:t>
      </w:r>
      <w:r w:rsidR="00372D9A">
        <w:rPr>
          <w:rFonts w:cs="Calibri"/>
          <w:snapToGrid/>
          <w:szCs w:val="24"/>
          <w:lang w:eastAsia="en-AU"/>
        </w:rPr>
        <w:t>may be</w:t>
      </w:r>
      <w:r w:rsidRPr="00D16630">
        <w:rPr>
          <w:rFonts w:cs="Calibri"/>
          <w:snapToGrid/>
          <w:szCs w:val="24"/>
          <w:lang w:eastAsia="en-AU"/>
        </w:rPr>
        <w:t xml:space="preserve"> an overlap</w:t>
      </w:r>
      <w:r w:rsidR="00144F27" w:rsidRPr="00D16630">
        <w:rPr>
          <w:rFonts w:cs="Calibri"/>
          <w:snapToGrid/>
          <w:szCs w:val="24"/>
          <w:lang w:eastAsia="en-AU"/>
        </w:rPr>
        <w:t>ping</w:t>
      </w:r>
      <w:r w:rsidRPr="00D16630">
        <w:rPr>
          <w:rFonts w:cs="Calibri"/>
          <w:snapToGrid/>
          <w:szCs w:val="24"/>
          <w:lang w:eastAsia="en-AU"/>
        </w:rPr>
        <w:t xml:space="preserve"> patient population who </w:t>
      </w:r>
      <w:r w:rsidR="00372D9A">
        <w:rPr>
          <w:rFonts w:cs="Calibri"/>
          <w:snapToGrid/>
          <w:szCs w:val="24"/>
          <w:lang w:eastAsia="en-AU"/>
        </w:rPr>
        <w:t>could</w:t>
      </w:r>
      <w:r w:rsidRPr="00D16630">
        <w:rPr>
          <w:rFonts w:cs="Calibri"/>
          <w:snapToGrid/>
          <w:szCs w:val="24"/>
          <w:lang w:eastAsia="en-AU"/>
        </w:rPr>
        <w:t xml:space="preserve"> be prescribed either rituximab or belimumab. Expert opinion presented in the submission indicated that, “younger patients with persistent high disease activity would be considered for rituximab along with those with refractory skin conditions, renal manifestations, refractory joint conditions and persistently high inflammatory markers”. Therefore, </w:t>
      </w:r>
      <w:r w:rsidR="00E2307F">
        <w:rPr>
          <w:rFonts w:cs="Calibri"/>
          <w:snapToGrid/>
          <w:szCs w:val="24"/>
          <w:lang w:eastAsia="en-AU"/>
        </w:rPr>
        <w:t xml:space="preserve">the evaluation considered that </w:t>
      </w:r>
      <w:r w:rsidRPr="00D16630">
        <w:rPr>
          <w:rFonts w:cs="Calibri"/>
          <w:snapToGrid/>
          <w:szCs w:val="24"/>
          <w:lang w:eastAsia="en-AU"/>
        </w:rPr>
        <w:t xml:space="preserve">for a subset of patients, rituximab may also be a relevant comparator. </w:t>
      </w:r>
    </w:p>
    <w:p w:rsidR="00E2307F" w:rsidRPr="00BC4605" w:rsidRDefault="00881056" w:rsidP="00AB03F9">
      <w:pPr>
        <w:pStyle w:val="ListParagraph"/>
        <w:widowControl/>
        <w:numPr>
          <w:ilvl w:val="1"/>
          <w:numId w:val="1"/>
        </w:numPr>
        <w:spacing w:after="120"/>
      </w:pPr>
      <w:r w:rsidRPr="00E76BBF">
        <w:rPr>
          <w:rFonts w:cs="Calibri"/>
          <w:snapToGrid/>
          <w:szCs w:val="24"/>
          <w:lang w:eastAsia="en-AU"/>
        </w:rPr>
        <w:t xml:space="preserve">The </w:t>
      </w:r>
      <w:r w:rsidR="00E2307F" w:rsidRPr="00E76BBF">
        <w:rPr>
          <w:rFonts w:cs="Calibri"/>
          <w:snapToGrid/>
          <w:szCs w:val="24"/>
          <w:lang w:eastAsia="en-AU"/>
        </w:rPr>
        <w:t xml:space="preserve">ESC </w:t>
      </w:r>
      <w:r w:rsidR="009E22A5">
        <w:rPr>
          <w:rFonts w:cs="Calibri"/>
          <w:snapToGrid/>
          <w:szCs w:val="24"/>
          <w:lang w:eastAsia="en-AU"/>
        </w:rPr>
        <w:t xml:space="preserve">and PBAC </w:t>
      </w:r>
      <w:r w:rsidR="00E2307F" w:rsidRPr="00E76BBF">
        <w:rPr>
          <w:rFonts w:cs="Calibri"/>
          <w:snapToGrid/>
          <w:szCs w:val="24"/>
          <w:lang w:eastAsia="en-AU"/>
        </w:rPr>
        <w:t>considered that neither belimumab IV nor ritux</w:t>
      </w:r>
      <w:r w:rsidR="00BC56BB" w:rsidRPr="00E76BBF">
        <w:rPr>
          <w:rFonts w:cs="Calibri"/>
          <w:snapToGrid/>
          <w:szCs w:val="24"/>
          <w:lang w:eastAsia="en-AU"/>
        </w:rPr>
        <w:t>imab</w:t>
      </w:r>
      <w:r w:rsidR="00E2307F" w:rsidRPr="00E76BBF">
        <w:rPr>
          <w:rFonts w:cs="Calibri"/>
          <w:snapToGrid/>
          <w:szCs w:val="24"/>
          <w:lang w:eastAsia="en-AU"/>
        </w:rPr>
        <w:t xml:space="preserve"> are widely used in clinical practice and considered that placebo (as a proxy for </w:t>
      </w:r>
      <w:r w:rsidR="00BC4605">
        <w:rPr>
          <w:rFonts w:cs="Calibri"/>
          <w:snapToGrid/>
          <w:szCs w:val="24"/>
          <w:lang w:eastAsia="en-AU"/>
        </w:rPr>
        <w:t>SOC</w:t>
      </w:r>
      <w:r w:rsidR="00E2307F" w:rsidRPr="00E76BBF">
        <w:rPr>
          <w:rFonts w:cs="Calibri"/>
          <w:snapToGrid/>
          <w:szCs w:val="24"/>
          <w:lang w:eastAsia="en-AU"/>
        </w:rPr>
        <w:t>) was the appropriate comparator.</w:t>
      </w:r>
    </w:p>
    <w:p w:rsidR="009E22A5" w:rsidRPr="009E22A5" w:rsidRDefault="00BC4605" w:rsidP="00AB03F9">
      <w:pPr>
        <w:pStyle w:val="ListParagraph"/>
        <w:widowControl/>
        <w:numPr>
          <w:ilvl w:val="1"/>
          <w:numId w:val="1"/>
        </w:numPr>
        <w:spacing w:after="120"/>
      </w:pPr>
      <w:r w:rsidRPr="00372D9A">
        <w:rPr>
          <w:rFonts w:cs="Calibri"/>
          <w:snapToGrid/>
          <w:szCs w:val="24"/>
          <w:lang w:eastAsia="en-AU"/>
        </w:rPr>
        <w:t xml:space="preserve">While rituximab is used in some centres, </w:t>
      </w:r>
      <w:r w:rsidR="005A66C9" w:rsidRPr="00372D9A">
        <w:rPr>
          <w:rFonts w:cs="Calibri"/>
          <w:snapToGrid/>
          <w:szCs w:val="24"/>
          <w:lang w:eastAsia="en-AU"/>
        </w:rPr>
        <w:t xml:space="preserve">the PBAC noted that </w:t>
      </w:r>
      <w:r w:rsidRPr="00372D9A">
        <w:rPr>
          <w:rFonts w:cs="Calibri"/>
          <w:snapToGrid/>
          <w:szCs w:val="24"/>
          <w:lang w:eastAsia="en-AU"/>
        </w:rPr>
        <w:t xml:space="preserve">such use is generally </w:t>
      </w:r>
      <w:r w:rsidR="00372D9A" w:rsidRPr="00372D9A">
        <w:rPr>
          <w:rFonts w:cs="Calibri"/>
          <w:snapToGrid/>
          <w:szCs w:val="24"/>
          <w:lang w:eastAsia="en-AU"/>
        </w:rPr>
        <w:t>limited to</w:t>
      </w:r>
      <w:r w:rsidRPr="00372D9A">
        <w:rPr>
          <w:rFonts w:cs="Calibri"/>
          <w:snapToGrid/>
          <w:szCs w:val="24"/>
          <w:lang w:eastAsia="en-AU"/>
        </w:rPr>
        <w:t xml:space="preserve"> specific subsets of patients such as those with severe CNS and renal SLE, in whom belimumab is not proposed for </w:t>
      </w:r>
      <w:r w:rsidR="006F1C01" w:rsidRPr="00372D9A">
        <w:rPr>
          <w:rFonts w:cs="Calibri"/>
          <w:snapToGrid/>
          <w:szCs w:val="24"/>
          <w:lang w:eastAsia="en-AU"/>
        </w:rPr>
        <w:t>listing</w:t>
      </w:r>
      <w:r w:rsidRPr="00372D9A">
        <w:rPr>
          <w:rFonts w:cs="Calibri"/>
          <w:snapToGrid/>
          <w:szCs w:val="24"/>
          <w:lang w:eastAsia="en-AU"/>
        </w:rPr>
        <w:t xml:space="preserve">. </w:t>
      </w:r>
      <w:r w:rsidR="00372D9A" w:rsidRPr="00372D9A">
        <w:rPr>
          <w:rFonts w:cs="Calibri"/>
          <w:snapToGrid/>
          <w:szCs w:val="24"/>
          <w:lang w:eastAsia="en-AU"/>
        </w:rPr>
        <w:t xml:space="preserve">The PBAC </w:t>
      </w:r>
      <w:r w:rsidR="005A66C9">
        <w:rPr>
          <w:rFonts w:cs="Calibri"/>
          <w:snapToGrid/>
          <w:szCs w:val="24"/>
          <w:lang w:eastAsia="en-AU"/>
        </w:rPr>
        <w:t>also noted that</w:t>
      </w:r>
      <w:r w:rsidR="00372D9A" w:rsidRPr="00372D9A">
        <w:rPr>
          <w:rFonts w:cs="Calibri"/>
          <w:snapToGrid/>
          <w:szCs w:val="24"/>
          <w:lang w:eastAsia="en-AU"/>
        </w:rPr>
        <w:t xml:space="preserve"> </w:t>
      </w:r>
      <w:r w:rsidR="00E718A9">
        <w:rPr>
          <w:rFonts w:cs="Calibri"/>
          <w:snapToGrid/>
          <w:szCs w:val="24"/>
          <w:lang w:eastAsia="en-AU"/>
        </w:rPr>
        <w:t xml:space="preserve">a trial of </w:t>
      </w:r>
      <w:r w:rsidR="00372D9A" w:rsidRPr="00372D9A">
        <w:rPr>
          <w:rFonts w:cs="Calibri"/>
          <w:snapToGrid/>
          <w:szCs w:val="24"/>
          <w:lang w:eastAsia="en-AU"/>
        </w:rPr>
        <w:t xml:space="preserve">rituximab </w:t>
      </w:r>
      <w:r w:rsidR="00E718A9">
        <w:rPr>
          <w:rFonts w:cs="Calibri"/>
          <w:snapToGrid/>
          <w:szCs w:val="24"/>
          <w:lang w:eastAsia="en-AU"/>
        </w:rPr>
        <w:t>in SLE failed to reach its primary endpoint</w:t>
      </w:r>
      <w:r w:rsidR="00E718A9">
        <w:rPr>
          <w:rStyle w:val="FootnoteReference"/>
          <w:rFonts w:cs="Calibri"/>
          <w:snapToGrid/>
          <w:szCs w:val="24"/>
          <w:lang w:eastAsia="en-AU"/>
        </w:rPr>
        <w:footnoteReference w:id="9"/>
      </w:r>
      <w:r w:rsidR="009E22A5">
        <w:rPr>
          <w:rFonts w:cs="Calibri"/>
          <w:snapToGrid/>
          <w:szCs w:val="24"/>
          <w:lang w:eastAsia="en-AU"/>
        </w:rPr>
        <w:t xml:space="preserve">. Overall, the </w:t>
      </w:r>
      <w:r w:rsidR="002C34C7">
        <w:rPr>
          <w:rFonts w:cs="Calibri"/>
          <w:snapToGrid/>
          <w:szCs w:val="24"/>
          <w:lang w:eastAsia="en-AU"/>
        </w:rPr>
        <w:t xml:space="preserve">PBAC </w:t>
      </w:r>
      <w:r w:rsidR="009E22A5" w:rsidRPr="00372D9A">
        <w:rPr>
          <w:rFonts w:cs="Calibri"/>
          <w:snapToGrid/>
          <w:szCs w:val="24"/>
          <w:lang w:eastAsia="en-AU"/>
        </w:rPr>
        <w:t>considered that rituximab wa</w:t>
      </w:r>
      <w:r w:rsidR="009E22A5">
        <w:rPr>
          <w:rFonts w:cs="Calibri"/>
          <w:snapToGrid/>
          <w:szCs w:val="24"/>
          <w:lang w:eastAsia="en-AU"/>
        </w:rPr>
        <w:t>s not an appropriate comparator in the requested population.</w:t>
      </w:r>
    </w:p>
    <w:p w:rsidR="003A64F4" w:rsidRPr="00E76BBF" w:rsidRDefault="003A64F4" w:rsidP="00AB03F9">
      <w:pPr>
        <w:pStyle w:val="ListParagraph"/>
        <w:widowControl/>
        <w:spacing w:after="120"/>
      </w:pPr>
      <w:r w:rsidRPr="003A64F4">
        <w:rPr>
          <w:i/>
        </w:rPr>
        <w:t>For more detail on PBAC’s view, see section 7 PBAC outcome.</w:t>
      </w:r>
    </w:p>
    <w:p w:rsidR="00172AD3" w:rsidRDefault="00172AD3" w:rsidP="00AB03F9">
      <w:pPr>
        <w:pStyle w:val="PBACHeading1"/>
        <w:spacing w:before="0"/>
      </w:pPr>
      <w:bookmarkStart w:id="6" w:name="_Toc19712620"/>
      <w:r w:rsidRPr="00ED7E3E">
        <w:t>Consideration of the evidence</w:t>
      </w:r>
      <w:bookmarkEnd w:id="6"/>
    </w:p>
    <w:p w:rsidR="00C53A20" w:rsidRPr="00937D9C" w:rsidRDefault="00C53A20" w:rsidP="00AB03F9">
      <w:pPr>
        <w:pStyle w:val="Heading2"/>
        <w:spacing w:after="120"/>
      </w:pPr>
      <w:r w:rsidRPr="00937D9C">
        <w:t>Sponsor hearing</w:t>
      </w:r>
    </w:p>
    <w:p w:rsidR="002C34C7" w:rsidRPr="00C37BCF" w:rsidRDefault="00AD2E16" w:rsidP="00AB03F9">
      <w:pPr>
        <w:numPr>
          <w:ilvl w:val="1"/>
          <w:numId w:val="1"/>
        </w:numPr>
        <w:spacing w:after="120"/>
        <w:rPr>
          <w:rFonts w:asciiTheme="minorHAnsi" w:hAnsiTheme="minorHAnsi"/>
          <w:bCs/>
        </w:rPr>
      </w:pPr>
      <w:r w:rsidRPr="00AD2E16">
        <w:t xml:space="preserve">The sponsor requested a hearing for this item. </w:t>
      </w:r>
      <w:r w:rsidR="00A13463">
        <w:t xml:space="preserve">The clinician </w:t>
      </w:r>
      <w:r>
        <w:t>discussed the</w:t>
      </w:r>
      <w:r w:rsidR="00A13463" w:rsidRPr="00937D9C">
        <w:t xml:space="preserve"> </w:t>
      </w:r>
      <w:r w:rsidR="004C1325">
        <w:t>clinical</w:t>
      </w:r>
      <w:r w:rsidR="00A13463" w:rsidRPr="00937D9C">
        <w:t xml:space="preserve"> need </w:t>
      </w:r>
      <w:r w:rsidR="00C47169">
        <w:t>for effective treatments given the lack of new therapies, and the impact that</w:t>
      </w:r>
      <w:r w:rsidR="00C37BCF">
        <w:t xml:space="preserve"> flares, fear of flares and organ damage </w:t>
      </w:r>
      <w:r w:rsidR="00C47169">
        <w:t>can have on patient quality of life</w:t>
      </w:r>
      <w:r w:rsidR="00A13463">
        <w:t xml:space="preserve">. </w:t>
      </w:r>
      <w:r w:rsidR="00C47169">
        <w:t>The clinician discussed the importance of targeting use of belimumab to the right patients and considered that use should be restricted to patients with</w:t>
      </w:r>
      <w:r w:rsidR="0073547E" w:rsidRPr="00C47169">
        <w:rPr>
          <w:lang w:val="en-US"/>
        </w:rPr>
        <w:t xml:space="preserve"> elevated anti</w:t>
      </w:r>
      <w:r w:rsidR="00C47169">
        <w:rPr>
          <w:lang w:val="en-US"/>
        </w:rPr>
        <w:t>-</w:t>
      </w:r>
      <w:r w:rsidR="0073547E" w:rsidRPr="00C47169">
        <w:rPr>
          <w:lang w:val="en-US"/>
        </w:rPr>
        <w:t>dsDNA</w:t>
      </w:r>
      <w:r w:rsidR="00C47169" w:rsidRPr="00C47169">
        <w:rPr>
          <w:lang w:val="en-US"/>
        </w:rPr>
        <w:t xml:space="preserve">, prednis(ol)one dose </w:t>
      </w:r>
      <w:r w:rsidR="002C34C7">
        <w:rPr>
          <w:rFonts w:cs="Calibri"/>
          <w:lang w:val="en-US"/>
        </w:rPr>
        <w:t>≥</w:t>
      </w:r>
      <w:r w:rsidR="00C47169" w:rsidRPr="00C47169">
        <w:rPr>
          <w:lang w:val="en-US"/>
        </w:rPr>
        <w:t xml:space="preserve"> 7.5 mg/day</w:t>
      </w:r>
      <w:r w:rsidR="00C47169">
        <w:rPr>
          <w:lang w:val="en-US"/>
        </w:rPr>
        <w:t xml:space="preserve"> and</w:t>
      </w:r>
      <w:r w:rsidR="00C47169" w:rsidRPr="00C47169">
        <w:rPr>
          <w:lang w:val="en-US"/>
        </w:rPr>
        <w:t xml:space="preserve"> </w:t>
      </w:r>
      <w:r w:rsidR="0073547E" w:rsidRPr="00C47169">
        <w:rPr>
          <w:lang w:val="en-US"/>
        </w:rPr>
        <w:t xml:space="preserve">SELENA-SLEDAI score </w:t>
      </w:r>
      <w:r w:rsidR="002C34C7">
        <w:rPr>
          <w:rFonts w:cs="Calibri"/>
          <w:lang w:val="en-US"/>
        </w:rPr>
        <w:t>≥</w:t>
      </w:r>
      <w:r w:rsidR="00B853C7" w:rsidRPr="00C47169">
        <w:rPr>
          <w:lang w:val="en-US"/>
        </w:rPr>
        <w:t xml:space="preserve"> </w:t>
      </w:r>
      <w:r w:rsidR="0073547E" w:rsidRPr="00C47169">
        <w:rPr>
          <w:lang w:val="en-US"/>
        </w:rPr>
        <w:t xml:space="preserve">10 despite treatment with triple therapy. </w:t>
      </w:r>
      <w:r w:rsidR="002C34C7">
        <w:rPr>
          <w:lang w:val="en-US"/>
        </w:rPr>
        <w:t xml:space="preserve">The clinician </w:t>
      </w:r>
      <w:r w:rsidR="007773E4">
        <w:rPr>
          <w:lang w:val="en-US"/>
        </w:rPr>
        <w:t>outlin</w:t>
      </w:r>
      <w:r w:rsidR="002C34C7">
        <w:rPr>
          <w:lang w:val="en-US"/>
        </w:rPr>
        <w:t xml:space="preserve">ed the importance of treating patients with </w:t>
      </w:r>
      <w:r w:rsidR="002C34C7" w:rsidRPr="00937D9C">
        <w:t xml:space="preserve">high </w:t>
      </w:r>
      <w:r w:rsidR="002C34C7" w:rsidRPr="00937D9C">
        <w:lastRenderedPageBreak/>
        <w:t>disease activity who</w:t>
      </w:r>
      <w:r w:rsidR="002C34C7">
        <w:t xml:space="preserve"> meet the proposed PBS criteria in order to </w:t>
      </w:r>
      <w:r w:rsidR="002C34C7" w:rsidRPr="00937D9C">
        <w:t>slow or delay organ damage</w:t>
      </w:r>
      <w:r w:rsidR="002C34C7">
        <w:rPr>
          <w:lang w:val="en-US"/>
        </w:rPr>
        <w:t>.</w:t>
      </w:r>
    </w:p>
    <w:p w:rsidR="0073547E" w:rsidRPr="007773E4" w:rsidRDefault="0073547E" w:rsidP="00AB03F9">
      <w:pPr>
        <w:numPr>
          <w:ilvl w:val="1"/>
          <w:numId w:val="1"/>
        </w:numPr>
        <w:spacing w:after="120"/>
        <w:rPr>
          <w:rFonts w:asciiTheme="minorHAnsi" w:hAnsiTheme="minorHAnsi"/>
          <w:bCs/>
        </w:rPr>
      </w:pPr>
      <w:r w:rsidRPr="00C47169">
        <w:rPr>
          <w:lang w:val="en-US"/>
        </w:rPr>
        <w:t xml:space="preserve">The clinician </w:t>
      </w:r>
      <w:r w:rsidR="00C47169" w:rsidRPr="00C47169">
        <w:rPr>
          <w:lang w:val="en-US"/>
        </w:rPr>
        <w:t>stated that the SELENA-2K tool is used more widely in clinical practice tha</w:t>
      </w:r>
      <w:r w:rsidR="00C37BCF">
        <w:rPr>
          <w:lang w:val="en-US"/>
        </w:rPr>
        <w:t>n</w:t>
      </w:r>
      <w:r w:rsidR="00C47169" w:rsidRPr="00C47169">
        <w:rPr>
          <w:lang w:val="en-US"/>
        </w:rPr>
        <w:t xml:space="preserve"> the SELENA-SLEDAI, </w:t>
      </w:r>
      <w:r w:rsidR="00C47169">
        <w:rPr>
          <w:lang w:val="en-US"/>
        </w:rPr>
        <w:t>but</w:t>
      </w:r>
      <w:r w:rsidR="00C47169" w:rsidRPr="00C47169">
        <w:rPr>
          <w:lang w:val="en-US"/>
        </w:rPr>
        <w:t xml:space="preserve"> that there is little difference between the two tools. </w:t>
      </w:r>
      <w:r w:rsidR="00C37BCF">
        <w:rPr>
          <w:lang w:val="en-US"/>
        </w:rPr>
        <w:t xml:space="preserve">The clinician confirmed that, BILAG, which was also used to assess response in the clinical trials, was </w:t>
      </w:r>
      <w:r w:rsidR="002C34C7">
        <w:rPr>
          <w:lang w:val="en-US"/>
        </w:rPr>
        <w:t>impractical</w:t>
      </w:r>
      <w:r w:rsidR="00C37BCF">
        <w:rPr>
          <w:lang w:val="en-US"/>
        </w:rPr>
        <w:t xml:space="preserve"> to use in clinical practice.</w:t>
      </w:r>
    </w:p>
    <w:p w:rsidR="00C53A20" w:rsidRPr="00930E25" w:rsidRDefault="00C53A20" w:rsidP="00AB03F9">
      <w:pPr>
        <w:pStyle w:val="Heading2"/>
        <w:spacing w:after="120"/>
      </w:pPr>
      <w:r w:rsidRPr="00930E25">
        <w:t>Consumer comments</w:t>
      </w:r>
    </w:p>
    <w:p w:rsidR="00ED3C9B" w:rsidRPr="00ED3C9B" w:rsidRDefault="00C53A20" w:rsidP="00AB03F9">
      <w:pPr>
        <w:numPr>
          <w:ilvl w:val="1"/>
          <w:numId w:val="1"/>
        </w:numPr>
        <w:spacing w:after="120"/>
        <w:rPr>
          <w:rFonts w:asciiTheme="minorHAnsi" w:hAnsiTheme="minorHAnsi" w:cstheme="minorHAnsi"/>
          <w:bCs/>
          <w:szCs w:val="24"/>
        </w:rPr>
      </w:pPr>
      <w:r w:rsidRPr="00ED3C9B">
        <w:rPr>
          <w:rFonts w:asciiTheme="minorHAnsi" w:hAnsiTheme="minorHAnsi"/>
          <w:bCs/>
        </w:rPr>
        <w:t>The PBAC noted and welcomed the input from individuals (9), health care professionals (1) and organisations (3) via the Consumer Comments facility on the PBS website.</w:t>
      </w:r>
      <w:r w:rsidR="00ED3C9B" w:rsidRPr="00ED3C9B">
        <w:rPr>
          <w:rFonts w:asciiTheme="minorHAnsi" w:hAnsiTheme="minorHAnsi"/>
          <w:bCs/>
        </w:rPr>
        <w:t xml:space="preserve"> </w:t>
      </w:r>
      <w:r w:rsidR="00ED3C9B" w:rsidRPr="00ED3C9B">
        <w:rPr>
          <w:rFonts w:asciiTheme="minorHAnsi" w:hAnsiTheme="minorHAnsi" w:cstheme="minorHAnsi"/>
          <w:bCs/>
          <w:szCs w:val="24"/>
        </w:rPr>
        <w:t>The comments outlined the limited options for patients with</w:t>
      </w:r>
      <w:r w:rsidR="00ED3C9B" w:rsidRPr="00ED3C9B">
        <w:rPr>
          <w:rFonts w:asciiTheme="minorHAnsi" w:hAnsiTheme="minorHAnsi" w:cstheme="minorHAnsi"/>
          <w:szCs w:val="24"/>
        </w:rPr>
        <w:t xml:space="preserve"> moderate to high disease activity that is non-renal or non-cerebral</w:t>
      </w:r>
      <w:r w:rsidR="00ED3C9B">
        <w:rPr>
          <w:rFonts w:asciiTheme="minorHAnsi" w:hAnsiTheme="minorHAnsi" w:cstheme="minorHAnsi"/>
          <w:szCs w:val="24"/>
        </w:rPr>
        <w:t>,</w:t>
      </w:r>
      <w:r w:rsidR="00ED3C9B" w:rsidRPr="00ED3C9B">
        <w:rPr>
          <w:rFonts w:asciiTheme="minorHAnsi" w:hAnsiTheme="minorHAnsi" w:cstheme="minorHAnsi"/>
          <w:szCs w:val="24"/>
        </w:rPr>
        <w:t xml:space="preserve"> and that belimumab would provide </w:t>
      </w:r>
      <w:r w:rsidR="00087F38">
        <w:rPr>
          <w:rFonts w:asciiTheme="minorHAnsi" w:hAnsiTheme="minorHAnsi" w:cstheme="minorHAnsi"/>
          <w:szCs w:val="24"/>
        </w:rPr>
        <w:t>an important option for</w:t>
      </w:r>
      <w:r w:rsidR="00ED3C9B" w:rsidRPr="00ED3C9B">
        <w:rPr>
          <w:rFonts w:asciiTheme="minorHAnsi" w:hAnsiTheme="minorHAnsi" w:cstheme="minorHAnsi"/>
          <w:szCs w:val="24"/>
        </w:rPr>
        <w:t xml:space="preserve"> serologically active </w:t>
      </w:r>
      <w:r w:rsidR="00ED3C9B" w:rsidRPr="00ED3C9B">
        <w:rPr>
          <w:rFonts w:asciiTheme="minorHAnsi" w:hAnsiTheme="minorHAnsi" w:cstheme="minorHAnsi"/>
          <w:bCs/>
          <w:szCs w:val="24"/>
        </w:rPr>
        <w:t xml:space="preserve">patients </w:t>
      </w:r>
      <w:r w:rsidR="00087F38" w:rsidRPr="00087F38">
        <w:rPr>
          <w:rFonts w:asciiTheme="minorHAnsi" w:hAnsiTheme="minorHAnsi" w:cstheme="minorHAnsi"/>
          <w:szCs w:val="24"/>
        </w:rPr>
        <w:t>who are significantly stero</w:t>
      </w:r>
      <w:r w:rsidR="00087F38">
        <w:rPr>
          <w:rFonts w:asciiTheme="minorHAnsi" w:hAnsiTheme="minorHAnsi" w:cstheme="minorHAnsi"/>
          <w:szCs w:val="24"/>
        </w:rPr>
        <w:t>id dependant or who have failed, or are</w:t>
      </w:r>
      <w:r w:rsidR="00087F38" w:rsidRPr="00087F38">
        <w:rPr>
          <w:rFonts w:asciiTheme="minorHAnsi" w:hAnsiTheme="minorHAnsi" w:cstheme="minorHAnsi"/>
          <w:szCs w:val="24"/>
        </w:rPr>
        <w:t xml:space="preserve"> intolerant of</w:t>
      </w:r>
      <w:r w:rsidR="00087F38">
        <w:rPr>
          <w:rFonts w:asciiTheme="minorHAnsi" w:hAnsiTheme="minorHAnsi" w:cstheme="minorHAnsi"/>
          <w:szCs w:val="24"/>
        </w:rPr>
        <w:t>,</w:t>
      </w:r>
      <w:r w:rsidR="00087F38" w:rsidRPr="00087F38">
        <w:rPr>
          <w:rFonts w:asciiTheme="minorHAnsi" w:hAnsiTheme="minorHAnsi" w:cstheme="minorHAnsi"/>
          <w:szCs w:val="24"/>
        </w:rPr>
        <w:t xml:space="preserve"> currently available options like methotrexate, azathioprine or </w:t>
      </w:r>
      <w:r w:rsidR="00087F38">
        <w:rPr>
          <w:rFonts w:asciiTheme="minorHAnsi" w:hAnsiTheme="minorHAnsi" w:cstheme="minorHAnsi"/>
          <w:szCs w:val="24"/>
        </w:rPr>
        <w:t>m</w:t>
      </w:r>
      <w:r w:rsidR="00087F38" w:rsidRPr="00087F38">
        <w:rPr>
          <w:rFonts w:asciiTheme="minorHAnsi" w:hAnsiTheme="minorHAnsi" w:cstheme="minorHAnsi"/>
          <w:szCs w:val="24"/>
        </w:rPr>
        <w:t>ycophenolate</w:t>
      </w:r>
      <w:r w:rsidR="00087F38">
        <w:rPr>
          <w:rFonts w:asciiTheme="minorHAnsi" w:hAnsiTheme="minorHAnsi" w:cstheme="minorHAnsi"/>
          <w:szCs w:val="24"/>
        </w:rPr>
        <w:t>.</w:t>
      </w:r>
      <w:r w:rsidR="00087F38" w:rsidRPr="00ED3C9B">
        <w:rPr>
          <w:rFonts w:asciiTheme="minorHAnsi" w:hAnsiTheme="minorHAnsi" w:cstheme="minorHAnsi"/>
          <w:bCs/>
          <w:szCs w:val="24"/>
        </w:rPr>
        <w:t xml:space="preserve"> </w:t>
      </w:r>
    </w:p>
    <w:p w:rsidR="00ED3C9B" w:rsidRPr="00ED3C9B" w:rsidRDefault="00ED3C9B" w:rsidP="00AB03F9">
      <w:pPr>
        <w:numPr>
          <w:ilvl w:val="1"/>
          <w:numId w:val="1"/>
        </w:numPr>
        <w:spacing w:after="120"/>
        <w:rPr>
          <w:rFonts w:asciiTheme="minorHAnsi" w:hAnsiTheme="minorHAnsi" w:cstheme="minorHAnsi"/>
          <w:bCs/>
          <w:szCs w:val="24"/>
        </w:rPr>
      </w:pPr>
      <w:r>
        <w:rPr>
          <w:rFonts w:asciiTheme="minorHAnsi" w:hAnsiTheme="minorHAnsi" w:cstheme="minorHAnsi"/>
          <w:bCs/>
          <w:szCs w:val="24"/>
        </w:rPr>
        <w:t>The comments outlined the impacts that SLE can have on patient quality of life</w:t>
      </w:r>
      <w:r w:rsidR="00087F38">
        <w:rPr>
          <w:rFonts w:asciiTheme="minorHAnsi" w:hAnsiTheme="minorHAnsi" w:cstheme="minorHAnsi"/>
          <w:bCs/>
          <w:szCs w:val="24"/>
        </w:rPr>
        <w:t xml:space="preserve"> (e.g.</w:t>
      </w:r>
      <w:r>
        <w:rPr>
          <w:rFonts w:asciiTheme="minorHAnsi" w:hAnsiTheme="minorHAnsi" w:cstheme="minorHAnsi"/>
          <w:bCs/>
          <w:szCs w:val="24"/>
        </w:rPr>
        <w:t xml:space="preserve"> reduc</w:t>
      </w:r>
      <w:r w:rsidR="00087F38">
        <w:rPr>
          <w:rFonts w:asciiTheme="minorHAnsi" w:hAnsiTheme="minorHAnsi" w:cstheme="minorHAnsi"/>
          <w:bCs/>
          <w:szCs w:val="24"/>
        </w:rPr>
        <w:t>ed ability to work)</w:t>
      </w:r>
      <w:r>
        <w:rPr>
          <w:rFonts w:asciiTheme="minorHAnsi" w:hAnsiTheme="minorHAnsi" w:cstheme="minorHAnsi"/>
          <w:bCs/>
          <w:szCs w:val="24"/>
        </w:rPr>
        <w:t xml:space="preserve"> and </w:t>
      </w:r>
      <w:r w:rsidR="00087F38">
        <w:rPr>
          <w:rFonts w:asciiTheme="minorHAnsi" w:hAnsiTheme="minorHAnsi" w:cstheme="minorHAnsi"/>
          <w:bCs/>
          <w:szCs w:val="24"/>
        </w:rPr>
        <w:t xml:space="preserve">that it </w:t>
      </w:r>
      <w:r>
        <w:rPr>
          <w:rFonts w:asciiTheme="minorHAnsi" w:hAnsiTheme="minorHAnsi" w:cstheme="minorHAnsi"/>
          <w:bCs/>
          <w:szCs w:val="24"/>
        </w:rPr>
        <w:t xml:space="preserve">can result in </w:t>
      </w:r>
      <w:r w:rsidRPr="00ED3C9B">
        <w:rPr>
          <w:rFonts w:asciiTheme="minorHAnsi" w:hAnsiTheme="minorHAnsi" w:cstheme="minorHAnsi"/>
          <w:bCs/>
          <w:szCs w:val="24"/>
        </w:rPr>
        <w:t>long</w:t>
      </w:r>
      <w:r>
        <w:rPr>
          <w:rFonts w:asciiTheme="minorHAnsi" w:hAnsiTheme="minorHAnsi" w:cstheme="minorHAnsi"/>
          <w:bCs/>
          <w:szCs w:val="24"/>
        </w:rPr>
        <w:t>-</w:t>
      </w:r>
      <w:r w:rsidRPr="00ED3C9B">
        <w:rPr>
          <w:rFonts w:asciiTheme="minorHAnsi" w:hAnsiTheme="minorHAnsi" w:cstheme="minorHAnsi"/>
          <w:bCs/>
          <w:szCs w:val="24"/>
        </w:rPr>
        <w:t>term profound disability</w:t>
      </w:r>
      <w:r>
        <w:rPr>
          <w:rFonts w:asciiTheme="minorHAnsi" w:hAnsiTheme="minorHAnsi" w:cstheme="minorHAnsi"/>
          <w:bCs/>
          <w:szCs w:val="24"/>
        </w:rPr>
        <w:t xml:space="preserve">. The comments also outlined the significant adverse events with currently available therapies. </w:t>
      </w:r>
    </w:p>
    <w:p w:rsidR="00172AD3" w:rsidRPr="00ED7E3E" w:rsidRDefault="00172AD3" w:rsidP="00AB03F9">
      <w:pPr>
        <w:pStyle w:val="Heading2"/>
        <w:spacing w:after="120"/>
      </w:pPr>
      <w:bookmarkStart w:id="7" w:name="_Toc19712621"/>
      <w:r w:rsidRPr="00ED7E3E">
        <w:t>Clinical trials</w:t>
      </w:r>
      <w:bookmarkEnd w:id="7"/>
    </w:p>
    <w:p w:rsidR="00172AD3" w:rsidRDefault="00172AD3" w:rsidP="00AB03F9">
      <w:pPr>
        <w:pStyle w:val="ListParagraph"/>
        <w:widowControl/>
        <w:numPr>
          <w:ilvl w:val="1"/>
          <w:numId w:val="1"/>
        </w:numPr>
        <w:spacing w:after="120"/>
        <w:rPr>
          <w:rFonts w:cs="Calibri"/>
          <w:snapToGrid/>
          <w:szCs w:val="24"/>
          <w:lang w:eastAsia="en-AU"/>
        </w:rPr>
      </w:pPr>
      <w:r w:rsidRPr="00492F3B">
        <w:rPr>
          <w:rFonts w:cs="Calibri"/>
          <w:snapToGrid/>
          <w:szCs w:val="24"/>
          <w:lang w:eastAsia="en-AU"/>
        </w:rPr>
        <w:t>The submission was based on five RCTs comparing belimumab + SOC to SOC alone</w:t>
      </w:r>
      <w:r w:rsidR="003A15EB">
        <w:rPr>
          <w:rFonts w:cs="Calibri"/>
          <w:snapToGrid/>
          <w:szCs w:val="24"/>
          <w:lang w:eastAsia="en-AU"/>
        </w:rPr>
        <w:t>, including</w:t>
      </w:r>
      <w:r w:rsidRPr="00492F3B">
        <w:rPr>
          <w:rFonts w:cs="Calibri"/>
          <w:snapToGrid/>
          <w:szCs w:val="24"/>
          <w:lang w:eastAsia="en-AU"/>
        </w:rPr>
        <w:t>:</w:t>
      </w:r>
    </w:p>
    <w:p w:rsidR="00172AD3" w:rsidRDefault="003A15EB" w:rsidP="00AB03F9">
      <w:pPr>
        <w:pStyle w:val="ListParagraph"/>
        <w:widowControl/>
        <w:numPr>
          <w:ilvl w:val="0"/>
          <w:numId w:val="9"/>
        </w:numPr>
        <w:spacing w:after="120"/>
        <w:rPr>
          <w:rFonts w:cs="Calibri"/>
          <w:snapToGrid/>
          <w:szCs w:val="24"/>
          <w:lang w:eastAsia="en-AU"/>
        </w:rPr>
      </w:pPr>
      <w:r>
        <w:rPr>
          <w:rFonts w:cs="Calibri"/>
          <w:snapToGrid/>
          <w:szCs w:val="24"/>
          <w:lang w:eastAsia="en-AU"/>
        </w:rPr>
        <w:t>p</w:t>
      </w:r>
      <w:r w:rsidR="00172AD3" w:rsidRPr="00492F3B">
        <w:rPr>
          <w:rFonts w:cs="Calibri"/>
          <w:snapToGrid/>
          <w:szCs w:val="24"/>
          <w:lang w:eastAsia="en-AU"/>
        </w:rPr>
        <w:t>ivotal trial: 1 RCT of the belimumab SC formulation (BLISS-SC)</w:t>
      </w:r>
      <w:r>
        <w:rPr>
          <w:rFonts w:cs="Calibri"/>
          <w:snapToGrid/>
          <w:szCs w:val="24"/>
          <w:lang w:eastAsia="en-AU"/>
        </w:rPr>
        <w:t>; and</w:t>
      </w:r>
    </w:p>
    <w:p w:rsidR="00172AD3" w:rsidRPr="00492F3B" w:rsidRDefault="003A15EB" w:rsidP="00AB03F9">
      <w:pPr>
        <w:pStyle w:val="ListParagraph"/>
        <w:widowControl/>
        <w:numPr>
          <w:ilvl w:val="0"/>
          <w:numId w:val="9"/>
        </w:numPr>
        <w:spacing w:after="120"/>
        <w:rPr>
          <w:rFonts w:cs="Calibri"/>
          <w:snapToGrid/>
          <w:szCs w:val="24"/>
          <w:lang w:eastAsia="en-AU"/>
        </w:rPr>
      </w:pPr>
      <w:r>
        <w:rPr>
          <w:rFonts w:cs="Calibri"/>
          <w:snapToGrid/>
          <w:szCs w:val="24"/>
          <w:lang w:eastAsia="en-AU"/>
        </w:rPr>
        <w:t>s</w:t>
      </w:r>
      <w:r w:rsidR="00172AD3" w:rsidRPr="00492F3B">
        <w:rPr>
          <w:rFonts w:cs="Calibri"/>
          <w:snapToGrid/>
          <w:szCs w:val="24"/>
          <w:lang w:eastAsia="en-AU"/>
        </w:rPr>
        <w:t xml:space="preserve">upportive trials: 4 RCTs of the </w:t>
      </w:r>
      <w:r w:rsidR="00172AD3">
        <w:rPr>
          <w:rFonts w:cs="Calibri"/>
          <w:snapToGrid/>
          <w:szCs w:val="24"/>
          <w:lang w:eastAsia="en-AU"/>
        </w:rPr>
        <w:t>belimumab IV formulation (BLISS-52, BLISS-76, NE-Asia</w:t>
      </w:r>
      <w:r w:rsidR="00172AD3" w:rsidRPr="00492F3B">
        <w:rPr>
          <w:rFonts w:cs="Calibri"/>
          <w:snapToGrid/>
          <w:szCs w:val="24"/>
          <w:lang w:eastAsia="en-AU"/>
        </w:rPr>
        <w:t>; EMBRACE)</w:t>
      </w:r>
      <w:r w:rsidR="00B160C9">
        <w:rPr>
          <w:rFonts w:cs="Calibri"/>
          <w:snapToGrid/>
          <w:szCs w:val="24"/>
          <w:lang w:eastAsia="en-AU"/>
        </w:rPr>
        <w:t>.</w:t>
      </w:r>
    </w:p>
    <w:p w:rsidR="00172AD3" w:rsidRPr="00492F3B" w:rsidRDefault="00172AD3" w:rsidP="00AB03F9">
      <w:pPr>
        <w:pStyle w:val="ListParagraph"/>
        <w:widowControl/>
        <w:numPr>
          <w:ilvl w:val="1"/>
          <w:numId w:val="1"/>
        </w:numPr>
        <w:spacing w:after="120"/>
      </w:pPr>
      <w:r w:rsidRPr="004B1E9D">
        <w:rPr>
          <w:rFonts w:cs="Calibri"/>
          <w:snapToGrid/>
          <w:szCs w:val="24"/>
          <w:lang w:val="en-US" w:eastAsia="en-AU"/>
        </w:rPr>
        <w:t>Details of the trials presented in the submission ar</w:t>
      </w:r>
      <w:r>
        <w:rPr>
          <w:rFonts w:cs="Calibri"/>
          <w:snapToGrid/>
          <w:szCs w:val="24"/>
          <w:lang w:val="en-US" w:eastAsia="en-AU"/>
        </w:rPr>
        <w:t xml:space="preserve">e provided in Table </w:t>
      </w:r>
      <w:r w:rsidR="00F61CA4">
        <w:rPr>
          <w:rFonts w:cs="Calibri"/>
          <w:snapToGrid/>
          <w:szCs w:val="24"/>
          <w:lang w:val="en-US" w:eastAsia="en-AU"/>
        </w:rPr>
        <w:t>4</w:t>
      </w:r>
      <w:r>
        <w:rPr>
          <w:rFonts w:cs="Calibri"/>
          <w:snapToGrid/>
          <w:szCs w:val="24"/>
          <w:lang w:val="en-US" w:eastAsia="en-AU"/>
        </w:rPr>
        <w:t>.</w:t>
      </w:r>
    </w:p>
    <w:p w:rsidR="00172AD3" w:rsidRPr="00492F3B" w:rsidRDefault="00172AD3" w:rsidP="00AB03F9">
      <w:pPr>
        <w:keepNext/>
        <w:keepLines/>
        <w:widowControl/>
        <w:suppressLineNumbers/>
        <w:suppressAutoHyphens/>
        <w:rPr>
          <w:rFonts w:ascii="Arial Narrow" w:hAnsi="Arial Narrow"/>
          <w:b/>
          <w:sz w:val="20"/>
          <w:szCs w:val="20"/>
        </w:rPr>
      </w:pPr>
      <w:r w:rsidRPr="003D675F">
        <w:rPr>
          <w:rFonts w:ascii="Arial Narrow" w:hAnsi="Arial Narrow"/>
          <w:b/>
          <w:sz w:val="20"/>
          <w:szCs w:val="20"/>
        </w:rPr>
        <w:lastRenderedPageBreak/>
        <w:t xml:space="preserve">Table </w:t>
      </w:r>
      <w:r w:rsidR="00F61CA4">
        <w:rPr>
          <w:rFonts w:ascii="Arial Narrow" w:hAnsi="Arial Narrow"/>
          <w:b/>
          <w:sz w:val="20"/>
          <w:szCs w:val="20"/>
        </w:rPr>
        <w:t>4</w:t>
      </w:r>
      <w:r w:rsidRPr="003D675F">
        <w:rPr>
          <w:rFonts w:ascii="Arial Narrow" w:hAnsi="Arial Narrow"/>
          <w:b/>
          <w:sz w:val="20"/>
          <w:szCs w:val="20"/>
        </w:rPr>
        <w:t>:</w:t>
      </w:r>
      <w:r w:rsidR="00100462">
        <w:rPr>
          <w:rFonts w:ascii="Arial Narrow" w:hAnsi="Arial Narrow"/>
          <w:b/>
          <w:sz w:val="20"/>
          <w:szCs w:val="20"/>
        </w:rPr>
        <w:t xml:space="preserve"> </w:t>
      </w:r>
      <w:r w:rsidRPr="00492F3B">
        <w:rPr>
          <w:rFonts w:ascii="Arial Narrow" w:hAnsi="Arial Narrow"/>
          <w:b/>
          <w:sz w:val="20"/>
          <w:szCs w:val="2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submission"/>
      </w:tblPr>
      <w:tblGrid>
        <w:gridCol w:w="1232"/>
        <w:gridCol w:w="6034"/>
        <w:gridCol w:w="1751"/>
      </w:tblGrid>
      <w:tr w:rsidR="00172AD3" w:rsidRPr="00ED7E3E" w:rsidTr="0011582A">
        <w:trPr>
          <w:tblHeader/>
        </w:trPr>
        <w:tc>
          <w:tcPr>
            <w:tcW w:w="683" w:type="pct"/>
            <w:vAlign w:val="center"/>
          </w:tcPr>
          <w:p w:rsidR="00172AD3" w:rsidRPr="00ED7E3E" w:rsidRDefault="00172AD3" w:rsidP="00AB03F9">
            <w:pPr>
              <w:pStyle w:val="Tabletext"/>
              <w:keepNext/>
              <w:keepLines/>
              <w:suppressLineNumbers/>
              <w:suppressAutoHyphens/>
              <w:rPr>
                <w:b/>
              </w:rPr>
            </w:pPr>
            <w:r w:rsidRPr="00ED7E3E">
              <w:rPr>
                <w:b/>
              </w:rPr>
              <w:t>Trial ID</w:t>
            </w:r>
          </w:p>
        </w:tc>
        <w:tc>
          <w:tcPr>
            <w:tcW w:w="3346" w:type="pct"/>
            <w:vAlign w:val="center"/>
          </w:tcPr>
          <w:p w:rsidR="00172AD3" w:rsidRPr="00ED7E3E" w:rsidRDefault="00172AD3" w:rsidP="00AB03F9">
            <w:pPr>
              <w:pStyle w:val="Tabletext"/>
              <w:keepNext/>
              <w:keepLines/>
              <w:suppressLineNumbers/>
              <w:suppressAutoHyphens/>
              <w:jc w:val="center"/>
              <w:rPr>
                <w:b/>
              </w:rPr>
            </w:pPr>
            <w:r w:rsidRPr="00ED7E3E">
              <w:rPr>
                <w:b/>
              </w:rPr>
              <w:t>Protocol title/ Publication title</w:t>
            </w:r>
          </w:p>
        </w:tc>
        <w:tc>
          <w:tcPr>
            <w:tcW w:w="971" w:type="pct"/>
            <w:vAlign w:val="center"/>
          </w:tcPr>
          <w:p w:rsidR="00172AD3" w:rsidRPr="00ED7E3E" w:rsidRDefault="00172AD3" w:rsidP="00AB03F9">
            <w:pPr>
              <w:pStyle w:val="Tabletext"/>
              <w:keepNext/>
              <w:keepLines/>
              <w:suppressLineNumbers/>
              <w:suppressAutoHyphens/>
              <w:jc w:val="center"/>
              <w:rPr>
                <w:b/>
              </w:rPr>
            </w:pPr>
            <w:r w:rsidRPr="00ED7E3E">
              <w:rPr>
                <w:b/>
              </w:rPr>
              <w:t>Publication citation</w:t>
            </w:r>
          </w:p>
        </w:tc>
      </w:tr>
      <w:tr w:rsidR="00172AD3" w:rsidRPr="00ED7E3E" w:rsidTr="0011582A">
        <w:tc>
          <w:tcPr>
            <w:tcW w:w="5000" w:type="pct"/>
            <w:gridSpan w:val="3"/>
            <w:tcBorders>
              <w:bottom w:val="nil"/>
            </w:tcBorders>
            <w:vAlign w:val="center"/>
          </w:tcPr>
          <w:p w:rsidR="00172AD3" w:rsidRPr="00ED7E3E" w:rsidRDefault="00172AD3" w:rsidP="00AB03F9">
            <w:pPr>
              <w:pStyle w:val="Tabletext"/>
              <w:keepNext/>
              <w:keepLines/>
              <w:suppressLineNumbers/>
              <w:suppressAutoHyphens/>
            </w:pPr>
            <w:r>
              <w:rPr>
                <w:b/>
              </w:rPr>
              <w:t>Pivotal trial: SC formulation</w:t>
            </w:r>
          </w:p>
        </w:tc>
      </w:tr>
      <w:tr w:rsidR="00172AD3" w:rsidRPr="00ED7E3E" w:rsidTr="0011582A">
        <w:tc>
          <w:tcPr>
            <w:tcW w:w="683" w:type="pct"/>
            <w:tcBorders>
              <w:bottom w:val="nil"/>
            </w:tcBorders>
            <w:vAlign w:val="center"/>
          </w:tcPr>
          <w:p w:rsidR="00172AD3" w:rsidRPr="00ED7E3E" w:rsidRDefault="00172AD3" w:rsidP="00AB03F9">
            <w:pPr>
              <w:pStyle w:val="Tabletext"/>
              <w:keepNext/>
              <w:keepLines/>
              <w:suppressLineNumbers/>
              <w:suppressAutoHyphens/>
              <w:rPr>
                <w:rFonts w:ascii="Times" w:hAnsi="Times"/>
              </w:rPr>
            </w:pPr>
            <w:r w:rsidRPr="00ED7E3E">
              <w:t>BLISS-SC</w:t>
            </w:r>
          </w:p>
        </w:tc>
        <w:tc>
          <w:tcPr>
            <w:tcW w:w="3346" w:type="pct"/>
            <w:tcBorders>
              <w:bottom w:val="nil"/>
            </w:tcBorders>
            <w:vAlign w:val="center"/>
          </w:tcPr>
          <w:p w:rsidR="00172AD3" w:rsidRPr="00ED7E3E" w:rsidRDefault="00172AD3" w:rsidP="00AB03F9">
            <w:pPr>
              <w:pStyle w:val="Tabletext"/>
              <w:keepNext/>
              <w:keepLines/>
              <w:suppressLineNumbers/>
              <w:suppressAutoHyphens/>
              <w:rPr>
                <w:szCs w:val="18"/>
              </w:rPr>
            </w:pPr>
            <w:r w:rsidRPr="00ED7E3E">
              <w:rPr>
                <w:szCs w:val="18"/>
              </w:rPr>
              <w:t>A Phase 3, Multi-Center, Randomized, Double-Blind, Placebo-Controlled, 52-Week Study to Evaluate the Efficacy and Safety of Belimumab (HGS1006) Administered Subcutaneously (SC) to Subjects with Systemic Lupus Erythematosus (SLE).</w:t>
            </w:r>
          </w:p>
        </w:tc>
        <w:tc>
          <w:tcPr>
            <w:tcW w:w="971" w:type="pct"/>
            <w:tcBorders>
              <w:bottom w:val="nil"/>
            </w:tcBorders>
            <w:vAlign w:val="center"/>
          </w:tcPr>
          <w:p w:rsidR="00172AD3" w:rsidRPr="00E76BBF" w:rsidRDefault="00172AD3" w:rsidP="00AB03F9">
            <w:pPr>
              <w:pStyle w:val="Tabletext"/>
              <w:keepNext/>
              <w:keepLines/>
              <w:suppressLineNumbers/>
              <w:suppressAutoHyphens/>
              <w:rPr>
                <w:rFonts w:ascii="Times" w:hAnsi="Times"/>
              </w:rPr>
            </w:pPr>
            <w:r w:rsidRPr="00E76BBF">
              <w:t>March 2016</w:t>
            </w:r>
          </w:p>
        </w:tc>
      </w:tr>
      <w:tr w:rsidR="00172AD3" w:rsidRPr="00ED7E3E" w:rsidTr="0011582A">
        <w:tc>
          <w:tcPr>
            <w:tcW w:w="683" w:type="pct"/>
            <w:tcBorders>
              <w:top w:val="nil"/>
              <w:bottom w:val="nil"/>
            </w:tcBorders>
            <w:vAlign w:val="center"/>
          </w:tcPr>
          <w:p w:rsidR="00172AD3" w:rsidRPr="00ED7E3E" w:rsidRDefault="00172AD3" w:rsidP="00AB03F9">
            <w:pPr>
              <w:pStyle w:val="Tabletext"/>
              <w:keepNext/>
              <w:keepLines/>
              <w:suppressLineNumbers/>
              <w:suppressAutoHyphens/>
            </w:pPr>
          </w:p>
        </w:tc>
        <w:tc>
          <w:tcPr>
            <w:tcW w:w="3346" w:type="pct"/>
            <w:tcBorders>
              <w:top w:val="nil"/>
              <w:bottom w:val="nil"/>
            </w:tcBorders>
            <w:vAlign w:val="center"/>
          </w:tcPr>
          <w:p w:rsidR="00172AD3" w:rsidRPr="00ED7E3E" w:rsidRDefault="00172AD3" w:rsidP="00AB03F9">
            <w:pPr>
              <w:pStyle w:val="Tabletext"/>
              <w:keepNext/>
              <w:keepLines/>
              <w:suppressLineNumbers/>
              <w:suppressAutoHyphens/>
              <w:rPr>
                <w:szCs w:val="18"/>
                <w:lang w:eastAsia="en-AU"/>
              </w:rPr>
            </w:pPr>
            <w:r w:rsidRPr="00A9738F">
              <w:rPr>
                <w:szCs w:val="18"/>
                <w:lang w:val="de-DE" w:eastAsia="en-AU"/>
              </w:rPr>
              <w:t xml:space="preserve">Stohl W, Schwarting A, Okada M et al.  </w:t>
            </w:r>
            <w:r w:rsidRPr="00ED7E3E">
              <w:rPr>
                <w:szCs w:val="18"/>
                <w:lang w:eastAsia="en-AU"/>
              </w:rPr>
              <w:t>Efficacy and safety of subcutaneous belimumab in systemic lupus erythematosus.</w:t>
            </w:r>
          </w:p>
        </w:tc>
        <w:tc>
          <w:tcPr>
            <w:tcW w:w="971" w:type="pct"/>
            <w:tcBorders>
              <w:top w:val="nil"/>
              <w:bottom w:val="nil"/>
            </w:tcBorders>
            <w:vAlign w:val="center"/>
          </w:tcPr>
          <w:p w:rsidR="00172AD3" w:rsidRPr="00E76BBF" w:rsidRDefault="00172AD3" w:rsidP="00AB03F9">
            <w:pPr>
              <w:pStyle w:val="Tabletext"/>
              <w:keepNext/>
              <w:keepLines/>
              <w:suppressLineNumbers/>
              <w:suppressAutoHyphens/>
              <w:rPr>
                <w:szCs w:val="18"/>
                <w:lang w:eastAsia="en-AU"/>
              </w:rPr>
            </w:pPr>
            <w:r w:rsidRPr="00E76BBF">
              <w:rPr>
                <w:iCs/>
                <w:szCs w:val="18"/>
                <w:lang w:eastAsia="en-AU"/>
              </w:rPr>
              <w:t>Arthritis &amp; Rheumatology</w:t>
            </w:r>
            <w:r w:rsidRPr="00E76BBF">
              <w:rPr>
                <w:szCs w:val="18"/>
                <w:lang w:eastAsia="en-AU"/>
              </w:rPr>
              <w:t xml:space="preserve"> 2017; 69 (5): 1016-1027. </w:t>
            </w:r>
          </w:p>
        </w:tc>
      </w:tr>
      <w:tr w:rsidR="00172AD3" w:rsidRPr="00ED7E3E" w:rsidTr="0011582A">
        <w:tc>
          <w:tcPr>
            <w:tcW w:w="5000" w:type="pct"/>
            <w:gridSpan w:val="3"/>
            <w:tcBorders>
              <w:bottom w:val="nil"/>
            </w:tcBorders>
            <w:vAlign w:val="center"/>
          </w:tcPr>
          <w:p w:rsidR="00172AD3" w:rsidRPr="00E76BBF" w:rsidRDefault="00172AD3" w:rsidP="00AB03F9">
            <w:pPr>
              <w:pStyle w:val="Tabletext"/>
              <w:keepNext/>
              <w:keepLines/>
              <w:suppressLineNumbers/>
              <w:suppressAutoHyphens/>
              <w:rPr>
                <w:b/>
              </w:rPr>
            </w:pPr>
            <w:r w:rsidRPr="00E76BBF">
              <w:rPr>
                <w:b/>
              </w:rPr>
              <w:t>Supportive trials: IV formulation</w:t>
            </w:r>
          </w:p>
        </w:tc>
      </w:tr>
      <w:tr w:rsidR="00172AD3" w:rsidRPr="00ED7E3E" w:rsidTr="0011582A">
        <w:tc>
          <w:tcPr>
            <w:tcW w:w="683" w:type="pct"/>
            <w:tcBorders>
              <w:bottom w:val="nil"/>
            </w:tcBorders>
            <w:vAlign w:val="center"/>
          </w:tcPr>
          <w:p w:rsidR="00172AD3" w:rsidRPr="00ED7E3E" w:rsidRDefault="00172AD3" w:rsidP="00AB03F9">
            <w:pPr>
              <w:pStyle w:val="Tabletext"/>
              <w:keepNext/>
              <w:keepLines/>
              <w:suppressLineNumbers/>
              <w:suppressAutoHyphens/>
              <w:rPr>
                <w:rFonts w:ascii="Times" w:hAnsi="Times"/>
              </w:rPr>
            </w:pPr>
            <w:r w:rsidRPr="00ED7E3E">
              <w:t>BLISS-52</w:t>
            </w:r>
          </w:p>
        </w:tc>
        <w:tc>
          <w:tcPr>
            <w:tcW w:w="3346" w:type="pct"/>
            <w:tcBorders>
              <w:bottom w:val="nil"/>
            </w:tcBorders>
            <w:vAlign w:val="center"/>
          </w:tcPr>
          <w:p w:rsidR="00172AD3" w:rsidRPr="00ED7E3E" w:rsidRDefault="00172AD3" w:rsidP="00AB03F9">
            <w:pPr>
              <w:pStyle w:val="Tabletext"/>
              <w:keepNext/>
              <w:keepLines/>
              <w:suppressLineNumbers/>
              <w:suppressAutoHyphens/>
              <w:rPr>
                <w:rFonts w:ascii="Times" w:hAnsi="Times"/>
              </w:rPr>
            </w:pPr>
            <w:r w:rsidRPr="00ED7E3E">
              <w:rPr>
                <w:szCs w:val="18"/>
              </w:rPr>
              <w:t>A Phase 3, Multi-Center, Randomized, Double-Blind, Placebo-Controlled,52-Week Study to Evaluate the Efficacy and Safety of Belimumab (HGS1006, LymphoStat-B™), a Fully Human Monoclonal Anti-BLyS Antibody, in Subjects with Systemic Lupus Erythematosus (SLE).</w:t>
            </w:r>
          </w:p>
        </w:tc>
        <w:tc>
          <w:tcPr>
            <w:tcW w:w="971" w:type="pct"/>
            <w:tcBorders>
              <w:bottom w:val="nil"/>
            </w:tcBorders>
            <w:vAlign w:val="center"/>
          </w:tcPr>
          <w:p w:rsidR="00172AD3" w:rsidRPr="00E76BBF" w:rsidRDefault="00172AD3" w:rsidP="00AB03F9">
            <w:pPr>
              <w:pStyle w:val="Tabletext"/>
              <w:keepNext/>
              <w:keepLines/>
              <w:suppressLineNumbers/>
              <w:suppressAutoHyphens/>
            </w:pPr>
            <w:r w:rsidRPr="00E76BBF">
              <w:t>January 2010.</w:t>
            </w:r>
          </w:p>
        </w:tc>
      </w:tr>
      <w:tr w:rsidR="00172AD3" w:rsidRPr="00ED7E3E" w:rsidTr="0011582A">
        <w:tc>
          <w:tcPr>
            <w:tcW w:w="683" w:type="pct"/>
            <w:tcBorders>
              <w:top w:val="nil"/>
              <w:bottom w:val="nil"/>
            </w:tcBorders>
            <w:vAlign w:val="center"/>
          </w:tcPr>
          <w:p w:rsidR="00172AD3" w:rsidRPr="00ED7E3E" w:rsidRDefault="00172AD3" w:rsidP="00AB03F9">
            <w:pPr>
              <w:pStyle w:val="Tabletext"/>
              <w:keepNext/>
              <w:keepLines/>
              <w:suppressLineNumbers/>
              <w:suppressAutoHyphens/>
            </w:pPr>
          </w:p>
        </w:tc>
        <w:tc>
          <w:tcPr>
            <w:tcW w:w="3346" w:type="pct"/>
            <w:tcBorders>
              <w:top w:val="nil"/>
              <w:bottom w:val="nil"/>
            </w:tcBorders>
            <w:vAlign w:val="center"/>
          </w:tcPr>
          <w:p w:rsidR="00172AD3" w:rsidRPr="00ED7E3E" w:rsidRDefault="00172AD3" w:rsidP="00AB03F9">
            <w:pPr>
              <w:pStyle w:val="Tabletext"/>
              <w:keepNext/>
              <w:keepLines/>
              <w:suppressLineNumbers/>
              <w:suppressAutoHyphens/>
              <w:rPr>
                <w:szCs w:val="18"/>
              </w:rPr>
            </w:pPr>
            <w:r w:rsidRPr="00ED7E3E">
              <w:rPr>
                <w:szCs w:val="18"/>
                <w:lang w:eastAsia="en-AU"/>
              </w:rPr>
              <w:t>Navarra SV, Guzman RM, Gallacher AE et al.  Efficacy and safety of belimumab in patients with active systemic lupus erythematosus: a randomised, placebo-controlled, phase 3 trial.</w:t>
            </w:r>
          </w:p>
        </w:tc>
        <w:tc>
          <w:tcPr>
            <w:tcW w:w="971" w:type="pct"/>
            <w:tcBorders>
              <w:top w:val="nil"/>
              <w:bottom w:val="nil"/>
            </w:tcBorders>
            <w:vAlign w:val="center"/>
          </w:tcPr>
          <w:p w:rsidR="00172AD3" w:rsidRPr="00E76BBF" w:rsidRDefault="00172AD3" w:rsidP="00AB03F9">
            <w:pPr>
              <w:pStyle w:val="Tabletext"/>
              <w:keepNext/>
              <w:keepLines/>
              <w:suppressLineNumbers/>
              <w:suppressAutoHyphens/>
            </w:pPr>
            <w:r w:rsidRPr="00E76BBF">
              <w:t xml:space="preserve">Lancet </w:t>
            </w:r>
            <w:r w:rsidRPr="00E76BBF">
              <w:rPr>
                <w:iCs/>
              </w:rPr>
              <w:t>2011; 377: 721-731.</w:t>
            </w:r>
          </w:p>
        </w:tc>
      </w:tr>
      <w:tr w:rsidR="00172AD3" w:rsidRPr="00ED7E3E" w:rsidTr="0011582A">
        <w:tc>
          <w:tcPr>
            <w:tcW w:w="683" w:type="pct"/>
            <w:tcBorders>
              <w:bottom w:val="nil"/>
            </w:tcBorders>
            <w:vAlign w:val="center"/>
          </w:tcPr>
          <w:p w:rsidR="00172AD3" w:rsidRPr="00ED7E3E" w:rsidRDefault="00172AD3" w:rsidP="00AB03F9">
            <w:pPr>
              <w:pStyle w:val="Tabletext"/>
              <w:keepNext/>
              <w:keepLines/>
              <w:suppressLineNumbers/>
              <w:suppressAutoHyphens/>
            </w:pPr>
            <w:r w:rsidRPr="00ED7E3E">
              <w:t>BLISS-76</w:t>
            </w:r>
          </w:p>
        </w:tc>
        <w:tc>
          <w:tcPr>
            <w:tcW w:w="3346" w:type="pct"/>
            <w:tcBorders>
              <w:bottom w:val="nil"/>
            </w:tcBorders>
            <w:vAlign w:val="center"/>
          </w:tcPr>
          <w:p w:rsidR="00172AD3" w:rsidRPr="00ED7E3E" w:rsidRDefault="00172AD3" w:rsidP="00AB03F9">
            <w:pPr>
              <w:pStyle w:val="Tabletext"/>
              <w:keepNext/>
              <w:keepLines/>
              <w:suppressLineNumbers/>
              <w:suppressAutoHyphens/>
              <w:rPr>
                <w:rFonts w:ascii="Times" w:hAnsi="Times"/>
              </w:rPr>
            </w:pPr>
            <w:r w:rsidRPr="00ED7E3E">
              <w:rPr>
                <w:szCs w:val="18"/>
              </w:rPr>
              <w:t>A Phase 3, Multi-Center, Randomized, Double-Blind, Placebo-Controlled,76-Week Study to Evaluate the Efficacy and Safety of Belimumab (HGS1006, LymphoStat-B™), a Fully Human Monoclonal Anti-BLyS Antibody, in Subjects with Systemic Lupus Erythematosus (SLE).</w:t>
            </w:r>
          </w:p>
        </w:tc>
        <w:tc>
          <w:tcPr>
            <w:tcW w:w="971" w:type="pct"/>
            <w:tcBorders>
              <w:bottom w:val="nil"/>
            </w:tcBorders>
            <w:vAlign w:val="center"/>
          </w:tcPr>
          <w:p w:rsidR="00172AD3" w:rsidRPr="00E76BBF" w:rsidRDefault="00172AD3" w:rsidP="00AB03F9">
            <w:pPr>
              <w:pStyle w:val="Tabletext"/>
              <w:keepNext/>
              <w:keepLines/>
              <w:suppressLineNumbers/>
              <w:suppressAutoHyphens/>
              <w:rPr>
                <w:rFonts w:ascii="Times" w:hAnsi="Times"/>
              </w:rPr>
            </w:pPr>
            <w:r w:rsidRPr="00E76BBF">
              <w:t>March 2010</w:t>
            </w:r>
          </w:p>
        </w:tc>
      </w:tr>
      <w:tr w:rsidR="00172AD3" w:rsidRPr="00ED7E3E" w:rsidTr="0011582A">
        <w:tc>
          <w:tcPr>
            <w:tcW w:w="683" w:type="pct"/>
            <w:tcBorders>
              <w:top w:val="nil"/>
              <w:bottom w:val="single" w:sz="4" w:space="0" w:color="auto"/>
            </w:tcBorders>
            <w:vAlign w:val="center"/>
          </w:tcPr>
          <w:p w:rsidR="00172AD3" w:rsidRPr="00ED7E3E" w:rsidRDefault="00172AD3" w:rsidP="00AB03F9">
            <w:pPr>
              <w:pStyle w:val="Tabletext"/>
              <w:keepNext/>
              <w:keepLines/>
              <w:suppressLineNumbers/>
              <w:suppressAutoHyphens/>
            </w:pPr>
          </w:p>
        </w:tc>
        <w:tc>
          <w:tcPr>
            <w:tcW w:w="3346" w:type="pct"/>
            <w:tcBorders>
              <w:top w:val="nil"/>
              <w:bottom w:val="single" w:sz="4" w:space="0" w:color="auto"/>
            </w:tcBorders>
            <w:vAlign w:val="center"/>
          </w:tcPr>
          <w:p w:rsidR="00172AD3" w:rsidRPr="00ED7E3E" w:rsidRDefault="00172AD3" w:rsidP="00AB03F9">
            <w:pPr>
              <w:pStyle w:val="Tabletext"/>
              <w:keepNext/>
              <w:keepLines/>
              <w:suppressLineNumbers/>
              <w:suppressAutoHyphens/>
              <w:rPr>
                <w:szCs w:val="18"/>
              </w:rPr>
            </w:pPr>
            <w:r w:rsidRPr="00A9738F">
              <w:rPr>
                <w:szCs w:val="18"/>
                <w:lang w:val="it-IT" w:eastAsia="en-AU"/>
              </w:rPr>
              <w:t xml:space="preserve">Furie R, Petri M, Zamani O et al.  </w:t>
            </w:r>
            <w:r w:rsidRPr="00ED7E3E">
              <w:rPr>
                <w:szCs w:val="18"/>
                <w:lang w:eastAsia="en-AU"/>
              </w:rPr>
              <w:t>A phase 3, randomized, placebo-controlled study of belimumab, a monoclonal antibody that inhibits BLys&lt; in patients with systemic lupus erythematosus.</w:t>
            </w:r>
          </w:p>
        </w:tc>
        <w:tc>
          <w:tcPr>
            <w:tcW w:w="971" w:type="pct"/>
            <w:tcBorders>
              <w:top w:val="nil"/>
              <w:bottom w:val="single" w:sz="4" w:space="0" w:color="auto"/>
            </w:tcBorders>
            <w:vAlign w:val="center"/>
          </w:tcPr>
          <w:p w:rsidR="00172AD3" w:rsidRPr="00E76BBF" w:rsidRDefault="00172AD3" w:rsidP="00AB03F9">
            <w:pPr>
              <w:pStyle w:val="Tabletext"/>
              <w:keepNext/>
              <w:keepLines/>
              <w:suppressLineNumbers/>
              <w:suppressAutoHyphens/>
            </w:pPr>
            <w:r w:rsidRPr="00E76BBF">
              <w:rPr>
                <w:iCs/>
                <w:szCs w:val="18"/>
                <w:lang w:eastAsia="en-AU"/>
              </w:rPr>
              <w:t>Arthritis &amp; Rheumatology</w:t>
            </w:r>
            <w:r w:rsidRPr="00E76BBF">
              <w:rPr>
                <w:szCs w:val="18"/>
                <w:lang w:eastAsia="en-AU"/>
              </w:rPr>
              <w:t xml:space="preserve"> 2011; 63 (12): 3918-3930.</w:t>
            </w:r>
          </w:p>
        </w:tc>
      </w:tr>
      <w:tr w:rsidR="00172AD3" w:rsidRPr="00ED7E3E" w:rsidTr="0011582A">
        <w:tc>
          <w:tcPr>
            <w:tcW w:w="683" w:type="pct"/>
            <w:tcBorders>
              <w:top w:val="single" w:sz="4" w:space="0" w:color="auto"/>
              <w:bottom w:val="nil"/>
            </w:tcBorders>
            <w:vAlign w:val="center"/>
          </w:tcPr>
          <w:p w:rsidR="00172AD3" w:rsidRPr="00ED7E3E" w:rsidRDefault="00172AD3" w:rsidP="00AB03F9">
            <w:pPr>
              <w:pStyle w:val="Tabletext"/>
              <w:keepNext/>
              <w:keepLines/>
              <w:suppressLineNumbers/>
              <w:suppressAutoHyphens/>
            </w:pPr>
            <w:r>
              <w:t>NE-Asia</w:t>
            </w:r>
          </w:p>
        </w:tc>
        <w:tc>
          <w:tcPr>
            <w:tcW w:w="3346" w:type="pct"/>
            <w:tcBorders>
              <w:top w:val="single" w:sz="4" w:space="0" w:color="auto"/>
              <w:bottom w:val="nil"/>
            </w:tcBorders>
            <w:vAlign w:val="center"/>
          </w:tcPr>
          <w:p w:rsidR="00172AD3" w:rsidRPr="00ED7E3E" w:rsidRDefault="00172AD3" w:rsidP="00AB03F9">
            <w:pPr>
              <w:pStyle w:val="Tabletext"/>
              <w:keepNext/>
              <w:keepLines/>
              <w:suppressLineNumbers/>
              <w:suppressAutoHyphens/>
              <w:rPr>
                <w:szCs w:val="18"/>
                <w:lang w:eastAsia="en-AU"/>
              </w:rPr>
            </w:pPr>
            <w:r w:rsidRPr="00ED7E3E">
              <w:rPr>
                <w:szCs w:val="18"/>
                <w:lang w:eastAsia="en-AU"/>
              </w:rPr>
              <w:t>GSK1550188. A 52 week study with belimumab versus placebo in the treatment of subjects with systemic lupus erythematosus (SLE) located in Northeast Asia – Double-Blind Endpoint Analysis.</w:t>
            </w:r>
          </w:p>
        </w:tc>
        <w:tc>
          <w:tcPr>
            <w:tcW w:w="971" w:type="pct"/>
            <w:tcBorders>
              <w:top w:val="single" w:sz="4" w:space="0" w:color="auto"/>
              <w:bottom w:val="nil"/>
            </w:tcBorders>
            <w:vAlign w:val="center"/>
          </w:tcPr>
          <w:p w:rsidR="00172AD3" w:rsidRPr="00E76BBF" w:rsidRDefault="00172AD3" w:rsidP="00AB03F9">
            <w:pPr>
              <w:pStyle w:val="Tabletext"/>
              <w:keepNext/>
              <w:keepLines/>
              <w:suppressLineNumbers/>
              <w:suppressAutoHyphens/>
              <w:rPr>
                <w:szCs w:val="18"/>
                <w:lang w:eastAsia="en-AU"/>
              </w:rPr>
            </w:pPr>
            <w:r w:rsidRPr="00E76BBF">
              <w:rPr>
                <w:szCs w:val="18"/>
                <w:lang w:eastAsia="en-AU"/>
              </w:rPr>
              <w:t>August 2017</w:t>
            </w:r>
          </w:p>
        </w:tc>
      </w:tr>
      <w:tr w:rsidR="00172AD3" w:rsidRPr="00ED7E3E" w:rsidTr="0011582A">
        <w:tc>
          <w:tcPr>
            <w:tcW w:w="683" w:type="pct"/>
            <w:tcBorders>
              <w:top w:val="nil"/>
              <w:bottom w:val="single" w:sz="4" w:space="0" w:color="auto"/>
            </w:tcBorders>
            <w:vAlign w:val="center"/>
          </w:tcPr>
          <w:p w:rsidR="00172AD3" w:rsidRPr="00ED7E3E" w:rsidRDefault="00172AD3" w:rsidP="00AB03F9">
            <w:pPr>
              <w:pStyle w:val="Tabletext"/>
              <w:keepNext/>
              <w:keepLines/>
              <w:suppressLineNumbers/>
              <w:suppressAutoHyphens/>
            </w:pPr>
          </w:p>
        </w:tc>
        <w:tc>
          <w:tcPr>
            <w:tcW w:w="3346" w:type="pct"/>
            <w:tcBorders>
              <w:top w:val="nil"/>
              <w:bottom w:val="single" w:sz="4" w:space="0" w:color="auto"/>
            </w:tcBorders>
            <w:vAlign w:val="center"/>
          </w:tcPr>
          <w:p w:rsidR="00172AD3" w:rsidRPr="00ED7E3E" w:rsidRDefault="00172AD3" w:rsidP="00AB03F9">
            <w:pPr>
              <w:pStyle w:val="Tabletext"/>
              <w:keepNext/>
              <w:keepLines/>
              <w:suppressLineNumbers/>
              <w:suppressAutoHyphens/>
              <w:rPr>
                <w:szCs w:val="18"/>
                <w:lang w:eastAsia="en-AU"/>
              </w:rPr>
            </w:pPr>
            <w:r w:rsidRPr="00ED7E3E">
              <w:rPr>
                <w:szCs w:val="18"/>
                <w:lang w:eastAsia="en-AU"/>
              </w:rPr>
              <w:t xml:space="preserve">Zhang F, Bae S-C, Bass D et al. A pivotal phase III, randomised, placebo-controlled study of belimumab in patients with systemic lupus erythematosus located in China, Japan and South Korea. </w:t>
            </w:r>
          </w:p>
        </w:tc>
        <w:tc>
          <w:tcPr>
            <w:tcW w:w="971" w:type="pct"/>
            <w:tcBorders>
              <w:top w:val="nil"/>
              <w:bottom w:val="single" w:sz="4" w:space="0" w:color="auto"/>
            </w:tcBorders>
            <w:vAlign w:val="center"/>
          </w:tcPr>
          <w:p w:rsidR="00172AD3" w:rsidRPr="00E76BBF" w:rsidRDefault="00172AD3" w:rsidP="00AB03F9">
            <w:pPr>
              <w:pStyle w:val="Tabletext"/>
              <w:keepNext/>
              <w:keepLines/>
              <w:suppressLineNumbers/>
              <w:suppressAutoHyphens/>
              <w:rPr>
                <w:szCs w:val="18"/>
                <w:lang w:eastAsia="en-AU"/>
              </w:rPr>
            </w:pPr>
            <w:r w:rsidRPr="00E76BBF">
              <w:rPr>
                <w:iCs/>
                <w:szCs w:val="18"/>
                <w:lang w:eastAsia="en-AU"/>
              </w:rPr>
              <w:t>Annal Rheumatol Disease</w:t>
            </w:r>
            <w:r w:rsidRPr="00E76BBF">
              <w:rPr>
                <w:szCs w:val="18"/>
                <w:lang w:eastAsia="en-AU"/>
              </w:rPr>
              <w:t xml:space="preserve"> 2018; 77: 355-363.</w:t>
            </w:r>
          </w:p>
        </w:tc>
      </w:tr>
      <w:tr w:rsidR="00172AD3" w:rsidRPr="00ED7E3E" w:rsidTr="0011582A">
        <w:tc>
          <w:tcPr>
            <w:tcW w:w="683" w:type="pct"/>
            <w:tcBorders>
              <w:top w:val="single" w:sz="4" w:space="0" w:color="auto"/>
              <w:bottom w:val="single" w:sz="4" w:space="0" w:color="auto"/>
            </w:tcBorders>
            <w:vAlign w:val="center"/>
          </w:tcPr>
          <w:p w:rsidR="00172AD3" w:rsidRPr="00ED7E3E" w:rsidRDefault="00172AD3" w:rsidP="00AB03F9">
            <w:pPr>
              <w:pStyle w:val="Tabletext"/>
              <w:keepNext/>
              <w:keepLines/>
              <w:suppressLineNumbers/>
              <w:suppressAutoHyphens/>
            </w:pPr>
            <w:r w:rsidRPr="00ED7E3E">
              <w:t>EMBRACE</w:t>
            </w:r>
          </w:p>
        </w:tc>
        <w:tc>
          <w:tcPr>
            <w:tcW w:w="3346" w:type="pct"/>
            <w:tcBorders>
              <w:top w:val="single" w:sz="4" w:space="0" w:color="auto"/>
              <w:bottom w:val="single" w:sz="4" w:space="0" w:color="auto"/>
            </w:tcBorders>
            <w:vAlign w:val="center"/>
          </w:tcPr>
          <w:p w:rsidR="00172AD3" w:rsidRPr="00ED7E3E" w:rsidRDefault="00172AD3" w:rsidP="00AB03F9">
            <w:pPr>
              <w:pStyle w:val="Tabletext"/>
              <w:keepNext/>
              <w:keepLines/>
              <w:suppressLineNumbers/>
              <w:suppressAutoHyphens/>
              <w:rPr>
                <w:szCs w:val="18"/>
                <w:lang w:eastAsia="en-AU"/>
              </w:rPr>
            </w:pPr>
            <w:r w:rsidRPr="00ED7E3E">
              <w:rPr>
                <w:szCs w:val="18"/>
              </w:rPr>
              <w:t>A Phase 3/4, Multi-Center, Randomized, Double-Blind, Placebo-Controlled, 52-Week Study to Evaluate the Efficacy and Safety of Belimumab (HGS1006) in Adult Subjects of Black Race with Systemic Lupus Erythematosus (SLE).</w:t>
            </w:r>
          </w:p>
        </w:tc>
        <w:tc>
          <w:tcPr>
            <w:tcW w:w="971" w:type="pct"/>
            <w:tcBorders>
              <w:top w:val="single" w:sz="4" w:space="0" w:color="auto"/>
              <w:bottom w:val="single" w:sz="4" w:space="0" w:color="auto"/>
            </w:tcBorders>
            <w:vAlign w:val="center"/>
          </w:tcPr>
          <w:p w:rsidR="00172AD3" w:rsidRPr="00E76BBF" w:rsidRDefault="00172AD3" w:rsidP="00AB03F9">
            <w:pPr>
              <w:pStyle w:val="Tabletext"/>
              <w:keepNext/>
              <w:keepLines/>
              <w:suppressLineNumbers/>
              <w:suppressAutoHyphens/>
              <w:rPr>
                <w:szCs w:val="18"/>
                <w:lang w:eastAsia="en-AU"/>
              </w:rPr>
            </w:pPr>
            <w:r w:rsidRPr="00E76BBF">
              <w:rPr>
                <w:szCs w:val="18"/>
                <w:lang w:eastAsia="en-AU"/>
              </w:rPr>
              <w:t>February 2019</w:t>
            </w:r>
          </w:p>
        </w:tc>
      </w:tr>
    </w:tbl>
    <w:p w:rsidR="00172AD3" w:rsidRPr="009453EA" w:rsidRDefault="00172AD3" w:rsidP="00AB03F9">
      <w:pPr>
        <w:keepNext/>
        <w:keepLines/>
        <w:suppressLineNumbers/>
        <w:suppressAutoHyphens/>
        <w:rPr>
          <w:rFonts w:ascii="Arial Narrow" w:hAnsi="Arial Narrow"/>
          <w:sz w:val="18"/>
          <w:szCs w:val="18"/>
        </w:rPr>
      </w:pPr>
      <w:r w:rsidRPr="009453EA">
        <w:rPr>
          <w:rFonts w:ascii="Arial Narrow" w:hAnsi="Arial Narrow"/>
          <w:sz w:val="18"/>
          <w:szCs w:val="18"/>
        </w:rPr>
        <w:t>Source: Tables 21, pp32-33 of the submission.</w:t>
      </w:r>
    </w:p>
    <w:p w:rsidR="00172AD3" w:rsidRPr="00ED7E3E" w:rsidRDefault="00172AD3" w:rsidP="00172AD3">
      <w:pPr>
        <w:widowControl/>
      </w:pPr>
    </w:p>
    <w:p w:rsidR="00172AD3" w:rsidRPr="00ED7E3E" w:rsidRDefault="00172AD3" w:rsidP="00FF5FCE">
      <w:pPr>
        <w:pStyle w:val="ListParagraph"/>
        <w:widowControl/>
        <w:numPr>
          <w:ilvl w:val="1"/>
          <w:numId w:val="1"/>
        </w:numPr>
        <w:spacing w:after="120"/>
      </w:pPr>
      <w:r w:rsidRPr="00ED7E3E">
        <w:t xml:space="preserve">The key features of the </w:t>
      </w:r>
      <w:r w:rsidR="00F64D2D">
        <w:t>included evidence</w:t>
      </w:r>
      <w:r w:rsidRPr="00ED7E3E">
        <w:t xml:space="preserve"> a</w:t>
      </w:r>
      <w:r>
        <w:t xml:space="preserve">re summarised in Table </w:t>
      </w:r>
      <w:r w:rsidR="00F61CA4">
        <w:t>5</w:t>
      </w:r>
      <w:r w:rsidR="00100462">
        <w:t>.</w:t>
      </w:r>
    </w:p>
    <w:p w:rsidR="00DA3DE1" w:rsidRDefault="00DA3DE1">
      <w:pPr>
        <w:widowControl/>
        <w:jc w:val="left"/>
        <w:rPr>
          <w:rStyle w:val="CommentReference"/>
        </w:rPr>
      </w:pPr>
      <w:r>
        <w:rPr>
          <w:rStyle w:val="CommentReference"/>
        </w:rPr>
        <w:br w:type="page"/>
      </w:r>
    </w:p>
    <w:p w:rsidR="00172AD3" w:rsidRPr="00E2771E" w:rsidRDefault="00172AD3" w:rsidP="00AB03F9">
      <w:pPr>
        <w:rPr>
          <w:rStyle w:val="CommentReference"/>
        </w:rPr>
      </w:pPr>
      <w:r w:rsidRPr="00FD2F23">
        <w:rPr>
          <w:rStyle w:val="CommentReference"/>
        </w:rPr>
        <w:lastRenderedPageBreak/>
        <w:t xml:space="preserve">Table </w:t>
      </w:r>
      <w:r w:rsidR="00F61CA4">
        <w:rPr>
          <w:rStyle w:val="CommentReference"/>
        </w:rPr>
        <w:t>5</w:t>
      </w:r>
      <w:r w:rsidRPr="00FD2F23">
        <w:rPr>
          <w:rStyle w:val="CommentReference"/>
        </w:rPr>
        <w:t>:</w:t>
      </w:r>
      <w:r w:rsidRPr="00E2771E">
        <w:rPr>
          <w:rStyle w:val="CommentReference"/>
        </w:rPr>
        <w:t xml:space="preserve">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994"/>
        <w:gridCol w:w="467"/>
        <w:gridCol w:w="861"/>
        <w:gridCol w:w="537"/>
        <w:gridCol w:w="2390"/>
        <w:gridCol w:w="1834"/>
        <w:gridCol w:w="1934"/>
      </w:tblGrid>
      <w:tr w:rsidR="00897A52" w:rsidRPr="0022277A" w:rsidTr="00897A52">
        <w:tc>
          <w:tcPr>
            <w:tcW w:w="0" w:type="auto"/>
            <w:shd w:val="clear" w:color="auto" w:fill="auto"/>
            <w:vAlign w:val="center"/>
          </w:tcPr>
          <w:p w:rsidR="00172AD3" w:rsidRPr="0022277A" w:rsidRDefault="00172AD3" w:rsidP="00AB03F9">
            <w:pPr>
              <w:widowControl/>
              <w:jc w:val="left"/>
              <w:rPr>
                <w:rFonts w:ascii="Arial Narrow" w:hAnsi="Arial Narrow" w:cs="Times New Roman"/>
                <w:b/>
                <w:snapToGrid/>
                <w:sz w:val="20"/>
                <w:lang w:val="en-US"/>
              </w:rPr>
            </w:pPr>
            <w:r w:rsidRPr="0022277A">
              <w:rPr>
                <w:rFonts w:ascii="Arial Narrow" w:hAnsi="Arial Narrow" w:cs="Times New Roman"/>
                <w:b/>
                <w:snapToGrid/>
                <w:sz w:val="20"/>
                <w:lang w:val="en-US"/>
              </w:rPr>
              <w:t>Trial</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b/>
                <w:snapToGrid/>
                <w:sz w:val="20"/>
                <w:vertAlign w:val="superscript"/>
                <w:lang w:val="en-US"/>
              </w:rPr>
            </w:pPr>
            <w:r w:rsidRPr="0022277A">
              <w:rPr>
                <w:rFonts w:ascii="Arial Narrow" w:hAnsi="Arial Narrow" w:cs="Times New Roman"/>
                <w:b/>
                <w:snapToGrid/>
                <w:sz w:val="20"/>
                <w:lang w:val="en-US"/>
              </w:rPr>
              <w:t>N</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b/>
                <w:snapToGrid/>
                <w:sz w:val="20"/>
                <w:lang w:val="en-US"/>
              </w:rPr>
            </w:pPr>
            <w:r w:rsidRPr="0022277A">
              <w:rPr>
                <w:rFonts w:ascii="Arial Narrow" w:hAnsi="Arial Narrow" w:cs="Times New Roman"/>
                <w:b/>
                <w:snapToGrid/>
                <w:sz w:val="20"/>
                <w:lang w:val="en-US"/>
              </w:rPr>
              <w:t>Design/ duration</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b/>
                <w:snapToGrid/>
                <w:sz w:val="20"/>
                <w:lang w:val="en-US"/>
              </w:rPr>
            </w:pPr>
            <w:r w:rsidRPr="0022277A">
              <w:rPr>
                <w:rFonts w:ascii="Arial Narrow" w:hAnsi="Arial Narrow" w:cs="Times New Roman"/>
                <w:b/>
                <w:snapToGrid/>
                <w:sz w:val="20"/>
                <w:lang w:val="en-US"/>
              </w:rPr>
              <w:t>Risk of bias</w:t>
            </w:r>
          </w:p>
        </w:tc>
        <w:tc>
          <w:tcPr>
            <w:tcW w:w="2390" w:type="dxa"/>
            <w:shd w:val="clear" w:color="auto" w:fill="auto"/>
            <w:vAlign w:val="center"/>
          </w:tcPr>
          <w:p w:rsidR="00172AD3" w:rsidRPr="0022277A" w:rsidRDefault="00172AD3" w:rsidP="00AB03F9">
            <w:pPr>
              <w:widowControl/>
              <w:jc w:val="center"/>
              <w:rPr>
                <w:rFonts w:ascii="Arial Narrow" w:hAnsi="Arial Narrow" w:cs="Times New Roman"/>
                <w:b/>
                <w:snapToGrid/>
                <w:sz w:val="20"/>
                <w:lang w:val="en-US"/>
              </w:rPr>
            </w:pPr>
            <w:r w:rsidRPr="0022277A">
              <w:rPr>
                <w:rFonts w:ascii="Arial Narrow" w:hAnsi="Arial Narrow" w:cs="Times New Roman"/>
                <w:b/>
                <w:snapToGrid/>
                <w:sz w:val="20"/>
                <w:lang w:val="en-US"/>
              </w:rPr>
              <w:t>Patient population</w:t>
            </w:r>
          </w:p>
        </w:tc>
        <w:tc>
          <w:tcPr>
            <w:tcW w:w="1834" w:type="dxa"/>
            <w:shd w:val="clear" w:color="auto" w:fill="auto"/>
            <w:vAlign w:val="center"/>
          </w:tcPr>
          <w:p w:rsidR="00172AD3" w:rsidRPr="0022277A" w:rsidRDefault="00172AD3" w:rsidP="00AB03F9">
            <w:pPr>
              <w:widowControl/>
              <w:jc w:val="center"/>
              <w:rPr>
                <w:rFonts w:ascii="Arial Narrow" w:hAnsi="Arial Narrow" w:cs="Times New Roman"/>
                <w:b/>
                <w:snapToGrid/>
                <w:sz w:val="20"/>
                <w:lang w:val="en-US"/>
              </w:rPr>
            </w:pPr>
            <w:r w:rsidRPr="0022277A">
              <w:rPr>
                <w:rFonts w:ascii="Arial Narrow" w:hAnsi="Arial Narrow" w:cs="Times New Roman"/>
                <w:b/>
                <w:snapToGrid/>
                <w:sz w:val="20"/>
                <w:lang w:val="en-US"/>
              </w:rPr>
              <w:t>Outcome(s)</w:t>
            </w:r>
          </w:p>
        </w:tc>
        <w:tc>
          <w:tcPr>
            <w:tcW w:w="1934" w:type="dxa"/>
            <w:vAlign w:val="center"/>
          </w:tcPr>
          <w:p w:rsidR="00172AD3" w:rsidRPr="0022277A" w:rsidRDefault="00172AD3" w:rsidP="00AB03F9">
            <w:pPr>
              <w:widowControl/>
              <w:jc w:val="center"/>
              <w:rPr>
                <w:rFonts w:ascii="Arial Narrow" w:hAnsi="Arial Narrow" w:cs="Times New Roman"/>
                <w:b/>
                <w:snapToGrid/>
                <w:sz w:val="20"/>
                <w:lang w:val="en-US"/>
              </w:rPr>
            </w:pPr>
            <w:r w:rsidRPr="0022277A">
              <w:rPr>
                <w:rFonts w:ascii="Arial Narrow" w:hAnsi="Arial Narrow" w:cs="Times New Roman"/>
                <w:b/>
                <w:snapToGrid/>
                <w:sz w:val="20"/>
                <w:lang w:val="en-US"/>
              </w:rPr>
              <w:t>Use in economic model</w:t>
            </w:r>
          </w:p>
        </w:tc>
      </w:tr>
      <w:tr w:rsidR="00172AD3" w:rsidRPr="0022277A" w:rsidTr="00897A52">
        <w:tc>
          <w:tcPr>
            <w:tcW w:w="7083" w:type="dxa"/>
            <w:gridSpan w:val="6"/>
            <w:shd w:val="clear" w:color="auto" w:fill="auto"/>
            <w:vAlign w:val="center"/>
          </w:tcPr>
          <w:p w:rsidR="00172AD3" w:rsidRPr="0022277A" w:rsidRDefault="00172AD3" w:rsidP="00AB03F9">
            <w:pPr>
              <w:widowControl/>
              <w:jc w:val="left"/>
              <w:rPr>
                <w:rFonts w:ascii="Arial Narrow" w:hAnsi="Arial Narrow" w:cs="Times New Roman"/>
                <w:b/>
                <w:snapToGrid/>
                <w:sz w:val="20"/>
                <w:lang w:val="en-US"/>
              </w:rPr>
            </w:pPr>
            <w:r w:rsidRPr="0022277A">
              <w:rPr>
                <w:rFonts w:ascii="Arial Narrow" w:hAnsi="Arial Narrow" w:cs="Times New Roman"/>
                <w:b/>
                <w:snapToGrid/>
                <w:sz w:val="20"/>
                <w:lang w:val="en-US"/>
              </w:rPr>
              <w:t>Belimumab SC formulation (pivotal trial)</w:t>
            </w:r>
          </w:p>
        </w:tc>
        <w:tc>
          <w:tcPr>
            <w:tcW w:w="1934" w:type="dxa"/>
            <w:vAlign w:val="center"/>
          </w:tcPr>
          <w:p w:rsidR="00D34630" w:rsidRPr="0022277A" w:rsidRDefault="00D34630" w:rsidP="00AB03F9">
            <w:pPr>
              <w:widowControl/>
              <w:jc w:val="center"/>
              <w:rPr>
                <w:rFonts w:ascii="Arial Narrow" w:hAnsi="Arial Narrow" w:cs="Times New Roman"/>
                <w:snapToGrid/>
                <w:sz w:val="20"/>
                <w:lang w:val="en-US"/>
              </w:rPr>
            </w:pPr>
          </w:p>
        </w:tc>
      </w:tr>
      <w:tr w:rsidR="007773D6" w:rsidRPr="0022277A" w:rsidTr="00897A52">
        <w:tc>
          <w:tcPr>
            <w:tcW w:w="0" w:type="auto"/>
            <w:shd w:val="clear" w:color="auto" w:fill="auto"/>
            <w:vAlign w:val="center"/>
          </w:tcPr>
          <w:p w:rsidR="00172AD3" w:rsidRPr="0022277A" w:rsidRDefault="00172AD3" w:rsidP="00AB03F9">
            <w:pPr>
              <w:widowControl/>
              <w:jc w:val="left"/>
              <w:rPr>
                <w:rFonts w:ascii="Arial Narrow" w:hAnsi="Arial Narrow" w:cs="Times New Roman"/>
                <w:snapToGrid/>
                <w:sz w:val="20"/>
                <w:lang w:val="en-US"/>
              </w:rPr>
            </w:pPr>
            <w:r w:rsidRPr="0022277A">
              <w:rPr>
                <w:rFonts w:ascii="Arial Narrow" w:hAnsi="Arial Narrow" w:cs="Times New Roman"/>
                <w:snapToGrid/>
                <w:sz w:val="20"/>
                <w:lang w:val="en-US"/>
              </w:rPr>
              <w:t>BLISS-SC</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839</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rPr>
            </w:pPr>
            <w:r w:rsidRPr="0022277A">
              <w:rPr>
                <w:rFonts w:ascii="Arial Narrow" w:hAnsi="Arial Narrow" w:cs="Times New Roman"/>
                <w:snapToGrid/>
                <w:sz w:val="20"/>
              </w:rPr>
              <w:t xml:space="preserve">R, DB, MC, </w:t>
            </w:r>
          </w:p>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rPr>
              <w:t>52 wks</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Low</w:t>
            </w:r>
          </w:p>
        </w:tc>
        <w:tc>
          <w:tcPr>
            <w:tcW w:w="2390" w:type="dxa"/>
            <w:shd w:val="clear" w:color="auto" w:fill="auto"/>
            <w:vAlign w:val="center"/>
          </w:tcPr>
          <w:p w:rsidR="00172AD3" w:rsidRPr="0022277A" w:rsidRDefault="00172AD3" w:rsidP="00AB03F9">
            <w:pPr>
              <w:widowControl/>
              <w:jc w:val="center"/>
              <w:rPr>
                <w:rFonts w:ascii="Arial Narrow" w:hAnsi="Arial Narrow" w:cs="Times New Roman"/>
                <w:snapToGrid/>
                <w:sz w:val="20"/>
                <w:szCs w:val="20"/>
                <w:lang w:val="en-US"/>
              </w:rPr>
            </w:pPr>
            <w:r w:rsidRPr="0022277A">
              <w:rPr>
                <w:rFonts w:ascii="Arial Narrow" w:hAnsi="Arial Narrow" w:cs="Times New Roman"/>
                <w:snapToGrid/>
                <w:sz w:val="20"/>
                <w:szCs w:val="20"/>
              </w:rPr>
              <w:t>Autoantibody positive; SELENA-SLEDAI score ≥ 8 at screening</w:t>
            </w:r>
          </w:p>
        </w:tc>
        <w:tc>
          <w:tcPr>
            <w:tcW w:w="1834" w:type="dxa"/>
            <w:vMerge w:val="restart"/>
            <w:shd w:val="clear" w:color="auto" w:fill="auto"/>
            <w:vAlign w:val="center"/>
          </w:tcPr>
          <w:p w:rsidR="00172AD3" w:rsidRPr="0022277A" w:rsidRDefault="00172AD3" w:rsidP="00AB03F9">
            <w:pPr>
              <w:keepNext/>
              <w:keepLines/>
              <w:widowControl/>
              <w:spacing w:before="40" w:after="40"/>
              <w:jc w:val="center"/>
              <w:rPr>
                <w:rFonts w:ascii="Arial Narrow" w:hAnsi="Arial Narrow" w:cs="Times New Roman"/>
                <w:snapToGrid/>
                <w:sz w:val="20"/>
              </w:rPr>
            </w:pPr>
            <w:r w:rsidRPr="0022277A">
              <w:rPr>
                <w:rFonts w:ascii="Arial Narrow" w:hAnsi="Arial Narrow" w:cs="Times New Roman"/>
                <w:snapToGrid/>
                <w:sz w:val="20"/>
              </w:rPr>
              <w:t>Primary: SRI response (and components) at Wk 52</w:t>
            </w:r>
          </w:p>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rPr>
              <w:t>Secondary: time to 1</w:t>
            </w:r>
            <w:r w:rsidRPr="0022277A">
              <w:rPr>
                <w:rFonts w:ascii="Arial Narrow" w:hAnsi="Arial Narrow" w:cs="Times New Roman"/>
                <w:snapToGrid/>
                <w:sz w:val="20"/>
                <w:vertAlign w:val="superscript"/>
              </w:rPr>
              <w:t>st</w:t>
            </w:r>
            <w:r w:rsidRPr="0022277A">
              <w:rPr>
                <w:rFonts w:ascii="Arial Narrow" w:hAnsi="Arial Narrow" w:cs="Times New Roman"/>
                <w:snapToGrid/>
                <w:sz w:val="20"/>
              </w:rPr>
              <w:t xml:space="preserve"> severe flare; </w:t>
            </w:r>
            <w:r w:rsidRPr="0022277A">
              <w:rPr>
                <w:rFonts w:ascii="Arial Narrow" w:hAnsi="Arial Narrow"/>
                <w:bCs/>
                <w:sz w:val="20"/>
                <w:szCs w:val="20"/>
              </w:rPr>
              <w:t>prednisone dose reduction ≥25% from baseline to ≤7.5 mg/day during Wk 40 to 52; percent patients with ≥4-point reduction from baseline in SELENA-SLEDAI score at Wk 52; mean change/percent change in PGA at Wk 24</w:t>
            </w:r>
          </w:p>
        </w:tc>
        <w:tc>
          <w:tcPr>
            <w:tcW w:w="1934" w:type="dxa"/>
            <w:vAlign w:val="center"/>
          </w:tcPr>
          <w:p w:rsidR="007773D6" w:rsidRPr="0022277A" w:rsidRDefault="007773D6"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Proportion achieving a ≥4 point reduction in SELENA-SLEDAI at Wk 24;</w:t>
            </w:r>
          </w:p>
          <w:p w:rsidR="00172AD3" w:rsidRPr="0022277A" w:rsidRDefault="007773D6" w:rsidP="00AB03F9">
            <w:pPr>
              <w:keepNext/>
              <w:keepLines/>
              <w:widowControl/>
              <w:spacing w:before="40" w:after="40"/>
              <w:jc w:val="center"/>
              <w:rPr>
                <w:rFonts w:ascii="Arial Narrow" w:hAnsi="Arial Narrow" w:cs="Times New Roman"/>
                <w:snapToGrid/>
                <w:sz w:val="20"/>
              </w:rPr>
            </w:pPr>
            <w:r w:rsidRPr="0022277A">
              <w:rPr>
                <w:rFonts w:ascii="Arial Narrow" w:hAnsi="Arial Narrow" w:cs="Times New Roman"/>
                <w:snapToGrid/>
                <w:sz w:val="20"/>
                <w:lang w:val="en-US"/>
              </w:rPr>
              <w:t>rate of SLE flares</w:t>
            </w:r>
          </w:p>
        </w:tc>
      </w:tr>
      <w:tr w:rsidR="00172AD3" w:rsidRPr="0022277A" w:rsidTr="00897A52">
        <w:tc>
          <w:tcPr>
            <w:tcW w:w="5249" w:type="dxa"/>
            <w:gridSpan w:val="5"/>
            <w:shd w:val="clear" w:color="auto" w:fill="auto"/>
            <w:vAlign w:val="center"/>
          </w:tcPr>
          <w:p w:rsidR="00172AD3" w:rsidRPr="0022277A" w:rsidRDefault="00172AD3" w:rsidP="00AB03F9">
            <w:pPr>
              <w:widowControl/>
              <w:jc w:val="left"/>
              <w:rPr>
                <w:rFonts w:ascii="Arial Narrow" w:hAnsi="Arial Narrow" w:cs="Times New Roman"/>
                <w:b/>
                <w:snapToGrid/>
                <w:sz w:val="20"/>
                <w:szCs w:val="20"/>
                <w:lang w:val="en-US"/>
              </w:rPr>
            </w:pPr>
            <w:r w:rsidRPr="0022277A">
              <w:rPr>
                <w:rFonts w:ascii="Arial Narrow" w:hAnsi="Arial Narrow" w:cs="Times New Roman"/>
                <w:b/>
                <w:snapToGrid/>
                <w:sz w:val="20"/>
                <w:szCs w:val="20"/>
                <w:lang w:val="en-US"/>
              </w:rPr>
              <w:t>Belimumab IV formulation (supportive evidence)</w:t>
            </w:r>
          </w:p>
        </w:tc>
        <w:tc>
          <w:tcPr>
            <w:tcW w:w="1834" w:type="dxa"/>
            <w:vMerge/>
            <w:tcBorders>
              <w:top w:val="single" w:sz="4" w:space="0" w:color="auto"/>
            </w:tcBorders>
            <w:shd w:val="clear" w:color="auto" w:fill="auto"/>
            <w:vAlign w:val="center"/>
          </w:tcPr>
          <w:p w:rsidR="00172AD3" w:rsidRPr="0022277A" w:rsidRDefault="00172AD3" w:rsidP="00AB03F9">
            <w:pPr>
              <w:widowControl/>
              <w:jc w:val="left"/>
              <w:rPr>
                <w:rFonts w:ascii="Arial Narrow" w:hAnsi="Arial Narrow" w:cs="Times New Roman"/>
                <w:b/>
                <w:snapToGrid/>
                <w:sz w:val="20"/>
                <w:szCs w:val="20"/>
                <w:lang w:val="en-US"/>
              </w:rPr>
            </w:pPr>
          </w:p>
        </w:tc>
        <w:tc>
          <w:tcPr>
            <w:tcW w:w="1934" w:type="dxa"/>
            <w:tcBorders>
              <w:top w:val="single" w:sz="4" w:space="0" w:color="auto"/>
            </w:tcBorders>
            <w:vAlign w:val="center"/>
          </w:tcPr>
          <w:p w:rsidR="00172AD3" w:rsidRPr="0022277A" w:rsidRDefault="00172AD3" w:rsidP="00AB03F9">
            <w:pPr>
              <w:widowControl/>
              <w:jc w:val="left"/>
              <w:rPr>
                <w:rFonts w:ascii="Arial Narrow" w:hAnsi="Arial Narrow" w:cs="Times New Roman"/>
                <w:b/>
                <w:snapToGrid/>
                <w:sz w:val="20"/>
                <w:szCs w:val="20"/>
                <w:lang w:val="en-US"/>
              </w:rPr>
            </w:pPr>
          </w:p>
        </w:tc>
      </w:tr>
      <w:tr w:rsidR="007773D6" w:rsidRPr="0022277A" w:rsidTr="00897A52">
        <w:tc>
          <w:tcPr>
            <w:tcW w:w="0" w:type="auto"/>
            <w:shd w:val="clear" w:color="auto" w:fill="auto"/>
            <w:vAlign w:val="center"/>
          </w:tcPr>
          <w:p w:rsidR="00172AD3" w:rsidRPr="0022277A" w:rsidRDefault="00172AD3" w:rsidP="00AB03F9">
            <w:pPr>
              <w:widowControl/>
              <w:jc w:val="left"/>
              <w:rPr>
                <w:rFonts w:ascii="Arial Narrow" w:hAnsi="Arial Narrow" w:cs="Times New Roman"/>
                <w:snapToGrid/>
                <w:sz w:val="20"/>
                <w:lang w:val="en-US"/>
              </w:rPr>
            </w:pPr>
            <w:r w:rsidRPr="0022277A">
              <w:rPr>
                <w:rFonts w:ascii="Arial Narrow" w:hAnsi="Arial Narrow" w:cs="Times New Roman"/>
                <w:snapToGrid/>
                <w:sz w:val="20"/>
                <w:lang w:val="en-US"/>
              </w:rPr>
              <w:t>BLISS-52</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867</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rPr>
            </w:pPr>
            <w:r w:rsidRPr="0022277A">
              <w:rPr>
                <w:rFonts w:ascii="Arial Narrow" w:hAnsi="Arial Narrow" w:cs="Times New Roman"/>
                <w:snapToGrid/>
                <w:sz w:val="20"/>
              </w:rPr>
              <w:t xml:space="preserve">R, DB, MC, </w:t>
            </w:r>
          </w:p>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rPr>
              <w:t>52 wks</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Low</w:t>
            </w:r>
          </w:p>
        </w:tc>
        <w:tc>
          <w:tcPr>
            <w:tcW w:w="2390" w:type="dxa"/>
            <w:shd w:val="clear" w:color="auto" w:fill="auto"/>
            <w:vAlign w:val="center"/>
          </w:tcPr>
          <w:p w:rsidR="00172AD3" w:rsidRPr="0022277A" w:rsidRDefault="00172AD3" w:rsidP="00AB03F9">
            <w:pPr>
              <w:widowControl/>
              <w:jc w:val="center"/>
              <w:rPr>
                <w:rFonts w:ascii="Arial Narrow" w:hAnsi="Arial Narrow" w:cs="Times New Roman"/>
                <w:snapToGrid/>
                <w:sz w:val="20"/>
                <w:szCs w:val="20"/>
                <w:lang w:val="en-US"/>
              </w:rPr>
            </w:pPr>
            <w:r w:rsidRPr="0022277A">
              <w:rPr>
                <w:rFonts w:ascii="Arial Narrow" w:hAnsi="Arial Narrow" w:cs="Times New Roman"/>
                <w:snapToGrid/>
                <w:sz w:val="20"/>
                <w:szCs w:val="20"/>
              </w:rPr>
              <w:t>Autoantibody positive; SELENA-SLEDAI score ≥ 6 at screening</w:t>
            </w:r>
          </w:p>
        </w:tc>
        <w:tc>
          <w:tcPr>
            <w:tcW w:w="1834" w:type="dxa"/>
            <w:vMerge/>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p>
        </w:tc>
        <w:tc>
          <w:tcPr>
            <w:tcW w:w="1934" w:type="dxa"/>
            <w:vAlign w:val="center"/>
          </w:tcPr>
          <w:p w:rsidR="00172AD3" w:rsidRPr="0022277A" w:rsidRDefault="007773D6"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NA</w:t>
            </w:r>
          </w:p>
        </w:tc>
      </w:tr>
      <w:tr w:rsidR="007773D6" w:rsidRPr="0022277A" w:rsidTr="00897A52">
        <w:tc>
          <w:tcPr>
            <w:tcW w:w="0" w:type="auto"/>
            <w:shd w:val="clear" w:color="auto" w:fill="auto"/>
            <w:vAlign w:val="center"/>
          </w:tcPr>
          <w:p w:rsidR="00172AD3" w:rsidRPr="0022277A" w:rsidRDefault="00172AD3" w:rsidP="00AB03F9">
            <w:pPr>
              <w:widowControl/>
              <w:jc w:val="left"/>
              <w:rPr>
                <w:rFonts w:ascii="Arial Narrow" w:hAnsi="Arial Narrow" w:cs="Times New Roman"/>
                <w:snapToGrid/>
                <w:sz w:val="20"/>
                <w:lang w:val="en-US"/>
              </w:rPr>
            </w:pPr>
            <w:r w:rsidRPr="0022277A">
              <w:rPr>
                <w:rFonts w:ascii="Arial Narrow" w:hAnsi="Arial Narrow" w:cs="Times New Roman"/>
                <w:snapToGrid/>
                <w:sz w:val="20"/>
                <w:lang w:val="en-US"/>
              </w:rPr>
              <w:t>BLISS-76</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826</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rPr>
            </w:pPr>
            <w:r w:rsidRPr="0022277A">
              <w:rPr>
                <w:rFonts w:ascii="Arial Narrow" w:hAnsi="Arial Narrow" w:cs="Times New Roman"/>
                <w:snapToGrid/>
                <w:sz w:val="20"/>
              </w:rPr>
              <w:t xml:space="preserve">R, DB, MC, </w:t>
            </w:r>
          </w:p>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rPr>
              <w:t>76 wks</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Low</w:t>
            </w:r>
          </w:p>
        </w:tc>
        <w:tc>
          <w:tcPr>
            <w:tcW w:w="2390" w:type="dxa"/>
            <w:shd w:val="clear" w:color="auto" w:fill="auto"/>
            <w:vAlign w:val="center"/>
          </w:tcPr>
          <w:p w:rsidR="00172AD3" w:rsidRPr="0022277A" w:rsidRDefault="00172AD3" w:rsidP="00AB03F9">
            <w:pPr>
              <w:widowControl/>
              <w:jc w:val="center"/>
              <w:rPr>
                <w:rFonts w:ascii="Arial Narrow" w:hAnsi="Arial Narrow" w:cs="Times New Roman"/>
                <w:snapToGrid/>
                <w:sz w:val="20"/>
                <w:szCs w:val="20"/>
                <w:lang w:val="en-US"/>
              </w:rPr>
            </w:pPr>
            <w:r w:rsidRPr="0022277A">
              <w:rPr>
                <w:rFonts w:ascii="Arial Narrow" w:hAnsi="Arial Narrow" w:cs="Times New Roman"/>
                <w:snapToGrid/>
                <w:sz w:val="20"/>
                <w:szCs w:val="20"/>
              </w:rPr>
              <w:t>Autoantibody positive; SELENA-SLEDAI score ≥ 6 at screening</w:t>
            </w:r>
          </w:p>
        </w:tc>
        <w:tc>
          <w:tcPr>
            <w:tcW w:w="1834" w:type="dxa"/>
            <w:vMerge/>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p>
        </w:tc>
        <w:tc>
          <w:tcPr>
            <w:tcW w:w="1934" w:type="dxa"/>
            <w:vAlign w:val="center"/>
          </w:tcPr>
          <w:p w:rsidR="00172AD3" w:rsidRPr="0022277A" w:rsidRDefault="007773D6"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NA</w:t>
            </w:r>
          </w:p>
        </w:tc>
      </w:tr>
      <w:tr w:rsidR="007773D6" w:rsidRPr="0022277A" w:rsidTr="00897A52">
        <w:tc>
          <w:tcPr>
            <w:tcW w:w="0" w:type="auto"/>
            <w:shd w:val="clear" w:color="auto" w:fill="auto"/>
            <w:vAlign w:val="center"/>
          </w:tcPr>
          <w:p w:rsidR="00172AD3" w:rsidRPr="0022277A" w:rsidRDefault="00172AD3" w:rsidP="00AB03F9">
            <w:pPr>
              <w:widowControl/>
              <w:jc w:val="left"/>
              <w:rPr>
                <w:rFonts w:ascii="Arial Narrow" w:hAnsi="Arial Narrow" w:cs="Times New Roman"/>
                <w:snapToGrid/>
                <w:sz w:val="20"/>
                <w:lang w:val="en-US"/>
              </w:rPr>
            </w:pPr>
            <w:r w:rsidRPr="0022277A">
              <w:rPr>
                <w:rFonts w:ascii="Arial Narrow" w:hAnsi="Arial Narrow" w:cs="Times New Roman"/>
                <w:snapToGrid/>
                <w:sz w:val="20"/>
                <w:lang w:val="en-US"/>
              </w:rPr>
              <w:t>NE-Asia</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707</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rPr>
            </w:pPr>
            <w:r w:rsidRPr="0022277A">
              <w:rPr>
                <w:rFonts w:ascii="Arial Narrow" w:hAnsi="Arial Narrow" w:cs="Times New Roman"/>
                <w:snapToGrid/>
                <w:sz w:val="20"/>
              </w:rPr>
              <w:t xml:space="preserve">R, DB, MC, </w:t>
            </w:r>
          </w:p>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rPr>
              <w:t>52 wks</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Low</w:t>
            </w:r>
          </w:p>
        </w:tc>
        <w:tc>
          <w:tcPr>
            <w:tcW w:w="2390" w:type="dxa"/>
            <w:shd w:val="clear" w:color="auto" w:fill="auto"/>
            <w:vAlign w:val="center"/>
          </w:tcPr>
          <w:p w:rsidR="00172AD3" w:rsidRPr="0022277A" w:rsidRDefault="00172AD3" w:rsidP="00AB03F9">
            <w:pPr>
              <w:widowControl/>
              <w:jc w:val="center"/>
              <w:rPr>
                <w:rFonts w:ascii="Arial Narrow" w:hAnsi="Arial Narrow" w:cs="Times New Roman"/>
                <w:snapToGrid/>
                <w:sz w:val="20"/>
                <w:szCs w:val="20"/>
                <w:lang w:val="en-US"/>
              </w:rPr>
            </w:pPr>
            <w:r w:rsidRPr="0022277A">
              <w:rPr>
                <w:rFonts w:ascii="Arial Narrow" w:hAnsi="Arial Narrow" w:cs="Times New Roman"/>
                <w:snapToGrid/>
                <w:sz w:val="20"/>
                <w:szCs w:val="20"/>
              </w:rPr>
              <w:t xml:space="preserve">Autoantibody positive; SELENA-SLEDAI score ≥ 8 at screening; </w:t>
            </w:r>
            <w:r w:rsidRPr="0022277A">
              <w:rPr>
                <w:rFonts w:ascii="Arial Narrow" w:hAnsi="Arial Narrow" w:cs="Times New Roman"/>
                <w:snapToGrid/>
                <w:sz w:val="20"/>
                <w:szCs w:val="20"/>
                <w:lang w:val="en-US"/>
              </w:rPr>
              <w:t>Asian race</w:t>
            </w:r>
          </w:p>
        </w:tc>
        <w:tc>
          <w:tcPr>
            <w:tcW w:w="1834" w:type="dxa"/>
            <w:vMerge/>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p>
        </w:tc>
        <w:tc>
          <w:tcPr>
            <w:tcW w:w="1934" w:type="dxa"/>
            <w:vAlign w:val="center"/>
          </w:tcPr>
          <w:p w:rsidR="00172AD3" w:rsidRPr="0022277A" w:rsidRDefault="007773D6"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NA</w:t>
            </w:r>
          </w:p>
        </w:tc>
      </w:tr>
      <w:tr w:rsidR="007773D6" w:rsidRPr="0022277A" w:rsidTr="00897A52">
        <w:tc>
          <w:tcPr>
            <w:tcW w:w="0" w:type="auto"/>
            <w:shd w:val="clear" w:color="auto" w:fill="auto"/>
            <w:vAlign w:val="center"/>
          </w:tcPr>
          <w:p w:rsidR="00172AD3" w:rsidRPr="0022277A" w:rsidRDefault="00172AD3" w:rsidP="00AB03F9">
            <w:pPr>
              <w:widowControl/>
              <w:jc w:val="left"/>
              <w:rPr>
                <w:rFonts w:ascii="Arial Narrow" w:hAnsi="Arial Narrow" w:cs="Times New Roman"/>
                <w:b/>
                <w:snapToGrid/>
                <w:sz w:val="20"/>
                <w:lang w:val="en-US"/>
              </w:rPr>
            </w:pPr>
            <w:r w:rsidRPr="0022277A">
              <w:rPr>
                <w:rFonts w:ascii="Arial Narrow" w:hAnsi="Arial Narrow" w:cs="Times New Roman"/>
                <w:snapToGrid/>
                <w:sz w:val="20"/>
                <w:lang w:val="en-US"/>
              </w:rPr>
              <w:t>EMBRACE</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503</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rPr>
            </w:pPr>
            <w:r w:rsidRPr="0022277A">
              <w:rPr>
                <w:rFonts w:ascii="Arial Narrow" w:hAnsi="Arial Narrow" w:cs="Times New Roman"/>
                <w:snapToGrid/>
                <w:sz w:val="20"/>
              </w:rPr>
              <w:t xml:space="preserve">R, DB, MC, </w:t>
            </w:r>
          </w:p>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rPr>
              <w:t>52 wks</w:t>
            </w:r>
          </w:p>
        </w:tc>
        <w:tc>
          <w:tcPr>
            <w:tcW w:w="0" w:type="auto"/>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Low</w:t>
            </w:r>
          </w:p>
        </w:tc>
        <w:tc>
          <w:tcPr>
            <w:tcW w:w="2390" w:type="dxa"/>
            <w:shd w:val="clear" w:color="auto" w:fill="auto"/>
            <w:vAlign w:val="center"/>
          </w:tcPr>
          <w:p w:rsidR="00172AD3" w:rsidRPr="0022277A" w:rsidRDefault="00172AD3" w:rsidP="00AB03F9">
            <w:pPr>
              <w:widowControl/>
              <w:jc w:val="center"/>
              <w:rPr>
                <w:rFonts w:ascii="Arial Narrow" w:hAnsi="Arial Narrow" w:cs="Times New Roman"/>
                <w:snapToGrid/>
                <w:sz w:val="20"/>
                <w:szCs w:val="20"/>
                <w:lang w:val="en-US"/>
              </w:rPr>
            </w:pPr>
            <w:r w:rsidRPr="0022277A">
              <w:rPr>
                <w:rFonts w:ascii="Arial Narrow" w:hAnsi="Arial Narrow" w:cs="Times New Roman"/>
                <w:snapToGrid/>
                <w:sz w:val="20"/>
                <w:szCs w:val="20"/>
              </w:rPr>
              <w:t xml:space="preserve">Autoantibody positive; SELENA-SLEDAI score ≥ 8 at screening; </w:t>
            </w:r>
            <w:r w:rsidRPr="0022277A">
              <w:rPr>
                <w:rFonts w:ascii="Arial Narrow" w:hAnsi="Arial Narrow" w:cs="Times New Roman"/>
                <w:snapToGrid/>
                <w:sz w:val="20"/>
                <w:szCs w:val="20"/>
                <w:lang w:val="en-US"/>
              </w:rPr>
              <w:t>Black race</w:t>
            </w:r>
          </w:p>
        </w:tc>
        <w:tc>
          <w:tcPr>
            <w:tcW w:w="1834" w:type="dxa"/>
            <w:vMerge/>
            <w:shd w:val="clear" w:color="auto" w:fill="auto"/>
            <w:vAlign w:val="center"/>
          </w:tcPr>
          <w:p w:rsidR="00172AD3" w:rsidRPr="0022277A" w:rsidRDefault="00172AD3" w:rsidP="00AB03F9">
            <w:pPr>
              <w:widowControl/>
              <w:jc w:val="center"/>
              <w:rPr>
                <w:rFonts w:ascii="Arial Narrow" w:hAnsi="Arial Narrow" w:cs="Times New Roman"/>
                <w:snapToGrid/>
                <w:sz w:val="20"/>
                <w:lang w:val="en-US"/>
              </w:rPr>
            </w:pPr>
          </w:p>
        </w:tc>
        <w:tc>
          <w:tcPr>
            <w:tcW w:w="1934" w:type="dxa"/>
            <w:vAlign w:val="center"/>
          </w:tcPr>
          <w:p w:rsidR="00172AD3" w:rsidRPr="0022277A" w:rsidRDefault="007773D6"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NA</w:t>
            </w:r>
          </w:p>
        </w:tc>
      </w:tr>
      <w:tr w:rsidR="00476E3D" w:rsidRPr="0022277A" w:rsidTr="00F22E85">
        <w:tc>
          <w:tcPr>
            <w:tcW w:w="9017" w:type="dxa"/>
            <w:gridSpan w:val="7"/>
            <w:shd w:val="clear" w:color="auto" w:fill="auto"/>
            <w:vAlign w:val="center"/>
          </w:tcPr>
          <w:p w:rsidR="00476E3D" w:rsidRPr="0022277A" w:rsidRDefault="00C04BA9" w:rsidP="00AB03F9">
            <w:pPr>
              <w:widowControl/>
              <w:jc w:val="left"/>
              <w:rPr>
                <w:rFonts w:ascii="Arial Narrow" w:hAnsi="Arial Narrow" w:cs="Times New Roman"/>
                <w:b/>
                <w:snapToGrid/>
                <w:sz w:val="20"/>
                <w:lang w:val="en-US"/>
              </w:rPr>
            </w:pPr>
            <w:r w:rsidRPr="0022277A">
              <w:rPr>
                <w:rFonts w:ascii="Arial Narrow" w:hAnsi="Arial Narrow" w:cs="Times New Roman"/>
                <w:b/>
                <w:snapToGrid/>
                <w:sz w:val="20"/>
                <w:lang w:val="en-US"/>
              </w:rPr>
              <w:t xml:space="preserve">Other studies used in </w:t>
            </w:r>
            <w:r w:rsidR="0046504D">
              <w:rPr>
                <w:rFonts w:ascii="Arial Narrow" w:hAnsi="Arial Narrow" w:cs="Times New Roman"/>
                <w:b/>
                <w:snapToGrid/>
                <w:sz w:val="20"/>
                <w:lang w:val="en-US"/>
              </w:rPr>
              <w:t xml:space="preserve">the </w:t>
            </w:r>
            <w:r w:rsidRPr="0022277A">
              <w:rPr>
                <w:rFonts w:ascii="Arial Narrow" w:hAnsi="Arial Narrow" w:cs="Times New Roman"/>
                <w:b/>
                <w:snapToGrid/>
                <w:sz w:val="20"/>
                <w:lang w:val="en-US"/>
              </w:rPr>
              <w:t>economic model</w:t>
            </w:r>
          </w:p>
        </w:tc>
      </w:tr>
      <w:tr w:rsidR="00897A52" w:rsidRPr="0022277A" w:rsidTr="00897A52">
        <w:tc>
          <w:tcPr>
            <w:tcW w:w="0" w:type="auto"/>
            <w:shd w:val="clear" w:color="auto" w:fill="auto"/>
            <w:vAlign w:val="center"/>
          </w:tcPr>
          <w:p w:rsidR="00476E3D" w:rsidRPr="0022277A" w:rsidRDefault="00FC0850" w:rsidP="00AB03F9">
            <w:pPr>
              <w:widowControl/>
              <w:jc w:val="left"/>
              <w:rPr>
                <w:rFonts w:ascii="Arial Narrow" w:hAnsi="Arial Narrow" w:cs="Times New Roman"/>
                <w:snapToGrid/>
                <w:sz w:val="20"/>
                <w:lang w:val="en-US"/>
              </w:rPr>
            </w:pPr>
            <w:r w:rsidRPr="0022277A">
              <w:rPr>
                <w:rFonts w:ascii="Arial Narrow" w:hAnsi="Arial Narrow" w:cs="Times New Roman"/>
                <w:snapToGrid/>
                <w:sz w:val="20"/>
                <w:lang w:val="en-US"/>
              </w:rPr>
              <w:t>Bruce et al. 2015</w:t>
            </w:r>
          </w:p>
        </w:tc>
        <w:tc>
          <w:tcPr>
            <w:tcW w:w="0" w:type="auto"/>
            <w:shd w:val="clear" w:color="auto" w:fill="auto"/>
            <w:vAlign w:val="center"/>
          </w:tcPr>
          <w:p w:rsidR="00476E3D" w:rsidRPr="0022277A" w:rsidRDefault="00FC0850"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1</w:t>
            </w:r>
            <w:r w:rsidR="00B350A4" w:rsidRPr="0022277A">
              <w:rPr>
                <w:rFonts w:ascii="Arial Narrow" w:hAnsi="Arial Narrow" w:cs="Times New Roman"/>
                <w:snapToGrid/>
                <w:sz w:val="20"/>
                <w:lang w:val="en-US"/>
              </w:rPr>
              <w:t>,</w:t>
            </w:r>
            <w:r w:rsidRPr="0022277A">
              <w:rPr>
                <w:rFonts w:ascii="Arial Narrow" w:hAnsi="Arial Narrow" w:cs="Times New Roman"/>
                <w:snapToGrid/>
                <w:sz w:val="20"/>
                <w:lang w:val="en-US"/>
              </w:rPr>
              <w:t>722</w:t>
            </w:r>
          </w:p>
        </w:tc>
        <w:tc>
          <w:tcPr>
            <w:tcW w:w="0" w:type="auto"/>
            <w:shd w:val="clear" w:color="auto" w:fill="auto"/>
            <w:vAlign w:val="center"/>
          </w:tcPr>
          <w:p w:rsidR="00476E3D" w:rsidRPr="0022277A" w:rsidRDefault="00EF5CE0" w:rsidP="00AB03F9">
            <w:pPr>
              <w:widowControl/>
              <w:jc w:val="center"/>
              <w:rPr>
                <w:rFonts w:ascii="Arial Narrow" w:hAnsi="Arial Narrow" w:cs="Times New Roman"/>
                <w:snapToGrid/>
                <w:sz w:val="20"/>
              </w:rPr>
            </w:pPr>
            <w:r w:rsidRPr="0022277A">
              <w:rPr>
                <w:rFonts w:ascii="Arial Narrow" w:hAnsi="Arial Narrow" w:cs="Times New Roman"/>
                <w:snapToGrid/>
                <w:sz w:val="20"/>
              </w:rPr>
              <w:t>Cohort</w:t>
            </w:r>
            <w:r w:rsidRPr="0022277A">
              <w:rPr>
                <w:rFonts w:ascii="Arial Narrow" w:hAnsi="Arial Narrow" w:cs="Times New Roman"/>
                <w:snapToGrid/>
                <w:sz w:val="20"/>
                <w:vertAlign w:val="superscript"/>
              </w:rPr>
              <w:t>a</w:t>
            </w:r>
          </w:p>
        </w:tc>
        <w:tc>
          <w:tcPr>
            <w:tcW w:w="0" w:type="auto"/>
            <w:shd w:val="clear" w:color="auto" w:fill="auto"/>
            <w:vAlign w:val="center"/>
          </w:tcPr>
          <w:p w:rsidR="00476E3D" w:rsidRPr="0022277A" w:rsidRDefault="00EF5CE0"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NA</w:t>
            </w:r>
          </w:p>
        </w:tc>
        <w:tc>
          <w:tcPr>
            <w:tcW w:w="2390" w:type="dxa"/>
            <w:shd w:val="clear" w:color="auto" w:fill="auto"/>
            <w:vAlign w:val="center"/>
          </w:tcPr>
          <w:p w:rsidR="00476E3D" w:rsidRPr="0022277A" w:rsidRDefault="00692E28" w:rsidP="00AB03F9">
            <w:pPr>
              <w:widowControl/>
              <w:jc w:val="center"/>
              <w:rPr>
                <w:rFonts w:ascii="Arial Narrow" w:hAnsi="Arial Narrow" w:cs="Times New Roman"/>
                <w:snapToGrid/>
                <w:sz w:val="20"/>
                <w:szCs w:val="20"/>
              </w:rPr>
            </w:pPr>
            <w:r w:rsidRPr="0022277A">
              <w:rPr>
                <w:rFonts w:ascii="Arial Narrow" w:hAnsi="Arial Narrow" w:cs="Times New Roman"/>
                <w:snapToGrid/>
                <w:sz w:val="20"/>
                <w:szCs w:val="20"/>
              </w:rPr>
              <w:t>Patients w</w:t>
            </w:r>
            <w:r w:rsidR="00406B5D" w:rsidRPr="0022277A">
              <w:rPr>
                <w:rFonts w:ascii="Arial Narrow" w:hAnsi="Arial Narrow" w:cs="Times New Roman"/>
                <w:snapToGrid/>
                <w:sz w:val="20"/>
                <w:szCs w:val="20"/>
              </w:rPr>
              <w:t xml:space="preserve">ithin 15 months of recognition of </w:t>
            </w:r>
            <w:r w:rsidR="002072FE" w:rsidRPr="0022277A">
              <w:rPr>
                <w:rFonts w:ascii="Arial Narrow" w:hAnsi="Arial Narrow" w:cs="Times New Roman"/>
                <w:snapToGrid/>
                <w:sz w:val="20"/>
                <w:szCs w:val="20"/>
              </w:rPr>
              <w:t xml:space="preserve"> ≥4</w:t>
            </w:r>
            <w:r w:rsidR="00406B5D" w:rsidRPr="0022277A">
              <w:rPr>
                <w:rFonts w:ascii="Arial Narrow" w:hAnsi="Arial Narrow" w:cs="Times New Roman"/>
                <w:snapToGrid/>
                <w:sz w:val="20"/>
                <w:szCs w:val="20"/>
              </w:rPr>
              <w:t xml:space="preserve"> </w:t>
            </w:r>
            <w:r w:rsidRPr="0022277A">
              <w:rPr>
                <w:rFonts w:ascii="Arial Narrow" w:hAnsi="Arial Narrow" w:cs="Times New Roman"/>
                <w:snapToGrid/>
                <w:sz w:val="20"/>
                <w:szCs w:val="20"/>
              </w:rPr>
              <w:t xml:space="preserve">criteria for the </w:t>
            </w:r>
            <w:r w:rsidR="00406B5D" w:rsidRPr="0022277A">
              <w:rPr>
                <w:rFonts w:ascii="Arial Narrow" w:hAnsi="Arial Narrow" w:cs="Times New Roman"/>
                <w:snapToGrid/>
                <w:sz w:val="20"/>
                <w:szCs w:val="20"/>
              </w:rPr>
              <w:t>1997 ACR classiﬁcation for SLE</w:t>
            </w:r>
          </w:p>
        </w:tc>
        <w:tc>
          <w:tcPr>
            <w:tcW w:w="1834" w:type="dxa"/>
            <w:shd w:val="clear" w:color="auto" w:fill="auto"/>
            <w:vAlign w:val="center"/>
          </w:tcPr>
          <w:p w:rsidR="00476E3D" w:rsidRPr="0022277A" w:rsidRDefault="00EF5CE0"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Time to first increase in SDI score; mortality</w:t>
            </w:r>
          </w:p>
        </w:tc>
        <w:tc>
          <w:tcPr>
            <w:tcW w:w="1934" w:type="dxa"/>
            <w:vAlign w:val="center"/>
          </w:tcPr>
          <w:p w:rsidR="00476E3D" w:rsidRPr="0022277A" w:rsidRDefault="00897A52"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 xml:space="preserve">SDI </w:t>
            </w:r>
            <w:r w:rsidR="00E32EFD" w:rsidRPr="0022277A">
              <w:rPr>
                <w:rFonts w:ascii="Arial Narrow" w:hAnsi="Arial Narrow" w:cs="Times New Roman"/>
                <w:snapToGrid/>
                <w:sz w:val="20"/>
                <w:lang w:val="en-US"/>
              </w:rPr>
              <w:t>progression transition probabilities for SOC; SLE-related deaths by SDI health state irrespective of treatment</w:t>
            </w:r>
          </w:p>
        </w:tc>
      </w:tr>
      <w:tr w:rsidR="00E971FE" w:rsidRPr="0022277A" w:rsidTr="00897A52">
        <w:tc>
          <w:tcPr>
            <w:tcW w:w="0" w:type="auto"/>
            <w:shd w:val="clear" w:color="auto" w:fill="auto"/>
            <w:vAlign w:val="center"/>
          </w:tcPr>
          <w:p w:rsidR="00476E3D" w:rsidRPr="0022277A" w:rsidRDefault="00FC0850" w:rsidP="00AB03F9">
            <w:pPr>
              <w:widowControl/>
              <w:jc w:val="left"/>
              <w:rPr>
                <w:rFonts w:ascii="Arial Narrow" w:hAnsi="Arial Narrow" w:cs="Times New Roman"/>
                <w:snapToGrid/>
                <w:sz w:val="20"/>
                <w:lang w:val="en-US"/>
              </w:rPr>
            </w:pPr>
            <w:r w:rsidRPr="0022277A">
              <w:rPr>
                <w:rFonts w:ascii="Arial Narrow" w:hAnsi="Arial Narrow" w:cs="Times New Roman"/>
                <w:snapToGrid/>
                <w:sz w:val="20"/>
                <w:lang w:val="en-US"/>
              </w:rPr>
              <w:t>Urowitz et al. 2018</w:t>
            </w:r>
          </w:p>
        </w:tc>
        <w:tc>
          <w:tcPr>
            <w:tcW w:w="0" w:type="auto"/>
            <w:shd w:val="clear" w:color="auto" w:fill="auto"/>
            <w:vAlign w:val="center"/>
          </w:tcPr>
          <w:p w:rsidR="00476E3D" w:rsidRPr="0022277A" w:rsidRDefault="006D2603"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179</w:t>
            </w:r>
            <w:r w:rsidR="00F14BB6" w:rsidRPr="0022277A">
              <w:rPr>
                <w:rFonts w:ascii="Arial Narrow" w:hAnsi="Arial Narrow" w:cs="Times New Roman"/>
                <w:snapToGrid/>
                <w:sz w:val="20"/>
                <w:lang w:val="en-US"/>
              </w:rPr>
              <w:t xml:space="preserve"> </w:t>
            </w:r>
            <w:r w:rsidR="00F14BB6" w:rsidRPr="0022277A">
              <w:rPr>
                <w:rFonts w:ascii="Arial Narrow" w:hAnsi="Arial Narrow" w:cs="Times New Roman"/>
                <w:snapToGrid/>
                <w:sz w:val="20"/>
                <w:vertAlign w:val="superscript"/>
                <w:lang w:val="en-US"/>
              </w:rPr>
              <w:t>b</w:t>
            </w:r>
            <w:r w:rsidRPr="0022277A">
              <w:rPr>
                <w:rFonts w:ascii="Arial Narrow" w:hAnsi="Arial Narrow" w:cs="Times New Roman"/>
                <w:snapToGrid/>
                <w:sz w:val="20"/>
                <w:lang w:val="en-US"/>
              </w:rPr>
              <w:t xml:space="preserve"> </w:t>
            </w:r>
          </w:p>
        </w:tc>
        <w:tc>
          <w:tcPr>
            <w:tcW w:w="0" w:type="auto"/>
            <w:shd w:val="clear" w:color="auto" w:fill="auto"/>
            <w:vAlign w:val="center"/>
          </w:tcPr>
          <w:p w:rsidR="00476E3D" w:rsidRPr="0022277A" w:rsidRDefault="003E73E3" w:rsidP="00AB03F9">
            <w:pPr>
              <w:widowControl/>
              <w:jc w:val="center"/>
              <w:rPr>
                <w:rFonts w:ascii="Arial Narrow" w:hAnsi="Arial Narrow" w:cs="Times New Roman"/>
                <w:snapToGrid/>
                <w:sz w:val="20"/>
              </w:rPr>
            </w:pPr>
            <w:r w:rsidRPr="0022277A">
              <w:rPr>
                <w:rFonts w:ascii="Arial Narrow" w:hAnsi="Arial Narrow" w:cs="Times New Roman"/>
                <w:snapToGrid/>
                <w:sz w:val="20"/>
              </w:rPr>
              <w:t>Post hoc</w:t>
            </w:r>
            <w:r w:rsidR="00A959A8" w:rsidRPr="0022277A">
              <w:rPr>
                <w:rFonts w:ascii="Arial Narrow" w:hAnsi="Arial Narrow" w:cs="Times New Roman"/>
                <w:snapToGrid/>
                <w:sz w:val="20"/>
              </w:rPr>
              <w:t xml:space="preserve"> PSM</w:t>
            </w:r>
          </w:p>
        </w:tc>
        <w:tc>
          <w:tcPr>
            <w:tcW w:w="0" w:type="auto"/>
            <w:shd w:val="clear" w:color="auto" w:fill="auto"/>
            <w:vAlign w:val="center"/>
          </w:tcPr>
          <w:p w:rsidR="00476E3D" w:rsidRPr="0022277A" w:rsidRDefault="002C6ABA"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High</w:t>
            </w:r>
          </w:p>
        </w:tc>
        <w:tc>
          <w:tcPr>
            <w:tcW w:w="2390" w:type="dxa"/>
            <w:shd w:val="clear" w:color="auto" w:fill="auto"/>
            <w:vAlign w:val="center"/>
          </w:tcPr>
          <w:p w:rsidR="00476E3D" w:rsidRPr="0022277A" w:rsidRDefault="003E73E3" w:rsidP="00AB03F9">
            <w:pPr>
              <w:widowControl/>
              <w:jc w:val="center"/>
              <w:rPr>
                <w:rFonts w:ascii="Arial Narrow" w:hAnsi="Arial Narrow" w:cs="Times New Roman"/>
                <w:snapToGrid/>
                <w:sz w:val="20"/>
                <w:szCs w:val="20"/>
              </w:rPr>
            </w:pPr>
            <w:r w:rsidRPr="0022277A">
              <w:rPr>
                <w:rFonts w:ascii="Arial Narrow" w:hAnsi="Arial Narrow" w:cs="Times New Roman"/>
                <w:snapToGrid/>
                <w:sz w:val="20"/>
                <w:szCs w:val="20"/>
              </w:rPr>
              <w:t xml:space="preserve">Autoantibody positive; SELENA-SLEDAI / SLEDAI-2K score ≥6 at baseline </w:t>
            </w:r>
          </w:p>
        </w:tc>
        <w:tc>
          <w:tcPr>
            <w:tcW w:w="1834" w:type="dxa"/>
            <w:shd w:val="clear" w:color="auto" w:fill="auto"/>
            <w:vAlign w:val="center"/>
          </w:tcPr>
          <w:p w:rsidR="00476E3D" w:rsidRPr="0022277A" w:rsidRDefault="00F22E85" w:rsidP="00AB03F9">
            <w:pPr>
              <w:widowControl/>
              <w:jc w:val="center"/>
              <w:rPr>
                <w:rFonts w:ascii="Arial Narrow" w:hAnsi="Arial Narrow" w:cs="Times New Roman"/>
                <w:snapToGrid/>
                <w:sz w:val="20"/>
                <w:lang w:val="en-US"/>
              </w:rPr>
            </w:pPr>
            <w:r w:rsidRPr="0022277A">
              <w:rPr>
                <w:rFonts w:ascii="Arial Narrow" w:hAnsi="Arial Narrow" w:cs="Times New Roman"/>
                <w:snapToGrid/>
                <w:sz w:val="20"/>
                <w:lang w:val="en-US"/>
              </w:rPr>
              <w:t>Change in SDI score at Yr 5</w:t>
            </w:r>
            <w:r w:rsidR="00F52071" w:rsidRPr="0022277A">
              <w:rPr>
                <w:rFonts w:ascii="Arial Narrow" w:hAnsi="Arial Narrow" w:cs="Times New Roman"/>
                <w:snapToGrid/>
                <w:sz w:val="20"/>
                <w:lang w:val="en-US"/>
              </w:rPr>
              <w:t>; time to organ damage progression</w:t>
            </w:r>
          </w:p>
        </w:tc>
        <w:tc>
          <w:tcPr>
            <w:tcW w:w="1934" w:type="dxa"/>
            <w:vAlign w:val="center"/>
          </w:tcPr>
          <w:p w:rsidR="00476E3D" w:rsidRPr="0022277A" w:rsidRDefault="0072350D" w:rsidP="00AB03F9">
            <w:pPr>
              <w:widowControl/>
              <w:jc w:val="center"/>
              <w:rPr>
                <w:rFonts w:ascii="Arial Narrow" w:hAnsi="Arial Narrow" w:cs="Times New Roman"/>
                <w:snapToGrid/>
                <w:sz w:val="20"/>
                <w:lang w:val="en-US"/>
              </w:rPr>
            </w:pPr>
            <w:r w:rsidRPr="0022277A">
              <w:rPr>
                <w:rFonts w:ascii="Arial Narrow" w:hAnsi="Arial Narrow" w:cs="Times New Roman"/>
                <w:sz w:val="20"/>
              </w:rPr>
              <w:t>SDI status at baseline</w:t>
            </w:r>
            <w:r w:rsidR="00E32EFD" w:rsidRPr="0022277A">
              <w:rPr>
                <w:rFonts w:ascii="Arial Narrow" w:hAnsi="Arial Narrow" w:cs="Times New Roman"/>
                <w:sz w:val="20"/>
              </w:rPr>
              <w:t xml:space="preserve"> (HR for SDI progression)</w:t>
            </w:r>
          </w:p>
        </w:tc>
      </w:tr>
    </w:tbl>
    <w:p w:rsidR="00172AD3" w:rsidRPr="0022277A" w:rsidRDefault="00172AD3" w:rsidP="00AB03F9">
      <w:pPr>
        <w:rPr>
          <w:rFonts w:ascii="Arial Narrow" w:hAnsi="Arial Narrow"/>
          <w:sz w:val="18"/>
          <w:szCs w:val="18"/>
        </w:rPr>
      </w:pPr>
      <w:r w:rsidRPr="0022277A">
        <w:rPr>
          <w:rFonts w:ascii="Arial Narrow" w:hAnsi="Arial Narrow"/>
          <w:sz w:val="18"/>
        </w:rPr>
        <w:t xml:space="preserve">Abbreviations: </w:t>
      </w:r>
      <w:r w:rsidR="00406B5D" w:rsidRPr="0022277A">
        <w:rPr>
          <w:rFonts w:ascii="Arial Narrow" w:hAnsi="Arial Narrow"/>
          <w:sz w:val="18"/>
        </w:rPr>
        <w:t xml:space="preserve">ACR=American College of Rheumatology; </w:t>
      </w:r>
      <w:r w:rsidRPr="0022277A">
        <w:rPr>
          <w:rFonts w:ascii="Arial Narrow" w:hAnsi="Arial Narrow"/>
          <w:sz w:val="18"/>
        </w:rPr>
        <w:t xml:space="preserve">DB=double blind; </w:t>
      </w:r>
      <w:r w:rsidR="00E32EFD" w:rsidRPr="0022277A">
        <w:rPr>
          <w:rFonts w:ascii="Arial Narrow" w:hAnsi="Arial Narrow"/>
          <w:sz w:val="18"/>
        </w:rPr>
        <w:t xml:space="preserve">HR=hazard ratio; </w:t>
      </w:r>
      <w:r w:rsidRPr="0022277A">
        <w:rPr>
          <w:rFonts w:ascii="Arial Narrow" w:hAnsi="Arial Narrow"/>
          <w:sz w:val="18"/>
        </w:rPr>
        <w:t xml:space="preserve">MC=multicentre; </w:t>
      </w:r>
      <w:r w:rsidR="003E73E3" w:rsidRPr="0022277A">
        <w:rPr>
          <w:rFonts w:ascii="Arial Narrow" w:hAnsi="Arial Narrow"/>
          <w:sz w:val="18"/>
        </w:rPr>
        <w:t xml:space="preserve">NA=not applicable; </w:t>
      </w:r>
      <w:r w:rsidRPr="0022277A">
        <w:rPr>
          <w:rFonts w:ascii="Arial Narrow" w:hAnsi="Arial Narrow"/>
          <w:sz w:val="18"/>
        </w:rPr>
        <w:t xml:space="preserve">PC=placebo controlled; R=randomised; PCS=physical component </w:t>
      </w:r>
      <w:r w:rsidRPr="0022277A">
        <w:rPr>
          <w:rFonts w:ascii="Arial Narrow" w:hAnsi="Arial Narrow"/>
          <w:sz w:val="18"/>
          <w:szCs w:val="18"/>
        </w:rPr>
        <w:t>summary;</w:t>
      </w:r>
      <w:r w:rsidR="00A959A8" w:rsidRPr="0022277A">
        <w:rPr>
          <w:rFonts w:ascii="Arial Narrow" w:hAnsi="Arial Narrow"/>
          <w:sz w:val="18"/>
          <w:szCs w:val="18"/>
        </w:rPr>
        <w:t xml:space="preserve"> PSM=</w:t>
      </w:r>
      <w:r w:rsidR="00A959A8" w:rsidRPr="0022277A">
        <w:rPr>
          <w:rFonts w:ascii="Arial Narrow" w:hAnsi="Arial Narrow" w:cs="Times New Roman"/>
          <w:snapToGrid/>
          <w:sz w:val="18"/>
          <w:szCs w:val="18"/>
          <w:lang w:val="en-US"/>
        </w:rPr>
        <w:t>propensity score matched</w:t>
      </w:r>
      <w:r w:rsidR="00A959A8" w:rsidRPr="0022277A">
        <w:rPr>
          <w:rFonts w:ascii="Arial Narrow" w:hAnsi="Arial Narrow"/>
          <w:sz w:val="18"/>
          <w:szCs w:val="18"/>
        </w:rPr>
        <w:t xml:space="preserve">; </w:t>
      </w:r>
      <w:r w:rsidR="00F22E85" w:rsidRPr="0022277A">
        <w:rPr>
          <w:rFonts w:ascii="Arial Narrow" w:hAnsi="Arial Narrow"/>
          <w:sz w:val="18"/>
          <w:szCs w:val="18"/>
        </w:rPr>
        <w:t xml:space="preserve">SDI=Systemic Lupus International Collaborating Clinics/American College of rheumatology damage Index; </w:t>
      </w:r>
      <w:r w:rsidR="00F52071" w:rsidRPr="0022277A">
        <w:rPr>
          <w:rFonts w:ascii="Arial Narrow" w:hAnsi="Arial Narrow"/>
          <w:sz w:val="18"/>
          <w:szCs w:val="18"/>
        </w:rPr>
        <w:t xml:space="preserve">SELENA= Safety of Estrogens in Lupus Erythematosus National Assessment; </w:t>
      </w:r>
      <w:r w:rsidRPr="0022277A">
        <w:rPr>
          <w:rFonts w:ascii="Arial Narrow" w:hAnsi="Arial Narrow"/>
          <w:sz w:val="18"/>
          <w:szCs w:val="18"/>
        </w:rPr>
        <w:t xml:space="preserve">SLE=Systemic lupus erythematosus; SLEDAI=SLE Disease Activity Index; </w:t>
      </w:r>
      <w:r w:rsidR="00FC0850" w:rsidRPr="0022277A">
        <w:rPr>
          <w:rFonts w:ascii="Arial Narrow" w:hAnsi="Arial Narrow"/>
          <w:sz w:val="18"/>
          <w:szCs w:val="18"/>
        </w:rPr>
        <w:t xml:space="preserve">SOC=standard of care; </w:t>
      </w:r>
      <w:r w:rsidRPr="0022277A">
        <w:rPr>
          <w:rFonts w:ascii="Arial Narrow" w:hAnsi="Arial Narrow"/>
          <w:sz w:val="18"/>
          <w:szCs w:val="18"/>
        </w:rPr>
        <w:t>SRI=SLE Response Index; wk=week</w:t>
      </w:r>
      <w:r w:rsidR="00F22E85" w:rsidRPr="0022277A">
        <w:rPr>
          <w:rFonts w:ascii="Arial Narrow" w:hAnsi="Arial Narrow"/>
          <w:sz w:val="18"/>
          <w:szCs w:val="18"/>
        </w:rPr>
        <w:t>; yr=year</w:t>
      </w:r>
      <w:r w:rsidRPr="0022277A">
        <w:rPr>
          <w:rFonts w:ascii="Arial Narrow" w:hAnsi="Arial Narrow"/>
          <w:sz w:val="18"/>
          <w:szCs w:val="18"/>
        </w:rPr>
        <w:t>.</w:t>
      </w:r>
    </w:p>
    <w:p w:rsidR="00172AD3" w:rsidRPr="0022277A" w:rsidRDefault="00172AD3" w:rsidP="00AB03F9">
      <w:pPr>
        <w:widowControl/>
        <w:rPr>
          <w:rFonts w:ascii="Arial Narrow" w:hAnsi="Arial Narrow"/>
          <w:iCs/>
          <w:sz w:val="18"/>
          <w:szCs w:val="18"/>
        </w:rPr>
      </w:pPr>
      <w:r w:rsidRPr="0022277A">
        <w:rPr>
          <w:rFonts w:ascii="Arial Narrow" w:hAnsi="Arial Narrow"/>
          <w:iCs/>
          <w:sz w:val="18"/>
          <w:szCs w:val="18"/>
        </w:rPr>
        <w:t>Source: compiled during the evaluation from submitted trial and published reports.</w:t>
      </w:r>
    </w:p>
    <w:p w:rsidR="00EF5CE0" w:rsidRPr="0022277A" w:rsidRDefault="00EF5CE0" w:rsidP="00AB03F9">
      <w:pPr>
        <w:widowControl/>
        <w:rPr>
          <w:rFonts w:ascii="Arial Narrow" w:hAnsi="Arial Narrow" w:cs="Times New Roman"/>
          <w:snapToGrid/>
          <w:sz w:val="18"/>
          <w:szCs w:val="18"/>
          <w:lang w:val="en-US"/>
        </w:rPr>
      </w:pPr>
      <w:r w:rsidRPr="0022277A">
        <w:rPr>
          <w:rFonts w:ascii="Arial Narrow" w:hAnsi="Arial Narrow"/>
          <w:iCs/>
          <w:sz w:val="18"/>
          <w:szCs w:val="18"/>
          <w:vertAlign w:val="superscript"/>
        </w:rPr>
        <w:t>a</w:t>
      </w:r>
      <w:r w:rsidRPr="0022277A">
        <w:rPr>
          <w:rFonts w:ascii="Arial Narrow" w:hAnsi="Arial Narrow"/>
          <w:iCs/>
          <w:sz w:val="18"/>
          <w:szCs w:val="18"/>
        </w:rPr>
        <w:t xml:space="preserve"> </w:t>
      </w:r>
      <w:r w:rsidRPr="0022277A">
        <w:rPr>
          <w:rFonts w:ascii="Arial Narrow" w:hAnsi="Arial Narrow" w:cs="Times New Roman"/>
          <w:snapToGrid/>
          <w:sz w:val="18"/>
          <w:szCs w:val="18"/>
          <w:lang w:val="en-US"/>
        </w:rPr>
        <w:t>Natural history of SLE in terms of organ damage in SOC group</w:t>
      </w:r>
      <w:r w:rsidR="00406B5D" w:rsidRPr="0022277A">
        <w:rPr>
          <w:rFonts w:ascii="Arial Narrow" w:hAnsi="Arial Narrow" w:cs="Times New Roman"/>
          <w:snapToGrid/>
          <w:sz w:val="18"/>
          <w:szCs w:val="18"/>
          <w:lang w:val="en-US"/>
        </w:rPr>
        <w:t>.</w:t>
      </w:r>
    </w:p>
    <w:p w:rsidR="00F14BB6" w:rsidRPr="0022277A" w:rsidRDefault="00F14BB6" w:rsidP="00AB03F9">
      <w:pPr>
        <w:widowControl/>
        <w:rPr>
          <w:rFonts w:ascii="Arial Narrow" w:hAnsi="Arial Narrow"/>
          <w:iCs/>
          <w:sz w:val="18"/>
          <w:szCs w:val="18"/>
        </w:rPr>
      </w:pPr>
      <w:r w:rsidRPr="0022277A">
        <w:rPr>
          <w:rFonts w:ascii="Arial Narrow" w:hAnsi="Arial Narrow" w:cs="Times New Roman"/>
          <w:snapToGrid/>
          <w:sz w:val="18"/>
          <w:szCs w:val="18"/>
          <w:vertAlign w:val="superscript"/>
          <w:lang w:val="en-US"/>
        </w:rPr>
        <w:t xml:space="preserve">b </w:t>
      </w:r>
      <w:r w:rsidRPr="0022277A">
        <w:rPr>
          <w:rFonts w:ascii="Arial Narrow" w:hAnsi="Arial Narrow" w:cs="Times New Roman"/>
          <w:snapToGrid/>
          <w:sz w:val="18"/>
          <w:szCs w:val="18"/>
          <w:lang w:val="en-US"/>
        </w:rPr>
        <w:t>179 patients</w:t>
      </w:r>
      <w:r w:rsidR="00D72378" w:rsidRPr="0022277A">
        <w:rPr>
          <w:rFonts w:ascii="Arial Narrow" w:hAnsi="Arial Narrow" w:cs="Times New Roman"/>
          <w:snapToGrid/>
          <w:sz w:val="18"/>
          <w:szCs w:val="18"/>
          <w:lang w:val="en-US"/>
        </w:rPr>
        <w:t xml:space="preserve"> from each cohort</w:t>
      </w:r>
      <w:r w:rsidRPr="0022277A">
        <w:rPr>
          <w:rFonts w:ascii="Arial Narrow" w:hAnsi="Arial Narrow" w:cs="Times New Roman"/>
          <w:snapToGrid/>
          <w:sz w:val="18"/>
          <w:szCs w:val="18"/>
          <w:lang w:val="en-US"/>
        </w:rPr>
        <w:t xml:space="preserve"> were matched, of 259 patients in the belimumab arm and 706 in the comparator arm.</w:t>
      </w:r>
    </w:p>
    <w:p w:rsidR="00F52D05" w:rsidRDefault="00F52D05" w:rsidP="00172AD3"/>
    <w:p w:rsidR="00172AD3" w:rsidRDefault="00172AD3" w:rsidP="00FF5FCE">
      <w:pPr>
        <w:pStyle w:val="ListParagraph"/>
        <w:widowControl/>
        <w:numPr>
          <w:ilvl w:val="1"/>
          <w:numId w:val="1"/>
        </w:numPr>
        <w:spacing w:after="120"/>
      </w:pPr>
      <w:r>
        <w:t xml:space="preserve">BLISS-SC was the pivotal RCT that supported the use of </w:t>
      </w:r>
      <w:r w:rsidR="00D93E49">
        <w:t xml:space="preserve">the </w:t>
      </w:r>
      <w:r>
        <w:t>belimumab SC formulation, at a dose consistent with the draft TGA PI, of 200 mg injected once a week. In the supportive trials, patients were randomised to rec</w:t>
      </w:r>
      <w:r w:rsidR="004E3B8B">
        <w:t>eive belimumab IV 10 mg/kg or 1 </w:t>
      </w:r>
      <w:r>
        <w:t>mg/kg or placebo (in BLISS-52 and BLISS-76), and belimumab IV 10 mg/kg or placebo in NE-Asia and EMBRACE. Belimumab 10 mg/kg is the registered dose for the IV formulation.</w:t>
      </w:r>
    </w:p>
    <w:p w:rsidR="00172AD3" w:rsidRPr="00F20ADC" w:rsidRDefault="00172AD3" w:rsidP="00FF5FCE">
      <w:pPr>
        <w:pStyle w:val="ListParagraph"/>
        <w:widowControl/>
        <w:numPr>
          <w:ilvl w:val="1"/>
          <w:numId w:val="1"/>
        </w:numPr>
        <w:spacing w:after="120"/>
      </w:pPr>
      <w:r w:rsidRPr="008E7792">
        <w:t>All</w:t>
      </w:r>
      <w:r>
        <w:t xml:space="preserve"> trials enrolled adults with a diagnosis of SLE according to ACR criteria, with u</w:t>
      </w:r>
      <w:r w:rsidRPr="008E7792">
        <w:t>nequivocally positive autoantibody test results defined as an ANA titer</w:t>
      </w:r>
      <w:r>
        <w:t xml:space="preserve"> </w:t>
      </w:r>
      <w:r w:rsidRPr="008E7792">
        <w:t>≥1: 80 and/or a positive anti-dsDNA (≥30 IU/mL) serum antibody test f</w:t>
      </w:r>
      <w:r>
        <w:t xml:space="preserve">rom two independent time </w:t>
      </w:r>
      <w:r>
        <w:lastRenderedPageBreak/>
        <w:t xml:space="preserve">points. BLISS-SC, NE-Asia and EMBRACE required patients to have a SELENA-SLEDAI score </w:t>
      </w:r>
      <w:r>
        <w:rPr>
          <w:rFonts w:cs="Calibri"/>
        </w:rPr>
        <w:t>≥</w:t>
      </w:r>
      <w:r>
        <w:t xml:space="preserve"> 8 at screening, compared to </w:t>
      </w:r>
      <w:r>
        <w:rPr>
          <w:rFonts w:cs="Calibri"/>
        </w:rPr>
        <w:t xml:space="preserve">≥ 6 in BLISS-52 and BLISS-76. </w:t>
      </w:r>
    </w:p>
    <w:p w:rsidR="00AF246F" w:rsidRPr="0022277A" w:rsidRDefault="00F20ADC" w:rsidP="00FF5FCE">
      <w:pPr>
        <w:pStyle w:val="ListParagraph"/>
        <w:widowControl/>
        <w:numPr>
          <w:ilvl w:val="1"/>
          <w:numId w:val="1"/>
        </w:numPr>
        <w:spacing w:after="120"/>
      </w:pPr>
      <w:r w:rsidRPr="0022277A">
        <w:t xml:space="preserve">As noted in ‘Requested listing’, only 24% of patients in BLISS-SC trial were taking triple therapy at baseline. </w:t>
      </w:r>
      <w:r w:rsidR="00577C66" w:rsidRPr="0022277A">
        <w:t xml:space="preserve">In BLISS-SC, at baseline, 59% of patients were taking </w:t>
      </w:r>
      <w:r w:rsidRPr="0022277A">
        <w:t xml:space="preserve">steroids and antimalarials </w:t>
      </w:r>
      <w:r w:rsidR="00577C66" w:rsidRPr="0022277A">
        <w:t>(with or without immunosuppressants), and only 46% of</w:t>
      </w:r>
      <w:r w:rsidR="00642FBD" w:rsidRPr="0022277A">
        <w:t xml:space="preserve"> patients</w:t>
      </w:r>
      <w:r w:rsidR="00577C66" w:rsidRPr="0022277A">
        <w:t xml:space="preserve"> were on immunosuppressants. Across all trials, approximately half of all patients were taking immunosuppressants at baseline, except in NE-Asia (65% of patients on immunosuppressants)</w:t>
      </w:r>
      <w:r w:rsidR="004839EF" w:rsidRPr="0022277A">
        <w:t>.</w:t>
      </w:r>
      <w:r w:rsidR="00AF246F" w:rsidRPr="0022277A">
        <w:rPr>
          <w:rFonts w:cs="Calibri"/>
        </w:rPr>
        <w:t xml:space="preserve"> </w:t>
      </w:r>
    </w:p>
    <w:p w:rsidR="00172AD3" w:rsidRDefault="00172AD3" w:rsidP="00C463DB">
      <w:pPr>
        <w:pStyle w:val="Heading2"/>
        <w:spacing w:after="120"/>
      </w:pPr>
      <w:bookmarkStart w:id="8" w:name="_Toc19712622"/>
      <w:r w:rsidRPr="00ED7E3E">
        <w:t>Comparative effectiveness</w:t>
      </w:r>
      <w:bookmarkEnd w:id="8"/>
    </w:p>
    <w:p w:rsidR="00172AD3" w:rsidRPr="003B5844" w:rsidRDefault="00EB5764" w:rsidP="003B5844">
      <w:pPr>
        <w:spacing w:after="120"/>
        <w:rPr>
          <w:i/>
          <w:u w:val="single"/>
        </w:rPr>
      </w:pPr>
      <w:r w:rsidRPr="003B5844">
        <w:rPr>
          <w:i/>
          <w:u w:val="single"/>
        </w:rPr>
        <w:t>SRI response</w:t>
      </w:r>
    </w:p>
    <w:p w:rsidR="00172AD3" w:rsidRDefault="00172AD3" w:rsidP="00FF5FCE">
      <w:pPr>
        <w:pStyle w:val="ListParagraph"/>
        <w:widowControl/>
        <w:numPr>
          <w:ilvl w:val="1"/>
          <w:numId w:val="1"/>
        </w:numPr>
        <w:spacing w:after="120"/>
      </w:pPr>
      <w:r w:rsidRPr="00ED7E3E">
        <w:t>The primary efficacy outcome in the belimumab trials was the</w:t>
      </w:r>
      <w:r>
        <w:t xml:space="preserve"> proportion of patients classified as responders, based on the</w:t>
      </w:r>
      <w:r w:rsidRPr="00ED7E3E">
        <w:t xml:space="preserve"> SRI</w:t>
      </w:r>
      <w:r>
        <w:t xml:space="preserve"> at Week 52</w:t>
      </w:r>
      <w:r w:rsidRPr="00ED7E3E">
        <w:t xml:space="preserve">. </w:t>
      </w:r>
      <w:r w:rsidRPr="00902E92">
        <w:t xml:space="preserve">The SRI utilises the SELENA–SLEDAI score to determine global improvement, BILAG domain scores to ensure no significant worsening in </w:t>
      </w:r>
      <w:r w:rsidR="00A85D1E">
        <w:t>previously</w:t>
      </w:r>
      <w:r w:rsidR="00A85D1E" w:rsidRPr="00902E92">
        <w:t xml:space="preserve"> </w:t>
      </w:r>
      <w:r w:rsidRPr="00902E92">
        <w:t xml:space="preserve">unaffected organ systems, and </w:t>
      </w:r>
      <w:r w:rsidR="00265DFA">
        <w:t>PGA</w:t>
      </w:r>
      <w:r w:rsidRPr="00902E92">
        <w:t xml:space="preserve"> to ensure that improvements in disease activity are not achieved at the expense of the patient’s overall condition, which may have been missed by either the SELENA-SLEDAI or BILAG</w:t>
      </w:r>
      <w:r w:rsidRPr="00902E92">
        <w:rPr>
          <w:vertAlign w:val="superscript"/>
        </w:rPr>
        <w:footnoteReference w:id="10"/>
      </w:r>
      <w:r>
        <w:t xml:space="preserve">, as shown in Table </w:t>
      </w:r>
      <w:r w:rsidR="00F61CA4">
        <w:t>6</w:t>
      </w:r>
      <w:r w:rsidRPr="00902E92">
        <w:t>.</w:t>
      </w:r>
    </w:p>
    <w:p w:rsidR="00172AD3" w:rsidRPr="00297939" w:rsidRDefault="00172AD3" w:rsidP="00172AD3">
      <w:pPr>
        <w:widowControl/>
      </w:pPr>
      <w:r w:rsidRPr="00C8734E">
        <w:rPr>
          <w:rStyle w:val="CommentReference"/>
        </w:rPr>
        <w:t xml:space="preserve">Table </w:t>
      </w:r>
      <w:r w:rsidR="00F61CA4">
        <w:rPr>
          <w:rStyle w:val="CommentReference"/>
        </w:rPr>
        <w:t>6</w:t>
      </w:r>
      <w:r w:rsidRPr="00C8734E">
        <w:rPr>
          <w:rStyle w:val="CommentReference"/>
        </w:rPr>
        <w:t>: C</w:t>
      </w:r>
      <w:r>
        <w:rPr>
          <w:rStyle w:val="CommentReference"/>
        </w:rPr>
        <w:t>omponents of the primary outcome, SRI response at Week 52</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6: Components of the primary outcome, SRI response at Week 52"/>
      </w:tblPr>
      <w:tblGrid>
        <w:gridCol w:w="988"/>
        <w:gridCol w:w="3401"/>
        <w:gridCol w:w="4628"/>
      </w:tblGrid>
      <w:tr w:rsidR="00172AD3" w:rsidRPr="008C73CB" w:rsidTr="00155E64">
        <w:trPr>
          <w:tblHeader/>
        </w:trPr>
        <w:tc>
          <w:tcPr>
            <w:tcW w:w="2434" w:type="pct"/>
            <w:gridSpan w:val="2"/>
          </w:tcPr>
          <w:p w:rsidR="00172AD3" w:rsidRDefault="00172AD3" w:rsidP="0011582A">
            <w:pPr>
              <w:widowControl/>
              <w:contextualSpacing/>
              <w:rPr>
                <w:rFonts w:ascii="Arial Narrow" w:eastAsiaTheme="minorHAnsi" w:hAnsi="Arial Narrow" w:cstheme="minorBidi"/>
                <w:b/>
                <w:snapToGrid/>
                <w:sz w:val="20"/>
                <w:szCs w:val="20"/>
              </w:rPr>
            </w:pPr>
            <w:r w:rsidRPr="00A745BE">
              <w:rPr>
                <w:rFonts w:ascii="Arial Narrow" w:eastAsiaTheme="minorHAnsi" w:hAnsi="Arial Narrow" w:cstheme="minorBidi"/>
                <w:b/>
                <w:snapToGrid/>
                <w:sz w:val="20"/>
                <w:szCs w:val="20"/>
              </w:rPr>
              <w:t>Primary outcome across all trials</w:t>
            </w:r>
            <w:r>
              <w:rPr>
                <w:rFonts w:ascii="Arial Narrow" w:eastAsiaTheme="minorHAnsi" w:hAnsi="Arial Narrow" w:cstheme="minorBidi"/>
                <w:b/>
                <w:snapToGrid/>
                <w:sz w:val="20"/>
                <w:szCs w:val="20"/>
              </w:rPr>
              <w:t xml:space="preserve">: </w:t>
            </w:r>
          </w:p>
          <w:p w:rsidR="00172AD3" w:rsidRPr="008C73CB" w:rsidRDefault="00172AD3" w:rsidP="0011582A">
            <w:pPr>
              <w:widowControl/>
              <w:contextualSpacing/>
              <w:rPr>
                <w:rFonts w:ascii="Arial Narrow" w:eastAsiaTheme="minorHAnsi" w:hAnsi="Arial Narrow" w:cstheme="minorBidi"/>
                <w:b/>
                <w:snapToGrid/>
                <w:sz w:val="20"/>
                <w:szCs w:val="20"/>
              </w:rPr>
            </w:pPr>
            <w:r>
              <w:rPr>
                <w:rFonts w:ascii="Arial Narrow" w:eastAsiaTheme="minorHAnsi" w:hAnsi="Arial Narrow" w:cstheme="minorBidi"/>
                <w:b/>
                <w:snapToGrid/>
                <w:sz w:val="20"/>
                <w:szCs w:val="20"/>
              </w:rPr>
              <w:t>SRI response rate at Week 52</w:t>
            </w:r>
          </w:p>
        </w:tc>
        <w:tc>
          <w:tcPr>
            <w:tcW w:w="2566" w:type="pct"/>
          </w:tcPr>
          <w:p w:rsidR="00172AD3" w:rsidRPr="00A745BE" w:rsidRDefault="00172AD3" w:rsidP="0011582A">
            <w:pPr>
              <w:widowControl/>
              <w:contextualSpacing/>
              <w:rPr>
                <w:rFonts w:ascii="Arial Narrow" w:eastAsiaTheme="minorHAnsi" w:hAnsi="Arial Narrow" w:cstheme="minorBidi"/>
                <w:b/>
                <w:snapToGrid/>
                <w:sz w:val="20"/>
                <w:szCs w:val="20"/>
              </w:rPr>
            </w:pPr>
            <w:r>
              <w:rPr>
                <w:rFonts w:ascii="Arial Narrow" w:eastAsiaTheme="minorHAnsi" w:hAnsi="Arial Narrow" w:cstheme="minorBidi"/>
                <w:b/>
                <w:snapToGrid/>
                <w:sz w:val="20"/>
                <w:szCs w:val="20"/>
              </w:rPr>
              <w:t>Comments</w:t>
            </w:r>
          </w:p>
        </w:tc>
      </w:tr>
      <w:tr w:rsidR="00172AD3" w:rsidRPr="008C73CB" w:rsidTr="00155E64">
        <w:trPr>
          <w:tblHeader/>
        </w:trPr>
        <w:tc>
          <w:tcPr>
            <w:tcW w:w="548" w:type="pct"/>
            <w:vMerge w:val="restart"/>
            <w:vAlign w:val="center"/>
          </w:tcPr>
          <w:p w:rsidR="00172AD3" w:rsidRPr="008C73CB" w:rsidRDefault="00172AD3" w:rsidP="0011582A">
            <w:pPr>
              <w:widowControl/>
              <w:contextualSpacing/>
              <w:jc w:val="left"/>
              <w:rPr>
                <w:rFonts w:ascii="Arial Narrow" w:eastAsiaTheme="minorHAnsi" w:hAnsi="Arial Narrow" w:cstheme="minorBidi"/>
                <w:snapToGrid/>
                <w:sz w:val="20"/>
                <w:szCs w:val="20"/>
              </w:rPr>
            </w:pPr>
            <w:r>
              <w:rPr>
                <w:rFonts w:ascii="Arial Narrow" w:eastAsiaTheme="minorHAnsi" w:hAnsi="Arial Narrow" w:cstheme="minorBidi"/>
                <w:snapToGrid/>
                <w:sz w:val="20"/>
                <w:szCs w:val="20"/>
              </w:rPr>
              <w:t>Components of the SRI (</w:t>
            </w:r>
            <w:r w:rsidR="00072B55">
              <w:rPr>
                <w:rFonts w:ascii="Arial Narrow" w:eastAsiaTheme="minorHAnsi" w:hAnsi="Arial Narrow" w:cstheme="minorBidi"/>
                <w:snapToGrid/>
                <w:sz w:val="20"/>
                <w:szCs w:val="20"/>
              </w:rPr>
              <w:t xml:space="preserve">the components were used in </w:t>
            </w:r>
            <w:r>
              <w:rPr>
                <w:rFonts w:ascii="Arial Narrow" w:eastAsiaTheme="minorHAnsi" w:hAnsi="Arial Narrow" w:cstheme="minorBidi"/>
                <w:snapToGrid/>
                <w:sz w:val="20"/>
                <w:szCs w:val="20"/>
              </w:rPr>
              <w:t>supportive/ secondary analyses)</w:t>
            </w:r>
          </w:p>
        </w:tc>
        <w:tc>
          <w:tcPr>
            <w:tcW w:w="1886" w:type="pct"/>
          </w:tcPr>
          <w:p w:rsidR="00172AD3" w:rsidRPr="00D73BBB" w:rsidRDefault="00172AD3" w:rsidP="0011582A">
            <w:pPr>
              <w:pStyle w:val="Tabletext"/>
              <w:rPr>
                <w:szCs w:val="20"/>
                <w:vertAlign w:val="superscript"/>
              </w:rPr>
            </w:pPr>
            <w:r w:rsidRPr="008015D2">
              <w:rPr>
                <w:szCs w:val="20"/>
              </w:rPr>
              <w:t>≥4-point reduction from baseline in SELENA-SLEDAI</w:t>
            </w:r>
            <w:r>
              <w:rPr>
                <w:szCs w:val="20"/>
                <w:vertAlign w:val="superscript"/>
              </w:rPr>
              <w:t>a</w:t>
            </w:r>
          </w:p>
        </w:tc>
        <w:tc>
          <w:tcPr>
            <w:tcW w:w="2566" w:type="pct"/>
          </w:tcPr>
          <w:p w:rsidR="00172AD3" w:rsidRPr="008015D2" w:rsidRDefault="00172AD3" w:rsidP="0011582A">
            <w:pPr>
              <w:pStyle w:val="Tabletext"/>
              <w:rPr>
                <w:szCs w:val="20"/>
              </w:rPr>
            </w:pPr>
            <w:r w:rsidRPr="008015D2">
              <w:rPr>
                <w:szCs w:val="20"/>
              </w:rPr>
              <w:t>Considered as</w:t>
            </w:r>
            <w:r>
              <w:rPr>
                <w:szCs w:val="20"/>
              </w:rPr>
              <w:t xml:space="preserve"> a</w:t>
            </w:r>
            <w:r w:rsidRPr="008015D2">
              <w:rPr>
                <w:szCs w:val="20"/>
              </w:rPr>
              <w:t xml:space="preserve"> clinically meaningful</w:t>
            </w:r>
            <w:r>
              <w:rPr>
                <w:szCs w:val="20"/>
              </w:rPr>
              <w:t xml:space="preserve"> improvement</w:t>
            </w:r>
          </w:p>
        </w:tc>
      </w:tr>
      <w:tr w:rsidR="00172AD3" w:rsidRPr="008C73CB" w:rsidTr="00155E64">
        <w:trPr>
          <w:tblHeader/>
        </w:trPr>
        <w:tc>
          <w:tcPr>
            <w:tcW w:w="548" w:type="pct"/>
            <w:vMerge/>
          </w:tcPr>
          <w:p w:rsidR="00172AD3" w:rsidRDefault="00172AD3" w:rsidP="0011582A">
            <w:pPr>
              <w:widowControl/>
              <w:ind w:left="720"/>
              <w:contextualSpacing/>
              <w:rPr>
                <w:rFonts w:ascii="Arial Narrow" w:eastAsiaTheme="minorHAnsi" w:hAnsi="Arial Narrow" w:cstheme="minorBidi"/>
                <w:snapToGrid/>
                <w:sz w:val="20"/>
                <w:szCs w:val="20"/>
              </w:rPr>
            </w:pPr>
          </w:p>
        </w:tc>
        <w:tc>
          <w:tcPr>
            <w:tcW w:w="1886" w:type="pct"/>
          </w:tcPr>
          <w:p w:rsidR="00172AD3" w:rsidRPr="00A745BE" w:rsidRDefault="00172AD3" w:rsidP="0011582A">
            <w:pPr>
              <w:pStyle w:val="Tabletext"/>
              <w:rPr>
                <w:szCs w:val="20"/>
              </w:rPr>
            </w:pPr>
            <w:r w:rsidRPr="008015D2">
              <w:rPr>
                <w:szCs w:val="20"/>
              </w:rPr>
              <w:t>No new BILAG A organ domain score or 2 new BILAG B organ domain scores compared with baseline at the time of assessment</w:t>
            </w:r>
          </w:p>
        </w:tc>
        <w:tc>
          <w:tcPr>
            <w:tcW w:w="2566" w:type="pct"/>
          </w:tcPr>
          <w:p w:rsidR="00172AD3" w:rsidRPr="008015D2" w:rsidRDefault="00172AD3" w:rsidP="0011582A">
            <w:pPr>
              <w:pStyle w:val="Tabletext"/>
              <w:rPr>
                <w:szCs w:val="20"/>
              </w:rPr>
            </w:pPr>
            <w:r w:rsidRPr="008015D2">
              <w:rPr>
                <w:szCs w:val="20"/>
              </w:rPr>
              <w:t>The development of either</w:t>
            </w:r>
            <w:r>
              <w:rPr>
                <w:szCs w:val="20"/>
              </w:rPr>
              <w:t xml:space="preserve"> ≥</w:t>
            </w:r>
            <w:r w:rsidRPr="008015D2">
              <w:rPr>
                <w:szCs w:val="20"/>
              </w:rPr>
              <w:t>1 A or ≥2 B organ system scores represents an increase in disease activity sufficient to add new therapy</w:t>
            </w:r>
            <w:r>
              <w:rPr>
                <w:szCs w:val="20"/>
              </w:rPr>
              <w:t xml:space="preserve"> (corticosteroids / immunosuppressant</w:t>
            </w:r>
            <w:r w:rsidRPr="008015D2">
              <w:rPr>
                <w:szCs w:val="20"/>
              </w:rPr>
              <w:t>)</w:t>
            </w:r>
            <w:r w:rsidR="00AB03F9">
              <w:rPr>
                <w:szCs w:val="20"/>
              </w:rPr>
              <w:t xml:space="preserve">. </w:t>
            </w:r>
          </w:p>
        </w:tc>
      </w:tr>
      <w:tr w:rsidR="00172AD3" w:rsidRPr="008C73CB" w:rsidTr="00155E64">
        <w:trPr>
          <w:tblHeader/>
        </w:trPr>
        <w:tc>
          <w:tcPr>
            <w:tcW w:w="548" w:type="pct"/>
            <w:vMerge/>
            <w:tcBorders>
              <w:bottom w:val="single" w:sz="4" w:space="0" w:color="auto"/>
            </w:tcBorders>
          </w:tcPr>
          <w:p w:rsidR="00172AD3" w:rsidRDefault="00172AD3" w:rsidP="0011582A">
            <w:pPr>
              <w:widowControl/>
              <w:ind w:left="720"/>
              <w:contextualSpacing/>
              <w:rPr>
                <w:rFonts w:ascii="Arial Narrow" w:eastAsiaTheme="minorHAnsi" w:hAnsi="Arial Narrow" w:cstheme="minorBidi"/>
                <w:snapToGrid/>
                <w:sz w:val="20"/>
                <w:szCs w:val="20"/>
              </w:rPr>
            </w:pPr>
          </w:p>
        </w:tc>
        <w:tc>
          <w:tcPr>
            <w:tcW w:w="1886" w:type="pct"/>
            <w:tcBorders>
              <w:bottom w:val="single" w:sz="4" w:space="0" w:color="auto"/>
            </w:tcBorders>
          </w:tcPr>
          <w:p w:rsidR="00172AD3" w:rsidRPr="00A745BE" w:rsidRDefault="00172AD3" w:rsidP="0011582A">
            <w:pPr>
              <w:widowControl/>
              <w:contextualSpacing/>
              <w:rPr>
                <w:rFonts w:ascii="Arial Narrow" w:eastAsiaTheme="minorHAnsi" w:hAnsi="Arial Narrow" w:cstheme="minorBidi"/>
                <w:snapToGrid/>
                <w:sz w:val="20"/>
                <w:szCs w:val="20"/>
              </w:rPr>
            </w:pPr>
            <w:r w:rsidRPr="00A745BE">
              <w:rPr>
                <w:rFonts w:ascii="Arial Narrow" w:eastAsiaTheme="minorHAnsi" w:hAnsi="Arial Narrow" w:cstheme="minorBidi"/>
                <w:snapToGrid/>
                <w:sz w:val="20"/>
                <w:szCs w:val="20"/>
              </w:rPr>
              <w:t>No worsening (increase of &lt;0.30 points from baseline) in PGA</w:t>
            </w:r>
          </w:p>
        </w:tc>
        <w:tc>
          <w:tcPr>
            <w:tcW w:w="2566" w:type="pct"/>
            <w:tcBorders>
              <w:bottom w:val="single" w:sz="4" w:space="0" w:color="auto"/>
            </w:tcBorders>
          </w:tcPr>
          <w:p w:rsidR="00172AD3" w:rsidRPr="00A745BE" w:rsidRDefault="00172AD3" w:rsidP="0011582A">
            <w:pPr>
              <w:widowControl/>
              <w:contextualSpacing/>
              <w:rPr>
                <w:rFonts w:ascii="Arial Narrow" w:eastAsiaTheme="minorHAnsi" w:hAnsi="Arial Narrow" w:cstheme="minorBidi"/>
                <w:snapToGrid/>
                <w:sz w:val="20"/>
                <w:szCs w:val="20"/>
              </w:rPr>
            </w:pPr>
            <w:r>
              <w:rPr>
                <w:rFonts w:ascii="Arial Narrow" w:hAnsi="Arial Narrow" w:cs="Melior"/>
                <w:snapToGrid/>
                <w:color w:val="231F20"/>
                <w:sz w:val="20"/>
                <w:szCs w:val="20"/>
                <w:lang w:eastAsia="en-AU"/>
              </w:rPr>
              <w:t>T</w:t>
            </w:r>
            <w:r w:rsidRPr="008015D2">
              <w:rPr>
                <w:rFonts w:ascii="Arial Narrow" w:hAnsi="Arial Narrow" w:cs="Melior"/>
                <w:snapToGrid/>
                <w:color w:val="231F20"/>
                <w:sz w:val="20"/>
                <w:szCs w:val="20"/>
                <w:lang w:eastAsia="en-AU"/>
              </w:rPr>
              <w:t>o ensure that improvement in the SELENA–SLEDAI score was not</w:t>
            </w:r>
            <w:r>
              <w:rPr>
                <w:rFonts w:ascii="Arial Narrow" w:hAnsi="Arial Narrow" w:cs="Melior"/>
                <w:snapToGrid/>
                <w:color w:val="231F20"/>
                <w:sz w:val="20"/>
                <w:szCs w:val="20"/>
                <w:lang w:eastAsia="en-AU"/>
              </w:rPr>
              <w:t xml:space="preserve"> </w:t>
            </w:r>
            <w:r w:rsidRPr="008015D2">
              <w:rPr>
                <w:rFonts w:ascii="Arial Narrow" w:hAnsi="Arial Narrow" w:cs="Melior"/>
                <w:snapToGrid/>
                <w:color w:val="231F20"/>
                <w:sz w:val="20"/>
                <w:szCs w:val="20"/>
                <w:lang w:eastAsia="en-AU"/>
              </w:rPr>
              <w:t>achieved at the expense of worsening of the patient’s overall</w:t>
            </w:r>
            <w:r>
              <w:rPr>
                <w:rFonts w:ascii="Arial Narrow" w:hAnsi="Arial Narrow" w:cs="Melior"/>
                <w:snapToGrid/>
                <w:color w:val="231F20"/>
                <w:sz w:val="20"/>
                <w:szCs w:val="20"/>
                <w:lang w:eastAsia="en-AU"/>
              </w:rPr>
              <w:t xml:space="preserve"> condition</w:t>
            </w:r>
            <w:r w:rsidR="00AB03F9">
              <w:rPr>
                <w:rFonts w:ascii="Arial Narrow" w:hAnsi="Arial Narrow" w:cs="Melior"/>
                <w:snapToGrid/>
                <w:color w:val="231F20"/>
                <w:sz w:val="20"/>
                <w:szCs w:val="20"/>
                <w:lang w:eastAsia="en-AU"/>
              </w:rPr>
              <w:t>.</w:t>
            </w:r>
          </w:p>
        </w:tc>
      </w:tr>
    </w:tbl>
    <w:p w:rsidR="00172AD3" w:rsidRPr="00C1321A" w:rsidRDefault="00172AD3" w:rsidP="00172AD3">
      <w:pPr>
        <w:pStyle w:val="TableFooter"/>
      </w:pPr>
      <w:r w:rsidRPr="000416AC">
        <w:t>Abbreviations: BILAG, British Isles Lupus Assessment Group;</w:t>
      </w:r>
      <w:r>
        <w:t xml:space="preserve"> </w:t>
      </w:r>
      <w:r w:rsidRPr="000416AC">
        <w:t>PGA, Physician Global Assessment; SC, subcutaneous; SDI, Systemic Lupus International Collaborating Clinics (SLICC)/ACR Damage Index; SELENA-SLEDAI, Safety of Estrogens in Lupus Erythematosus National Assessment version of the Systemic Lupus Eryth</w:t>
      </w:r>
      <w:r>
        <w:t>ematosus Disease Activity Index</w:t>
      </w:r>
      <w:r w:rsidRPr="000416AC">
        <w:t>; SLE, systemic lupus erythematosus</w:t>
      </w:r>
      <w:r>
        <w:t>.</w:t>
      </w:r>
    </w:p>
    <w:p w:rsidR="00172AD3" w:rsidRPr="001A3CC4" w:rsidRDefault="00172AD3" w:rsidP="00172AD3">
      <w:pPr>
        <w:widowControl/>
        <w:rPr>
          <w:rFonts w:ascii="Arial Narrow" w:eastAsiaTheme="minorHAnsi" w:hAnsi="Arial Narrow" w:cstheme="minorBidi"/>
          <w:snapToGrid/>
          <w:sz w:val="18"/>
          <w:szCs w:val="18"/>
        </w:rPr>
      </w:pPr>
      <w:r w:rsidRPr="001A3CC4">
        <w:rPr>
          <w:rFonts w:ascii="Arial Narrow" w:eastAsiaTheme="minorHAnsi" w:hAnsi="Arial Narrow" w:cstheme="minorBidi"/>
          <w:snapToGrid/>
          <w:sz w:val="18"/>
          <w:szCs w:val="18"/>
          <w:vertAlign w:val="superscript"/>
        </w:rPr>
        <w:t>a</w:t>
      </w:r>
      <w:r w:rsidRPr="001A3CC4">
        <w:rPr>
          <w:rFonts w:ascii="Arial Narrow" w:eastAsiaTheme="minorHAnsi" w:hAnsi="Arial Narrow" w:cstheme="minorBidi"/>
          <w:snapToGrid/>
          <w:sz w:val="18"/>
          <w:szCs w:val="18"/>
        </w:rPr>
        <w:t xml:space="preserve"> EMBRACE </w:t>
      </w:r>
      <w:r w:rsidRPr="001A3CC4">
        <w:rPr>
          <w:rFonts w:ascii="Arial Narrow" w:hAnsi="Arial Narrow"/>
          <w:sz w:val="18"/>
          <w:szCs w:val="18"/>
        </w:rPr>
        <w:t xml:space="preserve">used SLEDAI-2K (S2K) rules instead of SELENA-SLEDAI (SS) rules when scoring for proteinuria for the primary SRI outcome. </w:t>
      </w:r>
    </w:p>
    <w:p w:rsidR="00172AD3" w:rsidRDefault="00172AD3" w:rsidP="00AB03F9">
      <w:pPr>
        <w:widowControl/>
        <w:spacing w:after="120"/>
        <w:rPr>
          <w:rFonts w:ascii="Arial Narrow" w:hAnsi="Arial Narrow"/>
          <w:sz w:val="18"/>
          <w:szCs w:val="18"/>
        </w:rPr>
      </w:pPr>
      <w:r w:rsidRPr="001A3CC4">
        <w:rPr>
          <w:rFonts w:ascii="Arial Narrow" w:eastAsiaTheme="minorHAnsi" w:hAnsi="Arial Narrow" w:cstheme="minorBidi"/>
          <w:snapToGrid/>
          <w:sz w:val="18"/>
          <w:szCs w:val="18"/>
        </w:rPr>
        <w:t xml:space="preserve">Source: </w:t>
      </w:r>
      <w:r w:rsidRPr="001A3CC4">
        <w:rPr>
          <w:rFonts w:ascii="Arial Narrow" w:hAnsi="Arial Narrow"/>
          <w:sz w:val="18"/>
          <w:szCs w:val="18"/>
        </w:rPr>
        <w:t>p48 of the submission; Furie et al 2009</w:t>
      </w:r>
    </w:p>
    <w:p w:rsidR="00172AD3" w:rsidRPr="00D16630" w:rsidRDefault="00172AD3" w:rsidP="00AB03F9">
      <w:pPr>
        <w:pStyle w:val="ListParagraph"/>
        <w:numPr>
          <w:ilvl w:val="1"/>
          <w:numId w:val="1"/>
        </w:numPr>
        <w:spacing w:after="120"/>
        <w:rPr>
          <w:lang w:eastAsia="en-AU"/>
        </w:rPr>
      </w:pPr>
      <w:r w:rsidRPr="00D16630">
        <w:t xml:space="preserve">Table </w:t>
      </w:r>
      <w:r w:rsidR="00F61CA4">
        <w:t>7</w:t>
      </w:r>
      <w:r w:rsidRPr="00D16630">
        <w:t xml:space="preserve"> presents the results of the primary outcome, response as measured by the composite index, SRI, and the results </w:t>
      </w:r>
      <w:r w:rsidR="00D514A7">
        <w:t>of</w:t>
      </w:r>
      <w:r w:rsidRPr="00D16630">
        <w:t xml:space="preserve"> the component indexes of the SRI (secondary</w:t>
      </w:r>
      <w:r w:rsidR="00C463DB">
        <w:t xml:space="preserve"> </w:t>
      </w:r>
      <w:r w:rsidRPr="00D16630">
        <w:t xml:space="preserve">outcomes), at Week 52 across all trials. </w:t>
      </w:r>
      <w:r w:rsidRPr="00D16630">
        <w:rPr>
          <w:lang w:eastAsia="en-AU"/>
        </w:rPr>
        <w:t xml:space="preserve">Results for the adjusted </w:t>
      </w:r>
      <w:r w:rsidR="008A24DD" w:rsidRPr="00D16630">
        <w:rPr>
          <w:lang w:eastAsia="en-AU"/>
        </w:rPr>
        <w:t>odds ratio (</w:t>
      </w:r>
      <w:r w:rsidRPr="00D16630">
        <w:rPr>
          <w:lang w:eastAsia="en-AU"/>
        </w:rPr>
        <w:t>ORs</w:t>
      </w:r>
      <w:r w:rsidR="008A24DD" w:rsidRPr="00D16630">
        <w:rPr>
          <w:lang w:eastAsia="en-AU"/>
        </w:rPr>
        <w:t>)</w:t>
      </w:r>
      <w:r w:rsidRPr="00D16630">
        <w:rPr>
          <w:lang w:eastAsia="en-AU"/>
        </w:rPr>
        <w:t xml:space="preserve"> and </w:t>
      </w:r>
      <w:r w:rsidRPr="00D16630">
        <w:rPr>
          <w:lang w:eastAsia="en-AU"/>
        </w:rPr>
        <w:lastRenderedPageBreak/>
        <w:t>unadjusted</w:t>
      </w:r>
      <w:r w:rsidR="008A24DD" w:rsidRPr="00D16630">
        <w:rPr>
          <w:lang w:eastAsia="en-AU"/>
        </w:rPr>
        <w:t xml:space="preserve"> risk difference</w:t>
      </w:r>
      <w:r w:rsidRPr="00D16630">
        <w:rPr>
          <w:lang w:eastAsia="en-AU"/>
        </w:rPr>
        <w:t xml:space="preserve"> </w:t>
      </w:r>
      <w:r w:rsidR="008A24DD" w:rsidRPr="00D16630">
        <w:rPr>
          <w:lang w:eastAsia="en-AU"/>
        </w:rPr>
        <w:t>(</w:t>
      </w:r>
      <w:r w:rsidRPr="00D16630">
        <w:rPr>
          <w:lang w:eastAsia="en-AU"/>
        </w:rPr>
        <w:t>RDs</w:t>
      </w:r>
      <w:r w:rsidR="008A24DD" w:rsidRPr="00D16630">
        <w:rPr>
          <w:lang w:eastAsia="en-AU"/>
        </w:rPr>
        <w:t>)</w:t>
      </w:r>
      <w:r w:rsidRPr="00D16630">
        <w:rPr>
          <w:lang w:eastAsia="en-AU"/>
        </w:rPr>
        <w:t xml:space="preserve"> are presented</w:t>
      </w:r>
      <w:r w:rsidR="00F61CA4">
        <w:rPr>
          <w:lang w:eastAsia="en-AU"/>
        </w:rPr>
        <w:t xml:space="preserve"> </w:t>
      </w:r>
      <w:r w:rsidRPr="00D16630">
        <w:rPr>
          <w:lang w:eastAsia="en-AU"/>
        </w:rPr>
        <w:t>below.</w:t>
      </w:r>
      <w:r w:rsidR="000D4DB4">
        <w:rPr>
          <w:rStyle w:val="FootnoteReference"/>
          <w:lang w:eastAsia="en-AU"/>
        </w:rPr>
        <w:footnoteReference w:id="11"/>
      </w:r>
      <w:r w:rsidRPr="00D16630">
        <w:rPr>
          <w:lang w:eastAsia="en-AU"/>
        </w:rPr>
        <w:t xml:space="preserve"> </w:t>
      </w:r>
    </w:p>
    <w:p w:rsidR="00172AD3" w:rsidRDefault="00172AD3" w:rsidP="000D4DB4">
      <w:pPr>
        <w:keepNext/>
        <w:keepLines/>
        <w:rPr>
          <w:rStyle w:val="CommentReference"/>
        </w:rPr>
      </w:pPr>
      <w:r w:rsidRPr="006C725B">
        <w:rPr>
          <w:rStyle w:val="CommentReference"/>
        </w:rPr>
        <w:t xml:space="preserve">Table </w:t>
      </w:r>
      <w:r w:rsidR="00F61CA4">
        <w:rPr>
          <w:rStyle w:val="CommentReference"/>
        </w:rPr>
        <w:t>7</w:t>
      </w:r>
      <w:r w:rsidRPr="006C725B">
        <w:rPr>
          <w:rStyle w:val="CommentReference"/>
        </w:rPr>
        <w:t xml:space="preserve">: </w:t>
      </w:r>
      <w:r w:rsidRPr="006C725B">
        <w:rPr>
          <w:rFonts w:ascii="Arial Narrow" w:hAnsi="Arial Narrow"/>
          <w:b/>
          <w:bCs/>
          <w:sz w:val="20"/>
          <w:szCs w:val="20"/>
        </w:rPr>
        <w:t>Proportion</w:t>
      </w:r>
      <w:r>
        <w:rPr>
          <w:rFonts w:ascii="Arial Narrow" w:hAnsi="Arial Narrow"/>
          <w:b/>
          <w:bCs/>
          <w:sz w:val="20"/>
          <w:szCs w:val="20"/>
        </w:rPr>
        <w:t xml:space="preserve"> with</w:t>
      </w:r>
      <w:r w:rsidRPr="003B50C2">
        <w:rPr>
          <w:rFonts w:ascii="Arial Narrow" w:hAnsi="Arial Narrow"/>
          <w:b/>
          <w:bCs/>
          <w:sz w:val="20"/>
          <w:szCs w:val="20"/>
        </w:rPr>
        <w:t xml:space="preserve"> SRI response (prima</w:t>
      </w:r>
      <w:r>
        <w:rPr>
          <w:rFonts w:ascii="Arial Narrow" w:hAnsi="Arial Narrow"/>
          <w:b/>
          <w:bCs/>
          <w:sz w:val="20"/>
          <w:szCs w:val="20"/>
        </w:rPr>
        <w:t>ry outcome) and response to component indexes</w:t>
      </w:r>
      <w:r w:rsidRPr="003B50C2">
        <w:rPr>
          <w:rFonts w:ascii="Arial Narrow" w:hAnsi="Arial Narrow"/>
          <w:b/>
          <w:bCs/>
          <w:sz w:val="20"/>
          <w:szCs w:val="20"/>
        </w:rPr>
        <w:t xml:space="preserve"> (secondary outcomes) across the trials</w:t>
      </w:r>
    </w:p>
    <w:tbl>
      <w:tblPr>
        <w:tblStyle w:val="TableGrid"/>
        <w:tblW w:w="0" w:type="auto"/>
        <w:tblCellMar>
          <w:left w:w="28" w:type="dxa"/>
          <w:right w:w="28" w:type="dxa"/>
        </w:tblCellMar>
        <w:tblLook w:val="04A0" w:firstRow="1" w:lastRow="0" w:firstColumn="1" w:lastColumn="0" w:noHBand="0" w:noVBand="1"/>
        <w:tblCaption w:val="Table 7: Proportion with SRI response (primary outcome) and response to component indexes (secondary outcomes) across the trials"/>
      </w:tblPr>
      <w:tblGrid>
        <w:gridCol w:w="1413"/>
        <w:gridCol w:w="1417"/>
        <w:gridCol w:w="1418"/>
        <w:gridCol w:w="2410"/>
        <w:gridCol w:w="2359"/>
      </w:tblGrid>
      <w:tr w:rsidR="00172AD3" w:rsidRPr="00A20282" w:rsidTr="00155E64">
        <w:trPr>
          <w:tblHeader/>
        </w:trPr>
        <w:tc>
          <w:tcPr>
            <w:tcW w:w="1413" w:type="dxa"/>
          </w:tcPr>
          <w:p w:rsidR="00172AD3" w:rsidRPr="00A20282" w:rsidRDefault="00172AD3" w:rsidP="000D4DB4">
            <w:pPr>
              <w:keepNext/>
              <w:keepLines/>
              <w:rPr>
                <w:rFonts w:ascii="Arial Narrow" w:hAnsi="Arial Narrow"/>
                <w:sz w:val="20"/>
                <w:szCs w:val="20"/>
              </w:rPr>
            </w:pPr>
          </w:p>
        </w:tc>
        <w:tc>
          <w:tcPr>
            <w:tcW w:w="1417" w:type="dxa"/>
            <w:vAlign w:val="center"/>
          </w:tcPr>
          <w:p w:rsidR="00172AD3" w:rsidRPr="00A20282" w:rsidRDefault="00172AD3" w:rsidP="000D4DB4">
            <w:pPr>
              <w:keepNext/>
              <w:keepLines/>
              <w:jc w:val="center"/>
              <w:rPr>
                <w:rFonts w:ascii="Arial Narrow" w:hAnsi="Arial Narrow"/>
                <w:b/>
                <w:bCs/>
                <w:sz w:val="20"/>
                <w:szCs w:val="20"/>
              </w:rPr>
            </w:pPr>
            <w:r w:rsidRPr="00A20282">
              <w:rPr>
                <w:rFonts w:ascii="Arial Narrow" w:hAnsi="Arial Narrow"/>
                <w:b/>
                <w:bCs/>
                <w:sz w:val="20"/>
                <w:szCs w:val="20"/>
              </w:rPr>
              <w:t>BEL (200mg SC or 10mg/kg IV)</w:t>
            </w:r>
          </w:p>
        </w:tc>
        <w:tc>
          <w:tcPr>
            <w:tcW w:w="1418" w:type="dxa"/>
            <w:vAlign w:val="center"/>
          </w:tcPr>
          <w:p w:rsidR="00172AD3" w:rsidRPr="00A20282" w:rsidRDefault="00172AD3" w:rsidP="000D4DB4">
            <w:pPr>
              <w:keepNext/>
              <w:keepLines/>
              <w:jc w:val="center"/>
              <w:rPr>
                <w:rFonts w:ascii="Arial Narrow" w:hAnsi="Arial Narrow"/>
                <w:b/>
                <w:bCs/>
                <w:sz w:val="20"/>
                <w:szCs w:val="20"/>
              </w:rPr>
            </w:pPr>
            <w:r>
              <w:rPr>
                <w:rFonts w:ascii="Arial Narrow" w:hAnsi="Arial Narrow"/>
                <w:b/>
                <w:bCs/>
                <w:sz w:val="20"/>
                <w:szCs w:val="20"/>
              </w:rPr>
              <w:t>Placebo</w:t>
            </w:r>
          </w:p>
        </w:tc>
        <w:tc>
          <w:tcPr>
            <w:tcW w:w="2410" w:type="dxa"/>
            <w:vAlign w:val="center"/>
          </w:tcPr>
          <w:p w:rsidR="00172AD3" w:rsidRPr="000D4DB4" w:rsidRDefault="00172AD3" w:rsidP="000D4DB4">
            <w:pPr>
              <w:keepNext/>
              <w:keepLines/>
              <w:jc w:val="center"/>
              <w:rPr>
                <w:rFonts w:ascii="Arial Narrow" w:hAnsi="Arial Narrow"/>
                <w:b/>
                <w:bCs/>
                <w:sz w:val="20"/>
                <w:szCs w:val="20"/>
              </w:rPr>
            </w:pPr>
            <w:r w:rsidRPr="000D4DB4">
              <w:rPr>
                <w:rFonts w:ascii="Arial Narrow" w:hAnsi="Arial Narrow"/>
                <w:b/>
                <w:bCs/>
                <w:sz w:val="20"/>
                <w:szCs w:val="20"/>
              </w:rPr>
              <w:t>Adjusted OR (95%CI)</w:t>
            </w:r>
          </w:p>
        </w:tc>
        <w:tc>
          <w:tcPr>
            <w:tcW w:w="2359" w:type="dxa"/>
            <w:vAlign w:val="center"/>
          </w:tcPr>
          <w:p w:rsidR="00172AD3" w:rsidRPr="00A20282" w:rsidRDefault="00172AD3" w:rsidP="000D4DB4">
            <w:pPr>
              <w:keepNext/>
              <w:keepLines/>
              <w:jc w:val="center"/>
              <w:rPr>
                <w:rFonts w:ascii="Arial Narrow" w:hAnsi="Arial Narrow"/>
                <w:b/>
                <w:bCs/>
                <w:sz w:val="20"/>
                <w:szCs w:val="20"/>
              </w:rPr>
            </w:pPr>
            <w:r>
              <w:rPr>
                <w:rFonts w:ascii="Arial Narrow" w:hAnsi="Arial Narrow"/>
                <w:b/>
                <w:bCs/>
                <w:sz w:val="20"/>
                <w:szCs w:val="20"/>
              </w:rPr>
              <w:t xml:space="preserve">Unadjusted </w:t>
            </w:r>
            <w:r w:rsidRPr="00A20282">
              <w:rPr>
                <w:rFonts w:ascii="Arial Narrow" w:hAnsi="Arial Narrow"/>
                <w:b/>
                <w:bCs/>
                <w:sz w:val="20"/>
                <w:szCs w:val="20"/>
              </w:rPr>
              <w:t>RD (95%CI)</w:t>
            </w:r>
          </w:p>
        </w:tc>
      </w:tr>
      <w:tr w:rsidR="00172AD3" w:rsidRPr="00A20282" w:rsidTr="00155E64">
        <w:trPr>
          <w:tblHeader/>
        </w:trPr>
        <w:tc>
          <w:tcPr>
            <w:tcW w:w="9017" w:type="dxa"/>
            <w:gridSpan w:val="5"/>
            <w:tcBorders>
              <w:bottom w:val="single" w:sz="4" w:space="0" w:color="auto"/>
            </w:tcBorders>
            <w:vAlign w:val="center"/>
          </w:tcPr>
          <w:p w:rsidR="00172AD3" w:rsidRPr="00A20282" w:rsidRDefault="00172AD3" w:rsidP="000D4DB4">
            <w:pPr>
              <w:keepNext/>
              <w:keepLines/>
              <w:jc w:val="left"/>
              <w:rPr>
                <w:rFonts w:ascii="Arial Narrow" w:hAnsi="Arial Narrow"/>
                <w:b/>
                <w:bCs/>
                <w:sz w:val="20"/>
                <w:szCs w:val="20"/>
              </w:rPr>
            </w:pPr>
            <w:r w:rsidRPr="00A20282">
              <w:rPr>
                <w:rFonts w:ascii="Arial Narrow" w:hAnsi="Arial Narrow"/>
                <w:b/>
                <w:bCs/>
                <w:sz w:val="20"/>
                <w:szCs w:val="20"/>
              </w:rPr>
              <w:t>SRI response rate at Week 52</w:t>
            </w:r>
          </w:p>
        </w:tc>
      </w:tr>
      <w:tr w:rsidR="00172AD3" w:rsidRPr="00D16630" w:rsidTr="00155E64">
        <w:trPr>
          <w:tblHeader/>
        </w:trPr>
        <w:tc>
          <w:tcPr>
            <w:tcW w:w="1413" w:type="dxa"/>
            <w:tcBorders>
              <w:bottom w:val="nil"/>
            </w:tcBorders>
          </w:tcPr>
          <w:p w:rsidR="00172AD3" w:rsidRPr="00A20282" w:rsidRDefault="00172AD3" w:rsidP="000D4DB4">
            <w:pPr>
              <w:keepNext/>
              <w:keepLines/>
              <w:rPr>
                <w:rFonts w:ascii="Arial Narrow" w:hAnsi="Arial Narrow"/>
                <w:sz w:val="20"/>
                <w:szCs w:val="20"/>
                <w:vertAlign w:val="superscript"/>
              </w:rPr>
            </w:pPr>
            <w:r>
              <w:rPr>
                <w:rFonts w:ascii="Arial Narrow" w:hAnsi="Arial Narrow"/>
                <w:sz w:val="20"/>
                <w:szCs w:val="20"/>
              </w:rPr>
              <w:t>BLISS-</w:t>
            </w:r>
            <w:r w:rsidRPr="00A20282">
              <w:rPr>
                <w:rFonts w:ascii="Arial Narrow" w:hAnsi="Arial Narrow"/>
                <w:sz w:val="20"/>
                <w:szCs w:val="20"/>
              </w:rPr>
              <w:t>SC</w:t>
            </w:r>
            <w:r w:rsidRPr="00A20282">
              <w:rPr>
                <w:rFonts w:ascii="Arial Narrow" w:hAnsi="Arial Narrow"/>
                <w:sz w:val="20"/>
                <w:szCs w:val="20"/>
                <w:vertAlign w:val="superscript"/>
              </w:rPr>
              <w:t>a</w:t>
            </w:r>
          </w:p>
        </w:tc>
        <w:tc>
          <w:tcPr>
            <w:tcW w:w="1417" w:type="dxa"/>
            <w:tcBorders>
              <w:bottom w:val="nil"/>
            </w:tcBorders>
            <w:vAlign w:val="center"/>
          </w:tcPr>
          <w:p w:rsidR="00172AD3" w:rsidRPr="00A20282" w:rsidRDefault="00172AD3" w:rsidP="000D4DB4">
            <w:pPr>
              <w:keepNext/>
              <w:keepLines/>
              <w:jc w:val="center"/>
              <w:rPr>
                <w:rFonts w:ascii="Arial Narrow" w:hAnsi="Arial Narrow"/>
                <w:sz w:val="20"/>
                <w:szCs w:val="20"/>
              </w:rPr>
            </w:pPr>
            <w:r w:rsidRPr="00A20282">
              <w:rPr>
                <w:rFonts w:ascii="Arial Narrow" w:hAnsi="Arial Narrow"/>
                <w:sz w:val="20"/>
                <w:szCs w:val="20"/>
              </w:rPr>
              <w:t>340/554 (61.4)</w:t>
            </w:r>
          </w:p>
        </w:tc>
        <w:tc>
          <w:tcPr>
            <w:tcW w:w="1418" w:type="dxa"/>
            <w:tcBorders>
              <w:bottom w:val="nil"/>
            </w:tcBorders>
            <w:vAlign w:val="center"/>
          </w:tcPr>
          <w:p w:rsidR="00172AD3" w:rsidRPr="00A20282" w:rsidRDefault="00172AD3" w:rsidP="000D4DB4">
            <w:pPr>
              <w:keepNext/>
              <w:keepLines/>
              <w:jc w:val="center"/>
              <w:rPr>
                <w:rFonts w:ascii="Arial Narrow" w:hAnsi="Arial Narrow"/>
                <w:sz w:val="20"/>
                <w:szCs w:val="20"/>
              </w:rPr>
            </w:pPr>
            <w:r w:rsidRPr="00A20282">
              <w:rPr>
                <w:rFonts w:ascii="Arial Narrow" w:hAnsi="Arial Narrow"/>
                <w:sz w:val="20"/>
                <w:szCs w:val="20"/>
              </w:rPr>
              <w:t>135/279 (48.4)</w:t>
            </w:r>
          </w:p>
        </w:tc>
        <w:tc>
          <w:tcPr>
            <w:tcW w:w="2410" w:type="dxa"/>
            <w:tcBorders>
              <w:bottom w:val="nil"/>
            </w:tcBorders>
            <w:vAlign w:val="center"/>
          </w:tcPr>
          <w:p w:rsidR="00172AD3" w:rsidRPr="00D16630" w:rsidRDefault="00172AD3" w:rsidP="000D4DB4">
            <w:pPr>
              <w:keepNext/>
              <w:keepLines/>
              <w:jc w:val="center"/>
              <w:rPr>
                <w:rFonts w:ascii="Arial Narrow" w:hAnsi="Arial Narrow"/>
                <w:sz w:val="20"/>
                <w:szCs w:val="20"/>
              </w:rPr>
            </w:pPr>
            <w:r w:rsidRPr="00D16630">
              <w:rPr>
                <w:rFonts w:ascii="Arial Narrow" w:hAnsi="Arial Narrow" w:cs="ArialNarrow"/>
                <w:snapToGrid/>
                <w:sz w:val="20"/>
                <w:szCs w:val="20"/>
                <w:lang w:eastAsia="en-AU"/>
              </w:rPr>
              <w:t>1.68 (1.25, 2.25)</w:t>
            </w:r>
            <w:r w:rsidRPr="00D16630">
              <w:rPr>
                <w:rFonts w:ascii="Arial Narrow" w:hAnsi="Arial Narrow" w:cs="ArialNarrow"/>
                <w:snapToGrid/>
                <w:sz w:val="20"/>
                <w:szCs w:val="20"/>
                <w:vertAlign w:val="superscript"/>
                <w:lang w:eastAsia="en-AU"/>
              </w:rPr>
              <w:t>b</w:t>
            </w:r>
            <w:r w:rsidRPr="00D16630">
              <w:rPr>
                <w:rFonts w:ascii="Arial Narrow" w:hAnsi="Arial Narrow" w:cs="ArialNarrow"/>
                <w:snapToGrid/>
                <w:sz w:val="20"/>
                <w:szCs w:val="20"/>
                <w:lang w:eastAsia="en-AU"/>
              </w:rPr>
              <w:t>, p=0.0006</w:t>
            </w:r>
          </w:p>
        </w:tc>
        <w:tc>
          <w:tcPr>
            <w:tcW w:w="2359" w:type="dxa"/>
            <w:tcBorders>
              <w:bottom w:val="nil"/>
            </w:tcBorders>
            <w:vAlign w:val="center"/>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0.13 (0.06, 0.20), p=0.0004</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sidRPr="00A20282">
              <w:rPr>
                <w:rFonts w:ascii="Arial Narrow" w:hAnsi="Arial Narrow"/>
                <w:sz w:val="20"/>
                <w:szCs w:val="20"/>
              </w:rPr>
              <w:t>BLISS-52</w:t>
            </w:r>
          </w:p>
        </w:tc>
        <w:tc>
          <w:tcPr>
            <w:tcW w:w="1417" w:type="dxa"/>
            <w:tcBorders>
              <w:top w:val="nil"/>
              <w:bottom w:val="nil"/>
            </w:tcBorders>
            <w:vAlign w:val="center"/>
          </w:tcPr>
          <w:p w:rsidR="00172AD3" w:rsidRPr="00152C2A" w:rsidRDefault="00172AD3" w:rsidP="000D4DB4">
            <w:pPr>
              <w:keepNext/>
              <w:keepLines/>
              <w:jc w:val="center"/>
              <w:rPr>
                <w:rFonts w:ascii="Arial Narrow" w:hAnsi="Arial Narrow"/>
                <w:sz w:val="20"/>
                <w:szCs w:val="20"/>
              </w:rPr>
            </w:pPr>
            <w:r w:rsidRPr="00152C2A">
              <w:rPr>
                <w:rFonts w:ascii="Arial Narrow" w:hAnsi="Arial Narrow"/>
                <w:sz w:val="20"/>
                <w:szCs w:val="20"/>
              </w:rPr>
              <w:t>167/290 (57.6)</w:t>
            </w:r>
          </w:p>
        </w:tc>
        <w:tc>
          <w:tcPr>
            <w:tcW w:w="1418" w:type="dxa"/>
            <w:tcBorders>
              <w:top w:val="nil"/>
              <w:bottom w:val="nil"/>
            </w:tcBorders>
            <w:vAlign w:val="center"/>
          </w:tcPr>
          <w:p w:rsidR="00172AD3" w:rsidRPr="00152C2A" w:rsidRDefault="00172AD3" w:rsidP="000D4DB4">
            <w:pPr>
              <w:keepNext/>
              <w:keepLines/>
              <w:jc w:val="center"/>
              <w:rPr>
                <w:rFonts w:ascii="Arial Narrow" w:hAnsi="Arial Narrow"/>
                <w:sz w:val="20"/>
                <w:szCs w:val="20"/>
              </w:rPr>
            </w:pPr>
            <w:r w:rsidRPr="00152C2A">
              <w:rPr>
                <w:rFonts w:ascii="Arial Narrow" w:hAnsi="Arial Narrow"/>
                <w:sz w:val="20"/>
                <w:szCs w:val="20"/>
              </w:rPr>
              <w:t>125/287 (43.6)</w:t>
            </w:r>
          </w:p>
        </w:tc>
        <w:tc>
          <w:tcPr>
            <w:tcW w:w="2410" w:type="dxa"/>
            <w:tcBorders>
              <w:top w:val="nil"/>
              <w:bottom w:val="nil"/>
            </w:tcBorders>
            <w:vAlign w:val="center"/>
          </w:tcPr>
          <w:p w:rsidR="00172AD3" w:rsidRPr="00D16630" w:rsidRDefault="00172AD3" w:rsidP="000D4DB4">
            <w:pPr>
              <w:keepNext/>
              <w:keepLines/>
              <w:jc w:val="center"/>
              <w:rPr>
                <w:rFonts w:ascii="Arial Narrow" w:hAnsi="Arial Narrow"/>
                <w:sz w:val="20"/>
                <w:szCs w:val="20"/>
              </w:rPr>
            </w:pPr>
            <w:r w:rsidRPr="00D16630">
              <w:rPr>
                <w:rFonts w:ascii="Arial Narrow" w:hAnsi="Arial Narrow"/>
                <w:snapToGrid/>
                <w:sz w:val="20"/>
                <w:szCs w:val="20"/>
                <w:lang w:eastAsia="en-AU"/>
              </w:rPr>
              <w:t>1.83 (1.30, 2.59)</w:t>
            </w:r>
            <w:r w:rsidRPr="00D16630">
              <w:rPr>
                <w:rFonts w:ascii="Arial Narrow" w:hAnsi="Arial Narrow"/>
                <w:snapToGrid/>
                <w:sz w:val="20"/>
                <w:szCs w:val="20"/>
                <w:vertAlign w:val="superscript"/>
                <w:lang w:eastAsia="en-AU"/>
              </w:rPr>
              <w:t>e</w:t>
            </w:r>
            <w:r w:rsidRPr="00D16630">
              <w:rPr>
                <w:rFonts w:ascii="Arial Narrow" w:hAnsi="Arial Narrow"/>
                <w:snapToGrid/>
                <w:sz w:val="20"/>
                <w:szCs w:val="20"/>
                <w:lang w:eastAsia="en-AU"/>
              </w:rPr>
              <w:t>, p=0.0006</w:t>
            </w:r>
          </w:p>
        </w:tc>
        <w:tc>
          <w:tcPr>
            <w:tcW w:w="2359" w:type="dxa"/>
            <w:tcBorders>
              <w:top w:val="nil"/>
              <w:bottom w:val="nil"/>
            </w:tcBorders>
            <w:vAlign w:val="center"/>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0.14 (0.06, 0.22), p=0.0007</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sidRPr="00A20282">
              <w:rPr>
                <w:rFonts w:ascii="Arial Narrow" w:hAnsi="Arial Narrow"/>
                <w:sz w:val="20"/>
                <w:szCs w:val="20"/>
              </w:rPr>
              <w:t>BLISS-76</w:t>
            </w:r>
          </w:p>
        </w:tc>
        <w:tc>
          <w:tcPr>
            <w:tcW w:w="1417"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7C38F2">
              <w:rPr>
                <w:rFonts w:ascii="Arial Narrow" w:hAnsi="Arial Narrow"/>
                <w:sz w:val="20"/>
                <w:szCs w:val="20"/>
              </w:rPr>
              <w:t>118/273 (43.2)</w:t>
            </w:r>
          </w:p>
        </w:tc>
        <w:tc>
          <w:tcPr>
            <w:tcW w:w="1418"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7C38F2">
              <w:rPr>
                <w:rFonts w:ascii="Arial Narrow" w:hAnsi="Arial Narrow"/>
                <w:sz w:val="20"/>
                <w:szCs w:val="20"/>
                <w:lang w:eastAsia="en-AU"/>
              </w:rPr>
              <w:t>93/275 (33.8)</w:t>
            </w:r>
          </w:p>
        </w:tc>
        <w:tc>
          <w:tcPr>
            <w:tcW w:w="2410" w:type="dxa"/>
            <w:tcBorders>
              <w:top w:val="nil"/>
              <w:bottom w:val="nil"/>
            </w:tcBorders>
            <w:vAlign w:val="center"/>
          </w:tcPr>
          <w:p w:rsidR="00172AD3" w:rsidRPr="00D16630" w:rsidRDefault="00172AD3" w:rsidP="000D4DB4">
            <w:pPr>
              <w:keepNext/>
              <w:keepLines/>
              <w:jc w:val="center"/>
              <w:rPr>
                <w:rFonts w:ascii="Arial Narrow" w:hAnsi="Arial Narrow"/>
                <w:sz w:val="20"/>
                <w:szCs w:val="20"/>
              </w:rPr>
            </w:pPr>
            <w:r w:rsidRPr="00D16630">
              <w:rPr>
                <w:rFonts w:ascii="Arial Narrow" w:hAnsi="Arial Narrow"/>
                <w:snapToGrid/>
                <w:sz w:val="20"/>
                <w:szCs w:val="20"/>
                <w:lang w:eastAsia="en-AU"/>
              </w:rPr>
              <w:t>1.52 (1.07, 2.15)</w:t>
            </w:r>
            <w:r w:rsidRPr="00D16630">
              <w:rPr>
                <w:rFonts w:ascii="Arial Narrow" w:hAnsi="Arial Narrow"/>
                <w:snapToGrid/>
                <w:sz w:val="20"/>
                <w:szCs w:val="20"/>
                <w:vertAlign w:val="superscript"/>
                <w:lang w:eastAsia="en-AU"/>
              </w:rPr>
              <w:t>e</w:t>
            </w:r>
            <w:r w:rsidRPr="00D16630">
              <w:rPr>
                <w:rFonts w:ascii="Arial Narrow" w:hAnsi="Arial Narrow"/>
                <w:snapToGrid/>
                <w:sz w:val="20"/>
                <w:szCs w:val="20"/>
                <w:lang w:eastAsia="en-AU"/>
              </w:rPr>
              <w:t>, p=0.0207</w:t>
            </w:r>
          </w:p>
        </w:tc>
        <w:tc>
          <w:tcPr>
            <w:tcW w:w="2359" w:type="dxa"/>
            <w:tcBorders>
              <w:top w:val="nil"/>
              <w:bottom w:val="nil"/>
            </w:tcBorders>
            <w:vAlign w:val="center"/>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0.09 (0.01, 0.18), p=0.0231</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Pr>
                <w:rFonts w:ascii="Arial Narrow" w:hAnsi="Arial Narrow"/>
                <w:sz w:val="20"/>
                <w:szCs w:val="20"/>
              </w:rPr>
              <w:t>NE-Asia</w:t>
            </w:r>
          </w:p>
        </w:tc>
        <w:tc>
          <w:tcPr>
            <w:tcW w:w="1417"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9679DA">
              <w:rPr>
                <w:rFonts w:ascii="Arial Narrow" w:hAnsi="Arial Narrow"/>
                <w:sz w:val="20"/>
                <w:szCs w:val="20"/>
                <w:lang w:eastAsia="en-AU"/>
              </w:rPr>
              <w:t>240/446 (53.8)</w:t>
            </w:r>
          </w:p>
        </w:tc>
        <w:tc>
          <w:tcPr>
            <w:tcW w:w="1418" w:type="dxa"/>
            <w:tcBorders>
              <w:top w:val="nil"/>
              <w:bottom w:val="nil"/>
            </w:tcBorders>
            <w:vAlign w:val="center"/>
          </w:tcPr>
          <w:p w:rsidR="00172AD3" w:rsidRPr="009679DA" w:rsidRDefault="00172AD3" w:rsidP="000D4DB4">
            <w:pPr>
              <w:keepNext/>
              <w:keepLines/>
              <w:jc w:val="center"/>
              <w:rPr>
                <w:rFonts w:ascii="Arial Narrow" w:hAnsi="Arial Narrow"/>
                <w:sz w:val="20"/>
                <w:szCs w:val="20"/>
              </w:rPr>
            </w:pPr>
            <w:r>
              <w:rPr>
                <w:rFonts w:ascii="Arial Narrow" w:hAnsi="Arial Narrow"/>
                <w:sz w:val="20"/>
                <w:szCs w:val="20"/>
                <w:lang w:eastAsia="en-AU"/>
              </w:rPr>
              <w:t>87/217 (40.1</w:t>
            </w:r>
            <w:r w:rsidRPr="009679DA">
              <w:rPr>
                <w:rFonts w:ascii="Arial Narrow" w:hAnsi="Arial Narrow"/>
                <w:sz w:val="20"/>
                <w:szCs w:val="20"/>
                <w:lang w:eastAsia="en-AU"/>
              </w:rPr>
              <w:t>)</w:t>
            </w:r>
          </w:p>
        </w:tc>
        <w:tc>
          <w:tcPr>
            <w:tcW w:w="2410" w:type="dxa"/>
            <w:tcBorders>
              <w:top w:val="nil"/>
              <w:bottom w:val="nil"/>
            </w:tcBorders>
            <w:vAlign w:val="center"/>
          </w:tcPr>
          <w:p w:rsidR="00172AD3" w:rsidRPr="00D16630" w:rsidRDefault="00172AD3" w:rsidP="000D4DB4">
            <w:pPr>
              <w:keepNext/>
              <w:keepLines/>
              <w:jc w:val="center"/>
              <w:rPr>
                <w:rFonts w:ascii="Arial Narrow" w:hAnsi="Arial Narrow"/>
                <w:sz w:val="20"/>
                <w:szCs w:val="20"/>
              </w:rPr>
            </w:pPr>
            <w:r w:rsidRPr="00D16630">
              <w:rPr>
                <w:rFonts w:ascii="Arial Narrow" w:hAnsi="Arial Narrow"/>
                <w:sz w:val="20"/>
                <w:szCs w:val="20"/>
              </w:rPr>
              <w:t>1.99 (1.40, 2.82)</w:t>
            </w:r>
            <w:r w:rsidRPr="00D16630">
              <w:rPr>
                <w:rFonts w:ascii="Arial Narrow" w:hAnsi="Arial Narrow"/>
                <w:sz w:val="20"/>
                <w:szCs w:val="20"/>
                <w:vertAlign w:val="superscript"/>
              </w:rPr>
              <w:t>f</w:t>
            </w:r>
            <w:r w:rsidRPr="00D16630">
              <w:rPr>
                <w:rFonts w:ascii="Arial Narrow" w:hAnsi="Arial Narrow"/>
                <w:sz w:val="20"/>
                <w:szCs w:val="20"/>
              </w:rPr>
              <w:t>, p=0.0001</w:t>
            </w:r>
          </w:p>
        </w:tc>
        <w:tc>
          <w:tcPr>
            <w:tcW w:w="2359" w:type="dxa"/>
            <w:tcBorders>
              <w:top w:val="nil"/>
              <w:bottom w:val="nil"/>
            </w:tcBorders>
            <w:vAlign w:val="center"/>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0.14 (0.06, 0.22), p=0.0008</w:t>
            </w:r>
          </w:p>
        </w:tc>
      </w:tr>
      <w:tr w:rsidR="00172AD3" w:rsidRPr="00D16630" w:rsidTr="00155E64">
        <w:trPr>
          <w:tblHeader/>
        </w:trPr>
        <w:tc>
          <w:tcPr>
            <w:tcW w:w="1413" w:type="dxa"/>
            <w:tcBorders>
              <w:top w:val="nil"/>
              <w:bottom w:val="single" w:sz="4" w:space="0" w:color="auto"/>
            </w:tcBorders>
          </w:tcPr>
          <w:p w:rsidR="00172AD3" w:rsidRPr="00882B91" w:rsidRDefault="00172AD3" w:rsidP="000D4DB4">
            <w:pPr>
              <w:keepNext/>
              <w:keepLines/>
              <w:rPr>
                <w:rFonts w:ascii="Arial Narrow" w:hAnsi="Arial Narrow"/>
                <w:sz w:val="20"/>
                <w:szCs w:val="20"/>
                <w:vertAlign w:val="superscript"/>
              </w:rPr>
            </w:pPr>
            <w:r w:rsidRPr="00A20282">
              <w:rPr>
                <w:rFonts w:ascii="Arial Narrow" w:hAnsi="Arial Narrow"/>
                <w:sz w:val="20"/>
                <w:szCs w:val="20"/>
              </w:rPr>
              <w:t>EMBRACE (SS)</w:t>
            </w:r>
            <w:r>
              <w:rPr>
                <w:rFonts w:ascii="Arial Narrow" w:hAnsi="Arial Narrow"/>
                <w:sz w:val="20"/>
                <w:szCs w:val="20"/>
                <w:vertAlign w:val="superscript"/>
              </w:rPr>
              <w:t>g</w:t>
            </w:r>
          </w:p>
        </w:tc>
        <w:tc>
          <w:tcPr>
            <w:tcW w:w="1417" w:type="dxa"/>
            <w:tcBorders>
              <w:top w:val="nil"/>
              <w:bottom w:val="single" w:sz="4" w:space="0" w:color="auto"/>
            </w:tcBorders>
            <w:vAlign w:val="center"/>
          </w:tcPr>
          <w:p w:rsidR="00172AD3" w:rsidRPr="004B4468" w:rsidRDefault="00172AD3" w:rsidP="000D4DB4">
            <w:pPr>
              <w:keepNext/>
              <w:keepLines/>
              <w:jc w:val="center"/>
              <w:rPr>
                <w:rFonts w:ascii="Arial Narrow" w:hAnsi="Arial Narrow"/>
                <w:sz w:val="20"/>
                <w:szCs w:val="20"/>
              </w:rPr>
            </w:pPr>
            <w:r w:rsidRPr="004B4468">
              <w:rPr>
                <w:rFonts w:ascii="Arial Narrow" w:hAnsi="Arial Narrow"/>
                <w:sz w:val="20"/>
                <w:szCs w:val="20"/>
                <w:lang w:eastAsia="en-AU"/>
              </w:rPr>
              <w:t>146/298 (49.0)</w:t>
            </w:r>
          </w:p>
        </w:tc>
        <w:tc>
          <w:tcPr>
            <w:tcW w:w="1418" w:type="dxa"/>
            <w:tcBorders>
              <w:top w:val="nil"/>
              <w:bottom w:val="single" w:sz="4" w:space="0" w:color="auto"/>
            </w:tcBorders>
            <w:vAlign w:val="center"/>
          </w:tcPr>
          <w:p w:rsidR="00172AD3" w:rsidRPr="004B4468" w:rsidRDefault="00172AD3" w:rsidP="000D4DB4">
            <w:pPr>
              <w:keepNext/>
              <w:keepLines/>
              <w:jc w:val="center"/>
              <w:rPr>
                <w:rFonts w:ascii="Arial Narrow" w:hAnsi="Arial Narrow"/>
                <w:sz w:val="20"/>
                <w:szCs w:val="20"/>
              </w:rPr>
            </w:pPr>
            <w:r w:rsidRPr="004B4468">
              <w:rPr>
                <w:rFonts w:ascii="Arial Narrow" w:hAnsi="Arial Narrow"/>
                <w:sz w:val="20"/>
                <w:szCs w:val="20"/>
                <w:lang w:eastAsia="en-AU"/>
              </w:rPr>
              <w:t>62/149 (41.6)</w:t>
            </w:r>
          </w:p>
        </w:tc>
        <w:tc>
          <w:tcPr>
            <w:tcW w:w="2410" w:type="dxa"/>
            <w:tcBorders>
              <w:top w:val="nil"/>
              <w:bottom w:val="single" w:sz="4" w:space="0" w:color="auto"/>
            </w:tcBorders>
            <w:vAlign w:val="center"/>
          </w:tcPr>
          <w:p w:rsidR="00172AD3" w:rsidRPr="00D16630" w:rsidRDefault="00172AD3" w:rsidP="000D4DB4">
            <w:pPr>
              <w:keepNext/>
              <w:keepLines/>
              <w:jc w:val="center"/>
              <w:rPr>
                <w:rFonts w:ascii="Arial Narrow" w:hAnsi="Arial Narrow"/>
                <w:sz w:val="20"/>
                <w:szCs w:val="20"/>
              </w:rPr>
            </w:pPr>
            <w:r w:rsidRPr="00D16630">
              <w:rPr>
                <w:rFonts w:ascii="Arial Narrow" w:hAnsi="Arial Narrow"/>
                <w:sz w:val="20"/>
                <w:szCs w:val="20"/>
              </w:rPr>
              <w:t>1.42 (0.94, 2.15)</w:t>
            </w:r>
            <w:r w:rsidRPr="00D16630">
              <w:rPr>
                <w:rFonts w:ascii="Arial Narrow" w:hAnsi="Arial Narrow"/>
                <w:sz w:val="20"/>
                <w:szCs w:val="20"/>
                <w:vertAlign w:val="superscript"/>
              </w:rPr>
              <w:t>h</w:t>
            </w:r>
            <w:r w:rsidRPr="00D16630">
              <w:rPr>
                <w:rFonts w:ascii="Arial Narrow" w:hAnsi="Arial Narrow"/>
                <w:sz w:val="20"/>
                <w:szCs w:val="20"/>
              </w:rPr>
              <w:t>, p=0.0937</w:t>
            </w:r>
          </w:p>
        </w:tc>
        <w:tc>
          <w:tcPr>
            <w:tcW w:w="2359" w:type="dxa"/>
            <w:tcBorders>
              <w:top w:val="nil"/>
              <w:bottom w:val="single" w:sz="4" w:space="0" w:color="auto"/>
            </w:tcBorders>
            <w:vAlign w:val="center"/>
          </w:tcPr>
          <w:p w:rsidR="00172AD3" w:rsidRPr="00D16630" w:rsidRDefault="00172AD3" w:rsidP="000D4DB4">
            <w:pPr>
              <w:keepNext/>
              <w:keepLines/>
              <w:jc w:val="center"/>
              <w:rPr>
                <w:rFonts w:ascii="Arial Narrow" w:hAnsi="Arial Narrow"/>
                <w:sz w:val="20"/>
                <w:szCs w:val="20"/>
              </w:rPr>
            </w:pPr>
            <w:r w:rsidRPr="00D16630">
              <w:rPr>
                <w:rFonts w:ascii="Arial Narrow" w:hAnsi="Arial Narrow"/>
                <w:sz w:val="20"/>
                <w:szCs w:val="20"/>
              </w:rPr>
              <w:t>0.07 (-0.02, 0.17), p=0.1374</w:t>
            </w:r>
          </w:p>
        </w:tc>
      </w:tr>
      <w:tr w:rsidR="003E7097" w:rsidRPr="00D16630" w:rsidTr="00155E64">
        <w:trPr>
          <w:tblHeader/>
        </w:trPr>
        <w:tc>
          <w:tcPr>
            <w:tcW w:w="1413" w:type="dxa"/>
            <w:tcBorders>
              <w:top w:val="nil"/>
              <w:bottom w:val="single" w:sz="4" w:space="0" w:color="auto"/>
            </w:tcBorders>
          </w:tcPr>
          <w:p w:rsidR="003E7097" w:rsidRPr="000D4DB4" w:rsidRDefault="003E7097" w:rsidP="003E7097">
            <w:pPr>
              <w:keepNext/>
              <w:keepLines/>
              <w:rPr>
                <w:rFonts w:ascii="Arial Narrow" w:hAnsi="Arial Narrow"/>
                <w:sz w:val="20"/>
                <w:szCs w:val="20"/>
              </w:rPr>
            </w:pPr>
            <w:r w:rsidRPr="000D4DB4">
              <w:rPr>
                <w:rFonts w:ascii="Arial Narrow" w:hAnsi="Arial Narrow"/>
                <w:sz w:val="20"/>
                <w:szCs w:val="20"/>
              </w:rPr>
              <w:t>EMBRACE (S2K)</w:t>
            </w:r>
            <w:r w:rsidRPr="000D4DB4">
              <w:rPr>
                <w:rFonts w:ascii="Arial Narrow" w:hAnsi="Arial Narrow"/>
                <w:sz w:val="20"/>
                <w:szCs w:val="20"/>
                <w:vertAlign w:val="superscript"/>
              </w:rPr>
              <w:t>g</w:t>
            </w:r>
          </w:p>
        </w:tc>
        <w:tc>
          <w:tcPr>
            <w:tcW w:w="1417" w:type="dxa"/>
            <w:tcBorders>
              <w:top w:val="nil"/>
              <w:bottom w:val="single" w:sz="4" w:space="0" w:color="auto"/>
            </w:tcBorders>
            <w:vAlign w:val="center"/>
          </w:tcPr>
          <w:p w:rsidR="003E7097" w:rsidRPr="000D4DB4" w:rsidRDefault="003E7097" w:rsidP="003E7097">
            <w:pPr>
              <w:keepNext/>
              <w:keepLines/>
              <w:jc w:val="center"/>
              <w:rPr>
                <w:rFonts w:ascii="Arial Narrow" w:hAnsi="Arial Narrow"/>
                <w:sz w:val="20"/>
                <w:szCs w:val="20"/>
                <w:lang w:eastAsia="en-AU"/>
              </w:rPr>
            </w:pPr>
            <w:r w:rsidRPr="002B3726">
              <w:rPr>
                <w:rFonts w:ascii="Arial Narrow" w:hAnsi="Arial Narrow"/>
                <w:sz w:val="20"/>
                <w:szCs w:val="20"/>
                <w:lang w:eastAsia="en-AU"/>
              </w:rPr>
              <w:t>145/298 (48.7)</w:t>
            </w:r>
          </w:p>
        </w:tc>
        <w:tc>
          <w:tcPr>
            <w:tcW w:w="1418" w:type="dxa"/>
            <w:tcBorders>
              <w:top w:val="nil"/>
              <w:bottom w:val="single" w:sz="4" w:space="0" w:color="auto"/>
            </w:tcBorders>
            <w:vAlign w:val="center"/>
          </w:tcPr>
          <w:p w:rsidR="003E7097" w:rsidRPr="000D4DB4" w:rsidRDefault="003E7097" w:rsidP="003E7097">
            <w:pPr>
              <w:keepNext/>
              <w:keepLines/>
              <w:jc w:val="center"/>
              <w:rPr>
                <w:rFonts w:ascii="Arial Narrow" w:hAnsi="Arial Narrow"/>
                <w:sz w:val="20"/>
                <w:szCs w:val="20"/>
                <w:lang w:eastAsia="en-AU"/>
              </w:rPr>
            </w:pPr>
            <w:r w:rsidRPr="002B3726">
              <w:rPr>
                <w:rFonts w:ascii="Arial Narrow" w:hAnsi="Arial Narrow"/>
                <w:sz w:val="20"/>
                <w:szCs w:val="20"/>
                <w:lang w:eastAsia="en-AU"/>
              </w:rPr>
              <w:t>62/149 (41.6)</w:t>
            </w:r>
          </w:p>
        </w:tc>
        <w:tc>
          <w:tcPr>
            <w:tcW w:w="2410" w:type="dxa"/>
            <w:tcBorders>
              <w:top w:val="nil"/>
              <w:bottom w:val="single" w:sz="4" w:space="0" w:color="auto"/>
            </w:tcBorders>
            <w:vAlign w:val="center"/>
          </w:tcPr>
          <w:p w:rsidR="003E7097" w:rsidRPr="00D16630" w:rsidRDefault="003E7097" w:rsidP="003E7097">
            <w:pPr>
              <w:keepNext/>
              <w:keepLines/>
              <w:jc w:val="center"/>
              <w:rPr>
                <w:rFonts w:ascii="Arial Narrow" w:hAnsi="Arial Narrow"/>
                <w:sz w:val="20"/>
                <w:szCs w:val="20"/>
              </w:rPr>
            </w:pPr>
            <w:r w:rsidRPr="002B3726">
              <w:rPr>
                <w:rFonts w:ascii="Arial Narrow" w:hAnsi="Arial Narrow"/>
                <w:sz w:val="20"/>
                <w:szCs w:val="20"/>
              </w:rPr>
              <w:t>1.40 (0.93, 2.11)</w:t>
            </w:r>
            <w:r w:rsidRPr="002B3726">
              <w:rPr>
                <w:rFonts w:ascii="Arial Narrow" w:hAnsi="Arial Narrow"/>
                <w:sz w:val="20"/>
                <w:szCs w:val="20"/>
                <w:vertAlign w:val="superscript"/>
              </w:rPr>
              <w:t>h</w:t>
            </w:r>
            <w:r w:rsidRPr="002B3726">
              <w:rPr>
                <w:rFonts w:ascii="Arial Narrow" w:hAnsi="Arial Narrow"/>
                <w:sz w:val="20"/>
                <w:szCs w:val="20"/>
              </w:rPr>
              <w:t>, p=0.1068</w:t>
            </w:r>
          </w:p>
        </w:tc>
        <w:tc>
          <w:tcPr>
            <w:tcW w:w="2359" w:type="dxa"/>
            <w:tcBorders>
              <w:top w:val="nil"/>
              <w:bottom w:val="single" w:sz="4" w:space="0" w:color="auto"/>
            </w:tcBorders>
            <w:vAlign w:val="center"/>
          </w:tcPr>
          <w:p w:rsidR="003E7097" w:rsidRPr="00D16630" w:rsidRDefault="003E7097" w:rsidP="003E7097">
            <w:pPr>
              <w:keepNext/>
              <w:keepLines/>
              <w:jc w:val="center"/>
              <w:rPr>
                <w:rFonts w:ascii="Arial Narrow" w:hAnsi="Arial Narrow"/>
                <w:sz w:val="20"/>
                <w:szCs w:val="20"/>
                <w:highlight w:val="yellow"/>
              </w:rPr>
            </w:pPr>
            <w:r w:rsidRPr="00D16630">
              <w:rPr>
                <w:rFonts w:ascii="Arial Narrow" w:hAnsi="Arial Narrow"/>
                <w:sz w:val="20"/>
                <w:szCs w:val="20"/>
              </w:rPr>
              <w:t>0.07 (-0.03, 0.17), p=0.16</w:t>
            </w:r>
          </w:p>
        </w:tc>
      </w:tr>
      <w:tr w:rsidR="00172AD3" w:rsidRPr="00D16630" w:rsidTr="00155E64">
        <w:trPr>
          <w:tblHeader/>
        </w:trPr>
        <w:tc>
          <w:tcPr>
            <w:tcW w:w="4248" w:type="dxa"/>
            <w:gridSpan w:val="3"/>
            <w:tcBorders>
              <w:top w:val="single" w:sz="4" w:space="0" w:color="auto"/>
            </w:tcBorders>
            <w:vAlign w:val="center"/>
          </w:tcPr>
          <w:p w:rsidR="00172AD3" w:rsidRPr="000D4DB4" w:rsidRDefault="00172AD3" w:rsidP="000D4DB4">
            <w:pPr>
              <w:keepNext/>
              <w:keepLines/>
              <w:jc w:val="right"/>
              <w:rPr>
                <w:rFonts w:ascii="Arial Narrow" w:hAnsi="Arial Narrow"/>
                <w:sz w:val="20"/>
                <w:szCs w:val="20"/>
              </w:rPr>
            </w:pPr>
            <w:r w:rsidRPr="000D4DB4">
              <w:rPr>
                <w:rFonts w:ascii="Arial Narrow" w:hAnsi="Arial Narrow"/>
                <w:sz w:val="20"/>
                <w:szCs w:val="20"/>
              </w:rPr>
              <w:t>Meta-analysis (including EMBRACE – SS results)</w:t>
            </w:r>
          </w:p>
        </w:tc>
        <w:tc>
          <w:tcPr>
            <w:tcW w:w="2410" w:type="dxa"/>
            <w:tcBorders>
              <w:top w:val="single" w:sz="4" w:space="0" w:color="auto"/>
            </w:tcBorders>
          </w:tcPr>
          <w:p w:rsidR="00172AD3" w:rsidRPr="000D4DB4" w:rsidRDefault="00172AD3" w:rsidP="000D4DB4">
            <w:pPr>
              <w:pStyle w:val="TableTextCA"/>
              <w:keepNext/>
              <w:keepLines/>
              <w:tabs>
                <w:tab w:val="left" w:pos="3234"/>
              </w:tabs>
              <w:rPr>
                <w:rFonts w:cs="Times New Roman"/>
                <w:b/>
                <w:szCs w:val="20"/>
              </w:rPr>
            </w:pPr>
            <w:r w:rsidRPr="000D4DB4">
              <w:rPr>
                <w:rFonts w:cs="Times New Roman"/>
                <w:b/>
                <w:szCs w:val="20"/>
              </w:rPr>
              <w:t>1.69 (1.45, 1.97), p&lt;0.00001</w:t>
            </w:r>
          </w:p>
        </w:tc>
        <w:tc>
          <w:tcPr>
            <w:tcW w:w="2359" w:type="dxa"/>
            <w:tcBorders>
              <w:top w:val="single" w:sz="4" w:space="0" w:color="auto"/>
            </w:tcBorders>
          </w:tcPr>
          <w:p w:rsidR="00172AD3" w:rsidRPr="00D16630" w:rsidRDefault="00172AD3" w:rsidP="000D4DB4">
            <w:pPr>
              <w:pStyle w:val="TableTextCA"/>
              <w:keepNext/>
              <w:keepLines/>
              <w:tabs>
                <w:tab w:val="left" w:pos="3234"/>
              </w:tabs>
              <w:rPr>
                <w:rFonts w:cs="Times New Roman"/>
                <w:b/>
                <w:szCs w:val="20"/>
              </w:rPr>
            </w:pPr>
            <w:r w:rsidRPr="00D16630">
              <w:rPr>
                <w:rStyle w:val="TableText0"/>
                <w:b/>
                <w:sz w:val="20"/>
                <w:szCs w:val="20"/>
              </w:rPr>
              <w:t>0.12 (0.08, 0.15), p&lt;0.00001</w:t>
            </w:r>
          </w:p>
        </w:tc>
      </w:tr>
      <w:tr w:rsidR="00172AD3" w:rsidRPr="00D16630" w:rsidTr="00155E64">
        <w:trPr>
          <w:tblHeader/>
        </w:trPr>
        <w:tc>
          <w:tcPr>
            <w:tcW w:w="9017" w:type="dxa"/>
            <w:gridSpan w:val="5"/>
            <w:tcBorders>
              <w:bottom w:val="single" w:sz="4" w:space="0" w:color="auto"/>
            </w:tcBorders>
            <w:vAlign w:val="center"/>
          </w:tcPr>
          <w:p w:rsidR="00172AD3" w:rsidRPr="00D16630" w:rsidRDefault="00172AD3" w:rsidP="000D4DB4">
            <w:pPr>
              <w:keepNext/>
              <w:keepLines/>
              <w:jc w:val="left"/>
              <w:rPr>
                <w:rFonts w:ascii="Arial Narrow" w:hAnsi="Arial Narrow"/>
                <w:b/>
                <w:bCs/>
                <w:sz w:val="20"/>
                <w:szCs w:val="20"/>
              </w:rPr>
            </w:pPr>
            <w:r w:rsidRPr="00D16630">
              <w:rPr>
                <w:rFonts w:ascii="Arial Narrow" w:hAnsi="Arial Narrow"/>
                <w:b/>
                <w:bCs/>
                <w:sz w:val="20"/>
                <w:szCs w:val="20"/>
              </w:rPr>
              <w:t>≥4 point reduction from baseline in SELENA-SLEDAI score at Week 52</w:t>
            </w:r>
          </w:p>
        </w:tc>
      </w:tr>
      <w:tr w:rsidR="00172AD3" w:rsidRPr="00D16630" w:rsidTr="00155E64">
        <w:trPr>
          <w:tblHeader/>
        </w:trPr>
        <w:tc>
          <w:tcPr>
            <w:tcW w:w="1413" w:type="dxa"/>
            <w:tcBorders>
              <w:bottom w:val="nil"/>
            </w:tcBorders>
          </w:tcPr>
          <w:p w:rsidR="00172AD3" w:rsidRPr="00A20282" w:rsidRDefault="00172AD3" w:rsidP="000D4DB4">
            <w:pPr>
              <w:keepNext/>
              <w:keepLines/>
              <w:rPr>
                <w:rFonts w:ascii="Arial Narrow" w:hAnsi="Arial Narrow"/>
                <w:sz w:val="20"/>
                <w:szCs w:val="20"/>
                <w:vertAlign w:val="superscript"/>
              </w:rPr>
            </w:pPr>
            <w:r>
              <w:rPr>
                <w:rFonts w:ascii="Arial Narrow" w:hAnsi="Arial Narrow"/>
                <w:sz w:val="20"/>
                <w:szCs w:val="20"/>
              </w:rPr>
              <w:t>BLISS-</w:t>
            </w:r>
            <w:r w:rsidRPr="00A20282">
              <w:rPr>
                <w:rFonts w:ascii="Arial Narrow" w:hAnsi="Arial Narrow"/>
                <w:sz w:val="20"/>
                <w:szCs w:val="20"/>
              </w:rPr>
              <w:t>SC</w:t>
            </w:r>
            <w:r w:rsidRPr="00A20282">
              <w:rPr>
                <w:rFonts w:ascii="Arial Narrow" w:hAnsi="Arial Narrow"/>
                <w:sz w:val="20"/>
                <w:szCs w:val="20"/>
                <w:vertAlign w:val="superscript"/>
              </w:rPr>
              <w:t>a</w:t>
            </w:r>
          </w:p>
        </w:tc>
        <w:tc>
          <w:tcPr>
            <w:tcW w:w="1417" w:type="dxa"/>
            <w:tcBorders>
              <w:bottom w:val="nil"/>
            </w:tcBorders>
            <w:vAlign w:val="center"/>
          </w:tcPr>
          <w:p w:rsidR="00172AD3" w:rsidRPr="00A20282" w:rsidRDefault="00172AD3" w:rsidP="000D4DB4">
            <w:pPr>
              <w:keepNext/>
              <w:keepLines/>
              <w:jc w:val="center"/>
              <w:rPr>
                <w:rFonts w:ascii="Arial Narrow" w:hAnsi="Arial Narrow"/>
                <w:sz w:val="20"/>
                <w:szCs w:val="20"/>
              </w:rPr>
            </w:pPr>
            <w:r w:rsidRPr="00A20282">
              <w:rPr>
                <w:rFonts w:ascii="Arial Narrow" w:hAnsi="Arial Narrow"/>
                <w:sz w:val="20"/>
                <w:szCs w:val="20"/>
              </w:rPr>
              <w:t>345/554 (62.3)</w:t>
            </w:r>
          </w:p>
        </w:tc>
        <w:tc>
          <w:tcPr>
            <w:tcW w:w="1418" w:type="dxa"/>
            <w:tcBorders>
              <w:bottom w:val="nil"/>
            </w:tcBorders>
            <w:vAlign w:val="center"/>
          </w:tcPr>
          <w:p w:rsidR="00172AD3" w:rsidRPr="00A20282" w:rsidRDefault="00172AD3" w:rsidP="000D4DB4">
            <w:pPr>
              <w:keepNext/>
              <w:keepLines/>
              <w:jc w:val="center"/>
              <w:rPr>
                <w:rFonts w:ascii="Arial Narrow" w:hAnsi="Arial Narrow"/>
                <w:sz w:val="20"/>
                <w:szCs w:val="20"/>
              </w:rPr>
            </w:pPr>
            <w:r w:rsidRPr="00A20282">
              <w:rPr>
                <w:rFonts w:ascii="Arial Narrow" w:hAnsi="Arial Narrow"/>
                <w:sz w:val="20"/>
                <w:szCs w:val="20"/>
              </w:rPr>
              <w:t>137/279 (49.1)</w:t>
            </w:r>
          </w:p>
        </w:tc>
        <w:tc>
          <w:tcPr>
            <w:tcW w:w="2410" w:type="dxa"/>
            <w:tcBorders>
              <w:bottom w:val="nil"/>
            </w:tcBorders>
          </w:tcPr>
          <w:p w:rsidR="00172AD3" w:rsidRPr="00D16630" w:rsidRDefault="00172AD3" w:rsidP="000D4DB4">
            <w:pPr>
              <w:keepNext/>
              <w:keepLines/>
              <w:jc w:val="center"/>
              <w:rPr>
                <w:rFonts w:ascii="Arial Narrow" w:hAnsi="Arial Narrow"/>
                <w:sz w:val="20"/>
                <w:szCs w:val="20"/>
              </w:rPr>
            </w:pPr>
            <w:r w:rsidRPr="00D16630">
              <w:rPr>
                <w:rFonts w:ascii="Arial Narrow" w:hAnsi="Arial Narrow" w:cs="ArialNarrow"/>
                <w:snapToGrid/>
                <w:sz w:val="20"/>
                <w:szCs w:val="20"/>
                <w:lang w:eastAsia="en-AU"/>
              </w:rPr>
              <w:t>1.69 (1.26, 2.27)</w:t>
            </w:r>
            <w:r w:rsidRPr="00D16630">
              <w:rPr>
                <w:rFonts w:ascii="Arial Narrow" w:hAnsi="Arial Narrow" w:cs="ArialNarrow"/>
                <w:snapToGrid/>
                <w:sz w:val="20"/>
                <w:szCs w:val="20"/>
                <w:vertAlign w:val="superscript"/>
                <w:lang w:eastAsia="en-AU"/>
              </w:rPr>
              <w:t>b</w:t>
            </w:r>
            <w:r w:rsidRPr="00D16630">
              <w:rPr>
                <w:rFonts w:ascii="Arial Narrow" w:hAnsi="Arial Narrow" w:cs="ArialNarrow"/>
                <w:snapToGrid/>
                <w:sz w:val="20"/>
                <w:szCs w:val="20"/>
                <w:lang w:eastAsia="en-AU"/>
              </w:rPr>
              <w:t>, p=0.0005</w:t>
            </w:r>
          </w:p>
        </w:tc>
        <w:tc>
          <w:tcPr>
            <w:tcW w:w="2359" w:type="dxa"/>
            <w:tcBorders>
              <w:bottom w:val="nil"/>
            </w:tcBorders>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0.13 (0.06, 0.20), p=0.0003</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sidRPr="00A20282">
              <w:rPr>
                <w:rFonts w:ascii="Arial Narrow" w:hAnsi="Arial Narrow"/>
                <w:sz w:val="20"/>
                <w:szCs w:val="20"/>
              </w:rPr>
              <w:t>BLISS-52</w:t>
            </w:r>
          </w:p>
        </w:tc>
        <w:tc>
          <w:tcPr>
            <w:tcW w:w="1417"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FD4637">
              <w:rPr>
                <w:rFonts w:ascii="Arial Narrow" w:hAnsi="Arial Narrow"/>
                <w:sz w:val="20"/>
                <w:szCs w:val="20"/>
              </w:rPr>
              <w:t>169/290 (58.</w:t>
            </w:r>
            <w:r>
              <w:rPr>
                <w:rFonts w:ascii="Arial Narrow" w:hAnsi="Arial Narrow"/>
                <w:sz w:val="20"/>
                <w:szCs w:val="20"/>
              </w:rPr>
              <w:t>3</w:t>
            </w:r>
            <w:r w:rsidRPr="00FD4637">
              <w:rPr>
                <w:rFonts w:ascii="Arial Narrow" w:hAnsi="Arial Narrow"/>
                <w:sz w:val="20"/>
                <w:szCs w:val="20"/>
              </w:rPr>
              <w:t>)</w:t>
            </w:r>
          </w:p>
        </w:tc>
        <w:tc>
          <w:tcPr>
            <w:tcW w:w="1418"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FD4637">
              <w:rPr>
                <w:rFonts w:ascii="Arial Narrow" w:hAnsi="Arial Narrow"/>
                <w:sz w:val="20"/>
                <w:szCs w:val="20"/>
              </w:rPr>
              <w:t>132/287 (46.0)</w:t>
            </w:r>
          </w:p>
        </w:tc>
        <w:tc>
          <w:tcPr>
            <w:tcW w:w="2410" w:type="dxa"/>
            <w:tcBorders>
              <w:top w:val="nil"/>
              <w:bottom w:val="nil"/>
            </w:tcBorders>
          </w:tcPr>
          <w:p w:rsidR="00172AD3" w:rsidRPr="00D16630" w:rsidRDefault="00172AD3" w:rsidP="000D4DB4">
            <w:pPr>
              <w:keepNext/>
              <w:keepLines/>
              <w:jc w:val="center"/>
              <w:rPr>
                <w:rFonts w:ascii="Arial Narrow" w:hAnsi="Arial Narrow"/>
                <w:sz w:val="20"/>
                <w:szCs w:val="20"/>
              </w:rPr>
            </w:pPr>
            <w:r w:rsidRPr="00D16630">
              <w:rPr>
                <w:rFonts w:ascii="Arial Narrow" w:hAnsi="Arial Narrow"/>
                <w:snapToGrid/>
                <w:sz w:val="20"/>
                <w:szCs w:val="20"/>
                <w:lang w:eastAsia="en-AU"/>
              </w:rPr>
              <w:t>1.71 (1.21, 2.41)</w:t>
            </w:r>
            <w:r w:rsidRPr="00D16630">
              <w:rPr>
                <w:rFonts w:ascii="Arial Narrow" w:hAnsi="Arial Narrow"/>
                <w:snapToGrid/>
                <w:sz w:val="20"/>
                <w:szCs w:val="20"/>
                <w:vertAlign w:val="superscript"/>
                <w:lang w:eastAsia="en-AU"/>
              </w:rPr>
              <w:t>e</w:t>
            </w:r>
            <w:r w:rsidRPr="00D16630">
              <w:rPr>
                <w:rFonts w:ascii="Arial Narrow" w:hAnsi="Arial Narrow"/>
                <w:snapToGrid/>
                <w:sz w:val="20"/>
                <w:szCs w:val="20"/>
                <w:lang w:eastAsia="en-AU"/>
              </w:rPr>
              <w:t>, p=0.0024</w:t>
            </w:r>
          </w:p>
        </w:tc>
        <w:tc>
          <w:tcPr>
            <w:tcW w:w="2359" w:type="dxa"/>
            <w:tcBorders>
              <w:top w:val="nil"/>
              <w:bottom w:val="nil"/>
            </w:tcBorders>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0.12 (0.04, 0.20), p=0.0029</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sidRPr="00A20282">
              <w:rPr>
                <w:rFonts w:ascii="Arial Narrow" w:hAnsi="Arial Narrow"/>
                <w:sz w:val="20"/>
                <w:szCs w:val="20"/>
              </w:rPr>
              <w:t>BLISS-76</w:t>
            </w:r>
          </w:p>
        </w:tc>
        <w:tc>
          <w:tcPr>
            <w:tcW w:w="1417"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6B3B3D">
              <w:rPr>
                <w:rFonts w:ascii="Arial Narrow" w:hAnsi="Arial Narrow"/>
                <w:sz w:val="20"/>
                <w:szCs w:val="20"/>
              </w:rPr>
              <w:t>128/273 (46.9)</w:t>
            </w:r>
          </w:p>
        </w:tc>
        <w:tc>
          <w:tcPr>
            <w:tcW w:w="1418"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6B3B3D">
              <w:rPr>
                <w:rFonts w:ascii="Arial Narrow" w:hAnsi="Arial Narrow"/>
                <w:sz w:val="20"/>
                <w:szCs w:val="20"/>
              </w:rPr>
              <w:t>98/275 (35.6)</w:t>
            </w:r>
          </w:p>
        </w:tc>
        <w:tc>
          <w:tcPr>
            <w:tcW w:w="2410" w:type="dxa"/>
            <w:tcBorders>
              <w:top w:val="nil"/>
              <w:bottom w:val="nil"/>
            </w:tcBorders>
          </w:tcPr>
          <w:p w:rsidR="00172AD3" w:rsidRPr="00D16630" w:rsidRDefault="00172AD3" w:rsidP="000D4DB4">
            <w:pPr>
              <w:keepNext/>
              <w:keepLines/>
              <w:jc w:val="center"/>
              <w:rPr>
                <w:rFonts w:ascii="Arial Narrow" w:hAnsi="Arial Narrow"/>
                <w:sz w:val="20"/>
                <w:szCs w:val="20"/>
              </w:rPr>
            </w:pPr>
            <w:r w:rsidRPr="00D16630">
              <w:rPr>
                <w:rFonts w:ascii="Arial Narrow" w:hAnsi="Arial Narrow"/>
                <w:snapToGrid/>
                <w:sz w:val="20"/>
                <w:szCs w:val="20"/>
                <w:lang w:eastAsia="en-AU"/>
              </w:rPr>
              <w:t>1.63 (1.15, 2.32)</w:t>
            </w:r>
            <w:r w:rsidRPr="00D16630">
              <w:rPr>
                <w:rFonts w:ascii="Arial Narrow" w:hAnsi="Arial Narrow"/>
                <w:snapToGrid/>
                <w:sz w:val="20"/>
                <w:szCs w:val="20"/>
                <w:vertAlign w:val="superscript"/>
                <w:lang w:eastAsia="en-AU"/>
              </w:rPr>
              <w:t>e</w:t>
            </w:r>
            <w:r w:rsidRPr="00D16630">
              <w:rPr>
                <w:rFonts w:ascii="Arial Narrow" w:hAnsi="Arial Narrow"/>
                <w:snapToGrid/>
                <w:sz w:val="20"/>
                <w:szCs w:val="20"/>
                <w:lang w:eastAsia="en-AU"/>
              </w:rPr>
              <w:t>, p=0.0062</w:t>
            </w:r>
          </w:p>
        </w:tc>
        <w:tc>
          <w:tcPr>
            <w:tcW w:w="2359" w:type="dxa"/>
            <w:tcBorders>
              <w:top w:val="nil"/>
              <w:bottom w:val="nil"/>
            </w:tcBorders>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0.11 (0.03, 0.19), p=0.0071</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Pr>
                <w:rFonts w:ascii="Arial Narrow" w:hAnsi="Arial Narrow"/>
                <w:sz w:val="20"/>
                <w:szCs w:val="20"/>
              </w:rPr>
              <w:t>NE-Asia</w:t>
            </w:r>
          </w:p>
        </w:tc>
        <w:tc>
          <w:tcPr>
            <w:tcW w:w="1417"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605642">
              <w:rPr>
                <w:rFonts w:ascii="Arial Narrow" w:hAnsi="Arial Narrow"/>
                <w:sz w:val="20"/>
                <w:szCs w:val="20"/>
              </w:rPr>
              <w:t>249/446 (55.8)</w:t>
            </w:r>
          </w:p>
        </w:tc>
        <w:tc>
          <w:tcPr>
            <w:tcW w:w="1418" w:type="dxa"/>
            <w:tcBorders>
              <w:top w:val="nil"/>
              <w:bottom w:val="nil"/>
            </w:tcBorders>
            <w:vAlign w:val="center"/>
          </w:tcPr>
          <w:p w:rsidR="00172AD3" w:rsidRPr="00EB5764" w:rsidRDefault="00172AD3" w:rsidP="000D4DB4">
            <w:pPr>
              <w:keepNext/>
              <w:keepLines/>
              <w:jc w:val="center"/>
              <w:rPr>
                <w:rFonts w:ascii="Arial Narrow" w:hAnsi="Arial Narrow"/>
                <w:sz w:val="20"/>
                <w:szCs w:val="20"/>
                <w:highlight w:val="yellow"/>
              </w:rPr>
            </w:pPr>
            <w:r w:rsidRPr="00EB5764">
              <w:rPr>
                <w:rFonts w:ascii="Arial Narrow" w:hAnsi="Arial Narrow"/>
                <w:sz w:val="20"/>
                <w:szCs w:val="20"/>
              </w:rPr>
              <w:t>91/217* (41.9)</w:t>
            </w:r>
          </w:p>
        </w:tc>
        <w:tc>
          <w:tcPr>
            <w:tcW w:w="2410" w:type="dxa"/>
            <w:tcBorders>
              <w:top w:val="nil"/>
              <w:bottom w:val="nil"/>
            </w:tcBorders>
          </w:tcPr>
          <w:p w:rsidR="00172AD3" w:rsidRPr="00D16630" w:rsidRDefault="00172AD3" w:rsidP="000D4DB4">
            <w:pPr>
              <w:keepNext/>
              <w:keepLines/>
              <w:jc w:val="center"/>
              <w:rPr>
                <w:rFonts w:ascii="Arial Narrow" w:hAnsi="Arial Narrow"/>
                <w:sz w:val="20"/>
                <w:szCs w:val="20"/>
              </w:rPr>
            </w:pPr>
            <w:r w:rsidRPr="00D16630">
              <w:rPr>
                <w:rFonts w:ascii="Arial Narrow" w:hAnsi="Arial Narrow"/>
                <w:sz w:val="20"/>
                <w:szCs w:val="20"/>
              </w:rPr>
              <w:t>2.01 (1.42, 2.86)</w:t>
            </w:r>
            <w:r w:rsidRPr="00D16630">
              <w:rPr>
                <w:rFonts w:ascii="Arial Narrow" w:hAnsi="Arial Narrow"/>
                <w:sz w:val="20"/>
                <w:szCs w:val="20"/>
                <w:vertAlign w:val="superscript"/>
              </w:rPr>
              <w:t>f</w:t>
            </w:r>
            <w:r w:rsidRPr="00D16630">
              <w:rPr>
                <w:rFonts w:ascii="Arial Narrow" w:hAnsi="Arial Narrow"/>
                <w:sz w:val="20"/>
                <w:szCs w:val="20"/>
              </w:rPr>
              <w:t>, p&lt;0.0001</w:t>
            </w:r>
          </w:p>
        </w:tc>
        <w:tc>
          <w:tcPr>
            <w:tcW w:w="2359" w:type="dxa"/>
            <w:tcBorders>
              <w:top w:val="nil"/>
              <w:bottom w:val="nil"/>
            </w:tcBorders>
          </w:tcPr>
          <w:p w:rsidR="00172AD3" w:rsidRPr="00D16630" w:rsidRDefault="00172AD3" w:rsidP="000D4DB4">
            <w:pPr>
              <w:keepNext/>
              <w:keepLines/>
              <w:jc w:val="center"/>
              <w:rPr>
                <w:rFonts w:ascii="Arial Narrow" w:hAnsi="Arial Narrow"/>
                <w:b/>
                <w:sz w:val="20"/>
                <w:szCs w:val="20"/>
                <w:highlight w:val="yellow"/>
              </w:rPr>
            </w:pPr>
            <w:r w:rsidRPr="00D16630">
              <w:rPr>
                <w:rFonts w:ascii="Arial Narrow" w:hAnsi="Arial Narrow"/>
                <w:b/>
                <w:sz w:val="20"/>
                <w:szCs w:val="20"/>
              </w:rPr>
              <w:t>0.14 (0.06, 0.22), p=0.0007</w:t>
            </w:r>
          </w:p>
        </w:tc>
      </w:tr>
      <w:tr w:rsidR="00172AD3" w:rsidRPr="00D16630" w:rsidTr="00155E64">
        <w:trPr>
          <w:tblHeader/>
        </w:trPr>
        <w:tc>
          <w:tcPr>
            <w:tcW w:w="1413" w:type="dxa"/>
            <w:tcBorders>
              <w:top w:val="nil"/>
              <w:bottom w:val="single" w:sz="4" w:space="0" w:color="auto"/>
            </w:tcBorders>
          </w:tcPr>
          <w:p w:rsidR="00172AD3" w:rsidRPr="008D13F9" w:rsidRDefault="00172AD3" w:rsidP="000D4DB4">
            <w:pPr>
              <w:keepNext/>
              <w:keepLines/>
              <w:rPr>
                <w:rFonts w:ascii="Arial Narrow" w:hAnsi="Arial Narrow"/>
                <w:sz w:val="20"/>
                <w:szCs w:val="20"/>
                <w:vertAlign w:val="superscript"/>
              </w:rPr>
            </w:pPr>
            <w:r w:rsidRPr="00A20282">
              <w:rPr>
                <w:rFonts w:ascii="Arial Narrow" w:hAnsi="Arial Narrow"/>
                <w:sz w:val="20"/>
                <w:szCs w:val="20"/>
              </w:rPr>
              <w:t>EMBRACE (S2K)</w:t>
            </w:r>
            <w:r>
              <w:rPr>
                <w:rFonts w:ascii="Arial Narrow" w:hAnsi="Arial Narrow"/>
                <w:sz w:val="20"/>
                <w:szCs w:val="20"/>
                <w:vertAlign w:val="superscript"/>
              </w:rPr>
              <w:t>g</w:t>
            </w:r>
          </w:p>
        </w:tc>
        <w:tc>
          <w:tcPr>
            <w:tcW w:w="1417" w:type="dxa"/>
            <w:tcBorders>
              <w:top w:val="nil"/>
              <w:bottom w:val="single" w:sz="4" w:space="0" w:color="auto"/>
            </w:tcBorders>
            <w:vAlign w:val="center"/>
          </w:tcPr>
          <w:p w:rsidR="00172AD3" w:rsidRPr="004B0CE5" w:rsidRDefault="006D6DCE" w:rsidP="000D4DB4">
            <w:pPr>
              <w:keepNext/>
              <w:keepLines/>
              <w:jc w:val="center"/>
              <w:rPr>
                <w:rFonts w:ascii="Arial Narrow" w:hAnsi="Arial Narrow"/>
                <w:sz w:val="20"/>
                <w:szCs w:val="20"/>
              </w:rPr>
            </w:pPr>
            <w:r>
              <w:rPr>
                <w:rFonts w:ascii="Arial Narrow" w:hAnsi="Arial Narrow"/>
                <w:noProof/>
                <w:color w:val="000000"/>
                <w:sz w:val="20"/>
                <w:szCs w:val="20"/>
                <w:highlight w:val="black"/>
              </w:rPr>
              <w:t>''''''''''</w:t>
            </w:r>
            <w:r w:rsidR="00172AD3" w:rsidRPr="004B0CE5">
              <w:rPr>
                <w:rFonts w:ascii="Arial Narrow" w:hAnsi="Arial Narrow"/>
                <w:sz w:val="20"/>
                <w:szCs w:val="20"/>
              </w:rPr>
              <w:t>/298 (</w:t>
            </w:r>
            <w:r>
              <w:rPr>
                <w:rFonts w:ascii="Arial Narrow" w:hAnsi="Arial Narrow"/>
                <w:noProof/>
                <w:color w:val="000000"/>
                <w:sz w:val="20"/>
                <w:szCs w:val="20"/>
                <w:highlight w:val="black"/>
              </w:rPr>
              <w:t>'''''''''''</w:t>
            </w:r>
            <w:r w:rsidR="00172AD3" w:rsidRPr="004B0CE5">
              <w:rPr>
                <w:rFonts w:ascii="Arial Narrow" w:hAnsi="Arial Narrow"/>
                <w:sz w:val="20"/>
                <w:szCs w:val="20"/>
              </w:rPr>
              <w:t>)</w:t>
            </w:r>
          </w:p>
        </w:tc>
        <w:tc>
          <w:tcPr>
            <w:tcW w:w="1418" w:type="dxa"/>
            <w:tcBorders>
              <w:top w:val="nil"/>
              <w:bottom w:val="single" w:sz="4" w:space="0" w:color="auto"/>
            </w:tcBorders>
            <w:vAlign w:val="center"/>
          </w:tcPr>
          <w:p w:rsidR="00172AD3" w:rsidRPr="004B0CE5" w:rsidRDefault="006D6DCE" w:rsidP="000D4DB4">
            <w:pPr>
              <w:keepNext/>
              <w:keepLines/>
              <w:jc w:val="center"/>
              <w:rPr>
                <w:rFonts w:ascii="Arial Narrow" w:hAnsi="Arial Narrow"/>
                <w:sz w:val="20"/>
                <w:szCs w:val="20"/>
              </w:rPr>
            </w:pPr>
            <w:r>
              <w:rPr>
                <w:rFonts w:ascii="Arial Narrow" w:hAnsi="Arial Narrow"/>
                <w:noProof/>
                <w:color w:val="000000"/>
                <w:sz w:val="20"/>
                <w:szCs w:val="20"/>
                <w:highlight w:val="black"/>
              </w:rPr>
              <w:t>''''''</w:t>
            </w:r>
            <w:r w:rsidR="00172AD3" w:rsidRPr="004B0CE5">
              <w:rPr>
                <w:rFonts w:ascii="Arial Narrow" w:hAnsi="Arial Narrow"/>
                <w:sz w:val="20"/>
                <w:szCs w:val="20"/>
              </w:rPr>
              <w:t>/149 (</w:t>
            </w:r>
            <w:r>
              <w:rPr>
                <w:rFonts w:ascii="Arial Narrow" w:hAnsi="Arial Narrow"/>
                <w:noProof/>
                <w:color w:val="000000"/>
                <w:sz w:val="20"/>
                <w:szCs w:val="20"/>
                <w:highlight w:val="black"/>
              </w:rPr>
              <w:t>''''''''''''</w:t>
            </w:r>
            <w:r w:rsidR="00172AD3" w:rsidRPr="004B0CE5">
              <w:rPr>
                <w:rFonts w:ascii="Arial Narrow" w:hAnsi="Arial Narrow"/>
                <w:sz w:val="20"/>
                <w:szCs w:val="20"/>
              </w:rPr>
              <w:t>)</w:t>
            </w:r>
          </w:p>
        </w:tc>
        <w:tc>
          <w:tcPr>
            <w:tcW w:w="2410" w:type="dxa"/>
            <w:tcBorders>
              <w:top w:val="nil"/>
              <w:bottom w:val="single" w:sz="4" w:space="0" w:color="auto"/>
            </w:tcBorders>
          </w:tcPr>
          <w:p w:rsidR="00172AD3" w:rsidRPr="00D16630" w:rsidRDefault="006D6DCE" w:rsidP="000D4DB4">
            <w:pPr>
              <w:keepNext/>
              <w:keepLines/>
              <w:jc w:val="center"/>
              <w:rPr>
                <w:rFonts w:ascii="Arial Narrow" w:hAnsi="Arial Narrow"/>
                <w:sz w:val="20"/>
                <w:szCs w:val="20"/>
              </w:rPr>
            </w:pPr>
            <w:r>
              <w:rPr>
                <w:rFonts w:ascii="Arial Narrow" w:hAnsi="Arial Narrow"/>
                <w:noProof/>
                <w:color w:val="000000"/>
                <w:sz w:val="20"/>
                <w:szCs w:val="20"/>
                <w:highlight w:val="black"/>
              </w:rPr>
              <w:t xml:space="preserve">'''''''''''' </w:t>
            </w:r>
            <w:r w:rsidR="00172AD3" w:rsidRPr="00D16630">
              <w:rPr>
                <w:rFonts w:ascii="Arial Narrow" w:hAnsi="Arial Narrow"/>
                <w:sz w:val="20"/>
                <w:szCs w:val="20"/>
              </w:rPr>
              <w:t>(</w:t>
            </w:r>
            <w:r>
              <w:rPr>
                <w:rFonts w:ascii="Arial Narrow" w:hAnsi="Arial Narrow"/>
                <w:noProof/>
                <w:color w:val="000000"/>
                <w:sz w:val="20"/>
                <w:szCs w:val="20"/>
                <w:highlight w:val="black"/>
              </w:rPr>
              <w:t>''''''''''</w:t>
            </w:r>
            <w:r w:rsidR="00172AD3" w:rsidRPr="00D16630">
              <w:rPr>
                <w:rFonts w:ascii="Arial Narrow" w:hAnsi="Arial Narrow"/>
                <w:sz w:val="20"/>
                <w:szCs w:val="20"/>
              </w:rPr>
              <w:t xml:space="preserve">, </w:t>
            </w:r>
            <w:r>
              <w:rPr>
                <w:rFonts w:ascii="Arial Narrow" w:hAnsi="Arial Narrow"/>
                <w:noProof/>
                <w:color w:val="000000"/>
                <w:sz w:val="20"/>
                <w:szCs w:val="20"/>
                <w:highlight w:val="black"/>
              </w:rPr>
              <w:t>'''''''''''</w:t>
            </w:r>
            <w:r w:rsidR="00172AD3" w:rsidRPr="00D16630">
              <w:rPr>
                <w:rFonts w:ascii="Arial Narrow" w:hAnsi="Arial Narrow"/>
                <w:sz w:val="20"/>
                <w:szCs w:val="20"/>
              </w:rPr>
              <w:t>)</w:t>
            </w:r>
            <w:r w:rsidR="00172AD3" w:rsidRPr="00D16630">
              <w:rPr>
                <w:rFonts w:ascii="Arial Narrow" w:hAnsi="Arial Narrow"/>
                <w:sz w:val="20"/>
                <w:szCs w:val="20"/>
                <w:vertAlign w:val="superscript"/>
              </w:rPr>
              <w:t>h</w:t>
            </w:r>
            <w:r w:rsidR="00172AD3" w:rsidRPr="00D16630">
              <w:rPr>
                <w:rFonts w:ascii="Arial Narrow" w:hAnsi="Arial Narrow"/>
                <w:sz w:val="20"/>
                <w:szCs w:val="20"/>
              </w:rPr>
              <w:t>, p=</w:t>
            </w:r>
            <w:r>
              <w:rPr>
                <w:rFonts w:ascii="Arial Narrow" w:hAnsi="Arial Narrow"/>
                <w:noProof/>
                <w:color w:val="000000"/>
                <w:sz w:val="20"/>
                <w:szCs w:val="20"/>
                <w:highlight w:val="black"/>
              </w:rPr>
              <w:t>''''''''''''''''</w:t>
            </w:r>
          </w:p>
        </w:tc>
        <w:tc>
          <w:tcPr>
            <w:tcW w:w="2359" w:type="dxa"/>
            <w:tcBorders>
              <w:top w:val="nil"/>
              <w:bottom w:val="single" w:sz="4" w:space="0" w:color="auto"/>
            </w:tcBorders>
          </w:tcPr>
          <w:p w:rsidR="00172AD3" w:rsidRPr="00D16630" w:rsidRDefault="006D6DCE" w:rsidP="000D4DB4">
            <w:pPr>
              <w:keepNext/>
              <w:keepLines/>
              <w:jc w:val="center"/>
              <w:rPr>
                <w:rFonts w:ascii="Arial Narrow" w:hAnsi="Arial Narrow"/>
                <w:sz w:val="20"/>
                <w:szCs w:val="20"/>
                <w:highlight w:val="yellow"/>
              </w:rPr>
            </w:pPr>
            <w:r>
              <w:rPr>
                <w:rFonts w:ascii="Arial Narrow" w:hAnsi="Arial Narrow"/>
                <w:noProof/>
                <w:color w:val="000000"/>
                <w:sz w:val="20"/>
                <w:szCs w:val="20"/>
                <w:highlight w:val="black"/>
              </w:rPr>
              <w:t xml:space="preserve">''''''''''' </w:t>
            </w:r>
            <w:r w:rsidR="00172AD3" w:rsidRPr="00D16630">
              <w:rPr>
                <w:rFonts w:ascii="Arial Narrow" w:hAnsi="Arial Narrow"/>
                <w:sz w:val="20"/>
                <w:szCs w:val="20"/>
              </w:rPr>
              <w:t>(</w:t>
            </w:r>
            <w:r>
              <w:rPr>
                <w:rFonts w:ascii="Arial Narrow" w:hAnsi="Arial Narrow"/>
                <w:noProof/>
                <w:color w:val="000000"/>
                <w:sz w:val="20"/>
                <w:szCs w:val="20"/>
                <w:highlight w:val="black"/>
              </w:rPr>
              <w:t>'''''''''''</w:t>
            </w:r>
            <w:r w:rsidR="00172AD3" w:rsidRPr="00D16630">
              <w:rPr>
                <w:rFonts w:ascii="Arial Narrow" w:hAnsi="Arial Narrow"/>
                <w:sz w:val="20"/>
                <w:szCs w:val="20"/>
              </w:rPr>
              <w:t xml:space="preserve">, </w:t>
            </w:r>
            <w:r>
              <w:rPr>
                <w:rFonts w:ascii="Arial Narrow" w:hAnsi="Arial Narrow"/>
                <w:noProof/>
                <w:color w:val="000000"/>
                <w:sz w:val="20"/>
                <w:szCs w:val="20"/>
                <w:highlight w:val="black"/>
              </w:rPr>
              <w:t>'''''''''''</w:t>
            </w:r>
            <w:r w:rsidR="00172AD3" w:rsidRPr="00D16630">
              <w:rPr>
                <w:rFonts w:ascii="Arial Narrow" w:hAnsi="Arial Narrow"/>
                <w:sz w:val="20"/>
                <w:szCs w:val="20"/>
              </w:rPr>
              <w:t xml:space="preserve">), </w:t>
            </w:r>
            <w:r>
              <w:rPr>
                <w:rFonts w:ascii="Arial Narrow" w:hAnsi="Arial Narrow"/>
                <w:noProof/>
                <w:color w:val="000000"/>
                <w:sz w:val="20"/>
                <w:szCs w:val="20"/>
                <w:highlight w:val="black"/>
              </w:rPr>
              <w:t>'''''''''''''''''''''</w:t>
            </w:r>
          </w:p>
        </w:tc>
      </w:tr>
      <w:tr w:rsidR="00172AD3" w:rsidRPr="00D16630" w:rsidTr="00155E64">
        <w:trPr>
          <w:tblHeader/>
        </w:trPr>
        <w:tc>
          <w:tcPr>
            <w:tcW w:w="4248" w:type="dxa"/>
            <w:gridSpan w:val="3"/>
            <w:tcBorders>
              <w:top w:val="single" w:sz="4" w:space="0" w:color="auto"/>
            </w:tcBorders>
            <w:vAlign w:val="center"/>
          </w:tcPr>
          <w:p w:rsidR="00172AD3" w:rsidRPr="00A20282" w:rsidRDefault="00172AD3" w:rsidP="000D4DB4">
            <w:pPr>
              <w:keepNext/>
              <w:keepLines/>
              <w:jc w:val="right"/>
              <w:rPr>
                <w:rFonts w:ascii="Arial Narrow" w:hAnsi="Arial Narrow"/>
                <w:sz w:val="20"/>
                <w:szCs w:val="20"/>
              </w:rPr>
            </w:pPr>
            <w:r w:rsidRPr="00A20282">
              <w:rPr>
                <w:rFonts w:ascii="Arial Narrow" w:hAnsi="Arial Narrow"/>
                <w:sz w:val="20"/>
                <w:szCs w:val="20"/>
              </w:rPr>
              <w:t>Meta-analysis</w:t>
            </w:r>
          </w:p>
        </w:tc>
        <w:tc>
          <w:tcPr>
            <w:tcW w:w="2410" w:type="dxa"/>
            <w:tcBorders>
              <w:top w:val="single" w:sz="4" w:space="0" w:color="auto"/>
            </w:tcBorders>
          </w:tcPr>
          <w:p w:rsidR="00172AD3" w:rsidRPr="00D16630" w:rsidRDefault="00172AD3" w:rsidP="000D4DB4">
            <w:pPr>
              <w:pStyle w:val="TableTextCA"/>
              <w:keepNext/>
              <w:keepLines/>
              <w:tabs>
                <w:tab w:val="left" w:pos="3234"/>
              </w:tabs>
              <w:rPr>
                <w:rFonts w:cs="Times New Roman"/>
                <w:b/>
                <w:szCs w:val="20"/>
              </w:rPr>
            </w:pPr>
            <w:r w:rsidRPr="00D16630">
              <w:rPr>
                <w:rFonts w:cs="Times New Roman"/>
                <w:b/>
                <w:szCs w:val="20"/>
              </w:rPr>
              <w:t>1.70 (1.46, 1.99), p&lt;0.00001</w:t>
            </w:r>
          </w:p>
        </w:tc>
        <w:tc>
          <w:tcPr>
            <w:tcW w:w="2359" w:type="dxa"/>
            <w:tcBorders>
              <w:top w:val="single" w:sz="4" w:space="0" w:color="auto"/>
            </w:tcBorders>
          </w:tcPr>
          <w:p w:rsidR="00172AD3" w:rsidRPr="00D16630" w:rsidRDefault="00172AD3" w:rsidP="000D4DB4">
            <w:pPr>
              <w:pStyle w:val="TableTextCA"/>
              <w:keepNext/>
              <w:keepLines/>
              <w:tabs>
                <w:tab w:val="left" w:pos="3234"/>
              </w:tabs>
              <w:rPr>
                <w:rFonts w:cs="Times New Roman"/>
                <w:b/>
                <w:szCs w:val="20"/>
                <w:highlight w:val="yellow"/>
              </w:rPr>
            </w:pPr>
            <w:r w:rsidRPr="00D16630">
              <w:rPr>
                <w:rStyle w:val="TableText0"/>
                <w:b/>
                <w:sz w:val="20"/>
                <w:szCs w:val="20"/>
              </w:rPr>
              <w:t>0.12 (0.08, 0.16), p&lt;0.00001</w:t>
            </w:r>
          </w:p>
        </w:tc>
      </w:tr>
      <w:tr w:rsidR="00172AD3" w:rsidRPr="00D16630" w:rsidTr="00155E64">
        <w:trPr>
          <w:tblHeader/>
        </w:trPr>
        <w:tc>
          <w:tcPr>
            <w:tcW w:w="9017" w:type="dxa"/>
            <w:gridSpan w:val="5"/>
            <w:tcBorders>
              <w:bottom w:val="single" w:sz="4" w:space="0" w:color="auto"/>
            </w:tcBorders>
            <w:vAlign w:val="center"/>
          </w:tcPr>
          <w:p w:rsidR="00172AD3" w:rsidRPr="00D16630" w:rsidRDefault="00172AD3" w:rsidP="000D4DB4">
            <w:pPr>
              <w:keepNext/>
              <w:keepLines/>
              <w:jc w:val="left"/>
              <w:rPr>
                <w:rFonts w:ascii="Arial Narrow" w:hAnsi="Arial Narrow"/>
                <w:b/>
                <w:bCs/>
                <w:sz w:val="20"/>
                <w:szCs w:val="20"/>
              </w:rPr>
            </w:pPr>
            <w:r w:rsidRPr="00D16630">
              <w:rPr>
                <w:rFonts w:ascii="Arial Narrow" w:hAnsi="Arial Narrow"/>
                <w:b/>
                <w:bCs/>
                <w:sz w:val="20"/>
                <w:szCs w:val="20"/>
              </w:rPr>
              <w:t xml:space="preserve">No worsening (increase of &lt;0.30 points from baseline) in PGA by Week 52 </w:t>
            </w:r>
          </w:p>
        </w:tc>
      </w:tr>
      <w:tr w:rsidR="00172AD3" w:rsidRPr="00D16630" w:rsidTr="00155E64">
        <w:trPr>
          <w:tblHeader/>
        </w:trPr>
        <w:tc>
          <w:tcPr>
            <w:tcW w:w="1413" w:type="dxa"/>
            <w:tcBorders>
              <w:bottom w:val="nil"/>
            </w:tcBorders>
          </w:tcPr>
          <w:p w:rsidR="00172AD3" w:rsidRPr="00A20282" w:rsidRDefault="00172AD3" w:rsidP="000D4DB4">
            <w:pPr>
              <w:keepNext/>
              <w:keepLines/>
              <w:rPr>
                <w:rFonts w:ascii="Arial Narrow" w:hAnsi="Arial Narrow"/>
                <w:sz w:val="20"/>
                <w:szCs w:val="20"/>
                <w:vertAlign w:val="superscript"/>
              </w:rPr>
            </w:pPr>
            <w:r>
              <w:rPr>
                <w:rFonts w:ascii="Arial Narrow" w:hAnsi="Arial Narrow"/>
                <w:sz w:val="20"/>
                <w:szCs w:val="20"/>
              </w:rPr>
              <w:t>BLISS-</w:t>
            </w:r>
            <w:r w:rsidRPr="00A20282">
              <w:rPr>
                <w:rFonts w:ascii="Arial Narrow" w:hAnsi="Arial Narrow"/>
                <w:sz w:val="20"/>
                <w:szCs w:val="20"/>
              </w:rPr>
              <w:t>SC</w:t>
            </w:r>
            <w:r w:rsidRPr="00A20282">
              <w:rPr>
                <w:rFonts w:ascii="Arial Narrow" w:hAnsi="Arial Narrow"/>
                <w:sz w:val="20"/>
                <w:szCs w:val="20"/>
                <w:vertAlign w:val="superscript"/>
              </w:rPr>
              <w:t>a</w:t>
            </w:r>
          </w:p>
        </w:tc>
        <w:tc>
          <w:tcPr>
            <w:tcW w:w="1417" w:type="dxa"/>
            <w:tcBorders>
              <w:bottom w:val="nil"/>
            </w:tcBorders>
            <w:vAlign w:val="center"/>
          </w:tcPr>
          <w:p w:rsidR="00172AD3" w:rsidRPr="00A20282" w:rsidRDefault="00172AD3" w:rsidP="000D4DB4">
            <w:pPr>
              <w:keepNext/>
              <w:keepLines/>
              <w:jc w:val="center"/>
              <w:rPr>
                <w:rFonts w:ascii="Arial Narrow" w:hAnsi="Arial Narrow"/>
                <w:sz w:val="20"/>
                <w:szCs w:val="20"/>
              </w:rPr>
            </w:pPr>
            <w:r w:rsidRPr="00A20282">
              <w:rPr>
                <w:rFonts w:ascii="Arial Narrow" w:hAnsi="Arial Narrow"/>
                <w:sz w:val="20"/>
                <w:szCs w:val="20"/>
              </w:rPr>
              <w:t>450/554 (81.2)</w:t>
            </w:r>
          </w:p>
        </w:tc>
        <w:tc>
          <w:tcPr>
            <w:tcW w:w="1418" w:type="dxa"/>
            <w:tcBorders>
              <w:bottom w:val="nil"/>
            </w:tcBorders>
            <w:vAlign w:val="center"/>
          </w:tcPr>
          <w:p w:rsidR="00172AD3" w:rsidRPr="00A20282" w:rsidRDefault="00172AD3" w:rsidP="000D4DB4">
            <w:pPr>
              <w:keepNext/>
              <w:keepLines/>
              <w:jc w:val="center"/>
              <w:rPr>
                <w:rFonts w:ascii="Arial Narrow" w:hAnsi="Arial Narrow"/>
                <w:sz w:val="20"/>
                <w:szCs w:val="20"/>
              </w:rPr>
            </w:pPr>
            <w:r w:rsidRPr="00A20282">
              <w:rPr>
                <w:rFonts w:ascii="Arial Narrow" w:hAnsi="Arial Narrow"/>
                <w:sz w:val="20"/>
                <w:szCs w:val="20"/>
              </w:rPr>
              <w:t>203/279 (72.8)</w:t>
            </w:r>
          </w:p>
        </w:tc>
        <w:tc>
          <w:tcPr>
            <w:tcW w:w="2410" w:type="dxa"/>
            <w:tcBorders>
              <w:bottom w:val="nil"/>
            </w:tcBorders>
          </w:tcPr>
          <w:p w:rsidR="00172AD3" w:rsidRPr="00D16630" w:rsidRDefault="00172AD3" w:rsidP="000D4DB4">
            <w:pPr>
              <w:keepNext/>
              <w:keepLines/>
              <w:jc w:val="center"/>
              <w:rPr>
                <w:rFonts w:ascii="Arial Narrow" w:hAnsi="Arial Narrow"/>
                <w:sz w:val="20"/>
                <w:szCs w:val="20"/>
              </w:rPr>
            </w:pPr>
            <w:r w:rsidRPr="00D16630">
              <w:rPr>
                <w:rFonts w:ascii="Arial Narrow" w:hAnsi="Arial Narrow" w:cs="ArialNarrow"/>
                <w:snapToGrid/>
                <w:sz w:val="20"/>
                <w:szCs w:val="20"/>
                <w:lang w:eastAsia="en-AU"/>
              </w:rPr>
              <w:t>1.61 (1.15, 2.27)</w:t>
            </w:r>
            <w:r w:rsidRPr="00D16630">
              <w:rPr>
                <w:rFonts w:ascii="Arial Narrow" w:hAnsi="Arial Narrow" w:cs="ArialNarrow"/>
                <w:snapToGrid/>
                <w:sz w:val="20"/>
                <w:szCs w:val="20"/>
                <w:vertAlign w:val="superscript"/>
                <w:lang w:eastAsia="en-AU"/>
              </w:rPr>
              <w:t>b, c</w:t>
            </w:r>
            <w:r w:rsidRPr="00D16630">
              <w:rPr>
                <w:rFonts w:ascii="Arial Narrow" w:hAnsi="Arial Narrow" w:cs="ArialNarrow"/>
                <w:snapToGrid/>
                <w:sz w:val="20"/>
                <w:szCs w:val="20"/>
                <w:lang w:eastAsia="en-AU"/>
              </w:rPr>
              <w:t>, p=0.0061</w:t>
            </w:r>
          </w:p>
        </w:tc>
        <w:tc>
          <w:tcPr>
            <w:tcW w:w="2359" w:type="dxa"/>
            <w:tcBorders>
              <w:bottom w:val="nil"/>
            </w:tcBorders>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0.08 (0.02, 0.15), p=0.0070</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sidRPr="00A20282">
              <w:rPr>
                <w:rFonts w:ascii="Arial Narrow" w:hAnsi="Arial Narrow"/>
                <w:sz w:val="20"/>
                <w:szCs w:val="20"/>
              </w:rPr>
              <w:t>BLISS-52</w:t>
            </w:r>
          </w:p>
        </w:tc>
        <w:tc>
          <w:tcPr>
            <w:tcW w:w="1417"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FD4637">
              <w:rPr>
                <w:rFonts w:ascii="Arial Narrow" w:hAnsi="Arial Narrow"/>
                <w:sz w:val="20"/>
                <w:szCs w:val="20"/>
              </w:rPr>
              <w:t>231/290 (79.</w:t>
            </w:r>
            <w:r>
              <w:rPr>
                <w:rFonts w:ascii="Arial Narrow" w:hAnsi="Arial Narrow"/>
                <w:sz w:val="20"/>
                <w:szCs w:val="20"/>
              </w:rPr>
              <w:t>7</w:t>
            </w:r>
            <w:r w:rsidRPr="00FD4637">
              <w:rPr>
                <w:rFonts w:ascii="Arial Narrow" w:hAnsi="Arial Narrow"/>
                <w:sz w:val="20"/>
                <w:szCs w:val="20"/>
              </w:rPr>
              <w:t>)</w:t>
            </w:r>
          </w:p>
        </w:tc>
        <w:tc>
          <w:tcPr>
            <w:tcW w:w="1418"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FD4637">
              <w:rPr>
                <w:rFonts w:ascii="Arial Narrow" w:hAnsi="Arial Narrow"/>
                <w:sz w:val="20"/>
                <w:szCs w:val="20"/>
              </w:rPr>
              <w:t>199/287 (69.3)</w:t>
            </w:r>
          </w:p>
        </w:tc>
        <w:tc>
          <w:tcPr>
            <w:tcW w:w="2410" w:type="dxa"/>
            <w:tcBorders>
              <w:top w:val="nil"/>
              <w:bottom w:val="nil"/>
            </w:tcBorders>
          </w:tcPr>
          <w:p w:rsidR="00172AD3" w:rsidRPr="00D16630" w:rsidRDefault="00172AD3" w:rsidP="000D4DB4">
            <w:pPr>
              <w:keepNext/>
              <w:keepLines/>
              <w:jc w:val="center"/>
              <w:rPr>
                <w:rFonts w:ascii="Arial Narrow" w:hAnsi="Arial Narrow"/>
                <w:sz w:val="20"/>
                <w:szCs w:val="20"/>
              </w:rPr>
            </w:pPr>
            <w:r w:rsidRPr="00D16630">
              <w:rPr>
                <w:rFonts w:ascii="Arial Narrow" w:hAnsi="Arial Narrow"/>
                <w:snapToGrid/>
                <w:sz w:val="20"/>
                <w:szCs w:val="20"/>
                <w:lang w:eastAsia="en-AU"/>
              </w:rPr>
              <w:t>1.74 (1.18, 2.55)</w:t>
            </w:r>
            <w:r w:rsidRPr="00D16630">
              <w:rPr>
                <w:rFonts w:ascii="Arial Narrow" w:hAnsi="Arial Narrow"/>
                <w:snapToGrid/>
                <w:sz w:val="20"/>
                <w:szCs w:val="20"/>
                <w:vertAlign w:val="superscript"/>
                <w:lang w:eastAsia="en-AU"/>
              </w:rPr>
              <w:t>e, c</w:t>
            </w:r>
            <w:r w:rsidRPr="00D16630">
              <w:rPr>
                <w:rFonts w:ascii="Arial Narrow" w:hAnsi="Arial Narrow"/>
                <w:snapToGrid/>
                <w:sz w:val="20"/>
                <w:szCs w:val="20"/>
                <w:lang w:eastAsia="en-AU"/>
              </w:rPr>
              <w:t>, p=0.0048</w:t>
            </w:r>
          </w:p>
        </w:tc>
        <w:tc>
          <w:tcPr>
            <w:tcW w:w="2359" w:type="dxa"/>
            <w:tcBorders>
              <w:top w:val="nil"/>
              <w:bottom w:val="nil"/>
            </w:tcBorders>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0.10 (0.03, 0.17), p=0.0042</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sidRPr="00A20282">
              <w:rPr>
                <w:rFonts w:ascii="Arial Narrow" w:hAnsi="Arial Narrow"/>
                <w:sz w:val="20"/>
                <w:szCs w:val="20"/>
              </w:rPr>
              <w:t>BLISS-76</w:t>
            </w:r>
          </w:p>
        </w:tc>
        <w:tc>
          <w:tcPr>
            <w:tcW w:w="1417"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436CAF">
              <w:rPr>
                <w:rFonts w:ascii="Arial Narrow" w:hAnsi="Arial Narrow"/>
                <w:sz w:val="20"/>
                <w:szCs w:val="20"/>
              </w:rPr>
              <w:t>189/273 (69.2)</w:t>
            </w:r>
          </w:p>
        </w:tc>
        <w:tc>
          <w:tcPr>
            <w:tcW w:w="1418"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436CAF">
              <w:rPr>
                <w:rFonts w:ascii="Arial Narrow" w:hAnsi="Arial Narrow"/>
                <w:sz w:val="20"/>
                <w:szCs w:val="20"/>
              </w:rPr>
              <w:t>173/275 (62.9)</w:t>
            </w:r>
          </w:p>
        </w:tc>
        <w:tc>
          <w:tcPr>
            <w:tcW w:w="2410" w:type="dxa"/>
            <w:tcBorders>
              <w:top w:val="nil"/>
              <w:bottom w:val="nil"/>
            </w:tcBorders>
          </w:tcPr>
          <w:p w:rsidR="00172AD3" w:rsidRPr="00D16630" w:rsidRDefault="00172AD3" w:rsidP="000D4DB4">
            <w:pPr>
              <w:keepNext/>
              <w:keepLines/>
              <w:jc w:val="center"/>
              <w:rPr>
                <w:rFonts w:ascii="Arial Narrow" w:hAnsi="Arial Narrow"/>
                <w:sz w:val="20"/>
                <w:szCs w:val="20"/>
              </w:rPr>
            </w:pPr>
            <w:r w:rsidRPr="00D16630">
              <w:rPr>
                <w:rFonts w:ascii="Arial Narrow" w:hAnsi="Arial Narrow"/>
                <w:snapToGrid/>
                <w:sz w:val="20"/>
                <w:szCs w:val="20"/>
                <w:lang w:eastAsia="en-AU"/>
              </w:rPr>
              <w:t>1.32 (0.92, 1.90)</w:t>
            </w:r>
            <w:r w:rsidRPr="00D16630">
              <w:rPr>
                <w:rFonts w:ascii="Arial Narrow" w:hAnsi="Arial Narrow"/>
                <w:snapToGrid/>
                <w:sz w:val="20"/>
                <w:szCs w:val="20"/>
                <w:vertAlign w:val="superscript"/>
                <w:lang w:eastAsia="en-AU"/>
              </w:rPr>
              <w:t>e, c</w:t>
            </w:r>
            <w:r w:rsidRPr="00D16630">
              <w:rPr>
                <w:rFonts w:ascii="Arial Narrow" w:hAnsi="Arial Narrow"/>
                <w:snapToGrid/>
                <w:sz w:val="20"/>
                <w:szCs w:val="20"/>
                <w:lang w:eastAsia="en-AU"/>
              </w:rPr>
              <w:t>, p=0.1258</w:t>
            </w:r>
          </w:p>
        </w:tc>
        <w:tc>
          <w:tcPr>
            <w:tcW w:w="2359" w:type="dxa"/>
            <w:tcBorders>
              <w:top w:val="nil"/>
              <w:bottom w:val="nil"/>
            </w:tcBorders>
          </w:tcPr>
          <w:p w:rsidR="00172AD3" w:rsidRPr="00D16630" w:rsidRDefault="00172AD3" w:rsidP="000D4DB4">
            <w:pPr>
              <w:keepNext/>
              <w:keepLines/>
              <w:jc w:val="center"/>
              <w:rPr>
                <w:rFonts w:ascii="Arial Narrow" w:hAnsi="Arial Narrow"/>
                <w:sz w:val="20"/>
                <w:szCs w:val="20"/>
              </w:rPr>
            </w:pPr>
            <w:r w:rsidRPr="00D16630">
              <w:rPr>
                <w:rFonts w:ascii="Arial Narrow" w:hAnsi="Arial Narrow"/>
                <w:sz w:val="20"/>
                <w:szCs w:val="20"/>
              </w:rPr>
              <w:t>0.06 (-0.02, 0.14), p=0.1173</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Pr>
                <w:rFonts w:ascii="Arial Narrow" w:hAnsi="Arial Narrow"/>
                <w:sz w:val="20"/>
                <w:szCs w:val="20"/>
              </w:rPr>
              <w:t>NE-Asia</w:t>
            </w:r>
          </w:p>
        </w:tc>
        <w:tc>
          <w:tcPr>
            <w:tcW w:w="1417" w:type="dxa"/>
            <w:tcBorders>
              <w:top w:val="nil"/>
              <w:bottom w:val="nil"/>
            </w:tcBorders>
            <w:vAlign w:val="center"/>
          </w:tcPr>
          <w:p w:rsidR="00172AD3" w:rsidRPr="00605642" w:rsidRDefault="00172AD3" w:rsidP="000D4DB4">
            <w:pPr>
              <w:keepNext/>
              <w:keepLines/>
              <w:jc w:val="center"/>
              <w:rPr>
                <w:rFonts w:ascii="Arial Narrow" w:hAnsi="Arial Narrow"/>
                <w:sz w:val="20"/>
                <w:szCs w:val="20"/>
              </w:rPr>
            </w:pPr>
            <w:r w:rsidRPr="00605642">
              <w:rPr>
                <w:rFonts w:ascii="Arial Narrow" w:hAnsi="Arial Narrow"/>
                <w:sz w:val="20"/>
                <w:szCs w:val="20"/>
              </w:rPr>
              <w:t>345/446 (77.4)</w:t>
            </w:r>
          </w:p>
        </w:tc>
        <w:tc>
          <w:tcPr>
            <w:tcW w:w="1418" w:type="dxa"/>
            <w:tcBorders>
              <w:top w:val="nil"/>
              <w:bottom w:val="nil"/>
            </w:tcBorders>
            <w:vAlign w:val="center"/>
          </w:tcPr>
          <w:p w:rsidR="00172AD3" w:rsidRPr="00605642" w:rsidRDefault="00172AD3" w:rsidP="000D4DB4">
            <w:pPr>
              <w:keepNext/>
              <w:keepLines/>
              <w:jc w:val="center"/>
              <w:rPr>
                <w:rFonts w:ascii="Arial Narrow" w:hAnsi="Arial Narrow"/>
                <w:sz w:val="20"/>
                <w:szCs w:val="20"/>
              </w:rPr>
            </w:pPr>
            <w:r w:rsidRPr="00605642">
              <w:rPr>
                <w:rFonts w:ascii="Arial Narrow" w:hAnsi="Arial Narrow"/>
                <w:sz w:val="20"/>
                <w:szCs w:val="20"/>
              </w:rPr>
              <w:t>149/217 (68.7)</w:t>
            </w:r>
          </w:p>
        </w:tc>
        <w:tc>
          <w:tcPr>
            <w:tcW w:w="2410" w:type="dxa"/>
            <w:tcBorders>
              <w:top w:val="nil"/>
              <w:bottom w:val="nil"/>
            </w:tcBorders>
          </w:tcPr>
          <w:p w:rsidR="00172AD3" w:rsidRPr="00D16630" w:rsidRDefault="00172AD3" w:rsidP="000D4DB4">
            <w:pPr>
              <w:keepNext/>
              <w:keepLines/>
              <w:jc w:val="center"/>
              <w:rPr>
                <w:rFonts w:ascii="Arial Narrow" w:hAnsi="Arial Narrow"/>
                <w:sz w:val="20"/>
                <w:szCs w:val="20"/>
              </w:rPr>
            </w:pPr>
            <w:r w:rsidRPr="00D16630">
              <w:rPr>
                <w:rFonts w:ascii="Arial Narrow" w:hAnsi="Arial Narrow"/>
                <w:sz w:val="20"/>
                <w:szCs w:val="20"/>
              </w:rPr>
              <w:t>1.57 (1.09, 2.27)</w:t>
            </w:r>
            <w:r w:rsidRPr="00D16630">
              <w:rPr>
                <w:rFonts w:ascii="Arial Narrow" w:hAnsi="Arial Narrow"/>
                <w:sz w:val="20"/>
                <w:szCs w:val="20"/>
                <w:vertAlign w:val="superscript"/>
              </w:rPr>
              <w:t>f, c</w:t>
            </w:r>
            <w:r w:rsidRPr="00D16630">
              <w:rPr>
                <w:rFonts w:ascii="Arial Narrow" w:hAnsi="Arial Narrow"/>
                <w:sz w:val="20"/>
                <w:szCs w:val="20"/>
              </w:rPr>
              <w:t>, p=0.0149</w:t>
            </w:r>
          </w:p>
        </w:tc>
        <w:tc>
          <w:tcPr>
            <w:tcW w:w="2359" w:type="dxa"/>
            <w:tcBorders>
              <w:top w:val="nil"/>
              <w:bottom w:val="nil"/>
            </w:tcBorders>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0.09 (0.01, 0.16), p=0.0195</w:t>
            </w:r>
          </w:p>
        </w:tc>
      </w:tr>
      <w:tr w:rsidR="00172AD3" w:rsidRPr="00D16630" w:rsidTr="00155E64">
        <w:trPr>
          <w:tblHeader/>
        </w:trPr>
        <w:tc>
          <w:tcPr>
            <w:tcW w:w="1413" w:type="dxa"/>
            <w:tcBorders>
              <w:top w:val="nil"/>
              <w:bottom w:val="single" w:sz="4" w:space="0" w:color="auto"/>
            </w:tcBorders>
          </w:tcPr>
          <w:p w:rsidR="00172AD3" w:rsidRPr="008D13F9" w:rsidRDefault="00172AD3" w:rsidP="000D4DB4">
            <w:pPr>
              <w:keepNext/>
              <w:keepLines/>
              <w:rPr>
                <w:rFonts w:ascii="Arial Narrow" w:hAnsi="Arial Narrow"/>
                <w:sz w:val="20"/>
                <w:szCs w:val="20"/>
                <w:vertAlign w:val="superscript"/>
              </w:rPr>
            </w:pPr>
            <w:r w:rsidRPr="00A20282">
              <w:rPr>
                <w:rFonts w:ascii="Arial Narrow" w:hAnsi="Arial Narrow"/>
                <w:sz w:val="20"/>
                <w:szCs w:val="20"/>
              </w:rPr>
              <w:t>EMBRACE</w:t>
            </w:r>
            <w:r>
              <w:rPr>
                <w:rFonts w:ascii="Arial Narrow" w:hAnsi="Arial Narrow"/>
                <w:sz w:val="20"/>
                <w:szCs w:val="20"/>
                <w:vertAlign w:val="superscript"/>
              </w:rPr>
              <w:t>g</w:t>
            </w:r>
          </w:p>
        </w:tc>
        <w:tc>
          <w:tcPr>
            <w:tcW w:w="1417" w:type="dxa"/>
            <w:tcBorders>
              <w:top w:val="nil"/>
              <w:bottom w:val="single" w:sz="4" w:space="0" w:color="auto"/>
            </w:tcBorders>
            <w:vAlign w:val="center"/>
          </w:tcPr>
          <w:p w:rsidR="00172AD3" w:rsidRPr="008D13F9" w:rsidRDefault="006D6DCE" w:rsidP="000D4DB4">
            <w:pPr>
              <w:keepNext/>
              <w:keepLines/>
              <w:jc w:val="center"/>
              <w:rPr>
                <w:rFonts w:ascii="Arial Narrow" w:hAnsi="Arial Narrow"/>
                <w:sz w:val="20"/>
                <w:szCs w:val="20"/>
              </w:rPr>
            </w:pPr>
            <w:r>
              <w:rPr>
                <w:rFonts w:ascii="Arial Narrow" w:hAnsi="Arial Narrow"/>
                <w:noProof/>
                <w:color w:val="000000"/>
                <w:sz w:val="20"/>
                <w:szCs w:val="20"/>
                <w:highlight w:val="black"/>
              </w:rPr>
              <w:t>'''''''''</w:t>
            </w:r>
            <w:r w:rsidR="00172AD3" w:rsidRPr="008D13F9">
              <w:rPr>
                <w:rFonts w:ascii="Arial Narrow" w:hAnsi="Arial Narrow"/>
                <w:sz w:val="20"/>
                <w:szCs w:val="20"/>
              </w:rPr>
              <w:t>/298 (</w:t>
            </w:r>
            <w:r>
              <w:rPr>
                <w:rFonts w:ascii="Arial Narrow" w:hAnsi="Arial Narrow"/>
                <w:noProof/>
                <w:color w:val="000000"/>
                <w:sz w:val="20"/>
                <w:szCs w:val="20"/>
                <w:highlight w:val="black"/>
              </w:rPr>
              <w:t>''''''''''</w:t>
            </w:r>
            <w:r w:rsidR="00172AD3" w:rsidRPr="008D13F9">
              <w:rPr>
                <w:rFonts w:ascii="Arial Narrow" w:hAnsi="Arial Narrow"/>
                <w:sz w:val="20"/>
                <w:szCs w:val="20"/>
              </w:rPr>
              <w:t>)</w:t>
            </w:r>
          </w:p>
        </w:tc>
        <w:tc>
          <w:tcPr>
            <w:tcW w:w="1418" w:type="dxa"/>
            <w:tcBorders>
              <w:top w:val="nil"/>
              <w:bottom w:val="single" w:sz="4" w:space="0" w:color="auto"/>
            </w:tcBorders>
            <w:vAlign w:val="center"/>
          </w:tcPr>
          <w:p w:rsidR="00172AD3" w:rsidRPr="008D13F9" w:rsidRDefault="006D6DCE" w:rsidP="000D4DB4">
            <w:pPr>
              <w:keepNext/>
              <w:keepLines/>
              <w:jc w:val="center"/>
              <w:rPr>
                <w:rFonts w:ascii="Arial Narrow" w:hAnsi="Arial Narrow"/>
                <w:sz w:val="20"/>
                <w:szCs w:val="20"/>
              </w:rPr>
            </w:pPr>
            <w:r>
              <w:rPr>
                <w:rFonts w:ascii="Arial Narrow" w:hAnsi="Arial Narrow"/>
                <w:noProof/>
                <w:color w:val="000000"/>
                <w:sz w:val="20"/>
                <w:szCs w:val="20"/>
                <w:highlight w:val="black"/>
              </w:rPr>
              <w:t>'''''</w:t>
            </w:r>
            <w:r w:rsidR="00172AD3" w:rsidRPr="008D13F9">
              <w:rPr>
                <w:rFonts w:ascii="Arial Narrow" w:hAnsi="Arial Narrow"/>
                <w:sz w:val="20"/>
                <w:szCs w:val="20"/>
              </w:rPr>
              <w:t>/149 (</w:t>
            </w:r>
            <w:r>
              <w:rPr>
                <w:rFonts w:ascii="Arial Narrow" w:hAnsi="Arial Narrow"/>
                <w:noProof/>
                <w:color w:val="000000"/>
                <w:sz w:val="20"/>
                <w:szCs w:val="20"/>
                <w:highlight w:val="black"/>
              </w:rPr>
              <w:t>'''''''''''</w:t>
            </w:r>
            <w:r w:rsidR="00172AD3" w:rsidRPr="008D13F9">
              <w:rPr>
                <w:rFonts w:ascii="Arial Narrow" w:hAnsi="Arial Narrow"/>
                <w:sz w:val="20"/>
                <w:szCs w:val="20"/>
              </w:rPr>
              <w:t>)</w:t>
            </w:r>
          </w:p>
        </w:tc>
        <w:tc>
          <w:tcPr>
            <w:tcW w:w="2410" w:type="dxa"/>
            <w:tcBorders>
              <w:top w:val="nil"/>
              <w:bottom w:val="single" w:sz="4" w:space="0" w:color="auto"/>
            </w:tcBorders>
          </w:tcPr>
          <w:p w:rsidR="00172AD3" w:rsidRPr="00D16630" w:rsidRDefault="006D6DCE" w:rsidP="000D4DB4">
            <w:pPr>
              <w:keepNext/>
              <w:keepLines/>
              <w:jc w:val="center"/>
              <w:rPr>
                <w:rFonts w:ascii="Arial Narrow" w:hAnsi="Arial Narrow"/>
                <w:sz w:val="20"/>
                <w:szCs w:val="20"/>
              </w:rPr>
            </w:pPr>
            <w:r>
              <w:rPr>
                <w:rFonts w:ascii="Arial Narrow" w:hAnsi="Arial Narrow"/>
                <w:noProof/>
                <w:color w:val="000000"/>
                <w:sz w:val="20"/>
                <w:szCs w:val="20"/>
                <w:highlight w:val="black"/>
              </w:rPr>
              <w:t xml:space="preserve">'''''''''' </w:t>
            </w:r>
            <w:r w:rsidR="00172AD3" w:rsidRPr="00D16630">
              <w:rPr>
                <w:rFonts w:ascii="Arial Narrow" w:hAnsi="Arial Narrow"/>
                <w:sz w:val="20"/>
                <w:szCs w:val="20"/>
              </w:rPr>
              <w:t>(</w:t>
            </w:r>
            <w:r>
              <w:rPr>
                <w:rFonts w:ascii="Arial Narrow" w:hAnsi="Arial Narrow"/>
                <w:noProof/>
                <w:color w:val="000000"/>
                <w:sz w:val="20"/>
                <w:szCs w:val="20"/>
                <w:highlight w:val="black"/>
              </w:rPr>
              <w:t>'''''''''''</w:t>
            </w:r>
            <w:r w:rsidR="00172AD3" w:rsidRPr="00D16630">
              <w:rPr>
                <w:rFonts w:ascii="Arial Narrow" w:hAnsi="Arial Narrow"/>
                <w:sz w:val="20"/>
                <w:szCs w:val="20"/>
              </w:rPr>
              <w:t xml:space="preserve">, </w:t>
            </w:r>
            <w:r>
              <w:rPr>
                <w:rFonts w:ascii="Arial Narrow" w:hAnsi="Arial Narrow"/>
                <w:noProof/>
                <w:color w:val="000000"/>
                <w:sz w:val="20"/>
                <w:szCs w:val="20"/>
                <w:highlight w:val="black"/>
              </w:rPr>
              <w:t>'''''''''''</w:t>
            </w:r>
            <w:r w:rsidR="00172AD3" w:rsidRPr="00D16630">
              <w:rPr>
                <w:rFonts w:ascii="Arial Narrow" w:hAnsi="Arial Narrow"/>
                <w:sz w:val="20"/>
                <w:szCs w:val="20"/>
              </w:rPr>
              <w:t>)</w:t>
            </w:r>
            <w:r w:rsidR="00172AD3" w:rsidRPr="00D16630">
              <w:rPr>
                <w:rFonts w:ascii="Arial Narrow" w:hAnsi="Arial Narrow"/>
                <w:sz w:val="20"/>
                <w:szCs w:val="20"/>
                <w:vertAlign w:val="superscript"/>
              </w:rPr>
              <w:t>h ,c</w:t>
            </w:r>
            <w:r w:rsidR="00172AD3" w:rsidRPr="00D16630">
              <w:rPr>
                <w:rFonts w:ascii="Arial Narrow" w:hAnsi="Arial Narrow"/>
                <w:sz w:val="20"/>
                <w:szCs w:val="20"/>
              </w:rPr>
              <w:t>, p=</w:t>
            </w:r>
            <w:r>
              <w:rPr>
                <w:rFonts w:ascii="Arial Narrow" w:hAnsi="Arial Narrow"/>
                <w:noProof/>
                <w:color w:val="000000"/>
                <w:sz w:val="20"/>
                <w:szCs w:val="20"/>
                <w:highlight w:val="black"/>
              </w:rPr>
              <w:t>'''''''''''''''</w:t>
            </w:r>
          </w:p>
        </w:tc>
        <w:tc>
          <w:tcPr>
            <w:tcW w:w="2359" w:type="dxa"/>
            <w:tcBorders>
              <w:top w:val="nil"/>
              <w:bottom w:val="single" w:sz="4" w:space="0" w:color="auto"/>
            </w:tcBorders>
          </w:tcPr>
          <w:p w:rsidR="00172AD3" w:rsidRPr="00D16630" w:rsidRDefault="006D6DCE" w:rsidP="000D4DB4">
            <w:pPr>
              <w:keepNext/>
              <w:keepLines/>
              <w:jc w:val="center"/>
              <w:rPr>
                <w:rFonts w:ascii="Arial Narrow" w:hAnsi="Arial Narrow"/>
                <w:sz w:val="20"/>
                <w:szCs w:val="20"/>
              </w:rPr>
            </w:pPr>
            <w:r>
              <w:rPr>
                <w:rFonts w:ascii="Arial Narrow" w:hAnsi="Arial Narrow"/>
                <w:noProof/>
                <w:color w:val="000000"/>
                <w:sz w:val="20"/>
                <w:szCs w:val="20"/>
                <w:highlight w:val="black"/>
              </w:rPr>
              <w:t xml:space="preserve">''''''''''' </w:t>
            </w:r>
            <w:r w:rsidR="00172AD3" w:rsidRPr="00D16630">
              <w:rPr>
                <w:rFonts w:ascii="Arial Narrow" w:hAnsi="Arial Narrow"/>
                <w:sz w:val="20"/>
                <w:szCs w:val="20"/>
              </w:rPr>
              <w:t>(</w:t>
            </w:r>
            <w:r>
              <w:rPr>
                <w:rFonts w:ascii="Arial Narrow" w:hAnsi="Arial Narrow"/>
                <w:noProof/>
                <w:color w:val="000000"/>
                <w:sz w:val="20"/>
                <w:szCs w:val="20"/>
                <w:highlight w:val="black"/>
              </w:rPr>
              <w:t>''''''''''''</w:t>
            </w:r>
            <w:r w:rsidR="00172AD3" w:rsidRPr="00D16630">
              <w:rPr>
                <w:rFonts w:ascii="Arial Narrow" w:hAnsi="Arial Narrow"/>
                <w:sz w:val="20"/>
                <w:szCs w:val="20"/>
              </w:rPr>
              <w:t xml:space="preserve">, </w:t>
            </w:r>
            <w:r>
              <w:rPr>
                <w:rFonts w:ascii="Arial Narrow" w:hAnsi="Arial Narrow"/>
                <w:noProof/>
                <w:color w:val="000000"/>
                <w:sz w:val="20"/>
                <w:szCs w:val="20"/>
                <w:highlight w:val="black"/>
              </w:rPr>
              <w:t>''''''''''</w:t>
            </w:r>
            <w:r w:rsidR="00172AD3" w:rsidRPr="00D16630">
              <w:rPr>
                <w:rFonts w:ascii="Arial Narrow" w:hAnsi="Arial Narrow"/>
                <w:sz w:val="20"/>
                <w:szCs w:val="20"/>
              </w:rPr>
              <w:t>), p=</w:t>
            </w:r>
            <w:r>
              <w:rPr>
                <w:rFonts w:ascii="Arial Narrow" w:hAnsi="Arial Narrow"/>
                <w:noProof/>
                <w:color w:val="000000"/>
                <w:sz w:val="20"/>
                <w:szCs w:val="20"/>
                <w:highlight w:val="black"/>
              </w:rPr>
              <w:t>'''''''''''''''''</w:t>
            </w:r>
          </w:p>
        </w:tc>
      </w:tr>
      <w:tr w:rsidR="00172AD3" w:rsidRPr="00D16630" w:rsidTr="00155E64">
        <w:trPr>
          <w:tblHeader/>
        </w:trPr>
        <w:tc>
          <w:tcPr>
            <w:tcW w:w="4248" w:type="dxa"/>
            <w:gridSpan w:val="3"/>
            <w:tcBorders>
              <w:top w:val="single" w:sz="4" w:space="0" w:color="auto"/>
            </w:tcBorders>
            <w:vAlign w:val="center"/>
          </w:tcPr>
          <w:p w:rsidR="00172AD3" w:rsidRPr="00A20282" w:rsidRDefault="00172AD3" w:rsidP="000D4DB4">
            <w:pPr>
              <w:keepNext/>
              <w:keepLines/>
              <w:jc w:val="right"/>
              <w:rPr>
                <w:rFonts w:ascii="Arial Narrow" w:hAnsi="Arial Narrow"/>
                <w:sz w:val="20"/>
                <w:szCs w:val="20"/>
              </w:rPr>
            </w:pPr>
            <w:r w:rsidRPr="00A20282">
              <w:rPr>
                <w:rFonts w:ascii="Arial Narrow" w:hAnsi="Arial Narrow"/>
                <w:sz w:val="20"/>
                <w:szCs w:val="20"/>
              </w:rPr>
              <w:t>Meta-analysis</w:t>
            </w:r>
          </w:p>
        </w:tc>
        <w:tc>
          <w:tcPr>
            <w:tcW w:w="2410" w:type="dxa"/>
            <w:tcBorders>
              <w:top w:val="single" w:sz="4" w:space="0" w:color="auto"/>
            </w:tcBorders>
          </w:tcPr>
          <w:p w:rsidR="00172AD3" w:rsidRPr="00D16630" w:rsidRDefault="00172AD3" w:rsidP="000D4DB4">
            <w:pPr>
              <w:pStyle w:val="TableTextCA"/>
              <w:keepNext/>
              <w:keepLines/>
              <w:tabs>
                <w:tab w:val="left" w:pos="3234"/>
              </w:tabs>
              <w:rPr>
                <w:rFonts w:cs="Times New Roman"/>
                <w:b/>
                <w:szCs w:val="20"/>
              </w:rPr>
            </w:pPr>
            <w:r w:rsidRPr="00D16630">
              <w:rPr>
                <w:rFonts w:cs="Times New Roman"/>
                <w:b/>
                <w:szCs w:val="20"/>
              </w:rPr>
              <w:t>1.50 (1.27, 1.77), p&lt;0.00001</w:t>
            </w:r>
          </w:p>
        </w:tc>
        <w:tc>
          <w:tcPr>
            <w:tcW w:w="2359" w:type="dxa"/>
            <w:tcBorders>
              <w:top w:val="single" w:sz="4" w:space="0" w:color="auto"/>
            </w:tcBorders>
          </w:tcPr>
          <w:p w:rsidR="00172AD3" w:rsidRPr="00D16630" w:rsidRDefault="00172AD3" w:rsidP="000D4DB4">
            <w:pPr>
              <w:pStyle w:val="TableTextCA"/>
              <w:keepNext/>
              <w:keepLines/>
              <w:tabs>
                <w:tab w:val="left" w:pos="3234"/>
              </w:tabs>
              <w:rPr>
                <w:rFonts w:cs="Times New Roman"/>
                <w:b/>
                <w:szCs w:val="20"/>
              </w:rPr>
            </w:pPr>
            <w:r w:rsidRPr="00D16630">
              <w:rPr>
                <w:rStyle w:val="TableText0"/>
                <w:b/>
                <w:sz w:val="20"/>
                <w:szCs w:val="20"/>
              </w:rPr>
              <w:t>0.08 (0.05, 0.11), p&lt;0.00001</w:t>
            </w:r>
          </w:p>
        </w:tc>
      </w:tr>
      <w:tr w:rsidR="00172AD3" w:rsidRPr="00D16630" w:rsidTr="00155E64">
        <w:trPr>
          <w:tblHeader/>
        </w:trPr>
        <w:tc>
          <w:tcPr>
            <w:tcW w:w="9017" w:type="dxa"/>
            <w:gridSpan w:val="5"/>
            <w:tcBorders>
              <w:bottom w:val="single" w:sz="4" w:space="0" w:color="auto"/>
            </w:tcBorders>
            <w:vAlign w:val="center"/>
          </w:tcPr>
          <w:p w:rsidR="00172AD3" w:rsidRPr="00D16630" w:rsidRDefault="00172AD3" w:rsidP="000D4DB4">
            <w:pPr>
              <w:keepNext/>
              <w:keepLines/>
              <w:jc w:val="left"/>
              <w:rPr>
                <w:rFonts w:ascii="Arial Narrow" w:hAnsi="Arial Narrow"/>
                <w:b/>
                <w:bCs/>
                <w:sz w:val="20"/>
                <w:szCs w:val="20"/>
              </w:rPr>
            </w:pPr>
            <w:r w:rsidRPr="00D16630">
              <w:rPr>
                <w:rFonts w:ascii="Arial Narrow" w:hAnsi="Arial Narrow"/>
                <w:b/>
                <w:bCs/>
                <w:sz w:val="20"/>
                <w:szCs w:val="20"/>
              </w:rPr>
              <w:t>No new 1A/2B BILAG domain scores  at Week 52</w:t>
            </w:r>
          </w:p>
        </w:tc>
      </w:tr>
      <w:tr w:rsidR="00172AD3" w:rsidRPr="00D16630" w:rsidTr="00155E64">
        <w:trPr>
          <w:tblHeader/>
        </w:trPr>
        <w:tc>
          <w:tcPr>
            <w:tcW w:w="1413" w:type="dxa"/>
            <w:tcBorders>
              <w:bottom w:val="nil"/>
            </w:tcBorders>
          </w:tcPr>
          <w:p w:rsidR="00172AD3" w:rsidRPr="00A20282" w:rsidRDefault="00172AD3" w:rsidP="000D4DB4">
            <w:pPr>
              <w:keepNext/>
              <w:keepLines/>
              <w:rPr>
                <w:rFonts w:ascii="Arial Narrow" w:hAnsi="Arial Narrow"/>
                <w:sz w:val="20"/>
                <w:szCs w:val="20"/>
                <w:vertAlign w:val="superscript"/>
              </w:rPr>
            </w:pPr>
            <w:r>
              <w:rPr>
                <w:rFonts w:ascii="Arial Narrow" w:hAnsi="Arial Narrow"/>
                <w:sz w:val="20"/>
                <w:szCs w:val="20"/>
              </w:rPr>
              <w:t>BLISS-</w:t>
            </w:r>
            <w:r w:rsidRPr="00A20282">
              <w:rPr>
                <w:rFonts w:ascii="Arial Narrow" w:hAnsi="Arial Narrow"/>
                <w:sz w:val="20"/>
                <w:szCs w:val="20"/>
              </w:rPr>
              <w:t>SC</w:t>
            </w:r>
            <w:r w:rsidRPr="00A20282">
              <w:rPr>
                <w:rFonts w:ascii="Arial Narrow" w:hAnsi="Arial Narrow"/>
                <w:sz w:val="20"/>
                <w:szCs w:val="20"/>
                <w:vertAlign w:val="superscript"/>
              </w:rPr>
              <w:t>a</w:t>
            </w:r>
          </w:p>
        </w:tc>
        <w:tc>
          <w:tcPr>
            <w:tcW w:w="1417" w:type="dxa"/>
            <w:tcBorders>
              <w:bottom w:val="nil"/>
            </w:tcBorders>
            <w:vAlign w:val="center"/>
          </w:tcPr>
          <w:p w:rsidR="00172AD3" w:rsidRPr="00A20282" w:rsidRDefault="00172AD3" w:rsidP="000D4DB4">
            <w:pPr>
              <w:keepNext/>
              <w:keepLines/>
              <w:jc w:val="center"/>
              <w:rPr>
                <w:rFonts w:ascii="Arial Narrow" w:hAnsi="Arial Narrow"/>
                <w:sz w:val="20"/>
                <w:szCs w:val="20"/>
              </w:rPr>
            </w:pPr>
            <w:r w:rsidRPr="00A20282">
              <w:rPr>
                <w:rFonts w:ascii="Arial Narrow" w:hAnsi="Arial Narrow"/>
                <w:sz w:val="20"/>
                <w:szCs w:val="20"/>
              </w:rPr>
              <w:t>448/554 (80.9)</w:t>
            </w:r>
          </w:p>
        </w:tc>
        <w:tc>
          <w:tcPr>
            <w:tcW w:w="1418" w:type="dxa"/>
            <w:tcBorders>
              <w:bottom w:val="nil"/>
            </w:tcBorders>
            <w:vAlign w:val="center"/>
          </w:tcPr>
          <w:p w:rsidR="00172AD3" w:rsidRPr="00A20282" w:rsidRDefault="00172AD3" w:rsidP="000D4DB4">
            <w:pPr>
              <w:keepNext/>
              <w:keepLines/>
              <w:jc w:val="center"/>
              <w:rPr>
                <w:rFonts w:ascii="Arial Narrow" w:hAnsi="Arial Narrow"/>
                <w:sz w:val="20"/>
                <w:szCs w:val="20"/>
              </w:rPr>
            </w:pPr>
            <w:r w:rsidRPr="00A20282">
              <w:rPr>
                <w:rFonts w:ascii="Arial Narrow" w:hAnsi="Arial Narrow"/>
                <w:sz w:val="20"/>
                <w:szCs w:val="20"/>
              </w:rPr>
              <w:t>207/279 (74.2)</w:t>
            </w:r>
          </w:p>
        </w:tc>
        <w:tc>
          <w:tcPr>
            <w:tcW w:w="2410" w:type="dxa"/>
            <w:tcBorders>
              <w:bottom w:val="nil"/>
            </w:tcBorders>
            <w:vAlign w:val="center"/>
          </w:tcPr>
          <w:p w:rsidR="00172AD3" w:rsidRPr="00D16630" w:rsidRDefault="00172AD3" w:rsidP="000D4DB4">
            <w:pPr>
              <w:keepNext/>
              <w:keepLines/>
              <w:jc w:val="center"/>
              <w:rPr>
                <w:rFonts w:ascii="Arial Narrow" w:hAnsi="Arial Narrow"/>
                <w:sz w:val="20"/>
                <w:szCs w:val="20"/>
              </w:rPr>
            </w:pPr>
            <w:r w:rsidRPr="00D16630">
              <w:rPr>
                <w:rFonts w:ascii="Arial Narrow" w:hAnsi="Arial Narrow" w:cs="ArialNarrow"/>
                <w:snapToGrid/>
                <w:sz w:val="20"/>
                <w:szCs w:val="20"/>
                <w:lang w:eastAsia="en-AU"/>
              </w:rPr>
              <w:t>1.46 (1.04, 2.07)</w:t>
            </w:r>
            <w:r w:rsidRPr="00D16630">
              <w:rPr>
                <w:rFonts w:ascii="Arial Narrow" w:hAnsi="Arial Narrow" w:cs="ArialNarrow"/>
                <w:snapToGrid/>
                <w:sz w:val="20"/>
                <w:szCs w:val="20"/>
                <w:vertAlign w:val="superscript"/>
                <w:lang w:eastAsia="en-AU"/>
              </w:rPr>
              <w:t>b ,d</w:t>
            </w:r>
            <w:r w:rsidRPr="00D16630">
              <w:rPr>
                <w:rFonts w:ascii="Arial Narrow" w:hAnsi="Arial Narrow" w:cs="ArialNarrow"/>
                <w:snapToGrid/>
                <w:sz w:val="20"/>
                <w:szCs w:val="20"/>
                <w:lang w:eastAsia="en-AU"/>
              </w:rPr>
              <w:t>, p=0.0305</w:t>
            </w:r>
          </w:p>
        </w:tc>
        <w:tc>
          <w:tcPr>
            <w:tcW w:w="2359" w:type="dxa"/>
            <w:tcBorders>
              <w:bottom w:val="nil"/>
            </w:tcBorders>
            <w:vAlign w:val="center"/>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 xml:space="preserve">0.07 (0.01, 0.13), </w:t>
            </w:r>
            <w:r w:rsidRPr="00D16630">
              <w:rPr>
                <w:rFonts w:ascii="Arial Narrow" w:hAnsi="Arial Narrow"/>
                <w:b/>
                <w:sz w:val="20"/>
                <w:szCs w:val="20"/>
                <w:lang w:eastAsia="en-AU"/>
              </w:rPr>
              <w:t>p=</w:t>
            </w:r>
            <w:r w:rsidRPr="00D16630">
              <w:rPr>
                <w:rFonts w:ascii="Arial Narrow" w:hAnsi="Arial Narrow"/>
                <w:b/>
                <w:sz w:val="20"/>
                <w:szCs w:val="20"/>
              </w:rPr>
              <w:t>0.0318</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sidRPr="00A20282">
              <w:rPr>
                <w:rFonts w:ascii="Arial Narrow" w:hAnsi="Arial Narrow"/>
                <w:sz w:val="20"/>
                <w:szCs w:val="20"/>
              </w:rPr>
              <w:t>BLISS-52</w:t>
            </w:r>
          </w:p>
        </w:tc>
        <w:tc>
          <w:tcPr>
            <w:tcW w:w="1417" w:type="dxa"/>
            <w:tcBorders>
              <w:top w:val="nil"/>
              <w:bottom w:val="nil"/>
            </w:tcBorders>
            <w:vAlign w:val="center"/>
          </w:tcPr>
          <w:p w:rsidR="00172AD3" w:rsidRPr="001500C8" w:rsidRDefault="00172AD3" w:rsidP="000D4DB4">
            <w:pPr>
              <w:keepNext/>
              <w:keepLines/>
              <w:jc w:val="center"/>
              <w:rPr>
                <w:rFonts w:ascii="Arial Narrow" w:hAnsi="Arial Narrow"/>
                <w:sz w:val="20"/>
                <w:szCs w:val="20"/>
              </w:rPr>
            </w:pPr>
            <w:r w:rsidRPr="001500C8">
              <w:rPr>
                <w:rFonts w:ascii="Arial Narrow" w:hAnsi="Arial Narrow"/>
                <w:sz w:val="20"/>
                <w:szCs w:val="20"/>
              </w:rPr>
              <w:t>236/290 (81.4)</w:t>
            </w:r>
          </w:p>
        </w:tc>
        <w:tc>
          <w:tcPr>
            <w:tcW w:w="1418" w:type="dxa"/>
            <w:tcBorders>
              <w:top w:val="nil"/>
              <w:bottom w:val="nil"/>
            </w:tcBorders>
            <w:vAlign w:val="center"/>
          </w:tcPr>
          <w:p w:rsidR="00172AD3" w:rsidRPr="001500C8" w:rsidRDefault="00172AD3" w:rsidP="000D4DB4">
            <w:pPr>
              <w:keepNext/>
              <w:keepLines/>
              <w:jc w:val="center"/>
              <w:rPr>
                <w:rFonts w:ascii="Arial Narrow" w:hAnsi="Arial Narrow"/>
                <w:sz w:val="20"/>
                <w:szCs w:val="20"/>
              </w:rPr>
            </w:pPr>
            <w:r w:rsidRPr="001500C8">
              <w:rPr>
                <w:rFonts w:ascii="Arial Narrow" w:hAnsi="Arial Narrow"/>
                <w:sz w:val="20"/>
                <w:szCs w:val="20"/>
              </w:rPr>
              <w:t>210/287 (73.2)</w:t>
            </w:r>
          </w:p>
        </w:tc>
        <w:tc>
          <w:tcPr>
            <w:tcW w:w="2410" w:type="dxa"/>
            <w:tcBorders>
              <w:top w:val="nil"/>
              <w:bottom w:val="nil"/>
            </w:tcBorders>
            <w:vAlign w:val="center"/>
          </w:tcPr>
          <w:p w:rsidR="00172AD3" w:rsidRPr="00D16630" w:rsidRDefault="00172AD3" w:rsidP="000D4DB4">
            <w:pPr>
              <w:keepNext/>
              <w:keepLines/>
              <w:jc w:val="center"/>
              <w:rPr>
                <w:rFonts w:ascii="Arial Narrow" w:hAnsi="Arial Narrow"/>
                <w:sz w:val="20"/>
                <w:szCs w:val="20"/>
              </w:rPr>
            </w:pPr>
            <w:r w:rsidRPr="00D16630">
              <w:rPr>
                <w:rFonts w:ascii="Arial Narrow" w:hAnsi="Arial Narrow"/>
                <w:snapToGrid/>
                <w:sz w:val="20"/>
                <w:szCs w:val="20"/>
                <w:lang w:eastAsia="en-AU"/>
              </w:rPr>
              <w:t>1.62 (1.09, 2.42)</w:t>
            </w:r>
            <w:r w:rsidRPr="00D16630">
              <w:rPr>
                <w:rFonts w:ascii="Arial Narrow" w:hAnsi="Arial Narrow"/>
                <w:snapToGrid/>
                <w:sz w:val="20"/>
                <w:szCs w:val="20"/>
                <w:vertAlign w:val="superscript"/>
                <w:lang w:eastAsia="en-AU"/>
              </w:rPr>
              <w:t>e, d</w:t>
            </w:r>
            <w:r w:rsidRPr="00D16630">
              <w:rPr>
                <w:rFonts w:ascii="Arial Narrow" w:hAnsi="Arial Narrow"/>
                <w:snapToGrid/>
                <w:sz w:val="20"/>
                <w:szCs w:val="20"/>
                <w:lang w:eastAsia="en-AU"/>
              </w:rPr>
              <w:t>, p=0.0181</w:t>
            </w:r>
          </w:p>
        </w:tc>
        <w:tc>
          <w:tcPr>
            <w:tcW w:w="2359" w:type="dxa"/>
            <w:tcBorders>
              <w:top w:val="nil"/>
              <w:bottom w:val="nil"/>
            </w:tcBorders>
            <w:vAlign w:val="center"/>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rPr>
              <w:t xml:space="preserve">0.08 (0.01, 0.15), </w:t>
            </w:r>
            <w:r w:rsidRPr="00D16630">
              <w:rPr>
                <w:rFonts w:ascii="Arial Narrow" w:hAnsi="Arial Narrow"/>
                <w:b/>
                <w:sz w:val="20"/>
                <w:szCs w:val="20"/>
                <w:lang w:eastAsia="en-AU"/>
              </w:rPr>
              <w:t>p=</w:t>
            </w:r>
            <w:r w:rsidRPr="00D16630">
              <w:rPr>
                <w:rFonts w:ascii="Arial Narrow" w:hAnsi="Arial Narrow"/>
                <w:b/>
                <w:sz w:val="20"/>
                <w:szCs w:val="20"/>
              </w:rPr>
              <w:t>0.0181</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sidRPr="00A20282">
              <w:rPr>
                <w:rFonts w:ascii="Arial Narrow" w:hAnsi="Arial Narrow"/>
                <w:sz w:val="20"/>
                <w:szCs w:val="20"/>
              </w:rPr>
              <w:t>BLISS-76</w:t>
            </w:r>
          </w:p>
        </w:tc>
        <w:tc>
          <w:tcPr>
            <w:tcW w:w="1417" w:type="dxa"/>
            <w:tcBorders>
              <w:top w:val="nil"/>
              <w:bottom w:val="nil"/>
            </w:tcBorders>
            <w:vAlign w:val="center"/>
          </w:tcPr>
          <w:p w:rsidR="00172AD3" w:rsidRPr="007A2133" w:rsidRDefault="00172AD3" w:rsidP="000D4DB4">
            <w:pPr>
              <w:keepNext/>
              <w:keepLines/>
              <w:jc w:val="center"/>
              <w:rPr>
                <w:rFonts w:ascii="Arial Narrow" w:hAnsi="Arial Narrow"/>
                <w:sz w:val="20"/>
                <w:szCs w:val="20"/>
                <w:highlight w:val="yellow"/>
              </w:rPr>
            </w:pPr>
            <w:r w:rsidRPr="00436CAF">
              <w:rPr>
                <w:rFonts w:ascii="Arial Narrow" w:hAnsi="Arial Narrow"/>
                <w:sz w:val="20"/>
                <w:szCs w:val="20"/>
              </w:rPr>
              <w:t>189/273 (69.2)</w:t>
            </w:r>
          </w:p>
        </w:tc>
        <w:tc>
          <w:tcPr>
            <w:tcW w:w="1418" w:type="dxa"/>
            <w:tcBorders>
              <w:top w:val="nil"/>
              <w:bottom w:val="nil"/>
            </w:tcBorders>
            <w:vAlign w:val="center"/>
          </w:tcPr>
          <w:p w:rsidR="00172AD3" w:rsidRPr="00436CAF" w:rsidRDefault="00172AD3" w:rsidP="000D4DB4">
            <w:pPr>
              <w:keepNext/>
              <w:keepLines/>
              <w:jc w:val="center"/>
              <w:rPr>
                <w:rFonts w:ascii="Arial Narrow" w:hAnsi="Arial Narrow"/>
                <w:sz w:val="20"/>
                <w:szCs w:val="20"/>
              </w:rPr>
            </w:pPr>
            <w:r w:rsidRPr="00436CAF">
              <w:rPr>
                <w:rFonts w:ascii="Arial Narrow" w:hAnsi="Arial Narrow"/>
                <w:sz w:val="20"/>
                <w:szCs w:val="20"/>
              </w:rPr>
              <w:t>179/275 (65.</w:t>
            </w:r>
            <w:r>
              <w:rPr>
                <w:rFonts w:ascii="Arial Narrow" w:hAnsi="Arial Narrow"/>
                <w:sz w:val="20"/>
                <w:szCs w:val="20"/>
              </w:rPr>
              <w:t>1</w:t>
            </w:r>
            <w:r w:rsidRPr="00436CAF">
              <w:rPr>
                <w:rFonts w:ascii="Arial Narrow" w:hAnsi="Arial Narrow"/>
                <w:sz w:val="20"/>
                <w:szCs w:val="20"/>
              </w:rPr>
              <w:t>)</w:t>
            </w:r>
          </w:p>
        </w:tc>
        <w:tc>
          <w:tcPr>
            <w:tcW w:w="2410" w:type="dxa"/>
            <w:tcBorders>
              <w:top w:val="nil"/>
              <w:bottom w:val="nil"/>
            </w:tcBorders>
            <w:vAlign w:val="center"/>
          </w:tcPr>
          <w:p w:rsidR="00172AD3" w:rsidRPr="00D16630" w:rsidRDefault="00172AD3" w:rsidP="000D4DB4">
            <w:pPr>
              <w:keepNext/>
              <w:keepLines/>
              <w:jc w:val="center"/>
              <w:rPr>
                <w:rFonts w:ascii="Arial Narrow" w:hAnsi="Arial Narrow"/>
                <w:sz w:val="20"/>
                <w:szCs w:val="20"/>
              </w:rPr>
            </w:pPr>
            <w:r w:rsidRPr="00D16630">
              <w:rPr>
                <w:rFonts w:ascii="Arial Narrow" w:hAnsi="Arial Narrow"/>
                <w:snapToGrid/>
                <w:sz w:val="20"/>
                <w:szCs w:val="20"/>
                <w:lang w:eastAsia="en-AU"/>
              </w:rPr>
              <w:t>1.20 (0.84, 1.73)</w:t>
            </w:r>
            <w:r w:rsidRPr="00D16630">
              <w:rPr>
                <w:rFonts w:ascii="Arial Narrow" w:hAnsi="Arial Narrow"/>
                <w:snapToGrid/>
                <w:sz w:val="20"/>
                <w:szCs w:val="20"/>
                <w:vertAlign w:val="superscript"/>
                <w:lang w:eastAsia="en-AU"/>
              </w:rPr>
              <w:t>e, d</w:t>
            </w:r>
            <w:r w:rsidRPr="00D16630">
              <w:rPr>
                <w:rFonts w:ascii="Arial Narrow" w:hAnsi="Arial Narrow"/>
                <w:snapToGrid/>
                <w:sz w:val="20"/>
                <w:szCs w:val="20"/>
                <w:lang w:eastAsia="en-AU"/>
              </w:rPr>
              <w:t>, p=0.3193</w:t>
            </w:r>
          </w:p>
        </w:tc>
        <w:tc>
          <w:tcPr>
            <w:tcW w:w="2359" w:type="dxa"/>
            <w:tcBorders>
              <w:top w:val="nil"/>
              <w:bottom w:val="nil"/>
            </w:tcBorders>
            <w:vAlign w:val="center"/>
          </w:tcPr>
          <w:p w:rsidR="00172AD3" w:rsidRPr="00D16630" w:rsidRDefault="00172AD3" w:rsidP="000D4DB4">
            <w:pPr>
              <w:keepNext/>
              <w:keepLines/>
              <w:jc w:val="center"/>
              <w:rPr>
                <w:rFonts w:ascii="Arial Narrow" w:hAnsi="Arial Narrow"/>
                <w:sz w:val="20"/>
                <w:szCs w:val="20"/>
              </w:rPr>
            </w:pPr>
            <w:r w:rsidRPr="00D16630">
              <w:rPr>
                <w:rFonts w:ascii="Arial Narrow" w:hAnsi="Arial Narrow"/>
                <w:sz w:val="20"/>
                <w:szCs w:val="20"/>
              </w:rPr>
              <w:t>0.04 (-0.04, 0.12),</w:t>
            </w:r>
            <w:r w:rsidRPr="00D16630">
              <w:rPr>
                <w:rFonts w:ascii="Arial Narrow" w:hAnsi="Arial Narrow"/>
                <w:sz w:val="20"/>
                <w:szCs w:val="20"/>
                <w:lang w:eastAsia="en-AU"/>
              </w:rPr>
              <w:t xml:space="preserve"> p=</w:t>
            </w:r>
            <w:r w:rsidRPr="00D16630">
              <w:rPr>
                <w:rFonts w:ascii="Arial Narrow" w:hAnsi="Arial Narrow"/>
                <w:sz w:val="20"/>
                <w:szCs w:val="20"/>
              </w:rPr>
              <w:t>0.3017</w:t>
            </w:r>
          </w:p>
        </w:tc>
      </w:tr>
      <w:tr w:rsidR="00172AD3" w:rsidRPr="00D16630" w:rsidTr="00155E64">
        <w:trPr>
          <w:tblHeader/>
        </w:trPr>
        <w:tc>
          <w:tcPr>
            <w:tcW w:w="1413" w:type="dxa"/>
            <w:tcBorders>
              <w:top w:val="nil"/>
              <w:bottom w:val="nil"/>
            </w:tcBorders>
          </w:tcPr>
          <w:p w:rsidR="00172AD3" w:rsidRPr="00A20282" w:rsidRDefault="00172AD3" w:rsidP="000D4DB4">
            <w:pPr>
              <w:keepNext/>
              <w:keepLines/>
              <w:rPr>
                <w:rFonts w:ascii="Arial Narrow" w:hAnsi="Arial Narrow"/>
                <w:sz w:val="20"/>
                <w:szCs w:val="20"/>
              </w:rPr>
            </w:pPr>
            <w:r>
              <w:rPr>
                <w:rFonts w:ascii="Arial Narrow" w:hAnsi="Arial Narrow"/>
                <w:sz w:val="20"/>
                <w:szCs w:val="20"/>
              </w:rPr>
              <w:t>NE-Asia</w:t>
            </w:r>
          </w:p>
        </w:tc>
        <w:tc>
          <w:tcPr>
            <w:tcW w:w="1417" w:type="dxa"/>
            <w:tcBorders>
              <w:top w:val="nil"/>
              <w:bottom w:val="nil"/>
            </w:tcBorders>
            <w:vAlign w:val="center"/>
          </w:tcPr>
          <w:p w:rsidR="00172AD3" w:rsidRPr="00BC39AD" w:rsidRDefault="00172AD3" w:rsidP="000D4DB4">
            <w:pPr>
              <w:keepNext/>
              <w:keepLines/>
              <w:jc w:val="center"/>
              <w:rPr>
                <w:rFonts w:ascii="Arial Narrow" w:hAnsi="Arial Narrow"/>
                <w:sz w:val="20"/>
                <w:szCs w:val="20"/>
              </w:rPr>
            </w:pPr>
            <w:r w:rsidRPr="00BC39AD">
              <w:rPr>
                <w:rFonts w:ascii="Arial Narrow" w:hAnsi="Arial Narrow"/>
                <w:sz w:val="20"/>
                <w:szCs w:val="20"/>
              </w:rPr>
              <w:t>358/446 (80.3)</w:t>
            </w:r>
          </w:p>
        </w:tc>
        <w:tc>
          <w:tcPr>
            <w:tcW w:w="1418" w:type="dxa"/>
            <w:tcBorders>
              <w:top w:val="nil"/>
              <w:bottom w:val="nil"/>
            </w:tcBorders>
            <w:vAlign w:val="center"/>
          </w:tcPr>
          <w:p w:rsidR="00172AD3" w:rsidRPr="00BC39AD" w:rsidRDefault="00172AD3" w:rsidP="000D4DB4">
            <w:pPr>
              <w:keepNext/>
              <w:keepLines/>
              <w:jc w:val="center"/>
              <w:rPr>
                <w:rFonts w:ascii="Arial Narrow" w:hAnsi="Arial Narrow"/>
                <w:sz w:val="20"/>
                <w:szCs w:val="20"/>
              </w:rPr>
            </w:pPr>
            <w:r w:rsidRPr="00BC39AD">
              <w:rPr>
                <w:rFonts w:ascii="Arial Narrow" w:hAnsi="Arial Narrow"/>
                <w:sz w:val="20"/>
                <w:szCs w:val="20"/>
              </w:rPr>
              <w:t>148/217 (68.2)</w:t>
            </w:r>
          </w:p>
        </w:tc>
        <w:tc>
          <w:tcPr>
            <w:tcW w:w="2410" w:type="dxa"/>
            <w:tcBorders>
              <w:top w:val="nil"/>
              <w:bottom w:val="nil"/>
            </w:tcBorders>
            <w:vAlign w:val="center"/>
          </w:tcPr>
          <w:p w:rsidR="00172AD3" w:rsidRPr="00D16630" w:rsidRDefault="00172AD3" w:rsidP="000D4DB4">
            <w:pPr>
              <w:keepNext/>
              <w:keepLines/>
              <w:jc w:val="center"/>
              <w:rPr>
                <w:rFonts w:ascii="Arial Narrow" w:hAnsi="Arial Narrow"/>
                <w:sz w:val="20"/>
                <w:szCs w:val="20"/>
              </w:rPr>
            </w:pPr>
            <w:r w:rsidRPr="00D16630">
              <w:rPr>
                <w:rFonts w:ascii="Arial Narrow" w:hAnsi="Arial Narrow"/>
                <w:sz w:val="20"/>
                <w:szCs w:val="20"/>
              </w:rPr>
              <w:t>1.91 (1.32, 2.77)</w:t>
            </w:r>
            <w:r w:rsidRPr="00D16630">
              <w:rPr>
                <w:rFonts w:ascii="Arial Narrow" w:hAnsi="Arial Narrow"/>
                <w:sz w:val="20"/>
                <w:szCs w:val="20"/>
                <w:vertAlign w:val="superscript"/>
              </w:rPr>
              <w:t>f, d</w:t>
            </w:r>
            <w:r w:rsidRPr="00D16630">
              <w:rPr>
                <w:rFonts w:ascii="Arial Narrow" w:hAnsi="Arial Narrow"/>
                <w:sz w:val="20"/>
                <w:szCs w:val="20"/>
              </w:rPr>
              <w:t>, p=0.0007</w:t>
            </w:r>
          </w:p>
        </w:tc>
        <w:tc>
          <w:tcPr>
            <w:tcW w:w="2359" w:type="dxa"/>
            <w:tcBorders>
              <w:top w:val="nil"/>
              <w:bottom w:val="nil"/>
            </w:tcBorders>
            <w:vAlign w:val="center"/>
          </w:tcPr>
          <w:p w:rsidR="00172AD3" w:rsidRPr="00D16630" w:rsidRDefault="00172AD3" w:rsidP="000D4DB4">
            <w:pPr>
              <w:keepNext/>
              <w:keepLines/>
              <w:jc w:val="center"/>
              <w:rPr>
                <w:rFonts w:ascii="Arial Narrow" w:hAnsi="Arial Narrow"/>
                <w:b/>
                <w:sz w:val="20"/>
                <w:szCs w:val="20"/>
              </w:rPr>
            </w:pPr>
            <w:r w:rsidRPr="00D16630">
              <w:rPr>
                <w:rFonts w:ascii="Arial Narrow" w:hAnsi="Arial Narrow"/>
                <w:b/>
                <w:sz w:val="20"/>
                <w:szCs w:val="20"/>
                <w:lang w:eastAsia="en-AU"/>
              </w:rPr>
              <w:t>0.12 (0.05, 0.19), p=0.0010</w:t>
            </w:r>
          </w:p>
        </w:tc>
      </w:tr>
      <w:tr w:rsidR="00172AD3" w:rsidRPr="00D16630" w:rsidTr="00155E64">
        <w:trPr>
          <w:tblHeader/>
        </w:trPr>
        <w:tc>
          <w:tcPr>
            <w:tcW w:w="1413" w:type="dxa"/>
            <w:tcBorders>
              <w:top w:val="nil"/>
              <w:bottom w:val="single" w:sz="4" w:space="0" w:color="auto"/>
            </w:tcBorders>
          </w:tcPr>
          <w:p w:rsidR="00172AD3" w:rsidRPr="008D13F9" w:rsidRDefault="00172AD3" w:rsidP="000D4DB4">
            <w:pPr>
              <w:keepNext/>
              <w:keepLines/>
              <w:rPr>
                <w:rFonts w:ascii="Arial Narrow" w:hAnsi="Arial Narrow"/>
                <w:sz w:val="20"/>
                <w:szCs w:val="20"/>
                <w:vertAlign w:val="superscript"/>
              </w:rPr>
            </w:pPr>
            <w:r w:rsidRPr="00A20282">
              <w:rPr>
                <w:rFonts w:ascii="Arial Narrow" w:hAnsi="Arial Narrow"/>
                <w:sz w:val="20"/>
                <w:szCs w:val="20"/>
              </w:rPr>
              <w:t>EMBRACE</w:t>
            </w:r>
            <w:r>
              <w:rPr>
                <w:rFonts w:ascii="Arial Narrow" w:hAnsi="Arial Narrow"/>
                <w:sz w:val="20"/>
                <w:szCs w:val="20"/>
                <w:vertAlign w:val="superscript"/>
              </w:rPr>
              <w:t>g</w:t>
            </w:r>
          </w:p>
        </w:tc>
        <w:tc>
          <w:tcPr>
            <w:tcW w:w="1417" w:type="dxa"/>
            <w:tcBorders>
              <w:top w:val="nil"/>
              <w:bottom w:val="single" w:sz="4" w:space="0" w:color="auto"/>
            </w:tcBorders>
            <w:vAlign w:val="center"/>
          </w:tcPr>
          <w:p w:rsidR="00172AD3" w:rsidRPr="00C165E3" w:rsidRDefault="006D6DCE" w:rsidP="000D4DB4">
            <w:pPr>
              <w:keepNext/>
              <w:keepLines/>
              <w:jc w:val="center"/>
              <w:rPr>
                <w:rFonts w:ascii="Arial Narrow" w:hAnsi="Arial Narrow"/>
                <w:sz w:val="20"/>
                <w:szCs w:val="20"/>
              </w:rPr>
            </w:pPr>
            <w:r>
              <w:rPr>
                <w:rFonts w:ascii="Arial Narrow" w:hAnsi="Arial Narrow"/>
                <w:noProof/>
                <w:color w:val="000000"/>
                <w:sz w:val="20"/>
                <w:szCs w:val="20"/>
                <w:highlight w:val="black"/>
              </w:rPr>
              <w:t>'''''''''</w:t>
            </w:r>
            <w:r w:rsidR="00172AD3" w:rsidRPr="00C165E3">
              <w:rPr>
                <w:rFonts w:ascii="Arial Narrow" w:hAnsi="Arial Narrow"/>
                <w:sz w:val="20"/>
                <w:szCs w:val="20"/>
              </w:rPr>
              <w:t>/298 (</w:t>
            </w:r>
            <w:r>
              <w:rPr>
                <w:rFonts w:ascii="Arial Narrow" w:hAnsi="Arial Narrow"/>
                <w:noProof/>
                <w:color w:val="000000"/>
                <w:sz w:val="20"/>
                <w:szCs w:val="20"/>
                <w:highlight w:val="black"/>
              </w:rPr>
              <w:t>''''''''''</w:t>
            </w:r>
            <w:r w:rsidR="00172AD3" w:rsidRPr="00C165E3">
              <w:rPr>
                <w:rFonts w:ascii="Arial Narrow" w:hAnsi="Arial Narrow"/>
                <w:sz w:val="20"/>
                <w:szCs w:val="20"/>
              </w:rPr>
              <w:t>)</w:t>
            </w:r>
          </w:p>
        </w:tc>
        <w:tc>
          <w:tcPr>
            <w:tcW w:w="1418" w:type="dxa"/>
            <w:tcBorders>
              <w:top w:val="nil"/>
              <w:bottom w:val="single" w:sz="4" w:space="0" w:color="auto"/>
            </w:tcBorders>
            <w:vAlign w:val="center"/>
          </w:tcPr>
          <w:p w:rsidR="00172AD3" w:rsidRPr="00C165E3" w:rsidRDefault="006D6DCE" w:rsidP="000D4DB4">
            <w:pPr>
              <w:keepNext/>
              <w:keepLines/>
              <w:jc w:val="center"/>
              <w:rPr>
                <w:rFonts w:ascii="Arial Narrow" w:hAnsi="Arial Narrow"/>
                <w:sz w:val="20"/>
                <w:szCs w:val="20"/>
              </w:rPr>
            </w:pPr>
            <w:r>
              <w:rPr>
                <w:rFonts w:ascii="Arial Narrow" w:hAnsi="Arial Narrow"/>
                <w:noProof/>
                <w:color w:val="000000"/>
                <w:sz w:val="20"/>
                <w:szCs w:val="20"/>
                <w:highlight w:val="black"/>
              </w:rPr>
              <w:t>''''''</w:t>
            </w:r>
            <w:r w:rsidR="00172AD3" w:rsidRPr="00C165E3">
              <w:rPr>
                <w:rFonts w:ascii="Arial Narrow" w:hAnsi="Arial Narrow"/>
                <w:sz w:val="20"/>
                <w:szCs w:val="20"/>
              </w:rPr>
              <w:t>/</w:t>
            </w:r>
            <w:r>
              <w:rPr>
                <w:rFonts w:ascii="Arial Narrow" w:hAnsi="Arial Narrow"/>
                <w:noProof/>
                <w:color w:val="000000"/>
                <w:sz w:val="20"/>
                <w:szCs w:val="20"/>
                <w:highlight w:val="black"/>
              </w:rPr>
              <w:t>''''''''''</w:t>
            </w:r>
            <w:r w:rsidR="00172AD3" w:rsidRPr="00C165E3">
              <w:rPr>
                <w:rFonts w:ascii="Arial Narrow" w:hAnsi="Arial Narrow"/>
                <w:sz w:val="20"/>
                <w:szCs w:val="20"/>
              </w:rPr>
              <w:t xml:space="preserve"> (</w:t>
            </w:r>
            <w:r>
              <w:rPr>
                <w:rFonts w:ascii="Arial Narrow" w:hAnsi="Arial Narrow"/>
                <w:noProof/>
                <w:color w:val="000000"/>
                <w:sz w:val="20"/>
                <w:szCs w:val="20"/>
                <w:highlight w:val="black"/>
              </w:rPr>
              <w:t>''''''''''</w:t>
            </w:r>
            <w:r w:rsidR="00172AD3" w:rsidRPr="00C165E3">
              <w:rPr>
                <w:rFonts w:ascii="Arial Narrow" w:hAnsi="Arial Narrow"/>
                <w:sz w:val="20"/>
                <w:szCs w:val="20"/>
              </w:rPr>
              <w:t>)</w:t>
            </w:r>
          </w:p>
        </w:tc>
        <w:tc>
          <w:tcPr>
            <w:tcW w:w="2410" w:type="dxa"/>
            <w:tcBorders>
              <w:top w:val="nil"/>
              <w:bottom w:val="single" w:sz="4" w:space="0" w:color="auto"/>
            </w:tcBorders>
            <w:vAlign w:val="center"/>
          </w:tcPr>
          <w:p w:rsidR="00172AD3" w:rsidRPr="00D16630" w:rsidRDefault="006D6DCE" w:rsidP="000D4DB4">
            <w:pPr>
              <w:keepNext/>
              <w:keepLines/>
              <w:jc w:val="center"/>
              <w:rPr>
                <w:rFonts w:ascii="Arial Narrow" w:hAnsi="Arial Narrow"/>
                <w:sz w:val="20"/>
                <w:szCs w:val="20"/>
              </w:rPr>
            </w:pPr>
            <w:r>
              <w:rPr>
                <w:rFonts w:ascii="Arial Narrow" w:hAnsi="Arial Narrow"/>
                <w:noProof/>
                <w:color w:val="000000"/>
                <w:sz w:val="20"/>
                <w:szCs w:val="20"/>
                <w:highlight w:val="black"/>
              </w:rPr>
              <w:t>'''''''''''</w:t>
            </w:r>
            <w:r w:rsidR="00172AD3" w:rsidRPr="00D16630">
              <w:rPr>
                <w:rFonts w:ascii="Arial Narrow" w:hAnsi="Arial Narrow"/>
                <w:sz w:val="20"/>
                <w:szCs w:val="20"/>
              </w:rPr>
              <w:t xml:space="preserve"> (</w:t>
            </w:r>
            <w:r>
              <w:rPr>
                <w:rFonts w:ascii="Arial Narrow" w:hAnsi="Arial Narrow"/>
                <w:noProof/>
                <w:color w:val="000000"/>
                <w:sz w:val="20"/>
                <w:szCs w:val="20"/>
                <w:highlight w:val="black"/>
              </w:rPr>
              <w:t>''''''''''</w:t>
            </w:r>
            <w:r w:rsidR="00172AD3" w:rsidRPr="00D16630">
              <w:rPr>
                <w:rFonts w:ascii="Arial Narrow" w:hAnsi="Arial Narrow"/>
                <w:sz w:val="20"/>
                <w:szCs w:val="20"/>
              </w:rPr>
              <w:t xml:space="preserve">, </w:t>
            </w:r>
            <w:r>
              <w:rPr>
                <w:rFonts w:ascii="Arial Narrow" w:hAnsi="Arial Narrow"/>
                <w:noProof/>
                <w:color w:val="000000"/>
                <w:sz w:val="20"/>
                <w:szCs w:val="20"/>
                <w:highlight w:val="black"/>
              </w:rPr>
              <w:t>''''''''''</w:t>
            </w:r>
            <w:r w:rsidR="00172AD3" w:rsidRPr="00D16630">
              <w:rPr>
                <w:rFonts w:ascii="Arial Narrow" w:hAnsi="Arial Narrow"/>
                <w:sz w:val="20"/>
                <w:szCs w:val="20"/>
              </w:rPr>
              <w:t>)</w:t>
            </w:r>
            <w:r w:rsidR="00172AD3" w:rsidRPr="00D16630">
              <w:rPr>
                <w:rFonts w:ascii="Arial Narrow" w:hAnsi="Arial Narrow"/>
                <w:sz w:val="20"/>
                <w:szCs w:val="20"/>
                <w:vertAlign w:val="superscript"/>
              </w:rPr>
              <w:t>h ,d</w:t>
            </w:r>
            <w:r w:rsidR="00172AD3" w:rsidRPr="00D16630">
              <w:rPr>
                <w:rFonts w:ascii="Arial Narrow" w:hAnsi="Arial Narrow"/>
                <w:sz w:val="20"/>
                <w:szCs w:val="20"/>
              </w:rPr>
              <w:t>, p=</w:t>
            </w:r>
            <w:r>
              <w:rPr>
                <w:rFonts w:ascii="Arial Narrow" w:hAnsi="Arial Narrow"/>
                <w:noProof/>
                <w:color w:val="000000"/>
                <w:sz w:val="20"/>
                <w:szCs w:val="20"/>
                <w:highlight w:val="black"/>
              </w:rPr>
              <w:t>''''''''''''''''</w:t>
            </w:r>
          </w:p>
        </w:tc>
        <w:tc>
          <w:tcPr>
            <w:tcW w:w="2359" w:type="dxa"/>
            <w:tcBorders>
              <w:top w:val="nil"/>
              <w:bottom w:val="single" w:sz="4" w:space="0" w:color="auto"/>
            </w:tcBorders>
            <w:vAlign w:val="center"/>
          </w:tcPr>
          <w:p w:rsidR="00172AD3" w:rsidRPr="00D16630" w:rsidRDefault="006D6DCE" w:rsidP="000D4DB4">
            <w:pPr>
              <w:keepNext/>
              <w:keepLines/>
              <w:jc w:val="center"/>
              <w:rPr>
                <w:rFonts w:ascii="Arial Narrow" w:hAnsi="Arial Narrow"/>
                <w:sz w:val="20"/>
                <w:szCs w:val="20"/>
              </w:rPr>
            </w:pPr>
            <w:r>
              <w:rPr>
                <w:rFonts w:ascii="Arial Narrow" w:hAnsi="Arial Narrow"/>
                <w:noProof/>
                <w:color w:val="000000"/>
                <w:sz w:val="20"/>
                <w:szCs w:val="20"/>
                <w:highlight w:val="black"/>
                <w:lang w:eastAsia="en-AU"/>
              </w:rPr>
              <w:t>''''''''''</w:t>
            </w:r>
            <w:r w:rsidR="00172AD3" w:rsidRPr="00D16630">
              <w:rPr>
                <w:rFonts w:ascii="Arial Narrow" w:hAnsi="Arial Narrow"/>
                <w:sz w:val="20"/>
                <w:szCs w:val="20"/>
                <w:lang w:eastAsia="en-AU"/>
              </w:rPr>
              <w:t xml:space="preserve"> (</w:t>
            </w:r>
            <w:r>
              <w:rPr>
                <w:rFonts w:ascii="Arial Narrow" w:hAnsi="Arial Narrow"/>
                <w:noProof/>
                <w:color w:val="000000"/>
                <w:sz w:val="20"/>
                <w:szCs w:val="20"/>
                <w:highlight w:val="black"/>
                <w:lang w:eastAsia="en-AU"/>
              </w:rPr>
              <w:t>''''''''''''''</w:t>
            </w:r>
            <w:r w:rsidR="00172AD3" w:rsidRPr="00D16630">
              <w:rPr>
                <w:rFonts w:ascii="Arial Narrow" w:hAnsi="Arial Narrow"/>
                <w:sz w:val="20"/>
                <w:szCs w:val="20"/>
                <w:lang w:eastAsia="en-AU"/>
              </w:rPr>
              <w:t xml:space="preserve">, </w:t>
            </w:r>
            <w:r>
              <w:rPr>
                <w:rFonts w:ascii="Arial Narrow" w:hAnsi="Arial Narrow"/>
                <w:noProof/>
                <w:color w:val="000000"/>
                <w:sz w:val="20"/>
                <w:szCs w:val="20"/>
                <w:highlight w:val="black"/>
                <w:lang w:eastAsia="en-AU"/>
              </w:rPr>
              <w:t>''''''''''</w:t>
            </w:r>
            <w:r w:rsidR="00172AD3" w:rsidRPr="00D16630">
              <w:rPr>
                <w:rFonts w:ascii="Arial Narrow" w:hAnsi="Arial Narrow"/>
                <w:sz w:val="20"/>
                <w:szCs w:val="20"/>
                <w:lang w:eastAsia="en-AU"/>
              </w:rPr>
              <w:t xml:space="preserve">), </w:t>
            </w:r>
            <w:r>
              <w:rPr>
                <w:rFonts w:ascii="Arial Narrow" w:hAnsi="Arial Narrow"/>
                <w:noProof/>
                <w:color w:val="000000"/>
                <w:sz w:val="20"/>
                <w:szCs w:val="20"/>
                <w:highlight w:val="black"/>
                <w:lang w:eastAsia="en-AU"/>
              </w:rPr>
              <w:t>'''''''''''''''''''''</w:t>
            </w:r>
          </w:p>
        </w:tc>
      </w:tr>
      <w:tr w:rsidR="00172AD3" w:rsidRPr="00D16630" w:rsidTr="00155E64">
        <w:trPr>
          <w:tblHeader/>
        </w:trPr>
        <w:tc>
          <w:tcPr>
            <w:tcW w:w="4248" w:type="dxa"/>
            <w:gridSpan w:val="3"/>
            <w:tcBorders>
              <w:top w:val="single" w:sz="4" w:space="0" w:color="auto"/>
            </w:tcBorders>
            <w:vAlign w:val="center"/>
          </w:tcPr>
          <w:p w:rsidR="00172AD3" w:rsidRPr="00A20282" w:rsidRDefault="00172AD3" w:rsidP="000D4DB4">
            <w:pPr>
              <w:keepNext/>
              <w:keepLines/>
              <w:jc w:val="right"/>
              <w:rPr>
                <w:rFonts w:ascii="Arial Narrow" w:hAnsi="Arial Narrow"/>
                <w:sz w:val="20"/>
                <w:szCs w:val="20"/>
              </w:rPr>
            </w:pPr>
            <w:r w:rsidRPr="00A20282">
              <w:rPr>
                <w:rFonts w:ascii="Arial Narrow" w:hAnsi="Arial Narrow"/>
                <w:sz w:val="20"/>
                <w:szCs w:val="20"/>
              </w:rPr>
              <w:t>Meta-analysis</w:t>
            </w:r>
          </w:p>
        </w:tc>
        <w:tc>
          <w:tcPr>
            <w:tcW w:w="2410" w:type="dxa"/>
            <w:tcBorders>
              <w:top w:val="single" w:sz="4" w:space="0" w:color="auto"/>
            </w:tcBorders>
            <w:vAlign w:val="center"/>
          </w:tcPr>
          <w:p w:rsidR="00172AD3" w:rsidRPr="00D16630" w:rsidRDefault="00172AD3" w:rsidP="000D4DB4">
            <w:pPr>
              <w:pStyle w:val="TableTextCA"/>
              <w:keepNext/>
              <w:keepLines/>
              <w:tabs>
                <w:tab w:val="left" w:pos="3234"/>
              </w:tabs>
              <w:rPr>
                <w:rFonts w:cs="Times New Roman"/>
                <w:b/>
                <w:szCs w:val="20"/>
              </w:rPr>
            </w:pPr>
            <w:r w:rsidRPr="00D16630">
              <w:rPr>
                <w:rFonts w:cs="Times New Roman"/>
                <w:b/>
                <w:szCs w:val="20"/>
              </w:rPr>
              <w:t>1.47 (1.24, 1.74), p&lt;0.0001</w:t>
            </w:r>
          </w:p>
        </w:tc>
        <w:tc>
          <w:tcPr>
            <w:tcW w:w="2359" w:type="dxa"/>
            <w:tcBorders>
              <w:top w:val="single" w:sz="4" w:space="0" w:color="auto"/>
            </w:tcBorders>
            <w:vAlign w:val="center"/>
          </w:tcPr>
          <w:p w:rsidR="00172AD3" w:rsidRPr="00D16630" w:rsidRDefault="00172AD3" w:rsidP="000D4DB4">
            <w:pPr>
              <w:pStyle w:val="TableTextCA"/>
              <w:keepNext/>
              <w:keepLines/>
              <w:tabs>
                <w:tab w:val="left" w:pos="3234"/>
              </w:tabs>
              <w:rPr>
                <w:rFonts w:cs="Times New Roman"/>
                <w:b/>
                <w:szCs w:val="20"/>
              </w:rPr>
            </w:pPr>
            <w:r w:rsidRPr="00D16630">
              <w:rPr>
                <w:rStyle w:val="TableText0"/>
                <w:b/>
                <w:sz w:val="20"/>
                <w:szCs w:val="20"/>
              </w:rPr>
              <w:t>0.07 (0.04, 0.10), p&lt;0.0001</w:t>
            </w:r>
          </w:p>
        </w:tc>
      </w:tr>
    </w:tbl>
    <w:p w:rsidR="00172AD3" w:rsidRPr="00D16630" w:rsidRDefault="00172AD3" w:rsidP="00132AA7">
      <w:pPr>
        <w:widowControl/>
        <w:autoSpaceDE w:val="0"/>
        <w:autoSpaceDN w:val="0"/>
        <w:adjustRightInd w:val="0"/>
        <w:jc w:val="left"/>
        <w:rPr>
          <w:rFonts w:ascii="Arial Narrow" w:hAnsi="Arial Narrow"/>
          <w:sz w:val="18"/>
          <w:szCs w:val="18"/>
        </w:rPr>
      </w:pPr>
      <w:r w:rsidRPr="00D16630">
        <w:rPr>
          <w:rFonts w:ascii="Arial Narrow" w:hAnsi="Arial Narrow"/>
          <w:b/>
          <w:sz w:val="18"/>
          <w:szCs w:val="18"/>
        </w:rPr>
        <w:t>Bold</w:t>
      </w:r>
      <w:r w:rsidRPr="00D16630">
        <w:rPr>
          <w:rFonts w:ascii="Arial Narrow" w:hAnsi="Arial Narrow"/>
          <w:sz w:val="18"/>
          <w:szCs w:val="18"/>
        </w:rPr>
        <w:t xml:space="preserve"> </w:t>
      </w:r>
      <w:r w:rsidR="000A37CD" w:rsidRPr="00D16630">
        <w:rPr>
          <w:rFonts w:ascii="Arial Narrow" w:hAnsi="Arial Narrow"/>
          <w:sz w:val="18"/>
          <w:szCs w:val="18"/>
        </w:rPr>
        <w:t xml:space="preserve">typography </w:t>
      </w:r>
      <w:r w:rsidRPr="00D16630">
        <w:rPr>
          <w:rFonts w:ascii="Arial Narrow" w:hAnsi="Arial Narrow"/>
          <w:sz w:val="18"/>
          <w:szCs w:val="18"/>
        </w:rPr>
        <w:t>indicates statistically significant results.</w:t>
      </w:r>
    </w:p>
    <w:p w:rsidR="00172AD3" w:rsidRPr="00D16630" w:rsidRDefault="00172AD3" w:rsidP="00132AA7">
      <w:pPr>
        <w:widowControl/>
        <w:autoSpaceDE w:val="0"/>
        <w:autoSpaceDN w:val="0"/>
        <w:adjustRightInd w:val="0"/>
        <w:jc w:val="left"/>
        <w:rPr>
          <w:rFonts w:ascii="Arial Narrow" w:hAnsi="Arial Narrow"/>
          <w:sz w:val="18"/>
          <w:szCs w:val="18"/>
        </w:rPr>
      </w:pPr>
      <w:r w:rsidRPr="00D16630">
        <w:rPr>
          <w:rFonts w:ascii="Arial Narrow" w:hAnsi="Arial Narrow"/>
          <w:sz w:val="18"/>
          <w:szCs w:val="18"/>
        </w:rPr>
        <w:t>Abbreviations: BEL=belimumab; CI=confidence interval; IV=intravenous; OR=odds ratio; RD=risk difference; S2K= the primary efficacy endpoint was SRI response rate with the SLEDAI-2K scoring rules for proteinuria; SC=subcutaneous; SRI=SLE responder index; SS= the secondary efficacy endpoint was SRI response rate using SELENA-SLEDAI scoring rules for proteinuria</w:t>
      </w:r>
    </w:p>
    <w:p w:rsidR="00172AD3" w:rsidRPr="00D16630" w:rsidRDefault="00172AD3" w:rsidP="00132AA7">
      <w:pPr>
        <w:tabs>
          <w:tab w:val="left" w:pos="142"/>
        </w:tabs>
        <w:ind w:left="144" w:hanging="144"/>
        <w:rPr>
          <w:rFonts w:ascii="Arial Narrow" w:hAnsi="Arial Narrow"/>
          <w:sz w:val="18"/>
          <w:szCs w:val="18"/>
        </w:rPr>
      </w:pPr>
      <w:r w:rsidRPr="00D16630">
        <w:rPr>
          <w:rFonts w:ascii="Arial Narrow" w:hAnsi="Arial Narrow"/>
          <w:sz w:val="18"/>
          <w:szCs w:val="18"/>
        </w:rPr>
        <w:t xml:space="preserve">* </w:t>
      </w:r>
      <w:r w:rsidRPr="00D16630">
        <w:rPr>
          <w:rFonts w:ascii="Arial Narrow" w:hAnsi="Arial Narrow"/>
          <w:sz w:val="18"/>
          <w:szCs w:val="18"/>
        </w:rPr>
        <w:tab/>
        <w:t>The submission (Figure 44, p113) erroneously used N=249 instead of 21</w:t>
      </w:r>
      <w:r w:rsidR="00A85D1E">
        <w:rPr>
          <w:rFonts w:ascii="Arial Narrow" w:hAnsi="Arial Narrow"/>
          <w:sz w:val="18"/>
          <w:szCs w:val="18"/>
        </w:rPr>
        <w:t>7</w:t>
      </w:r>
      <w:r w:rsidRPr="00D16630">
        <w:rPr>
          <w:rFonts w:ascii="Arial Narrow" w:hAnsi="Arial Narrow"/>
          <w:sz w:val="18"/>
          <w:szCs w:val="18"/>
        </w:rPr>
        <w:t xml:space="preserve"> in its RevMan analyses. This and the corresponding ORs and RDs was corrected during evaluation.</w:t>
      </w:r>
    </w:p>
    <w:p w:rsidR="00172AD3" w:rsidRPr="00D16630" w:rsidRDefault="00172AD3" w:rsidP="00132AA7">
      <w:pPr>
        <w:tabs>
          <w:tab w:val="left" w:pos="142"/>
        </w:tabs>
        <w:ind w:left="142" w:hanging="142"/>
        <w:rPr>
          <w:rFonts w:ascii="Arial Narrow" w:hAnsi="Arial Narrow"/>
          <w:sz w:val="18"/>
          <w:szCs w:val="18"/>
        </w:rPr>
      </w:pPr>
      <w:r w:rsidRPr="00D16630">
        <w:rPr>
          <w:rFonts w:ascii="Arial Narrow" w:hAnsi="Arial Narrow"/>
          <w:sz w:val="18"/>
          <w:szCs w:val="18"/>
          <w:vertAlign w:val="superscript"/>
        </w:rPr>
        <w:t>a</w:t>
      </w:r>
      <w:r w:rsidRPr="00D16630">
        <w:rPr>
          <w:rFonts w:ascii="Arial Narrow" w:hAnsi="Arial Narrow"/>
          <w:sz w:val="18"/>
          <w:szCs w:val="18"/>
        </w:rPr>
        <w:t xml:space="preserve"> </w:t>
      </w:r>
      <w:r w:rsidRPr="00D16630">
        <w:rPr>
          <w:rFonts w:ascii="Arial Narrow" w:hAnsi="Arial Narrow"/>
          <w:sz w:val="18"/>
          <w:szCs w:val="18"/>
        </w:rPr>
        <w:tab/>
        <w:t>Three</w:t>
      </w:r>
      <w:r w:rsidRPr="00D16630">
        <w:rPr>
          <w:rFonts w:ascii="Arial Narrow" w:hAnsi="Arial Narrow" w:cs="ArialNarrow"/>
          <w:snapToGrid/>
          <w:sz w:val="18"/>
          <w:szCs w:val="18"/>
          <w:lang w:eastAsia="en-AU"/>
        </w:rPr>
        <w:t xml:space="preserve"> ITT </w:t>
      </w:r>
      <w:r w:rsidR="009F39E2">
        <w:rPr>
          <w:rFonts w:ascii="Arial Narrow" w:hAnsi="Arial Narrow" w:cs="ArialNarrow"/>
          <w:snapToGrid/>
          <w:sz w:val="18"/>
          <w:szCs w:val="18"/>
          <w:lang w:eastAsia="en-AU"/>
        </w:rPr>
        <w:t>patients</w:t>
      </w:r>
      <w:r w:rsidRPr="00D16630">
        <w:rPr>
          <w:rFonts w:ascii="Arial Narrow" w:hAnsi="Arial Narrow" w:cs="ArialNarrow"/>
          <w:snapToGrid/>
          <w:sz w:val="18"/>
          <w:szCs w:val="18"/>
          <w:lang w:eastAsia="en-AU"/>
        </w:rPr>
        <w:t xml:space="preserve"> did not have a baseline PGA assessment and, therefore, do not contribute to SRI/component analyses. </w:t>
      </w:r>
    </w:p>
    <w:p w:rsidR="00172AD3" w:rsidRPr="00D16630" w:rsidRDefault="00172AD3" w:rsidP="00132AA7">
      <w:pPr>
        <w:widowControl/>
        <w:tabs>
          <w:tab w:val="left" w:pos="0"/>
          <w:tab w:val="left" w:pos="142"/>
        </w:tabs>
        <w:autoSpaceDE w:val="0"/>
        <w:autoSpaceDN w:val="0"/>
        <w:adjustRightInd w:val="0"/>
        <w:ind w:left="142" w:hanging="142"/>
        <w:jc w:val="left"/>
        <w:rPr>
          <w:rFonts w:ascii="Arial Narrow" w:hAnsi="Arial Narrow" w:cs="ArialNarrow"/>
          <w:snapToGrid/>
          <w:sz w:val="18"/>
          <w:szCs w:val="18"/>
          <w:lang w:eastAsia="en-AU"/>
        </w:rPr>
      </w:pPr>
      <w:r w:rsidRPr="00D16630">
        <w:rPr>
          <w:rFonts w:ascii="Arial Narrow" w:hAnsi="Arial Narrow"/>
          <w:sz w:val="18"/>
          <w:szCs w:val="18"/>
          <w:vertAlign w:val="superscript"/>
        </w:rPr>
        <w:t>b</w:t>
      </w:r>
      <w:r w:rsidRPr="00D16630">
        <w:rPr>
          <w:rFonts w:ascii="Arial Narrow" w:hAnsi="Arial Narrow"/>
          <w:sz w:val="18"/>
          <w:szCs w:val="18"/>
        </w:rPr>
        <w:t xml:space="preserve"> </w:t>
      </w:r>
      <w:r w:rsidRPr="00D16630">
        <w:rPr>
          <w:rFonts w:ascii="Arial Narrow" w:hAnsi="Arial Narrow"/>
          <w:sz w:val="18"/>
          <w:szCs w:val="18"/>
        </w:rPr>
        <w:tab/>
        <w:t>Logistic</w:t>
      </w:r>
      <w:r w:rsidRPr="00D16630">
        <w:rPr>
          <w:rFonts w:ascii="Arial Narrow" w:hAnsi="Arial Narrow" w:cs="ArialNarrow"/>
          <w:snapToGrid/>
          <w:sz w:val="18"/>
          <w:szCs w:val="18"/>
          <w:lang w:eastAsia="en-AU"/>
        </w:rPr>
        <w:t xml:space="preserve"> regression model with covariates treatment group, baseline SELENA SLEDAI score (</w:t>
      </w:r>
      <w:r w:rsidRPr="00D16630">
        <w:rPr>
          <w:rFonts w:ascii="Arial Narrow" w:hAnsi="Arial Narrow" w:cs="Symbol"/>
          <w:snapToGrid/>
          <w:sz w:val="18"/>
          <w:szCs w:val="18"/>
          <w:lang w:eastAsia="en-AU"/>
        </w:rPr>
        <w:t>≤</w:t>
      </w:r>
      <w:r w:rsidRPr="00D16630">
        <w:rPr>
          <w:rFonts w:ascii="Arial Narrow" w:hAnsi="Arial Narrow" w:cs="ArialNarrow"/>
          <w:snapToGrid/>
          <w:sz w:val="18"/>
          <w:szCs w:val="18"/>
          <w:lang w:eastAsia="en-AU"/>
        </w:rPr>
        <w:t>9 vs.</w:t>
      </w:r>
      <w:r w:rsidRPr="00D16630">
        <w:rPr>
          <w:rFonts w:ascii="Arial Narrow" w:hAnsi="Arial Narrow" w:cs="Symbol"/>
          <w:snapToGrid/>
          <w:sz w:val="18"/>
          <w:szCs w:val="18"/>
          <w:lang w:eastAsia="en-AU"/>
        </w:rPr>
        <w:t>≥</w:t>
      </w:r>
      <w:r w:rsidRPr="00D16630">
        <w:rPr>
          <w:rFonts w:ascii="Arial Narrow" w:hAnsi="Arial Narrow" w:cs="ArialNarrow"/>
          <w:snapToGrid/>
          <w:sz w:val="18"/>
          <w:szCs w:val="18"/>
          <w:lang w:eastAsia="en-AU"/>
        </w:rPr>
        <w:t>10), baseline complement levels (low C3 and/or C4 vs. no low C3 or C4) and race (Black vs. Other).</w:t>
      </w:r>
    </w:p>
    <w:p w:rsidR="00172AD3" w:rsidRPr="00D16630" w:rsidRDefault="00172AD3" w:rsidP="00132AA7">
      <w:pPr>
        <w:widowControl/>
        <w:tabs>
          <w:tab w:val="left" w:pos="0"/>
          <w:tab w:val="left" w:pos="142"/>
        </w:tabs>
        <w:autoSpaceDE w:val="0"/>
        <w:autoSpaceDN w:val="0"/>
        <w:adjustRightInd w:val="0"/>
        <w:ind w:left="142" w:hanging="142"/>
        <w:jc w:val="left"/>
        <w:rPr>
          <w:rFonts w:ascii="Arial Narrow" w:hAnsi="Arial Narrow" w:cs="ArialNarrow"/>
          <w:snapToGrid/>
          <w:sz w:val="18"/>
          <w:szCs w:val="18"/>
          <w:lang w:eastAsia="en-AU"/>
        </w:rPr>
      </w:pPr>
      <w:r w:rsidRPr="00D16630">
        <w:rPr>
          <w:rFonts w:ascii="Arial Narrow" w:hAnsi="Arial Narrow" w:cs="ArialNarrow"/>
          <w:snapToGrid/>
          <w:sz w:val="18"/>
          <w:szCs w:val="18"/>
          <w:vertAlign w:val="superscript"/>
          <w:lang w:eastAsia="en-AU"/>
        </w:rPr>
        <w:t>c</w:t>
      </w:r>
      <w:r w:rsidRPr="00D16630">
        <w:rPr>
          <w:rFonts w:ascii="Arial Narrow" w:hAnsi="Arial Narrow" w:cs="ArialNarrow"/>
          <w:snapToGrid/>
          <w:sz w:val="18"/>
          <w:szCs w:val="18"/>
          <w:vertAlign w:val="superscript"/>
          <w:lang w:eastAsia="en-AU"/>
        </w:rPr>
        <w:tab/>
      </w:r>
      <w:r w:rsidRPr="00D16630">
        <w:rPr>
          <w:rFonts w:ascii="Arial Narrow" w:hAnsi="Arial Narrow"/>
          <w:sz w:val="18"/>
          <w:szCs w:val="18"/>
        </w:rPr>
        <w:t>Baseline</w:t>
      </w:r>
      <w:r w:rsidRPr="00D16630">
        <w:rPr>
          <w:rFonts w:ascii="Arial Narrow" w:hAnsi="Arial Narrow" w:cs="ArialNarrow"/>
          <w:snapToGrid/>
          <w:sz w:val="18"/>
          <w:szCs w:val="18"/>
          <w:lang w:eastAsia="en-AU"/>
        </w:rPr>
        <w:t xml:space="preserve"> PGA was also included in the model.</w:t>
      </w:r>
    </w:p>
    <w:p w:rsidR="00172AD3" w:rsidRPr="00D16630" w:rsidRDefault="00172AD3" w:rsidP="00132AA7">
      <w:pPr>
        <w:widowControl/>
        <w:tabs>
          <w:tab w:val="left" w:pos="0"/>
          <w:tab w:val="left" w:pos="142"/>
        </w:tabs>
        <w:autoSpaceDE w:val="0"/>
        <w:autoSpaceDN w:val="0"/>
        <w:adjustRightInd w:val="0"/>
        <w:ind w:left="142" w:hanging="142"/>
        <w:jc w:val="left"/>
        <w:rPr>
          <w:rFonts w:ascii="Arial Narrow" w:hAnsi="Arial Narrow" w:cs="ArialNarrow"/>
          <w:snapToGrid/>
          <w:sz w:val="18"/>
          <w:szCs w:val="18"/>
          <w:lang w:eastAsia="en-AU"/>
        </w:rPr>
      </w:pPr>
      <w:r w:rsidRPr="00D16630">
        <w:rPr>
          <w:rFonts w:ascii="Arial Narrow" w:hAnsi="Arial Narrow"/>
          <w:sz w:val="18"/>
          <w:szCs w:val="18"/>
          <w:vertAlign w:val="superscript"/>
        </w:rPr>
        <w:t>d</w:t>
      </w:r>
      <w:r w:rsidRPr="00D16630">
        <w:rPr>
          <w:rFonts w:ascii="Arial Narrow" w:hAnsi="Arial Narrow"/>
          <w:sz w:val="18"/>
          <w:szCs w:val="18"/>
        </w:rPr>
        <w:t xml:space="preserve"> </w:t>
      </w:r>
      <w:r w:rsidRPr="00D16630">
        <w:rPr>
          <w:rFonts w:ascii="Arial Narrow" w:hAnsi="Arial Narrow"/>
          <w:sz w:val="18"/>
          <w:szCs w:val="18"/>
        </w:rPr>
        <w:tab/>
        <w:t>Baseline</w:t>
      </w:r>
      <w:r w:rsidRPr="00D16630">
        <w:rPr>
          <w:rFonts w:ascii="Arial Narrow" w:hAnsi="Arial Narrow" w:cs="ArialNarrow"/>
          <w:snapToGrid/>
          <w:sz w:val="18"/>
          <w:szCs w:val="18"/>
          <w:lang w:eastAsia="en-AU"/>
        </w:rPr>
        <w:t xml:space="preserve"> BILAG domain involvement (at least 1A/2B vs. at most 1B) was also included in the model.</w:t>
      </w:r>
    </w:p>
    <w:p w:rsidR="00172AD3" w:rsidRPr="00D16630" w:rsidRDefault="00172AD3" w:rsidP="00132AA7">
      <w:pPr>
        <w:widowControl/>
        <w:tabs>
          <w:tab w:val="left" w:pos="0"/>
          <w:tab w:val="left" w:pos="142"/>
        </w:tabs>
        <w:autoSpaceDE w:val="0"/>
        <w:autoSpaceDN w:val="0"/>
        <w:adjustRightInd w:val="0"/>
        <w:ind w:left="142" w:hanging="142"/>
        <w:jc w:val="left"/>
        <w:rPr>
          <w:rFonts w:ascii="Arial Narrow" w:hAnsi="Arial Narrow" w:cs="ArialNarrow"/>
          <w:snapToGrid/>
          <w:sz w:val="18"/>
          <w:szCs w:val="18"/>
          <w:lang w:eastAsia="en-AU"/>
        </w:rPr>
      </w:pPr>
      <w:r w:rsidRPr="00D16630">
        <w:rPr>
          <w:rFonts w:ascii="Arial Narrow" w:hAnsi="Arial Narrow" w:cs="ArialNarrow"/>
          <w:snapToGrid/>
          <w:sz w:val="18"/>
          <w:szCs w:val="18"/>
          <w:vertAlign w:val="superscript"/>
          <w:lang w:eastAsia="en-AU"/>
        </w:rPr>
        <w:t>e</w:t>
      </w:r>
      <w:r w:rsidRPr="00D16630">
        <w:rPr>
          <w:rFonts w:ascii="Arial Narrow" w:hAnsi="Arial Narrow" w:cs="ArialNarrow"/>
          <w:snapToGrid/>
          <w:sz w:val="18"/>
          <w:szCs w:val="18"/>
          <w:lang w:eastAsia="en-AU"/>
        </w:rPr>
        <w:t xml:space="preserve"> </w:t>
      </w:r>
      <w:r w:rsidRPr="00D16630">
        <w:rPr>
          <w:rFonts w:ascii="Arial Narrow" w:hAnsi="Arial Narrow" w:cs="ArialNarrow"/>
          <w:snapToGrid/>
          <w:sz w:val="18"/>
          <w:szCs w:val="18"/>
          <w:lang w:eastAsia="en-AU"/>
        </w:rPr>
        <w:tab/>
      </w:r>
      <w:r w:rsidRPr="00D16630">
        <w:rPr>
          <w:rFonts w:ascii="Arial Narrow" w:hAnsi="Arial Narrow"/>
          <w:sz w:val="18"/>
          <w:szCs w:val="18"/>
        </w:rPr>
        <w:t>Logistic</w:t>
      </w:r>
      <w:r w:rsidRPr="00D16630">
        <w:rPr>
          <w:rFonts w:ascii="Arial Narrow" w:hAnsi="Arial Narrow" w:cs="ArialNarrow"/>
          <w:snapToGrid/>
          <w:sz w:val="18"/>
          <w:szCs w:val="18"/>
          <w:lang w:eastAsia="en-AU"/>
        </w:rPr>
        <w:t xml:space="preserve"> regression model with covariates, including baseline SELENA SLEDAI (≤ 9 vs ≥ 10), baseline proteinuria level (&lt; 2 g/24 hour vs ≥ 2 g/24 hour equivalent) and race (African descent or indigenous-American descent vs other).</w:t>
      </w:r>
    </w:p>
    <w:p w:rsidR="00172AD3" w:rsidRPr="00D16630" w:rsidRDefault="00172AD3" w:rsidP="00132AA7">
      <w:pPr>
        <w:widowControl/>
        <w:tabs>
          <w:tab w:val="left" w:pos="0"/>
          <w:tab w:val="left" w:pos="142"/>
        </w:tabs>
        <w:autoSpaceDE w:val="0"/>
        <w:autoSpaceDN w:val="0"/>
        <w:adjustRightInd w:val="0"/>
        <w:ind w:left="142" w:hanging="142"/>
        <w:jc w:val="left"/>
        <w:rPr>
          <w:rFonts w:ascii="Arial Narrow" w:hAnsi="Arial Narrow"/>
          <w:sz w:val="18"/>
          <w:szCs w:val="18"/>
        </w:rPr>
      </w:pPr>
      <w:r w:rsidRPr="00D16630">
        <w:rPr>
          <w:rFonts w:ascii="Arial Narrow" w:hAnsi="Arial Narrow" w:cs="ArialNarrow"/>
          <w:snapToGrid/>
          <w:sz w:val="18"/>
          <w:szCs w:val="18"/>
          <w:vertAlign w:val="superscript"/>
          <w:lang w:eastAsia="en-AU"/>
        </w:rPr>
        <w:lastRenderedPageBreak/>
        <w:t>f</w:t>
      </w:r>
      <w:r w:rsidRPr="00D16630">
        <w:rPr>
          <w:rFonts w:ascii="Arial Narrow" w:hAnsi="Arial Narrow" w:cs="ArialNarrow"/>
          <w:snapToGrid/>
          <w:sz w:val="18"/>
          <w:szCs w:val="18"/>
          <w:lang w:eastAsia="en-AU"/>
        </w:rPr>
        <w:t xml:space="preserve"> </w:t>
      </w:r>
      <w:r w:rsidRPr="00D16630">
        <w:rPr>
          <w:rFonts w:ascii="Arial Narrow" w:hAnsi="Arial Narrow" w:cs="ArialNarrow"/>
          <w:snapToGrid/>
          <w:sz w:val="18"/>
          <w:szCs w:val="18"/>
          <w:lang w:eastAsia="en-AU"/>
        </w:rPr>
        <w:tab/>
        <w:t>Logistic regression model with independent variables treatment group, country, baseline SELENA SLEDAI score (≤ 9 vs ≥ 10) and complement levels (low C3 and/or C4 vs. no low C3 or C4).</w:t>
      </w:r>
    </w:p>
    <w:p w:rsidR="00172AD3" w:rsidRPr="00D16630" w:rsidRDefault="00172AD3" w:rsidP="00132AA7">
      <w:pPr>
        <w:widowControl/>
        <w:tabs>
          <w:tab w:val="left" w:pos="0"/>
          <w:tab w:val="left" w:pos="142"/>
        </w:tabs>
        <w:autoSpaceDE w:val="0"/>
        <w:autoSpaceDN w:val="0"/>
        <w:adjustRightInd w:val="0"/>
        <w:ind w:left="142" w:hanging="142"/>
        <w:jc w:val="left"/>
        <w:rPr>
          <w:rFonts w:ascii="Arial Narrow" w:hAnsi="Arial Narrow"/>
          <w:sz w:val="18"/>
          <w:szCs w:val="18"/>
        </w:rPr>
      </w:pPr>
      <w:r w:rsidRPr="00D16630">
        <w:rPr>
          <w:rFonts w:ascii="Arial Narrow" w:hAnsi="Arial Narrow"/>
          <w:sz w:val="18"/>
          <w:szCs w:val="18"/>
          <w:vertAlign w:val="superscript"/>
        </w:rPr>
        <w:t>g</w:t>
      </w:r>
      <w:r w:rsidRPr="00D16630">
        <w:rPr>
          <w:rFonts w:ascii="Arial Narrow" w:hAnsi="Arial Narrow"/>
          <w:sz w:val="18"/>
          <w:szCs w:val="18"/>
        </w:rPr>
        <w:t xml:space="preserve"> </w:t>
      </w:r>
      <w:r w:rsidRPr="00D16630">
        <w:rPr>
          <w:rFonts w:ascii="Arial Narrow" w:hAnsi="Arial Narrow"/>
          <w:sz w:val="18"/>
          <w:szCs w:val="18"/>
        </w:rPr>
        <w:tab/>
        <w:t>One subject in the mITT population did not have a screening or baseline PGA assessment; therefore, this subject did not contribute to the SRI/component analysis.</w:t>
      </w:r>
    </w:p>
    <w:p w:rsidR="00172AD3" w:rsidRPr="00D16630" w:rsidRDefault="00172AD3" w:rsidP="00132AA7">
      <w:pPr>
        <w:widowControl/>
        <w:tabs>
          <w:tab w:val="left" w:pos="0"/>
          <w:tab w:val="left" w:pos="142"/>
        </w:tabs>
        <w:autoSpaceDE w:val="0"/>
        <w:autoSpaceDN w:val="0"/>
        <w:adjustRightInd w:val="0"/>
        <w:ind w:left="142" w:hanging="142"/>
        <w:jc w:val="left"/>
        <w:rPr>
          <w:rFonts w:ascii="Arial Narrow" w:hAnsi="Arial Narrow"/>
          <w:sz w:val="18"/>
          <w:szCs w:val="18"/>
        </w:rPr>
      </w:pPr>
      <w:r w:rsidRPr="00D16630">
        <w:rPr>
          <w:rFonts w:ascii="Arial Narrow" w:hAnsi="Arial Narrow"/>
          <w:sz w:val="18"/>
          <w:szCs w:val="18"/>
          <w:vertAlign w:val="superscript"/>
        </w:rPr>
        <w:t>h</w:t>
      </w:r>
      <w:r w:rsidRPr="00D16630">
        <w:rPr>
          <w:rFonts w:ascii="Arial Narrow" w:hAnsi="Arial Narrow"/>
          <w:sz w:val="18"/>
          <w:szCs w:val="18"/>
        </w:rPr>
        <w:t xml:space="preserve"> </w:t>
      </w:r>
      <w:r w:rsidRPr="00D16630">
        <w:rPr>
          <w:rFonts w:ascii="Arial Narrow" w:hAnsi="Arial Narrow"/>
          <w:sz w:val="18"/>
          <w:szCs w:val="18"/>
        </w:rPr>
        <w:tab/>
        <w:t xml:space="preserve">Logistic regression model with covariates treatment group, baseline SS-S2K score </w:t>
      </w:r>
      <w:r w:rsidRPr="00D16630">
        <w:rPr>
          <w:rFonts w:ascii="Arial Narrow" w:hAnsi="Arial Narrow" w:cs="ArialNarrow"/>
          <w:snapToGrid/>
          <w:sz w:val="18"/>
          <w:szCs w:val="18"/>
          <w:lang w:eastAsia="en-AU"/>
        </w:rPr>
        <w:t xml:space="preserve">(≤ 9 vs ≥ </w:t>
      </w:r>
      <w:r w:rsidRPr="00D16630">
        <w:rPr>
          <w:rFonts w:ascii="Arial Narrow" w:hAnsi="Arial Narrow"/>
          <w:sz w:val="18"/>
          <w:szCs w:val="18"/>
        </w:rPr>
        <w:t>10), baseline complement levels (at least 1 low C3 and/or C4 vs. NO low C3 or C4), and region (US/Canada vs. other).</w:t>
      </w:r>
    </w:p>
    <w:p w:rsidR="00172AD3" w:rsidRPr="00F337FA" w:rsidRDefault="00172AD3" w:rsidP="00132AA7">
      <w:pPr>
        <w:rPr>
          <w:rFonts w:ascii="Arial Narrow" w:hAnsi="Arial Narrow"/>
          <w:sz w:val="18"/>
          <w:szCs w:val="18"/>
        </w:rPr>
      </w:pPr>
      <w:r w:rsidRPr="00F337FA">
        <w:rPr>
          <w:rFonts w:ascii="Arial Narrow" w:hAnsi="Arial Narrow"/>
          <w:sz w:val="18"/>
          <w:szCs w:val="18"/>
        </w:rPr>
        <w:t>Source: Tables 31-34, p80-84 and Tables 48-51, p112-115 of the submission; Tables 15-16, p78-79 of BLISS-SC CSR; Tables 7-1, 7-2 p80-81 of BLISS-52 CSR; Tables 7-1, 7-2 p86-87 of BLISS-76 CSR; Tables 16-17, p64-65 of NE-Asia CSR; Tables 19-20, 28, p59-60, p81 of EMBRACE CSR.</w:t>
      </w:r>
    </w:p>
    <w:p w:rsidR="00172AD3" w:rsidRPr="0043288C" w:rsidRDefault="00172AD3" w:rsidP="00172AD3">
      <w:pPr>
        <w:widowControl/>
      </w:pPr>
    </w:p>
    <w:p w:rsidR="00172AD3" w:rsidRPr="0022277A" w:rsidRDefault="00172AD3" w:rsidP="00FF5FCE">
      <w:pPr>
        <w:pStyle w:val="ListParagraph"/>
        <w:widowControl/>
        <w:numPr>
          <w:ilvl w:val="1"/>
          <w:numId w:val="1"/>
        </w:numPr>
        <w:spacing w:after="120"/>
        <w:rPr>
          <w:rFonts w:asciiTheme="minorHAnsi" w:eastAsiaTheme="minorHAnsi" w:hAnsiTheme="minorHAnsi" w:cstheme="minorBidi"/>
          <w:snapToGrid/>
        </w:rPr>
      </w:pPr>
      <w:r w:rsidRPr="0022277A">
        <w:t>BLISS</w:t>
      </w:r>
      <w:r w:rsidRPr="0022277A">
        <w:rPr>
          <w:rFonts w:asciiTheme="minorHAnsi" w:eastAsiaTheme="minorHAnsi" w:hAnsiTheme="minorHAnsi" w:cstheme="minorBidi"/>
          <w:snapToGrid/>
        </w:rPr>
        <w:t>-SC demonstrated that belimumab 200 mg SC in addition to SOC achieved a greater proportion of SRI responders at Week 52 compared to placebo plus SOC (RD; 95% confidence interval [CI] = 0.13; 0.06, 0.20). The results of BLISS-SC were similar to the results from the pooled trials (RD; 95% CI = 0.12; 0.08, 0.15). Of note however, the response rate in the placebo arms of the trials were high and the treatment effect of belimumab over placebo was marginal, as reflect</w:t>
      </w:r>
      <w:r w:rsidR="0043288C" w:rsidRPr="0022277A">
        <w:rPr>
          <w:rFonts w:asciiTheme="minorHAnsi" w:eastAsiaTheme="minorHAnsi" w:hAnsiTheme="minorHAnsi" w:cstheme="minorBidi"/>
          <w:snapToGrid/>
        </w:rPr>
        <w:t>ed by the low risk differences.</w:t>
      </w:r>
    </w:p>
    <w:p w:rsidR="00172AD3" w:rsidRPr="0022277A" w:rsidRDefault="00D41654" w:rsidP="00D514A7">
      <w:pPr>
        <w:pStyle w:val="ListParagraph"/>
        <w:widowControl/>
        <w:numPr>
          <w:ilvl w:val="1"/>
          <w:numId w:val="1"/>
        </w:numPr>
        <w:spacing w:after="120"/>
      </w:pPr>
      <w:r w:rsidRPr="0022277A">
        <w:t xml:space="preserve">The high placebo response rates may have been due to </w:t>
      </w:r>
      <w:r w:rsidR="00D514A7" w:rsidRPr="00D514A7">
        <w:t xml:space="preserve">regression to the mean </w:t>
      </w:r>
      <w:r w:rsidR="00D514A7">
        <w:t xml:space="preserve">because some </w:t>
      </w:r>
      <w:r w:rsidRPr="0022277A">
        <w:t xml:space="preserve">patients </w:t>
      </w:r>
      <w:r w:rsidR="00D514A7">
        <w:t xml:space="preserve">may have </w:t>
      </w:r>
      <w:r w:rsidRPr="0022277A">
        <w:t>commenc</w:t>
      </w:r>
      <w:r w:rsidR="00D514A7">
        <w:t>ed</w:t>
      </w:r>
      <w:r w:rsidRPr="0022277A">
        <w:t xml:space="preserve"> therapy during a disease flare</w:t>
      </w:r>
      <w:r w:rsidR="00D514A7">
        <w:t xml:space="preserve"> (</w:t>
      </w:r>
      <w:r w:rsidR="00D514A7" w:rsidRPr="00D514A7">
        <w:t xml:space="preserve">patients </w:t>
      </w:r>
      <w:r w:rsidR="00D514A7">
        <w:t xml:space="preserve">had to </w:t>
      </w:r>
      <w:r w:rsidR="00D514A7" w:rsidRPr="00D514A7">
        <w:t>meet</w:t>
      </w:r>
      <w:r w:rsidR="00D514A7">
        <w:t xml:space="preserve"> </w:t>
      </w:r>
      <w:r w:rsidR="00D514A7" w:rsidRPr="00D514A7">
        <w:t>minimum SELENA-SLEDAI scores at screening</w:t>
      </w:r>
      <w:r w:rsidR="00D514A7">
        <w:t>)</w:t>
      </w:r>
      <w:r w:rsidRPr="0022277A">
        <w:t xml:space="preserve">. Over </w:t>
      </w:r>
      <w:r w:rsidR="00C463DB" w:rsidRPr="0022277A">
        <w:t>time,</w:t>
      </w:r>
      <w:r w:rsidRPr="0022277A">
        <w:t xml:space="preserve"> the level of disease activity would reduce in some patients, for example as the flare becomes controlled.</w:t>
      </w:r>
      <w:r w:rsidR="00172AD3" w:rsidRPr="0022277A">
        <w:rPr>
          <w:rFonts w:asciiTheme="minorHAnsi" w:eastAsiaTheme="minorHAnsi" w:hAnsiTheme="minorHAnsi" w:cstheme="minorBidi"/>
          <w:snapToGrid/>
        </w:rPr>
        <w:t xml:space="preserve"> The high placebo response rates may also be due to enhanced monitoring and greater compliance to background medications </w:t>
      </w:r>
      <w:r w:rsidR="009C187E" w:rsidRPr="0022277A">
        <w:rPr>
          <w:rFonts w:asciiTheme="minorHAnsi" w:eastAsiaTheme="minorHAnsi" w:hAnsiTheme="minorHAnsi" w:cstheme="minorBidi"/>
          <w:snapToGrid/>
        </w:rPr>
        <w:t>in</w:t>
      </w:r>
      <w:r w:rsidR="00172AD3" w:rsidRPr="0022277A">
        <w:rPr>
          <w:rFonts w:asciiTheme="minorHAnsi" w:eastAsiaTheme="minorHAnsi" w:hAnsiTheme="minorHAnsi" w:cstheme="minorBidi"/>
          <w:snapToGrid/>
        </w:rPr>
        <w:t xml:space="preserve"> the clinical trial setting. </w:t>
      </w:r>
    </w:p>
    <w:p w:rsidR="00172AD3" w:rsidRPr="00823489" w:rsidRDefault="00172AD3" w:rsidP="00FF5FCE">
      <w:pPr>
        <w:pStyle w:val="ListParagraph"/>
        <w:widowControl/>
        <w:numPr>
          <w:ilvl w:val="1"/>
          <w:numId w:val="1"/>
        </w:numPr>
        <w:spacing w:after="120"/>
      </w:pPr>
      <w:r w:rsidRPr="00F06C4D">
        <w:rPr>
          <w:rFonts w:asciiTheme="minorHAnsi" w:eastAsiaTheme="minorHAnsi" w:hAnsiTheme="minorHAnsi" w:cstheme="minorBidi"/>
          <w:snapToGrid/>
        </w:rPr>
        <w:t>There were more responders in both the belimumab and placebo trial arms when measured by the PGA and BILAG compared to the SELENA-SLEDAI. Across all trials and for the pooled analyses, the</w:t>
      </w:r>
      <w:r w:rsidR="00A519FE">
        <w:rPr>
          <w:rFonts w:asciiTheme="minorHAnsi" w:eastAsiaTheme="minorHAnsi" w:hAnsiTheme="minorHAnsi" w:cstheme="minorBidi"/>
          <w:snapToGrid/>
        </w:rPr>
        <w:t xml:space="preserve"> relative</w:t>
      </w:r>
      <w:r w:rsidRPr="00F06C4D">
        <w:rPr>
          <w:rFonts w:asciiTheme="minorHAnsi" w:eastAsiaTheme="minorHAnsi" w:hAnsiTheme="minorHAnsi" w:cstheme="minorBidi"/>
          <w:snapToGrid/>
        </w:rPr>
        <w:t xml:space="preserve"> treatment effect of belimumab was lower when measured by both the PGA and BILAG compared to the SELENA-SLEDAI. Only three trials (BLISS-SC, BLISS-52 and NE-Asia) achieved statistically significant results for the SRI and all of its </w:t>
      </w:r>
      <w:r w:rsidRPr="009C5AFE">
        <w:rPr>
          <w:rFonts w:asciiTheme="minorHAnsi" w:eastAsiaTheme="minorHAnsi" w:hAnsiTheme="minorHAnsi" w:cstheme="minorBidi"/>
          <w:snapToGrid/>
        </w:rPr>
        <w:t>component indexes.</w:t>
      </w:r>
    </w:p>
    <w:p w:rsidR="00F14BB6" w:rsidRDefault="002C4D93" w:rsidP="00FF5FCE">
      <w:pPr>
        <w:pStyle w:val="ListParagraph"/>
        <w:widowControl/>
        <w:numPr>
          <w:ilvl w:val="1"/>
          <w:numId w:val="1"/>
        </w:numPr>
        <w:spacing w:after="120"/>
      </w:pPr>
      <w:r w:rsidRPr="0022277A">
        <w:t>The ESC noted that longer</w:t>
      </w:r>
      <w:r w:rsidR="00C67FA2" w:rsidRPr="0022277A">
        <w:t>-</w:t>
      </w:r>
      <w:r w:rsidRPr="0022277A">
        <w:t>term comparative data</w:t>
      </w:r>
      <w:r w:rsidR="00F14BB6" w:rsidRPr="0022277A">
        <w:t xml:space="preserve"> </w:t>
      </w:r>
      <w:r w:rsidRPr="0022277A">
        <w:t>from</w:t>
      </w:r>
      <w:r w:rsidR="00F14BB6" w:rsidRPr="0022277A">
        <w:t xml:space="preserve"> BLISS-76</w:t>
      </w:r>
      <w:r w:rsidRPr="0022277A">
        <w:t xml:space="preserve"> </w:t>
      </w:r>
      <w:r w:rsidR="00C67FA2" w:rsidRPr="0022277A">
        <w:t>found</w:t>
      </w:r>
      <w:r w:rsidRPr="0022277A">
        <w:t xml:space="preserve"> that by Week 76, SRI response ceased to reach statistical significance (adjusted OR of 1.31, 95% CI 0.92 to 1.87)</w:t>
      </w:r>
      <w:r w:rsidRPr="0022277A">
        <w:rPr>
          <w:rStyle w:val="FootnoteReference"/>
        </w:rPr>
        <w:footnoteReference w:id="12"/>
      </w:r>
      <w:r w:rsidRPr="0022277A">
        <w:t xml:space="preserve"> despite being </w:t>
      </w:r>
      <w:r w:rsidR="00C30BBC" w:rsidRPr="0022277A">
        <w:t>superior</w:t>
      </w:r>
      <w:r w:rsidRPr="0022277A">
        <w:t xml:space="preserve"> at Week 52 (adjusted OR of 1.52, 95% CI = 1.07, 2.15). </w:t>
      </w:r>
      <w:r w:rsidR="00C30BBC" w:rsidRPr="0022277A">
        <w:t>The ESC acknowledged that SRI response at Week 76 was a secondary efficacy endpoint and the trial was not powered to detect a difference in this outcome, but considered th</w:t>
      </w:r>
      <w:r w:rsidR="00C67FA2" w:rsidRPr="0022277A">
        <w:t>ese</w:t>
      </w:r>
      <w:r w:rsidR="00C30BBC" w:rsidRPr="0022277A">
        <w:t xml:space="preserve"> data raised concerns about the long-term efficacy of belimumab. </w:t>
      </w:r>
    </w:p>
    <w:p w:rsidR="00823489" w:rsidRDefault="00823489" w:rsidP="00FF5FCE">
      <w:pPr>
        <w:pStyle w:val="ListParagraph"/>
        <w:widowControl/>
        <w:numPr>
          <w:ilvl w:val="1"/>
          <w:numId w:val="1"/>
        </w:numPr>
        <w:spacing w:after="120"/>
      </w:pPr>
      <w:r w:rsidRPr="0022277A">
        <w:t xml:space="preserve">The ESC noted that </w:t>
      </w:r>
      <w:r w:rsidR="00700E74" w:rsidRPr="0022277A">
        <w:t>SRI response at Week 52 was</w:t>
      </w:r>
      <w:r w:rsidRPr="0022277A">
        <w:t xml:space="preserve"> not statistically significant in the EMBRACE trial</w:t>
      </w:r>
      <w:r w:rsidR="00700E74" w:rsidRPr="0022277A">
        <w:t xml:space="preserve">, which </w:t>
      </w:r>
      <w:r w:rsidR="0000667B" w:rsidRPr="0022277A">
        <w:t>was conducted in p</w:t>
      </w:r>
      <w:r w:rsidR="00700E74" w:rsidRPr="0022277A">
        <w:t xml:space="preserve">atients of African American, Native American and African descent. </w:t>
      </w:r>
      <w:r w:rsidRPr="0022277A">
        <w:t xml:space="preserve">The ESC </w:t>
      </w:r>
      <w:r w:rsidR="00A816EE" w:rsidRPr="0022277A">
        <w:t xml:space="preserve">also noted </w:t>
      </w:r>
      <w:r w:rsidR="000861CA" w:rsidRPr="0022277A">
        <w:t>that SLE is more common and more severe in Indigenous Australians and</w:t>
      </w:r>
      <w:r w:rsidR="000861CA" w:rsidRPr="0022277A" w:rsidDel="00A816EE">
        <w:t xml:space="preserve"> </w:t>
      </w:r>
      <w:r w:rsidR="00700E74" w:rsidRPr="0022277A">
        <w:t xml:space="preserve">the applicability </w:t>
      </w:r>
      <w:r w:rsidR="00A205A4" w:rsidRPr="0022277A">
        <w:t xml:space="preserve">of the BLISS-SC results </w:t>
      </w:r>
      <w:r w:rsidR="00700E74" w:rsidRPr="0022277A">
        <w:t xml:space="preserve">to </w:t>
      </w:r>
      <w:r w:rsidR="000861CA" w:rsidRPr="0022277A">
        <w:t>these patients is uncertain</w:t>
      </w:r>
      <w:r w:rsidR="0000667B" w:rsidRPr="0022277A">
        <w:t>.</w:t>
      </w:r>
    </w:p>
    <w:p w:rsidR="003B64C1" w:rsidRPr="0022277A" w:rsidRDefault="003B64C1" w:rsidP="00223251">
      <w:pPr>
        <w:pStyle w:val="ListParagraph"/>
        <w:widowControl/>
        <w:numPr>
          <w:ilvl w:val="1"/>
          <w:numId w:val="1"/>
        </w:numPr>
        <w:spacing w:after="120"/>
      </w:pPr>
      <w:r w:rsidRPr="00223251">
        <w:rPr>
          <w:rFonts w:asciiTheme="minorHAnsi" w:eastAsiaTheme="minorHAnsi" w:hAnsiTheme="minorHAnsi" w:cstheme="minorBidi"/>
          <w:snapToGrid/>
        </w:rPr>
        <w:lastRenderedPageBreak/>
        <w:t>The PBAC noted that</w:t>
      </w:r>
      <w:r w:rsidR="00223251" w:rsidRPr="00223251">
        <w:rPr>
          <w:rFonts w:asciiTheme="minorHAnsi" w:eastAsiaTheme="minorHAnsi" w:hAnsiTheme="minorHAnsi" w:cstheme="minorBidi"/>
          <w:snapToGrid/>
        </w:rPr>
        <w:t>, in the BLISS-SC trial,</w:t>
      </w:r>
      <w:r w:rsidRPr="00223251">
        <w:rPr>
          <w:rFonts w:asciiTheme="minorHAnsi" w:eastAsiaTheme="minorHAnsi" w:hAnsiTheme="minorHAnsi" w:cstheme="minorBidi"/>
          <w:snapToGrid/>
        </w:rPr>
        <w:t xml:space="preserve"> </w:t>
      </w:r>
      <w:r w:rsidR="00223251" w:rsidRPr="00223251">
        <w:rPr>
          <w:rFonts w:asciiTheme="minorHAnsi" w:eastAsiaTheme="minorHAnsi" w:hAnsiTheme="minorHAnsi" w:cstheme="minorBidi"/>
          <w:snapToGrid/>
        </w:rPr>
        <w:t xml:space="preserve">more patients were able to reduce their corticosteroid dosage by </w:t>
      </w:r>
      <w:r w:rsidR="00223251" w:rsidRPr="00223251">
        <w:rPr>
          <w:rFonts w:asciiTheme="minorHAnsi" w:eastAsiaTheme="minorHAnsi" w:hAnsiTheme="minorHAnsi" w:cstheme="minorHAnsi"/>
          <w:snapToGrid/>
        </w:rPr>
        <w:t xml:space="preserve">≥ </w:t>
      </w:r>
      <w:r w:rsidR="00223251" w:rsidRPr="00223251">
        <w:rPr>
          <w:rFonts w:asciiTheme="minorHAnsi" w:eastAsiaTheme="minorHAnsi" w:hAnsiTheme="minorHAnsi" w:cstheme="minorBidi"/>
          <w:snapToGrid/>
        </w:rPr>
        <w:t xml:space="preserve">25% (to </w:t>
      </w:r>
      <w:r w:rsidR="00223251" w:rsidRPr="00223251">
        <w:rPr>
          <w:rFonts w:asciiTheme="minorHAnsi" w:eastAsiaTheme="minorHAnsi" w:hAnsiTheme="minorHAnsi" w:cstheme="minorHAnsi"/>
          <w:snapToGrid/>
        </w:rPr>
        <w:t xml:space="preserve">≤ </w:t>
      </w:r>
      <w:r w:rsidR="00223251" w:rsidRPr="00223251">
        <w:rPr>
          <w:rFonts w:asciiTheme="minorHAnsi" w:eastAsiaTheme="minorHAnsi" w:hAnsiTheme="minorHAnsi" w:cstheme="minorBidi"/>
          <w:snapToGrid/>
        </w:rPr>
        <w:t xml:space="preserve">7.5 mg/day) in the belimumab group than in the placebo group (18.2% versus 11.9%, respectively) although the difference was not statistically significant (OR = 1.65 (95% CI: 0.95, 2.84). Fewer patients in the belimumab group (8.1% versus 13.2%, respectively) had an increase in corticosteroid dosage through to week 52 (OR </w:t>
      </w:r>
      <w:r w:rsidR="00223251">
        <w:rPr>
          <w:rFonts w:asciiTheme="minorHAnsi" w:eastAsiaTheme="minorHAnsi" w:hAnsiTheme="minorHAnsi" w:cstheme="minorBidi"/>
          <w:snapToGrid/>
        </w:rPr>
        <w:t>= 0.55 (</w:t>
      </w:r>
      <w:r w:rsidR="00223251" w:rsidRPr="00223251">
        <w:rPr>
          <w:rFonts w:asciiTheme="minorHAnsi" w:eastAsiaTheme="minorHAnsi" w:hAnsiTheme="minorHAnsi" w:cstheme="minorBidi"/>
          <w:snapToGrid/>
        </w:rPr>
        <w:t>95% CI</w:t>
      </w:r>
      <w:r w:rsidR="00223251">
        <w:rPr>
          <w:rFonts w:asciiTheme="minorHAnsi" w:eastAsiaTheme="minorHAnsi" w:hAnsiTheme="minorHAnsi" w:cstheme="minorBidi"/>
          <w:snapToGrid/>
        </w:rPr>
        <w:t>:</w:t>
      </w:r>
      <w:r w:rsidR="00223251" w:rsidRPr="00223251">
        <w:rPr>
          <w:rFonts w:asciiTheme="minorHAnsi" w:eastAsiaTheme="minorHAnsi" w:hAnsiTheme="minorHAnsi" w:cstheme="minorBidi"/>
          <w:snapToGrid/>
        </w:rPr>
        <w:t xml:space="preserve"> 0.34</w:t>
      </w:r>
      <w:r w:rsidR="00223251">
        <w:rPr>
          <w:rFonts w:asciiTheme="minorHAnsi" w:eastAsiaTheme="minorHAnsi" w:hAnsiTheme="minorHAnsi" w:cstheme="minorBidi"/>
          <w:snapToGrid/>
        </w:rPr>
        <w:t xml:space="preserve">, </w:t>
      </w:r>
      <w:r w:rsidR="00223251" w:rsidRPr="00223251">
        <w:rPr>
          <w:rFonts w:asciiTheme="minorHAnsi" w:eastAsiaTheme="minorHAnsi" w:hAnsiTheme="minorHAnsi" w:cstheme="minorBidi"/>
          <w:snapToGrid/>
        </w:rPr>
        <w:t>0.87</w:t>
      </w:r>
      <w:r w:rsidR="00223251">
        <w:rPr>
          <w:rFonts w:asciiTheme="minorHAnsi" w:eastAsiaTheme="minorHAnsi" w:hAnsiTheme="minorHAnsi" w:cstheme="minorBidi"/>
          <w:snapToGrid/>
        </w:rPr>
        <w:t xml:space="preserve">). The PBAC considered that the clinical significance of these </w:t>
      </w:r>
      <w:r w:rsidR="0077566A">
        <w:rPr>
          <w:rFonts w:asciiTheme="minorHAnsi" w:eastAsiaTheme="minorHAnsi" w:hAnsiTheme="minorHAnsi" w:cstheme="minorBidi"/>
          <w:snapToGrid/>
        </w:rPr>
        <w:t>results</w:t>
      </w:r>
      <w:r w:rsidR="00223251">
        <w:rPr>
          <w:rFonts w:asciiTheme="minorHAnsi" w:eastAsiaTheme="minorHAnsi" w:hAnsiTheme="minorHAnsi" w:cstheme="minorBidi"/>
          <w:snapToGrid/>
        </w:rPr>
        <w:t xml:space="preserve"> was unclear. </w:t>
      </w:r>
    </w:p>
    <w:p w:rsidR="006F2F52" w:rsidRDefault="00992A53" w:rsidP="003B5844">
      <w:pPr>
        <w:spacing w:after="120"/>
        <w:rPr>
          <w:i/>
          <w:u w:val="single"/>
        </w:rPr>
      </w:pPr>
      <w:r>
        <w:rPr>
          <w:i/>
          <w:u w:val="single"/>
        </w:rPr>
        <w:t>S</w:t>
      </w:r>
      <w:r w:rsidR="006F2F52">
        <w:rPr>
          <w:i/>
          <w:u w:val="single"/>
        </w:rPr>
        <w:t>ubgroup analyses</w:t>
      </w:r>
    </w:p>
    <w:p w:rsidR="00981918" w:rsidRDefault="006F2F52" w:rsidP="006F2F52">
      <w:pPr>
        <w:pStyle w:val="ListParagraph"/>
        <w:widowControl/>
        <w:numPr>
          <w:ilvl w:val="1"/>
          <w:numId w:val="1"/>
        </w:numPr>
        <w:spacing w:after="120"/>
      </w:pPr>
      <w:r w:rsidRPr="0022277A">
        <w:t xml:space="preserve">The proposed PBS restriction </w:t>
      </w:r>
      <w:r w:rsidR="00856882">
        <w:t>was narrower</w:t>
      </w:r>
      <w:r w:rsidRPr="0022277A">
        <w:t xml:space="preserve"> than the eligibility criteria for the key trials in that it require</w:t>
      </w:r>
      <w:r w:rsidR="00992A53">
        <w:t>d</w:t>
      </w:r>
      <w:r w:rsidRPr="0022277A">
        <w:t xml:space="preserve"> patients to: be positive for anti-ds DNA (the trials also allowed ANA titre ≥1:80); have a SELENA-SLEDAI score ≥10 (the trials all used lower scores); be on prednisone ≥ 7.5 mg/day (prednisone was not required at baseline in any of the trials)</w:t>
      </w:r>
      <w:r w:rsidR="00992A53">
        <w:t xml:space="preserve"> and be on c</w:t>
      </w:r>
      <w:r w:rsidR="00992A53">
        <w:rPr>
          <w:color w:val="000000"/>
        </w:rPr>
        <w:t>oncomitant triple therapy (not required in any of the trials).</w:t>
      </w:r>
      <w:r w:rsidRPr="0022277A">
        <w:t xml:space="preserve"> The PSCR stated that, for the meta-analysis results, the sub-population identified in the proposed PBS restriction had a greater response rate than the trial ITT populations: patients with anti-dsDNA positive or </w:t>
      </w:r>
      <w:r w:rsidRPr="0022277A">
        <w:rPr>
          <w:rFonts w:asciiTheme="minorHAnsi" w:eastAsiaTheme="minorHAnsi" w:hAnsiTheme="minorHAnsi" w:cstheme="minorBidi"/>
          <w:snapToGrid/>
        </w:rPr>
        <w:t>SELENA-SLEDAI</w:t>
      </w:r>
      <w:r w:rsidRPr="0022277A">
        <w:t xml:space="preserve"> ≥ 10 had odds ratios for SRI response of 1.84 (95% CI = 1.47, 2.29) and 2.10 (95% CI = 1.72, 2.57) respectively). Further, the odds ratio for patients on corticosteroids at baseline (regardless of dose) was 1.77 (95% CI = 1.49, 2.10). This compares with an adjusted odds ratio for the trial ITT populations of 1.69 (95% CI = 1.45, 1.97). </w:t>
      </w:r>
    </w:p>
    <w:p w:rsidR="006F2F52" w:rsidRPr="0022277A" w:rsidRDefault="00981918" w:rsidP="00981918">
      <w:pPr>
        <w:pStyle w:val="ListParagraph"/>
        <w:widowControl/>
        <w:numPr>
          <w:ilvl w:val="1"/>
          <w:numId w:val="1"/>
        </w:numPr>
        <w:spacing w:after="120"/>
      </w:pPr>
      <w:r>
        <w:t xml:space="preserve">The ESC considered that </w:t>
      </w:r>
      <w:r w:rsidR="006F2F52" w:rsidRPr="0022277A">
        <w:t>these subgroup analyses should be interpreted with caution as the subgroup results are compared with the ITT results rather than the complement, and the subgroup analyses were not subject to any multiple comparison procedures. Further, in the BLISS-SC trial (where these subgroup analyses were pre-specified), the p-values for interaction did not indicate a statistically significant interaction between these variables and treatment response.</w:t>
      </w:r>
      <w:r w:rsidR="006F2F52" w:rsidRPr="0022277A">
        <w:rPr>
          <w:rStyle w:val="FootnoteReference"/>
        </w:rPr>
        <w:footnoteReference w:id="13"/>
      </w:r>
      <w:r w:rsidR="00992A53">
        <w:t xml:space="preserve"> While acknowledging the limitations, the PBAC considered that the subgroup analyses provided information as to the likely predictors of response</w:t>
      </w:r>
      <w:r>
        <w:t xml:space="preserve"> and generally aligned with the results of other studies (Laccarino </w:t>
      </w:r>
      <w:r w:rsidRPr="00981918">
        <w:t>et al</w:t>
      </w:r>
      <w:r>
        <w:t xml:space="preserve"> 2018)</w:t>
      </w:r>
      <w:r w:rsidR="00992A53">
        <w:t>.</w:t>
      </w:r>
    </w:p>
    <w:p w:rsidR="003B64C1" w:rsidRPr="003B64C1" w:rsidRDefault="003B64C1" w:rsidP="003B64C1">
      <w:pPr>
        <w:widowControl/>
        <w:spacing w:after="120"/>
      </w:pPr>
      <w:r w:rsidRPr="003B5844">
        <w:rPr>
          <w:i/>
          <w:u w:val="single"/>
        </w:rPr>
        <w:t>Outcomes used in the economic model</w:t>
      </w:r>
    </w:p>
    <w:p w:rsidR="006F2F52" w:rsidRDefault="006F2F52" w:rsidP="006F2F52">
      <w:pPr>
        <w:pStyle w:val="ListParagraph"/>
        <w:widowControl/>
        <w:numPr>
          <w:ilvl w:val="1"/>
          <w:numId w:val="1"/>
        </w:numPr>
        <w:spacing w:after="120"/>
      </w:pPr>
      <w:r w:rsidRPr="0022277A">
        <w:rPr>
          <w:rFonts w:asciiTheme="minorHAnsi" w:eastAsiaTheme="minorHAnsi" w:hAnsiTheme="minorHAnsi" w:cstheme="minorBidi"/>
          <w:snapToGrid/>
        </w:rPr>
        <w:t>The SRI results were not used in the submission’s economic model. Rather, t</w:t>
      </w:r>
      <w:r w:rsidRPr="0022277A">
        <w:t xml:space="preserve">he probability of response used in the economic model was based on the proportion of patients who achieved a ≥ 4-point reduction in the SELENA-SLEDAI at Week 24 in BLISS-SC in-line with the requested continuation restriction. The difference in SELENA-SLEDAI response at Week 24 was not statistically significant at the nominal 0.05 level (OR </w:t>
      </w:r>
      <w:r w:rsidR="006D6DCE">
        <w:rPr>
          <w:noProof/>
          <w:color w:val="000000"/>
          <w:highlight w:val="black"/>
        </w:rPr>
        <w:t>'''''''''</w:t>
      </w:r>
      <w:r w:rsidRPr="0022277A">
        <w:t xml:space="preserve">; 95% CI: </w:t>
      </w:r>
      <w:r w:rsidR="006D6DCE">
        <w:rPr>
          <w:noProof/>
          <w:color w:val="000000"/>
          <w:highlight w:val="black"/>
        </w:rPr>
        <w:t>''''''''</w:t>
      </w:r>
      <w:r w:rsidRPr="0022277A">
        <w:t xml:space="preserve">, </w:t>
      </w:r>
      <w:r w:rsidR="006D6DCE">
        <w:rPr>
          <w:noProof/>
          <w:color w:val="000000"/>
          <w:highlight w:val="black"/>
        </w:rPr>
        <w:t>''''''''</w:t>
      </w:r>
      <w:r w:rsidRPr="0022277A">
        <w:t>; p=</w:t>
      </w:r>
      <w:r w:rsidR="006D6DCE">
        <w:rPr>
          <w:noProof/>
          <w:color w:val="000000"/>
          <w:highlight w:val="black"/>
        </w:rPr>
        <w:t>''''''''''''</w:t>
      </w:r>
      <w:r w:rsidRPr="0022277A">
        <w:t>).</w:t>
      </w:r>
    </w:p>
    <w:p w:rsidR="00172AD3" w:rsidRPr="00D16630" w:rsidRDefault="00F61CA4" w:rsidP="00FF5FCE">
      <w:pPr>
        <w:pStyle w:val="ListParagraph"/>
        <w:widowControl/>
        <w:numPr>
          <w:ilvl w:val="1"/>
          <w:numId w:val="1"/>
        </w:numPr>
        <w:spacing w:after="120"/>
      </w:pPr>
      <w:r>
        <w:lastRenderedPageBreak/>
        <w:t>Table 8</w:t>
      </w:r>
      <w:r w:rsidR="00172AD3" w:rsidRPr="00D16630">
        <w:t xml:space="preserve"> presents the results of other outcomes included in the economic model (annual rate of any flares and severe flares). Treatment with belimumab was associated with a statistically significantly reduced risk of flares, with the </w:t>
      </w:r>
      <w:r w:rsidR="000861CA">
        <w:t>reduction in risk</w:t>
      </w:r>
      <w:r w:rsidR="00172AD3" w:rsidRPr="00D16630">
        <w:t xml:space="preserve"> being </w:t>
      </w:r>
      <w:r w:rsidR="000861CA">
        <w:t>greater</w:t>
      </w:r>
      <w:r w:rsidR="000861CA" w:rsidRPr="00D16630">
        <w:t xml:space="preserve"> </w:t>
      </w:r>
      <w:r w:rsidR="00172AD3" w:rsidRPr="00D16630">
        <w:t xml:space="preserve">for severe flares compared to any flare. </w:t>
      </w:r>
    </w:p>
    <w:p w:rsidR="00172AD3" w:rsidRPr="00240BFE" w:rsidRDefault="00172AD3" w:rsidP="00BC67A5">
      <w:pPr>
        <w:keepNext/>
        <w:keepLines/>
        <w:widowControl/>
        <w:suppressLineNumbers/>
        <w:suppressAutoHyphens/>
        <w:rPr>
          <w:rStyle w:val="CommentReference"/>
        </w:rPr>
      </w:pPr>
      <w:r w:rsidRPr="0043288C">
        <w:rPr>
          <w:rStyle w:val="CommentReference"/>
        </w:rPr>
        <w:t>T</w:t>
      </w:r>
      <w:r w:rsidR="00F61CA4">
        <w:rPr>
          <w:rStyle w:val="CommentReference"/>
        </w:rPr>
        <w:t>able 8</w:t>
      </w:r>
      <w:r w:rsidR="000A37CD">
        <w:rPr>
          <w:rStyle w:val="CommentReference"/>
        </w:rPr>
        <w:t>:</w:t>
      </w:r>
      <w:r w:rsidRPr="0043288C">
        <w:rPr>
          <w:rStyle w:val="CommentReference"/>
        </w:rPr>
        <w:t xml:space="preserve"> </w:t>
      </w:r>
      <w:r w:rsidRPr="0043288C">
        <w:rPr>
          <w:rFonts w:ascii="Arial Narrow" w:hAnsi="Arial Narrow"/>
          <w:b/>
          <w:bCs/>
          <w:sz w:val="20"/>
          <w:szCs w:val="20"/>
        </w:rPr>
        <w:t>Other</w:t>
      </w:r>
      <w:r>
        <w:rPr>
          <w:rFonts w:ascii="Arial Narrow" w:hAnsi="Arial Narrow"/>
          <w:b/>
          <w:bCs/>
          <w:sz w:val="20"/>
          <w:szCs w:val="20"/>
        </w:rPr>
        <w:t xml:space="preserve"> outcomes used in the economic </w:t>
      </w:r>
      <w:r w:rsidRPr="00240BFE">
        <w:rPr>
          <w:rFonts w:ascii="Arial Narrow" w:hAnsi="Arial Narrow"/>
          <w:b/>
          <w:bCs/>
          <w:sz w:val="20"/>
          <w:szCs w:val="20"/>
        </w:rPr>
        <w:t>model (highlighted)</w:t>
      </w:r>
    </w:p>
    <w:tbl>
      <w:tblPr>
        <w:tblStyle w:val="TableGrid"/>
        <w:tblW w:w="0" w:type="auto"/>
        <w:tblLayout w:type="fixed"/>
        <w:tblCellMar>
          <w:left w:w="28" w:type="dxa"/>
          <w:right w:w="28" w:type="dxa"/>
        </w:tblCellMar>
        <w:tblLook w:val="04A0" w:firstRow="1" w:lastRow="0" w:firstColumn="1" w:lastColumn="0" w:noHBand="0" w:noVBand="1"/>
        <w:tblCaption w:val="Table 8: Other outcomes used in the economic model (highlighted)"/>
      </w:tblPr>
      <w:tblGrid>
        <w:gridCol w:w="988"/>
        <w:gridCol w:w="779"/>
        <w:gridCol w:w="780"/>
        <w:gridCol w:w="992"/>
        <w:gridCol w:w="709"/>
        <w:gridCol w:w="47"/>
        <w:gridCol w:w="756"/>
        <w:gridCol w:w="756"/>
        <w:gridCol w:w="992"/>
        <w:gridCol w:w="709"/>
        <w:gridCol w:w="1509"/>
      </w:tblGrid>
      <w:tr w:rsidR="00172AD3" w:rsidRPr="007D0DA6" w:rsidTr="009B4321">
        <w:trPr>
          <w:tblHeader/>
        </w:trPr>
        <w:tc>
          <w:tcPr>
            <w:tcW w:w="988" w:type="dxa"/>
            <w:vMerge w:val="restart"/>
            <w:vAlign w:val="center"/>
          </w:tcPr>
          <w:p w:rsidR="00172AD3" w:rsidRPr="00DC10B8" w:rsidRDefault="00172AD3" w:rsidP="00BC67A5">
            <w:pPr>
              <w:keepNext/>
              <w:keepLines/>
              <w:widowControl/>
              <w:suppressLineNumbers/>
              <w:suppressAutoHyphens/>
              <w:jc w:val="left"/>
              <w:rPr>
                <w:rFonts w:ascii="Arial Narrow" w:hAnsi="Arial Narrow"/>
                <w:b/>
                <w:bCs/>
                <w:sz w:val="20"/>
                <w:szCs w:val="20"/>
                <w:vertAlign w:val="superscript"/>
              </w:rPr>
            </w:pPr>
            <w:r w:rsidRPr="007D0DA6">
              <w:rPr>
                <w:rFonts w:ascii="Arial Narrow" w:hAnsi="Arial Narrow"/>
                <w:b/>
                <w:bCs/>
                <w:sz w:val="20"/>
                <w:szCs w:val="20"/>
              </w:rPr>
              <w:t>Annual rate of flares</w:t>
            </w:r>
            <w:r>
              <w:rPr>
                <w:rFonts w:ascii="Arial Narrow" w:hAnsi="Arial Narrow"/>
                <w:b/>
                <w:bCs/>
                <w:sz w:val="20"/>
                <w:szCs w:val="20"/>
                <w:vertAlign w:val="superscript"/>
              </w:rPr>
              <w:t>a</w:t>
            </w:r>
          </w:p>
        </w:tc>
        <w:tc>
          <w:tcPr>
            <w:tcW w:w="3260" w:type="dxa"/>
            <w:gridSpan w:val="4"/>
            <w:vAlign w:val="center"/>
          </w:tcPr>
          <w:p w:rsidR="00172AD3" w:rsidRPr="007D0DA6" w:rsidRDefault="00172AD3" w:rsidP="00BC67A5">
            <w:pPr>
              <w:keepNext/>
              <w:keepLines/>
              <w:widowControl/>
              <w:suppressLineNumbers/>
              <w:suppressAutoHyphens/>
              <w:jc w:val="center"/>
              <w:rPr>
                <w:rFonts w:ascii="Arial Narrow" w:hAnsi="Arial Narrow"/>
                <w:b/>
                <w:bCs/>
                <w:sz w:val="20"/>
                <w:szCs w:val="20"/>
              </w:rPr>
            </w:pPr>
            <w:r>
              <w:rPr>
                <w:rFonts w:ascii="Arial Narrow" w:hAnsi="Arial Narrow"/>
                <w:b/>
                <w:bCs/>
                <w:sz w:val="20"/>
                <w:szCs w:val="18"/>
                <w:lang w:val="de-DE"/>
              </w:rPr>
              <w:t>BEL (200mg SC</w:t>
            </w:r>
            <w:r w:rsidRPr="00506C56">
              <w:rPr>
                <w:rFonts w:ascii="Arial Narrow" w:hAnsi="Arial Narrow"/>
                <w:b/>
                <w:bCs/>
                <w:sz w:val="20"/>
                <w:szCs w:val="18"/>
                <w:lang w:val="de-DE"/>
              </w:rPr>
              <w:t>)</w:t>
            </w:r>
          </w:p>
        </w:tc>
        <w:tc>
          <w:tcPr>
            <w:tcW w:w="3260" w:type="dxa"/>
            <w:gridSpan w:val="5"/>
            <w:vAlign w:val="center"/>
          </w:tcPr>
          <w:p w:rsidR="00172AD3" w:rsidRPr="007D0DA6" w:rsidRDefault="00172AD3" w:rsidP="00BC67A5">
            <w:pPr>
              <w:keepNext/>
              <w:keepLines/>
              <w:widowControl/>
              <w:suppressLineNumbers/>
              <w:suppressAutoHyphens/>
              <w:jc w:val="center"/>
              <w:rPr>
                <w:rFonts w:ascii="Arial Narrow" w:hAnsi="Arial Narrow"/>
                <w:b/>
                <w:bCs/>
                <w:sz w:val="20"/>
                <w:szCs w:val="20"/>
              </w:rPr>
            </w:pPr>
            <w:r>
              <w:rPr>
                <w:rFonts w:ascii="Arial Narrow" w:hAnsi="Arial Narrow"/>
                <w:b/>
                <w:bCs/>
                <w:sz w:val="20"/>
                <w:szCs w:val="20"/>
              </w:rPr>
              <w:t>Placebo</w:t>
            </w:r>
          </w:p>
        </w:tc>
        <w:tc>
          <w:tcPr>
            <w:tcW w:w="1509" w:type="dxa"/>
            <w:vAlign w:val="center"/>
          </w:tcPr>
          <w:p w:rsidR="00172AD3" w:rsidRPr="007D0DA6" w:rsidRDefault="00172AD3" w:rsidP="00BC67A5">
            <w:pPr>
              <w:keepNext/>
              <w:keepLines/>
              <w:widowControl/>
              <w:suppressLineNumbers/>
              <w:suppressAutoHyphens/>
              <w:jc w:val="center"/>
              <w:rPr>
                <w:rFonts w:ascii="Arial Narrow" w:hAnsi="Arial Narrow"/>
                <w:b/>
                <w:bCs/>
                <w:sz w:val="20"/>
                <w:szCs w:val="20"/>
              </w:rPr>
            </w:pPr>
            <w:r>
              <w:rPr>
                <w:rFonts w:ascii="Arial Narrow" w:hAnsi="Arial Narrow"/>
                <w:b/>
                <w:bCs/>
                <w:sz w:val="20"/>
                <w:szCs w:val="20"/>
              </w:rPr>
              <w:t>BEL vs Placebo</w:t>
            </w:r>
          </w:p>
        </w:tc>
      </w:tr>
      <w:tr w:rsidR="00172AD3" w:rsidRPr="007D0DA6" w:rsidTr="009B4321">
        <w:trPr>
          <w:tblHeader/>
        </w:trPr>
        <w:tc>
          <w:tcPr>
            <w:tcW w:w="988" w:type="dxa"/>
            <w:vMerge/>
            <w:vAlign w:val="center"/>
          </w:tcPr>
          <w:p w:rsidR="00172AD3" w:rsidRPr="007D0DA6" w:rsidRDefault="00172AD3" w:rsidP="00BC67A5">
            <w:pPr>
              <w:keepNext/>
              <w:keepLines/>
              <w:widowControl/>
              <w:suppressLineNumbers/>
              <w:suppressAutoHyphens/>
              <w:jc w:val="left"/>
              <w:rPr>
                <w:rFonts w:ascii="Arial Narrow" w:hAnsi="Arial Narrow"/>
                <w:b/>
                <w:bCs/>
                <w:sz w:val="20"/>
                <w:szCs w:val="20"/>
              </w:rPr>
            </w:pPr>
          </w:p>
        </w:tc>
        <w:tc>
          <w:tcPr>
            <w:tcW w:w="779" w:type="dxa"/>
            <w:vAlign w:val="center"/>
          </w:tcPr>
          <w:p w:rsidR="00172AD3" w:rsidRPr="002349A0" w:rsidRDefault="00172AD3" w:rsidP="00BC67A5">
            <w:pPr>
              <w:keepNext/>
              <w:keepLines/>
              <w:widowControl/>
              <w:suppressLineNumbers/>
              <w:suppressAutoHyphens/>
              <w:jc w:val="center"/>
              <w:rPr>
                <w:rFonts w:ascii="Arial Narrow" w:hAnsi="Arial Narrow"/>
                <w:bCs/>
                <w:sz w:val="20"/>
                <w:szCs w:val="20"/>
              </w:rPr>
            </w:pPr>
            <w:r w:rsidRPr="002349A0">
              <w:rPr>
                <w:rFonts w:ascii="Arial Narrow" w:hAnsi="Arial Narrow"/>
                <w:bCs/>
                <w:sz w:val="20"/>
                <w:szCs w:val="20"/>
              </w:rPr>
              <w:t>Pt-years at risk</w:t>
            </w:r>
          </w:p>
        </w:tc>
        <w:tc>
          <w:tcPr>
            <w:tcW w:w="780" w:type="dxa"/>
            <w:vAlign w:val="center"/>
          </w:tcPr>
          <w:p w:rsidR="00172AD3" w:rsidRPr="002349A0" w:rsidRDefault="00172AD3" w:rsidP="00BC67A5">
            <w:pPr>
              <w:keepNext/>
              <w:keepLines/>
              <w:widowControl/>
              <w:suppressLineNumbers/>
              <w:suppressAutoHyphens/>
              <w:jc w:val="center"/>
              <w:rPr>
                <w:rFonts w:ascii="Arial Narrow" w:hAnsi="Arial Narrow"/>
                <w:bCs/>
                <w:sz w:val="20"/>
                <w:szCs w:val="20"/>
              </w:rPr>
            </w:pPr>
            <w:r w:rsidRPr="002349A0">
              <w:rPr>
                <w:rFonts w:ascii="Arial Narrow" w:hAnsi="Arial Narrow"/>
                <w:bCs/>
                <w:sz w:val="20"/>
                <w:szCs w:val="20"/>
              </w:rPr>
              <w:t>Total flares</w:t>
            </w:r>
          </w:p>
        </w:tc>
        <w:tc>
          <w:tcPr>
            <w:tcW w:w="992" w:type="dxa"/>
            <w:vAlign w:val="center"/>
          </w:tcPr>
          <w:p w:rsidR="00172AD3" w:rsidRPr="005751EE" w:rsidRDefault="00172AD3" w:rsidP="00BC67A5">
            <w:pPr>
              <w:keepNext/>
              <w:keepLines/>
              <w:widowControl/>
              <w:suppressLineNumbers/>
              <w:suppressAutoHyphens/>
              <w:jc w:val="center"/>
              <w:rPr>
                <w:rFonts w:ascii="Arial Narrow" w:hAnsi="Arial Narrow"/>
                <w:bCs/>
                <w:sz w:val="20"/>
                <w:szCs w:val="20"/>
                <w:vertAlign w:val="superscript"/>
              </w:rPr>
            </w:pPr>
            <w:r>
              <w:rPr>
                <w:rFonts w:ascii="Arial Narrow" w:hAnsi="Arial Narrow"/>
                <w:bCs/>
                <w:sz w:val="20"/>
                <w:szCs w:val="20"/>
              </w:rPr>
              <w:t>Unadjusted r</w:t>
            </w:r>
            <w:r w:rsidRPr="002349A0">
              <w:rPr>
                <w:rFonts w:ascii="Arial Narrow" w:hAnsi="Arial Narrow"/>
                <w:bCs/>
                <w:sz w:val="20"/>
                <w:szCs w:val="20"/>
              </w:rPr>
              <w:t>ate</w:t>
            </w:r>
            <w:r>
              <w:rPr>
                <w:rFonts w:ascii="Arial Narrow" w:hAnsi="Arial Narrow"/>
                <w:bCs/>
                <w:sz w:val="20"/>
                <w:szCs w:val="20"/>
                <w:vertAlign w:val="superscript"/>
              </w:rPr>
              <w:t>b</w:t>
            </w:r>
          </w:p>
        </w:tc>
        <w:tc>
          <w:tcPr>
            <w:tcW w:w="756" w:type="dxa"/>
            <w:gridSpan w:val="2"/>
            <w:vAlign w:val="center"/>
          </w:tcPr>
          <w:p w:rsidR="00172AD3" w:rsidRPr="002349A0" w:rsidRDefault="00172AD3" w:rsidP="00BC67A5">
            <w:pPr>
              <w:keepNext/>
              <w:keepLines/>
              <w:widowControl/>
              <w:suppressLineNumbers/>
              <w:suppressAutoHyphens/>
              <w:jc w:val="center"/>
              <w:rPr>
                <w:rFonts w:ascii="Arial Narrow" w:hAnsi="Arial Narrow"/>
                <w:bCs/>
                <w:sz w:val="20"/>
                <w:szCs w:val="20"/>
              </w:rPr>
            </w:pPr>
            <w:r w:rsidRPr="002349A0">
              <w:rPr>
                <w:rFonts w:ascii="Arial Narrow" w:hAnsi="Arial Narrow"/>
                <w:bCs/>
                <w:sz w:val="20"/>
                <w:szCs w:val="20"/>
              </w:rPr>
              <w:t>Adjusted rate</w:t>
            </w:r>
          </w:p>
        </w:tc>
        <w:tc>
          <w:tcPr>
            <w:tcW w:w="756" w:type="dxa"/>
            <w:vAlign w:val="center"/>
          </w:tcPr>
          <w:p w:rsidR="00172AD3" w:rsidRPr="002349A0" w:rsidRDefault="00172AD3" w:rsidP="00BC67A5">
            <w:pPr>
              <w:keepNext/>
              <w:keepLines/>
              <w:widowControl/>
              <w:suppressLineNumbers/>
              <w:suppressAutoHyphens/>
              <w:jc w:val="center"/>
              <w:rPr>
                <w:rFonts w:ascii="Arial Narrow" w:hAnsi="Arial Narrow"/>
                <w:bCs/>
                <w:sz w:val="20"/>
                <w:szCs w:val="20"/>
              </w:rPr>
            </w:pPr>
            <w:r w:rsidRPr="002349A0">
              <w:rPr>
                <w:rFonts w:ascii="Arial Narrow" w:hAnsi="Arial Narrow"/>
                <w:bCs/>
                <w:sz w:val="20"/>
                <w:szCs w:val="20"/>
              </w:rPr>
              <w:t>Pt-years at risk</w:t>
            </w:r>
          </w:p>
        </w:tc>
        <w:tc>
          <w:tcPr>
            <w:tcW w:w="756" w:type="dxa"/>
            <w:vAlign w:val="center"/>
          </w:tcPr>
          <w:p w:rsidR="00172AD3" w:rsidRPr="002349A0" w:rsidRDefault="00172AD3" w:rsidP="00BC67A5">
            <w:pPr>
              <w:keepNext/>
              <w:keepLines/>
              <w:widowControl/>
              <w:suppressLineNumbers/>
              <w:suppressAutoHyphens/>
              <w:jc w:val="center"/>
              <w:rPr>
                <w:rFonts w:ascii="Arial Narrow" w:hAnsi="Arial Narrow"/>
                <w:bCs/>
                <w:sz w:val="20"/>
                <w:szCs w:val="20"/>
              </w:rPr>
            </w:pPr>
            <w:r w:rsidRPr="002349A0">
              <w:rPr>
                <w:rFonts w:ascii="Arial Narrow" w:hAnsi="Arial Narrow"/>
                <w:bCs/>
                <w:sz w:val="20"/>
                <w:szCs w:val="20"/>
              </w:rPr>
              <w:t>Total flares</w:t>
            </w:r>
          </w:p>
        </w:tc>
        <w:tc>
          <w:tcPr>
            <w:tcW w:w="992" w:type="dxa"/>
            <w:vAlign w:val="center"/>
          </w:tcPr>
          <w:p w:rsidR="00172AD3" w:rsidRPr="005751EE" w:rsidRDefault="00172AD3" w:rsidP="00BC67A5">
            <w:pPr>
              <w:keepNext/>
              <w:keepLines/>
              <w:widowControl/>
              <w:suppressLineNumbers/>
              <w:suppressAutoHyphens/>
              <w:jc w:val="center"/>
              <w:rPr>
                <w:rFonts w:ascii="Arial Narrow" w:hAnsi="Arial Narrow"/>
                <w:bCs/>
                <w:sz w:val="20"/>
                <w:szCs w:val="20"/>
                <w:vertAlign w:val="superscript"/>
              </w:rPr>
            </w:pPr>
            <w:r>
              <w:rPr>
                <w:rFonts w:ascii="Arial Narrow" w:hAnsi="Arial Narrow"/>
                <w:bCs/>
                <w:sz w:val="20"/>
                <w:szCs w:val="20"/>
              </w:rPr>
              <w:t>Unadjusted r</w:t>
            </w:r>
            <w:r w:rsidRPr="002349A0">
              <w:rPr>
                <w:rFonts w:ascii="Arial Narrow" w:hAnsi="Arial Narrow"/>
                <w:bCs/>
                <w:sz w:val="20"/>
                <w:szCs w:val="20"/>
              </w:rPr>
              <w:t>ate</w:t>
            </w:r>
            <w:r>
              <w:rPr>
                <w:rFonts w:ascii="Arial Narrow" w:hAnsi="Arial Narrow"/>
                <w:bCs/>
                <w:sz w:val="20"/>
                <w:szCs w:val="20"/>
                <w:vertAlign w:val="superscript"/>
              </w:rPr>
              <w:t>b</w:t>
            </w:r>
          </w:p>
        </w:tc>
        <w:tc>
          <w:tcPr>
            <w:tcW w:w="709" w:type="dxa"/>
            <w:vAlign w:val="center"/>
          </w:tcPr>
          <w:p w:rsidR="00172AD3" w:rsidRPr="002349A0" w:rsidRDefault="00172AD3" w:rsidP="00BC67A5">
            <w:pPr>
              <w:keepNext/>
              <w:keepLines/>
              <w:widowControl/>
              <w:suppressLineNumbers/>
              <w:suppressAutoHyphens/>
              <w:jc w:val="center"/>
              <w:rPr>
                <w:rFonts w:ascii="Arial Narrow" w:hAnsi="Arial Narrow"/>
                <w:bCs/>
                <w:sz w:val="20"/>
                <w:szCs w:val="20"/>
              </w:rPr>
            </w:pPr>
            <w:r w:rsidRPr="002349A0">
              <w:rPr>
                <w:rFonts w:ascii="Arial Narrow" w:hAnsi="Arial Narrow"/>
                <w:bCs/>
                <w:sz w:val="20"/>
                <w:szCs w:val="20"/>
              </w:rPr>
              <w:t>Adjusted rate</w:t>
            </w:r>
          </w:p>
        </w:tc>
        <w:tc>
          <w:tcPr>
            <w:tcW w:w="1509" w:type="dxa"/>
            <w:vAlign w:val="center"/>
          </w:tcPr>
          <w:p w:rsidR="00172AD3" w:rsidRPr="007D0DA6" w:rsidRDefault="00172AD3" w:rsidP="00BC67A5">
            <w:pPr>
              <w:keepNext/>
              <w:keepLines/>
              <w:widowControl/>
              <w:suppressLineNumbers/>
              <w:suppressAutoHyphens/>
              <w:jc w:val="center"/>
              <w:rPr>
                <w:rFonts w:ascii="Arial Narrow" w:hAnsi="Arial Narrow"/>
                <w:b/>
                <w:bCs/>
                <w:sz w:val="20"/>
                <w:szCs w:val="20"/>
              </w:rPr>
            </w:pPr>
            <w:r w:rsidRPr="007D0DA6">
              <w:rPr>
                <w:rFonts w:ascii="Arial Narrow" w:hAnsi="Arial Narrow"/>
                <w:b/>
                <w:bCs/>
                <w:sz w:val="20"/>
                <w:szCs w:val="20"/>
              </w:rPr>
              <w:t>Adjusted Rate Ratio (95%CI)</w:t>
            </w:r>
          </w:p>
        </w:tc>
      </w:tr>
      <w:tr w:rsidR="00172AD3" w:rsidRPr="007D0DA6" w:rsidTr="009B4321">
        <w:trPr>
          <w:tblHeader/>
        </w:trPr>
        <w:tc>
          <w:tcPr>
            <w:tcW w:w="9017" w:type="dxa"/>
            <w:gridSpan w:val="11"/>
            <w:tcBorders>
              <w:bottom w:val="single" w:sz="4" w:space="0" w:color="auto"/>
            </w:tcBorders>
            <w:vAlign w:val="center"/>
          </w:tcPr>
          <w:p w:rsidR="00172AD3" w:rsidRPr="007D0DA6" w:rsidRDefault="00172AD3" w:rsidP="00BC67A5">
            <w:pPr>
              <w:keepNext/>
              <w:keepLines/>
              <w:widowControl/>
              <w:suppressLineNumbers/>
              <w:suppressAutoHyphens/>
              <w:jc w:val="left"/>
              <w:rPr>
                <w:rFonts w:ascii="Arial Narrow" w:hAnsi="Arial Narrow"/>
                <w:sz w:val="20"/>
                <w:szCs w:val="20"/>
              </w:rPr>
            </w:pPr>
            <w:r w:rsidRPr="007D0DA6">
              <w:rPr>
                <w:rFonts w:ascii="Arial Narrow" w:hAnsi="Arial Narrow"/>
                <w:b/>
                <w:bCs/>
                <w:sz w:val="20"/>
                <w:szCs w:val="18"/>
              </w:rPr>
              <w:t xml:space="preserve">Any flare </w:t>
            </w:r>
            <w:r w:rsidRPr="007D0DA6">
              <w:rPr>
                <w:rFonts w:ascii="Arial Narrow" w:hAnsi="Arial Narrow"/>
                <w:b/>
                <w:bCs/>
                <w:sz w:val="20"/>
                <w:szCs w:val="20"/>
              </w:rPr>
              <w:t>(mild / moderate / severe)</w:t>
            </w:r>
          </w:p>
        </w:tc>
      </w:tr>
      <w:tr w:rsidR="00172AD3" w:rsidRPr="007D0DA6" w:rsidTr="009B4321">
        <w:trPr>
          <w:tblHeader/>
        </w:trPr>
        <w:tc>
          <w:tcPr>
            <w:tcW w:w="988" w:type="dxa"/>
            <w:tcBorders>
              <w:bottom w:val="nil"/>
            </w:tcBorders>
          </w:tcPr>
          <w:p w:rsidR="00172AD3" w:rsidRPr="007D0DA6" w:rsidRDefault="00E351A1" w:rsidP="00BC67A5">
            <w:pPr>
              <w:keepNext/>
              <w:keepLines/>
              <w:widowControl/>
              <w:suppressLineNumbers/>
              <w:suppressAutoHyphens/>
              <w:rPr>
                <w:rFonts w:ascii="Arial Narrow" w:hAnsi="Arial Narrow"/>
                <w:sz w:val="20"/>
                <w:szCs w:val="20"/>
              </w:rPr>
            </w:pPr>
            <w:r>
              <w:rPr>
                <w:rFonts w:ascii="Arial Narrow" w:hAnsi="Arial Narrow"/>
                <w:sz w:val="20"/>
                <w:szCs w:val="18"/>
              </w:rPr>
              <w:t>BLISS-SC</w:t>
            </w:r>
          </w:p>
        </w:tc>
        <w:tc>
          <w:tcPr>
            <w:tcW w:w="779" w:type="dxa"/>
            <w:tcBorders>
              <w:bottom w:val="nil"/>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506.5</w:t>
            </w:r>
          </w:p>
        </w:tc>
        <w:tc>
          <w:tcPr>
            <w:tcW w:w="780" w:type="dxa"/>
            <w:tcBorders>
              <w:bottom w:val="nil"/>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847</w:t>
            </w:r>
          </w:p>
        </w:tc>
        <w:tc>
          <w:tcPr>
            <w:tcW w:w="992" w:type="dxa"/>
            <w:tcBorders>
              <w:bottom w:val="nil"/>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1.7</w:t>
            </w:r>
          </w:p>
        </w:tc>
        <w:tc>
          <w:tcPr>
            <w:tcW w:w="756" w:type="dxa"/>
            <w:gridSpan w:val="2"/>
            <w:tcBorders>
              <w:bottom w:val="nil"/>
            </w:tcBorders>
            <w:shd w:val="clear" w:color="auto" w:fill="DAEEF3" w:themeFill="accent5" w:themeFillTint="33"/>
            <w:vAlign w:val="center"/>
          </w:tcPr>
          <w:p w:rsidR="00172AD3" w:rsidRPr="007D0DA6" w:rsidRDefault="00172AD3" w:rsidP="00BC67A5">
            <w:pPr>
              <w:keepNext/>
              <w:keepLines/>
              <w:widowControl/>
              <w:suppressLineNumbers/>
              <w:suppressAutoHyphens/>
              <w:jc w:val="center"/>
              <w:rPr>
                <w:rFonts w:ascii="Arial Narrow" w:hAnsi="Arial Narrow"/>
                <w:sz w:val="20"/>
                <w:szCs w:val="20"/>
                <w:vertAlign w:val="superscript"/>
              </w:rPr>
            </w:pPr>
            <w:r w:rsidRPr="007D0DA6">
              <w:rPr>
                <w:rFonts w:ascii="Arial Narrow" w:hAnsi="Arial Narrow"/>
                <w:sz w:val="20"/>
                <w:szCs w:val="20"/>
              </w:rPr>
              <w:t>2.0</w:t>
            </w:r>
          </w:p>
        </w:tc>
        <w:tc>
          <w:tcPr>
            <w:tcW w:w="756" w:type="dxa"/>
            <w:tcBorders>
              <w:bottom w:val="nil"/>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244.9</w:t>
            </w:r>
          </w:p>
        </w:tc>
        <w:tc>
          <w:tcPr>
            <w:tcW w:w="756" w:type="dxa"/>
            <w:tcBorders>
              <w:bottom w:val="nil"/>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493</w:t>
            </w:r>
          </w:p>
        </w:tc>
        <w:tc>
          <w:tcPr>
            <w:tcW w:w="992" w:type="dxa"/>
            <w:tcBorders>
              <w:bottom w:val="nil"/>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2.0</w:t>
            </w:r>
          </w:p>
        </w:tc>
        <w:tc>
          <w:tcPr>
            <w:tcW w:w="709" w:type="dxa"/>
            <w:tcBorders>
              <w:bottom w:val="nil"/>
            </w:tcBorders>
            <w:shd w:val="clear" w:color="auto" w:fill="DAEEF3" w:themeFill="accent5" w:themeFillTint="33"/>
            <w:vAlign w:val="center"/>
          </w:tcPr>
          <w:p w:rsidR="00172AD3" w:rsidRPr="007D0DA6" w:rsidRDefault="00172AD3" w:rsidP="00BC67A5">
            <w:pPr>
              <w:keepNext/>
              <w:keepLines/>
              <w:widowControl/>
              <w:suppressLineNumbers/>
              <w:suppressAutoHyphens/>
              <w:jc w:val="center"/>
              <w:rPr>
                <w:rFonts w:ascii="Arial Narrow" w:hAnsi="Arial Narrow"/>
                <w:sz w:val="20"/>
                <w:szCs w:val="20"/>
                <w:vertAlign w:val="superscript"/>
              </w:rPr>
            </w:pPr>
            <w:r w:rsidRPr="007D0DA6">
              <w:rPr>
                <w:rFonts w:ascii="Arial Narrow" w:hAnsi="Arial Narrow"/>
                <w:sz w:val="20"/>
                <w:szCs w:val="20"/>
              </w:rPr>
              <w:t>2.5</w:t>
            </w:r>
          </w:p>
        </w:tc>
        <w:tc>
          <w:tcPr>
            <w:tcW w:w="1509" w:type="dxa"/>
            <w:tcBorders>
              <w:bottom w:val="nil"/>
            </w:tcBorders>
            <w:vAlign w:val="center"/>
          </w:tcPr>
          <w:p w:rsidR="00172AD3" w:rsidRPr="005751EE" w:rsidRDefault="00172AD3" w:rsidP="00BC67A5">
            <w:pPr>
              <w:keepNext/>
              <w:keepLines/>
              <w:widowControl/>
              <w:suppressLineNumbers/>
              <w:suppressAutoHyphens/>
              <w:jc w:val="center"/>
              <w:rPr>
                <w:rFonts w:ascii="Arial Narrow" w:hAnsi="Arial Narrow"/>
                <w:b/>
                <w:bCs/>
                <w:sz w:val="20"/>
                <w:szCs w:val="20"/>
                <w:vertAlign w:val="superscript"/>
              </w:rPr>
            </w:pPr>
            <w:r w:rsidRPr="007D0DA6">
              <w:rPr>
                <w:rFonts w:ascii="Arial Narrow" w:hAnsi="Arial Narrow"/>
                <w:b/>
                <w:bCs/>
                <w:sz w:val="20"/>
                <w:szCs w:val="20"/>
              </w:rPr>
              <w:t>0.81 (0.69,0.97)</w:t>
            </w:r>
            <w:r>
              <w:rPr>
                <w:rFonts w:ascii="Arial Narrow" w:hAnsi="Arial Narrow"/>
                <w:b/>
                <w:bCs/>
                <w:sz w:val="20"/>
                <w:szCs w:val="20"/>
                <w:vertAlign w:val="superscript"/>
              </w:rPr>
              <w:t>c</w:t>
            </w:r>
          </w:p>
        </w:tc>
      </w:tr>
      <w:tr w:rsidR="00172AD3" w:rsidRPr="007D0DA6" w:rsidTr="009B4321">
        <w:trPr>
          <w:tblHeader/>
        </w:trPr>
        <w:tc>
          <w:tcPr>
            <w:tcW w:w="9017" w:type="dxa"/>
            <w:gridSpan w:val="11"/>
            <w:tcBorders>
              <w:bottom w:val="single" w:sz="4" w:space="0" w:color="auto"/>
            </w:tcBorders>
            <w:vAlign w:val="center"/>
          </w:tcPr>
          <w:p w:rsidR="00172AD3" w:rsidRPr="007D0DA6" w:rsidRDefault="00172AD3" w:rsidP="00BC67A5">
            <w:pPr>
              <w:keepNext/>
              <w:keepLines/>
              <w:widowControl/>
              <w:suppressLineNumbers/>
              <w:suppressAutoHyphens/>
              <w:jc w:val="left"/>
              <w:rPr>
                <w:rFonts w:ascii="Arial Narrow" w:hAnsi="Arial Narrow"/>
                <w:sz w:val="20"/>
                <w:szCs w:val="20"/>
              </w:rPr>
            </w:pPr>
            <w:r w:rsidRPr="007D0DA6">
              <w:rPr>
                <w:rFonts w:ascii="Arial Narrow" w:hAnsi="Arial Narrow"/>
                <w:b/>
                <w:bCs/>
                <w:sz w:val="20"/>
                <w:szCs w:val="20"/>
              </w:rPr>
              <w:t>Severe flare</w:t>
            </w:r>
          </w:p>
        </w:tc>
      </w:tr>
      <w:tr w:rsidR="00172AD3" w:rsidRPr="007D0DA6" w:rsidTr="009B4321">
        <w:trPr>
          <w:tblHeader/>
        </w:trPr>
        <w:tc>
          <w:tcPr>
            <w:tcW w:w="988" w:type="dxa"/>
            <w:tcBorders>
              <w:bottom w:val="single" w:sz="4" w:space="0" w:color="auto"/>
            </w:tcBorders>
          </w:tcPr>
          <w:p w:rsidR="00172AD3" w:rsidRPr="007D0DA6" w:rsidRDefault="00E351A1" w:rsidP="00BC67A5">
            <w:pPr>
              <w:keepNext/>
              <w:keepLines/>
              <w:widowControl/>
              <w:suppressLineNumbers/>
              <w:suppressAutoHyphens/>
              <w:rPr>
                <w:rFonts w:ascii="Arial Narrow" w:hAnsi="Arial Narrow"/>
                <w:sz w:val="20"/>
                <w:szCs w:val="20"/>
              </w:rPr>
            </w:pPr>
            <w:r>
              <w:rPr>
                <w:rFonts w:ascii="Arial Narrow" w:hAnsi="Arial Narrow"/>
                <w:sz w:val="20"/>
                <w:szCs w:val="18"/>
              </w:rPr>
              <w:t>BLISS-SC</w:t>
            </w:r>
          </w:p>
        </w:tc>
        <w:tc>
          <w:tcPr>
            <w:tcW w:w="779" w:type="dxa"/>
            <w:tcBorders>
              <w:bottom w:val="single" w:sz="4" w:space="0" w:color="auto"/>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506.5</w:t>
            </w:r>
          </w:p>
        </w:tc>
        <w:tc>
          <w:tcPr>
            <w:tcW w:w="780" w:type="dxa"/>
            <w:tcBorders>
              <w:bottom w:val="single" w:sz="4" w:space="0" w:color="auto"/>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82</w:t>
            </w:r>
          </w:p>
        </w:tc>
        <w:tc>
          <w:tcPr>
            <w:tcW w:w="992" w:type="dxa"/>
            <w:tcBorders>
              <w:bottom w:val="single" w:sz="4" w:space="0" w:color="auto"/>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0.2</w:t>
            </w:r>
          </w:p>
        </w:tc>
        <w:tc>
          <w:tcPr>
            <w:tcW w:w="756" w:type="dxa"/>
            <w:gridSpan w:val="2"/>
            <w:tcBorders>
              <w:bottom w:val="single" w:sz="4" w:space="0" w:color="auto"/>
            </w:tcBorders>
            <w:shd w:val="clear" w:color="auto" w:fill="DAEEF3" w:themeFill="accent5" w:themeFillTint="33"/>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0.2</w:t>
            </w:r>
          </w:p>
        </w:tc>
        <w:tc>
          <w:tcPr>
            <w:tcW w:w="756" w:type="dxa"/>
            <w:tcBorders>
              <w:bottom w:val="single" w:sz="4" w:space="0" w:color="auto"/>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244.9</w:t>
            </w:r>
          </w:p>
        </w:tc>
        <w:tc>
          <w:tcPr>
            <w:tcW w:w="756" w:type="dxa"/>
            <w:tcBorders>
              <w:bottom w:val="single" w:sz="4" w:space="0" w:color="auto"/>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70</w:t>
            </w:r>
          </w:p>
        </w:tc>
        <w:tc>
          <w:tcPr>
            <w:tcW w:w="992" w:type="dxa"/>
            <w:tcBorders>
              <w:bottom w:val="single" w:sz="4" w:space="0" w:color="auto"/>
            </w:tcBorders>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0.3</w:t>
            </w:r>
          </w:p>
        </w:tc>
        <w:tc>
          <w:tcPr>
            <w:tcW w:w="709" w:type="dxa"/>
            <w:tcBorders>
              <w:bottom w:val="single" w:sz="4" w:space="0" w:color="auto"/>
            </w:tcBorders>
            <w:shd w:val="clear" w:color="auto" w:fill="DAEEF3" w:themeFill="accent5" w:themeFillTint="33"/>
            <w:vAlign w:val="center"/>
          </w:tcPr>
          <w:p w:rsidR="00172AD3" w:rsidRPr="007D0DA6" w:rsidRDefault="00172AD3" w:rsidP="00BC67A5">
            <w:pPr>
              <w:keepNext/>
              <w:keepLines/>
              <w:widowControl/>
              <w:suppressLineNumbers/>
              <w:suppressAutoHyphens/>
              <w:jc w:val="center"/>
              <w:rPr>
                <w:rFonts w:ascii="Arial Narrow" w:hAnsi="Arial Narrow"/>
                <w:sz w:val="20"/>
                <w:szCs w:val="20"/>
              </w:rPr>
            </w:pPr>
            <w:r w:rsidRPr="007D0DA6">
              <w:rPr>
                <w:rFonts w:ascii="Arial Narrow" w:hAnsi="Arial Narrow"/>
                <w:sz w:val="20"/>
                <w:szCs w:val="20"/>
              </w:rPr>
              <w:t>0.4</w:t>
            </w:r>
          </w:p>
        </w:tc>
        <w:tc>
          <w:tcPr>
            <w:tcW w:w="1509" w:type="dxa"/>
            <w:tcBorders>
              <w:bottom w:val="single" w:sz="4" w:space="0" w:color="auto"/>
            </w:tcBorders>
            <w:vAlign w:val="center"/>
          </w:tcPr>
          <w:p w:rsidR="00172AD3" w:rsidRPr="005751EE" w:rsidRDefault="00172AD3" w:rsidP="00BC67A5">
            <w:pPr>
              <w:keepNext/>
              <w:keepLines/>
              <w:widowControl/>
              <w:suppressLineNumbers/>
              <w:suppressAutoHyphens/>
              <w:jc w:val="center"/>
              <w:rPr>
                <w:rFonts w:ascii="Arial Narrow" w:hAnsi="Arial Narrow"/>
                <w:sz w:val="20"/>
                <w:szCs w:val="20"/>
                <w:vertAlign w:val="superscript"/>
              </w:rPr>
            </w:pPr>
            <w:r w:rsidRPr="007D0DA6">
              <w:rPr>
                <w:rFonts w:ascii="Arial Narrow" w:hAnsi="Arial Narrow"/>
                <w:b/>
                <w:bCs/>
                <w:sz w:val="20"/>
                <w:szCs w:val="20"/>
              </w:rPr>
              <w:t>0.54 (0.33,0.88)</w:t>
            </w:r>
            <w:r>
              <w:rPr>
                <w:rFonts w:ascii="Arial Narrow" w:hAnsi="Arial Narrow"/>
                <w:b/>
                <w:bCs/>
                <w:sz w:val="20"/>
                <w:szCs w:val="20"/>
                <w:vertAlign w:val="superscript"/>
              </w:rPr>
              <w:t>c</w:t>
            </w:r>
          </w:p>
        </w:tc>
      </w:tr>
    </w:tbl>
    <w:p w:rsidR="00273014" w:rsidRDefault="00273014" w:rsidP="00BC67A5">
      <w:pPr>
        <w:keepNext/>
        <w:keepLines/>
        <w:widowControl/>
        <w:suppressLineNumbers/>
        <w:suppressAutoHyphens/>
        <w:rPr>
          <w:rFonts w:ascii="Arial Narrow" w:hAnsi="Arial Narrow"/>
          <w:sz w:val="18"/>
          <w:szCs w:val="18"/>
        </w:rPr>
      </w:pPr>
      <w:r>
        <w:rPr>
          <w:rFonts w:ascii="Arial Narrow" w:hAnsi="Arial Narrow"/>
          <w:sz w:val="18"/>
          <w:szCs w:val="18"/>
        </w:rPr>
        <w:t>Blue shading indicates the adjusted rates for any flare or severe flare used to derive the QALY losses per cycle applicable to belimumab and SOC health states.</w:t>
      </w:r>
    </w:p>
    <w:p w:rsidR="00172AD3" w:rsidRDefault="00172AD3" w:rsidP="00BC67A5">
      <w:pPr>
        <w:keepNext/>
        <w:keepLines/>
        <w:widowControl/>
        <w:suppressLineNumbers/>
        <w:suppressAutoHyphens/>
        <w:rPr>
          <w:rFonts w:ascii="Arial Narrow" w:hAnsi="Arial Narrow"/>
          <w:sz w:val="18"/>
          <w:szCs w:val="18"/>
        </w:rPr>
      </w:pPr>
      <w:r>
        <w:rPr>
          <w:rFonts w:ascii="Arial Narrow" w:hAnsi="Arial Narrow"/>
          <w:sz w:val="18"/>
          <w:szCs w:val="18"/>
        </w:rPr>
        <w:t>Abbreviations: BEL=belimumab; SC=subcutaneous.</w:t>
      </w:r>
    </w:p>
    <w:p w:rsidR="00172AD3" w:rsidRPr="005751EE" w:rsidRDefault="00172AD3" w:rsidP="00BC67A5">
      <w:pPr>
        <w:keepNext/>
        <w:keepLines/>
        <w:widowControl/>
        <w:suppressLineNumbers/>
        <w:tabs>
          <w:tab w:val="left" w:pos="142"/>
        </w:tabs>
        <w:suppressAutoHyphens/>
        <w:ind w:left="142" w:hanging="142"/>
        <w:rPr>
          <w:rFonts w:ascii="Arial Narrow" w:hAnsi="Arial Narrow"/>
          <w:sz w:val="18"/>
          <w:szCs w:val="18"/>
        </w:rPr>
      </w:pPr>
      <w:r w:rsidRPr="00CE0F85">
        <w:rPr>
          <w:rFonts w:ascii="Arial Narrow" w:hAnsi="Arial Narrow"/>
          <w:sz w:val="18"/>
          <w:szCs w:val="18"/>
          <w:vertAlign w:val="superscript"/>
        </w:rPr>
        <w:t>a</w:t>
      </w:r>
      <w:r w:rsidRPr="005751EE">
        <w:rPr>
          <w:rFonts w:ascii="Arial Narrow" w:hAnsi="Arial Narrow"/>
          <w:sz w:val="18"/>
          <w:szCs w:val="18"/>
        </w:rPr>
        <w:t xml:space="preserve"> </w:t>
      </w:r>
      <w:r>
        <w:rPr>
          <w:rFonts w:ascii="Arial Narrow" w:hAnsi="Arial Narrow"/>
          <w:sz w:val="18"/>
          <w:szCs w:val="18"/>
        </w:rPr>
        <w:tab/>
      </w:r>
      <w:r w:rsidRPr="005751EE">
        <w:rPr>
          <w:rFonts w:ascii="Arial Narrow" w:hAnsi="Arial Narrow"/>
          <w:sz w:val="18"/>
          <w:szCs w:val="18"/>
        </w:rPr>
        <w:t xml:space="preserve">Five </w:t>
      </w:r>
      <w:r w:rsidR="009F39E2">
        <w:rPr>
          <w:rFonts w:ascii="Arial Narrow" w:hAnsi="Arial Narrow"/>
          <w:sz w:val="18"/>
          <w:szCs w:val="18"/>
        </w:rPr>
        <w:t xml:space="preserve">patients </w:t>
      </w:r>
      <w:r w:rsidRPr="005751EE">
        <w:rPr>
          <w:rFonts w:ascii="Arial Narrow" w:hAnsi="Arial Narrow"/>
          <w:sz w:val="18"/>
          <w:szCs w:val="18"/>
        </w:rPr>
        <w:t xml:space="preserve">did not have a post baseline flare assessment. Severe flares that were triggered only by an increase in SELENA SLEDAI score to &gt;12 were reported as mild/moderate flares if the change from the previous visit was at least three points and were excluded otherwise. </w:t>
      </w:r>
    </w:p>
    <w:p w:rsidR="00172AD3" w:rsidRPr="005751EE" w:rsidRDefault="00172AD3" w:rsidP="00BC67A5">
      <w:pPr>
        <w:keepNext/>
        <w:keepLines/>
        <w:widowControl/>
        <w:suppressLineNumbers/>
        <w:tabs>
          <w:tab w:val="left" w:pos="142"/>
        </w:tabs>
        <w:suppressAutoHyphens/>
        <w:ind w:left="142" w:hanging="142"/>
        <w:rPr>
          <w:rFonts w:ascii="Arial Narrow" w:hAnsi="Arial Narrow"/>
          <w:sz w:val="18"/>
          <w:szCs w:val="18"/>
        </w:rPr>
      </w:pPr>
      <w:r w:rsidRPr="00CE0F85">
        <w:rPr>
          <w:rFonts w:ascii="Arial Narrow" w:hAnsi="Arial Narrow"/>
          <w:sz w:val="18"/>
          <w:szCs w:val="18"/>
          <w:vertAlign w:val="superscript"/>
        </w:rPr>
        <w:t>b</w:t>
      </w:r>
      <w:r w:rsidRPr="005751EE">
        <w:rPr>
          <w:rFonts w:ascii="Arial Narrow" w:hAnsi="Arial Narrow"/>
          <w:sz w:val="18"/>
          <w:szCs w:val="18"/>
        </w:rPr>
        <w:t xml:space="preserve"> </w:t>
      </w:r>
      <w:r>
        <w:rPr>
          <w:rFonts w:ascii="Arial Narrow" w:hAnsi="Arial Narrow"/>
          <w:sz w:val="18"/>
          <w:szCs w:val="18"/>
        </w:rPr>
        <w:tab/>
      </w:r>
      <w:r w:rsidRPr="005751EE">
        <w:rPr>
          <w:rFonts w:ascii="Arial Narrow" w:hAnsi="Arial Narrow"/>
          <w:sz w:val="18"/>
          <w:szCs w:val="18"/>
        </w:rPr>
        <w:t>Unadjusted rate per subject-year = total number of flares/total patient years in trial.</w:t>
      </w:r>
    </w:p>
    <w:p w:rsidR="00172AD3" w:rsidRDefault="00172AD3" w:rsidP="00BC67A5">
      <w:pPr>
        <w:keepNext/>
        <w:keepLines/>
        <w:widowControl/>
        <w:suppressLineNumbers/>
        <w:tabs>
          <w:tab w:val="left" w:pos="142"/>
        </w:tabs>
        <w:suppressAutoHyphens/>
        <w:ind w:left="142" w:hanging="142"/>
        <w:rPr>
          <w:rFonts w:ascii="Arial Narrow" w:hAnsi="Arial Narrow"/>
          <w:sz w:val="18"/>
          <w:szCs w:val="18"/>
        </w:rPr>
      </w:pPr>
      <w:r w:rsidRPr="00CE0F85">
        <w:rPr>
          <w:rFonts w:ascii="Arial Narrow" w:hAnsi="Arial Narrow"/>
          <w:sz w:val="18"/>
          <w:szCs w:val="18"/>
          <w:vertAlign w:val="superscript"/>
        </w:rPr>
        <w:t>c</w:t>
      </w:r>
      <w:r w:rsidRPr="005751EE">
        <w:rPr>
          <w:rFonts w:ascii="Arial Narrow" w:hAnsi="Arial Narrow"/>
          <w:sz w:val="18"/>
          <w:szCs w:val="18"/>
        </w:rPr>
        <w:t xml:space="preserve"> </w:t>
      </w:r>
      <w:r>
        <w:rPr>
          <w:rFonts w:ascii="Arial Narrow" w:hAnsi="Arial Narrow"/>
          <w:sz w:val="18"/>
          <w:szCs w:val="18"/>
        </w:rPr>
        <w:tab/>
      </w:r>
      <w:r w:rsidRPr="005751EE">
        <w:rPr>
          <w:rFonts w:ascii="Arial Narrow" w:hAnsi="Arial Narrow"/>
          <w:sz w:val="18"/>
          <w:szCs w:val="18"/>
        </w:rPr>
        <w:t xml:space="preserve">From negative binomial regression with the number of flares as the dependent variable and adjusting for </w:t>
      </w:r>
      <w:r>
        <w:rPr>
          <w:rFonts w:ascii="Arial Narrow" w:hAnsi="Arial Narrow"/>
          <w:sz w:val="18"/>
          <w:szCs w:val="18"/>
        </w:rPr>
        <w:t>baseline SELENA SLEDAI score (≤9 vs. ≥</w:t>
      </w:r>
      <w:r w:rsidRPr="005751EE">
        <w:rPr>
          <w:rFonts w:ascii="Arial Narrow" w:hAnsi="Arial Narrow"/>
          <w:sz w:val="18"/>
          <w:szCs w:val="18"/>
        </w:rPr>
        <w:t>10), baseline complement levels, (low C3 and/or C4 vs. no low C3 or C4) and race (black vs. other). Adjustment is also made for subject's follow-up time by including log follow-up time (years) as an offset variable.</w:t>
      </w:r>
    </w:p>
    <w:p w:rsidR="00172AD3" w:rsidRPr="00D66561" w:rsidRDefault="00172AD3" w:rsidP="00BC67A5">
      <w:pPr>
        <w:keepNext/>
        <w:keepLines/>
        <w:widowControl/>
        <w:suppressLineNumbers/>
        <w:suppressAutoHyphens/>
        <w:rPr>
          <w:rFonts w:ascii="Arial Narrow" w:hAnsi="Arial Narrow"/>
          <w:sz w:val="18"/>
          <w:szCs w:val="18"/>
        </w:rPr>
      </w:pPr>
      <w:r w:rsidRPr="00D66561">
        <w:rPr>
          <w:rFonts w:ascii="Arial Narrow" w:hAnsi="Arial Narrow"/>
          <w:sz w:val="18"/>
          <w:szCs w:val="18"/>
        </w:rPr>
        <w:t>Source: Table 30, p112</w:t>
      </w:r>
      <w:r>
        <w:rPr>
          <w:rFonts w:ascii="Arial Narrow" w:hAnsi="Arial Narrow"/>
          <w:sz w:val="18"/>
          <w:szCs w:val="18"/>
        </w:rPr>
        <w:t xml:space="preserve"> of BLISS-SC CSR</w:t>
      </w:r>
    </w:p>
    <w:p w:rsidR="00172AD3" w:rsidRDefault="00172AD3" w:rsidP="00172AD3">
      <w:pPr>
        <w:widowControl/>
      </w:pPr>
    </w:p>
    <w:p w:rsidR="00EB5764" w:rsidRPr="003B5844" w:rsidRDefault="00EB5764" w:rsidP="003B5844">
      <w:pPr>
        <w:spacing w:after="120"/>
        <w:rPr>
          <w:i/>
          <w:u w:val="single"/>
        </w:rPr>
      </w:pPr>
      <w:r w:rsidRPr="003B5844">
        <w:rPr>
          <w:i/>
          <w:u w:val="single"/>
        </w:rPr>
        <w:t>SDI progression</w:t>
      </w:r>
      <w:r w:rsidR="00B70D4B" w:rsidRPr="003B5844">
        <w:rPr>
          <w:i/>
          <w:u w:val="single"/>
        </w:rPr>
        <w:t>/organ damage</w:t>
      </w:r>
    </w:p>
    <w:p w:rsidR="00E17C64" w:rsidRPr="0022277A" w:rsidRDefault="00E17C64" w:rsidP="00FF5FCE">
      <w:pPr>
        <w:pStyle w:val="ListParagraph"/>
        <w:widowControl/>
        <w:numPr>
          <w:ilvl w:val="1"/>
          <w:numId w:val="1"/>
        </w:numPr>
        <w:spacing w:after="120"/>
      </w:pPr>
      <w:r w:rsidRPr="0022277A">
        <w:t xml:space="preserve">Belimumab did not </w:t>
      </w:r>
      <w:r w:rsidR="00EF1ACD" w:rsidRPr="0022277A">
        <w:t>demonstrate</w:t>
      </w:r>
      <w:r w:rsidRPr="0022277A">
        <w:t xml:space="preserve"> a</w:t>
      </w:r>
      <w:r w:rsidR="00EF1ACD" w:rsidRPr="0022277A">
        <w:t xml:space="preserve"> statistically</w:t>
      </w:r>
      <w:r w:rsidRPr="0022277A">
        <w:t xml:space="preserve"> significant benefit compared to placebo for the least squares (LS) mean change in SDI score</w:t>
      </w:r>
      <w:r w:rsidR="00D555DD" w:rsidRPr="0022277A">
        <w:t xml:space="preserve"> </w:t>
      </w:r>
      <w:r w:rsidR="00EF1ACD" w:rsidRPr="0022277A">
        <w:t>from baseline to</w:t>
      </w:r>
      <w:r w:rsidR="00D555DD" w:rsidRPr="0022277A">
        <w:t xml:space="preserve"> Week 52</w:t>
      </w:r>
      <w:r w:rsidR="005248B3" w:rsidRPr="0022277A">
        <w:t xml:space="preserve"> (</w:t>
      </w:r>
      <w:r w:rsidR="00D555DD" w:rsidRPr="0022277A">
        <w:t>treatment difference</w:t>
      </w:r>
      <w:r w:rsidR="00CB51C4" w:rsidRPr="0022277A">
        <w:t xml:space="preserve"> [</w:t>
      </w:r>
      <w:r w:rsidR="00D555DD" w:rsidRPr="0022277A">
        <w:t>95% </w:t>
      </w:r>
      <w:r w:rsidR="00CB51C4" w:rsidRPr="0022277A">
        <w:t>CI]</w:t>
      </w:r>
      <w:r w:rsidR="00D555DD" w:rsidRPr="0022277A">
        <w:t xml:space="preserve"> = </w:t>
      </w:r>
      <w:r w:rsidR="00D555DD" w:rsidRPr="0022277A">
        <w:noBreakHyphen/>
        <w:t>0.0 [-0.1, 0.0]</w:t>
      </w:r>
      <w:r w:rsidR="00CB51C4" w:rsidRPr="0022277A">
        <w:t xml:space="preserve"> in</w:t>
      </w:r>
      <w:r w:rsidR="00D555DD" w:rsidRPr="0022277A">
        <w:t xml:space="preserve"> BLISS-SC</w:t>
      </w:r>
      <w:r w:rsidR="00CB51C4" w:rsidRPr="0022277A">
        <w:t xml:space="preserve"> trial</w:t>
      </w:r>
      <w:r w:rsidR="005248B3" w:rsidRPr="0022277A">
        <w:t>)</w:t>
      </w:r>
      <w:r w:rsidRPr="0022277A">
        <w:t xml:space="preserve"> or SDI worsening</w:t>
      </w:r>
      <w:r w:rsidR="00536DCA" w:rsidRPr="0022277A">
        <w:t xml:space="preserve"> from baseline to Week 52</w:t>
      </w:r>
      <w:r w:rsidR="00D555DD" w:rsidRPr="0022277A">
        <w:t xml:space="preserve"> (</w:t>
      </w:r>
      <w:r w:rsidR="00CB51C4" w:rsidRPr="0022277A">
        <w:t>OR [95% CI] = 0.47 [0.22, 1.02], p=0.0558 in BLISS-SC trial</w:t>
      </w:r>
      <w:r w:rsidR="00D555DD" w:rsidRPr="0022277A">
        <w:t>)</w:t>
      </w:r>
      <w:r w:rsidRPr="0022277A">
        <w:t xml:space="preserve">. </w:t>
      </w:r>
      <w:r w:rsidR="00FB522F">
        <w:t>The PSCR</w:t>
      </w:r>
      <w:r w:rsidR="00EF1ACD" w:rsidRPr="0022277A">
        <w:t xml:space="preserve"> stated that BLISS-SC was not powered to detect difference</w:t>
      </w:r>
      <w:r w:rsidR="00234BAD">
        <w:t>s</w:t>
      </w:r>
      <w:r w:rsidR="00EF1ACD" w:rsidRPr="0022277A">
        <w:t xml:space="preserve"> in</w:t>
      </w:r>
      <w:r w:rsidR="00234BAD">
        <w:t xml:space="preserve"> these outcomes</w:t>
      </w:r>
      <w:r w:rsidR="00EF1ACD" w:rsidRPr="0022277A">
        <w:t>.</w:t>
      </w:r>
      <w:r w:rsidR="00132F46" w:rsidRPr="0022277A">
        <w:t xml:space="preserve"> </w:t>
      </w:r>
      <w:r w:rsidR="00234BAD">
        <w:t xml:space="preserve">The pre-PBAC response further stated that </w:t>
      </w:r>
      <w:r w:rsidR="001B082E">
        <w:t xml:space="preserve">a 52-week follow-up is likely too short to expect </w:t>
      </w:r>
      <w:r w:rsidR="00CD5E51">
        <w:t xml:space="preserve">a </w:t>
      </w:r>
      <w:r w:rsidR="001B082E">
        <w:t>significant difference in these outcomes.</w:t>
      </w:r>
      <w:r w:rsidR="00DA2FD7">
        <w:t xml:space="preserve"> The PBAC acknowledged these arguments, but considered that the submission had not adequately demonstrated an improvement in SDI progression.</w:t>
      </w:r>
    </w:p>
    <w:p w:rsidR="00172AD3" w:rsidRPr="0022277A" w:rsidRDefault="007606A0" w:rsidP="00FF5FCE">
      <w:pPr>
        <w:pStyle w:val="ListParagraph"/>
        <w:widowControl/>
        <w:numPr>
          <w:ilvl w:val="1"/>
          <w:numId w:val="1"/>
        </w:numPr>
        <w:spacing w:after="120"/>
      </w:pPr>
      <w:r w:rsidRPr="0022277A">
        <w:t>‘</w:t>
      </w:r>
      <w:r w:rsidR="00F14340" w:rsidRPr="0022277A">
        <w:t>R</w:t>
      </w:r>
      <w:r w:rsidRPr="0022277A">
        <w:t>eal-world’ evidence</w:t>
      </w:r>
      <w:r w:rsidR="00F14340" w:rsidRPr="0022277A">
        <w:t xml:space="preserve"> was used to inform</w:t>
      </w:r>
      <w:r w:rsidRPr="0022277A">
        <w:t xml:space="preserve"> SDI progression </w:t>
      </w:r>
      <w:r w:rsidR="00F14340" w:rsidRPr="0022277A">
        <w:t xml:space="preserve">in the model, comprising: </w:t>
      </w:r>
      <w:r w:rsidR="0035425D" w:rsidRPr="0022277A">
        <w:t>(i) </w:t>
      </w:r>
      <w:r w:rsidR="00172AD3" w:rsidRPr="0022277A">
        <w:t xml:space="preserve">the natural history of SLE in terms of developing organ damage progression over time for patients treated with </w:t>
      </w:r>
      <w:r w:rsidR="000A37CD" w:rsidRPr="0022277A">
        <w:t xml:space="preserve">SOC </w:t>
      </w:r>
      <w:r w:rsidR="00172AD3" w:rsidRPr="0022277A">
        <w:t>(Bruce et al 2015)</w:t>
      </w:r>
      <w:r w:rsidR="00F14340" w:rsidRPr="0022277A">
        <w:t>;</w:t>
      </w:r>
      <w:r w:rsidR="00172AD3" w:rsidRPr="0022277A">
        <w:t xml:space="preserve"> and (ii) the reduction in organ damage progression for patients treated with belimumab in the BLISS-76 long-term extension</w:t>
      </w:r>
      <w:r w:rsidR="000A37CD" w:rsidRPr="0022277A">
        <w:t xml:space="preserve"> (LTE)</w:t>
      </w:r>
      <w:r w:rsidR="00172AD3" w:rsidRPr="0022277A">
        <w:t xml:space="preserve"> study compared to patients treated with </w:t>
      </w:r>
      <w:r w:rsidR="000A37CD" w:rsidRPr="0022277A">
        <w:t>SOC</w:t>
      </w:r>
      <w:r w:rsidR="00172AD3" w:rsidRPr="0022277A">
        <w:t xml:space="preserve"> in a propensity score matched historical cohort (Urowitz et al 2019).</w:t>
      </w:r>
    </w:p>
    <w:p w:rsidR="00172AD3" w:rsidRDefault="00172AD3" w:rsidP="00FF5FCE">
      <w:pPr>
        <w:pStyle w:val="ListParagraph"/>
        <w:widowControl/>
        <w:numPr>
          <w:ilvl w:val="1"/>
          <w:numId w:val="1"/>
        </w:numPr>
        <w:spacing w:after="120"/>
      </w:pPr>
      <w:r>
        <w:t xml:space="preserve">Bruce et al 2015 investigated factors associated with the development and progression of organ damage in the Systemic Lupus International Collaborating Clinics (SLICC) inception cohort. </w:t>
      </w:r>
      <w:r w:rsidR="008713D9">
        <w:t xml:space="preserve">Patients were recruited from 2000 to 2011. </w:t>
      </w:r>
      <w:r>
        <w:t xml:space="preserve">Patients were enrolled within 15 months of developing four or more 1997 ACR classification criteria for SLE. The authors modelled the progression of organ damage (SDI score) over time </w:t>
      </w:r>
      <w:r>
        <w:lastRenderedPageBreak/>
        <w:t xml:space="preserve">using a seven-state model, </w:t>
      </w:r>
      <w:r w:rsidRPr="00CF2A12">
        <w:t>based on the patients’ SDI scores at each visit.</w:t>
      </w:r>
      <w:r>
        <w:t xml:space="preserve"> Initially, there were 11</w:t>
      </w:r>
      <w:r w:rsidRPr="00CF2A12">
        <w:t xml:space="preserve"> states, however as there were relatively few patients in the states above five, these were subsequently collapsed to SDI ≥5.</w:t>
      </w:r>
      <w:r>
        <w:t xml:space="preserve"> The submission used the transition probabilities across the health states conditional on current SDI score for the modelled cohort from Bruce et al. </w:t>
      </w:r>
    </w:p>
    <w:p w:rsidR="00172AD3" w:rsidRPr="0022277A" w:rsidRDefault="00172AD3" w:rsidP="00FF5FCE">
      <w:pPr>
        <w:pStyle w:val="ListParagraph"/>
        <w:keepLines/>
        <w:numPr>
          <w:ilvl w:val="1"/>
          <w:numId w:val="1"/>
        </w:numPr>
        <w:spacing w:after="120"/>
      </w:pPr>
      <w:r w:rsidRPr="0022277A">
        <w:t xml:space="preserve">The </w:t>
      </w:r>
      <w:r w:rsidR="006D489E">
        <w:t xml:space="preserve">ESC and </w:t>
      </w:r>
      <w:r w:rsidR="00CD5E51">
        <w:t xml:space="preserve">PBAC considered that the </w:t>
      </w:r>
      <w:r w:rsidR="00132F46" w:rsidRPr="0022277A">
        <w:t xml:space="preserve">reliability and applicability of the </w:t>
      </w:r>
      <w:r w:rsidRPr="0022277A">
        <w:t xml:space="preserve">Bruce et al 2015 model predictions </w:t>
      </w:r>
      <w:r w:rsidR="000861CA" w:rsidRPr="0022277A">
        <w:t xml:space="preserve">were </w:t>
      </w:r>
      <w:r w:rsidRPr="0022277A">
        <w:t>unclear. As an inception cohort, the majority of patients had no organ damage at baseline and the time to first SDI worsening was relatively long (median approx. 9 years if SDI=0 at baseline) and there were also relatively few deaths recorded (41 deaths</w:t>
      </w:r>
      <w:r w:rsidR="004C4AA5" w:rsidRPr="0022277A">
        <w:t xml:space="preserve"> at the time of the analysis)</w:t>
      </w:r>
      <w:r w:rsidRPr="0022277A">
        <w:t>. Hence, the model predictions at the higher SDI health states rely on the analysis assumption that covariates have the same impact for all transitions where SDI ≥1 and to death. The description of the method was vague and the impact of other simplifying assumptions was unknown.</w:t>
      </w:r>
    </w:p>
    <w:p w:rsidR="00172AD3" w:rsidRPr="0022277A" w:rsidRDefault="00172AD3" w:rsidP="00FF5FCE">
      <w:pPr>
        <w:pStyle w:val="ListParagraph"/>
        <w:widowControl/>
        <w:numPr>
          <w:ilvl w:val="1"/>
          <w:numId w:val="1"/>
        </w:numPr>
        <w:spacing w:after="120"/>
      </w:pPr>
      <w:r w:rsidRPr="0022277A">
        <w:t>Urowitz et al 2018 compared organ damage progression in patients with SLE who received belimumab in the BLISS-76 LTE study</w:t>
      </w:r>
      <w:r w:rsidR="0041729A" w:rsidRPr="0022277A">
        <w:t xml:space="preserve"> (conducted from </w:t>
      </w:r>
      <w:r w:rsidR="00C53037" w:rsidRPr="0022277A">
        <w:t>2006</w:t>
      </w:r>
      <w:r w:rsidR="0041729A" w:rsidRPr="0022277A">
        <w:t xml:space="preserve"> to 2014)</w:t>
      </w:r>
      <w:r w:rsidRPr="0022277A">
        <w:t xml:space="preserve"> with propensity score matched patients treated with SOC from the Toronto Lupus Cohort</w:t>
      </w:r>
      <w:r w:rsidR="0041729A" w:rsidRPr="0022277A">
        <w:t xml:space="preserve"> (1990 to 2004)</w:t>
      </w:r>
      <w:r w:rsidRPr="0022277A">
        <w:t>. Propensity score matching is a commonly used statistical technique that allows matching of patients within two treatment groups based on their propensity score – the probability of treatment assignment conditional on observed baseline characteristics. The method attempts to mimic some of the characteristics of a randomised controlled trial to analyse observational data. Propensity scores were</w:t>
      </w:r>
      <w:r w:rsidR="00C3443E" w:rsidRPr="0022277A">
        <w:t xml:space="preserve"> </w:t>
      </w:r>
      <w:r w:rsidRPr="0022277A">
        <w:t>calculated using a logistic regression including 14 predictors of organ damage (correlated to 17 variables available in both groups). Patients from the BLISS-76 LTE study were matched 1:1 to patients from the Toronto Lupus Cohort based on a similar propensity score within a calliper value defined as 20% of the standard deviation for the distribution of the propensity score in the full sample.</w:t>
      </w:r>
    </w:p>
    <w:p w:rsidR="00172AD3" w:rsidRPr="0022277A" w:rsidRDefault="00172AD3" w:rsidP="00FF5FCE">
      <w:pPr>
        <w:pStyle w:val="ListParagraph"/>
        <w:widowControl/>
        <w:numPr>
          <w:ilvl w:val="1"/>
          <w:numId w:val="1"/>
        </w:numPr>
        <w:spacing w:after="120"/>
      </w:pPr>
      <w:r w:rsidRPr="0022277A">
        <w:t xml:space="preserve">The </w:t>
      </w:r>
      <w:r w:rsidR="00200DC8" w:rsidRPr="0022277A">
        <w:t>study compared</w:t>
      </w:r>
      <w:r w:rsidRPr="0022277A">
        <w:t xml:space="preserve"> the time to organ damage progression in patients with ≥</w:t>
      </w:r>
      <w:r w:rsidR="00CD5E51">
        <w:t> </w:t>
      </w:r>
      <w:r w:rsidRPr="0022277A">
        <w:t>1 year of follow-up</w:t>
      </w:r>
      <w:r w:rsidR="00AD043F" w:rsidRPr="0022277A">
        <w:t xml:space="preserve">, which </w:t>
      </w:r>
      <w:r w:rsidRPr="0022277A">
        <w:t xml:space="preserve">indicated that patients treated with belimumab were 61% less likely to progress to a higher SDI score over any given year of follow-up compared with patients treated with SOC (hazard ratio =0.391; 95% CI: 0.253, 0.605). A patient treated with belimumab had a 3.5% annual probability of organ damage progression compared to an 8.7% probability with SOC alone. </w:t>
      </w:r>
      <w:r w:rsidR="009943D8" w:rsidRPr="0022277A">
        <w:t xml:space="preserve">Figure </w:t>
      </w:r>
      <w:r w:rsidR="005A6057" w:rsidRPr="0022277A">
        <w:t>1</w:t>
      </w:r>
      <w:r w:rsidR="009943D8" w:rsidRPr="0022277A">
        <w:t xml:space="preserve"> shows the Kaplan-Meier curve from Urowitz et al 2018, which displays the time to organ damage progression in patients with </w:t>
      </w:r>
      <w:r w:rsidR="009943D8" w:rsidRPr="0022277A">
        <w:rPr>
          <w:rFonts w:cs="Calibri"/>
        </w:rPr>
        <w:t>≥</w:t>
      </w:r>
      <w:r w:rsidR="0041729A" w:rsidRPr="0022277A">
        <w:rPr>
          <w:rFonts w:cs="Calibri"/>
        </w:rPr>
        <w:t xml:space="preserve"> </w:t>
      </w:r>
      <w:r w:rsidR="009943D8" w:rsidRPr="0022277A">
        <w:t>1 year of follow-up.</w:t>
      </w:r>
    </w:p>
    <w:p w:rsidR="00C463DB" w:rsidRDefault="00C463DB" w:rsidP="009943D8">
      <w:pPr>
        <w:keepNext/>
        <w:keepLines/>
        <w:widowControl/>
        <w:rPr>
          <w:rFonts w:ascii="Arial Narrow" w:hAnsi="Arial Narrow"/>
          <w:b/>
          <w:i/>
          <w:sz w:val="20"/>
          <w:szCs w:val="20"/>
        </w:rPr>
      </w:pPr>
    </w:p>
    <w:p w:rsidR="009943D8" w:rsidRPr="00047182" w:rsidRDefault="009943D8" w:rsidP="00BC67A5">
      <w:pPr>
        <w:keepNext/>
        <w:keepLines/>
        <w:widowControl/>
        <w:suppressLineNumbers/>
        <w:suppressAutoHyphens/>
        <w:rPr>
          <w:rFonts w:ascii="Arial Narrow" w:hAnsi="Arial Narrow"/>
          <w:b/>
          <w:i/>
          <w:sz w:val="20"/>
          <w:szCs w:val="20"/>
        </w:rPr>
      </w:pPr>
      <w:r w:rsidRPr="00047182">
        <w:rPr>
          <w:rFonts w:ascii="Arial Narrow" w:hAnsi="Arial Narrow"/>
          <w:b/>
          <w:i/>
          <w:sz w:val="20"/>
          <w:szCs w:val="20"/>
        </w:rPr>
        <w:t xml:space="preserve">Figure </w:t>
      </w:r>
      <w:r w:rsidR="005A6057">
        <w:rPr>
          <w:rFonts w:ascii="Arial Narrow" w:hAnsi="Arial Narrow"/>
          <w:b/>
          <w:i/>
          <w:sz w:val="20"/>
          <w:szCs w:val="20"/>
        </w:rPr>
        <w:t>1</w:t>
      </w:r>
      <w:r w:rsidRPr="00047182">
        <w:rPr>
          <w:rFonts w:ascii="Arial Narrow" w:hAnsi="Arial Narrow"/>
          <w:b/>
          <w:i/>
          <w:sz w:val="20"/>
          <w:szCs w:val="20"/>
        </w:rPr>
        <w:t>: Kaplan-Meier</w:t>
      </w:r>
      <w:r w:rsidR="0041729A">
        <w:rPr>
          <w:rFonts w:ascii="Arial Narrow" w:hAnsi="Arial Narrow"/>
          <w:b/>
          <w:i/>
          <w:sz w:val="20"/>
          <w:szCs w:val="20"/>
        </w:rPr>
        <w:t xml:space="preserve"> curve</w:t>
      </w:r>
      <w:r w:rsidRPr="00047182">
        <w:rPr>
          <w:rFonts w:ascii="Arial Narrow" w:hAnsi="Arial Narrow"/>
          <w:b/>
          <w:i/>
          <w:sz w:val="20"/>
          <w:szCs w:val="20"/>
        </w:rPr>
        <w:t xml:space="preserve"> of time to organ damage progression in patients with ≥</w:t>
      </w:r>
      <w:r w:rsidR="0041729A">
        <w:rPr>
          <w:rFonts w:ascii="Arial Narrow" w:hAnsi="Arial Narrow"/>
          <w:b/>
          <w:i/>
          <w:sz w:val="20"/>
          <w:szCs w:val="20"/>
        </w:rPr>
        <w:t xml:space="preserve"> </w:t>
      </w:r>
      <w:r w:rsidRPr="00047182">
        <w:rPr>
          <w:rFonts w:ascii="Arial Narrow" w:hAnsi="Arial Narrow"/>
          <w:b/>
          <w:i/>
          <w:sz w:val="20"/>
          <w:szCs w:val="20"/>
        </w:rPr>
        <w:t>1year of follow-up</w:t>
      </w:r>
    </w:p>
    <w:p w:rsidR="009943D8" w:rsidRDefault="009943D8" w:rsidP="00BC67A5">
      <w:pPr>
        <w:keepNext/>
        <w:keepLines/>
        <w:widowControl/>
        <w:suppressLineNumbers/>
        <w:suppressAutoHyphens/>
      </w:pPr>
      <w:r>
        <w:rPr>
          <w:noProof/>
          <w:snapToGrid/>
          <w:lang w:eastAsia="en-AU"/>
        </w:rPr>
        <w:drawing>
          <wp:inline distT="0" distB="0" distL="0" distR="0" wp14:anchorId="3A3C8CCC" wp14:editId="287C084E">
            <wp:extent cx="5086350" cy="3390900"/>
            <wp:effectExtent l="0" t="0" r="0" b="0"/>
            <wp:docPr id="16" name="Picture 16" title="Figure 1: Kaplan-Meier curve of time to organ damage progression in patients with ≥ 1year of follo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86350" cy="3390900"/>
                    </a:xfrm>
                    <a:prstGeom prst="rect">
                      <a:avLst/>
                    </a:prstGeom>
                  </pic:spPr>
                </pic:pic>
              </a:graphicData>
            </a:graphic>
          </wp:inline>
        </w:drawing>
      </w:r>
    </w:p>
    <w:p w:rsidR="009943D8" w:rsidRPr="00C463DB" w:rsidRDefault="009943D8" w:rsidP="00BC67A5">
      <w:pPr>
        <w:keepNext/>
        <w:keepLines/>
        <w:widowControl/>
        <w:suppressLineNumbers/>
        <w:suppressAutoHyphens/>
        <w:rPr>
          <w:rFonts w:ascii="Arial Narrow" w:hAnsi="Arial Narrow"/>
          <w:i/>
          <w:sz w:val="18"/>
          <w:szCs w:val="18"/>
        </w:rPr>
      </w:pPr>
      <w:r w:rsidRPr="00C463DB">
        <w:rPr>
          <w:rFonts w:ascii="Arial Narrow" w:hAnsi="Arial Narrow"/>
          <w:i/>
          <w:sz w:val="18"/>
          <w:szCs w:val="18"/>
        </w:rPr>
        <w:t>Source: Figure 3, p7 of Urowitz et al 2019.</w:t>
      </w:r>
    </w:p>
    <w:p w:rsidR="009943D8" w:rsidRDefault="009943D8" w:rsidP="009943D8">
      <w:pPr>
        <w:widowControl/>
      </w:pPr>
    </w:p>
    <w:p w:rsidR="002C6ABA" w:rsidRPr="0022277A" w:rsidRDefault="000D6BE1" w:rsidP="00FF5FCE">
      <w:pPr>
        <w:pStyle w:val="ListParagraph"/>
        <w:widowControl/>
        <w:numPr>
          <w:ilvl w:val="1"/>
          <w:numId w:val="1"/>
        </w:numPr>
        <w:spacing w:after="120"/>
      </w:pPr>
      <w:r w:rsidRPr="0022277A">
        <w:t>The evaluation and the ESC considered that</w:t>
      </w:r>
      <w:r w:rsidR="009B37BC" w:rsidRPr="0022277A">
        <w:t xml:space="preserve"> the</w:t>
      </w:r>
      <w:r w:rsidRPr="0022277A">
        <w:t xml:space="preserve"> </w:t>
      </w:r>
      <w:r w:rsidR="002C6ABA" w:rsidRPr="0022277A">
        <w:t>p</w:t>
      </w:r>
      <w:r w:rsidR="00172AD3" w:rsidRPr="0022277A">
        <w:t>ropensity score matching</w:t>
      </w:r>
      <w:r w:rsidR="002C6ABA" w:rsidRPr="0022277A">
        <w:t xml:space="preserve"> (PSM)</w:t>
      </w:r>
      <w:r w:rsidR="00172AD3" w:rsidRPr="0022277A">
        <w:t xml:space="preserve"> analysis </w:t>
      </w:r>
      <w:r w:rsidR="009B37BC" w:rsidRPr="0022277A">
        <w:t xml:space="preserve">had a high risk of </w:t>
      </w:r>
      <w:r w:rsidR="00172AD3" w:rsidRPr="0022277A">
        <w:t xml:space="preserve">bias </w:t>
      </w:r>
      <w:r w:rsidR="00EF1ACD" w:rsidRPr="0022277A">
        <w:t>because</w:t>
      </w:r>
      <w:r w:rsidR="002C6ABA" w:rsidRPr="0022277A">
        <w:t>:</w:t>
      </w:r>
    </w:p>
    <w:p w:rsidR="002C6ABA" w:rsidRPr="0022277A" w:rsidRDefault="002C6ABA" w:rsidP="00FF5FCE">
      <w:pPr>
        <w:pStyle w:val="ListParagraph"/>
        <w:widowControl/>
        <w:numPr>
          <w:ilvl w:val="0"/>
          <w:numId w:val="8"/>
        </w:numPr>
        <w:spacing w:after="120"/>
      </w:pPr>
      <w:r w:rsidRPr="0022277A">
        <w:t>on</w:t>
      </w:r>
      <w:r w:rsidR="0041729A" w:rsidRPr="0022277A">
        <w:t>ly</w:t>
      </w:r>
      <w:r w:rsidRPr="0022277A">
        <w:t xml:space="preserve"> observed variables </w:t>
      </w:r>
      <w:r w:rsidR="0041729A" w:rsidRPr="0022277A">
        <w:t>can be balanced</w:t>
      </w:r>
      <w:r w:rsidRPr="0022277A">
        <w:t xml:space="preserve"> </w:t>
      </w:r>
      <w:r w:rsidR="005450DB" w:rsidRPr="0022277A">
        <w:t>leading to residual confounding</w:t>
      </w:r>
      <w:r w:rsidR="003A15EB" w:rsidRPr="0022277A">
        <w:t>;</w:t>
      </w:r>
      <w:r w:rsidR="005450DB" w:rsidRPr="0022277A">
        <w:t xml:space="preserve"> </w:t>
      </w:r>
    </w:p>
    <w:p w:rsidR="002C6ABA" w:rsidRPr="0022277A" w:rsidRDefault="008D03C5" w:rsidP="00FF5FCE">
      <w:pPr>
        <w:pStyle w:val="ListParagraph"/>
        <w:widowControl/>
        <w:numPr>
          <w:ilvl w:val="0"/>
          <w:numId w:val="8"/>
        </w:numPr>
        <w:spacing w:after="120"/>
      </w:pPr>
      <w:r w:rsidRPr="0022277A">
        <w:t>match</w:t>
      </w:r>
      <w:r w:rsidR="008713D9" w:rsidRPr="0022277A">
        <w:t>ing reduc</w:t>
      </w:r>
      <w:r w:rsidRPr="0022277A">
        <w:t>ed</w:t>
      </w:r>
      <w:r w:rsidR="008713D9" w:rsidRPr="0022277A">
        <w:t xml:space="preserve"> the sample size with</w:t>
      </w:r>
      <w:r w:rsidRPr="0022277A">
        <w:t xml:space="preserve"> 179 of 259 (69%) patients in the BLISS</w:t>
      </w:r>
      <w:r w:rsidR="008713D9" w:rsidRPr="0022277A">
        <w:t>-76</w:t>
      </w:r>
      <w:r w:rsidRPr="0022277A">
        <w:t xml:space="preserve"> LTE matched to controls. </w:t>
      </w:r>
      <w:r w:rsidR="00022F9F" w:rsidRPr="0022277A">
        <w:t>A</w:t>
      </w:r>
      <w:r w:rsidRPr="0022277A">
        <w:t xml:space="preserve"> sensitivity analysis </w:t>
      </w:r>
      <w:r w:rsidR="00022F9F" w:rsidRPr="0022277A">
        <w:t xml:space="preserve">was provided </w:t>
      </w:r>
      <w:r w:rsidRPr="0022277A">
        <w:t xml:space="preserve">for the outcome </w:t>
      </w:r>
      <w:r w:rsidR="00022F9F" w:rsidRPr="0022277A">
        <w:t xml:space="preserve">of </w:t>
      </w:r>
      <w:r w:rsidRPr="0022277A">
        <w:t>change in SDI from baseline to 5 years using inverse propensity score weights (IPSW), which is a method that uses the entire sample</w:t>
      </w:r>
      <w:r w:rsidR="008713D9" w:rsidRPr="0022277A">
        <w:t>,</w:t>
      </w:r>
      <w:r w:rsidRPr="0022277A">
        <w:t xml:space="preserve"> and found similar results for that outcome. </w:t>
      </w:r>
      <w:r w:rsidR="00022F9F" w:rsidRPr="0022277A">
        <w:rPr>
          <w:iCs/>
        </w:rPr>
        <w:t xml:space="preserve">However, </w:t>
      </w:r>
      <w:r w:rsidRPr="0022277A">
        <w:rPr>
          <w:iCs/>
        </w:rPr>
        <w:t xml:space="preserve">the IPSW analysis </w:t>
      </w:r>
      <w:r w:rsidR="00022F9F" w:rsidRPr="0022277A">
        <w:rPr>
          <w:iCs/>
        </w:rPr>
        <w:t xml:space="preserve">was not provided </w:t>
      </w:r>
      <w:r w:rsidRPr="0022277A">
        <w:rPr>
          <w:iCs/>
        </w:rPr>
        <w:t xml:space="preserve">for the time to organ damage progression outcome, and therefore it was unknown whether the estimated treatment effect for matched patients was </w:t>
      </w:r>
      <w:r w:rsidR="00022F9F" w:rsidRPr="0022277A">
        <w:rPr>
          <w:iCs/>
        </w:rPr>
        <w:t>similar</w:t>
      </w:r>
      <w:r w:rsidRPr="0022277A">
        <w:rPr>
          <w:iCs/>
        </w:rPr>
        <w:t xml:space="preserve"> to</w:t>
      </w:r>
      <w:r w:rsidR="00022F9F" w:rsidRPr="0022277A">
        <w:rPr>
          <w:iCs/>
        </w:rPr>
        <w:t xml:space="preserve"> the effect in</w:t>
      </w:r>
      <w:r w:rsidRPr="0022277A">
        <w:rPr>
          <w:iCs/>
        </w:rPr>
        <w:t xml:space="preserve"> unmatched patients</w:t>
      </w:r>
      <w:r w:rsidR="003A15EB" w:rsidRPr="0022277A">
        <w:rPr>
          <w:iCs/>
        </w:rPr>
        <w:t>;</w:t>
      </w:r>
    </w:p>
    <w:p w:rsidR="002C6ABA" w:rsidRPr="0022277A" w:rsidRDefault="007606A0" w:rsidP="001B082E">
      <w:pPr>
        <w:pStyle w:val="ListParagraph"/>
        <w:widowControl/>
        <w:numPr>
          <w:ilvl w:val="0"/>
          <w:numId w:val="8"/>
        </w:numPr>
        <w:spacing w:after="120"/>
      </w:pPr>
      <w:r w:rsidRPr="0022277A">
        <w:t>a</w:t>
      </w:r>
      <w:r w:rsidR="00710A75" w:rsidRPr="0022277A">
        <w:t xml:space="preserve"> historical control </w:t>
      </w:r>
      <w:r w:rsidRPr="0022277A">
        <w:t>was used. T</w:t>
      </w:r>
      <w:r w:rsidR="00710A75" w:rsidRPr="0022277A">
        <w:t xml:space="preserve">he analysis could not match on year of entry, </w:t>
      </w:r>
      <w:r w:rsidR="005A6057" w:rsidRPr="0022277A">
        <w:t>thus</w:t>
      </w:r>
      <w:r w:rsidR="00710A75" w:rsidRPr="0022277A">
        <w:t xml:space="preserve"> differences in outcomes may be due to improvements in SOC over time. The Toronto Lupus Cohort included patients back to 1990, whereas BLISS-76 enrolled patients from December 2006. </w:t>
      </w:r>
      <w:r w:rsidR="001B082E">
        <w:t>T</w:t>
      </w:r>
      <w:r w:rsidR="00710A75" w:rsidRPr="0022277A">
        <w:t>he submission</w:t>
      </w:r>
      <w:r w:rsidR="00466B59" w:rsidRPr="0022277A">
        <w:t xml:space="preserve"> attempted to adjust for changes in medicine use and</w:t>
      </w:r>
      <w:r w:rsidR="00710A75" w:rsidRPr="0022277A">
        <w:t xml:space="preserve"> argued there were no revolutionary changes in SLE treatment over that period, </w:t>
      </w:r>
      <w:r w:rsidR="001B082E">
        <w:t xml:space="preserve">however </w:t>
      </w:r>
      <w:r w:rsidR="00710A75" w:rsidRPr="0022277A">
        <w:t>the</w:t>
      </w:r>
      <w:r w:rsidR="001B082E">
        <w:t xml:space="preserve"> evaluation considered the</w:t>
      </w:r>
      <w:r w:rsidR="00710A75" w:rsidRPr="0022277A">
        <w:t>re may have been evolutionary changes</w:t>
      </w:r>
      <w:r w:rsidR="00466B59" w:rsidRPr="0022277A">
        <w:t xml:space="preserve"> </w:t>
      </w:r>
      <w:r w:rsidR="00954EC1" w:rsidRPr="0022277A">
        <w:t xml:space="preserve">that were </w:t>
      </w:r>
      <w:r w:rsidR="00466B59" w:rsidRPr="0022277A">
        <w:t>unaccounted for</w:t>
      </w:r>
      <w:r w:rsidR="00710A75" w:rsidRPr="0022277A">
        <w:t xml:space="preserve">. </w:t>
      </w:r>
      <w:r w:rsidR="008713D9" w:rsidRPr="0022277A">
        <w:t xml:space="preserve">While the submission conducted sensitivity analyses for the covariate “decade of study entry”, </w:t>
      </w:r>
      <w:r w:rsidR="001B082E">
        <w:t xml:space="preserve">the evaluation </w:t>
      </w:r>
      <w:r w:rsidR="001B082E">
        <w:lastRenderedPageBreak/>
        <w:t xml:space="preserve">considered </w:t>
      </w:r>
      <w:r w:rsidR="008713D9" w:rsidRPr="0022277A">
        <w:t xml:space="preserve">it was </w:t>
      </w:r>
      <w:r w:rsidRPr="0022277A">
        <w:t>unlikely that this would</w:t>
      </w:r>
      <w:r w:rsidR="008713D9" w:rsidRPr="0022277A">
        <w:t xml:space="preserve"> adequately control for time effects</w:t>
      </w:r>
      <w:r w:rsidR="001B082E">
        <w:t>. The PSCR stated that an analysi</w:t>
      </w:r>
      <w:r w:rsidR="001B082E" w:rsidRPr="001B082E">
        <w:t>s of mortality rates show</w:t>
      </w:r>
      <w:r w:rsidR="001B082E">
        <w:t>ed</w:t>
      </w:r>
      <w:r w:rsidR="001B082E" w:rsidRPr="001B082E">
        <w:t xml:space="preserve"> no difference in rate since 1996</w:t>
      </w:r>
      <w:r w:rsidR="001B082E">
        <w:rPr>
          <w:rStyle w:val="FootnoteReference"/>
        </w:rPr>
        <w:footnoteReference w:id="14"/>
      </w:r>
      <w:r w:rsidR="00CD5E51">
        <w:t xml:space="preserve">. </w:t>
      </w:r>
      <w:r w:rsidR="00CD5E51" w:rsidRPr="00DA2FD7">
        <w:rPr>
          <w:lang w:val="en-US"/>
        </w:rPr>
        <w:t xml:space="preserve">While the PBAC acknowledged that SLE mortality rates have </w:t>
      </w:r>
      <w:r w:rsidR="00CD5E51">
        <w:rPr>
          <w:lang w:val="en-US"/>
        </w:rPr>
        <w:t xml:space="preserve">likely </w:t>
      </w:r>
      <w:r w:rsidR="00CD5E51" w:rsidRPr="00DA2FD7">
        <w:rPr>
          <w:lang w:val="en-US"/>
        </w:rPr>
        <w:t xml:space="preserve">remained stable since 1996, </w:t>
      </w:r>
      <w:r w:rsidR="006D489E">
        <w:rPr>
          <w:lang w:val="en-US"/>
        </w:rPr>
        <w:t xml:space="preserve">the PBAC considered </w:t>
      </w:r>
      <w:r w:rsidR="00CD5E51" w:rsidRPr="00DA2FD7">
        <w:rPr>
          <w:lang w:val="en-US"/>
        </w:rPr>
        <w:t>there was still a high risk of residual confounding (e.g. because only observed variables can be balanced</w:t>
      </w:r>
      <w:r w:rsidR="00CD5E51">
        <w:rPr>
          <w:lang w:val="en-US"/>
        </w:rPr>
        <w:t>)</w:t>
      </w:r>
      <w:r w:rsidR="00153C32" w:rsidRPr="0022277A">
        <w:t>;</w:t>
      </w:r>
      <w:r w:rsidR="003A15EB" w:rsidRPr="0022277A">
        <w:t xml:space="preserve"> and</w:t>
      </w:r>
    </w:p>
    <w:p w:rsidR="008713D9" w:rsidRPr="0022277A" w:rsidRDefault="007606A0" w:rsidP="00FF5FCE">
      <w:pPr>
        <w:pStyle w:val="ListParagraph"/>
        <w:widowControl/>
        <w:numPr>
          <w:ilvl w:val="0"/>
          <w:numId w:val="8"/>
        </w:numPr>
        <w:spacing w:after="120"/>
        <w:ind w:left="1077" w:hanging="357"/>
      </w:pPr>
      <w:r w:rsidRPr="0022277A">
        <w:t>b</w:t>
      </w:r>
      <w:r w:rsidR="006D2603" w:rsidRPr="0022277A">
        <w:t>aseline in BLISS</w:t>
      </w:r>
      <w:r w:rsidR="008713D9" w:rsidRPr="0022277A">
        <w:t>-76</w:t>
      </w:r>
      <w:r w:rsidR="006D2603" w:rsidRPr="0022277A">
        <w:t xml:space="preserve"> LTE was the date of first exposure to </w:t>
      </w:r>
      <w:r w:rsidR="008713D9" w:rsidRPr="0022277A">
        <w:t xml:space="preserve">belimumab whereas baseline in the Toronto Lupus Cohort </w:t>
      </w:r>
      <w:r w:rsidR="006D2603" w:rsidRPr="0022277A">
        <w:t>was the date they first obtained SLEDAI-2K score ≥6</w:t>
      </w:r>
      <w:r w:rsidR="008713D9" w:rsidRPr="0022277A">
        <w:t>.</w:t>
      </w:r>
    </w:p>
    <w:p w:rsidR="002C6ABA" w:rsidRPr="0022277A" w:rsidRDefault="000B6DBE" w:rsidP="00FF5FCE">
      <w:pPr>
        <w:pStyle w:val="ListParagraph"/>
        <w:widowControl/>
        <w:numPr>
          <w:ilvl w:val="1"/>
          <w:numId w:val="1"/>
        </w:numPr>
        <w:spacing w:after="120"/>
      </w:pPr>
      <w:r w:rsidRPr="0022277A">
        <w:t>Further, the applicability of the matched cohort to the PBS population was unclear. Overall, the ESC</w:t>
      </w:r>
      <w:r w:rsidR="00CD5E51">
        <w:t xml:space="preserve"> and PBAC</w:t>
      </w:r>
      <w:r w:rsidRPr="0022277A">
        <w:t xml:space="preserve"> considered that the</w:t>
      </w:r>
      <w:r w:rsidR="005A6057" w:rsidRPr="0022277A">
        <w:t xml:space="preserve"> PSM analysis was not reliable </w:t>
      </w:r>
      <w:r w:rsidR="00C67FA2" w:rsidRPr="0022277A">
        <w:t xml:space="preserve">due to the high risk of bias </w:t>
      </w:r>
      <w:r w:rsidR="005A6057" w:rsidRPr="0022277A">
        <w:t>and the</w:t>
      </w:r>
      <w:r w:rsidRPr="0022277A">
        <w:t xml:space="preserve"> </w:t>
      </w:r>
      <w:r w:rsidR="00C53037" w:rsidRPr="0022277A">
        <w:t xml:space="preserve">economic model’s </w:t>
      </w:r>
      <w:r w:rsidRPr="0022277A">
        <w:t xml:space="preserve">assumption of </w:t>
      </w:r>
      <w:r w:rsidR="0081468E" w:rsidRPr="0022277A">
        <w:t xml:space="preserve">an </w:t>
      </w:r>
      <w:r w:rsidR="000B2A95" w:rsidRPr="0022277A">
        <w:t xml:space="preserve">improvement in SDI </w:t>
      </w:r>
      <w:r w:rsidR="00C67FA2" w:rsidRPr="0022277A">
        <w:t xml:space="preserve">progression </w:t>
      </w:r>
      <w:r w:rsidR="000B2A95" w:rsidRPr="0022277A">
        <w:t xml:space="preserve">with belimumab (and </w:t>
      </w:r>
      <w:r w:rsidRPr="0022277A">
        <w:t>linear persisting benefits</w:t>
      </w:r>
      <w:r w:rsidR="000B2A95" w:rsidRPr="0022277A">
        <w:t>)</w:t>
      </w:r>
      <w:r w:rsidRPr="0022277A">
        <w:t>, based on the PSM analysis was not reasonable.</w:t>
      </w:r>
    </w:p>
    <w:p w:rsidR="00172AD3" w:rsidRPr="00ED7E3E" w:rsidRDefault="00172AD3" w:rsidP="00C463DB">
      <w:pPr>
        <w:pStyle w:val="Heading2"/>
        <w:spacing w:after="120"/>
      </w:pPr>
      <w:bookmarkStart w:id="9" w:name="_Toc19712623"/>
      <w:r w:rsidRPr="00ED7E3E">
        <w:t>Comparative harms</w:t>
      </w:r>
      <w:bookmarkEnd w:id="9"/>
    </w:p>
    <w:p w:rsidR="00172AD3" w:rsidRDefault="00172AD3" w:rsidP="00FF5FCE">
      <w:pPr>
        <w:pStyle w:val="ListParagraph"/>
        <w:widowControl/>
        <w:numPr>
          <w:ilvl w:val="1"/>
          <w:numId w:val="1"/>
        </w:numPr>
        <w:spacing w:after="120"/>
      </w:pPr>
      <w:r w:rsidRPr="00960B0D">
        <w:t xml:space="preserve">Table </w:t>
      </w:r>
      <w:r w:rsidR="00F61CA4">
        <w:t>9</w:t>
      </w:r>
      <w:r w:rsidRPr="00960B0D">
        <w:t xml:space="preserve"> presents</w:t>
      </w:r>
      <w:r w:rsidRPr="00181AE9">
        <w:t xml:space="preserve"> a summary of adverse events (AEs) f</w:t>
      </w:r>
      <w:r w:rsidR="00536DCA">
        <w:t>rom the pivotal BLISS-SC trial.</w:t>
      </w:r>
      <w:r w:rsidR="0095398A">
        <w:t xml:space="preserve"> </w:t>
      </w:r>
    </w:p>
    <w:p w:rsidR="00172AD3" w:rsidRPr="00ED7E3E" w:rsidRDefault="00997528" w:rsidP="00BC67A5">
      <w:pPr>
        <w:pStyle w:val="ListParagraph"/>
        <w:keepNext/>
        <w:spacing w:after="0"/>
        <w:ind w:left="0"/>
        <w:rPr>
          <w:rStyle w:val="CommentReference"/>
        </w:rPr>
      </w:pPr>
      <w:r>
        <w:rPr>
          <w:rStyle w:val="CommentReference"/>
        </w:rPr>
        <w:t xml:space="preserve">Table </w:t>
      </w:r>
      <w:r w:rsidR="00F61CA4">
        <w:rPr>
          <w:rStyle w:val="CommentReference"/>
        </w:rPr>
        <w:t>9</w:t>
      </w:r>
      <w:r>
        <w:rPr>
          <w:rStyle w:val="CommentReference"/>
        </w:rPr>
        <w:t xml:space="preserve">: </w:t>
      </w:r>
      <w:r w:rsidR="00172AD3" w:rsidRPr="00960B0D">
        <w:rPr>
          <w:rStyle w:val="CommentReference"/>
        </w:rPr>
        <w:t>Summary</w:t>
      </w:r>
      <w:r w:rsidR="00172AD3" w:rsidRPr="00ED7E3E">
        <w:rPr>
          <w:rStyle w:val="CommentReference"/>
        </w:rPr>
        <w:t xml:space="preserve"> of </w:t>
      </w:r>
      <w:r w:rsidR="00172AD3">
        <w:rPr>
          <w:rStyle w:val="CommentReference"/>
        </w:rPr>
        <w:t>key adverse events in the pivotal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Summary of key adverse events in the pivotal trial"/>
      </w:tblPr>
      <w:tblGrid>
        <w:gridCol w:w="2123"/>
        <w:gridCol w:w="1886"/>
        <w:gridCol w:w="1636"/>
        <w:gridCol w:w="1715"/>
        <w:gridCol w:w="1657"/>
      </w:tblGrid>
      <w:tr w:rsidR="00172AD3" w:rsidRPr="00F85FFA" w:rsidTr="0011582A">
        <w:trPr>
          <w:tblHeader/>
        </w:trPr>
        <w:tc>
          <w:tcPr>
            <w:tcW w:w="1177" w:type="pct"/>
            <w:vAlign w:val="center"/>
          </w:tcPr>
          <w:p w:rsidR="00172AD3" w:rsidRPr="00F85FFA" w:rsidRDefault="00172AD3" w:rsidP="00BC67A5">
            <w:pPr>
              <w:pStyle w:val="Tabletext"/>
              <w:rPr>
                <w:b/>
                <w:szCs w:val="20"/>
              </w:rPr>
            </w:pPr>
            <w:r w:rsidRPr="00F85FFA">
              <w:rPr>
                <w:b/>
                <w:szCs w:val="20"/>
              </w:rPr>
              <w:t>Trial ID</w:t>
            </w:r>
          </w:p>
        </w:tc>
        <w:tc>
          <w:tcPr>
            <w:tcW w:w="1046" w:type="pct"/>
            <w:vAlign w:val="center"/>
          </w:tcPr>
          <w:p w:rsidR="00172AD3" w:rsidRPr="00F85FFA" w:rsidRDefault="00172AD3" w:rsidP="00BC67A5">
            <w:pPr>
              <w:pStyle w:val="Tabletext"/>
              <w:jc w:val="center"/>
              <w:rPr>
                <w:b/>
                <w:szCs w:val="20"/>
              </w:rPr>
            </w:pPr>
            <w:r w:rsidRPr="00F85FFA">
              <w:rPr>
                <w:b/>
                <w:szCs w:val="20"/>
              </w:rPr>
              <w:t xml:space="preserve">BEL </w:t>
            </w:r>
            <w:r>
              <w:rPr>
                <w:b/>
                <w:bCs/>
                <w:szCs w:val="18"/>
                <w:lang w:val="de-DE"/>
              </w:rPr>
              <w:t xml:space="preserve">200mg SC </w:t>
            </w:r>
            <w:r w:rsidRPr="00F85FFA">
              <w:rPr>
                <w:b/>
                <w:szCs w:val="20"/>
              </w:rPr>
              <w:t>n/N (%)</w:t>
            </w:r>
          </w:p>
        </w:tc>
        <w:tc>
          <w:tcPr>
            <w:tcW w:w="907" w:type="pct"/>
            <w:vAlign w:val="center"/>
          </w:tcPr>
          <w:p w:rsidR="00172AD3" w:rsidRPr="00F85FFA" w:rsidRDefault="00172AD3" w:rsidP="00BC67A5">
            <w:pPr>
              <w:pStyle w:val="Tabletext"/>
              <w:jc w:val="center"/>
              <w:rPr>
                <w:b/>
                <w:szCs w:val="20"/>
              </w:rPr>
            </w:pPr>
            <w:r w:rsidRPr="00F85FFA">
              <w:rPr>
                <w:b/>
                <w:szCs w:val="20"/>
              </w:rPr>
              <w:t>PBO n/N (%)</w:t>
            </w:r>
          </w:p>
        </w:tc>
        <w:tc>
          <w:tcPr>
            <w:tcW w:w="951" w:type="pct"/>
            <w:vAlign w:val="center"/>
          </w:tcPr>
          <w:p w:rsidR="00172AD3" w:rsidRPr="00F85FFA" w:rsidRDefault="00172AD3" w:rsidP="00BC67A5">
            <w:pPr>
              <w:pStyle w:val="Tabletext"/>
              <w:jc w:val="center"/>
              <w:rPr>
                <w:b/>
                <w:szCs w:val="20"/>
              </w:rPr>
            </w:pPr>
            <w:r w:rsidRPr="00F85FFA">
              <w:rPr>
                <w:b/>
                <w:szCs w:val="20"/>
              </w:rPr>
              <w:t>OR</w:t>
            </w:r>
            <w:r w:rsidRPr="00F85FFA" w:rsidDel="00B34E6F">
              <w:rPr>
                <w:b/>
                <w:szCs w:val="20"/>
              </w:rPr>
              <w:t xml:space="preserve"> </w:t>
            </w:r>
            <w:r w:rsidRPr="00F85FFA">
              <w:rPr>
                <w:b/>
                <w:szCs w:val="20"/>
              </w:rPr>
              <w:t>(95% CI)</w:t>
            </w:r>
          </w:p>
        </w:tc>
        <w:tc>
          <w:tcPr>
            <w:tcW w:w="919" w:type="pct"/>
            <w:vAlign w:val="center"/>
          </w:tcPr>
          <w:p w:rsidR="00172AD3" w:rsidRPr="00F85FFA" w:rsidRDefault="00172AD3" w:rsidP="00BC67A5">
            <w:pPr>
              <w:pStyle w:val="Tabletext"/>
              <w:jc w:val="center"/>
              <w:rPr>
                <w:b/>
                <w:szCs w:val="20"/>
              </w:rPr>
            </w:pPr>
            <w:r w:rsidRPr="00F85FFA">
              <w:rPr>
                <w:b/>
                <w:szCs w:val="20"/>
              </w:rPr>
              <w:t>RD (95% CI)</w:t>
            </w:r>
          </w:p>
        </w:tc>
      </w:tr>
      <w:tr w:rsidR="00172AD3" w:rsidRPr="00F85FFA" w:rsidTr="0011582A">
        <w:tc>
          <w:tcPr>
            <w:tcW w:w="4081" w:type="pct"/>
            <w:gridSpan w:val="4"/>
            <w:vAlign w:val="center"/>
          </w:tcPr>
          <w:p w:rsidR="00172AD3" w:rsidRPr="00F85FFA" w:rsidRDefault="00172AD3" w:rsidP="00BC67A5">
            <w:pPr>
              <w:pStyle w:val="Tabletext"/>
              <w:rPr>
                <w:b/>
                <w:bCs/>
                <w:szCs w:val="20"/>
              </w:rPr>
            </w:pPr>
            <w:r w:rsidRPr="00F85FFA">
              <w:rPr>
                <w:b/>
                <w:bCs/>
                <w:szCs w:val="20"/>
              </w:rPr>
              <w:t>Belimumab SC formulation (BLISS-SC)</w:t>
            </w:r>
          </w:p>
        </w:tc>
        <w:tc>
          <w:tcPr>
            <w:tcW w:w="919" w:type="pct"/>
            <w:vAlign w:val="center"/>
          </w:tcPr>
          <w:p w:rsidR="00172AD3" w:rsidRPr="00F85FFA" w:rsidRDefault="00172AD3" w:rsidP="00BC67A5">
            <w:pPr>
              <w:pStyle w:val="Tabletext"/>
              <w:rPr>
                <w:b/>
                <w:bCs/>
                <w:szCs w:val="20"/>
              </w:rPr>
            </w:pPr>
          </w:p>
        </w:tc>
      </w:tr>
      <w:tr w:rsidR="00172AD3" w:rsidRPr="00F85FFA" w:rsidTr="0011582A">
        <w:tc>
          <w:tcPr>
            <w:tcW w:w="1177" w:type="pct"/>
            <w:vAlign w:val="center"/>
          </w:tcPr>
          <w:p w:rsidR="00172AD3" w:rsidRPr="00F85FFA" w:rsidRDefault="00172AD3" w:rsidP="00BC67A5">
            <w:pPr>
              <w:pStyle w:val="Tabletext"/>
              <w:rPr>
                <w:szCs w:val="20"/>
              </w:rPr>
            </w:pPr>
            <w:r w:rsidRPr="00F85FFA">
              <w:rPr>
                <w:szCs w:val="20"/>
                <w:lang w:eastAsia="en-AU"/>
              </w:rPr>
              <w:t>Any AE</w:t>
            </w:r>
          </w:p>
        </w:tc>
        <w:tc>
          <w:tcPr>
            <w:tcW w:w="1046" w:type="pct"/>
            <w:vAlign w:val="center"/>
          </w:tcPr>
          <w:p w:rsidR="00172AD3" w:rsidRPr="00F85FFA" w:rsidRDefault="00172AD3" w:rsidP="00BC67A5">
            <w:pPr>
              <w:pStyle w:val="Tabletext"/>
              <w:jc w:val="center"/>
              <w:rPr>
                <w:szCs w:val="20"/>
              </w:rPr>
            </w:pPr>
            <w:r w:rsidRPr="00F85FFA">
              <w:rPr>
                <w:szCs w:val="20"/>
              </w:rPr>
              <w:t>449/556 (80.8%)</w:t>
            </w:r>
          </w:p>
        </w:tc>
        <w:tc>
          <w:tcPr>
            <w:tcW w:w="907" w:type="pct"/>
            <w:vAlign w:val="center"/>
          </w:tcPr>
          <w:p w:rsidR="00172AD3" w:rsidRPr="00F85FFA" w:rsidRDefault="00172AD3" w:rsidP="00BC67A5">
            <w:pPr>
              <w:pStyle w:val="Tabletext"/>
              <w:jc w:val="center"/>
              <w:rPr>
                <w:szCs w:val="20"/>
              </w:rPr>
            </w:pPr>
            <w:r w:rsidRPr="00F85FFA">
              <w:rPr>
                <w:szCs w:val="20"/>
              </w:rPr>
              <w:t>236/280 (84.3%)</w:t>
            </w:r>
          </w:p>
        </w:tc>
        <w:tc>
          <w:tcPr>
            <w:tcW w:w="951" w:type="pct"/>
          </w:tcPr>
          <w:p w:rsidR="00172AD3" w:rsidRPr="00240BFE" w:rsidRDefault="00172AD3" w:rsidP="00BC67A5">
            <w:pPr>
              <w:pStyle w:val="Tabletext"/>
              <w:jc w:val="center"/>
              <w:rPr>
                <w:szCs w:val="20"/>
              </w:rPr>
            </w:pPr>
            <w:r w:rsidRPr="00240BFE">
              <w:rPr>
                <w:szCs w:val="20"/>
              </w:rPr>
              <w:t>0.78 (0.53, 1.15)</w:t>
            </w:r>
          </w:p>
        </w:tc>
        <w:tc>
          <w:tcPr>
            <w:tcW w:w="919" w:type="pct"/>
            <w:vAlign w:val="center"/>
          </w:tcPr>
          <w:p w:rsidR="00172AD3" w:rsidRPr="00240BFE" w:rsidRDefault="00172AD3" w:rsidP="00BC67A5">
            <w:pPr>
              <w:pStyle w:val="Tabletext"/>
              <w:jc w:val="center"/>
              <w:rPr>
                <w:szCs w:val="20"/>
              </w:rPr>
            </w:pPr>
            <w:r w:rsidRPr="00240BFE">
              <w:rPr>
                <w:szCs w:val="20"/>
              </w:rPr>
              <w:t>-0.04 (-0.09, 0.02)</w:t>
            </w:r>
          </w:p>
        </w:tc>
      </w:tr>
      <w:tr w:rsidR="00172AD3" w:rsidRPr="00F85FFA" w:rsidTr="0011582A">
        <w:tc>
          <w:tcPr>
            <w:tcW w:w="1177" w:type="pct"/>
            <w:vAlign w:val="center"/>
          </w:tcPr>
          <w:p w:rsidR="00172AD3" w:rsidRPr="00F85FFA" w:rsidRDefault="00172AD3" w:rsidP="00BC67A5">
            <w:pPr>
              <w:pStyle w:val="Tabletext"/>
              <w:rPr>
                <w:szCs w:val="20"/>
                <w:lang w:eastAsia="en-AU"/>
              </w:rPr>
            </w:pPr>
            <w:r w:rsidRPr="00F85FFA">
              <w:rPr>
                <w:szCs w:val="20"/>
                <w:lang w:eastAsia="en-AU"/>
              </w:rPr>
              <w:t>Related AE</w:t>
            </w:r>
          </w:p>
        </w:tc>
        <w:tc>
          <w:tcPr>
            <w:tcW w:w="1046" w:type="pct"/>
            <w:vAlign w:val="center"/>
          </w:tcPr>
          <w:p w:rsidR="00172AD3" w:rsidRPr="00F85FFA" w:rsidRDefault="00172AD3" w:rsidP="00BC67A5">
            <w:pPr>
              <w:pStyle w:val="Tabletext"/>
              <w:jc w:val="center"/>
              <w:rPr>
                <w:szCs w:val="20"/>
              </w:rPr>
            </w:pPr>
            <w:r w:rsidRPr="00F85FFA">
              <w:rPr>
                <w:szCs w:val="20"/>
              </w:rPr>
              <w:t>173/556 (31.1%)</w:t>
            </w:r>
          </w:p>
        </w:tc>
        <w:tc>
          <w:tcPr>
            <w:tcW w:w="907" w:type="pct"/>
            <w:vAlign w:val="center"/>
          </w:tcPr>
          <w:p w:rsidR="00172AD3" w:rsidRPr="00F85FFA" w:rsidRDefault="00172AD3" w:rsidP="00BC67A5">
            <w:pPr>
              <w:pStyle w:val="Tabletext"/>
              <w:jc w:val="center"/>
              <w:rPr>
                <w:szCs w:val="20"/>
              </w:rPr>
            </w:pPr>
            <w:r w:rsidRPr="00F85FFA">
              <w:rPr>
                <w:szCs w:val="20"/>
              </w:rPr>
              <w:t>73/280 (26.1%)</w:t>
            </w:r>
          </w:p>
        </w:tc>
        <w:tc>
          <w:tcPr>
            <w:tcW w:w="951" w:type="pct"/>
          </w:tcPr>
          <w:p w:rsidR="00172AD3" w:rsidRPr="00240BFE" w:rsidRDefault="00172AD3" w:rsidP="00BC67A5">
            <w:pPr>
              <w:pStyle w:val="Tabletext"/>
              <w:jc w:val="center"/>
              <w:rPr>
                <w:szCs w:val="20"/>
              </w:rPr>
            </w:pPr>
            <w:r w:rsidRPr="00240BFE">
              <w:rPr>
                <w:szCs w:val="20"/>
              </w:rPr>
              <w:t>1.28 (0.93, 1.77)</w:t>
            </w:r>
          </w:p>
        </w:tc>
        <w:tc>
          <w:tcPr>
            <w:tcW w:w="919" w:type="pct"/>
            <w:vAlign w:val="center"/>
          </w:tcPr>
          <w:p w:rsidR="00172AD3" w:rsidRPr="00240BFE" w:rsidRDefault="00172AD3" w:rsidP="00BC67A5">
            <w:pPr>
              <w:pStyle w:val="Tabletext"/>
              <w:jc w:val="center"/>
              <w:rPr>
                <w:szCs w:val="20"/>
              </w:rPr>
            </w:pPr>
            <w:r w:rsidRPr="00240BFE">
              <w:rPr>
                <w:szCs w:val="20"/>
              </w:rPr>
              <w:t>0.05 (-0.01, 0.11)</w:t>
            </w:r>
          </w:p>
        </w:tc>
      </w:tr>
      <w:tr w:rsidR="00172AD3" w:rsidRPr="00F85FFA" w:rsidTr="0011582A">
        <w:tc>
          <w:tcPr>
            <w:tcW w:w="1177" w:type="pct"/>
            <w:vAlign w:val="center"/>
          </w:tcPr>
          <w:p w:rsidR="00172AD3" w:rsidRPr="00F85FFA" w:rsidRDefault="00172AD3" w:rsidP="00BC67A5">
            <w:pPr>
              <w:pStyle w:val="Tabletext"/>
              <w:rPr>
                <w:szCs w:val="20"/>
                <w:lang w:eastAsia="en-AU"/>
              </w:rPr>
            </w:pPr>
            <w:r w:rsidRPr="00F85FFA">
              <w:rPr>
                <w:szCs w:val="20"/>
                <w:lang w:eastAsia="en-AU"/>
              </w:rPr>
              <w:t>Serious AE</w:t>
            </w:r>
          </w:p>
        </w:tc>
        <w:tc>
          <w:tcPr>
            <w:tcW w:w="1046" w:type="pct"/>
            <w:vAlign w:val="center"/>
          </w:tcPr>
          <w:p w:rsidR="00172AD3" w:rsidRPr="00F85FFA" w:rsidRDefault="00172AD3" w:rsidP="00BC67A5">
            <w:pPr>
              <w:pStyle w:val="Tabletext"/>
              <w:jc w:val="center"/>
              <w:rPr>
                <w:szCs w:val="20"/>
              </w:rPr>
            </w:pPr>
            <w:r w:rsidRPr="00F85FFA">
              <w:rPr>
                <w:szCs w:val="20"/>
              </w:rPr>
              <w:t>60/556 (10.8%)</w:t>
            </w:r>
          </w:p>
        </w:tc>
        <w:tc>
          <w:tcPr>
            <w:tcW w:w="907" w:type="pct"/>
            <w:vAlign w:val="center"/>
          </w:tcPr>
          <w:p w:rsidR="00172AD3" w:rsidRPr="00F85FFA" w:rsidRDefault="00172AD3" w:rsidP="00BC67A5">
            <w:pPr>
              <w:pStyle w:val="Tabletext"/>
              <w:jc w:val="center"/>
              <w:rPr>
                <w:szCs w:val="20"/>
              </w:rPr>
            </w:pPr>
            <w:r w:rsidRPr="00F85FFA">
              <w:rPr>
                <w:szCs w:val="20"/>
              </w:rPr>
              <w:t>44/280 (15.7%)</w:t>
            </w:r>
          </w:p>
        </w:tc>
        <w:tc>
          <w:tcPr>
            <w:tcW w:w="951" w:type="pct"/>
          </w:tcPr>
          <w:p w:rsidR="00172AD3" w:rsidRPr="00240BFE" w:rsidRDefault="00172AD3" w:rsidP="00BC67A5">
            <w:pPr>
              <w:pStyle w:val="Tabletext"/>
              <w:jc w:val="center"/>
              <w:rPr>
                <w:b/>
                <w:bCs/>
                <w:szCs w:val="20"/>
              </w:rPr>
            </w:pPr>
            <w:r w:rsidRPr="00240BFE">
              <w:rPr>
                <w:b/>
                <w:bCs/>
                <w:szCs w:val="20"/>
              </w:rPr>
              <w:t>0.65 (0.43, 0.99)</w:t>
            </w:r>
          </w:p>
        </w:tc>
        <w:tc>
          <w:tcPr>
            <w:tcW w:w="919" w:type="pct"/>
            <w:vAlign w:val="center"/>
          </w:tcPr>
          <w:p w:rsidR="00172AD3" w:rsidRPr="00240BFE" w:rsidRDefault="00172AD3" w:rsidP="00BC67A5">
            <w:pPr>
              <w:pStyle w:val="Tabletext"/>
              <w:jc w:val="center"/>
              <w:rPr>
                <w:szCs w:val="20"/>
              </w:rPr>
            </w:pPr>
            <w:r w:rsidRPr="00240BFE">
              <w:rPr>
                <w:szCs w:val="20"/>
              </w:rPr>
              <w:t>-0.05 (-0.10, 0.00)</w:t>
            </w:r>
          </w:p>
        </w:tc>
      </w:tr>
      <w:tr w:rsidR="00172AD3" w:rsidRPr="00F85FFA" w:rsidTr="0011582A">
        <w:tc>
          <w:tcPr>
            <w:tcW w:w="1177" w:type="pct"/>
            <w:vAlign w:val="center"/>
          </w:tcPr>
          <w:p w:rsidR="00172AD3" w:rsidRPr="00F85FFA" w:rsidRDefault="00172AD3" w:rsidP="00BC67A5">
            <w:pPr>
              <w:pStyle w:val="Tabletext"/>
              <w:rPr>
                <w:szCs w:val="20"/>
                <w:lang w:eastAsia="en-AU"/>
              </w:rPr>
            </w:pPr>
            <w:r w:rsidRPr="00F85FFA">
              <w:rPr>
                <w:szCs w:val="20"/>
                <w:lang w:eastAsia="en-AU"/>
              </w:rPr>
              <w:t>Severe AE</w:t>
            </w:r>
          </w:p>
        </w:tc>
        <w:tc>
          <w:tcPr>
            <w:tcW w:w="1046" w:type="pct"/>
            <w:vAlign w:val="center"/>
          </w:tcPr>
          <w:p w:rsidR="00172AD3" w:rsidRPr="00F85FFA" w:rsidRDefault="00172AD3" w:rsidP="00BC67A5">
            <w:pPr>
              <w:pStyle w:val="Tabletext"/>
              <w:jc w:val="center"/>
              <w:rPr>
                <w:szCs w:val="20"/>
              </w:rPr>
            </w:pPr>
            <w:r w:rsidRPr="00F85FFA">
              <w:rPr>
                <w:szCs w:val="20"/>
              </w:rPr>
              <w:t>55/556 (9.9%)</w:t>
            </w:r>
          </w:p>
        </w:tc>
        <w:tc>
          <w:tcPr>
            <w:tcW w:w="907" w:type="pct"/>
            <w:vAlign w:val="center"/>
          </w:tcPr>
          <w:p w:rsidR="00172AD3" w:rsidRPr="00F85FFA" w:rsidRDefault="00172AD3" w:rsidP="00BC67A5">
            <w:pPr>
              <w:pStyle w:val="Tabletext"/>
              <w:jc w:val="center"/>
              <w:rPr>
                <w:szCs w:val="20"/>
              </w:rPr>
            </w:pPr>
            <w:r w:rsidRPr="00F85FFA">
              <w:rPr>
                <w:szCs w:val="20"/>
              </w:rPr>
              <w:t>40/280 (14.3%)</w:t>
            </w:r>
          </w:p>
        </w:tc>
        <w:tc>
          <w:tcPr>
            <w:tcW w:w="951" w:type="pct"/>
          </w:tcPr>
          <w:p w:rsidR="00172AD3" w:rsidRPr="00240BFE" w:rsidRDefault="00172AD3" w:rsidP="00BC67A5">
            <w:pPr>
              <w:pStyle w:val="Tabletext"/>
              <w:jc w:val="center"/>
              <w:rPr>
                <w:szCs w:val="20"/>
              </w:rPr>
            </w:pPr>
            <w:r w:rsidRPr="00240BFE">
              <w:rPr>
                <w:szCs w:val="20"/>
              </w:rPr>
              <w:t>0.66 (0.43, 1.02)</w:t>
            </w:r>
          </w:p>
        </w:tc>
        <w:tc>
          <w:tcPr>
            <w:tcW w:w="919" w:type="pct"/>
            <w:vAlign w:val="center"/>
          </w:tcPr>
          <w:p w:rsidR="00172AD3" w:rsidRPr="00240BFE" w:rsidRDefault="00172AD3" w:rsidP="00BC67A5">
            <w:pPr>
              <w:pStyle w:val="Tabletext"/>
              <w:jc w:val="center"/>
              <w:rPr>
                <w:szCs w:val="20"/>
              </w:rPr>
            </w:pPr>
            <w:r w:rsidRPr="00240BFE">
              <w:rPr>
                <w:szCs w:val="20"/>
              </w:rPr>
              <w:t>-0.04 (-0.09, 0.00)</w:t>
            </w:r>
          </w:p>
        </w:tc>
      </w:tr>
      <w:tr w:rsidR="00172AD3" w:rsidRPr="00F85FFA" w:rsidTr="0011582A">
        <w:tc>
          <w:tcPr>
            <w:tcW w:w="1177" w:type="pct"/>
            <w:vAlign w:val="center"/>
          </w:tcPr>
          <w:p w:rsidR="00172AD3" w:rsidRPr="00F85FFA" w:rsidRDefault="00172AD3" w:rsidP="00BC67A5">
            <w:pPr>
              <w:pStyle w:val="Tabletext"/>
              <w:rPr>
                <w:szCs w:val="20"/>
              </w:rPr>
            </w:pPr>
            <w:r w:rsidRPr="00F85FFA">
              <w:rPr>
                <w:szCs w:val="20"/>
                <w:lang w:eastAsia="en-AU"/>
              </w:rPr>
              <w:t>Discontinuation due to AE</w:t>
            </w:r>
          </w:p>
        </w:tc>
        <w:tc>
          <w:tcPr>
            <w:tcW w:w="1046" w:type="pct"/>
            <w:vAlign w:val="center"/>
          </w:tcPr>
          <w:p w:rsidR="00172AD3" w:rsidRPr="00F85FFA" w:rsidRDefault="00172AD3" w:rsidP="00BC67A5">
            <w:pPr>
              <w:pStyle w:val="Tabletext"/>
              <w:jc w:val="center"/>
              <w:rPr>
                <w:szCs w:val="20"/>
              </w:rPr>
            </w:pPr>
            <w:r w:rsidRPr="00F85FFA">
              <w:rPr>
                <w:szCs w:val="20"/>
              </w:rPr>
              <w:t>40/556 (7.2%)</w:t>
            </w:r>
          </w:p>
        </w:tc>
        <w:tc>
          <w:tcPr>
            <w:tcW w:w="907" w:type="pct"/>
            <w:vAlign w:val="center"/>
          </w:tcPr>
          <w:p w:rsidR="00172AD3" w:rsidRPr="00F85FFA" w:rsidRDefault="00172AD3" w:rsidP="00BC67A5">
            <w:pPr>
              <w:pStyle w:val="Tabletext"/>
              <w:jc w:val="center"/>
              <w:rPr>
                <w:szCs w:val="20"/>
              </w:rPr>
            </w:pPr>
            <w:r w:rsidRPr="00F85FFA">
              <w:rPr>
                <w:szCs w:val="20"/>
              </w:rPr>
              <w:t>25/280 (8.9%)</w:t>
            </w:r>
          </w:p>
        </w:tc>
        <w:tc>
          <w:tcPr>
            <w:tcW w:w="951" w:type="pct"/>
          </w:tcPr>
          <w:p w:rsidR="00172AD3" w:rsidRPr="00240BFE" w:rsidRDefault="00172AD3" w:rsidP="00BC67A5">
            <w:pPr>
              <w:pStyle w:val="Tabletext"/>
              <w:jc w:val="center"/>
              <w:rPr>
                <w:szCs w:val="20"/>
              </w:rPr>
            </w:pPr>
            <w:r w:rsidRPr="00240BFE">
              <w:rPr>
                <w:szCs w:val="20"/>
              </w:rPr>
              <w:t>0.79(0.47, 1.33)</w:t>
            </w:r>
          </w:p>
        </w:tc>
        <w:tc>
          <w:tcPr>
            <w:tcW w:w="919" w:type="pct"/>
            <w:vAlign w:val="center"/>
          </w:tcPr>
          <w:p w:rsidR="00172AD3" w:rsidRPr="00240BFE" w:rsidRDefault="00172AD3" w:rsidP="00BC67A5">
            <w:pPr>
              <w:pStyle w:val="Tabletext"/>
              <w:jc w:val="center"/>
              <w:rPr>
                <w:szCs w:val="20"/>
              </w:rPr>
            </w:pPr>
            <w:r w:rsidRPr="00240BFE">
              <w:rPr>
                <w:szCs w:val="20"/>
              </w:rPr>
              <w:t>-0.02 (-0.06, 0.02)</w:t>
            </w:r>
          </w:p>
        </w:tc>
      </w:tr>
      <w:tr w:rsidR="00172AD3" w:rsidRPr="00F85FFA" w:rsidTr="0011582A">
        <w:tc>
          <w:tcPr>
            <w:tcW w:w="1177" w:type="pct"/>
            <w:vAlign w:val="center"/>
          </w:tcPr>
          <w:p w:rsidR="00172AD3" w:rsidRPr="00F85FFA" w:rsidRDefault="00172AD3" w:rsidP="00BC67A5">
            <w:pPr>
              <w:pStyle w:val="Tabletext"/>
              <w:rPr>
                <w:szCs w:val="20"/>
                <w:lang w:eastAsia="en-AU"/>
              </w:rPr>
            </w:pPr>
            <w:r w:rsidRPr="00F85FFA">
              <w:rPr>
                <w:szCs w:val="20"/>
                <w:lang w:eastAsia="en-AU"/>
              </w:rPr>
              <w:t>Deaths</w:t>
            </w:r>
          </w:p>
        </w:tc>
        <w:tc>
          <w:tcPr>
            <w:tcW w:w="1046" w:type="pct"/>
            <w:vAlign w:val="center"/>
          </w:tcPr>
          <w:p w:rsidR="00172AD3" w:rsidRPr="00F85FFA" w:rsidRDefault="00172AD3" w:rsidP="00BC67A5">
            <w:pPr>
              <w:pStyle w:val="Tabletext"/>
              <w:jc w:val="center"/>
              <w:rPr>
                <w:szCs w:val="20"/>
              </w:rPr>
            </w:pPr>
            <w:r w:rsidRPr="00F85FFA">
              <w:rPr>
                <w:szCs w:val="20"/>
              </w:rPr>
              <w:t>3</w:t>
            </w:r>
            <w:r w:rsidRPr="00F85FFA">
              <w:rPr>
                <w:szCs w:val="20"/>
                <w:vertAlign w:val="superscript"/>
              </w:rPr>
              <w:t xml:space="preserve"> a</w:t>
            </w:r>
            <w:r w:rsidRPr="00F85FFA">
              <w:rPr>
                <w:szCs w:val="20"/>
              </w:rPr>
              <w:t xml:space="preserve"> /556 (0.5%)</w:t>
            </w:r>
          </w:p>
        </w:tc>
        <w:tc>
          <w:tcPr>
            <w:tcW w:w="907" w:type="pct"/>
            <w:vAlign w:val="center"/>
          </w:tcPr>
          <w:p w:rsidR="00172AD3" w:rsidRPr="00F85FFA" w:rsidRDefault="00172AD3" w:rsidP="00BC67A5">
            <w:pPr>
              <w:pStyle w:val="Tabletext"/>
              <w:jc w:val="center"/>
              <w:rPr>
                <w:szCs w:val="20"/>
              </w:rPr>
            </w:pPr>
            <w:r w:rsidRPr="00F85FFA">
              <w:rPr>
                <w:szCs w:val="20"/>
              </w:rPr>
              <w:t>2/280 (0.7%)</w:t>
            </w:r>
          </w:p>
        </w:tc>
        <w:tc>
          <w:tcPr>
            <w:tcW w:w="951" w:type="pct"/>
          </w:tcPr>
          <w:p w:rsidR="00172AD3" w:rsidRPr="00240BFE" w:rsidRDefault="00172AD3" w:rsidP="00BC67A5">
            <w:pPr>
              <w:pStyle w:val="Tabletext"/>
              <w:jc w:val="center"/>
              <w:rPr>
                <w:szCs w:val="20"/>
              </w:rPr>
            </w:pPr>
            <w:r w:rsidRPr="00240BFE">
              <w:rPr>
                <w:szCs w:val="20"/>
              </w:rPr>
              <w:t>0.75 (0.13, 4.54)</w:t>
            </w:r>
          </w:p>
        </w:tc>
        <w:tc>
          <w:tcPr>
            <w:tcW w:w="919" w:type="pct"/>
            <w:vAlign w:val="center"/>
          </w:tcPr>
          <w:p w:rsidR="00172AD3" w:rsidRPr="00240BFE" w:rsidRDefault="00172AD3" w:rsidP="00BC67A5">
            <w:pPr>
              <w:pStyle w:val="Tabletext"/>
              <w:jc w:val="center"/>
              <w:rPr>
                <w:szCs w:val="20"/>
              </w:rPr>
            </w:pPr>
            <w:r w:rsidRPr="00240BFE">
              <w:rPr>
                <w:szCs w:val="20"/>
              </w:rPr>
              <w:t>0 (-0.01, 0.01)</w:t>
            </w:r>
          </w:p>
        </w:tc>
      </w:tr>
      <w:tr w:rsidR="00172AD3" w:rsidRPr="00F85FFA" w:rsidTr="0011582A">
        <w:tc>
          <w:tcPr>
            <w:tcW w:w="1177" w:type="pct"/>
            <w:vAlign w:val="center"/>
          </w:tcPr>
          <w:p w:rsidR="00172AD3" w:rsidRPr="00F85FFA" w:rsidRDefault="00172AD3" w:rsidP="00BC67A5">
            <w:pPr>
              <w:pStyle w:val="Tabletext"/>
              <w:rPr>
                <w:szCs w:val="20"/>
                <w:lang w:eastAsia="en-AU"/>
              </w:rPr>
            </w:pPr>
            <w:r w:rsidRPr="00F85FFA">
              <w:rPr>
                <w:szCs w:val="20"/>
                <w:lang w:eastAsia="en-AU"/>
              </w:rPr>
              <w:t>Local injection site reactions</w:t>
            </w:r>
          </w:p>
        </w:tc>
        <w:tc>
          <w:tcPr>
            <w:tcW w:w="1046" w:type="pct"/>
            <w:vAlign w:val="center"/>
          </w:tcPr>
          <w:p w:rsidR="00172AD3" w:rsidRPr="00F85FFA" w:rsidRDefault="00172AD3" w:rsidP="00BC67A5">
            <w:pPr>
              <w:pStyle w:val="Tabletext"/>
              <w:jc w:val="center"/>
              <w:rPr>
                <w:szCs w:val="20"/>
              </w:rPr>
            </w:pPr>
            <w:r w:rsidRPr="00F85FFA">
              <w:rPr>
                <w:szCs w:val="20"/>
              </w:rPr>
              <w:t>34/556 (6.1%)</w:t>
            </w:r>
          </w:p>
        </w:tc>
        <w:tc>
          <w:tcPr>
            <w:tcW w:w="907" w:type="pct"/>
            <w:vAlign w:val="center"/>
          </w:tcPr>
          <w:p w:rsidR="00172AD3" w:rsidRPr="00F85FFA" w:rsidRDefault="00172AD3" w:rsidP="00BC67A5">
            <w:pPr>
              <w:pStyle w:val="Tabletext"/>
              <w:jc w:val="center"/>
              <w:rPr>
                <w:szCs w:val="20"/>
              </w:rPr>
            </w:pPr>
            <w:r w:rsidRPr="00F85FFA">
              <w:rPr>
                <w:szCs w:val="20"/>
              </w:rPr>
              <w:t>7/280 (2.5%)</w:t>
            </w:r>
          </w:p>
        </w:tc>
        <w:tc>
          <w:tcPr>
            <w:tcW w:w="951" w:type="pct"/>
          </w:tcPr>
          <w:p w:rsidR="00172AD3" w:rsidRPr="00240BFE" w:rsidRDefault="00172AD3" w:rsidP="00BC67A5">
            <w:pPr>
              <w:pStyle w:val="Tabletext"/>
              <w:jc w:val="center"/>
              <w:rPr>
                <w:b/>
                <w:bCs/>
                <w:iCs/>
                <w:szCs w:val="20"/>
              </w:rPr>
            </w:pPr>
            <w:r w:rsidRPr="00240BFE">
              <w:rPr>
                <w:b/>
                <w:bCs/>
                <w:iCs/>
                <w:szCs w:val="20"/>
              </w:rPr>
              <w:t>2.54 (1.11, 5.81)</w:t>
            </w:r>
          </w:p>
        </w:tc>
        <w:tc>
          <w:tcPr>
            <w:tcW w:w="919" w:type="pct"/>
            <w:vAlign w:val="center"/>
          </w:tcPr>
          <w:p w:rsidR="00172AD3" w:rsidRPr="00240BFE" w:rsidRDefault="00172AD3" w:rsidP="00BC67A5">
            <w:pPr>
              <w:pStyle w:val="Tabletext"/>
              <w:jc w:val="center"/>
              <w:rPr>
                <w:b/>
                <w:bCs/>
                <w:iCs/>
                <w:szCs w:val="20"/>
              </w:rPr>
            </w:pPr>
            <w:r w:rsidRPr="00240BFE">
              <w:rPr>
                <w:b/>
                <w:bCs/>
                <w:iCs/>
                <w:szCs w:val="20"/>
              </w:rPr>
              <w:t>0.04 (0.01, 0.06)</w:t>
            </w:r>
          </w:p>
        </w:tc>
      </w:tr>
      <w:tr w:rsidR="00172AD3" w:rsidRPr="00017D4D" w:rsidTr="0011582A">
        <w:tc>
          <w:tcPr>
            <w:tcW w:w="1177" w:type="pct"/>
            <w:vAlign w:val="center"/>
          </w:tcPr>
          <w:p w:rsidR="00172AD3" w:rsidRPr="00017D4D" w:rsidRDefault="00172AD3" w:rsidP="00BC67A5">
            <w:pPr>
              <w:pStyle w:val="Tabletext"/>
              <w:rPr>
                <w:iCs/>
                <w:szCs w:val="20"/>
                <w:lang w:eastAsia="en-AU"/>
              </w:rPr>
            </w:pPr>
            <w:r w:rsidRPr="00017D4D">
              <w:rPr>
                <w:iCs/>
                <w:szCs w:val="20"/>
                <w:lang w:eastAsia="en-AU"/>
              </w:rPr>
              <w:t>Injection site pain</w:t>
            </w:r>
          </w:p>
        </w:tc>
        <w:tc>
          <w:tcPr>
            <w:tcW w:w="1046" w:type="pct"/>
            <w:shd w:val="clear" w:color="auto" w:fill="auto"/>
            <w:vAlign w:val="center"/>
          </w:tcPr>
          <w:p w:rsidR="00172AD3" w:rsidRPr="00017D4D" w:rsidRDefault="00172AD3" w:rsidP="00BC67A5">
            <w:pPr>
              <w:pStyle w:val="Tabletext"/>
              <w:jc w:val="center"/>
              <w:rPr>
                <w:iCs/>
                <w:szCs w:val="20"/>
              </w:rPr>
            </w:pPr>
            <w:r w:rsidRPr="00017D4D">
              <w:rPr>
                <w:iCs/>
                <w:szCs w:val="20"/>
              </w:rPr>
              <w:t>10/556 (1.8%)</w:t>
            </w:r>
          </w:p>
        </w:tc>
        <w:tc>
          <w:tcPr>
            <w:tcW w:w="907" w:type="pct"/>
            <w:shd w:val="clear" w:color="auto" w:fill="auto"/>
            <w:vAlign w:val="center"/>
          </w:tcPr>
          <w:p w:rsidR="00172AD3" w:rsidRPr="00017D4D" w:rsidRDefault="00172AD3" w:rsidP="00BC67A5">
            <w:pPr>
              <w:pStyle w:val="Tabletext"/>
              <w:jc w:val="center"/>
              <w:rPr>
                <w:iCs/>
                <w:szCs w:val="20"/>
              </w:rPr>
            </w:pPr>
            <w:r w:rsidRPr="00017D4D">
              <w:rPr>
                <w:iCs/>
                <w:szCs w:val="20"/>
              </w:rPr>
              <w:t>1/280 (0.4%)</w:t>
            </w:r>
          </w:p>
        </w:tc>
        <w:tc>
          <w:tcPr>
            <w:tcW w:w="951" w:type="pct"/>
          </w:tcPr>
          <w:p w:rsidR="00172AD3" w:rsidRPr="00017D4D" w:rsidRDefault="00172AD3" w:rsidP="00BC67A5">
            <w:pPr>
              <w:pStyle w:val="Tabletext"/>
              <w:jc w:val="center"/>
              <w:rPr>
                <w:iCs/>
                <w:szCs w:val="20"/>
              </w:rPr>
            </w:pPr>
            <w:r w:rsidRPr="00017D4D">
              <w:rPr>
                <w:iCs/>
                <w:szCs w:val="20"/>
              </w:rPr>
              <w:t>5.11 (0.65, 40.12)</w:t>
            </w:r>
          </w:p>
        </w:tc>
        <w:tc>
          <w:tcPr>
            <w:tcW w:w="919" w:type="pct"/>
            <w:vAlign w:val="center"/>
          </w:tcPr>
          <w:p w:rsidR="00172AD3" w:rsidRPr="00017D4D" w:rsidRDefault="00172AD3" w:rsidP="00BC67A5">
            <w:pPr>
              <w:pStyle w:val="Tabletext"/>
              <w:jc w:val="center"/>
              <w:rPr>
                <w:iCs/>
                <w:szCs w:val="20"/>
              </w:rPr>
            </w:pPr>
            <w:r w:rsidRPr="00017D4D">
              <w:rPr>
                <w:iCs/>
                <w:szCs w:val="20"/>
              </w:rPr>
              <w:t>0.01 (0.00, 0.03)</w:t>
            </w:r>
          </w:p>
        </w:tc>
      </w:tr>
    </w:tbl>
    <w:p w:rsidR="00172AD3" w:rsidRDefault="00172AD3" w:rsidP="00BC67A5">
      <w:pPr>
        <w:pStyle w:val="TableFooter"/>
      </w:pPr>
      <w:r w:rsidRPr="00017D4D">
        <w:rPr>
          <w:rStyle w:val="CommentReference"/>
          <w:bCs/>
          <w:iCs/>
          <w:sz w:val="16"/>
        </w:rPr>
        <w:t xml:space="preserve">Bold </w:t>
      </w:r>
      <w:r w:rsidRPr="00017D4D">
        <w:rPr>
          <w:rStyle w:val="CommentReference"/>
          <w:b w:val="0"/>
          <w:bCs/>
          <w:iCs/>
          <w:sz w:val="16"/>
        </w:rPr>
        <w:t>typography indicate statistically significant differences</w:t>
      </w:r>
      <w:r w:rsidRPr="00017D4D">
        <w:rPr>
          <w:rStyle w:val="CommentReference"/>
          <w:bCs/>
          <w:iCs/>
          <w:sz w:val="16"/>
        </w:rPr>
        <w:t>.</w:t>
      </w:r>
      <w:r>
        <w:rPr>
          <w:rStyle w:val="CommentReference"/>
          <w:bCs/>
          <w:i/>
          <w:iCs/>
          <w:sz w:val="16"/>
        </w:rPr>
        <w:t xml:space="preserve">  </w:t>
      </w:r>
    </w:p>
    <w:p w:rsidR="00172AD3" w:rsidRPr="00C725E4" w:rsidRDefault="00172AD3" w:rsidP="00BC67A5">
      <w:pPr>
        <w:pStyle w:val="TableFooter"/>
        <w:rPr>
          <w:rFonts w:eastAsia="Calibri"/>
        </w:rPr>
      </w:pPr>
      <w:r w:rsidRPr="00C725E4">
        <w:t xml:space="preserve">Abbreviations: </w:t>
      </w:r>
      <w:r w:rsidRPr="00C725E4">
        <w:rPr>
          <w:rFonts w:eastAsia="Calibri"/>
        </w:rPr>
        <w:t>CI = confidence interval; n = number of participants with event; N = total participants in group</w:t>
      </w:r>
    </w:p>
    <w:p w:rsidR="00172AD3" w:rsidRDefault="00172AD3" w:rsidP="00BC67A5">
      <w:pPr>
        <w:pStyle w:val="TableFooter"/>
        <w:tabs>
          <w:tab w:val="left" w:pos="142"/>
        </w:tabs>
        <w:ind w:left="142" w:hanging="142"/>
        <w:rPr>
          <w:rFonts w:eastAsia="Calibri"/>
        </w:rPr>
      </w:pPr>
      <w:r w:rsidRPr="00C725E4">
        <w:rPr>
          <w:rFonts w:eastAsia="Calibri"/>
          <w:vertAlign w:val="superscript"/>
        </w:rPr>
        <w:t>a</w:t>
      </w:r>
      <w:r w:rsidRPr="00C725E4">
        <w:rPr>
          <w:rFonts w:eastAsia="Calibri"/>
        </w:rPr>
        <w:tab/>
      </w:r>
      <w:r>
        <w:rPr>
          <w:rFonts w:eastAsia="Calibri"/>
        </w:rPr>
        <w:t>Two deaths considered possibly related to study agent. One was hospitalized 15 days after last dose of belimumab and died of tuberculosis of the central nervous system</w:t>
      </w:r>
      <w:r w:rsidRPr="00C725E4">
        <w:rPr>
          <w:rFonts w:eastAsia="Calibri"/>
        </w:rPr>
        <w:t xml:space="preserve">. </w:t>
      </w:r>
      <w:r>
        <w:rPr>
          <w:rFonts w:eastAsia="Calibri"/>
        </w:rPr>
        <w:t xml:space="preserve"> The other was hospitalized 9 days after the last dose of belimumab and experienced urosepsis 15 days after the last dose, and subsequently died 9 days after urosepsis onset.  The third death (from bacterial sepsis) was considered probably not related to study agent.</w:t>
      </w:r>
    </w:p>
    <w:p w:rsidR="00172AD3" w:rsidRDefault="00172AD3" w:rsidP="00172AD3">
      <w:pPr>
        <w:pStyle w:val="ListParagraph"/>
        <w:spacing w:after="0"/>
        <w:ind w:left="0"/>
      </w:pPr>
    </w:p>
    <w:p w:rsidR="00172AD3" w:rsidRDefault="00172AD3" w:rsidP="00FF5FCE">
      <w:pPr>
        <w:pStyle w:val="ListParagraph"/>
        <w:widowControl/>
        <w:numPr>
          <w:ilvl w:val="1"/>
          <w:numId w:val="1"/>
        </w:numPr>
        <w:spacing w:after="120"/>
        <w:rPr>
          <w:iCs/>
        </w:rPr>
      </w:pPr>
      <w:r w:rsidRPr="007435E7">
        <w:rPr>
          <w:iCs/>
        </w:rPr>
        <w:t xml:space="preserve">The incidence of any AE, related AE, severe AE, and discontinuations due to AE were similar between belimumab and SOC. The proportion of patients with serious AEs was significantly lower for belimumab versus placebo in BLISS-SC. In BLISS-SC, local injection site reactions occurred in 6.1% and 2.5% of </w:t>
      </w:r>
      <w:r w:rsidR="009F39E2">
        <w:rPr>
          <w:iCs/>
        </w:rPr>
        <w:t>patients</w:t>
      </w:r>
      <w:r w:rsidR="009F39E2" w:rsidRPr="007435E7">
        <w:rPr>
          <w:iCs/>
        </w:rPr>
        <w:t xml:space="preserve"> </w:t>
      </w:r>
      <w:r w:rsidRPr="007435E7">
        <w:rPr>
          <w:iCs/>
        </w:rPr>
        <w:t>in the belimumab and placebo groups, respectively. All local injection site reactions were mild or moderate in severity. The most frequently reported AEs for belimumab were headache, viral upper respiratory tract infection, urinary tract infection, nasopharyngitis and nausea.</w:t>
      </w:r>
    </w:p>
    <w:p w:rsidR="00172AD3" w:rsidRPr="00D16630" w:rsidRDefault="00172AD3" w:rsidP="00FF5FCE">
      <w:pPr>
        <w:pStyle w:val="ListParagraph"/>
        <w:widowControl/>
        <w:numPr>
          <w:ilvl w:val="1"/>
          <w:numId w:val="1"/>
        </w:numPr>
        <w:spacing w:after="120"/>
        <w:rPr>
          <w:iCs/>
        </w:rPr>
      </w:pPr>
      <w:r w:rsidRPr="00D16630">
        <w:rPr>
          <w:iCs/>
        </w:rPr>
        <w:lastRenderedPageBreak/>
        <w:t xml:space="preserve">The draft TGA PI (p6) states “there were more deaths reported with belimumab than with placebo during the controlled period of the clinical trials. No single cause of death predominated. Aetiologies included infection, cardiovascular disease and suicide. The physicians should discuss this imbalance with their patients prior to initiating therapy.” Across the five trials, </w:t>
      </w:r>
      <w:r w:rsidR="0002393C" w:rsidRPr="00D16630">
        <w:rPr>
          <w:iCs/>
        </w:rPr>
        <w:t xml:space="preserve">0.52% (10/1920) </w:t>
      </w:r>
      <w:r w:rsidRPr="00D16630">
        <w:rPr>
          <w:iCs/>
        </w:rPr>
        <w:t xml:space="preserve">patients died in the belimumab 200 mg SC or 10 mg/kg IV arms </w:t>
      </w:r>
      <w:r w:rsidR="0002393C" w:rsidRPr="00D16630">
        <w:rPr>
          <w:iCs/>
        </w:rPr>
        <w:t xml:space="preserve">and 0.48% (6/1242) </w:t>
      </w:r>
      <w:r w:rsidRPr="00D16630">
        <w:rPr>
          <w:iCs/>
        </w:rPr>
        <w:t xml:space="preserve">in the placebo arms. Deaths in the belimumab arms </w:t>
      </w:r>
      <w:r w:rsidR="00932BB6" w:rsidRPr="00D16630">
        <w:rPr>
          <w:iCs/>
        </w:rPr>
        <w:t>are</w:t>
      </w:r>
      <w:r w:rsidRPr="00D16630">
        <w:rPr>
          <w:iCs/>
        </w:rPr>
        <w:t xml:space="preserve"> higher if the 1 mg/kg arms (from BLISS-52 and BLISS-76) are also included (</w:t>
      </w:r>
      <w:r w:rsidR="00932BB6" w:rsidRPr="00D16630">
        <w:rPr>
          <w:iCs/>
        </w:rPr>
        <w:t xml:space="preserve">0.56%, </w:t>
      </w:r>
      <w:r w:rsidRPr="00D16630">
        <w:rPr>
          <w:iCs/>
        </w:rPr>
        <w:t>14/2479).</w:t>
      </w:r>
    </w:p>
    <w:p w:rsidR="00172AD3" w:rsidRPr="00F611C1" w:rsidRDefault="00172AD3" w:rsidP="00FF5FCE">
      <w:pPr>
        <w:pStyle w:val="ListParagraph"/>
        <w:widowControl/>
        <w:numPr>
          <w:ilvl w:val="1"/>
          <w:numId w:val="1"/>
        </w:numPr>
        <w:spacing w:after="120"/>
      </w:pPr>
      <w:r w:rsidRPr="00D16630">
        <w:t>The headline results</w:t>
      </w:r>
      <w:r w:rsidRPr="00D16630">
        <w:rPr>
          <w:rStyle w:val="FootnoteReference"/>
        </w:rPr>
        <w:footnoteReference w:id="15"/>
      </w:r>
      <w:r w:rsidRPr="00D16630">
        <w:t xml:space="preserve"> for BASE, a recent one-year, randomised, double-blin</w:t>
      </w:r>
      <w:r w:rsidR="00997528" w:rsidRPr="00D16630">
        <w:t xml:space="preserve">d post marketing safety study, </w:t>
      </w:r>
      <w:r w:rsidRPr="00D16630">
        <w:t>stated that on-treatment all-cause mortality, infection and malignancy rates were similar between belimumab and placebo. However, imbalances were observed in serious depression, serious suicidal ideation/behaviour and self-injury events, and serious infusion/</w:t>
      </w:r>
      <w:r w:rsidRPr="00F611C1">
        <w:t xml:space="preserve">hypersensitivity reactions. </w:t>
      </w:r>
    </w:p>
    <w:p w:rsidR="00172AD3" w:rsidRPr="00997528" w:rsidRDefault="00172AD3" w:rsidP="0008522A">
      <w:pPr>
        <w:pStyle w:val="ListParagraph"/>
        <w:keepLines/>
        <w:numPr>
          <w:ilvl w:val="1"/>
          <w:numId w:val="1"/>
        </w:numPr>
        <w:spacing w:after="120"/>
        <w:rPr>
          <w:iCs/>
        </w:rPr>
      </w:pPr>
      <w:r>
        <w:rPr>
          <w:iCs/>
        </w:rPr>
        <w:t xml:space="preserve">Important identified risks associated with belimumab as outlined in the most recent </w:t>
      </w:r>
      <w:r w:rsidRPr="00DA1EE4">
        <w:rPr>
          <w:iCs/>
        </w:rPr>
        <w:t>Periodic Benefit Risk Evaluation Report (PBRER</w:t>
      </w:r>
      <w:r>
        <w:rPr>
          <w:iCs/>
        </w:rPr>
        <w:t>)</w:t>
      </w:r>
      <w:r w:rsidRPr="00DA1EE4">
        <w:rPr>
          <w:iCs/>
        </w:rPr>
        <w:t xml:space="preserve"> for belimumab (9 March 2018 to 8 March 2019)</w:t>
      </w:r>
      <w:r w:rsidR="00997528">
        <w:rPr>
          <w:iCs/>
        </w:rPr>
        <w:t xml:space="preserve"> included </w:t>
      </w:r>
      <w:r w:rsidR="00997528" w:rsidRPr="00997528">
        <w:rPr>
          <w:iCs/>
        </w:rPr>
        <w:t>p</w:t>
      </w:r>
      <w:r w:rsidRPr="00997528">
        <w:rPr>
          <w:iCs/>
        </w:rPr>
        <w:t>sychiatric events including depression and suicidality;</w:t>
      </w:r>
      <w:r w:rsidR="00997528">
        <w:rPr>
          <w:iCs/>
        </w:rPr>
        <w:t xml:space="preserve"> </w:t>
      </w:r>
      <w:r w:rsidR="00997528" w:rsidRPr="00997528">
        <w:rPr>
          <w:iCs/>
        </w:rPr>
        <w:t>h</w:t>
      </w:r>
      <w:r w:rsidRPr="00997528">
        <w:rPr>
          <w:iCs/>
        </w:rPr>
        <w:t>ypersensitivity and infusion- or injection-related systemic reactions; and</w:t>
      </w:r>
      <w:r w:rsidR="00997528">
        <w:rPr>
          <w:iCs/>
        </w:rPr>
        <w:t xml:space="preserve"> </w:t>
      </w:r>
      <w:r w:rsidR="00997528" w:rsidRPr="00997528">
        <w:rPr>
          <w:iCs/>
        </w:rPr>
        <w:t>i</w:t>
      </w:r>
      <w:r w:rsidR="00997528">
        <w:rPr>
          <w:iCs/>
        </w:rPr>
        <w:t>nfections.</w:t>
      </w:r>
      <w:r w:rsidR="00590B93">
        <w:rPr>
          <w:iCs/>
        </w:rPr>
        <w:t xml:space="preserve"> The pre-PBAC response stated </w:t>
      </w:r>
      <w:r w:rsidR="0008522A">
        <w:rPr>
          <w:iCs/>
        </w:rPr>
        <w:t>the ‘</w:t>
      </w:r>
      <w:r w:rsidR="0008522A" w:rsidRPr="0008522A">
        <w:rPr>
          <w:iCs/>
        </w:rPr>
        <w:t xml:space="preserve">upgrading of “psychiatric events” to an </w:t>
      </w:r>
      <w:r w:rsidR="0008522A">
        <w:rPr>
          <w:iCs/>
        </w:rPr>
        <w:t>“</w:t>
      </w:r>
      <w:r w:rsidR="0008522A" w:rsidRPr="0008522A">
        <w:rPr>
          <w:iCs/>
        </w:rPr>
        <w:t>important identified risk</w:t>
      </w:r>
      <w:r w:rsidR="0008522A">
        <w:rPr>
          <w:iCs/>
        </w:rPr>
        <w:t>”</w:t>
      </w:r>
      <w:r w:rsidR="0008522A" w:rsidRPr="0008522A">
        <w:rPr>
          <w:iCs/>
        </w:rPr>
        <w:t xml:space="preserve"> was cautionary and has not been confirmed as representing a true signal</w:t>
      </w:r>
      <w:r w:rsidR="0008522A">
        <w:rPr>
          <w:iCs/>
        </w:rPr>
        <w:t>’.</w:t>
      </w:r>
    </w:p>
    <w:p w:rsidR="00172AD3" w:rsidRPr="00ED7E3E" w:rsidRDefault="00172AD3" w:rsidP="00C463DB">
      <w:pPr>
        <w:pStyle w:val="Heading2"/>
        <w:spacing w:after="120"/>
      </w:pPr>
      <w:bookmarkStart w:id="10" w:name="_Toc19712624"/>
      <w:r w:rsidRPr="00ED7E3E">
        <w:t>Benefits/harms</w:t>
      </w:r>
      <w:bookmarkEnd w:id="10"/>
    </w:p>
    <w:p w:rsidR="00172AD3" w:rsidRDefault="00172AD3" w:rsidP="00FF5FCE">
      <w:pPr>
        <w:pStyle w:val="ListParagraph"/>
        <w:widowControl/>
        <w:numPr>
          <w:ilvl w:val="1"/>
          <w:numId w:val="1"/>
        </w:numPr>
        <w:spacing w:after="120"/>
      </w:pPr>
      <w:r w:rsidRPr="00F770BB">
        <w:rPr>
          <w:rFonts w:cs="Calibri"/>
          <w:snapToGrid/>
          <w:szCs w:val="24"/>
          <w:lang w:eastAsia="en-AU"/>
        </w:rPr>
        <w:t xml:space="preserve">Table </w:t>
      </w:r>
      <w:r w:rsidR="00F61CA4">
        <w:rPr>
          <w:rFonts w:cs="Calibri"/>
          <w:snapToGrid/>
          <w:szCs w:val="24"/>
          <w:lang w:eastAsia="en-AU"/>
        </w:rPr>
        <w:t>10</w:t>
      </w:r>
      <w:r w:rsidRPr="00F770BB">
        <w:rPr>
          <w:rFonts w:cs="Calibri"/>
          <w:snapToGrid/>
          <w:szCs w:val="24"/>
          <w:lang w:eastAsia="en-AU"/>
        </w:rPr>
        <w:t xml:space="preserve"> presents a summary of the comparative </w:t>
      </w:r>
      <w:r w:rsidRPr="00F770BB">
        <w:t>benefits and harms for belimumab versus placebo in the pivotal trial, BLISS-SC</w:t>
      </w:r>
      <w:r>
        <w:t>.</w:t>
      </w:r>
    </w:p>
    <w:p w:rsidR="00172AD3" w:rsidRPr="00417F19" w:rsidRDefault="00F61CA4" w:rsidP="00D5705B">
      <w:pPr>
        <w:keepNext/>
        <w:keepLines/>
        <w:widowControl/>
        <w:rPr>
          <w:rFonts w:ascii="Arial Narrow" w:hAnsi="Arial Narrow"/>
          <w:b/>
          <w:sz w:val="20"/>
          <w:szCs w:val="20"/>
        </w:rPr>
      </w:pPr>
      <w:r>
        <w:rPr>
          <w:rFonts w:ascii="Arial Narrow" w:hAnsi="Arial Narrow"/>
          <w:b/>
          <w:sz w:val="20"/>
          <w:szCs w:val="20"/>
        </w:rPr>
        <w:lastRenderedPageBreak/>
        <w:t>Table 10</w:t>
      </w:r>
      <w:r w:rsidR="00172AD3" w:rsidRPr="00F770BB">
        <w:rPr>
          <w:rFonts w:ascii="Arial Narrow" w:hAnsi="Arial Narrow"/>
          <w:b/>
          <w:sz w:val="20"/>
          <w:szCs w:val="20"/>
        </w:rPr>
        <w:t>: Sum</w:t>
      </w:r>
      <w:r w:rsidR="00172AD3" w:rsidRPr="00417F19">
        <w:rPr>
          <w:rFonts w:ascii="Arial Narrow" w:hAnsi="Arial Narrow"/>
          <w:b/>
          <w:sz w:val="20"/>
          <w:szCs w:val="20"/>
        </w:rPr>
        <w:t>mary of comparative benefits and harms across the 52-week BLISS-SC trial</w:t>
      </w:r>
    </w:p>
    <w:tbl>
      <w:tblPr>
        <w:tblStyle w:val="TableGrid"/>
        <w:tblW w:w="4995" w:type="pct"/>
        <w:tblInd w:w="28" w:type="dxa"/>
        <w:tblLayout w:type="fixed"/>
        <w:tblCellMar>
          <w:left w:w="28" w:type="dxa"/>
          <w:right w:w="28" w:type="dxa"/>
        </w:tblCellMar>
        <w:tblLook w:val="04A0" w:firstRow="1" w:lastRow="0" w:firstColumn="1" w:lastColumn="0" w:noHBand="0" w:noVBand="1"/>
        <w:tblCaption w:val="Table 10: Summary of comparative benefits and harms across the 52-week BLISS-SC trial"/>
      </w:tblPr>
      <w:tblGrid>
        <w:gridCol w:w="2093"/>
        <w:gridCol w:w="1135"/>
        <w:gridCol w:w="1139"/>
        <w:gridCol w:w="1270"/>
        <w:gridCol w:w="18"/>
        <w:gridCol w:w="1258"/>
        <w:gridCol w:w="18"/>
        <w:gridCol w:w="2077"/>
      </w:tblGrid>
      <w:tr w:rsidR="00172AD3" w:rsidRPr="00417F19" w:rsidTr="009B4321">
        <w:trPr>
          <w:trHeight w:val="150"/>
          <w:tblHeader/>
        </w:trPr>
        <w:tc>
          <w:tcPr>
            <w:tcW w:w="5000" w:type="pct"/>
            <w:gridSpan w:val="8"/>
            <w:shd w:val="clear" w:color="auto" w:fill="auto"/>
            <w:vAlign w:val="center"/>
          </w:tcPr>
          <w:p w:rsidR="00172AD3" w:rsidRPr="00417F19" w:rsidRDefault="00172AD3" w:rsidP="00D5705B">
            <w:pPr>
              <w:keepNext/>
              <w:keepLines/>
              <w:rPr>
                <w:rFonts w:ascii="Arial Narrow" w:hAnsi="Arial Narrow"/>
                <w:b/>
                <w:sz w:val="20"/>
                <w:szCs w:val="20"/>
                <w:u w:val="single"/>
              </w:rPr>
            </w:pPr>
            <w:r w:rsidRPr="00417F19">
              <w:rPr>
                <w:rFonts w:ascii="Arial Narrow" w:hAnsi="Arial Narrow"/>
                <w:b/>
                <w:sz w:val="20"/>
                <w:szCs w:val="20"/>
                <w:u w:val="single"/>
              </w:rPr>
              <w:t>Benefits</w:t>
            </w:r>
          </w:p>
        </w:tc>
      </w:tr>
      <w:tr w:rsidR="00172AD3" w:rsidRPr="00417F19" w:rsidTr="009B4321">
        <w:trPr>
          <w:trHeight w:val="150"/>
          <w:tblHeader/>
        </w:trPr>
        <w:tc>
          <w:tcPr>
            <w:tcW w:w="5000" w:type="pct"/>
            <w:gridSpan w:val="8"/>
            <w:shd w:val="clear" w:color="auto" w:fill="auto"/>
            <w:vAlign w:val="center"/>
          </w:tcPr>
          <w:p w:rsidR="00172AD3" w:rsidRPr="00417F19" w:rsidRDefault="00172AD3" w:rsidP="00D5705B">
            <w:pPr>
              <w:keepNext/>
              <w:keepLines/>
              <w:rPr>
                <w:rFonts w:ascii="Arial Narrow" w:hAnsi="Arial Narrow"/>
                <w:sz w:val="20"/>
                <w:szCs w:val="20"/>
              </w:rPr>
            </w:pPr>
            <w:r w:rsidRPr="00417F19">
              <w:rPr>
                <w:rFonts w:ascii="Arial Narrow" w:hAnsi="Arial Narrow"/>
                <w:b/>
                <w:sz w:val="20"/>
                <w:szCs w:val="20"/>
              </w:rPr>
              <w:t>Responder rates at Week 52</w:t>
            </w:r>
            <w:r>
              <w:rPr>
                <w:rFonts w:ascii="Arial Narrow" w:hAnsi="Arial Narrow"/>
                <w:b/>
                <w:sz w:val="20"/>
                <w:szCs w:val="20"/>
              </w:rPr>
              <w:t xml:space="preserve"> for the primary composite outcome of SRI and its component indexes</w:t>
            </w:r>
          </w:p>
        </w:tc>
      </w:tr>
      <w:tr w:rsidR="00172AD3" w:rsidRPr="00417F19" w:rsidTr="009B4321">
        <w:trPr>
          <w:trHeight w:val="150"/>
          <w:tblHeader/>
        </w:trPr>
        <w:tc>
          <w:tcPr>
            <w:tcW w:w="1162" w:type="pct"/>
            <w:vMerge w:val="restart"/>
            <w:shd w:val="clear" w:color="auto" w:fill="auto"/>
            <w:vAlign w:val="center"/>
          </w:tcPr>
          <w:p w:rsidR="00172AD3" w:rsidRPr="00417F19" w:rsidRDefault="00172AD3" w:rsidP="00D5705B">
            <w:pPr>
              <w:keepNext/>
              <w:keepLines/>
              <w:rPr>
                <w:rFonts w:ascii="Arial Narrow" w:hAnsi="Arial Narrow"/>
                <w:b/>
                <w:sz w:val="20"/>
                <w:szCs w:val="20"/>
              </w:rPr>
            </w:pPr>
            <w:r w:rsidRPr="00417F19">
              <w:rPr>
                <w:rFonts w:ascii="Arial Narrow" w:hAnsi="Arial Narrow"/>
                <w:b/>
                <w:sz w:val="20"/>
                <w:szCs w:val="20"/>
              </w:rPr>
              <w:t>Index</w:t>
            </w:r>
          </w:p>
        </w:tc>
        <w:tc>
          <w:tcPr>
            <w:tcW w:w="630" w:type="pct"/>
            <w:vMerge w:val="restart"/>
            <w:vAlign w:val="center"/>
          </w:tcPr>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Belimumab</w:t>
            </w:r>
          </w:p>
        </w:tc>
        <w:tc>
          <w:tcPr>
            <w:tcW w:w="632" w:type="pct"/>
            <w:vMerge w:val="restart"/>
            <w:vAlign w:val="center"/>
          </w:tcPr>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Placebo</w:t>
            </w:r>
          </w:p>
        </w:tc>
        <w:tc>
          <w:tcPr>
            <w:tcW w:w="1423" w:type="pct"/>
            <w:gridSpan w:val="4"/>
            <w:shd w:val="clear" w:color="auto" w:fill="auto"/>
            <w:vAlign w:val="center"/>
          </w:tcPr>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Events/100 patients</w:t>
            </w:r>
          </w:p>
        </w:tc>
        <w:tc>
          <w:tcPr>
            <w:tcW w:w="1153" w:type="pct"/>
            <w:vMerge w:val="restart"/>
            <w:shd w:val="clear" w:color="auto" w:fill="auto"/>
            <w:vAlign w:val="center"/>
          </w:tcPr>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RD</w:t>
            </w:r>
          </w:p>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(95% CI)</w:t>
            </w:r>
          </w:p>
        </w:tc>
      </w:tr>
      <w:tr w:rsidR="00172AD3" w:rsidRPr="00417F19" w:rsidTr="009B4321">
        <w:trPr>
          <w:trHeight w:val="315"/>
          <w:tblHeader/>
        </w:trPr>
        <w:tc>
          <w:tcPr>
            <w:tcW w:w="1162" w:type="pct"/>
            <w:vMerge/>
            <w:shd w:val="clear" w:color="auto" w:fill="auto"/>
            <w:vAlign w:val="center"/>
          </w:tcPr>
          <w:p w:rsidR="00172AD3" w:rsidRPr="00417F19" w:rsidRDefault="00172AD3" w:rsidP="00D5705B">
            <w:pPr>
              <w:keepNext/>
              <w:keepLines/>
              <w:rPr>
                <w:rFonts w:ascii="Arial Narrow" w:hAnsi="Arial Narrow"/>
                <w:sz w:val="20"/>
                <w:szCs w:val="20"/>
              </w:rPr>
            </w:pPr>
          </w:p>
        </w:tc>
        <w:tc>
          <w:tcPr>
            <w:tcW w:w="630" w:type="pct"/>
            <w:vMerge/>
            <w:shd w:val="clear" w:color="auto" w:fill="auto"/>
            <w:vAlign w:val="center"/>
          </w:tcPr>
          <w:p w:rsidR="00172AD3" w:rsidRPr="00417F19" w:rsidRDefault="00172AD3" w:rsidP="00D5705B">
            <w:pPr>
              <w:keepNext/>
              <w:keepLines/>
              <w:jc w:val="center"/>
              <w:rPr>
                <w:rFonts w:ascii="Arial Narrow" w:hAnsi="Arial Narrow"/>
                <w:sz w:val="20"/>
                <w:szCs w:val="20"/>
              </w:rPr>
            </w:pPr>
          </w:p>
        </w:tc>
        <w:tc>
          <w:tcPr>
            <w:tcW w:w="632" w:type="pct"/>
            <w:vMerge/>
            <w:shd w:val="clear" w:color="auto" w:fill="auto"/>
            <w:vAlign w:val="center"/>
          </w:tcPr>
          <w:p w:rsidR="00172AD3" w:rsidRPr="00417F19" w:rsidRDefault="00172AD3" w:rsidP="00D5705B">
            <w:pPr>
              <w:keepNext/>
              <w:keepLines/>
              <w:jc w:val="center"/>
              <w:rPr>
                <w:rFonts w:ascii="Arial Narrow" w:hAnsi="Arial Narrow"/>
                <w:sz w:val="20"/>
                <w:szCs w:val="20"/>
              </w:rPr>
            </w:pPr>
          </w:p>
        </w:tc>
        <w:tc>
          <w:tcPr>
            <w:tcW w:w="715" w:type="pct"/>
            <w:gridSpan w:val="2"/>
            <w:shd w:val="clear" w:color="auto" w:fill="auto"/>
            <w:vAlign w:val="center"/>
          </w:tcPr>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Belimumab</w:t>
            </w:r>
          </w:p>
        </w:tc>
        <w:tc>
          <w:tcPr>
            <w:tcW w:w="708" w:type="pct"/>
            <w:gridSpan w:val="2"/>
            <w:shd w:val="clear" w:color="auto" w:fill="auto"/>
            <w:vAlign w:val="center"/>
          </w:tcPr>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Placebo</w:t>
            </w:r>
          </w:p>
        </w:tc>
        <w:tc>
          <w:tcPr>
            <w:tcW w:w="1153" w:type="pct"/>
            <w:vMerge/>
            <w:shd w:val="clear" w:color="auto" w:fill="auto"/>
            <w:vAlign w:val="center"/>
          </w:tcPr>
          <w:p w:rsidR="00172AD3" w:rsidRPr="00417F19" w:rsidRDefault="00172AD3" w:rsidP="00D5705B">
            <w:pPr>
              <w:keepNext/>
              <w:keepLines/>
              <w:rPr>
                <w:rFonts w:ascii="Arial Narrow" w:hAnsi="Arial Narrow"/>
                <w:sz w:val="20"/>
                <w:szCs w:val="20"/>
              </w:rPr>
            </w:pPr>
          </w:p>
        </w:tc>
      </w:tr>
      <w:tr w:rsidR="00172AD3" w:rsidRPr="00417F19" w:rsidTr="009B4321">
        <w:trPr>
          <w:tblHeader/>
        </w:trPr>
        <w:tc>
          <w:tcPr>
            <w:tcW w:w="1162" w:type="pct"/>
            <w:shd w:val="clear" w:color="auto" w:fill="auto"/>
            <w:vAlign w:val="center"/>
          </w:tcPr>
          <w:p w:rsidR="00172AD3" w:rsidRPr="00417F19" w:rsidRDefault="00172AD3" w:rsidP="00D5705B">
            <w:pPr>
              <w:keepNext/>
              <w:keepLines/>
              <w:rPr>
                <w:rFonts w:ascii="Arial Narrow" w:hAnsi="Arial Narrow"/>
                <w:sz w:val="20"/>
                <w:szCs w:val="20"/>
              </w:rPr>
            </w:pPr>
            <w:r w:rsidRPr="00417F19">
              <w:rPr>
                <w:rFonts w:ascii="Arial Narrow" w:hAnsi="Arial Narrow"/>
                <w:sz w:val="20"/>
                <w:szCs w:val="20"/>
              </w:rPr>
              <w:t>SRI</w:t>
            </w:r>
          </w:p>
        </w:tc>
        <w:tc>
          <w:tcPr>
            <w:tcW w:w="630" w:type="pct"/>
            <w:shd w:val="clear" w:color="auto" w:fill="auto"/>
            <w:vAlign w:val="center"/>
          </w:tcPr>
          <w:p w:rsidR="00172AD3" w:rsidRPr="00417F19" w:rsidRDefault="00172AD3" w:rsidP="00D5705B">
            <w:pPr>
              <w:keepNext/>
              <w:keepLines/>
              <w:jc w:val="center"/>
              <w:rPr>
                <w:rFonts w:ascii="Arial Narrow" w:hAnsi="Arial Narrow"/>
                <w:sz w:val="20"/>
                <w:szCs w:val="20"/>
              </w:rPr>
            </w:pPr>
            <w:r>
              <w:rPr>
                <w:rFonts w:ascii="Arial Narrow" w:hAnsi="Arial Narrow"/>
                <w:sz w:val="20"/>
                <w:szCs w:val="20"/>
              </w:rPr>
              <w:t>340/554</w:t>
            </w:r>
          </w:p>
        </w:tc>
        <w:tc>
          <w:tcPr>
            <w:tcW w:w="632" w:type="pct"/>
            <w:shd w:val="clear" w:color="auto" w:fill="auto"/>
            <w:vAlign w:val="center"/>
          </w:tcPr>
          <w:p w:rsidR="00172AD3" w:rsidRPr="00417F19" w:rsidRDefault="00172AD3" w:rsidP="00D5705B">
            <w:pPr>
              <w:keepNext/>
              <w:keepLines/>
              <w:jc w:val="center"/>
              <w:rPr>
                <w:rFonts w:ascii="Arial Narrow" w:hAnsi="Arial Narrow"/>
                <w:sz w:val="20"/>
                <w:szCs w:val="20"/>
              </w:rPr>
            </w:pPr>
            <w:r>
              <w:rPr>
                <w:rFonts w:ascii="Arial Narrow" w:hAnsi="Arial Narrow"/>
                <w:sz w:val="20"/>
                <w:szCs w:val="20"/>
              </w:rPr>
              <w:t>135/279</w:t>
            </w:r>
          </w:p>
        </w:tc>
        <w:tc>
          <w:tcPr>
            <w:tcW w:w="715" w:type="pct"/>
            <w:gridSpan w:val="2"/>
            <w:shd w:val="clear" w:color="auto" w:fill="auto"/>
            <w:vAlign w:val="center"/>
          </w:tcPr>
          <w:p w:rsidR="00172AD3" w:rsidRPr="00417F19" w:rsidRDefault="00172AD3" w:rsidP="00D5705B">
            <w:pPr>
              <w:keepNext/>
              <w:keepLines/>
              <w:jc w:val="center"/>
              <w:rPr>
                <w:rFonts w:ascii="Arial Narrow" w:hAnsi="Arial Narrow"/>
                <w:sz w:val="20"/>
                <w:szCs w:val="20"/>
              </w:rPr>
            </w:pPr>
            <w:r w:rsidRPr="00A20282">
              <w:rPr>
                <w:rFonts w:ascii="Arial Narrow" w:hAnsi="Arial Narrow"/>
                <w:sz w:val="20"/>
                <w:szCs w:val="20"/>
              </w:rPr>
              <w:t>61.4</w:t>
            </w:r>
          </w:p>
        </w:tc>
        <w:tc>
          <w:tcPr>
            <w:tcW w:w="708" w:type="pct"/>
            <w:gridSpan w:val="2"/>
            <w:shd w:val="clear" w:color="auto" w:fill="auto"/>
            <w:vAlign w:val="center"/>
          </w:tcPr>
          <w:p w:rsidR="00172AD3" w:rsidRPr="00417F19" w:rsidRDefault="00172AD3" w:rsidP="00D5705B">
            <w:pPr>
              <w:keepNext/>
              <w:keepLines/>
              <w:jc w:val="center"/>
              <w:rPr>
                <w:rFonts w:ascii="Arial Narrow" w:hAnsi="Arial Narrow"/>
                <w:sz w:val="20"/>
                <w:szCs w:val="20"/>
              </w:rPr>
            </w:pPr>
            <w:r w:rsidRPr="00A20282">
              <w:rPr>
                <w:rFonts w:ascii="Arial Narrow" w:hAnsi="Arial Narrow"/>
                <w:sz w:val="20"/>
                <w:szCs w:val="20"/>
              </w:rPr>
              <w:t>48.4</w:t>
            </w:r>
          </w:p>
        </w:tc>
        <w:tc>
          <w:tcPr>
            <w:tcW w:w="1153" w:type="pct"/>
            <w:shd w:val="clear" w:color="auto" w:fill="auto"/>
            <w:vAlign w:val="center"/>
          </w:tcPr>
          <w:p w:rsidR="00172AD3" w:rsidRPr="00417F19" w:rsidRDefault="00172AD3" w:rsidP="00D5705B">
            <w:pPr>
              <w:keepNext/>
              <w:keepLines/>
              <w:jc w:val="center"/>
              <w:rPr>
                <w:rFonts w:ascii="Arial Narrow" w:hAnsi="Arial Narrow"/>
                <w:sz w:val="20"/>
                <w:szCs w:val="20"/>
              </w:rPr>
            </w:pPr>
            <w:r w:rsidRPr="002955DF">
              <w:rPr>
                <w:rFonts w:ascii="Arial Narrow" w:hAnsi="Arial Narrow"/>
                <w:b/>
                <w:sz w:val="20"/>
                <w:szCs w:val="20"/>
              </w:rPr>
              <w:t>0.13 (0.06, 0.20), p=0.0004</w:t>
            </w:r>
          </w:p>
        </w:tc>
      </w:tr>
      <w:tr w:rsidR="00172AD3" w:rsidRPr="00417F19" w:rsidTr="009B4321">
        <w:trPr>
          <w:tblHeader/>
        </w:trPr>
        <w:tc>
          <w:tcPr>
            <w:tcW w:w="1162" w:type="pct"/>
            <w:shd w:val="clear" w:color="auto" w:fill="auto"/>
            <w:vAlign w:val="center"/>
          </w:tcPr>
          <w:p w:rsidR="00172AD3" w:rsidRPr="00417F19" w:rsidRDefault="00172AD3" w:rsidP="00D5705B">
            <w:pPr>
              <w:keepNext/>
              <w:keepLines/>
              <w:ind w:left="170"/>
              <w:rPr>
                <w:rFonts w:ascii="Arial Narrow" w:hAnsi="Arial Narrow"/>
                <w:sz w:val="20"/>
                <w:szCs w:val="20"/>
              </w:rPr>
            </w:pPr>
            <w:r w:rsidRPr="00417F19">
              <w:rPr>
                <w:rFonts w:ascii="Arial Narrow" w:hAnsi="Arial Narrow"/>
                <w:sz w:val="20"/>
                <w:szCs w:val="20"/>
              </w:rPr>
              <w:t>SELENA-SLEDAI</w:t>
            </w:r>
          </w:p>
        </w:tc>
        <w:tc>
          <w:tcPr>
            <w:tcW w:w="630" w:type="pct"/>
            <w:shd w:val="clear" w:color="auto" w:fill="auto"/>
            <w:vAlign w:val="center"/>
          </w:tcPr>
          <w:p w:rsidR="00172AD3" w:rsidRPr="00417F19" w:rsidRDefault="00172AD3" w:rsidP="00D5705B">
            <w:pPr>
              <w:keepNext/>
              <w:keepLines/>
              <w:jc w:val="center"/>
              <w:rPr>
                <w:rFonts w:ascii="Arial Narrow" w:hAnsi="Arial Narrow"/>
                <w:sz w:val="20"/>
                <w:szCs w:val="20"/>
              </w:rPr>
            </w:pPr>
            <w:r>
              <w:rPr>
                <w:rFonts w:ascii="Arial Narrow" w:hAnsi="Arial Narrow"/>
                <w:sz w:val="20"/>
                <w:szCs w:val="20"/>
              </w:rPr>
              <w:t>345/554</w:t>
            </w:r>
          </w:p>
        </w:tc>
        <w:tc>
          <w:tcPr>
            <w:tcW w:w="632" w:type="pct"/>
            <w:shd w:val="clear" w:color="auto" w:fill="auto"/>
            <w:vAlign w:val="center"/>
          </w:tcPr>
          <w:p w:rsidR="00172AD3" w:rsidRPr="00417F19" w:rsidRDefault="00172AD3" w:rsidP="00D5705B">
            <w:pPr>
              <w:keepNext/>
              <w:keepLines/>
              <w:jc w:val="center"/>
              <w:rPr>
                <w:rFonts w:ascii="Arial Narrow" w:hAnsi="Arial Narrow"/>
                <w:sz w:val="20"/>
                <w:szCs w:val="20"/>
              </w:rPr>
            </w:pPr>
            <w:r>
              <w:rPr>
                <w:rFonts w:ascii="Arial Narrow" w:hAnsi="Arial Narrow"/>
                <w:sz w:val="20"/>
                <w:szCs w:val="20"/>
              </w:rPr>
              <w:t>137/279</w:t>
            </w:r>
          </w:p>
        </w:tc>
        <w:tc>
          <w:tcPr>
            <w:tcW w:w="715" w:type="pct"/>
            <w:gridSpan w:val="2"/>
            <w:shd w:val="clear" w:color="auto" w:fill="auto"/>
            <w:vAlign w:val="center"/>
          </w:tcPr>
          <w:p w:rsidR="00172AD3" w:rsidRPr="00417F19" w:rsidRDefault="00172AD3" w:rsidP="00D5705B">
            <w:pPr>
              <w:keepNext/>
              <w:keepLines/>
              <w:jc w:val="center"/>
              <w:rPr>
                <w:rFonts w:ascii="Arial Narrow" w:hAnsi="Arial Narrow"/>
                <w:sz w:val="20"/>
                <w:szCs w:val="20"/>
              </w:rPr>
            </w:pPr>
            <w:r w:rsidRPr="00A20282">
              <w:rPr>
                <w:rFonts w:ascii="Arial Narrow" w:hAnsi="Arial Narrow"/>
                <w:sz w:val="20"/>
                <w:szCs w:val="20"/>
              </w:rPr>
              <w:t>62.3</w:t>
            </w:r>
          </w:p>
        </w:tc>
        <w:tc>
          <w:tcPr>
            <w:tcW w:w="708" w:type="pct"/>
            <w:gridSpan w:val="2"/>
            <w:shd w:val="clear" w:color="auto" w:fill="auto"/>
            <w:vAlign w:val="center"/>
          </w:tcPr>
          <w:p w:rsidR="00172AD3" w:rsidRPr="00417F19" w:rsidRDefault="00172AD3" w:rsidP="00D5705B">
            <w:pPr>
              <w:keepNext/>
              <w:keepLines/>
              <w:jc w:val="center"/>
              <w:rPr>
                <w:rFonts w:ascii="Arial Narrow" w:hAnsi="Arial Narrow"/>
                <w:sz w:val="20"/>
                <w:szCs w:val="20"/>
              </w:rPr>
            </w:pPr>
            <w:r w:rsidRPr="00A20282">
              <w:rPr>
                <w:rFonts w:ascii="Arial Narrow" w:hAnsi="Arial Narrow"/>
                <w:sz w:val="20"/>
                <w:szCs w:val="20"/>
              </w:rPr>
              <w:t>49.1</w:t>
            </w:r>
          </w:p>
        </w:tc>
        <w:tc>
          <w:tcPr>
            <w:tcW w:w="1153" w:type="pct"/>
            <w:shd w:val="clear" w:color="auto" w:fill="auto"/>
            <w:vAlign w:val="center"/>
          </w:tcPr>
          <w:p w:rsidR="00172AD3" w:rsidRPr="00417F19" w:rsidRDefault="00172AD3" w:rsidP="00D5705B">
            <w:pPr>
              <w:keepNext/>
              <w:keepLines/>
              <w:jc w:val="center"/>
              <w:rPr>
                <w:rFonts w:ascii="Arial Narrow" w:hAnsi="Arial Narrow"/>
                <w:sz w:val="20"/>
                <w:szCs w:val="20"/>
              </w:rPr>
            </w:pPr>
            <w:r w:rsidRPr="002955DF">
              <w:rPr>
                <w:rFonts w:ascii="Arial Narrow" w:hAnsi="Arial Narrow"/>
                <w:b/>
                <w:sz w:val="20"/>
                <w:szCs w:val="20"/>
              </w:rPr>
              <w:t>0.13 (0.06, 0.20), p=0.0003</w:t>
            </w:r>
          </w:p>
        </w:tc>
      </w:tr>
      <w:tr w:rsidR="00172AD3" w:rsidRPr="00417F19" w:rsidTr="009B4321">
        <w:trPr>
          <w:tblHeader/>
        </w:trPr>
        <w:tc>
          <w:tcPr>
            <w:tcW w:w="1162" w:type="pct"/>
            <w:shd w:val="clear" w:color="auto" w:fill="auto"/>
            <w:vAlign w:val="center"/>
          </w:tcPr>
          <w:p w:rsidR="00172AD3" w:rsidRPr="00417F19" w:rsidRDefault="00172AD3" w:rsidP="00D5705B">
            <w:pPr>
              <w:keepNext/>
              <w:keepLines/>
              <w:ind w:left="170"/>
              <w:rPr>
                <w:rFonts w:ascii="Arial Narrow" w:hAnsi="Arial Narrow"/>
                <w:sz w:val="20"/>
                <w:szCs w:val="20"/>
              </w:rPr>
            </w:pPr>
            <w:r>
              <w:rPr>
                <w:rFonts w:ascii="Arial Narrow" w:hAnsi="Arial Narrow"/>
                <w:sz w:val="20"/>
                <w:szCs w:val="20"/>
              </w:rPr>
              <w:t>PGA</w:t>
            </w:r>
          </w:p>
        </w:tc>
        <w:tc>
          <w:tcPr>
            <w:tcW w:w="630" w:type="pct"/>
            <w:shd w:val="clear" w:color="auto" w:fill="auto"/>
            <w:vAlign w:val="center"/>
          </w:tcPr>
          <w:p w:rsidR="00172AD3" w:rsidRPr="00417F19" w:rsidRDefault="00172AD3" w:rsidP="00D5705B">
            <w:pPr>
              <w:keepNext/>
              <w:keepLines/>
              <w:jc w:val="center"/>
              <w:rPr>
                <w:rFonts w:ascii="Arial Narrow" w:hAnsi="Arial Narrow"/>
                <w:sz w:val="20"/>
                <w:szCs w:val="20"/>
              </w:rPr>
            </w:pPr>
            <w:r>
              <w:rPr>
                <w:rFonts w:ascii="Arial Narrow" w:hAnsi="Arial Narrow"/>
                <w:sz w:val="20"/>
                <w:szCs w:val="20"/>
              </w:rPr>
              <w:t>450/554</w:t>
            </w:r>
          </w:p>
        </w:tc>
        <w:tc>
          <w:tcPr>
            <w:tcW w:w="632" w:type="pct"/>
            <w:shd w:val="clear" w:color="auto" w:fill="auto"/>
            <w:vAlign w:val="center"/>
          </w:tcPr>
          <w:p w:rsidR="00172AD3" w:rsidRPr="00417F19" w:rsidRDefault="00172AD3" w:rsidP="00D5705B">
            <w:pPr>
              <w:keepNext/>
              <w:keepLines/>
              <w:jc w:val="center"/>
              <w:rPr>
                <w:rFonts w:ascii="Arial Narrow" w:hAnsi="Arial Narrow"/>
                <w:sz w:val="20"/>
                <w:szCs w:val="20"/>
              </w:rPr>
            </w:pPr>
            <w:r>
              <w:rPr>
                <w:rFonts w:ascii="Arial Narrow" w:hAnsi="Arial Narrow"/>
                <w:sz w:val="20"/>
                <w:szCs w:val="20"/>
              </w:rPr>
              <w:t>203/279</w:t>
            </w:r>
          </w:p>
        </w:tc>
        <w:tc>
          <w:tcPr>
            <w:tcW w:w="715" w:type="pct"/>
            <w:gridSpan w:val="2"/>
            <w:shd w:val="clear" w:color="auto" w:fill="auto"/>
            <w:vAlign w:val="center"/>
          </w:tcPr>
          <w:p w:rsidR="00172AD3" w:rsidRPr="00417F19" w:rsidRDefault="00172AD3" w:rsidP="00D5705B">
            <w:pPr>
              <w:keepNext/>
              <w:keepLines/>
              <w:jc w:val="center"/>
              <w:rPr>
                <w:rFonts w:ascii="Arial Narrow" w:hAnsi="Arial Narrow"/>
                <w:sz w:val="20"/>
                <w:szCs w:val="20"/>
              </w:rPr>
            </w:pPr>
            <w:r w:rsidRPr="00A20282">
              <w:rPr>
                <w:rFonts w:ascii="Arial Narrow" w:hAnsi="Arial Narrow"/>
                <w:sz w:val="20"/>
                <w:szCs w:val="20"/>
              </w:rPr>
              <w:t>81.2</w:t>
            </w:r>
          </w:p>
        </w:tc>
        <w:tc>
          <w:tcPr>
            <w:tcW w:w="708" w:type="pct"/>
            <w:gridSpan w:val="2"/>
            <w:shd w:val="clear" w:color="auto" w:fill="auto"/>
            <w:vAlign w:val="center"/>
          </w:tcPr>
          <w:p w:rsidR="00172AD3" w:rsidRPr="00417F19" w:rsidRDefault="00172AD3" w:rsidP="00D5705B">
            <w:pPr>
              <w:keepNext/>
              <w:keepLines/>
              <w:jc w:val="center"/>
              <w:rPr>
                <w:rFonts w:ascii="Arial Narrow" w:hAnsi="Arial Narrow"/>
                <w:sz w:val="20"/>
                <w:szCs w:val="20"/>
              </w:rPr>
            </w:pPr>
            <w:r w:rsidRPr="00A20282">
              <w:rPr>
                <w:rFonts w:ascii="Arial Narrow" w:hAnsi="Arial Narrow"/>
                <w:sz w:val="20"/>
                <w:szCs w:val="20"/>
              </w:rPr>
              <w:t>72.8</w:t>
            </w:r>
          </w:p>
        </w:tc>
        <w:tc>
          <w:tcPr>
            <w:tcW w:w="1153" w:type="pct"/>
            <w:shd w:val="clear" w:color="auto" w:fill="auto"/>
            <w:vAlign w:val="center"/>
          </w:tcPr>
          <w:p w:rsidR="00172AD3" w:rsidRPr="00417F19" w:rsidRDefault="00172AD3" w:rsidP="00D5705B">
            <w:pPr>
              <w:keepNext/>
              <w:keepLines/>
              <w:jc w:val="center"/>
              <w:rPr>
                <w:rFonts w:ascii="Arial Narrow" w:hAnsi="Arial Narrow"/>
                <w:sz w:val="20"/>
                <w:szCs w:val="20"/>
              </w:rPr>
            </w:pPr>
            <w:r w:rsidRPr="001F798F">
              <w:rPr>
                <w:rFonts w:ascii="Arial Narrow" w:hAnsi="Arial Narrow"/>
                <w:b/>
                <w:sz w:val="20"/>
                <w:szCs w:val="20"/>
              </w:rPr>
              <w:t>0.08 (0.02, 0.15), p=0.0070</w:t>
            </w:r>
          </w:p>
        </w:tc>
      </w:tr>
      <w:tr w:rsidR="00172AD3" w:rsidRPr="00417F19" w:rsidTr="009B4321">
        <w:trPr>
          <w:tblHeader/>
        </w:trPr>
        <w:tc>
          <w:tcPr>
            <w:tcW w:w="1162" w:type="pct"/>
            <w:shd w:val="clear" w:color="auto" w:fill="auto"/>
            <w:vAlign w:val="center"/>
          </w:tcPr>
          <w:p w:rsidR="00172AD3" w:rsidRPr="00417F19" w:rsidRDefault="00172AD3" w:rsidP="00D5705B">
            <w:pPr>
              <w:keepNext/>
              <w:keepLines/>
              <w:ind w:left="170"/>
              <w:rPr>
                <w:rFonts w:ascii="Arial Narrow" w:hAnsi="Arial Narrow"/>
                <w:sz w:val="20"/>
                <w:szCs w:val="20"/>
              </w:rPr>
            </w:pPr>
            <w:r>
              <w:rPr>
                <w:rFonts w:ascii="Arial Narrow" w:hAnsi="Arial Narrow"/>
                <w:sz w:val="20"/>
                <w:szCs w:val="20"/>
              </w:rPr>
              <w:t>BILAG</w:t>
            </w:r>
          </w:p>
        </w:tc>
        <w:tc>
          <w:tcPr>
            <w:tcW w:w="630" w:type="pct"/>
            <w:shd w:val="clear" w:color="auto" w:fill="auto"/>
            <w:vAlign w:val="center"/>
          </w:tcPr>
          <w:p w:rsidR="00172AD3" w:rsidRPr="00417F19" w:rsidRDefault="00172AD3" w:rsidP="00D5705B">
            <w:pPr>
              <w:keepNext/>
              <w:keepLines/>
              <w:jc w:val="center"/>
              <w:rPr>
                <w:rFonts w:ascii="Arial Narrow" w:hAnsi="Arial Narrow"/>
                <w:sz w:val="20"/>
                <w:szCs w:val="20"/>
              </w:rPr>
            </w:pPr>
            <w:r>
              <w:rPr>
                <w:rFonts w:ascii="Arial Narrow" w:hAnsi="Arial Narrow"/>
                <w:sz w:val="20"/>
                <w:szCs w:val="20"/>
              </w:rPr>
              <w:t>448/554</w:t>
            </w:r>
          </w:p>
        </w:tc>
        <w:tc>
          <w:tcPr>
            <w:tcW w:w="632" w:type="pct"/>
            <w:shd w:val="clear" w:color="auto" w:fill="auto"/>
            <w:vAlign w:val="center"/>
          </w:tcPr>
          <w:p w:rsidR="00172AD3" w:rsidRPr="00417F19" w:rsidRDefault="00172AD3" w:rsidP="00D5705B">
            <w:pPr>
              <w:keepNext/>
              <w:keepLines/>
              <w:jc w:val="center"/>
              <w:rPr>
                <w:rFonts w:ascii="Arial Narrow" w:hAnsi="Arial Narrow"/>
                <w:sz w:val="20"/>
                <w:szCs w:val="20"/>
              </w:rPr>
            </w:pPr>
            <w:r>
              <w:rPr>
                <w:rFonts w:ascii="Arial Narrow" w:hAnsi="Arial Narrow"/>
                <w:sz w:val="20"/>
                <w:szCs w:val="20"/>
              </w:rPr>
              <w:t>207/279</w:t>
            </w:r>
          </w:p>
        </w:tc>
        <w:tc>
          <w:tcPr>
            <w:tcW w:w="715" w:type="pct"/>
            <w:gridSpan w:val="2"/>
            <w:shd w:val="clear" w:color="auto" w:fill="auto"/>
            <w:vAlign w:val="center"/>
          </w:tcPr>
          <w:p w:rsidR="00172AD3" w:rsidRPr="00417F19" w:rsidRDefault="00172AD3" w:rsidP="00D5705B">
            <w:pPr>
              <w:keepNext/>
              <w:keepLines/>
              <w:jc w:val="center"/>
              <w:rPr>
                <w:rFonts w:ascii="Arial Narrow" w:hAnsi="Arial Narrow"/>
                <w:sz w:val="20"/>
                <w:szCs w:val="20"/>
              </w:rPr>
            </w:pPr>
            <w:r w:rsidRPr="00A20282">
              <w:rPr>
                <w:rFonts w:ascii="Arial Narrow" w:hAnsi="Arial Narrow"/>
                <w:sz w:val="20"/>
                <w:szCs w:val="20"/>
              </w:rPr>
              <w:t>80.9</w:t>
            </w:r>
          </w:p>
        </w:tc>
        <w:tc>
          <w:tcPr>
            <w:tcW w:w="708" w:type="pct"/>
            <w:gridSpan w:val="2"/>
            <w:shd w:val="clear" w:color="auto" w:fill="auto"/>
            <w:vAlign w:val="center"/>
          </w:tcPr>
          <w:p w:rsidR="00172AD3" w:rsidRPr="00417F19" w:rsidRDefault="00172AD3" w:rsidP="00D5705B">
            <w:pPr>
              <w:keepNext/>
              <w:keepLines/>
              <w:jc w:val="center"/>
              <w:rPr>
                <w:rFonts w:ascii="Arial Narrow" w:hAnsi="Arial Narrow"/>
                <w:sz w:val="20"/>
                <w:szCs w:val="20"/>
              </w:rPr>
            </w:pPr>
            <w:r w:rsidRPr="00A20282">
              <w:rPr>
                <w:rFonts w:ascii="Arial Narrow" w:hAnsi="Arial Narrow"/>
                <w:sz w:val="20"/>
                <w:szCs w:val="20"/>
              </w:rPr>
              <w:t>74.2</w:t>
            </w:r>
          </w:p>
        </w:tc>
        <w:tc>
          <w:tcPr>
            <w:tcW w:w="1153" w:type="pct"/>
            <w:shd w:val="clear" w:color="auto" w:fill="auto"/>
            <w:vAlign w:val="center"/>
          </w:tcPr>
          <w:p w:rsidR="00172AD3" w:rsidRPr="00417F19" w:rsidRDefault="00172AD3" w:rsidP="00D5705B">
            <w:pPr>
              <w:keepNext/>
              <w:keepLines/>
              <w:jc w:val="center"/>
              <w:rPr>
                <w:rFonts w:ascii="Arial Narrow" w:hAnsi="Arial Narrow"/>
                <w:sz w:val="20"/>
                <w:szCs w:val="20"/>
              </w:rPr>
            </w:pPr>
            <w:r w:rsidRPr="001F798F">
              <w:rPr>
                <w:rFonts w:ascii="Arial Narrow" w:hAnsi="Arial Narrow"/>
                <w:b/>
                <w:sz w:val="20"/>
                <w:szCs w:val="20"/>
              </w:rPr>
              <w:t xml:space="preserve">0.07 (0.01, 0.13), </w:t>
            </w:r>
            <w:r w:rsidRPr="001F798F">
              <w:rPr>
                <w:rFonts w:ascii="Arial Narrow" w:hAnsi="Arial Narrow"/>
                <w:b/>
                <w:sz w:val="20"/>
                <w:szCs w:val="20"/>
                <w:lang w:eastAsia="en-AU"/>
              </w:rPr>
              <w:t>p=</w:t>
            </w:r>
            <w:r w:rsidRPr="001F798F">
              <w:rPr>
                <w:rFonts w:ascii="Arial Narrow" w:hAnsi="Arial Narrow"/>
                <w:b/>
                <w:sz w:val="20"/>
                <w:szCs w:val="20"/>
              </w:rPr>
              <w:t>0.0318</w:t>
            </w:r>
          </w:p>
        </w:tc>
      </w:tr>
      <w:tr w:rsidR="00172AD3" w:rsidRPr="00417F19" w:rsidTr="009B4321">
        <w:trPr>
          <w:tblHeader/>
        </w:trPr>
        <w:tc>
          <w:tcPr>
            <w:tcW w:w="5000" w:type="pct"/>
            <w:gridSpan w:val="8"/>
            <w:tcBorders>
              <w:top w:val="double" w:sz="4" w:space="0" w:color="auto"/>
            </w:tcBorders>
            <w:shd w:val="clear" w:color="auto" w:fill="auto"/>
            <w:vAlign w:val="center"/>
          </w:tcPr>
          <w:p w:rsidR="00172AD3" w:rsidRPr="00417F19" w:rsidRDefault="00172AD3" w:rsidP="00D5705B">
            <w:pPr>
              <w:keepNext/>
              <w:keepLines/>
              <w:rPr>
                <w:rFonts w:ascii="Arial Narrow" w:hAnsi="Arial Narrow"/>
                <w:b/>
                <w:sz w:val="20"/>
                <w:szCs w:val="20"/>
                <w:u w:val="single"/>
              </w:rPr>
            </w:pPr>
            <w:r w:rsidRPr="00417F19">
              <w:rPr>
                <w:rFonts w:ascii="Arial Narrow" w:hAnsi="Arial Narrow"/>
                <w:b/>
                <w:sz w:val="20"/>
                <w:szCs w:val="20"/>
                <w:u w:val="single"/>
              </w:rPr>
              <w:t>Harms</w:t>
            </w:r>
          </w:p>
        </w:tc>
      </w:tr>
      <w:tr w:rsidR="00172AD3" w:rsidRPr="00417F19" w:rsidTr="009B4321">
        <w:trPr>
          <w:trHeight w:val="70"/>
          <w:tblHeader/>
        </w:trPr>
        <w:tc>
          <w:tcPr>
            <w:tcW w:w="1162" w:type="pct"/>
            <w:vMerge w:val="restart"/>
            <w:shd w:val="clear" w:color="auto" w:fill="auto"/>
            <w:vAlign w:val="center"/>
          </w:tcPr>
          <w:p w:rsidR="00172AD3" w:rsidRPr="00417F19" w:rsidRDefault="00172AD3" w:rsidP="00D5705B">
            <w:pPr>
              <w:keepNext/>
              <w:keepLines/>
              <w:rPr>
                <w:rFonts w:ascii="Arial Narrow" w:hAnsi="Arial Narrow"/>
                <w:sz w:val="20"/>
                <w:szCs w:val="20"/>
              </w:rPr>
            </w:pPr>
          </w:p>
        </w:tc>
        <w:tc>
          <w:tcPr>
            <w:tcW w:w="630" w:type="pct"/>
            <w:vMerge w:val="restart"/>
            <w:shd w:val="clear" w:color="auto" w:fill="auto"/>
            <w:vAlign w:val="center"/>
          </w:tcPr>
          <w:p w:rsidR="00172AD3" w:rsidRPr="00417F19" w:rsidRDefault="00172AD3" w:rsidP="00D5705B">
            <w:pPr>
              <w:keepNext/>
              <w:keepLines/>
              <w:jc w:val="center"/>
              <w:rPr>
                <w:rFonts w:ascii="Arial Narrow" w:hAnsi="Arial Narrow"/>
                <w:b/>
                <w:sz w:val="20"/>
                <w:szCs w:val="20"/>
                <w:vertAlign w:val="superscript"/>
              </w:rPr>
            </w:pPr>
            <w:r w:rsidRPr="00417F19">
              <w:rPr>
                <w:rFonts w:ascii="Arial Narrow" w:hAnsi="Arial Narrow"/>
                <w:b/>
                <w:sz w:val="20"/>
                <w:szCs w:val="20"/>
              </w:rPr>
              <w:t>Belimumab</w:t>
            </w:r>
          </w:p>
        </w:tc>
        <w:tc>
          <w:tcPr>
            <w:tcW w:w="632" w:type="pct"/>
            <w:vMerge w:val="restart"/>
            <w:shd w:val="clear" w:color="auto" w:fill="auto"/>
            <w:vAlign w:val="center"/>
          </w:tcPr>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Placebo</w:t>
            </w:r>
          </w:p>
        </w:tc>
        <w:tc>
          <w:tcPr>
            <w:tcW w:w="1413" w:type="pct"/>
            <w:gridSpan w:val="3"/>
            <w:shd w:val="clear" w:color="auto" w:fill="auto"/>
            <w:vAlign w:val="center"/>
          </w:tcPr>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Events/100 patients</w:t>
            </w:r>
          </w:p>
        </w:tc>
        <w:tc>
          <w:tcPr>
            <w:tcW w:w="1163" w:type="pct"/>
            <w:gridSpan w:val="2"/>
            <w:vMerge w:val="restart"/>
            <w:shd w:val="clear" w:color="auto" w:fill="auto"/>
            <w:vAlign w:val="center"/>
          </w:tcPr>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RD</w:t>
            </w:r>
          </w:p>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(95% CI)</w:t>
            </w:r>
          </w:p>
        </w:tc>
      </w:tr>
      <w:tr w:rsidR="00172AD3" w:rsidRPr="00417F19" w:rsidTr="009B4321">
        <w:trPr>
          <w:trHeight w:val="390"/>
          <w:tblHeader/>
        </w:trPr>
        <w:tc>
          <w:tcPr>
            <w:tcW w:w="1162" w:type="pct"/>
            <w:vMerge/>
            <w:shd w:val="clear" w:color="auto" w:fill="auto"/>
            <w:vAlign w:val="center"/>
          </w:tcPr>
          <w:p w:rsidR="00172AD3" w:rsidRPr="00417F19" w:rsidRDefault="00172AD3" w:rsidP="00D5705B">
            <w:pPr>
              <w:keepNext/>
              <w:keepLines/>
              <w:rPr>
                <w:rFonts w:ascii="Arial Narrow" w:hAnsi="Arial Narrow"/>
                <w:sz w:val="20"/>
                <w:szCs w:val="20"/>
              </w:rPr>
            </w:pPr>
          </w:p>
        </w:tc>
        <w:tc>
          <w:tcPr>
            <w:tcW w:w="630" w:type="pct"/>
            <w:vMerge/>
            <w:shd w:val="clear" w:color="auto" w:fill="auto"/>
            <w:vAlign w:val="center"/>
          </w:tcPr>
          <w:p w:rsidR="00172AD3" w:rsidRPr="00417F19" w:rsidRDefault="00172AD3" w:rsidP="00D5705B">
            <w:pPr>
              <w:keepNext/>
              <w:keepLines/>
              <w:jc w:val="center"/>
              <w:rPr>
                <w:rFonts w:ascii="Arial Narrow" w:hAnsi="Arial Narrow"/>
                <w:sz w:val="20"/>
                <w:szCs w:val="20"/>
              </w:rPr>
            </w:pPr>
          </w:p>
        </w:tc>
        <w:tc>
          <w:tcPr>
            <w:tcW w:w="632" w:type="pct"/>
            <w:vMerge/>
            <w:shd w:val="clear" w:color="auto" w:fill="auto"/>
            <w:vAlign w:val="center"/>
          </w:tcPr>
          <w:p w:rsidR="00172AD3" w:rsidRPr="00417F19" w:rsidRDefault="00172AD3" w:rsidP="00D5705B">
            <w:pPr>
              <w:keepNext/>
              <w:keepLines/>
              <w:jc w:val="center"/>
              <w:rPr>
                <w:rFonts w:ascii="Arial Narrow" w:hAnsi="Arial Narrow"/>
                <w:sz w:val="20"/>
                <w:szCs w:val="20"/>
              </w:rPr>
            </w:pPr>
          </w:p>
        </w:tc>
        <w:tc>
          <w:tcPr>
            <w:tcW w:w="705" w:type="pct"/>
            <w:shd w:val="clear" w:color="auto" w:fill="auto"/>
            <w:vAlign w:val="center"/>
          </w:tcPr>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Belimumab</w:t>
            </w:r>
          </w:p>
        </w:tc>
        <w:tc>
          <w:tcPr>
            <w:tcW w:w="708" w:type="pct"/>
            <w:gridSpan w:val="2"/>
            <w:shd w:val="clear" w:color="auto" w:fill="auto"/>
            <w:vAlign w:val="center"/>
          </w:tcPr>
          <w:p w:rsidR="00172AD3" w:rsidRPr="00417F19" w:rsidRDefault="00172AD3" w:rsidP="00D5705B">
            <w:pPr>
              <w:keepNext/>
              <w:keepLines/>
              <w:jc w:val="center"/>
              <w:rPr>
                <w:rFonts w:ascii="Arial Narrow" w:hAnsi="Arial Narrow"/>
                <w:b/>
                <w:sz w:val="20"/>
                <w:szCs w:val="20"/>
              </w:rPr>
            </w:pPr>
            <w:r w:rsidRPr="00417F19">
              <w:rPr>
                <w:rFonts w:ascii="Arial Narrow" w:hAnsi="Arial Narrow"/>
                <w:b/>
                <w:sz w:val="20"/>
                <w:szCs w:val="20"/>
              </w:rPr>
              <w:t>Placebo</w:t>
            </w:r>
          </w:p>
        </w:tc>
        <w:tc>
          <w:tcPr>
            <w:tcW w:w="1163" w:type="pct"/>
            <w:gridSpan w:val="2"/>
            <w:vMerge/>
            <w:shd w:val="clear" w:color="auto" w:fill="auto"/>
            <w:vAlign w:val="center"/>
          </w:tcPr>
          <w:p w:rsidR="00172AD3" w:rsidRPr="00417F19" w:rsidRDefault="00172AD3" w:rsidP="00D5705B">
            <w:pPr>
              <w:keepNext/>
              <w:keepLines/>
              <w:rPr>
                <w:rFonts w:ascii="Arial Narrow" w:hAnsi="Arial Narrow"/>
                <w:sz w:val="20"/>
                <w:szCs w:val="20"/>
              </w:rPr>
            </w:pPr>
          </w:p>
        </w:tc>
      </w:tr>
      <w:tr w:rsidR="00172AD3" w:rsidRPr="00417F19" w:rsidTr="009B4321">
        <w:trPr>
          <w:tblHeader/>
        </w:trPr>
        <w:tc>
          <w:tcPr>
            <w:tcW w:w="1162" w:type="pct"/>
            <w:shd w:val="clear" w:color="auto" w:fill="auto"/>
            <w:vAlign w:val="center"/>
          </w:tcPr>
          <w:p w:rsidR="00172AD3" w:rsidRPr="003E2C05" w:rsidRDefault="003E2C05" w:rsidP="00D5705B">
            <w:pPr>
              <w:keepNext/>
              <w:keepLines/>
              <w:rPr>
                <w:rFonts w:ascii="Arial Narrow" w:hAnsi="Arial Narrow"/>
                <w:bCs/>
                <w:sz w:val="20"/>
                <w:szCs w:val="20"/>
              </w:rPr>
            </w:pPr>
            <w:r w:rsidRPr="003E2C05">
              <w:rPr>
                <w:rFonts w:ascii="Arial Narrow" w:hAnsi="Arial Narrow"/>
                <w:bCs/>
                <w:sz w:val="20"/>
                <w:szCs w:val="20"/>
              </w:rPr>
              <w:t>Local injection site reactions</w:t>
            </w:r>
          </w:p>
        </w:tc>
        <w:tc>
          <w:tcPr>
            <w:tcW w:w="630" w:type="pct"/>
            <w:shd w:val="clear" w:color="auto" w:fill="auto"/>
            <w:vAlign w:val="center"/>
          </w:tcPr>
          <w:p w:rsidR="00172AD3" w:rsidRPr="002315BC" w:rsidRDefault="00172AD3" w:rsidP="00D5705B">
            <w:pPr>
              <w:keepNext/>
              <w:keepLines/>
              <w:jc w:val="center"/>
              <w:rPr>
                <w:rFonts w:ascii="Arial Narrow" w:hAnsi="Arial Narrow"/>
                <w:sz w:val="20"/>
                <w:szCs w:val="20"/>
              </w:rPr>
            </w:pPr>
            <w:r w:rsidRPr="002315BC">
              <w:rPr>
                <w:rFonts w:ascii="Arial Narrow" w:hAnsi="Arial Narrow"/>
                <w:sz w:val="20"/>
                <w:szCs w:val="20"/>
              </w:rPr>
              <w:t>34/556</w:t>
            </w:r>
          </w:p>
        </w:tc>
        <w:tc>
          <w:tcPr>
            <w:tcW w:w="632" w:type="pct"/>
            <w:shd w:val="clear" w:color="auto" w:fill="auto"/>
            <w:vAlign w:val="center"/>
          </w:tcPr>
          <w:p w:rsidR="00172AD3" w:rsidRPr="002315BC" w:rsidRDefault="00172AD3" w:rsidP="00D5705B">
            <w:pPr>
              <w:keepNext/>
              <w:keepLines/>
              <w:jc w:val="center"/>
              <w:rPr>
                <w:rFonts w:ascii="Arial Narrow" w:hAnsi="Arial Narrow"/>
                <w:sz w:val="20"/>
                <w:szCs w:val="20"/>
              </w:rPr>
            </w:pPr>
            <w:r w:rsidRPr="002315BC">
              <w:rPr>
                <w:rFonts w:ascii="Arial Narrow" w:hAnsi="Arial Narrow"/>
                <w:sz w:val="20"/>
                <w:szCs w:val="20"/>
              </w:rPr>
              <w:t>7/280</w:t>
            </w:r>
          </w:p>
        </w:tc>
        <w:tc>
          <w:tcPr>
            <w:tcW w:w="705" w:type="pct"/>
            <w:shd w:val="clear" w:color="auto" w:fill="auto"/>
            <w:vAlign w:val="center"/>
          </w:tcPr>
          <w:p w:rsidR="00172AD3" w:rsidRPr="002315BC" w:rsidRDefault="00172AD3" w:rsidP="00D5705B">
            <w:pPr>
              <w:keepNext/>
              <w:keepLines/>
              <w:jc w:val="center"/>
              <w:rPr>
                <w:rFonts w:ascii="Arial Narrow" w:hAnsi="Arial Narrow"/>
                <w:sz w:val="20"/>
                <w:szCs w:val="20"/>
              </w:rPr>
            </w:pPr>
            <w:r w:rsidRPr="002315BC">
              <w:rPr>
                <w:rFonts w:ascii="Arial Narrow" w:hAnsi="Arial Narrow"/>
                <w:sz w:val="20"/>
                <w:szCs w:val="20"/>
              </w:rPr>
              <w:t>6.1</w:t>
            </w:r>
          </w:p>
        </w:tc>
        <w:tc>
          <w:tcPr>
            <w:tcW w:w="708" w:type="pct"/>
            <w:gridSpan w:val="2"/>
            <w:shd w:val="clear" w:color="auto" w:fill="auto"/>
            <w:vAlign w:val="center"/>
          </w:tcPr>
          <w:p w:rsidR="00172AD3" w:rsidRPr="002315BC" w:rsidRDefault="00172AD3" w:rsidP="00D5705B">
            <w:pPr>
              <w:keepNext/>
              <w:keepLines/>
              <w:jc w:val="center"/>
              <w:rPr>
                <w:rFonts w:ascii="Arial Narrow" w:hAnsi="Arial Narrow"/>
                <w:sz w:val="20"/>
                <w:szCs w:val="20"/>
              </w:rPr>
            </w:pPr>
            <w:r w:rsidRPr="002315BC">
              <w:rPr>
                <w:rFonts w:ascii="Arial Narrow" w:hAnsi="Arial Narrow"/>
                <w:sz w:val="20"/>
                <w:szCs w:val="20"/>
              </w:rPr>
              <w:t>2.5</w:t>
            </w:r>
          </w:p>
        </w:tc>
        <w:tc>
          <w:tcPr>
            <w:tcW w:w="1163" w:type="pct"/>
            <w:gridSpan w:val="2"/>
            <w:shd w:val="clear" w:color="auto" w:fill="auto"/>
            <w:vAlign w:val="center"/>
          </w:tcPr>
          <w:p w:rsidR="00172AD3" w:rsidRPr="002315BC" w:rsidRDefault="00172AD3" w:rsidP="00D5705B">
            <w:pPr>
              <w:keepNext/>
              <w:keepLines/>
              <w:jc w:val="center"/>
              <w:rPr>
                <w:rFonts w:ascii="Arial Narrow" w:hAnsi="Arial Narrow"/>
                <w:sz w:val="20"/>
                <w:szCs w:val="20"/>
              </w:rPr>
            </w:pPr>
            <w:r w:rsidRPr="002315BC">
              <w:rPr>
                <w:rFonts w:ascii="Arial Narrow" w:hAnsi="Arial Narrow"/>
                <w:b/>
                <w:bCs/>
                <w:iCs/>
                <w:sz w:val="20"/>
                <w:szCs w:val="20"/>
              </w:rPr>
              <w:t>0.04 (0.01, 0.06)</w:t>
            </w:r>
          </w:p>
        </w:tc>
      </w:tr>
      <w:tr w:rsidR="00172AD3" w:rsidRPr="00417F19" w:rsidTr="009B4321">
        <w:trPr>
          <w:tblHeader/>
        </w:trPr>
        <w:tc>
          <w:tcPr>
            <w:tcW w:w="1162" w:type="pct"/>
            <w:shd w:val="clear" w:color="auto" w:fill="auto"/>
            <w:vAlign w:val="center"/>
          </w:tcPr>
          <w:p w:rsidR="00172AD3" w:rsidRPr="003E2C05" w:rsidRDefault="003E2C05" w:rsidP="00D5705B">
            <w:pPr>
              <w:keepNext/>
              <w:keepLines/>
              <w:rPr>
                <w:rFonts w:ascii="Arial Narrow" w:hAnsi="Arial Narrow"/>
                <w:bCs/>
                <w:sz w:val="20"/>
                <w:szCs w:val="20"/>
              </w:rPr>
            </w:pPr>
            <w:r w:rsidRPr="003E2C05">
              <w:rPr>
                <w:rFonts w:ascii="Arial Narrow" w:hAnsi="Arial Narrow"/>
                <w:bCs/>
                <w:sz w:val="20"/>
                <w:szCs w:val="20"/>
              </w:rPr>
              <w:t>Injection site pain</w:t>
            </w:r>
          </w:p>
        </w:tc>
        <w:tc>
          <w:tcPr>
            <w:tcW w:w="630" w:type="pct"/>
            <w:shd w:val="clear" w:color="auto" w:fill="auto"/>
            <w:vAlign w:val="center"/>
          </w:tcPr>
          <w:p w:rsidR="00172AD3" w:rsidRPr="002315BC" w:rsidRDefault="00172AD3" w:rsidP="00D5705B">
            <w:pPr>
              <w:keepNext/>
              <w:keepLines/>
              <w:jc w:val="center"/>
              <w:rPr>
                <w:rFonts w:ascii="Arial Narrow" w:hAnsi="Arial Narrow"/>
                <w:sz w:val="20"/>
                <w:szCs w:val="20"/>
              </w:rPr>
            </w:pPr>
            <w:r w:rsidRPr="002315BC">
              <w:rPr>
                <w:rFonts w:ascii="Arial Narrow" w:hAnsi="Arial Narrow"/>
                <w:iCs/>
                <w:sz w:val="20"/>
                <w:szCs w:val="20"/>
              </w:rPr>
              <w:t>10/556</w:t>
            </w:r>
          </w:p>
        </w:tc>
        <w:tc>
          <w:tcPr>
            <w:tcW w:w="632" w:type="pct"/>
            <w:shd w:val="clear" w:color="auto" w:fill="auto"/>
            <w:vAlign w:val="center"/>
          </w:tcPr>
          <w:p w:rsidR="00172AD3" w:rsidRPr="002315BC" w:rsidRDefault="00172AD3" w:rsidP="00D5705B">
            <w:pPr>
              <w:keepNext/>
              <w:keepLines/>
              <w:jc w:val="center"/>
              <w:rPr>
                <w:rFonts w:ascii="Arial Narrow" w:hAnsi="Arial Narrow"/>
                <w:sz w:val="20"/>
                <w:szCs w:val="20"/>
              </w:rPr>
            </w:pPr>
            <w:r w:rsidRPr="002315BC">
              <w:rPr>
                <w:rFonts w:ascii="Arial Narrow" w:hAnsi="Arial Narrow"/>
                <w:iCs/>
                <w:sz w:val="20"/>
                <w:szCs w:val="20"/>
              </w:rPr>
              <w:t>1/280</w:t>
            </w:r>
          </w:p>
        </w:tc>
        <w:tc>
          <w:tcPr>
            <w:tcW w:w="705" w:type="pct"/>
            <w:shd w:val="clear" w:color="auto" w:fill="auto"/>
            <w:vAlign w:val="center"/>
          </w:tcPr>
          <w:p w:rsidR="00172AD3" w:rsidRPr="002315BC" w:rsidRDefault="00172AD3" w:rsidP="00D5705B">
            <w:pPr>
              <w:keepNext/>
              <w:keepLines/>
              <w:jc w:val="center"/>
              <w:rPr>
                <w:rFonts w:ascii="Arial Narrow" w:hAnsi="Arial Narrow"/>
                <w:sz w:val="20"/>
                <w:szCs w:val="20"/>
              </w:rPr>
            </w:pPr>
            <w:r w:rsidRPr="002315BC">
              <w:rPr>
                <w:rFonts w:ascii="Arial Narrow" w:hAnsi="Arial Narrow"/>
                <w:iCs/>
                <w:sz w:val="20"/>
                <w:szCs w:val="20"/>
              </w:rPr>
              <w:t>1.8</w:t>
            </w:r>
          </w:p>
        </w:tc>
        <w:tc>
          <w:tcPr>
            <w:tcW w:w="708" w:type="pct"/>
            <w:gridSpan w:val="2"/>
            <w:shd w:val="clear" w:color="auto" w:fill="auto"/>
            <w:vAlign w:val="center"/>
          </w:tcPr>
          <w:p w:rsidR="00172AD3" w:rsidRPr="002315BC" w:rsidRDefault="00172AD3" w:rsidP="00D5705B">
            <w:pPr>
              <w:keepNext/>
              <w:keepLines/>
              <w:jc w:val="center"/>
              <w:rPr>
                <w:rFonts w:ascii="Arial Narrow" w:hAnsi="Arial Narrow"/>
                <w:sz w:val="20"/>
                <w:szCs w:val="20"/>
              </w:rPr>
            </w:pPr>
            <w:r w:rsidRPr="002315BC">
              <w:rPr>
                <w:rFonts w:ascii="Arial Narrow" w:hAnsi="Arial Narrow"/>
                <w:iCs/>
                <w:sz w:val="20"/>
                <w:szCs w:val="20"/>
              </w:rPr>
              <w:t>0.4</w:t>
            </w:r>
          </w:p>
        </w:tc>
        <w:tc>
          <w:tcPr>
            <w:tcW w:w="1163" w:type="pct"/>
            <w:gridSpan w:val="2"/>
            <w:shd w:val="clear" w:color="auto" w:fill="auto"/>
            <w:vAlign w:val="center"/>
          </w:tcPr>
          <w:p w:rsidR="00172AD3" w:rsidRPr="002315BC" w:rsidRDefault="00172AD3" w:rsidP="00D5705B">
            <w:pPr>
              <w:keepNext/>
              <w:keepLines/>
              <w:jc w:val="center"/>
              <w:rPr>
                <w:rFonts w:ascii="Arial Narrow" w:hAnsi="Arial Narrow"/>
                <w:sz w:val="20"/>
                <w:szCs w:val="20"/>
              </w:rPr>
            </w:pPr>
            <w:r w:rsidRPr="002315BC">
              <w:rPr>
                <w:rFonts w:ascii="Arial Narrow" w:hAnsi="Arial Narrow"/>
                <w:iCs/>
                <w:sz w:val="20"/>
                <w:szCs w:val="20"/>
              </w:rPr>
              <w:t>0.01 (0.00, 0.03)</w:t>
            </w:r>
          </w:p>
        </w:tc>
      </w:tr>
    </w:tbl>
    <w:p w:rsidR="00172AD3" w:rsidRPr="00B06403" w:rsidRDefault="00172AD3" w:rsidP="00D5705B">
      <w:pPr>
        <w:keepNext/>
        <w:keepLines/>
        <w:widowControl/>
        <w:autoSpaceDE w:val="0"/>
        <w:autoSpaceDN w:val="0"/>
        <w:adjustRightInd w:val="0"/>
        <w:jc w:val="left"/>
        <w:rPr>
          <w:rFonts w:ascii="Arial Narrow" w:hAnsi="Arial Narrow"/>
          <w:sz w:val="18"/>
          <w:szCs w:val="18"/>
        </w:rPr>
      </w:pPr>
      <w:r>
        <w:rPr>
          <w:rFonts w:ascii="Arial Narrow" w:hAnsi="Arial Narrow"/>
          <w:sz w:val="18"/>
          <w:szCs w:val="18"/>
        </w:rPr>
        <w:t xml:space="preserve">Abbreviations: </w:t>
      </w:r>
      <w:r w:rsidRPr="00B06403">
        <w:rPr>
          <w:rFonts w:ascii="Arial Narrow" w:hAnsi="Arial Narrow"/>
          <w:sz w:val="18"/>
          <w:szCs w:val="18"/>
        </w:rPr>
        <w:t xml:space="preserve">BILAG=British Isles Lupus Assessment Group; </w:t>
      </w:r>
      <w:r w:rsidRPr="00F337FA">
        <w:rPr>
          <w:rFonts w:ascii="Arial Narrow" w:hAnsi="Arial Narrow"/>
          <w:sz w:val="18"/>
          <w:szCs w:val="18"/>
        </w:rPr>
        <w:t>CI=confi</w:t>
      </w:r>
      <w:r>
        <w:rPr>
          <w:rFonts w:ascii="Arial Narrow" w:hAnsi="Arial Narrow"/>
          <w:sz w:val="18"/>
          <w:szCs w:val="18"/>
        </w:rPr>
        <w:t xml:space="preserve">dence interval; </w:t>
      </w:r>
      <w:r w:rsidRPr="00B06403">
        <w:rPr>
          <w:rFonts w:ascii="Arial Narrow" w:hAnsi="Arial Narrow"/>
          <w:sz w:val="18"/>
          <w:szCs w:val="18"/>
        </w:rPr>
        <w:t>PGA=Physician’s Global Assessment; SELENA= Safety of Estrogen in Lupus Erythematosus National Assessment; SLE=Systemic lupus erythematosus; SLEDAI= SLE Disease Activity</w:t>
      </w:r>
      <w:r>
        <w:t xml:space="preserve"> </w:t>
      </w:r>
      <w:r w:rsidRPr="00B06403">
        <w:rPr>
          <w:rFonts w:ascii="Arial Narrow" w:hAnsi="Arial Narrow"/>
          <w:sz w:val="18"/>
          <w:szCs w:val="18"/>
        </w:rPr>
        <w:t xml:space="preserve">Index; </w:t>
      </w:r>
      <w:r>
        <w:rPr>
          <w:rFonts w:ascii="Arial Narrow" w:hAnsi="Arial Narrow"/>
          <w:sz w:val="18"/>
          <w:szCs w:val="18"/>
        </w:rPr>
        <w:t>SRI=SLE responder index.</w:t>
      </w:r>
    </w:p>
    <w:p w:rsidR="00172AD3" w:rsidRPr="00B06403" w:rsidRDefault="00172AD3" w:rsidP="00D5705B">
      <w:pPr>
        <w:keepNext/>
        <w:keepLines/>
        <w:widowControl/>
        <w:autoSpaceDE w:val="0"/>
        <w:autoSpaceDN w:val="0"/>
        <w:adjustRightInd w:val="0"/>
        <w:jc w:val="left"/>
        <w:rPr>
          <w:rFonts w:ascii="Arial Narrow" w:hAnsi="Arial Narrow"/>
          <w:i/>
          <w:iCs/>
          <w:sz w:val="18"/>
          <w:szCs w:val="18"/>
        </w:rPr>
      </w:pPr>
      <w:r w:rsidRPr="00B06403">
        <w:rPr>
          <w:rFonts w:ascii="Arial Narrow" w:hAnsi="Arial Narrow"/>
          <w:i/>
          <w:iCs/>
          <w:sz w:val="18"/>
          <w:szCs w:val="18"/>
        </w:rPr>
        <w:t>Source: compiled during the evaluation.</w:t>
      </w:r>
    </w:p>
    <w:p w:rsidR="00172AD3" w:rsidRPr="00932BB6" w:rsidRDefault="00172AD3" w:rsidP="00172AD3">
      <w:pPr>
        <w:widowControl/>
        <w:rPr>
          <w:rFonts w:cs="Calibri"/>
          <w:snapToGrid/>
          <w:szCs w:val="24"/>
          <w:lang w:eastAsia="en-AU"/>
        </w:rPr>
      </w:pPr>
    </w:p>
    <w:p w:rsidR="00172AD3" w:rsidRPr="00B50DB8" w:rsidRDefault="00172AD3" w:rsidP="00FF5FCE">
      <w:pPr>
        <w:pStyle w:val="ListParagraph"/>
        <w:widowControl/>
        <w:numPr>
          <w:ilvl w:val="1"/>
          <w:numId w:val="1"/>
        </w:numPr>
        <w:spacing w:after="120"/>
      </w:pPr>
      <w:r w:rsidRPr="00CF6EE4">
        <w:t>On the basis of direct</w:t>
      </w:r>
      <w:r>
        <w:t xml:space="preserve"> evidence</w:t>
      </w:r>
      <w:r w:rsidRPr="00CF6EE4">
        <w:t xml:space="preserve"> presented </w:t>
      </w:r>
      <w:r>
        <w:t>in</w:t>
      </w:r>
      <w:r w:rsidRPr="00CF6EE4">
        <w:t xml:space="preserve"> the submission, for every 100 patients treated with </w:t>
      </w:r>
      <w:r>
        <w:t xml:space="preserve">belimumab </w:t>
      </w:r>
      <w:r w:rsidRPr="00CF6EE4">
        <w:t>in comp</w:t>
      </w:r>
      <w:r>
        <w:t xml:space="preserve">arison to placebo (for </w:t>
      </w:r>
      <w:r w:rsidR="00BC4605">
        <w:t>SOC</w:t>
      </w:r>
      <w:r>
        <w:t>)</w:t>
      </w:r>
      <w:r w:rsidR="00BF7A33">
        <w:t xml:space="preserve"> over 52 weeks</w:t>
      </w:r>
      <w:r>
        <w:t>:</w:t>
      </w:r>
    </w:p>
    <w:p w:rsidR="00172AD3" w:rsidRPr="00CF6EE4" w:rsidRDefault="00172AD3" w:rsidP="00FF5FCE">
      <w:pPr>
        <w:pStyle w:val="ListParagraph"/>
        <w:widowControl/>
        <w:numPr>
          <w:ilvl w:val="0"/>
          <w:numId w:val="10"/>
        </w:numPr>
        <w:spacing w:after="120"/>
        <w:ind w:left="1134" w:hanging="357"/>
      </w:pPr>
      <w:r w:rsidRPr="00CF6EE4">
        <w:t xml:space="preserve">Approximately </w:t>
      </w:r>
      <w:r>
        <w:t xml:space="preserve">13 </w:t>
      </w:r>
      <w:r w:rsidRPr="00CF6EE4">
        <w:t xml:space="preserve">additional patients would </w:t>
      </w:r>
      <w:r>
        <w:t>achieve</w:t>
      </w:r>
      <w:r w:rsidRPr="001D0B14">
        <w:t xml:space="preserve"> </w:t>
      </w:r>
      <w:r>
        <w:t xml:space="preserve">response to treatment based on the SLE </w:t>
      </w:r>
      <w:r w:rsidR="00BF7A33">
        <w:t>responder index (SRI)</w:t>
      </w:r>
      <w:r>
        <w:t>;</w:t>
      </w:r>
    </w:p>
    <w:p w:rsidR="00172AD3" w:rsidRDefault="00172AD3" w:rsidP="00FF5FCE">
      <w:pPr>
        <w:pStyle w:val="ListParagraph"/>
        <w:widowControl/>
        <w:numPr>
          <w:ilvl w:val="1"/>
          <w:numId w:val="10"/>
        </w:numPr>
        <w:spacing w:after="120"/>
        <w:ind w:left="1434" w:hanging="357"/>
        <w:contextualSpacing/>
      </w:pPr>
      <w:r>
        <w:t xml:space="preserve">Approximately 13 </w:t>
      </w:r>
      <w:r w:rsidRPr="00CF6EE4">
        <w:t xml:space="preserve">additional patients would </w:t>
      </w:r>
      <w:r>
        <w:t>achieve</w:t>
      </w:r>
      <w:r w:rsidRPr="001D0B14">
        <w:t xml:space="preserve"> </w:t>
      </w:r>
      <w:r>
        <w:t>response to treatment based on the SELENA-SLEDAI component of the SRI;</w:t>
      </w:r>
    </w:p>
    <w:p w:rsidR="00172AD3" w:rsidRDefault="00172AD3" w:rsidP="00FF5FCE">
      <w:pPr>
        <w:pStyle w:val="ListParagraph"/>
        <w:widowControl/>
        <w:numPr>
          <w:ilvl w:val="1"/>
          <w:numId w:val="10"/>
        </w:numPr>
        <w:spacing w:after="120"/>
        <w:ind w:left="1434" w:hanging="357"/>
        <w:contextualSpacing/>
      </w:pPr>
      <w:r>
        <w:t xml:space="preserve">Approximately 8 </w:t>
      </w:r>
      <w:r w:rsidRPr="00CF6EE4">
        <w:t xml:space="preserve">additional patients would </w:t>
      </w:r>
      <w:r>
        <w:t>achieve</w:t>
      </w:r>
      <w:r w:rsidRPr="001D0B14">
        <w:t xml:space="preserve"> </w:t>
      </w:r>
      <w:r>
        <w:t>response to treatment based on the PG</w:t>
      </w:r>
      <w:r w:rsidR="005A279E">
        <w:t>A component of the SRI;</w:t>
      </w:r>
      <w:r w:rsidR="00677322">
        <w:t xml:space="preserve"> and</w:t>
      </w:r>
    </w:p>
    <w:p w:rsidR="00172AD3" w:rsidRDefault="00172AD3" w:rsidP="00FF5FCE">
      <w:pPr>
        <w:pStyle w:val="ListParagraph"/>
        <w:widowControl/>
        <w:numPr>
          <w:ilvl w:val="1"/>
          <w:numId w:val="10"/>
        </w:numPr>
        <w:spacing w:after="120"/>
      </w:pPr>
      <w:r>
        <w:t xml:space="preserve">Approximately 7 </w:t>
      </w:r>
      <w:r w:rsidRPr="00CF6EE4">
        <w:t xml:space="preserve">additional patients would </w:t>
      </w:r>
      <w:r>
        <w:t>achieve</w:t>
      </w:r>
      <w:r w:rsidRPr="001D0B14">
        <w:t xml:space="preserve"> </w:t>
      </w:r>
      <w:r>
        <w:t>response to treatment based on</w:t>
      </w:r>
      <w:r w:rsidR="005A279E">
        <w:t xml:space="preserve"> the BILAG component of the SRI</w:t>
      </w:r>
      <w:r w:rsidR="00677322">
        <w:t>.</w:t>
      </w:r>
    </w:p>
    <w:p w:rsidR="00172AD3" w:rsidRDefault="00172AD3" w:rsidP="00FF5FCE">
      <w:pPr>
        <w:pStyle w:val="ListParagraph"/>
        <w:widowControl/>
        <w:numPr>
          <w:ilvl w:val="0"/>
          <w:numId w:val="10"/>
        </w:numPr>
        <w:spacing w:after="120"/>
        <w:ind w:left="1134" w:hanging="357"/>
      </w:pPr>
      <w:r>
        <w:t xml:space="preserve">Approximately 6 </w:t>
      </w:r>
      <w:r w:rsidRPr="00CF6EE4">
        <w:t xml:space="preserve">additional patients would </w:t>
      </w:r>
      <w:r>
        <w:t>experience local injection site reactions</w:t>
      </w:r>
      <w:r w:rsidR="00492D05">
        <w:t>, of wh</w:t>
      </w:r>
      <w:r w:rsidR="00DA2FD7">
        <w:t>om</w:t>
      </w:r>
      <w:r w:rsidR="00492D05">
        <w:t xml:space="preserve"> 2 patients would</w:t>
      </w:r>
      <w:r w:rsidR="00BF7A33">
        <w:t xml:space="preserve"> experience injection site pain</w:t>
      </w:r>
      <w:r w:rsidR="00492D05">
        <w:t xml:space="preserve">. This is because in the PBS setting, patients on </w:t>
      </w:r>
      <w:r w:rsidR="00BC4605">
        <w:t>SOC</w:t>
      </w:r>
      <w:r w:rsidR="00492D05">
        <w:t xml:space="preserve"> would not receive a placebo injection.</w:t>
      </w:r>
    </w:p>
    <w:p w:rsidR="00172AD3" w:rsidRPr="00ED7E3E" w:rsidRDefault="00172AD3" w:rsidP="00C463DB">
      <w:pPr>
        <w:pStyle w:val="Heading2"/>
        <w:spacing w:after="120"/>
      </w:pPr>
      <w:bookmarkStart w:id="11" w:name="_Toc19712625"/>
      <w:r w:rsidRPr="00ED7E3E">
        <w:t>Clinical claim</w:t>
      </w:r>
      <w:bookmarkEnd w:id="11"/>
    </w:p>
    <w:p w:rsidR="00172AD3" w:rsidRPr="00D16630" w:rsidRDefault="00172AD3" w:rsidP="00FF5FCE">
      <w:pPr>
        <w:pStyle w:val="ListParagraph"/>
        <w:widowControl/>
        <w:numPr>
          <w:ilvl w:val="1"/>
          <w:numId w:val="1"/>
        </w:numPr>
        <w:spacing w:after="120"/>
      </w:pPr>
      <w:r w:rsidRPr="00C26536">
        <w:t xml:space="preserve">The submission described belimumab as superior in terms of effectiveness and non-inferior in terms of safety compared with placebo when used in combination with SOC. The submission acknowledged the important identified risk associated with belimumab treatment for psychiatric events, however argued that based on external expert opinion, there remains uncertainty regarding whether the imbalance in the </w:t>
      </w:r>
      <w:r w:rsidRPr="00D16630">
        <w:t>preliminary review of the BASE suicidality data re</w:t>
      </w:r>
      <w:r w:rsidR="006C653B" w:rsidRPr="00D16630">
        <w:t>presented a true safety signal.</w:t>
      </w:r>
    </w:p>
    <w:p w:rsidR="00FF5FCE" w:rsidRPr="00FF5FCE" w:rsidRDefault="009F39E2" w:rsidP="00FF5FCE">
      <w:pPr>
        <w:pStyle w:val="ListParagraph"/>
        <w:widowControl/>
        <w:numPr>
          <w:ilvl w:val="1"/>
          <w:numId w:val="1"/>
        </w:numPr>
        <w:spacing w:after="120"/>
      </w:pPr>
      <w:r w:rsidRPr="0022277A">
        <w:t xml:space="preserve">The PSCR </w:t>
      </w:r>
      <w:r w:rsidR="005D2B76" w:rsidRPr="0022277A">
        <w:t>acknowledg</w:t>
      </w:r>
      <w:r w:rsidRPr="0022277A">
        <w:t>ed</w:t>
      </w:r>
      <w:r w:rsidR="0028468D" w:rsidRPr="0022277A">
        <w:t xml:space="preserve"> </w:t>
      </w:r>
      <w:r w:rsidRPr="0022277A">
        <w:t xml:space="preserve">that a claim of inferior </w:t>
      </w:r>
      <w:r w:rsidR="005D2B76" w:rsidRPr="0022277A">
        <w:t>(</w:t>
      </w:r>
      <w:r w:rsidRPr="0022277A">
        <w:t>as opposed to non-inferior</w:t>
      </w:r>
      <w:r w:rsidR="005D2B76" w:rsidRPr="0022277A">
        <w:t>)</w:t>
      </w:r>
      <w:r w:rsidRPr="0022277A">
        <w:t xml:space="preserve"> </w:t>
      </w:r>
      <w:r w:rsidRPr="00FF5FCE">
        <w:t>safety may be more reasonable.</w:t>
      </w:r>
      <w:r w:rsidR="0028468D" w:rsidRPr="00FF5FCE">
        <w:t xml:space="preserve"> </w:t>
      </w:r>
    </w:p>
    <w:p w:rsidR="00A35405" w:rsidRPr="0022277A" w:rsidRDefault="00FF5FCE" w:rsidP="00A35405">
      <w:pPr>
        <w:pStyle w:val="ListParagraph"/>
        <w:widowControl/>
        <w:numPr>
          <w:ilvl w:val="1"/>
          <w:numId w:val="1"/>
        </w:numPr>
        <w:spacing w:after="120"/>
      </w:pPr>
      <w:r w:rsidRPr="00FF5FCE">
        <w:rPr>
          <w:rFonts w:asciiTheme="minorHAnsi" w:hAnsiTheme="minorHAnsi"/>
          <w:szCs w:val="20"/>
        </w:rPr>
        <w:lastRenderedPageBreak/>
        <w:t>The PBAC considered that the claim of superior comparative effectiveness was reasonable</w:t>
      </w:r>
      <w:r w:rsidR="00A35405">
        <w:rPr>
          <w:rFonts w:asciiTheme="minorHAnsi" w:hAnsiTheme="minorHAnsi"/>
          <w:szCs w:val="20"/>
        </w:rPr>
        <w:t xml:space="preserve"> </w:t>
      </w:r>
      <w:r w:rsidR="00A35405" w:rsidRPr="0022277A">
        <w:t>based on the proportion of patients who were SRI responder</w:t>
      </w:r>
      <w:r w:rsidR="00A35405">
        <w:t>s</w:t>
      </w:r>
      <w:r w:rsidR="00A35405" w:rsidRPr="0022277A">
        <w:t xml:space="preserve">. However, belimumab demonstrated only modest efficacy results compared to placebo. Further, the </w:t>
      </w:r>
      <w:r w:rsidR="00A35405">
        <w:t>PBAC</w:t>
      </w:r>
      <w:r w:rsidR="00A35405" w:rsidRPr="0022277A">
        <w:t xml:space="preserve"> considered that the benefit of belimumab with respect to SDI and preventing organ damage was not adequately supported because the</w:t>
      </w:r>
      <w:r w:rsidR="00053656">
        <w:t>re was no</w:t>
      </w:r>
      <w:r w:rsidR="00A35405" w:rsidRPr="0022277A">
        <w:t xml:space="preserve"> randomised controlled </w:t>
      </w:r>
      <w:r w:rsidR="00053656">
        <w:t xml:space="preserve">trial </w:t>
      </w:r>
      <w:r w:rsidR="00A35405" w:rsidRPr="0022277A">
        <w:t xml:space="preserve">evidence </w:t>
      </w:r>
      <w:r w:rsidR="00053656">
        <w:t>that belimumab reduces organ damage</w:t>
      </w:r>
      <w:r w:rsidR="00A35405" w:rsidRPr="0022277A">
        <w:t xml:space="preserve">, and the </w:t>
      </w:r>
      <w:r w:rsidR="00A35405">
        <w:t xml:space="preserve">PBAC considered that the </w:t>
      </w:r>
      <w:r w:rsidR="00A35405" w:rsidRPr="0022277A">
        <w:t xml:space="preserve">PSM analysis </w:t>
      </w:r>
      <w:r w:rsidR="00A35405">
        <w:t>had</w:t>
      </w:r>
      <w:r w:rsidR="00A35405" w:rsidRPr="0022277A">
        <w:t xml:space="preserve"> a high risk of bias. </w:t>
      </w:r>
    </w:p>
    <w:p w:rsidR="00AC3242" w:rsidRPr="00FF5FCE" w:rsidRDefault="00FF5FCE" w:rsidP="00CB0F92">
      <w:pPr>
        <w:pStyle w:val="ListParagraph"/>
        <w:widowControl/>
        <w:numPr>
          <w:ilvl w:val="1"/>
          <w:numId w:val="1"/>
        </w:numPr>
        <w:spacing w:after="120"/>
      </w:pPr>
      <w:r w:rsidRPr="00826E7C">
        <w:rPr>
          <w:rFonts w:asciiTheme="minorHAnsi" w:hAnsiTheme="minorHAnsi"/>
          <w:szCs w:val="20"/>
        </w:rPr>
        <w:t>The PBAC considered that the claim of inferior comparative safety</w:t>
      </w:r>
      <w:r w:rsidR="00A35405" w:rsidRPr="00826E7C">
        <w:rPr>
          <w:rFonts w:asciiTheme="minorHAnsi" w:hAnsiTheme="minorHAnsi"/>
          <w:szCs w:val="20"/>
        </w:rPr>
        <w:t xml:space="preserve"> versus SOC alone</w:t>
      </w:r>
      <w:r w:rsidRPr="00826E7C">
        <w:rPr>
          <w:rFonts w:asciiTheme="minorHAnsi" w:hAnsiTheme="minorHAnsi"/>
          <w:szCs w:val="20"/>
        </w:rPr>
        <w:t xml:space="preserve"> was reasonable</w:t>
      </w:r>
      <w:r w:rsidR="00A35405" w:rsidRPr="00826E7C">
        <w:rPr>
          <w:rFonts w:asciiTheme="minorHAnsi" w:hAnsiTheme="minorHAnsi"/>
          <w:szCs w:val="20"/>
        </w:rPr>
        <w:t xml:space="preserve">, and were particularly concerned about </w:t>
      </w:r>
      <w:r w:rsidR="00A35405" w:rsidRPr="00FF5FCE">
        <w:t xml:space="preserve">the </w:t>
      </w:r>
      <w:r w:rsidR="0088186F">
        <w:t xml:space="preserve">potential </w:t>
      </w:r>
      <w:r w:rsidR="00A35405" w:rsidRPr="00FF5FCE">
        <w:t>risk of psychiatric events.</w:t>
      </w:r>
    </w:p>
    <w:p w:rsidR="00172AD3" w:rsidRPr="00FF5FCE" w:rsidRDefault="00172AD3" w:rsidP="00C463DB">
      <w:pPr>
        <w:pStyle w:val="Heading2"/>
        <w:spacing w:after="120"/>
      </w:pPr>
      <w:bookmarkStart w:id="12" w:name="_Toc19712626"/>
      <w:r w:rsidRPr="00FF5FCE">
        <w:t>Economic analysis</w:t>
      </w:r>
      <w:bookmarkEnd w:id="12"/>
      <w:r w:rsidRPr="00FF5FCE">
        <w:t xml:space="preserve"> </w:t>
      </w:r>
    </w:p>
    <w:p w:rsidR="00172AD3" w:rsidRPr="00FF5FCE" w:rsidRDefault="00172AD3" w:rsidP="00FF5FCE">
      <w:pPr>
        <w:pStyle w:val="ListParagraph"/>
        <w:widowControl/>
        <w:numPr>
          <w:ilvl w:val="1"/>
          <w:numId w:val="1"/>
        </w:numPr>
        <w:spacing w:after="120"/>
        <w:contextualSpacing/>
        <w:rPr>
          <w:szCs w:val="24"/>
        </w:rPr>
      </w:pPr>
      <w:r w:rsidRPr="00FF5FCE">
        <w:rPr>
          <w:szCs w:val="24"/>
        </w:rPr>
        <w:t>The submission presented a stepped economic evaluation, starting with trial-based cost per responder analysis informed by BLISS-SC and then implementing a modelled cost-utility analysis based on the real-world studies (Bruce et al 2015 and Urowitz et al 2018).</w:t>
      </w:r>
      <w:r w:rsidR="000E3420" w:rsidRPr="00FF5FCE">
        <w:rPr>
          <w:szCs w:val="24"/>
        </w:rPr>
        <w:t xml:space="preserve"> The key components are shown in Table 1</w:t>
      </w:r>
      <w:r w:rsidR="00F61CA4" w:rsidRPr="00FF5FCE">
        <w:rPr>
          <w:szCs w:val="24"/>
        </w:rPr>
        <w:t>1</w:t>
      </w:r>
      <w:r w:rsidR="000E3420" w:rsidRPr="00FF5FCE">
        <w:rPr>
          <w:szCs w:val="24"/>
        </w:rPr>
        <w:t>.</w:t>
      </w:r>
    </w:p>
    <w:p w:rsidR="00172AD3" w:rsidRPr="00F052AC" w:rsidRDefault="00F61CA4" w:rsidP="00F61CA4">
      <w:pPr>
        <w:keepNext/>
        <w:keepLines/>
        <w:rPr>
          <w:rFonts w:ascii="Arial Narrow" w:hAnsi="Arial Narrow"/>
          <w:b/>
          <w:sz w:val="20"/>
          <w:szCs w:val="16"/>
        </w:rPr>
      </w:pPr>
      <w:r>
        <w:rPr>
          <w:rFonts w:ascii="Arial Narrow" w:hAnsi="Arial Narrow"/>
          <w:b/>
          <w:sz w:val="20"/>
          <w:szCs w:val="16"/>
        </w:rPr>
        <w:lastRenderedPageBreak/>
        <w:t>Table 11</w:t>
      </w:r>
      <w:r w:rsidR="00172AD3" w:rsidRPr="00F052AC">
        <w:rPr>
          <w:rFonts w:ascii="Arial Narrow" w:hAnsi="Arial Narrow"/>
          <w:b/>
          <w:sz w:val="20"/>
          <w:szCs w:val="16"/>
        </w:rPr>
        <w:t xml:space="preserve">: Key components of the </w:t>
      </w:r>
      <w:r w:rsidR="00172AD3">
        <w:rPr>
          <w:rFonts w:ascii="Arial Narrow" w:hAnsi="Arial Narrow"/>
          <w:b/>
          <w:sz w:val="20"/>
          <w:szCs w:val="16"/>
        </w:rPr>
        <w:t xml:space="preserve">modelled </w:t>
      </w:r>
      <w:r w:rsidR="00172AD3" w:rsidRPr="00F052AC">
        <w:rPr>
          <w:rFonts w:ascii="Arial Narrow" w:hAnsi="Arial Narrow"/>
          <w:b/>
          <w:sz w:val="20"/>
          <w:szCs w:val="16"/>
        </w:rPr>
        <w:t>economic evaluation</w:t>
      </w:r>
      <w:r w:rsidR="00172AD3">
        <w:rPr>
          <w:rFonts w:ascii="Arial Narrow" w:hAnsi="Arial Narrow"/>
          <w:b/>
          <w:sz w:val="20"/>
          <w:szCs w:val="16"/>
        </w:rPr>
        <w:t xml:space="preserve"> (Step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1: Key components of the modelled economic evaluation (Step 6)"/>
      </w:tblPr>
      <w:tblGrid>
        <w:gridCol w:w="1271"/>
        <w:gridCol w:w="7746"/>
      </w:tblGrid>
      <w:tr w:rsidR="00172AD3" w:rsidRPr="00123713" w:rsidTr="00F85B39">
        <w:trPr>
          <w:tblHeader/>
        </w:trPr>
        <w:tc>
          <w:tcPr>
            <w:tcW w:w="705" w:type="pct"/>
            <w:vAlign w:val="center"/>
          </w:tcPr>
          <w:p w:rsidR="00172AD3" w:rsidRPr="00123713" w:rsidRDefault="00172AD3" w:rsidP="00F61CA4">
            <w:pPr>
              <w:keepNext/>
              <w:keepLines/>
              <w:rPr>
                <w:rFonts w:ascii="Arial Narrow" w:hAnsi="Arial Narrow" w:cs="Times New Roman"/>
                <w:b/>
                <w:sz w:val="20"/>
              </w:rPr>
            </w:pPr>
            <w:r w:rsidRPr="00123713">
              <w:rPr>
                <w:rFonts w:ascii="Arial Narrow" w:hAnsi="Arial Narrow" w:cs="Times New Roman"/>
                <w:b/>
                <w:sz w:val="20"/>
              </w:rPr>
              <w:t>Component</w:t>
            </w:r>
          </w:p>
        </w:tc>
        <w:tc>
          <w:tcPr>
            <w:tcW w:w="4295" w:type="pct"/>
            <w:vAlign w:val="center"/>
          </w:tcPr>
          <w:p w:rsidR="00172AD3" w:rsidRPr="00123713" w:rsidRDefault="00172AD3" w:rsidP="00F61CA4">
            <w:pPr>
              <w:keepNext/>
              <w:keepLines/>
              <w:jc w:val="center"/>
              <w:rPr>
                <w:rFonts w:ascii="Arial Narrow" w:hAnsi="Arial Narrow" w:cs="Times New Roman"/>
                <w:b/>
                <w:sz w:val="20"/>
              </w:rPr>
            </w:pPr>
            <w:r w:rsidRPr="00123713">
              <w:rPr>
                <w:rFonts w:ascii="Arial Narrow" w:hAnsi="Arial Narrow" w:cs="Times New Roman"/>
                <w:b/>
                <w:sz w:val="20"/>
              </w:rPr>
              <w:t>Description</w:t>
            </w:r>
          </w:p>
        </w:tc>
      </w:tr>
      <w:tr w:rsidR="00172AD3" w:rsidRPr="00123713" w:rsidTr="00F85B39">
        <w:tc>
          <w:tcPr>
            <w:tcW w:w="705" w:type="pct"/>
            <w:vAlign w:val="center"/>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Type of analysis</w:t>
            </w:r>
          </w:p>
        </w:tc>
        <w:tc>
          <w:tcPr>
            <w:tcW w:w="4295" w:type="pct"/>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Cost-utility analysis.</w:t>
            </w:r>
          </w:p>
        </w:tc>
      </w:tr>
      <w:tr w:rsidR="00172AD3" w:rsidRPr="00123713" w:rsidTr="00F85B39">
        <w:tc>
          <w:tcPr>
            <w:tcW w:w="705" w:type="pct"/>
            <w:vAlign w:val="center"/>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Outcomes</w:t>
            </w:r>
          </w:p>
        </w:tc>
        <w:tc>
          <w:tcPr>
            <w:tcW w:w="4295" w:type="pct"/>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SELENA-SLEDAI responders (≥4-point reduction), SLE flares, life years, QALYs.</w:t>
            </w:r>
          </w:p>
        </w:tc>
      </w:tr>
      <w:tr w:rsidR="00172AD3" w:rsidRPr="00123713" w:rsidTr="00F85B39">
        <w:tc>
          <w:tcPr>
            <w:tcW w:w="705" w:type="pct"/>
            <w:vAlign w:val="center"/>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Time horizon</w:t>
            </w:r>
          </w:p>
        </w:tc>
        <w:tc>
          <w:tcPr>
            <w:tcW w:w="4295" w:type="pct"/>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 xml:space="preserve">60 years in the model (lifetime) </w:t>
            </w:r>
            <w:r w:rsidRPr="004573AA">
              <w:rPr>
                <w:rFonts w:ascii="Arial Narrow" w:hAnsi="Arial Narrow" w:cs="Times New Roman"/>
                <w:sz w:val="20"/>
              </w:rPr>
              <w:t xml:space="preserve">base case </w:t>
            </w:r>
            <w:r w:rsidRPr="004573AA">
              <w:rPr>
                <w:rFonts w:ascii="Arial Narrow" w:hAnsi="Arial Narrow" w:cs="Times New Roman"/>
                <w:iCs/>
                <w:sz w:val="20"/>
              </w:rPr>
              <w:t>(versus 52 weeks in the trials)</w:t>
            </w:r>
          </w:p>
        </w:tc>
      </w:tr>
      <w:tr w:rsidR="00172AD3" w:rsidRPr="00123713" w:rsidTr="00F85B39">
        <w:tc>
          <w:tcPr>
            <w:tcW w:w="705" w:type="pct"/>
            <w:vAlign w:val="center"/>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Discounting.</w:t>
            </w:r>
          </w:p>
        </w:tc>
        <w:tc>
          <w:tcPr>
            <w:tcW w:w="4295" w:type="pct"/>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 xml:space="preserve">Annual discount rate of 5% to costs and outcomes. </w:t>
            </w:r>
            <w:r w:rsidRPr="00123713">
              <w:rPr>
                <w:rFonts w:ascii="Arial Narrow" w:hAnsi="Arial Narrow" w:cs="Times New Roman"/>
                <w:iCs/>
                <w:sz w:val="20"/>
              </w:rPr>
              <w:t xml:space="preserve"> </w:t>
            </w:r>
          </w:p>
        </w:tc>
      </w:tr>
      <w:tr w:rsidR="00172AD3" w:rsidRPr="00123713" w:rsidTr="00F85B39">
        <w:tc>
          <w:tcPr>
            <w:tcW w:w="705" w:type="pct"/>
            <w:vAlign w:val="center"/>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Methods used to generate results</w:t>
            </w:r>
          </w:p>
        </w:tc>
        <w:tc>
          <w:tcPr>
            <w:tcW w:w="4295" w:type="pct"/>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Markov cohort model. The cohort was categorised by SDI status at baseline based on proportion reported in Urowitz et al. 2018.</w:t>
            </w:r>
          </w:p>
        </w:tc>
      </w:tr>
      <w:tr w:rsidR="00172AD3" w:rsidRPr="00123713" w:rsidTr="00F85B39">
        <w:tc>
          <w:tcPr>
            <w:tcW w:w="705" w:type="pct"/>
            <w:vAlign w:val="center"/>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Health states</w:t>
            </w:r>
          </w:p>
        </w:tc>
        <w:tc>
          <w:tcPr>
            <w:tcW w:w="4295" w:type="pct"/>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Dead plus 24 alive health states defined by treatment (belimumab vs SOC), time (&lt;6 months “induction” vs &gt;6 months) and SDI score (0, 1, 2, 3, 4, ≥5):</w:t>
            </w:r>
          </w:p>
          <w:p w:rsidR="00172AD3" w:rsidRPr="00123713" w:rsidRDefault="00172AD3" w:rsidP="00FF5FCE">
            <w:pPr>
              <w:keepNext/>
              <w:keepLines/>
              <w:numPr>
                <w:ilvl w:val="0"/>
                <w:numId w:val="5"/>
              </w:numPr>
              <w:rPr>
                <w:rFonts w:ascii="Arial Narrow" w:hAnsi="Arial Narrow" w:cs="Times New Roman"/>
                <w:sz w:val="20"/>
              </w:rPr>
            </w:pPr>
            <w:r w:rsidRPr="00123713">
              <w:rPr>
                <w:rFonts w:ascii="Arial Narrow" w:hAnsi="Arial Narrow" w:cs="Times New Roman"/>
                <w:sz w:val="20"/>
              </w:rPr>
              <w:t>“BEL induction” (SDI 0 to ≥5)</w:t>
            </w:r>
          </w:p>
          <w:p w:rsidR="00172AD3" w:rsidRPr="00123713" w:rsidRDefault="00172AD3" w:rsidP="00FF5FCE">
            <w:pPr>
              <w:keepNext/>
              <w:keepLines/>
              <w:numPr>
                <w:ilvl w:val="0"/>
                <w:numId w:val="5"/>
              </w:numPr>
              <w:rPr>
                <w:rFonts w:ascii="Arial Narrow" w:hAnsi="Arial Narrow" w:cs="Times New Roman"/>
                <w:sz w:val="20"/>
              </w:rPr>
            </w:pPr>
            <w:r w:rsidRPr="00123713">
              <w:rPr>
                <w:rFonts w:ascii="Arial Narrow" w:hAnsi="Arial Narrow" w:cs="Times New Roman"/>
                <w:sz w:val="20"/>
              </w:rPr>
              <w:t>“SOC induction” (SDI 0 to ≥5)</w:t>
            </w:r>
          </w:p>
          <w:p w:rsidR="00172AD3" w:rsidRPr="00123713" w:rsidRDefault="00172AD3" w:rsidP="00FF5FCE">
            <w:pPr>
              <w:keepNext/>
              <w:keepLines/>
              <w:numPr>
                <w:ilvl w:val="0"/>
                <w:numId w:val="5"/>
              </w:numPr>
              <w:rPr>
                <w:rFonts w:ascii="Arial Narrow" w:hAnsi="Arial Narrow" w:cs="Times New Roman"/>
                <w:sz w:val="20"/>
              </w:rPr>
            </w:pPr>
            <w:r w:rsidRPr="00123713">
              <w:rPr>
                <w:rFonts w:ascii="Arial Narrow" w:hAnsi="Arial Narrow" w:cs="Times New Roman"/>
                <w:sz w:val="20"/>
              </w:rPr>
              <w:t>“BEL responder” (SDI 0 to ≥5)</w:t>
            </w:r>
          </w:p>
          <w:p w:rsidR="00172AD3" w:rsidRPr="00123713" w:rsidRDefault="00172AD3" w:rsidP="00FF5FCE">
            <w:pPr>
              <w:keepNext/>
              <w:keepLines/>
              <w:numPr>
                <w:ilvl w:val="0"/>
                <w:numId w:val="5"/>
              </w:numPr>
              <w:rPr>
                <w:rFonts w:ascii="Arial Narrow" w:hAnsi="Arial Narrow" w:cs="Times New Roman"/>
                <w:sz w:val="20"/>
              </w:rPr>
            </w:pPr>
            <w:r w:rsidRPr="00123713">
              <w:rPr>
                <w:rFonts w:ascii="Arial Narrow" w:hAnsi="Arial Narrow" w:cs="Times New Roman"/>
                <w:sz w:val="20"/>
              </w:rPr>
              <w:t>“SOC” (SDI 0 to 5)</w:t>
            </w:r>
          </w:p>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SLE flares were modelled indirectly via disutility and costs estimates,</w:t>
            </w:r>
            <w:r w:rsidR="003520F5">
              <w:rPr>
                <w:rFonts w:ascii="Arial Narrow" w:hAnsi="Arial Narrow" w:cs="Times New Roman"/>
                <w:sz w:val="20"/>
              </w:rPr>
              <w:t xml:space="preserve"> rather than as a health state.</w:t>
            </w:r>
          </w:p>
        </w:tc>
      </w:tr>
      <w:tr w:rsidR="00172AD3" w:rsidRPr="00123713" w:rsidTr="00F85B39">
        <w:tc>
          <w:tcPr>
            <w:tcW w:w="705" w:type="pct"/>
            <w:vAlign w:val="center"/>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Cycle length</w:t>
            </w:r>
          </w:p>
        </w:tc>
        <w:tc>
          <w:tcPr>
            <w:tcW w:w="4295" w:type="pct"/>
          </w:tcPr>
          <w:p w:rsidR="00172AD3" w:rsidRPr="00123713" w:rsidRDefault="00172AD3" w:rsidP="00F61CA4">
            <w:pPr>
              <w:keepNext/>
              <w:keepLines/>
              <w:rPr>
                <w:rFonts w:ascii="Arial Narrow" w:hAnsi="Arial Narrow" w:cs="Times New Roman"/>
                <w:iCs/>
                <w:sz w:val="20"/>
              </w:rPr>
            </w:pPr>
            <w:r w:rsidRPr="00123713">
              <w:rPr>
                <w:rFonts w:ascii="Arial Narrow" w:hAnsi="Arial Narrow" w:cs="Times New Roman"/>
                <w:sz w:val="20"/>
              </w:rPr>
              <w:t>6 months. Half-cycle corrections to costs and benefits.</w:t>
            </w:r>
          </w:p>
        </w:tc>
      </w:tr>
      <w:tr w:rsidR="00172AD3" w:rsidRPr="00123713" w:rsidTr="00F85B39">
        <w:tc>
          <w:tcPr>
            <w:tcW w:w="705" w:type="pct"/>
            <w:vAlign w:val="center"/>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Transition probabilities</w:t>
            </w:r>
          </w:p>
        </w:tc>
        <w:tc>
          <w:tcPr>
            <w:tcW w:w="4295" w:type="pct"/>
          </w:tcPr>
          <w:p w:rsidR="00172AD3" w:rsidRPr="00826E7C" w:rsidRDefault="00172AD3" w:rsidP="00F61CA4">
            <w:pPr>
              <w:keepNext/>
              <w:keepLines/>
              <w:rPr>
                <w:rFonts w:ascii="Arial Narrow" w:hAnsi="Arial Narrow" w:cs="Times New Roman"/>
                <w:sz w:val="20"/>
              </w:rPr>
            </w:pPr>
            <w:r w:rsidRPr="00826E7C">
              <w:rPr>
                <w:rFonts w:ascii="Arial Narrow" w:hAnsi="Arial Narrow" w:cs="Times New Roman"/>
                <w:sz w:val="20"/>
              </w:rPr>
              <w:t>Transition probabilities for</w:t>
            </w:r>
          </w:p>
          <w:p w:rsidR="00172AD3" w:rsidRPr="00826E7C" w:rsidRDefault="00172AD3" w:rsidP="00FF5FCE">
            <w:pPr>
              <w:pStyle w:val="ListParagraph"/>
              <w:keepNext/>
              <w:keepLines/>
              <w:widowControl/>
              <w:numPr>
                <w:ilvl w:val="0"/>
                <w:numId w:val="6"/>
              </w:numPr>
              <w:spacing w:after="0"/>
              <w:ind w:left="274" w:hanging="162"/>
              <w:contextualSpacing/>
              <w:rPr>
                <w:rFonts w:ascii="Arial Narrow" w:hAnsi="Arial Narrow" w:cs="Times New Roman"/>
                <w:sz w:val="20"/>
              </w:rPr>
            </w:pPr>
            <w:r w:rsidRPr="00826E7C">
              <w:rPr>
                <w:rFonts w:ascii="Arial Narrow" w:hAnsi="Arial Narrow" w:cs="Times New Roman"/>
                <w:sz w:val="20"/>
              </w:rPr>
              <w:t>SDI progression for SOC informed by Bruce et al 2015 (SLICC inception cohort).</w:t>
            </w:r>
          </w:p>
          <w:p w:rsidR="00172AD3" w:rsidRPr="00826E7C" w:rsidRDefault="00172AD3" w:rsidP="00FF5FCE">
            <w:pPr>
              <w:pStyle w:val="ListParagraph"/>
              <w:keepNext/>
              <w:keepLines/>
              <w:widowControl/>
              <w:numPr>
                <w:ilvl w:val="0"/>
                <w:numId w:val="6"/>
              </w:numPr>
              <w:spacing w:after="0"/>
              <w:ind w:left="274" w:hanging="162"/>
              <w:contextualSpacing/>
              <w:rPr>
                <w:rFonts w:ascii="Arial Narrow" w:hAnsi="Arial Narrow" w:cs="Times New Roman"/>
                <w:sz w:val="20"/>
              </w:rPr>
            </w:pPr>
            <w:r w:rsidRPr="00826E7C">
              <w:rPr>
                <w:rFonts w:ascii="Arial Narrow" w:hAnsi="Arial Narrow" w:cs="Times New Roman"/>
                <w:sz w:val="20"/>
              </w:rPr>
              <w:t>SDI progression for belimumab estimated by applying HR for SDI progression estimated in Urowitz et al 2018 to transition probabilities for SOC (above).</w:t>
            </w:r>
          </w:p>
          <w:p w:rsidR="00172AD3" w:rsidRPr="00826E7C" w:rsidRDefault="00172AD3" w:rsidP="00FF5FCE">
            <w:pPr>
              <w:pStyle w:val="ListParagraph"/>
              <w:keepNext/>
              <w:keepLines/>
              <w:widowControl/>
              <w:numPr>
                <w:ilvl w:val="0"/>
                <w:numId w:val="6"/>
              </w:numPr>
              <w:spacing w:after="0"/>
              <w:ind w:left="274" w:hanging="162"/>
              <w:contextualSpacing/>
              <w:rPr>
                <w:rFonts w:ascii="Arial Narrow" w:hAnsi="Arial Narrow" w:cs="Times New Roman"/>
                <w:sz w:val="20"/>
              </w:rPr>
            </w:pPr>
            <w:r w:rsidRPr="00826E7C">
              <w:rPr>
                <w:rFonts w:ascii="Arial Narrow" w:hAnsi="Arial Narrow" w:cs="Times New Roman"/>
                <w:sz w:val="20"/>
              </w:rPr>
              <w:t>SLE-related deaths by SDI health state irrespective of treatment based on Bruce et al 2015.</w:t>
            </w:r>
          </w:p>
          <w:p w:rsidR="00172AD3" w:rsidRPr="00826E7C" w:rsidRDefault="00172AD3" w:rsidP="00FF5FCE">
            <w:pPr>
              <w:pStyle w:val="ListParagraph"/>
              <w:keepNext/>
              <w:keepLines/>
              <w:widowControl/>
              <w:numPr>
                <w:ilvl w:val="0"/>
                <w:numId w:val="6"/>
              </w:numPr>
              <w:spacing w:after="0"/>
              <w:ind w:left="274" w:hanging="162"/>
              <w:contextualSpacing/>
              <w:rPr>
                <w:rFonts w:ascii="Arial Narrow" w:hAnsi="Arial Narrow" w:cs="Times New Roman"/>
                <w:sz w:val="20"/>
              </w:rPr>
            </w:pPr>
            <w:r w:rsidRPr="00826E7C">
              <w:rPr>
                <w:rFonts w:ascii="Arial Narrow" w:hAnsi="Arial Narrow" w:cs="Times New Roman"/>
                <w:sz w:val="20"/>
              </w:rPr>
              <w:t>Age-related mortality rates informed by Australian life tables.</w:t>
            </w:r>
          </w:p>
          <w:p w:rsidR="00172AD3" w:rsidRPr="00826E7C" w:rsidRDefault="00172AD3" w:rsidP="00FF5FCE">
            <w:pPr>
              <w:pStyle w:val="ListParagraph"/>
              <w:keepNext/>
              <w:keepLines/>
              <w:widowControl/>
              <w:numPr>
                <w:ilvl w:val="0"/>
                <w:numId w:val="6"/>
              </w:numPr>
              <w:spacing w:after="0"/>
              <w:ind w:left="274" w:hanging="162"/>
              <w:contextualSpacing/>
              <w:rPr>
                <w:rFonts w:ascii="Arial Narrow" w:hAnsi="Arial Narrow" w:cs="Times New Roman"/>
                <w:sz w:val="20"/>
              </w:rPr>
            </w:pPr>
            <w:r w:rsidRPr="00826E7C">
              <w:rPr>
                <w:rFonts w:ascii="Arial Narrow" w:hAnsi="Arial Narrow" w:cs="Times New Roman"/>
                <w:sz w:val="20"/>
              </w:rPr>
              <w:t>Belimumab continuation (i.e. response at Week 24) and discontinuation informed by BLISS-SC.</w:t>
            </w:r>
          </w:p>
          <w:p w:rsidR="00172AD3" w:rsidRPr="00826E7C" w:rsidRDefault="00172AD3" w:rsidP="00FF5FCE">
            <w:pPr>
              <w:pStyle w:val="ListParagraph"/>
              <w:keepNext/>
              <w:keepLines/>
              <w:widowControl/>
              <w:numPr>
                <w:ilvl w:val="0"/>
                <w:numId w:val="6"/>
              </w:numPr>
              <w:spacing w:after="0"/>
              <w:ind w:left="274" w:hanging="162"/>
              <w:contextualSpacing/>
              <w:rPr>
                <w:rFonts w:ascii="Arial Narrow" w:hAnsi="Arial Narrow" w:cs="Times New Roman"/>
                <w:sz w:val="20"/>
              </w:rPr>
            </w:pPr>
            <w:r w:rsidRPr="00826E7C">
              <w:rPr>
                <w:rFonts w:ascii="Arial Narrow" w:hAnsi="Arial Narrow" w:cs="Times New Roman"/>
                <w:sz w:val="20"/>
              </w:rPr>
              <w:t>Rate of flares for SOC and belimumab informed by BLISS-SC.</w:t>
            </w:r>
          </w:p>
          <w:p w:rsidR="00172AD3" w:rsidRPr="00826E7C" w:rsidRDefault="00172AD3" w:rsidP="0037031D">
            <w:pPr>
              <w:keepNext/>
              <w:keepLines/>
              <w:rPr>
                <w:rFonts w:ascii="Arial Narrow" w:hAnsi="Arial Narrow" w:cs="Times New Roman"/>
                <w:iCs/>
                <w:sz w:val="20"/>
              </w:rPr>
            </w:pPr>
            <w:r w:rsidRPr="00826E7C">
              <w:rPr>
                <w:rFonts w:ascii="Arial Narrow" w:hAnsi="Arial Narrow" w:cs="Times New Roman"/>
                <w:iCs/>
                <w:sz w:val="20"/>
              </w:rPr>
              <w:t xml:space="preserve">The applicability of the SLICC inception cohort in Bruce et al 2015 and patients in Urowitz et al 2018 to the Australian population was unclear but likely reflected a lower risk population. </w:t>
            </w:r>
            <w:r w:rsidR="005B79B4" w:rsidRPr="00826E7C">
              <w:rPr>
                <w:rFonts w:ascii="Arial Narrow" w:hAnsi="Arial Narrow" w:cs="Times New Roman"/>
                <w:iCs/>
                <w:sz w:val="20"/>
              </w:rPr>
              <w:t>A</w:t>
            </w:r>
            <w:r w:rsidRPr="00826E7C">
              <w:rPr>
                <w:rFonts w:ascii="Arial Narrow" w:hAnsi="Arial Narrow" w:cs="Times New Roman"/>
                <w:iCs/>
                <w:sz w:val="20"/>
              </w:rPr>
              <w:t xml:space="preserve">ll-cause mortality in the model </w:t>
            </w:r>
            <w:r w:rsidR="005B79B4" w:rsidRPr="00826E7C">
              <w:rPr>
                <w:rFonts w:ascii="Arial Narrow" w:hAnsi="Arial Narrow" w:cs="Times New Roman"/>
                <w:iCs/>
                <w:sz w:val="20"/>
              </w:rPr>
              <w:t>was</w:t>
            </w:r>
            <w:r w:rsidRPr="00826E7C">
              <w:rPr>
                <w:rFonts w:ascii="Arial Narrow" w:hAnsi="Arial Narrow" w:cs="Times New Roman"/>
                <w:iCs/>
                <w:sz w:val="20"/>
              </w:rPr>
              <w:t xml:space="preserve"> informed by the maximum of the SDI-related mortality in Bruce et al 2015 and age/gender related mortality from the Australian life tables. </w:t>
            </w:r>
            <w:r w:rsidR="00F030AF" w:rsidRPr="00826E7C">
              <w:rPr>
                <w:rFonts w:ascii="Arial Narrow" w:hAnsi="Arial Narrow" w:cs="Times New Roman"/>
                <w:iCs/>
                <w:sz w:val="20"/>
              </w:rPr>
              <w:t xml:space="preserve">The </w:t>
            </w:r>
            <w:r w:rsidR="00677322" w:rsidRPr="00826E7C">
              <w:rPr>
                <w:rFonts w:ascii="Arial Narrow" w:hAnsi="Arial Narrow" w:cs="Times New Roman"/>
                <w:iCs/>
                <w:sz w:val="20"/>
              </w:rPr>
              <w:t xml:space="preserve">model </w:t>
            </w:r>
            <w:r w:rsidR="00F030AF" w:rsidRPr="00826E7C">
              <w:rPr>
                <w:rFonts w:ascii="Arial Narrow" w:hAnsi="Arial Narrow" w:cs="Times New Roman"/>
                <w:iCs/>
                <w:sz w:val="20"/>
              </w:rPr>
              <w:t xml:space="preserve">also </w:t>
            </w:r>
            <w:r w:rsidR="00677322" w:rsidRPr="00826E7C">
              <w:rPr>
                <w:rFonts w:ascii="Arial Narrow" w:hAnsi="Arial Narrow" w:cs="Times New Roman"/>
                <w:iCs/>
                <w:sz w:val="20"/>
              </w:rPr>
              <w:t xml:space="preserve">generated </w:t>
            </w:r>
            <w:r w:rsidR="00F030AF" w:rsidRPr="00826E7C">
              <w:rPr>
                <w:rFonts w:ascii="Arial Narrow" w:hAnsi="Arial Narrow" w:cs="Times New Roman"/>
                <w:iCs/>
                <w:sz w:val="20"/>
              </w:rPr>
              <w:t xml:space="preserve">a survival advantage for belimumab, as belimumab patients have a lower rate of SDI progression in the model, and the mortality rate increases with higher SDI states. This </w:t>
            </w:r>
            <w:r w:rsidR="005B79B4" w:rsidRPr="00826E7C">
              <w:rPr>
                <w:rFonts w:ascii="Arial Narrow" w:hAnsi="Arial Narrow" w:cs="Times New Roman"/>
                <w:iCs/>
                <w:sz w:val="20"/>
              </w:rPr>
              <w:t>was not adequately</w:t>
            </w:r>
            <w:r w:rsidR="00F030AF" w:rsidRPr="00826E7C">
              <w:rPr>
                <w:rFonts w:ascii="Arial Narrow" w:hAnsi="Arial Narrow" w:cs="Times New Roman"/>
                <w:iCs/>
                <w:sz w:val="20"/>
              </w:rPr>
              <w:t xml:space="preserve"> </w:t>
            </w:r>
            <w:r w:rsidR="000B2A95" w:rsidRPr="00826E7C">
              <w:rPr>
                <w:rFonts w:ascii="Arial Narrow" w:hAnsi="Arial Narrow" w:cs="Times New Roman"/>
                <w:iCs/>
                <w:sz w:val="20"/>
              </w:rPr>
              <w:t>supported by the data presented</w:t>
            </w:r>
            <w:r w:rsidR="00F030AF" w:rsidRPr="00826E7C">
              <w:rPr>
                <w:rFonts w:ascii="Arial Narrow" w:hAnsi="Arial Narrow" w:cs="Times New Roman"/>
                <w:iCs/>
                <w:sz w:val="20"/>
              </w:rPr>
              <w:t xml:space="preserve">, as belimumab did not demonstrate </w:t>
            </w:r>
            <w:r w:rsidR="00BD0D4A" w:rsidRPr="00826E7C">
              <w:rPr>
                <w:rFonts w:ascii="Arial Narrow" w:hAnsi="Arial Narrow" w:cs="Times New Roman"/>
                <w:iCs/>
                <w:sz w:val="20"/>
              </w:rPr>
              <w:t xml:space="preserve">a significantly </w:t>
            </w:r>
            <w:r w:rsidR="00DF48CF" w:rsidRPr="00826E7C">
              <w:rPr>
                <w:rFonts w:ascii="Arial Narrow" w:hAnsi="Arial Narrow" w:cs="Times New Roman"/>
                <w:iCs/>
                <w:sz w:val="20"/>
              </w:rPr>
              <w:t xml:space="preserve">reduced </w:t>
            </w:r>
            <w:r w:rsidR="00BD0D4A" w:rsidRPr="00826E7C">
              <w:rPr>
                <w:rFonts w:ascii="Arial Narrow" w:hAnsi="Arial Narrow" w:cs="Times New Roman"/>
                <w:iCs/>
                <w:sz w:val="20"/>
              </w:rPr>
              <w:t xml:space="preserve">rate of </w:t>
            </w:r>
            <w:r w:rsidR="00DF48CF" w:rsidRPr="00826E7C">
              <w:rPr>
                <w:rFonts w:ascii="Arial Narrow" w:hAnsi="Arial Narrow" w:cs="Times New Roman"/>
                <w:iCs/>
                <w:sz w:val="20"/>
              </w:rPr>
              <w:t xml:space="preserve">SDI progression or </w:t>
            </w:r>
            <w:r w:rsidR="00F030AF" w:rsidRPr="00826E7C">
              <w:rPr>
                <w:rFonts w:ascii="Arial Narrow" w:hAnsi="Arial Narrow" w:cs="Times New Roman"/>
                <w:iCs/>
                <w:sz w:val="20"/>
              </w:rPr>
              <w:t xml:space="preserve">any survival gains in the </w:t>
            </w:r>
            <w:r w:rsidR="000B2A95" w:rsidRPr="00826E7C">
              <w:rPr>
                <w:rFonts w:ascii="Arial Narrow" w:hAnsi="Arial Narrow" w:cs="Times New Roman"/>
                <w:iCs/>
                <w:sz w:val="20"/>
              </w:rPr>
              <w:t xml:space="preserve">randomised </w:t>
            </w:r>
            <w:r w:rsidR="00F030AF" w:rsidRPr="00826E7C">
              <w:rPr>
                <w:rFonts w:ascii="Arial Narrow" w:hAnsi="Arial Narrow" w:cs="Times New Roman"/>
                <w:iCs/>
                <w:sz w:val="20"/>
              </w:rPr>
              <w:t>clinical</w:t>
            </w:r>
            <w:r w:rsidR="007113DF" w:rsidRPr="00826E7C">
              <w:rPr>
                <w:rFonts w:ascii="Arial Narrow" w:hAnsi="Arial Narrow" w:cs="Times New Roman"/>
                <w:iCs/>
                <w:sz w:val="20"/>
              </w:rPr>
              <w:t xml:space="preserve"> trials</w:t>
            </w:r>
            <w:r w:rsidR="00F030AF" w:rsidRPr="00826E7C">
              <w:rPr>
                <w:rFonts w:ascii="Arial Narrow" w:hAnsi="Arial Narrow" w:cs="Times New Roman"/>
                <w:iCs/>
                <w:sz w:val="20"/>
              </w:rPr>
              <w:t>.</w:t>
            </w:r>
            <w:r w:rsidR="00DF48CF" w:rsidRPr="00826E7C">
              <w:rPr>
                <w:rFonts w:ascii="Arial Narrow" w:hAnsi="Arial Narrow" w:cs="Times New Roman"/>
                <w:iCs/>
                <w:sz w:val="20"/>
              </w:rPr>
              <w:t xml:space="preserve"> </w:t>
            </w:r>
          </w:p>
        </w:tc>
      </w:tr>
      <w:tr w:rsidR="00172AD3" w:rsidRPr="00123713" w:rsidTr="00F85B39">
        <w:tc>
          <w:tcPr>
            <w:tcW w:w="705" w:type="pct"/>
            <w:vAlign w:val="center"/>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Utility values</w:t>
            </w:r>
          </w:p>
        </w:tc>
        <w:tc>
          <w:tcPr>
            <w:tcW w:w="4295" w:type="pct"/>
          </w:tcPr>
          <w:p w:rsidR="00172AD3" w:rsidRPr="00826E7C" w:rsidRDefault="00172AD3" w:rsidP="00F61CA4">
            <w:pPr>
              <w:keepNext/>
              <w:keepLines/>
              <w:rPr>
                <w:rFonts w:ascii="Arial Narrow" w:hAnsi="Arial Narrow" w:cs="Times New Roman"/>
                <w:sz w:val="20"/>
              </w:rPr>
            </w:pPr>
            <w:r w:rsidRPr="00826E7C">
              <w:rPr>
                <w:rFonts w:ascii="Arial Narrow" w:hAnsi="Arial Narrow" w:cs="Times New Roman"/>
                <w:sz w:val="20"/>
              </w:rPr>
              <w:t>Utility values for belimumab responders and non-responders sourced from Wang et al 2014.</w:t>
            </w:r>
          </w:p>
          <w:p w:rsidR="00172AD3" w:rsidRPr="00826E7C" w:rsidRDefault="00172AD3" w:rsidP="00F61CA4">
            <w:pPr>
              <w:keepNext/>
              <w:keepLines/>
              <w:rPr>
                <w:rFonts w:ascii="Arial Narrow" w:hAnsi="Arial Narrow" w:cs="Times New Roman"/>
                <w:sz w:val="20"/>
              </w:rPr>
            </w:pPr>
            <w:r w:rsidRPr="00826E7C">
              <w:rPr>
                <w:rFonts w:ascii="Arial Narrow" w:hAnsi="Arial Narrow" w:cs="Times New Roman"/>
                <w:sz w:val="20"/>
              </w:rPr>
              <w:t>Disutility values for flares sourced from a TTO study by Pollard et al 2015.</w:t>
            </w:r>
          </w:p>
          <w:p w:rsidR="00172AD3" w:rsidRPr="00826E7C" w:rsidRDefault="003011CD" w:rsidP="00F61CA4">
            <w:pPr>
              <w:keepNext/>
              <w:keepLines/>
              <w:rPr>
                <w:rFonts w:ascii="Arial Narrow" w:hAnsi="Arial Narrow" w:cs="Times New Roman"/>
                <w:sz w:val="20"/>
              </w:rPr>
            </w:pPr>
            <w:r w:rsidRPr="00826E7C">
              <w:rPr>
                <w:rFonts w:ascii="Arial Narrow" w:hAnsi="Arial Narrow" w:cs="Times New Roman"/>
                <w:iCs/>
                <w:sz w:val="20"/>
              </w:rPr>
              <w:t>T</w:t>
            </w:r>
            <w:r w:rsidR="00172AD3" w:rsidRPr="00826E7C">
              <w:rPr>
                <w:rFonts w:ascii="Arial Narrow" w:hAnsi="Arial Narrow" w:cs="Times New Roman"/>
                <w:iCs/>
                <w:sz w:val="20"/>
              </w:rPr>
              <w:t>he model did not allow flares in the first cycle (i.e. for the “induction” health states)</w:t>
            </w:r>
            <w:r w:rsidR="002F523C" w:rsidRPr="00826E7C">
              <w:rPr>
                <w:rFonts w:ascii="Arial Narrow" w:hAnsi="Arial Narrow" w:cs="Times New Roman"/>
                <w:iCs/>
                <w:sz w:val="20"/>
              </w:rPr>
              <w:t>; this was adjusted for in a multivariate sensitivity analysis.</w:t>
            </w:r>
          </w:p>
        </w:tc>
      </w:tr>
      <w:tr w:rsidR="00172AD3" w:rsidRPr="00123713" w:rsidTr="00F85B39">
        <w:tc>
          <w:tcPr>
            <w:tcW w:w="705" w:type="pct"/>
            <w:vAlign w:val="center"/>
          </w:tcPr>
          <w:p w:rsidR="00172AD3" w:rsidRPr="00123713" w:rsidRDefault="00172AD3" w:rsidP="00F61CA4">
            <w:pPr>
              <w:keepNext/>
              <w:keepLines/>
              <w:rPr>
                <w:rFonts w:ascii="Arial Narrow" w:hAnsi="Arial Narrow" w:cs="Times New Roman"/>
                <w:sz w:val="20"/>
              </w:rPr>
            </w:pPr>
            <w:r w:rsidRPr="00123713">
              <w:rPr>
                <w:rFonts w:ascii="Arial Narrow" w:hAnsi="Arial Narrow" w:cs="Times New Roman"/>
                <w:sz w:val="20"/>
              </w:rPr>
              <w:t>Costs</w:t>
            </w:r>
          </w:p>
        </w:tc>
        <w:tc>
          <w:tcPr>
            <w:tcW w:w="4295" w:type="pct"/>
          </w:tcPr>
          <w:p w:rsidR="00172AD3" w:rsidRPr="00826E7C" w:rsidRDefault="00172AD3" w:rsidP="00F61CA4">
            <w:pPr>
              <w:keepNext/>
              <w:keepLines/>
              <w:rPr>
                <w:rFonts w:ascii="Arial Narrow" w:hAnsi="Arial Narrow" w:cs="Times New Roman"/>
                <w:iCs/>
                <w:sz w:val="20"/>
              </w:rPr>
            </w:pPr>
            <w:r w:rsidRPr="00826E7C">
              <w:rPr>
                <w:rFonts w:ascii="Arial Narrow" w:hAnsi="Arial Narrow" w:cs="Times New Roman"/>
                <w:sz w:val="20"/>
              </w:rPr>
              <w:t>The model included</w:t>
            </w:r>
            <w:r w:rsidR="00971189" w:rsidRPr="00826E7C">
              <w:rPr>
                <w:rFonts w:ascii="Arial Narrow" w:hAnsi="Arial Narrow" w:cs="Times New Roman"/>
                <w:sz w:val="20"/>
              </w:rPr>
              <w:t xml:space="preserve">: </w:t>
            </w:r>
            <w:r w:rsidRPr="00826E7C">
              <w:rPr>
                <w:rFonts w:ascii="Arial Narrow" w:hAnsi="Arial Narrow" w:cs="Times New Roman"/>
                <w:sz w:val="20"/>
              </w:rPr>
              <w:t>Drug costs for belimumab;</w:t>
            </w:r>
            <w:r w:rsidR="00971189" w:rsidRPr="00826E7C">
              <w:rPr>
                <w:rFonts w:ascii="Arial Narrow" w:hAnsi="Arial Narrow" w:cs="Times New Roman"/>
                <w:sz w:val="20"/>
              </w:rPr>
              <w:t xml:space="preserve"> </w:t>
            </w:r>
            <w:r w:rsidRPr="00826E7C">
              <w:rPr>
                <w:rFonts w:ascii="Arial Narrow" w:hAnsi="Arial Narrow" w:cs="Times New Roman"/>
                <w:sz w:val="20"/>
              </w:rPr>
              <w:t>Background costs by SDI health state (including SOC drugs), estimated from the Monash Lupus Cost Regression Study, and</w:t>
            </w:r>
            <w:r w:rsidR="00971189" w:rsidRPr="00826E7C">
              <w:rPr>
                <w:rFonts w:ascii="Arial Narrow" w:hAnsi="Arial Narrow" w:cs="Times New Roman"/>
                <w:sz w:val="20"/>
              </w:rPr>
              <w:t xml:space="preserve"> </w:t>
            </w:r>
            <w:r w:rsidRPr="00826E7C">
              <w:rPr>
                <w:rFonts w:ascii="Arial Narrow" w:hAnsi="Arial Narrow" w:cs="Times New Roman"/>
                <w:sz w:val="20"/>
              </w:rPr>
              <w:t>Costs associated with treatment of SLE flares, estimated from the Monash Lupus Cohort Regression Study.</w:t>
            </w:r>
            <w:r w:rsidR="00971189" w:rsidRPr="00826E7C">
              <w:rPr>
                <w:rFonts w:ascii="Arial Narrow" w:hAnsi="Arial Narrow" w:cs="Times New Roman"/>
                <w:sz w:val="20"/>
              </w:rPr>
              <w:t xml:space="preserve"> </w:t>
            </w:r>
            <w:r w:rsidRPr="00826E7C">
              <w:rPr>
                <w:rFonts w:ascii="Arial Narrow" w:hAnsi="Arial Narrow" w:cs="Times New Roman"/>
                <w:iCs/>
                <w:sz w:val="20"/>
              </w:rPr>
              <w:t>The estimated costs were generally reasonable.</w:t>
            </w:r>
          </w:p>
        </w:tc>
      </w:tr>
      <w:tr w:rsidR="00172AD3" w:rsidRPr="00F052AC" w:rsidTr="00F85B39">
        <w:tc>
          <w:tcPr>
            <w:tcW w:w="705" w:type="pct"/>
            <w:vAlign w:val="center"/>
          </w:tcPr>
          <w:p w:rsidR="00172AD3" w:rsidRPr="00123713" w:rsidRDefault="00971189" w:rsidP="00F61CA4">
            <w:pPr>
              <w:keepNext/>
              <w:keepLines/>
              <w:rPr>
                <w:rFonts w:ascii="Arial Narrow" w:hAnsi="Arial Narrow" w:cs="Times New Roman"/>
                <w:sz w:val="20"/>
              </w:rPr>
            </w:pPr>
            <w:r>
              <w:rPr>
                <w:rFonts w:ascii="Arial Narrow" w:hAnsi="Arial Narrow" w:cs="Times New Roman"/>
                <w:sz w:val="20"/>
              </w:rPr>
              <w:t>Software</w:t>
            </w:r>
          </w:p>
        </w:tc>
        <w:tc>
          <w:tcPr>
            <w:tcW w:w="4295" w:type="pct"/>
          </w:tcPr>
          <w:p w:rsidR="00172AD3" w:rsidRPr="00826E7C" w:rsidRDefault="00172AD3" w:rsidP="00F61CA4">
            <w:pPr>
              <w:keepNext/>
              <w:keepLines/>
              <w:rPr>
                <w:rFonts w:ascii="Arial Narrow" w:hAnsi="Arial Narrow" w:cs="Times New Roman"/>
                <w:sz w:val="20"/>
              </w:rPr>
            </w:pPr>
            <w:r w:rsidRPr="00826E7C">
              <w:rPr>
                <w:rFonts w:ascii="Arial Narrow" w:hAnsi="Arial Narrow" w:cs="Times New Roman"/>
                <w:sz w:val="20"/>
              </w:rPr>
              <w:t>TreeAge Pro 2019</w:t>
            </w:r>
          </w:p>
        </w:tc>
      </w:tr>
    </w:tbl>
    <w:p w:rsidR="00172AD3" w:rsidRPr="00F052AC" w:rsidRDefault="00172AD3" w:rsidP="00F61CA4">
      <w:pPr>
        <w:keepNext/>
        <w:keepLines/>
        <w:rPr>
          <w:rFonts w:ascii="Arial Narrow" w:hAnsi="Arial Narrow"/>
          <w:sz w:val="18"/>
        </w:rPr>
      </w:pPr>
      <w:r w:rsidRPr="00F052AC">
        <w:rPr>
          <w:rFonts w:ascii="Arial Narrow" w:hAnsi="Arial Narrow"/>
          <w:sz w:val="18"/>
        </w:rPr>
        <w:t xml:space="preserve">Abbreviations: </w:t>
      </w:r>
      <w:r w:rsidRPr="00F052AC">
        <w:rPr>
          <w:rFonts w:ascii="Arial Narrow" w:hAnsi="Arial Narrow"/>
          <w:bCs/>
          <w:sz w:val="17"/>
          <w:szCs w:val="17"/>
        </w:rPr>
        <w:t xml:space="preserve">ACR = American College of Rheumatology; </w:t>
      </w:r>
      <w:r>
        <w:rPr>
          <w:rFonts w:ascii="Arial Narrow" w:hAnsi="Arial Narrow"/>
          <w:bCs/>
          <w:sz w:val="17"/>
          <w:szCs w:val="17"/>
        </w:rPr>
        <w:t xml:space="preserve">BEL = belimumab; </w:t>
      </w:r>
      <w:r w:rsidR="000B2A95" w:rsidRPr="000B2A95">
        <w:rPr>
          <w:rFonts w:ascii="Arial Narrow" w:hAnsi="Arial Narrow"/>
          <w:sz w:val="18"/>
          <w:szCs w:val="18"/>
        </w:rPr>
        <w:t>PSM=</w:t>
      </w:r>
      <w:r w:rsidR="000B2A95" w:rsidRPr="000B2A95">
        <w:rPr>
          <w:rFonts w:ascii="Arial Narrow" w:hAnsi="Arial Narrow" w:cs="Times New Roman"/>
          <w:snapToGrid/>
          <w:sz w:val="18"/>
          <w:szCs w:val="18"/>
          <w:lang w:val="en-US"/>
        </w:rPr>
        <w:t>propensity score matched;</w:t>
      </w:r>
      <w:r w:rsidR="000B2A95">
        <w:rPr>
          <w:rFonts w:ascii="Arial Narrow" w:hAnsi="Arial Narrow" w:cs="Times New Roman"/>
          <w:i/>
          <w:snapToGrid/>
          <w:sz w:val="18"/>
          <w:szCs w:val="18"/>
          <w:lang w:val="en-US"/>
        </w:rPr>
        <w:t xml:space="preserve"> </w:t>
      </w:r>
      <w:r w:rsidRPr="00F052AC">
        <w:rPr>
          <w:rFonts w:ascii="Arial Narrow" w:hAnsi="Arial Narrow"/>
          <w:bCs/>
          <w:sz w:val="17"/>
          <w:szCs w:val="17"/>
        </w:rPr>
        <w:t xml:space="preserve">SDI = SLICC/ACR damage index; </w:t>
      </w:r>
      <w:r w:rsidRPr="00F052AC">
        <w:rPr>
          <w:rFonts w:ascii="Arial Narrow" w:hAnsi="Arial Narrow"/>
          <w:sz w:val="18"/>
        </w:rPr>
        <w:t>SELENA= Safety of Estrogen in Lupus Erythematosus National Assessment; SLEDAI= SLE Disease Activity Index; SLICC = Systemic Lupus International Collaborating Clinics; SRI= SLE Response Index.</w:t>
      </w:r>
    </w:p>
    <w:p w:rsidR="00172AD3" w:rsidRPr="00F052AC" w:rsidRDefault="00172AD3" w:rsidP="00F61CA4">
      <w:pPr>
        <w:keepNext/>
        <w:keepLines/>
        <w:rPr>
          <w:rFonts w:ascii="Arial Narrow" w:hAnsi="Arial Narrow"/>
          <w:sz w:val="20"/>
        </w:rPr>
      </w:pPr>
      <w:r w:rsidRPr="00F052AC">
        <w:rPr>
          <w:rFonts w:ascii="Arial Narrow" w:hAnsi="Arial Narrow"/>
          <w:sz w:val="18"/>
        </w:rPr>
        <w:t>Source: Table 75, p189 of the submission.</w:t>
      </w:r>
    </w:p>
    <w:p w:rsidR="00172AD3" w:rsidRPr="00880C21" w:rsidRDefault="00172AD3" w:rsidP="00DF19B7"/>
    <w:p w:rsidR="00084989" w:rsidRPr="00084989" w:rsidRDefault="00172AD3" w:rsidP="00D5705B">
      <w:pPr>
        <w:pStyle w:val="ListParagraph"/>
        <w:keepNext/>
        <w:keepLines/>
        <w:widowControl/>
        <w:numPr>
          <w:ilvl w:val="1"/>
          <w:numId w:val="1"/>
        </w:numPr>
        <w:suppressLineNumbers/>
        <w:suppressAutoHyphens/>
        <w:spacing w:after="120"/>
        <w:rPr>
          <w:szCs w:val="24"/>
        </w:rPr>
      </w:pPr>
      <w:r>
        <w:lastRenderedPageBreak/>
        <w:t xml:space="preserve">The modelled health states were defined by SDI scores (SDI 0, 1, 2, 3, 4, and </w:t>
      </w:r>
      <w:r>
        <w:rPr>
          <w:rFonts w:cs="Calibri"/>
        </w:rPr>
        <w:t>≥</w:t>
      </w:r>
      <w:r>
        <w:t xml:space="preserve">5), current treatment (belimumab+SOC or SOC) and time (&lt;6months “induction” phase vs </w:t>
      </w:r>
      <w:r>
        <w:rPr>
          <w:rFonts w:cs="Calibri"/>
        </w:rPr>
        <w:t>≥</w:t>
      </w:r>
      <w:r>
        <w:t xml:space="preserve">6 months). The model did not track patients by SELENA-SLEDAI score, but assumed patients with </w:t>
      </w:r>
      <w:r>
        <w:rPr>
          <w:rFonts w:cs="Calibri"/>
        </w:rPr>
        <w:t>≥</w:t>
      </w:r>
      <w:r>
        <w:t>4 point reduction from baseline remained on belimumab after the first cycle</w:t>
      </w:r>
      <w:r w:rsidR="00084989">
        <w:t xml:space="preserve">. </w:t>
      </w:r>
      <w:r w:rsidR="000E3420">
        <w:t>Table 1</w:t>
      </w:r>
      <w:r w:rsidR="00F61CA4">
        <w:t>2</w:t>
      </w:r>
      <w:r w:rsidR="00084989">
        <w:t xml:space="preserve"> outlines some of the key inputs and assumptions in the model, which are explained further below.</w:t>
      </w:r>
    </w:p>
    <w:p w:rsidR="00084989" w:rsidRPr="00084989" w:rsidRDefault="00084989" w:rsidP="00D5705B">
      <w:pPr>
        <w:pStyle w:val="ListParagraph"/>
        <w:keepNext/>
        <w:keepLines/>
        <w:widowControl/>
        <w:suppressLineNumbers/>
        <w:suppressAutoHyphens/>
        <w:spacing w:after="0"/>
        <w:ind w:left="0"/>
        <w:rPr>
          <w:rStyle w:val="CommentReference"/>
        </w:rPr>
      </w:pPr>
      <w:r>
        <w:rPr>
          <w:rStyle w:val="CommentReference"/>
        </w:rPr>
        <w:t xml:space="preserve">Table </w:t>
      </w:r>
      <w:r w:rsidR="000E3420">
        <w:rPr>
          <w:rStyle w:val="CommentReference"/>
        </w:rPr>
        <w:t>1</w:t>
      </w:r>
      <w:r w:rsidR="00F61CA4">
        <w:rPr>
          <w:rStyle w:val="CommentReference"/>
        </w:rPr>
        <w:t>2</w:t>
      </w:r>
      <w:r>
        <w:rPr>
          <w:rStyle w:val="CommentReference"/>
        </w:rPr>
        <w:t>: Outline of the k</w:t>
      </w:r>
      <w:r w:rsidRPr="00084989">
        <w:rPr>
          <w:rStyle w:val="CommentReference"/>
        </w:rPr>
        <w:t>ey inputs and assumptions in the economic model</w:t>
      </w:r>
    </w:p>
    <w:tbl>
      <w:tblPr>
        <w:tblStyle w:val="TableGrid"/>
        <w:tblW w:w="5000" w:type="pct"/>
        <w:tblLook w:val="04A0" w:firstRow="1" w:lastRow="0" w:firstColumn="1" w:lastColumn="0" w:noHBand="0" w:noVBand="1"/>
        <w:tblCaption w:val="Table 12: Outline of the key inputs and assumptions in the economic model"/>
      </w:tblPr>
      <w:tblGrid>
        <w:gridCol w:w="1129"/>
        <w:gridCol w:w="2552"/>
        <w:gridCol w:w="2267"/>
        <w:gridCol w:w="3069"/>
      </w:tblGrid>
      <w:tr w:rsidR="006E781A" w:rsidTr="009B4321">
        <w:trPr>
          <w:tblHeader/>
        </w:trPr>
        <w:tc>
          <w:tcPr>
            <w:tcW w:w="626" w:type="pct"/>
          </w:tcPr>
          <w:p w:rsidR="00084989" w:rsidRDefault="00084989" w:rsidP="00D5705B">
            <w:pPr>
              <w:pStyle w:val="Tabletext"/>
              <w:keepNext/>
              <w:keepLines/>
              <w:suppressLineNumbers/>
              <w:suppressAutoHyphens/>
            </w:pPr>
            <w:r w:rsidRPr="002A7452">
              <w:rPr>
                <w:b/>
              </w:rPr>
              <w:t>Health state</w:t>
            </w:r>
          </w:p>
        </w:tc>
        <w:tc>
          <w:tcPr>
            <w:tcW w:w="1415" w:type="pct"/>
          </w:tcPr>
          <w:p w:rsidR="00084989" w:rsidRPr="000D2FBA" w:rsidRDefault="00084989" w:rsidP="00D5705B">
            <w:pPr>
              <w:pStyle w:val="Tabletext"/>
              <w:keepNext/>
              <w:keepLines/>
              <w:suppressLineNumbers/>
              <w:suppressAutoHyphens/>
              <w:jc w:val="center"/>
              <w:rPr>
                <w:b/>
              </w:rPr>
            </w:pPr>
            <w:r w:rsidRPr="000D2FBA">
              <w:rPr>
                <w:b/>
              </w:rPr>
              <w:t>Probability of response at 24 weeks</w:t>
            </w:r>
          </w:p>
        </w:tc>
        <w:tc>
          <w:tcPr>
            <w:tcW w:w="1257" w:type="pct"/>
          </w:tcPr>
          <w:p w:rsidR="00084989" w:rsidRPr="000D2FBA" w:rsidRDefault="00084989" w:rsidP="00D5705B">
            <w:pPr>
              <w:pStyle w:val="Tabletext"/>
              <w:keepNext/>
              <w:keepLines/>
              <w:suppressLineNumbers/>
              <w:suppressAutoHyphens/>
              <w:jc w:val="center"/>
              <w:rPr>
                <w:b/>
              </w:rPr>
            </w:pPr>
            <w:r w:rsidRPr="000D2FBA">
              <w:rPr>
                <w:b/>
              </w:rPr>
              <w:t xml:space="preserve">Utilities </w:t>
            </w:r>
            <w:r w:rsidR="00FE4781">
              <w:rPr>
                <w:b/>
              </w:rPr>
              <w:t>(</w:t>
            </w:r>
            <w:r w:rsidRPr="000D2FBA">
              <w:rPr>
                <w:b/>
              </w:rPr>
              <w:t>base case</w:t>
            </w:r>
            <w:r w:rsidR="00FE4781">
              <w:rPr>
                <w:b/>
              </w:rPr>
              <w:t>)</w:t>
            </w:r>
          </w:p>
        </w:tc>
        <w:tc>
          <w:tcPr>
            <w:tcW w:w="1702" w:type="pct"/>
          </w:tcPr>
          <w:p w:rsidR="00084989" w:rsidRPr="000D2FBA" w:rsidRDefault="00084989" w:rsidP="00D5705B">
            <w:pPr>
              <w:pStyle w:val="Tabletext"/>
              <w:keepNext/>
              <w:keepLines/>
              <w:suppressLineNumbers/>
              <w:suppressAutoHyphens/>
              <w:jc w:val="center"/>
              <w:rPr>
                <w:b/>
              </w:rPr>
            </w:pPr>
            <w:r w:rsidRPr="000D2FBA">
              <w:rPr>
                <w:b/>
              </w:rPr>
              <w:t>SDI progression</w:t>
            </w:r>
            <w:r w:rsidR="00341DF0">
              <w:rPr>
                <w:b/>
              </w:rPr>
              <w:t xml:space="preserve"> (used to estimate costs and mortality)</w:t>
            </w:r>
          </w:p>
        </w:tc>
      </w:tr>
      <w:tr w:rsidR="00084989" w:rsidTr="009B4321">
        <w:trPr>
          <w:tblHeader/>
        </w:trPr>
        <w:tc>
          <w:tcPr>
            <w:tcW w:w="5000" w:type="pct"/>
            <w:gridSpan w:val="4"/>
          </w:tcPr>
          <w:p w:rsidR="00084989" w:rsidRPr="002A7452" w:rsidRDefault="00084989" w:rsidP="00D5705B">
            <w:pPr>
              <w:pStyle w:val="Tabletext"/>
              <w:keepNext/>
              <w:keepLines/>
              <w:suppressLineNumbers/>
              <w:suppressAutoHyphens/>
              <w:rPr>
                <w:b/>
              </w:rPr>
            </w:pPr>
            <w:r w:rsidRPr="002A7452">
              <w:rPr>
                <w:b/>
              </w:rPr>
              <w:t>First 6 months only</w:t>
            </w:r>
          </w:p>
        </w:tc>
      </w:tr>
      <w:tr w:rsidR="006E781A" w:rsidTr="009B4321">
        <w:trPr>
          <w:tblHeader/>
        </w:trPr>
        <w:tc>
          <w:tcPr>
            <w:tcW w:w="626" w:type="pct"/>
          </w:tcPr>
          <w:p w:rsidR="00084989" w:rsidRPr="00826E7C" w:rsidRDefault="00084989" w:rsidP="00D5705B">
            <w:pPr>
              <w:pStyle w:val="Tabletext"/>
              <w:keepNext/>
              <w:keepLines/>
              <w:suppressLineNumbers/>
              <w:suppressAutoHyphens/>
            </w:pPr>
            <w:r w:rsidRPr="00826E7C">
              <w:rPr>
                <w:b/>
              </w:rPr>
              <w:t>“BEL induction”</w:t>
            </w:r>
            <w:r w:rsidRPr="00826E7C">
              <w:t xml:space="preserve"> (SDI 0 to ≥5)</w:t>
            </w:r>
          </w:p>
        </w:tc>
        <w:tc>
          <w:tcPr>
            <w:tcW w:w="1415" w:type="pct"/>
          </w:tcPr>
          <w:p w:rsidR="00084989" w:rsidRPr="00826E7C" w:rsidRDefault="002F523C" w:rsidP="00D5705B">
            <w:pPr>
              <w:pStyle w:val="Tabletext"/>
              <w:keepNext/>
              <w:keepLines/>
              <w:suppressLineNumbers/>
              <w:suppressAutoHyphens/>
            </w:pPr>
            <w:r w:rsidRPr="00826E7C">
              <w:t xml:space="preserve">Based on </w:t>
            </w:r>
            <w:r w:rsidR="00084989" w:rsidRPr="00826E7C">
              <w:t>BLISS-SC</w:t>
            </w:r>
            <w:r w:rsidRPr="00826E7C">
              <w:t>:</w:t>
            </w:r>
            <w:r w:rsidR="00084989" w:rsidRPr="00826E7C">
              <w:t xml:space="preserve"> % with ≥4 reduction in SELENA-SLEDAI score at Week 24 (61% of patients respond and continue BEL at Week 24</w:t>
            </w:r>
            <w:r w:rsidR="0080407D" w:rsidRPr="00826E7C">
              <w:t>;</w:t>
            </w:r>
            <w:r w:rsidR="00084989" w:rsidRPr="00826E7C">
              <w:t xml:space="preserve"> non-responders move to “SOC”)</w:t>
            </w:r>
          </w:p>
        </w:tc>
        <w:tc>
          <w:tcPr>
            <w:tcW w:w="1257" w:type="pct"/>
          </w:tcPr>
          <w:p w:rsidR="00084989" w:rsidRPr="00826E7C" w:rsidRDefault="00084989" w:rsidP="00D5705B">
            <w:pPr>
              <w:pStyle w:val="Tabletext"/>
              <w:keepNext/>
              <w:keepLines/>
              <w:suppressLineNumbers/>
              <w:suppressAutoHyphens/>
            </w:pPr>
            <w:r w:rsidRPr="00826E7C">
              <w:t>0.619 (</w:t>
            </w:r>
            <w:r w:rsidR="000D2C99" w:rsidRPr="00826E7C">
              <w:rPr>
                <w:b/>
              </w:rPr>
              <w:t>SLEDAI &gt;4</w:t>
            </w:r>
            <w:r w:rsidRPr="00826E7C">
              <w:t>; based on Wang et al 2014, EQ-5D)</w:t>
            </w:r>
            <w:r w:rsidR="002F523C" w:rsidRPr="00826E7C">
              <w:t>.</w:t>
            </w:r>
          </w:p>
          <w:p w:rsidR="002F523C" w:rsidRPr="00826E7C" w:rsidRDefault="002F523C" w:rsidP="00D5705B">
            <w:pPr>
              <w:pStyle w:val="Tabletext"/>
              <w:keepNext/>
              <w:keepLines/>
              <w:suppressLineNumbers/>
              <w:suppressAutoHyphens/>
            </w:pPr>
            <w:r w:rsidRPr="00826E7C">
              <w:t>i.e. all patients were assumed to have SLEDAI &gt;4</w:t>
            </w:r>
          </w:p>
        </w:tc>
        <w:tc>
          <w:tcPr>
            <w:tcW w:w="1702" w:type="pct"/>
          </w:tcPr>
          <w:p w:rsidR="00084989" w:rsidRPr="00826E7C" w:rsidRDefault="000E3420" w:rsidP="00D5705B">
            <w:pPr>
              <w:pStyle w:val="Tabletext"/>
              <w:keepNext/>
              <w:keepLines/>
              <w:suppressLineNumbers/>
              <w:suppressAutoHyphens/>
            </w:pPr>
            <w:r w:rsidRPr="00826E7C">
              <w:t>NA</w:t>
            </w:r>
          </w:p>
        </w:tc>
      </w:tr>
      <w:tr w:rsidR="006E781A" w:rsidTr="009B4321">
        <w:trPr>
          <w:tblHeader/>
        </w:trPr>
        <w:tc>
          <w:tcPr>
            <w:tcW w:w="626" w:type="pct"/>
          </w:tcPr>
          <w:p w:rsidR="00084989" w:rsidRPr="00826E7C" w:rsidRDefault="00084989" w:rsidP="00D5705B">
            <w:pPr>
              <w:pStyle w:val="Tabletext"/>
              <w:keepNext/>
              <w:keepLines/>
              <w:suppressLineNumbers/>
              <w:suppressAutoHyphens/>
            </w:pPr>
            <w:r w:rsidRPr="00826E7C">
              <w:rPr>
                <w:b/>
              </w:rPr>
              <w:t>“SOC induction”</w:t>
            </w:r>
            <w:r w:rsidRPr="00826E7C">
              <w:t xml:space="preserve"> (SDI 0 to ≥5)</w:t>
            </w:r>
          </w:p>
        </w:tc>
        <w:tc>
          <w:tcPr>
            <w:tcW w:w="1415" w:type="pct"/>
          </w:tcPr>
          <w:p w:rsidR="00084989" w:rsidRPr="00826E7C" w:rsidRDefault="00036C17" w:rsidP="00D5705B">
            <w:pPr>
              <w:pStyle w:val="Tabletext"/>
              <w:keepNext/>
              <w:keepLines/>
              <w:suppressLineNumbers/>
              <w:suppressAutoHyphens/>
            </w:pPr>
            <w:r w:rsidRPr="00826E7C">
              <w:t>No separate health state</w:t>
            </w:r>
            <w:r w:rsidR="006E781A" w:rsidRPr="00826E7C">
              <w:t>s</w:t>
            </w:r>
            <w:r w:rsidRPr="00826E7C">
              <w:t xml:space="preserve"> for </w:t>
            </w:r>
            <w:r w:rsidR="006E781A" w:rsidRPr="00826E7C">
              <w:t xml:space="preserve">SOC </w:t>
            </w:r>
            <w:r w:rsidRPr="00826E7C">
              <w:t>r</w:t>
            </w:r>
            <w:r w:rsidR="00084989" w:rsidRPr="00826E7C">
              <w:t>espon</w:t>
            </w:r>
            <w:r w:rsidRPr="00826E7C">
              <w:t>ders</w:t>
            </w:r>
            <w:r w:rsidR="006E781A" w:rsidRPr="00826E7C">
              <w:t xml:space="preserve"> and non-responders</w:t>
            </w:r>
            <w:r w:rsidR="00084989" w:rsidRPr="00826E7C">
              <w:t xml:space="preserve"> (despite 53.2% of placebo patients responding at Week 24)</w:t>
            </w:r>
          </w:p>
        </w:tc>
        <w:tc>
          <w:tcPr>
            <w:tcW w:w="1257" w:type="pct"/>
          </w:tcPr>
          <w:p w:rsidR="00084989" w:rsidRPr="00826E7C" w:rsidRDefault="00084989" w:rsidP="00D5705B">
            <w:pPr>
              <w:pStyle w:val="Tabletext"/>
              <w:keepNext/>
              <w:keepLines/>
              <w:suppressLineNumbers/>
              <w:suppressAutoHyphens/>
            </w:pPr>
            <w:r w:rsidRPr="00826E7C">
              <w:t>0.619 (as above)</w:t>
            </w:r>
          </w:p>
        </w:tc>
        <w:tc>
          <w:tcPr>
            <w:tcW w:w="1702" w:type="pct"/>
          </w:tcPr>
          <w:p w:rsidR="00084989" w:rsidRPr="00826E7C" w:rsidRDefault="000E3420" w:rsidP="00D5705B">
            <w:pPr>
              <w:pStyle w:val="Tabletext"/>
              <w:keepNext/>
              <w:keepLines/>
              <w:suppressLineNumbers/>
              <w:suppressAutoHyphens/>
            </w:pPr>
            <w:r w:rsidRPr="00826E7C">
              <w:t>NA</w:t>
            </w:r>
          </w:p>
        </w:tc>
      </w:tr>
      <w:tr w:rsidR="00084989" w:rsidTr="009B4321">
        <w:trPr>
          <w:tblHeader/>
        </w:trPr>
        <w:tc>
          <w:tcPr>
            <w:tcW w:w="5000" w:type="pct"/>
            <w:gridSpan w:val="4"/>
          </w:tcPr>
          <w:p w:rsidR="00084989" w:rsidRPr="00826E7C" w:rsidRDefault="00084989" w:rsidP="00D5705B">
            <w:pPr>
              <w:pStyle w:val="Tabletext"/>
              <w:keepNext/>
              <w:keepLines/>
              <w:suppressLineNumbers/>
              <w:suppressAutoHyphens/>
              <w:rPr>
                <w:b/>
              </w:rPr>
            </w:pPr>
            <w:r w:rsidRPr="00826E7C">
              <w:rPr>
                <w:b/>
              </w:rPr>
              <w:t xml:space="preserve">≥ 6 months </w:t>
            </w:r>
          </w:p>
        </w:tc>
      </w:tr>
      <w:tr w:rsidR="006E781A" w:rsidTr="009B4321">
        <w:trPr>
          <w:tblHeader/>
        </w:trPr>
        <w:tc>
          <w:tcPr>
            <w:tcW w:w="626" w:type="pct"/>
          </w:tcPr>
          <w:p w:rsidR="00084989" w:rsidRPr="00826E7C" w:rsidRDefault="00084989" w:rsidP="00D5705B">
            <w:pPr>
              <w:pStyle w:val="Tabletext"/>
              <w:keepNext/>
              <w:keepLines/>
              <w:suppressLineNumbers/>
              <w:suppressAutoHyphens/>
            </w:pPr>
            <w:r w:rsidRPr="00826E7C">
              <w:rPr>
                <w:b/>
              </w:rPr>
              <w:t>“BEL responder”</w:t>
            </w:r>
            <w:r w:rsidRPr="00826E7C">
              <w:t xml:space="preserve"> (SDI 0 to ≥5)</w:t>
            </w:r>
          </w:p>
        </w:tc>
        <w:tc>
          <w:tcPr>
            <w:tcW w:w="1415" w:type="pct"/>
          </w:tcPr>
          <w:p w:rsidR="00084989" w:rsidRPr="00826E7C" w:rsidRDefault="000E3420" w:rsidP="00D5705B">
            <w:pPr>
              <w:pStyle w:val="Tabletext"/>
              <w:keepNext/>
              <w:keepLines/>
              <w:suppressLineNumbers/>
              <w:suppressAutoHyphens/>
            </w:pPr>
            <w:r w:rsidRPr="00826E7C">
              <w:t>NA</w:t>
            </w:r>
          </w:p>
        </w:tc>
        <w:tc>
          <w:tcPr>
            <w:tcW w:w="1257" w:type="pct"/>
          </w:tcPr>
          <w:p w:rsidR="00084989" w:rsidRPr="00826E7C" w:rsidRDefault="00084989" w:rsidP="00D5705B">
            <w:pPr>
              <w:pStyle w:val="Tabletext"/>
              <w:keepNext/>
              <w:keepLines/>
              <w:suppressLineNumbers/>
              <w:suppressAutoHyphens/>
            </w:pPr>
            <w:r w:rsidRPr="00826E7C">
              <w:t>0.846 (</w:t>
            </w:r>
            <w:r w:rsidRPr="00826E7C">
              <w:rPr>
                <w:b/>
              </w:rPr>
              <w:t>SLEDAI ≤4</w:t>
            </w:r>
            <w:r w:rsidRPr="00826E7C">
              <w:t>,  based on Wang et al 2014, EQ-5D</w:t>
            </w:r>
          </w:p>
        </w:tc>
        <w:tc>
          <w:tcPr>
            <w:tcW w:w="1702" w:type="pct"/>
          </w:tcPr>
          <w:p w:rsidR="00084989" w:rsidRPr="00826E7C" w:rsidRDefault="008713D9" w:rsidP="00D5705B">
            <w:pPr>
              <w:pStyle w:val="Tabletext"/>
              <w:keepNext/>
              <w:keepLines/>
              <w:suppressLineNumbers/>
              <w:suppressAutoHyphens/>
            </w:pPr>
            <w:r w:rsidRPr="00826E7C">
              <w:t xml:space="preserve">Applied the HR reported in the PSM analysis (Urowitz 2018) for SDI progression (HR = 0.39) to the </w:t>
            </w:r>
            <w:r w:rsidR="00370F30" w:rsidRPr="00826E7C">
              <w:t>“</w:t>
            </w:r>
            <w:r w:rsidR="00084989" w:rsidRPr="00826E7C">
              <w:t>SOC</w:t>
            </w:r>
            <w:r w:rsidR="00370F30" w:rsidRPr="00826E7C">
              <w:t>”</w:t>
            </w:r>
            <w:r w:rsidR="00084989" w:rsidRPr="00826E7C">
              <w:t xml:space="preserve"> probabilities.</w:t>
            </w:r>
            <w:r w:rsidR="00370F30" w:rsidRPr="00826E7C">
              <w:t xml:space="preserve"> Applied</w:t>
            </w:r>
            <w:r w:rsidR="00084989" w:rsidRPr="00826E7C">
              <w:t xml:space="preserve"> constant</w:t>
            </w:r>
            <w:r w:rsidR="00370F30" w:rsidRPr="00826E7C">
              <w:t>ly</w:t>
            </w:r>
            <w:r w:rsidR="00084989" w:rsidRPr="00826E7C">
              <w:t xml:space="preserve"> over time.</w:t>
            </w:r>
            <w:r w:rsidR="00FE4781" w:rsidRPr="00826E7C">
              <w:t xml:space="preserve"> </w:t>
            </w:r>
            <w:r w:rsidR="0080407D" w:rsidRPr="00826E7C">
              <w:t>PSCR</w:t>
            </w:r>
            <w:r w:rsidR="0004729A" w:rsidRPr="00826E7C">
              <w:t xml:space="preserve"> stated the</w:t>
            </w:r>
            <w:r w:rsidR="0080407D" w:rsidRPr="00826E7C">
              <w:t xml:space="preserve"> HR includes all BEL patients </w:t>
            </w:r>
            <w:r w:rsidR="00F85B39" w:rsidRPr="00826E7C">
              <w:t>non just responders</w:t>
            </w:r>
            <w:r w:rsidR="0004729A" w:rsidRPr="00826E7C">
              <w:t xml:space="preserve"> (and </w:t>
            </w:r>
            <w:r w:rsidR="00036C17" w:rsidRPr="00826E7C">
              <w:t xml:space="preserve">stated </w:t>
            </w:r>
            <w:r w:rsidR="00B46C57" w:rsidRPr="00826E7C">
              <w:t>that it was therefore</w:t>
            </w:r>
            <w:r w:rsidR="0004729A" w:rsidRPr="00826E7C">
              <w:t xml:space="preserve"> conservative)</w:t>
            </w:r>
          </w:p>
        </w:tc>
      </w:tr>
      <w:tr w:rsidR="006E781A" w:rsidTr="009B4321">
        <w:trPr>
          <w:tblHeader/>
        </w:trPr>
        <w:tc>
          <w:tcPr>
            <w:tcW w:w="626" w:type="pct"/>
          </w:tcPr>
          <w:p w:rsidR="00084989" w:rsidRPr="00826E7C" w:rsidRDefault="00084989" w:rsidP="00D5705B">
            <w:pPr>
              <w:pStyle w:val="Tabletext"/>
              <w:keepNext/>
              <w:keepLines/>
              <w:suppressLineNumbers/>
              <w:suppressAutoHyphens/>
            </w:pPr>
            <w:r w:rsidRPr="00826E7C">
              <w:rPr>
                <w:b/>
              </w:rPr>
              <w:t>“SOC”</w:t>
            </w:r>
            <w:r w:rsidRPr="00826E7C">
              <w:t xml:space="preserve"> (SDI 0 to 5 ≥5)</w:t>
            </w:r>
          </w:p>
          <w:p w:rsidR="0080407D" w:rsidRPr="00826E7C" w:rsidRDefault="00036C17" w:rsidP="00D5705B">
            <w:pPr>
              <w:pStyle w:val="Tabletext"/>
              <w:keepNext/>
              <w:keepLines/>
              <w:suppressLineNumbers/>
              <w:suppressAutoHyphens/>
            </w:pPr>
            <w:r w:rsidRPr="00826E7C">
              <w:t xml:space="preserve">Includes BEL non-responders </w:t>
            </w:r>
          </w:p>
        </w:tc>
        <w:tc>
          <w:tcPr>
            <w:tcW w:w="1415" w:type="pct"/>
          </w:tcPr>
          <w:p w:rsidR="00084989" w:rsidRPr="00826E7C" w:rsidRDefault="000E3420" w:rsidP="00D5705B">
            <w:pPr>
              <w:pStyle w:val="Tabletext"/>
              <w:keepNext/>
              <w:keepLines/>
              <w:suppressLineNumbers/>
              <w:suppressAutoHyphens/>
            </w:pPr>
            <w:r w:rsidRPr="00826E7C">
              <w:t>NA</w:t>
            </w:r>
          </w:p>
        </w:tc>
        <w:tc>
          <w:tcPr>
            <w:tcW w:w="1257" w:type="pct"/>
          </w:tcPr>
          <w:p w:rsidR="00084989" w:rsidRPr="00826E7C" w:rsidRDefault="00084989" w:rsidP="00D5705B">
            <w:pPr>
              <w:pStyle w:val="Tabletext"/>
              <w:keepNext/>
              <w:keepLines/>
              <w:suppressLineNumbers/>
              <w:suppressAutoHyphens/>
            </w:pPr>
            <w:r w:rsidRPr="00826E7C">
              <w:t>0.74 (weighted average by % PBO responders BLISS-SC (53.2% x 0.846 + 46.8% x 0.619).</w:t>
            </w:r>
            <w:r w:rsidR="00FE4781" w:rsidRPr="00826E7C">
              <w:t xml:space="preserve"> </w:t>
            </w:r>
            <w:r w:rsidRPr="00826E7C">
              <w:t>BEL non-responders</w:t>
            </w:r>
            <w:r w:rsidR="0080407D" w:rsidRPr="00826E7C">
              <w:t xml:space="preserve"> are attributed a utility that includes a weighted % of ‘responders’.</w:t>
            </w:r>
            <w:r w:rsidRPr="00826E7C">
              <w:t xml:space="preserve"> </w:t>
            </w:r>
          </w:p>
        </w:tc>
        <w:tc>
          <w:tcPr>
            <w:tcW w:w="1702" w:type="pct"/>
          </w:tcPr>
          <w:p w:rsidR="0080407D" w:rsidRPr="00826E7C" w:rsidRDefault="00084989" w:rsidP="00D5705B">
            <w:pPr>
              <w:pStyle w:val="Tabletext"/>
              <w:keepNext/>
              <w:keepLines/>
              <w:suppressLineNumbers/>
              <w:suppressAutoHyphens/>
            </w:pPr>
            <w:r w:rsidRPr="00826E7C">
              <w:t>Based on Bruce 2015</w:t>
            </w:r>
          </w:p>
          <w:p w:rsidR="0080407D" w:rsidRPr="00826E7C" w:rsidRDefault="0080407D" w:rsidP="00D5705B">
            <w:pPr>
              <w:pStyle w:val="Tabletext"/>
              <w:keepNext/>
              <w:keepLines/>
              <w:suppressLineNumbers/>
              <w:suppressAutoHyphens/>
            </w:pPr>
            <w:r w:rsidRPr="00826E7C">
              <w:t>A</w:t>
            </w:r>
            <w:r w:rsidR="00084989" w:rsidRPr="00826E7C">
              <w:t xml:space="preserve">pplied regardless of whether patient was a “responder” or </w:t>
            </w:r>
            <w:r w:rsidRPr="00826E7C">
              <w:t>not.</w:t>
            </w:r>
          </w:p>
          <w:p w:rsidR="00084989" w:rsidRPr="00826E7C" w:rsidRDefault="0080407D" w:rsidP="00D5705B">
            <w:pPr>
              <w:pStyle w:val="Tabletext"/>
              <w:keepNext/>
              <w:keepLines/>
              <w:suppressLineNumbers/>
              <w:suppressAutoHyphens/>
            </w:pPr>
            <w:r w:rsidRPr="00826E7C">
              <w:t>C</w:t>
            </w:r>
            <w:r w:rsidR="00084989" w:rsidRPr="00826E7C">
              <w:t xml:space="preserve">onstant </w:t>
            </w:r>
            <w:r w:rsidRPr="00826E7C">
              <w:t>probabilit</w:t>
            </w:r>
            <w:r w:rsidR="00036C17" w:rsidRPr="00826E7C">
              <w:t>ies</w:t>
            </w:r>
            <w:r w:rsidRPr="00826E7C">
              <w:t xml:space="preserve"> applied </w:t>
            </w:r>
            <w:r w:rsidR="00084989" w:rsidRPr="00826E7C">
              <w:t>over time</w:t>
            </w:r>
            <w:r w:rsidRPr="00826E7C">
              <w:t>.</w:t>
            </w:r>
          </w:p>
        </w:tc>
      </w:tr>
    </w:tbl>
    <w:p w:rsidR="000E3420" w:rsidRDefault="000E3420" w:rsidP="00D5705B">
      <w:pPr>
        <w:pStyle w:val="TableFooter"/>
        <w:keepNext/>
        <w:keepLines/>
        <w:widowControl/>
        <w:suppressLineNumbers/>
        <w:suppressAutoHyphens/>
      </w:pPr>
      <w:r>
        <w:t xml:space="preserve">Abbreviations: BEL=belimumab; HR=hazard ratio; NA=not applicable; PBO=placebo; PSCR=Pre-Sub-Committee response; </w:t>
      </w:r>
      <w:r w:rsidR="00A11981">
        <w:rPr>
          <w:bCs/>
          <w:szCs w:val="18"/>
        </w:rPr>
        <w:t>SDI</w:t>
      </w:r>
      <w:r w:rsidR="00A11981" w:rsidRPr="00A11981">
        <w:rPr>
          <w:bCs/>
          <w:szCs w:val="18"/>
        </w:rPr>
        <w:t>= SLICC/ACR damage index</w:t>
      </w:r>
      <w:r w:rsidR="00A11981" w:rsidRPr="00A11981">
        <w:rPr>
          <w:szCs w:val="18"/>
        </w:rPr>
        <w:t>;</w:t>
      </w:r>
      <w:r w:rsidR="00A11981">
        <w:t xml:space="preserve"> </w:t>
      </w:r>
      <w:r>
        <w:t>SLE=systemic lupus erythematosus; SLEDAI=</w:t>
      </w:r>
      <w:r w:rsidRPr="00F052AC">
        <w:t>SLE Disease Activity Index;</w:t>
      </w:r>
      <w:r>
        <w:t xml:space="preserve"> SOC=standard of care.</w:t>
      </w:r>
    </w:p>
    <w:p w:rsidR="00084989" w:rsidRPr="00084989" w:rsidRDefault="00084989" w:rsidP="00D5705B">
      <w:pPr>
        <w:pStyle w:val="TableFooter"/>
        <w:keepNext/>
        <w:keepLines/>
        <w:widowControl/>
        <w:suppressLineNumbers/>
        <w:suppressAutoHyphens/>
        <w:spacing w:after="240"/>
      </w:pPr>
      <w:r>
        <w:t>Source: Compiled during preparation of ESC Advice</w:t>
      </w:r>
      <w:r w:rsidR="000E3420">
        <w:t>.</w:t>
      </w:r>
    </w:p>
    <w:p w:rsidR="00172AD3" w:rsidRPr="00085EFA" w:rsidRDefault="0080407D" w:rsidP="00FF5FCE">
      <w:pPr>
        <w:pStyle w:val="ListParagraph"/>
        <w:widowControl/>
        <w:numPr>
          <w:ilvl w:val="1"/>
          <w:numId w:val="1"/>
        </w:numPr>
        <w:spacing w:after="120"/>
        <w:rPr>
          <w:szCs w:val="24"/>
        </w:rPr>
      </w:pPr>
      <w:r>
        <w:t>In summary</w:t>
      </w:r>
      <w:r w:rsidR="00172AD3">
        <w:t>:</w:t>
      </w:r>
    </w:p>
    <w:p w:rsidR="00172AD3" w:rsidRPr="00085EFA" w:rsidRDefault="00172AD3" w:rsidP="00FF5FCE">
      <w:pPr>
        <w:pStyle w:val="ListParagraph"/>
        <w:widowControl/>
        <w:numPr>
          <w:ilvl w:val="0"/>
          <w:numId w:val="10"/>
        </w:numPr>
        <w:spacing w:after="120"/>
        <w:ind w:left="1134" w:hanging="357"/>
        <w:rPr>
          <w:szCs w:val="24"/>
        </w:rPr>
      </w:pPr>
      <w:r w:rsidRPr="00085EFA">
        <w:t>All patients entered the model in one of the “BEL induction” or “SOC induction” health states, depending on SDI score at baseline. Patients that survive</w:t>
      </w:r>
      <w:r w:rsidR="007F1DE4">
        <w:t>d</w:t>
      </w:r>
      <w:r w:rsidRPr="00085EFA">
        <w:t xml:space="preserve"> each cycle either maintained the same SDI score or experience</w:t>
      </w:r>
      <w:r w:rsidR="00511406">
        <w:t>d</w:t>
      </w:r>
      <w:r w:rsidRPr="00085EFA">
        <w:t xml:space="preserve"> a one unit increase in SDI score in the subsequent cycle.</w:t>
      </w:r>
    </w:p>
    <w:p w:rsidR="00172AD3" w:rsidRPr="00EB6605" w:rsidRDefault="00172AD3" w:rsidP="00FF5FCE">
      <w:pPr>
        <w:pStyle w:val="ListParagraph"/>
        <w:widowControl/>
        <w:numPr>
          <w:ilvl w:val="0"/>
          <w:numId w:val="10"/>
        </w:numPr>
        <w:spacing w:after="120"/>
        <w:ind w:left="1134" w:hanging="357"/>
        <w:rPr>
          <w:szCs w:val="24"/>
        </w:rPr>
      </w:pPr>
      <w:r>
        <w:t>In the belimumab arm, all patients commence</w:t>
      </w:r>
      <w:r w:rsidR="00511406">
        <w:t>d on treatment and those that m</w:t>
      </w:r>
      <w:r>
        <w:t xml:space="preserve">et the response criteria at Week 24 remained on treatment, irrespective of SDI </w:t>
      </w:r>
      <w:r>
        <w:lastRenderedPageBreak/>
        <w:t xml:space="preserve">progression. Treatment discontinuation thereafter was based on an annual discontinuation rate for patients with SDI </w:t>
      </w:r>
      <w:r>
        <w:rPr>
          <w:rFonts w:cs="Calibri"/>
        </w:rPr>
        <w:t>≤</w:t>
      </w:r>
      <w:r>
        <w:t xml:space="preserve">4 or mandatory discontinuation for patients with SDI </w:t>
      </w:r>
      <w:r>
        <w:rPr>
          <w:rFonts w:cs="Calibri"/>
        </w:rPr>
        <w:t>≥</w:t>
      </w:r>
      <w:r>
        <w:t>5. Responders remained in one of the “BEL responder” health states whereas non-responders transitioned to one of the “SOC” health states, according to SDI score / progression.</w:t>
      </w:r>
    </w:p>
    <w:p w:rsidR="00172AD3" w:rsidRPr="00C46CA0" w:rsidRDefault="00172AD3" w:rsidP="00FF5FCE">
      <w:pPr>
        <w:pStyle w:val="ListParagraph"/>
        <w:widowControl/>
        <w:numPr>
          <w:ilvl w:val="0"/>
          <w:numId w:val="10"/>
        </w:numPr>
        <w:spacing w:after="120"/>
        <w:ind w:left="1134" w:hanging="357"/>
        <w:rPr>
          <w:szCs w:val="24"/>
        </w:rPr>
      </w:pPr>
      <w:r>
        <w:t xml:space="preserve">In the SOC arm, all patients commenced on SOC </w:t>
      </w:r>
      <w:r w:rsidR="00D16BC3">
        <w:t>who</w:t>
      </w:r>
      <w:r>
        <w:t xml:space="preserve"> survive</w:t>
      </w:r>
      <w:r w:rsidR="00511406">
        <w:t>d</w:t>
      </w:r>
      <w:r>
        <w:t xml:space="preserve"> the first cycle transition</w:t>
      </w:r>
      <w:r w:rsidR="008F03D3">
        <w:t>ed</w:t>
      </w:r>
      <w:r>
        <w:t xml:space="preserve"> from one of the “SOC induction”</w:t>
      </w:r>
      <w:r w:rsidR="008F03D3">
        <w:t xml:space="preserve"> health states</w:t>
      </w:r>
      <w:r>
        <w:t xml:space="preserve"> to one of the “SOC” health states according to SDI score / progression. Patients that survive</w:t>
      </w:r>
      <w:r w:rsidR="00511406">
        <w:t>d</w:t>
      </w:r>
      <w:r>
        <w:t xml:space="preserve"> subsequent cycles remain</w:t>
      </w:r>
      <w:r w:rsidR="00511406">
        <w:t>ed</w:t>
      </w:r>
      <w:r>
        <w:t xml:space="preserve"> in one of the “SOC” health states.</w:t>
      </w:r>
    </w:p>
    <w:p w:rsidR="00172AD3" w:rsidRPr="0022277A" w:rsidRDefault="00172AD3" w:rsidP="00FF5FCE">
      <w:pPr>
        <w:pStyle w:val="ListParagraph"/>
        <w:widowControl/>
        <w:numPr>
          <w:ilvl w:val="1"/>
          <w:numId w:val="1"/>
        </w:numPr>
        <w:spacing w:after="120"/>
        <w:rPr>
          <w:szCs w:val="24"/>
        </w:rPr>
      </w:pPr>
      <w:r>
        <w:rPr>
          <w:szCs w:val="24"/>
        </w:rPr>
        <w:t xml:space="preserve">To estimate the probability of SDI progression for SOC (and SLE-related mortality for SOC and </w:t>
      </w:r>
      <w:r>
        <w:t>belimumab</w:t>
      </w:r>
      <w:r>
        <w:rPr>
          <w:szCs w:val="24"/>
        </w:rPr>
        <w:t xml:space="preserve">) over the 60 year time horizon, the submission relied on </w:t>
      </w:r>
      <w:r w:rsidRPr="00D16630">
        <w:rPr>
          <w:szCs w:val="24"/>
        </w:rPr>
        <w:t xml:space="preserve">estimates from </w:t>
      </w:r>
      <w:r w:rsidR="00723B36" w:rsidRPr="00D16630">
        <w:t>the</w:t>
      </w:r>
      <w:r w:rsidRPr="00D16630">
        <w:t xml:space="preserve"> analysis of the SLICC inception cohort in Bruce et al 2015. </w:t>
      </w:r>
      <w:r w:rsidR="00D16BC3">
        <w:rPr>
          <w:iCs/>
        </w:rPr>
        <w:t>T</w:t>
      </w:r>
      <w:r w:rsidRPr="00D16630">
        <w:rPr>
          <w:iCs/>
        </w:rPr>
        <w:t xml:space="preserve">he majority of the inception cohort had no organ damage at baseline, </w:t>
      </w:r>
      <w:r w:rsidR="00D16BC3">
        <w:rPr>
          <w:iCs/>
        </w:rPr>
        <w:t xml:space="preserve">thus </w:t>
      </w:r>
      <w:r w:rsidRPr="00D16630">
        <w:rPr>
          <w:iCs/>
        </w:rPr>
        <w:t>the time to first SDI worsening was relatively long and there were also relatively few deaths recorded</w:t>
      </w:r>
      <w:r w:rsidR="00D16BC3">
        <w:rPr>
          <w:iCs/>
        </w:rPr>
        <w:t>.</w:t>
      </w:r>
      <w:r w:rsidRPr="00D16630">
        <w:rPr>
          <w:iCs/>
        </w:rPr>
        <w:t xml:space="preserve"> </w:t>
      </w:r>
      <w:r w:rsidR="00EF1ACD">
        <w:rPr>
          <w:iCs/>
        </w:rPr>
        <w:t xml:space="preserve">Thus, the submission </w:t>
      </w:r>
      <w:r w:rsidRPr="00D16630">
        <w:rPr>
          <w:iCs/>
        </w:rPr>
        <w:t xml:space="preserve">estimated transition probabilities </w:t>
      </w:r>
      <w:r w:rsidR="008713D9">
        <w:rPr>
          <w:iCs/>
        </w:rPr>
        <w:t xml:space="preserve">for </w:t>
      </w:r>
      <w:r w:rsidRPr="00D16630">
        <w:rPr>
          <w:iCs/>
        </w:rPr>
        <w:t xml:space="preserve">the higher SDI health states and </w:t>
      </w:r>
      <w:r w:rsidR="00EF1ACD">
        <w:rPr>
          <w:iCs/>
        </w:rPr>
        <w:t xml:space="preserve">for </w:t>
      </w:r>
      <w:r w:rsidRPr="00D16630">
        <w:rPr>
          <w:iCs/>
        </w:rPr>
        <w:t xml:space="preserve">SLE-related mortality </w:t>
      </w:r>
      <w:r w:rsidR="00EF1ACD">
        <w:rPr>
          <w:iCs/>
        </w:rPr>
        <w:t>based</w:t>
      </w:r>
      <w:r w:rsidR="00EF1ACD" w:rsidRPr="00D16630">
        <w:rPr>
          <w:iCs/>
        </w:rPr>
        <w:t xml:space="preserve"> </w:t>
      </w:r>
      <w:r w:rsidRPr="00D16630">
        <w:rPr>
          <w:iCs/>
        </w:rPr>
        <w:t xml:space="preserve">on an assumption that covariates </w:t>
      </w:r>
      <w:r w:rsidRPr="0022277A">
        <w:rPr>
          <w:iCs/>
        </w:rPr>
        <w:t xml:space="preserve">have the same impact for all transitions where SDI </w:t>
      </w:r>
      <w:r w:rsidRPr="0022277A">
        <w:rPr>
          <w:rFonts w:hint="eastAsia"/>
          <w:iCs/>
        </w:rPr>
        <w:t>≥</w:t>
      </w:r>
      <w:r w:rsidRPr="0022277A">
        <w:rPr>
          <w:iCs/>
        </w:rPr>
        <w:t xml:space="preserve">1 and to death. </w:t>
      </w:r>
      <w:r w:rsidR="00F878D7" w:rsidRPr="0022277A">
        <w:rPr>
          <w:iCs/>
        </w:rPr>
        <w:t>Therefore</w:t>
      </w:r>
      <w:r w:rsidR="008713D9" w:rsidRPr="0022277A">
        <w:rPr>
          <w:iCs/>
        </w:rPr>
        <w:t>,</w:t>
      </w:r>
      <w:r w:rsidR="00F878D7" w:rsidRPr="0022277A">
        <w:rPr>
          <w:iCs/>
        </w:rPr>
        <w:t xml:space="preserve"> the transition probabilities for the SOC arm may not be reliable, particularly towards the higher SDI</w:t>
      </w:r>
      <w:r w:rsidR="00626E19" w:rsidRPr="0022277A">
        <w:rPr>
          <w:iCs/>
        </w:rPr>
        <w:t xml:space="preserve"> health</w:t>
      </w:r>
      <w:r w:rsidR="00F878D7" w:rsidRPr="0022277A">
        <w:rPr>
          <w:iCs/>
        </w:rPr>
        <w:t xml:space="preserve"> states. </w:t>
      </w:r>
      <w:r w:rsidR="0004729A" w:rsidRPr="0022277A">
        <w:rPr>
          <w:iCs/>
        </w:rPr>
        <w:t xml:space="preserve">Further, the ESC noted that a constant progression was applied over time as patients age, which </w:t>
      </w:r>
      <w:r w:rsidR="00A6255E" w:rsidRPr="0022277A">
        <w:rPr>
          <w:iCs/>
        </w:rPr>
        <w:t>was</w:t>
      </w:r>
      <w:r w:rsidR="0004729A" w:rsidRPr="0022277A">
        <w:rPr>
          <w:iCs/>
        </w:rPr>
        <w:t xml:space="preserve"> </w:t>
      </w:r>
      <w:r w:rsidR="00A6255E" w:rsidRPr="0022277A">
        <w:rPr>
          <w:iCs/>
        </w:rPr>
        <w:t xml:space="preserve">unlikely to reflect </w:t>
      </w:r>
      <w:r w:rsidR="0081468E" w:rsidRPr="0022277A">
        <w:rPr>
          <w:iCs/>
        </w:rPr>
        <w:t>the</w:t>
      </w:r>
      <w:r w:rsidR="00A6255E" w:rsidRPr="0022277A">
        <w:rPr>
          <w:iCs/>
        </w:rPr>
        <w:t xml:space="preserve"> </w:t>
      </w:r>
      <w:r w:rsidR="0081468E" w:rsidRPr="0022277A">
        <w:rPr>
          <w:iCs/>
        </w:rPr>
        <w:t>progression of the condition</w:t>
      </w:r>
      <w:r w:rsidR="00B46C57" w:rsidRPr="0022277A">
        <w:rPr>
          <w:iCs/>
        </w:rPr>
        <w:t xml:space="preserve"> and the aging process more generally</w:t>
      </w:r>
      <w:r w:rsidR="0004729A" w:rsidRPr="0022277A">
        <w:rPr>
          <w:iCs/>
        </w:rPr>
        <w:t xml:space="preserve">.  </w:t>
      </w:r>
    </w:p>
    <w:p w:rsidR="00172AD3" w:rsidRPr="0022277A" w:rsidRDefault="00172AD3" w:rsidP="00FF5FCE">
      <w:pPr>
        <w:pStyle w:val="ListParagraph"/>
        <w:widowControl/>
        <w:numPr>
          <w:ilvl w:val="1"/>
          <w:numId w:val="1"/>
        </w:numPr>
        <w:spacing w:after="120"/>
        <w:rPr>
          <w:szCs w:val="24"/>
        </w:rPr>
      </w:pPr>
      <w:r w:rsidRPr="0022277A">
        <w:rPr>
          <w:szCs w:val="24"/>
        </w:rPr>
        <w:t xml:space="preserve">To estimate the probability of SDI progression for </w:t>
      </w:r>
      <w:r w:rsidRPr="0022277A">
        <w:t>belimumab</w:t>
      </w:r>
      <w:r w:rsidRPr="0022277A">
        <w:rPr>
          <w:szCs w:val="24"/>
        </w:rPr>
        <w:t>,</w:t>
      </w:r>
      <w:r w:rsidRPr="0022277A">
        <w:t xml:space="preserve"> the submission </w:t>
      </w:r>
      <w:r w:rsidR="00723B36" w:rsidRPr="0022277A">
        <w:t>used</w:t>
      </w:r>
      <w:r w:rsidRPr="0022277A">
        <w:t xml:space="preserve"> the hazard ratio for time to SDI progression reported by Urowitz et al 2018</w:t>
      </w:r>
      <w:r w:rsidR="00723B36" w:rsidRPr="0022277A">
        <w:t xml:space="preserve">, which compared </w:t>
      </w:r>
      <w:r w:rsidRPr="0022277A">
        <w:t>patients in the BLISS-76 LTE to propensity score matched controls in the Toronto Lupus Cohort</w:t>
      </w:r>
      <w:r w:rsidR="005A6057" w:rsidRPr="0022277A">
        <w:t xml:space="preserve"> (refer to Figure 1)</w:t>
      </w:r>
      <w:r w:rsidRPr="0022277A">
        <w:t xml:space="preserve">. </w:t>
      </w:r>
      <w:r w:rsidR="008713D9" w:rsidRPr="0022277A">
        <w:t xml:space="preserve">This hazard ratio </w:t>
      </w:r>
      <w:r w:rsidR="0004729A" w:rsidRPr="0022277A">
        <w:t xml:space="preserve">(0.39) was applied to the “SOC” probabilities from Bruce et al (outlined above), which had the impact of slowing SDI progression in the “BEL responder” states. </w:t>
      </w:r>
      <w:r w:rsidR="00723B36" w:rsidRPr="0022277A">
        <w:rPr>
          <w:iCs/>
        </w:rPr>
        <w:t xml:space="preserve">As </w:t>
      </w:r>
      <w:r w:rsidR="00B9780F" w:rsidRPr="0022277A">
        <w:rPr>
          <w:iCs/>
        </w:rPr>
        <w:t xml:space="preserve">outlined </w:t>
      </w:r>
      <w:r w:rsidR="0004729A" w:rsidRPr="0022277A">
        <w:rPr>
          <w:iCs/>
        </w:rPr>
        <w:t>in the ‘Comparative effectiveness’ section</w:t>
      </w:r>
      <w:r w:rsidR="00723B36" w:rsidRPr="0022277A">
        <w:rPr>
          <w:iCs/>
        </w:rPr>
        <w:t xml:space="preserve">, </w:t>
      </w:r>
      <w:r w:rsidR="0034473B" w:rsidRPr="0022277A">
        <w:rPr>
          <w:iCs/>
        </w:rPr>
        <w:t xml:space="preserve">the ESC considered that the </w:t>
      </w:r>
      <w:r w:rsidR="000B2A95" w:rsidRPr="0022277A">
        <w:rPr>
          <w:iCs/>
        </w:rPr>
        <w:t xml:space="preserve">propensity score matched </w:t>
      </w:r>
      <w:r w:rsidR="0034473B" w:rsidRPr="0022277A">
        <w:rPr>
          <w:iCs/>
        </w:rPr>
        <w:t>analysis had a high risk of bias and was not reliable</w:t>
      </w:r>
      <w:r w:rsidR="00723B36" w:rsidRPr="0022277A">
        <w:rPr>
          <w:iCs/>
        </w:rPr>
        <w:t xml:space="preserve">. </w:t>
      </w:r>
      <w:r w:rsidR="00971189" w:rsidRPr="0022277A">
        <w:rPr>
          <w:iCs/>
        </w:rPr>
        <w:t xml:space="preserve">Further, the ESC considered that the economic model’s assumption of linear persisting benefits, based on the </w:t>
      </w:r>
      <w:r w:rsidR="000B2A95" w:rsidRPr="0022277A">
        <w:rPr>
          <w:iCs/>
        </w:rPr>
        <w:t xml:space="preserve">propensity score matched </w:t>
      </w:r>
      <w:r w:rsidR="00971189" w:rsidRPr="0022277A">
        <w:rPr>
          <w:iCs/>
        </w:rPr>
        <w:t xml:space="preserve">analysis, was not reasonable. </w:t>
      </w:r>
      <w:r w:rsidRPr="0022277A">
        <w:rPr>
          <w:iCs/>
        </w:rPr>
        <w:t>This was the main treatment effect in the model.</w:t>
      </w:r>
    </w:p>
    <w:p w:rsidR="0034473B" w:rsidRPr="0022277A" w:rsidRDefault="00172AD3" w:rsidP="00FF5FCE">
      <w:pPr>
        <w:pStyle w:val="ListParagraph"/>
        <w:widowControl/>
        <w:numPr>
          <w:ilvl w:val="1"/>
          <w:numId w:val="1"/>
        </w:numPr>
        <w:spacing w:after="120"/>
        <w:rPr>
          <w:iCs/>
        </w:rPr>
      </w:pPr>
      <w:r w:rsidRPr="0022277A">
        <w:rPr>
          <w:szCs w:val="24"/>
        </w:rPr>
        <w:t xml:space="preserve">Data from BLISS-SC informed the </w:t>
      </w:r>
      <w:r w:rsidRPr="0022277A">
        <w:t xml:space="preserve">probability of continuing belimumab treatment after the first cycle of the model (61.0% had </w:t>
      </w:r>
      <w:r w:rsidRPr="0022277A">
        <w:rPr>
          <w:rFonts w:cs="Calibri"/>
        </w:rPr>
        <w:t>≥</w:t>
      </w:r>
      <w:r w:rsidRPr="0022277A">
        <w:t>4 point reduction in SELENA-SLEDAI at Week 24 on belimumab), the rate of treatment discontinuation after the first cycle</w:t>
      </w:r>
      <w:r w:rsidR="00723B36" w:rsidRPr="0022277A">
        <w:t xml:space="preserve"> (</w:t>
      </w:r>
      <w:r w:rsidR="00723B36" w:rsidRPr="0022277A">
        <w:rPr>
          <w:iCs/>
        </w:rPr>
        <w:t>which could not be verified)</w:t>
      </w:r>
      <w:r w:rsidRPr="0022277A">
        <w:t>, and th</w:t>
      </w:r>
      <w:r w:rsidR="002B650D" w:rsidRPr="0022277A">
        <w:t>e</w:t>
      </w:r>
      <w:r w:rsidRPr="0022277A">
        <w:t xml:space="preserve"> rate of flares for belimumab and SOC. </w:t>
      </w:r>
    </w:p>
    <w:p w:rsidR="00172AD3" w:rsidRPr="0022277A" w:rsidRDefault="00A96AEA" w:rsidP="00FF5FCE">
      <w:pPr>
        <w:pStyle w:val="ListParagraph"/>
        <w:widowControl/>
        <w:numPr>
          <w:ilvl w:val="1"/>
          <w:numId w:val="1"/>
        </w:numPr>
        <w:spacing w:after="120"/>
        <w:rPr>
          <w:iCs/>
        </w:rPr>
      </w:pPr>
      <w:r w:rsidRPr="0022277A">
        <w:rPr>
          <w:szCs w:val="24"/>
        </w:rPr>
        <w:t>In the base case, u</w:t>
      </w:r>
      <w:r w:rsidR="00172AD3" w:rsidRPr="0022277A">
        <w:rPr>
          <w:szCs w:val="24"/>
        </w:rPr>
        <w:t xml:space="preserve">tilities </w:t>
      </w:r>
      <w:r w:rsidRPr="0022277A">
        <w:rPr>
          <w:szCs w:val="24"/>
        </w:rPr>
        <w:t>were applied</w:t>
      </w:r>
      <w:r w:rsidR="00172AD3" w:rsidRPr="0022277A">
        <w:rPr>
          <w:szCs w:val="24"/>
        </w:rPr>
        <w:t xml:space="preserve"> irrespective of SDI score, based on EQ-5D data</w:t>
      </w:r>
      <w:r w:rsidR="00A6255E" w:rsidRPr="0022277A">
        <w:rPr>
          <w:szCs w:val="24"/>
        </w:rPr>
        <w:t>,</w:t>
      </w:r>
      <w:r w:rsidR="00172AD3" w:rsidRPr="0022277A">
        <w:rPr>
          <w:szCs w:val="24"/>
        </w:rPr>
        <w:t xml:space="preserve"> by SLEDAI score</w:t>
      </w:r>
      <w:r w:rsidR="00A6255E" w:rsidRPr="0022277A">
        <w:rPr>
          <w:szCs w:val="24"/>
        </w:rPr>
        <w:t>,</w:t>
      </w:r>
      <w:r w:rsidR="00172AD3" w:rsidRPr="0022277A">
        <w:rPr>
          <w:szCs w:val="24"/>
        </w:rPr>
        <w:t xml:space="preserve"> in Wang et al 2014. “</w:t>
      </w:r>
      <w:r w:rsidRPr="0022277A">
        <w:rPr>
          <w:szCs w:val="24"/>
        </w:rPr>
        <w:t>I</w:t>
      </w:r>
      <w:r w:rsidR="00172AD3" w:rsidRPr="0022277A">
        <w:rPr>
          <w:szCs w:val="24"/>
        </w:rPr>
        <w:t>nduction” was informed by estimates for SLEDAI &gt;</w:t>
      </w:r>
      <w:r w:rsidR="000B2A95" w:rsidRPr="0022277A">
        <w:rPr>
          <w:szCs w:val="24"/>
        </w:rPr>
        <w:t xml:space="preserve"> </w:t>
      </w:r>
      <w:r w:rsidR="00172AD3" w:rsidRPr="0022277A">
        <w:rPr>
          <w:szCs w:val="24"/>
        </w:rPr>
        <w:t xml:space="preserve">4, “BEL responder” was informed by estimates for SLEDAI </w:t>
      </w:r>
      <w:r w:rsidR="00172AD3" w:rsidRPr="0022277A">
        <w:rPr>
          <w:rFonts w:cstheme="minorHAnsi"/>
          <w:szCs w:val="24"/>
        </w:rPr>
        <w:t>≤</w:t>
      </w:r>
      <w:r w:rsidR="000B2A95" w:rsidRPr="0022277A">
        <w:rPr>
          <w:rFonts w:cstheme="minorHAnsi"/>
          <w:szCs w:val="24"/>
        </w:rPr>
        <w:t xml:space="preserve"> </w:t>
      </w:r>
      <w:r w:rsidR="00172AD3" w:rsidRPr="0022277A">
        <w:rPr>
          <w:szCs w:val="24"/>
        </w:rPr>
        <w:t xml:space="preserve">4, and “SOC” was informed by an average of the two, weighted by the proportion of “responders” and </w:t>
      </w:r>
      <w:r w:rsidR="00172AD3" w:rsidRPr="0022277A">
        <w:rPr>
          <w:szCs w:val="24"/>
        </w:rPr>
        <w:lastRenderedPageBreak/>
        <w:t xml:space="preserve">“non-responders” for </w:t>
      </w:r>
      <w:r w:rsidR="001F1BBE" w:rsidRPr="0022277A">
        <w:rPr>
          <w:szCs w:val="24"/>
        </w:rPr>
        <w:t>placebo</w:t>
      </w:r>
      <w:r w:rsidR="00172AD3" w:rsidRPr="0022277A">
        <w:rPr>
          <w:szCs w:val="24"/>
        </w:rPr>
        <w:t xml:space="preserve"> in BLISS-SC. </w:t>
      </w:r>
      <w:r w:rsidR="00172AD3" w:rsidRPr="0022277A">
        <w:rPr>
          <w:iCs/>
          <w:szCs w:val="24"/>
        </w:rPr>
        <w:t xml:space="preserve">The </w:t>
      </w:r>
      <w:r w:rsidR="00E93DAF" w:rsidRPr="0022277A">
        <w:rPr>
          <w:iCs/>
          <w:szCs w:val="24"/>
        </w:rPr>
        <w:t xml:space="preserve">evaluation and the ESC considered that </w:t>
      </w:r>
      <w:r w:rsidR="00172AD3" w:rsidRPr="0022277A">
        <w:rPr>
          <w:iCs/>
          <w:szCs w:val="24"/>
        </w:rPr>
        <w:t xml:space="preserve">submission’s approach considerably favoured belimumab and was inappropriate for </w:t>
      </w:r>
      <w:r w:rsidR="00B46C57" w:rsidRPr="0022277A">
        <w:rPr>
          <w:iCs/>
          <w:szCs w:val="24"/>
        </w:rPr>
        <w:t>a number of reasons.</w:t>
      </w:r>
    </w:p>
    <w:p w:rsidR="00172AD3" w:rsidRPr="0022277A" w:rsidRDefault="00172AD3" w:rsidP="00FF5FCE">
      <w:pPr>
        <w:pStyle w:val="ListParagraph"/>
        <w:widowControl/>
        <w:numPr>
          <w:ilvl w:val="0"/>
          <w:numId w:val="10"/>
        </w:numPr>
        <w:spacing w:after="120"/>
        <w:ind w:left="1134" w:hanging="357"/>
        <w:rPr>
          <w:iCs/>
          <w:szCs w:val="24"/>
        </w:rPr>
      </w:pPr>
      <w:r w:rsidRPr="0022277A">
        <w:rPr>
          <w:iCs/>
          <w:szCs w:val="24"/>
        </w:rPr>
        <w:t>The submission in</w:t>
      </w:r>
      <w:r w:rsidR="00313EC1">
        <w:rPr>
          <w:iCs/>
          <w:szCs w:val="24"/>
        </w:rPr>
        <w:t>appropriately</w:t>
      </w:r>
      <w:r w:rsidR="00D22910" w:rsidRPr="0022277A">
        <w:rPr>
          <w:iCs/>
          <w:szCs w:val="24"/>
        </w:rPr>
        <w:t xml:space="preserve"> attributed the</w:t>
      </w:r>
      <w:r w:rsidRPr="0022277A">
        <w:rPr>
          <w:iCs/>
          <w:szCs w:val="24"/>
        </w:rPr>
        <w:t xml:space="preserve"> quality of life estimates by SLEDAI score </w:t>
      </w:r>
      <w:r w:rsidR="00776108" w:rsidRPr="0022277A">
        <w:rPr>
          <w:iCs/>
          <w:szCs w:val="24"/>
        </w:rPr>
        <w:t>(from</w:t>
      </w:r>
      <w:r w:rsidRPr="0022277A">
        <w:rPr>
          <w:iCs/>
          <w:szCs w:val="24"/>
        </w:rPr>
        <w:t xml:space="preserve"> the literature</w:t>
      </w:r>
      <w:r w:rsidR="00776108" w:rsidRPr="0022277A">
        <w:rPr>
          <w:iCs/>
          <w:szCs w:val="24"/>
        </w:rPr>
        <w:t>)</w:t>
      </w:r>
      <w:r w:rsidRPr="0022277A">
        <w:rPr>
          <w:iCs/>
          <w:szCs w:val="24"/>
        </w:rPr>
        <w:t xml:space="preserve"> to treatment response in the model</w:t>
      </w:r>
      <w:r w:rsidR="00776108" w:rsidRPr="0022277A">
        <w:rPr>
          <w:iCs/>
          <w:szCs w:val="24"/>
        </w:rPr>
        <w:t xml:space="preserve"> (</w:t>
      </w:r>
      <w:r w:rsidR="00067A84" w:rsidRPr="0022277A">
        <w:rPr>
          <w:iCs/>
          <w:szCs w:val="24"/>
        </w:rPr>
        <w:t>i.e</w:t>
      </w:r>
      <w:r w:rsidR="00776108" w:rsidRPr="0022277A">
        <w:rPr>
          <w:iCs/>
          <w:szCs w:val="24"/>
        </w:rPr>
        <w:t>. patients who responded in the model were attributed the utility value for a ≥ 4 point reduction in SLEDAI from baseline)</w:t>
      </w:r>
      <w:r w:rsidR="00B46C57" w:rsidRPr="0022277A">
        <w:rPr>
          <w:iCs/>
          <w:szCs w:val="24"/>
        </w:rPr>
        <w:t>.</w:t>
      </w:r>
    </w:p>
    <w:p w:rsidR="00073D41" w:rsidRPr="0022277A" w:rsidRDefault="00341DF0" w:rsidP="00FF5FCE">
      <w:pPr>
        <w:pStyle w:val="ListParagraph"/>
        <w:widowControl/>
        <w:numPr>
          <w:ilvl w:val="0"/>
          <w:numId w:val="10"/>
        </w:numPr>
        <w:spacing w:after="120"/>
        <w:ind w:left="1134" w:hanging="357"/>
        <w:rPr>
          <w:iCs/>
          <w:szCs w:val="24"/>
        </w:rPr>
      </w:pPr>
      <w:r w:rsidRPr="0022277A">
        <w:rPr>
          <w:iCs/>
          <w:szCs w:val="24"/>
        </w:rPr>
        <w:t>The model did not track SELENA-SLEDAI ‘responders’ in the SOC arm</w:t>
      </w:r>
      <w:r w:rsidR="00747710" w:rsidRPr="0022277A">
        <w:rPr>
          <w:iCs/>
          <w:szCs w:val="24"/>
        </w:rPr>
        <w:t xml:space="preserve">, rather </w:t>
      </w:r>
      <w:r w:rsidRPr="0022277A">
        <w:rPr>
          <w:iCs/>
          <w:szCs w:val="24"/>
        </w:rPr>
        <w:t>the model implicitly aggregated SOC responders (53.2%) and non-responders (</w:t>
      </w:r>
      <w:r w:rsidR="00BF5742" w:rsidRPr="0022277A">
        <w:rPr>
          <w:iCs/>
          <w:szCs w:val="24"/>
        </w:rPr>
        <w:t>46.8%) in the same health state, and as such</w:t>
      </w:r>
      <w:r w:rsidRPr="0022277A">
        <w:rPr>
          <w:iCs/>
          <w:szCs w:val="24"/>
        </w:rPr>
        <w:t xml:space="preserve"> </w:t>
      </w:r>
      <w:r w:rsidR="00172AD3" w:rsidRPr="0022277A">
        <w:rPr>
          <w:iCs/>
          <w:szCs w:val="24"/>
        </w:rPr>
        <w:t>d</w:t>
      </w:r>
      <w:r w:rsidR="00BF5742" w:rsidRPr="0022277A">
        <w:rPr>
          <w:iCs/>
          <w:szCs w:val="24"/>
        </w:rPr>
        <w:t>id</w:t>
      </w:r>
      <w:r w:rsidR="00172AD3" w:rsidRPr="0022277A">
        <w:rPr>
          <w:iCs/>
          <w:szCs w:val="24"/>
        </w:rPr>
        <w:t xml:space="preserve"> not differentiate between responders and non-responders in the SOC arm</w:t>
      </w:r>
      <w:r w:rsidR="00BF5742" w:rsidRPr="0022277A">
        <w:rPr>
          <w:iCs/>
          <w:szCs w:val="24"/>
        </w:rPr>
        <w:t>. Th</w:t>
      </w:r>
      <w:r w:rsidR="00747710" w:rsidRPr="0022277A">
        <w:rPr>
          <w:iCs/>
          <w:szCs w:val="24"/>
        </w:rPr>
        <w:t>is meant</w:t>
      </w:r>
      <w:r w:rsidR="00073D41" w:rsidRPr="0022277A">
        <w:rPr>
          <w:iCs/>
          <w:szCs w:val="24"/>
        </w:rPr>
        <w:t>:</w:t>
      </w:r>
      <w:r w:rsidR="00971189" w:rsidRPr="0022277A">
        <w:rPr>
          <w:iCs/>
          <w:szCs w:val="24"/>
        </w:rPr>
        <w:t xml:space="preserve"> </w:t>
      </w:r>
    </w:p>
    <w:p w:rsidR="00073D41" w:rsidRPr="0022277A" w:rsidRDefault="00073D41" w:rsidP="00FF5FCE">
      <w:pPr>
        <w:pStyle w:val="ListParagraph"/>
        <w:widowControl/>
        <w:numPr>
          <w:ilvl w:val="1"/>
          <w:numId w:val="10"/>
        </w:numPr>
        <w:spacing w:after="120"/>
        <w:ind w:left="1418" w:hanging="284"/>
        <w:rPr>
          <w:iCs/>
          <w:szCs w:val="24"/>
        </w:rPr>
      </w:pPr>
      <w:r w:rsidRPr="0022277A">
        <w:rPr>
          <w:iCs/>
          <w:szCs w:val="24"/>
        </w:rPr>
        <w:t>utilities in the SOC arm were informed by a weighted average of responders and non-responders</w:t>
      </w:r>
      <w:r w:rsidR="00971189" w:rsidRPr="0022277A">
        <w:rPr>
          <w:iCs/>
          <w:szCs w:val="24"/>
        </w:rPr>
        <w:t xml:space="preserve">. </w:t>
      </w:r>
      <w:r w:rsidR="00776108" w:rsidRPr="0022277A">
        <w:rPr>
          <w:iCs/>
          <w:szCs w:val="24"/>
        </w:rPr>
        <w:t>B</w:t>
      </w:r>
      <w:r w:rsidR="00971189" w:rsidRPr="0022277A">
        <w:rPr>
          <w:iCs/>
          <w:szCs w:val="24"/>
        </w:rPr>
        <w:t>elimumab</w:t>
      </w:r>
      <w:r w:rsidR="00776108" w:rsidRPr="0022277A">
        <w:rPr>
          <w:iCs/>
          <w:szCs w:val="24"/>
        </w:rPr>
        <w:t xml:space="preserve"> non-responders</w:t>
      </w:r>
      <w:r w:rsidR="00971189" w:rsidRPr="0022277A">
        <w:rPr>
          <w:iCs/>
          <w:szCs w:val="24"/>
        </w:rPr>
        <w:t xml:space="preserve"> transitioned to </w:t>
      </w:r>
      <w:r w:rsidR="00341DF0" w:rsidRPr="0022277A">
        <w:rPr>
          <w:iCs/>
          <w:szCs w:val="24"/>
        </w:rPr>
        <w:t xml:space="preserve">the </w:t>
      </w:r>
      <w:r w:rsidR="00971189" w:rsidRPr="0022277A">
        <w:rPr>
          <w:iCs/>
          <w:szCs w:val="24"/>
        </w:rPr>
        <w:t xml:space="preserve">SOC </w:t>
      </w:r>
      <w:r w:rsidR="00341DF0" w:rsidRPr="0022277A">
        <w:rPr>
          <w:iCs/>
          <w:szCs w:val="24"/>
        </w:rPr>
        <w:t xml:space="preserve">arm </w:t>
      </w:r>
      <w:r w:rsidR="00971189" w:rsidRPr="0022277A">
        <w:rPr>
          <w:iCs/>
          <w:szCs w:val="24"/>
        </w:rPr>
        <w:t xml:space="preserve">and </w:t>
      </w:r>
      <w:r w:rsidR="002A4AFE" w:rsidRPr="0022277A">
        <w:rPr>
          <w:iCs/>
          <w:szCs w:val="24"/>
        </w:rPr>
        <w:t xml:space="preserve">were assigned </w:t>
      </w:r>
      <w:r w:rsidR="00172AD3" w:rsidRPr="0022277A">
        <w:rPr>
          <w:iCs/>
          <w:szCs w:val="24"/>
        </w:rPr>
        <w:t>the same utility as everyone in the SOC arm (responders and non-responders combined)</w:t>
      </w:r>
      <w:r w:rsidR="002B693F" w:rsidRPr="0022277A">
        <w:rPr>
          <w:iCs/>
          <w:szCs w:val="24"/>
        </w:rPr>
        <w:t>. This meant that</w:t>
      </w:r>
      <w:r w:rsidRPr="0022277A">
        <w:rPr>
          <w:iCs/>
          <w:szCs w:val="24"/>
        </w:rPr>
        <w:t xml:space="preserve"> belimumab non-responders were attributed a utility value that incorporated a proportion of patients responding.</w:t>
      </w:r>
      <w:r w:rsidR="00B26E12" w:rsidRPr="0022277A">
        <w:t xml:space="preserve"> </w:t>
      </w:r>
    </w:p>
    <w:p w:rsidR="00147157" w:rsidRPr="0022277A" w:rsidRDefault="002A4AFE" w:rsidP="00FF5FCE">
      <w:pPr>
        <w:pStyle w:val="ListParagraph"/>
        <w:widowControl/>
        <w:numPr>
          <w:ilvl w:val="1"/>
          <w:numId w:val="10"/>
        </w:numPr>
        <w:spacing w:after="120"/>
        <w:ind w:left="1434" w:hanging="357"/>
        <w:rPr>
          <w:iCs/>
          <w:szCs w:val="24"/>
        </w:rPr>
      </w:pPr>
      <w:r w:rsidRPr="0022277A">
        <w:t>SOC responders did not have the reduced SDI progression that was assumed for belimumab responders</w:t>
      </w:r>
      <w:r w:rsidR="00A96AEA" w:rsidRPr="0022277A">
        <w:t xml:space="preserve"> (rather all SDI progression in the “SOC” state was informed by the SLICC inception cohort from Bruce et al</w:t>
      </w:r>
      <w:r w:rsidR="00073D41" w:rsidRPr="0022277A">
        <w:t xml:space="preserve"> 2015</w:t>
      </w:r>
      <w:r w:rsidR="00A96AEA" w:rsidRPr="0022277A">
        <w:t>)</w:t>
      </w:r>
      <w:r w:rsidRPr="0022277A">
        <w:t xml:space="preserve">. This favoured belimumab because there were high SOC response rates in the clinical trials. There is no evidence to suggest that SOC responders should have different transition probabilities (or utility gains) to belimumab </w:t>
      </w:r>
      <w:r w:rsidR="00081906" w:rsidRPr="0022277A">
        <w:t>responders.</w:t>
      </w:r>
      <w:r w:rsidR="00081906" w:rsidRPr="0022277A">
        <w:rPr>
          <w:iCs/>
          <w:szCs w:val="24"/>
        </w:rPr>
        <w:t xml:space="preserve"> </w:t>
      </w:r>
    </w:p>
    <w:p w:rsidR="00807906" w:rsidRPr="0022277A" w:rsidRDefault="00776108" w:rsidP="00FF5FCE">
      <w:pPr>
        <w:pStyle w:val="ListParagraph"/>
        <w:widowControl/>
        <w:numPr>
          <w:ilvl w:val="0"/>
          <w:numId w:val="10"/>
        </w:numPr>
        <w:spacing w:after="120"/>
        <w:ind w:left="1134" w:hanging="357"/>
        <w:rPr>
          <w:iCs/>
          <w:szCs w:val="24"/>
        </w:rPr>
      </w:pPr>
      <w:r w:rsidRPr="0022277A">
        <w:rPr>
          <w:iCs/>
          <w:szCs w:val="24"/>
        </w:rPr>
        <w:t>T</w:t>
      </w:r>
      <w:r w:rsidR="00807906" w:rsidRPr="0022277A">
        <w:rPr>
          <w:iCs/>
          <w:szCs w:val="24"/>
        </w:rPr>
        <w:t xml:space="preserve">he approach meant that quality of life was not a function of SDI in the model. That is, quality of life for patients with a SDI score of zero was the same as those with SDI scores of </w:t>
      </w:r>
      <w:r w:rsidR="00807906" w:rsidRPr="0022277A">
        <w:rPr>
          <w:rFonts w:cs="Calibri"/>
          <w:iCs/>
          <w:szCs w:val="24"/>
        </w:rPr>
        <w:t>≥</w:t>
      </w:r>
      <w:r w:rsidR="00807906" w:rsidRPr="0022277A">
        <w:rPr>
          <w:iCs/>
          <w:szCs w:val="24"/>
        </w:rPr>
        <w:t>5, which was not clinically plausible.</w:t>
      </w:r>
    </w:p>
    <w:p w:rsidR="007D45EB" w:rsidRPr="0022277A" w:rsidRDefault="00F70562" w:rsidP="00FF5FCE">
      <w:pPr>
        <w:pStyle w:val="ListParagraph"/>
        <w:widowControl/>
        <w:numPr>
          <w:ilvl w:val="1"/>
          <w:numId w:val="1"/>
        </w:numPr>
        <w:spacing w:after="120"/>
        <w:rPr>
          <w:iCs/>
          <w:szCs w:val="24"/>
        </w:rPr>
      </w:pPr>
      <w:r w:rsidRPr="0022277A">
        <w:rPr>
          <w:szCs w:val="24"/>
        </w:rPr>
        <w:t xml:space="preserve">The PSCR </w:t>
      </w:r>
      <w:r w:rsidR="00B83720" w:rsidRPr="0022277A">
        <w:rPr>
          <w:szCs w:val="24"/>
        </w:rPr>
        <w:t>argue</w:t>
      </w:r>
      <w:r w:rsidRPr="0022277A">
        <w:rPr>
          <w:szCs w:val="24"/>
        </w:rPr>
        <w:t>d that the HR</w:t>
      </w:r>
      <w:r w:rsidR="000E4862" w:rsidRPr="0022277A">
        <w:rPr>
          <w:szCs w:val="24"/>
        </w:rPr>
        <w:t xml:space="preserve"> derived from Urowitz et al 2018</w:t>
      </w:r>
      <w:r w:rsidRPr="0022277A">
        <w:rPr>
          <w:szCs w:val="24"/>
        </w:rPr>
        <w:t xml:space="preserve"> is based on </w:t>
      </w:r>
      <w:r w:rsidR="00073D41" w:rsidRPr="0022277A">
        <w:rPr>
          <w:szCs w:val="24"/>
        </w:rPr>
        <w:t xml:space="preserve">evidence for </w:t>
      </w:r>
      <w:r w:rsidRPr="0022277A">
        <w:rPr>
          <w:szCs w:val="24"/>
        </w:rPr>
        <w:t>a</w:t>
      </w:r>
      <w:r w:rsidR="00747710" w:rsidRPr="0022277A">
        <w:rPr>
          <w:szCs w:val="24"/>
        </w:rPr>
        <w:t xml:space="preserve"> group of </w:t>
      </w:r>
      <w:r w:rsidR="009F4076" w:rsidRPr="0022277A">
        <w:rPr>
          <w:szCs w:val="24"/>
        </w:rPr>
        <w:t xml:space="preserve">patients treated with </w:t>
      </w:r>
      <w:r w:rsidRPr="0022277A">
        <w:rPr>
          <w:szCs w:val="24"/>
        </w:rPr>
        <w:t>beli</w:t>
      </w:r>
      <w:r w:rsidR="000E4862" w:rsidRPr="0022277A">
        <w:rPr>
          <w:szCs w:val="24"/>
        </w:rPr>
        <w:t>mumab (responders and non-responders)</w:t>
      </w:r>
      <w:r w:rsidR="00B83720" w:rsidRPr="0022277A">
        <w:rPr>
          <w:szCs w:val="24"/>
        </w:rPr>
        <w:t xml:space="preserve"> versus SOC but</w:t>
      </w:r>
      <w:r w:rsidR="000E4862" w:rsidRPr="0022277A">
        <w:rPr>
          <w:szCs w:val="24"/>
        </w:rPr>
        <w:t xml:space="preserve"> it is applied to only responders in the model and </w:t>
      </w:r>
      <w:r w:rsidRPr="0022277A">
        <w:rPr>
          <w:szCs w:val="24"/>
        </w:rPr>
        <w:t>so is biased</w:t>
      </w:r>
      <w:r w:rsidRPr="0022277A">
        <w:rPr>
          <w:iCs/>
          <w:szCs w:val="24"/>
        </w:rPr>
        <w:t xml:space="preserve"> against belimumab. </w:t>
      </w:r>
      <w:r w:rsidR="00FB522F">
        <w:rPr>
          <w:iCs/>
          <w:szCs w:val="24"/>
        </w:rPr>
        <w:t>The PSCR</w:t>
      </w:r>
      <w:r w:rsidR="00094CE3" w:rsidRPr="0022277A">
        <w:rPr>
          <w:iCs/>
          <w:szCs w:val="24"/>
        </w:rPr>
        <w:t xml:space="preserve"> further argued that “as such, there is no need to apply a differential rate of progression for SOC responders and non-responders because the baseline rate of progression reflects all SOC patients”. </w:t>
      </w:r>
      <w:r w:rsidR="009E5F7D" w:rsidRPr="0022277A">
        <w:rPr>
          <w:iCs/>
          <w:szCs w:val="24"/>
        </w:rPr>
        <w:t xml:space="preserve">However, </w:t>
      </w:r>
      <w:r w:rsidR="00413DE0" w:rsidRPr="0022277A">
        <w:rPr>
          <w:iCs/>
          <w:szCs w:val="24"/>
        </w:rPr>
        <w:t xml:space="preserve">the ESC considered that, as the treatment effect for belimumab was based on a long-term extension study (BLISS-76 LTE), patients were more likely to be treatment responders. Overall, </w:t>
      </w:r>
      <w:r w:rsidR="009E5F7D" w:rsidRPr="0022277A">
        <w:rPr>
          <w:iCs/>
          <w:szCs w:val="24"/>
        </w:rPr>
        <w:t>the ESC considered that</w:t>
      </w:r>
      <w:r w:rsidR="00015BC3" w:rsidRPr="0022277A">
        <w:rPr>
          <w:iCs/>
          <w:szCs w:val="24"/>
        </w:rPr>
        <w:t xml:space="preserve"> these issues highlighted the structural problems with the model</w:t>
      </w:r>
      <w:r w:rsidR="00413DE0" w:rsidRPr="0022277A">
        <w:rPr>
          <w:iCs/>
          <w:szCs w:val="24"/>
        </w:rPr>
        <w:t xml:space="preserve">, </w:t>
      </w:r>
      <w:r w:rsidR="00015BC3" w:rsidRPr="0022277A">
        <w:rPr>
          <w:iCs/>
          <w:szCs w:val="24"/>
        </w:rPr>
        <w:t xml:space="preserve">and </w:t>
      </w:r>
      <w:r w:rsidR="00413DE0" w:rsidRPr="0022277A">
        <w:rPr>
          <w:iCs/>
          <w:szCs w:val="24"/>
        </w:rPr>
        <w:t xml:space="preserve">given the large impact that utilities have on the model results (discussed below), the overall direction of bias was </w:t>
      </w:r>
      <w:r w:rsidR="002B693F" w:rsidRPr="0022277A">
        <w:rPr>
          <w:iCs/>
          <w:szCs w:val="24"/>
        </w:rPr>
        <w:t xml:space="preserve">likely </w:t>
      </w:r>
      <w:r w:rsidR="00413DE0" w:rsidRPr="0022277A">
        <w:rPr>
          <w:iCs/>
          <w:szCs w:val="24"/>
        </w:rPr>
        <w:t>against SOC.</w:t>
      </w:r>
    </w:p>
    <w:p w:rsidR="00172AD3" w:rsidRDefault="00220FE4" w:rsidP="00FF5FCE">
      <w:pPr>
        <w:pStyle w:val="ListParagraph"/>
        <w:widowControl/>
        <w:numPr>
          <w:ilvl w:val="1"/>
          <w:numId w:val="1"/>
        </w:numPr>
        <w:spacing w:after="120"/>
        <w:rPr>
          <w:szCs w:val="24"/>
        </w:rPr>
      </w:pPr>
      <w:r>
        <w:rPr>
          <w:szCs w:val="24"/>
        </w:rPr>
        <w:t>Table 1</w:t>
      </w:r>
      <w:r w:rsidR="00F61CA4">
        <w:rPr>
          <w:szCs w:val="24"/>
        </w:rPr>
        <w:t>3</w:t>
      </w:r>
      <w:r w:rsidR="00172AD3">
        <w:rPr>
          <w:szCs w:val="24"/>
        </w:rPr>
        <w:t xml:space="preserve"> provides a summary of the key drivers in the modelled economic evaluation. </w:t>
      </w:r>
    </w:p>
    <w:p w:rsidR="00172AD3" w:rsidRDefault="00172AD3" w:rsidP="00D5705B">
      <w:pPr>
        <w:keepNext/>
        <w:keepLines/>
        <w:suppressLineNumbers/>
        <w:suppressAutoHyphens/>
        <w:rPr>
          <w:rStyle w:val="CommentReference"/>
        </w:rPr>
      </w:pPr>
      <w:r w:rsidRPr="00A56B6A">
        <w:rPr>
          <w:rStyle w:val="CommentReference"/>
        </w:rPr>
        <w:lastRenderedPageBreak/>
        <w:t xml:space="preserve">Table </w:t>
      </w:r>
      <w:r w:rsidR="00220FE4">
        <w:rPr>
          <w:rStyle w:val="CommentReference"/>
        </w:rPr>
        <w:t>1</w:t>
      </w:r>
      <w:r w:rsidR="00F61CA4">
        <w:rPr>
          <w:rStyle w:val="CommentReference"/>
        </w:rPr>
        <w:t>3</w:t>
      </w:r>
      <w:r w:rsidRPr="00A56B6A">
        <w:rPr>
          <w:rStyle w:val="CommentReference"/>
        </w:rPr>
        <w:t>: Key drivers of the model</w:t>
      </w:r>
      <w:r>
        <w:rPr>
          <w:rStyle w:val="CommentReferenc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drivers of the model "/>
      </w:tblPr>
      <w:tblGrid>
        <w:gridCol w:w="1713"/>
        <w:gridCol w:w="4619"/>
        <w:gridCol w:w="2685"/>
      </w:tblGrid>
      <w:tr w:rsidR="00172AD3" w:rsidRPr="003D1DE4" w:rsidTr="0011582A">
        <w:trPr>
          <w:tblHeader/>
        </w:trPr>
        <w:tc>
          <w:tcPr>
            <w:tcW w:w="950" w:type="pct"/>
            <w:shd w:val="clear" w:color="auto" w:fill="auto"/>
            <w:vAlign w:val="center"/>
          </w:tcPr>
          <w:p w:rsidR="00172AD3" w:rsidRPr="003D1DE4" w:rsidRDefault="00172AD3" w:rsidP="00D5705B">
            <w:pPr>
              <w:pStyle w:val="Tabletext"/>
              <w:keepNext/>
              <w:keepLines/>
              <w:suppressLineNumbers/>
              <w:suppressAutoHyphens/>
              <w:rPr>
                <w:b/>
                <w:lang w:val="en-US"/>
              </w:rPr>
            </w:pPr>
            <w:r w:rsidRPr="003D1DE4">
              <w:rPr>
                <w:b/>
                <w:lang w:val="en-US"/>
              </w:rPr>
              <w:t>Description</w:t>
            </w:r>
          </w:p>
        </w:tc>
        <w:tc>
          <w:tcPr>
            <w:tcW w:w="2561" w:type="pct"/>
            <w:shd w:val="clear" w:color="auto" w:fill="auto"/>
            <w:vAlign w:val="center"/>
          </w:tcPr>
          <w:p w:rsidR="00172AD3" w:rsidRPr="003D1DE4" w:rsidRDefault="00172AD3" w:rsidP="00D5705B">
            <w:pPr>
              <w:pStyle w:val="Tabletext"/>
              <w:keepNext/>
              <w:keepLines/>
              <w:suppressLineNumbers/>
              <w:suppressAutoHyphens/>
              <w:jc w:val="center"/>
              <w:rPr>
                <w:b/>
                <w:lang w:val="en-US"/>
              </w:rPr>
            </w:pPr>
            <w:r w:rsidRPr="003D1DE4">
              <w:rPr>
                <w:b/>
                <w:lang w:val="en-US"/>
              </w:rPr>
              <w:t>Method/Value</w:t>
            </w:r>
          </w:p>
        </w:tc>
        <w:tc>
          <w:tcPr>
            <w:tcW w:w="1489" w:type="pct"/>
            <w:shd w:val="clear" w:color="auto" w:fill="auto"/>
            <w:vAlign w:val="center"/>
          </w:tcPr>
          <w:p w:rsidR="00172AD3" w:rsidRPr="003D1DE4" w:rsidRDefault="00172AD3" w:rsidP="00D5705B">
            <w:pPr>
              <w:pStyle w:val="Tabletext"/>
              <w:keepNext/>
              <w:keepLines/>
              <w:suppressLineNumbers/>
              <w:suppressAutoHyphens/>
              <w:jc w:val="center"/>
              <w:rPr>
                <w:b/>
                <w:lang w:val="en-US"/>
              </w:rPr>
            </w:pPr>
            <w:r w:rsidRPr="003D1DE4">
              <w:rPr>
                <w:b/>
                <w:lang w:val="en-US"/>
              </w:rPr>
              <w:t>Impact</w:t>
            </w:r>
          </w:p>
        </w:tc>
      </w:tr>
      <w:tr w:rsidR="00172AD3" w:rsidRPr="00E2771E" w:rsidTr="0011582A">
        <w:tc>
          <w:tcPr>
            <w:tcW w:w="950" w:type="pct"/>
            <w:shd w:val="clear" w:color="auto" w:fill="auto"/>
            <w:vAlign w:val="center"/>
          </w:tcPr>
          <w:p w:rsidR="00172AD3" w:rsidRDefault="00172AD3" w:rsidP="00D5705B">
            <w:pPr>
              <w:pStyle w:val="Tabletext"/>
              <w:keepNext/>
              <w:keepLines/>
              <w:suppressLineNumbers/>
              <w:suppressAutoHyphens/>
              <w:rPr>
                <w:lang w:val="en-US"/>
              </w:rPr>
            </w:pPr>
            <w:r>
              <w:rPr>
                <w:lang w:val="en-US"/>
              </w:rPr>
              <w:t>Approach to modelling utilities by SLEDAI score</w:t>
            </w:r>
          </w:p>
        </w:tc>
        <w:tc>
          <w:tcPr>
            <w:tcW w:w="2561" w:type="pct"/>
            <w:shd w:val="clear" w:color="auto" w:fill="auto"/>
            <w:vAlign w:val="center"/>
          </w:tcPr>
          <w:p w:rsidR="00172AD3" w:rsidRPr="00D16630" w:rsidRDefault="00172AD3" w:rsidP="00D5705B">
            <w:pPr>
              <w:pStyle w:val="Tabletext"/>
              <w:keepNext/>
              <w:keepLines/>
              <w:suppressLineNumbers/>
              <w:suppressAutoHyphens/>
              <w:jc w:val="both"/>
              <w:rPr>
                <w:lang w:val="en-US"/>
              </w:rPr>
            </w:pPr>
            <w:r w:rsidRPr="00D16630">
              <w:rPr>
                <w:lang w:val="en-US"/>
              </w:rPr>
              <w:t xml:space="preserve">For the base case, the submission assigned utilities to “BEL induction”, “SOC induction”, “BEL responder” and “SOC” health states irrespective of SDI score. </w:t>
            </w:r>
            <w:r w:rsidRPr="00D16630">
              <w:rPr>
                <w:iCs/>
                <w:lang w:val="en-US"/>
              </w:rPr>
              <w:t>The submission’s approach for the base case was inappropriate (see comment above).</w:t>
            </w:r>
          </w:p>
        </w:tc>
        <w:tc>
          <w:tcPr>
            <w:tcW w:w="1489" w:type="pct"/>
            <w:shd w:val="clear" w:color="auto" w:fill="auto"/>
            <w:vAlign w:val="center"/>
          </w:tcPr>
          <w:p w:rsidR="00172AD3" w:rsidRPr="00E2771E" w:rsidRDefault="00172AD3" w:rsidP="00D5705B">
            <w:pPr>
              <w:pStyle w:val="Tabletext"/>
              <w:keepNext/>
              <w:keepLines/>
              <w:suppressLineNumbers/>
              <w:suppressAutoHyphens/>
              <w:jc w:val="center"/>
              <w:rPr>
                <w:lang w:val="en-US"/>
              </w:rPr>
            </w:pPr>
            <w:r>
              <w:rPr>
                <w:lang w:val="en-US"/>
              </w:rPr>
              <w:t>High, favours belimumab.</w:t>
            </w:r>
          </w:p>
        </w:tc>
      </w:tr>
      <w:tr w:rsidR="00172AD3" w:rsidRPr="00240BFE" w:rsidTr="0011582A">
        <w:tc>
          <w:tcPr>
            <w:tcW w:w="950" w:type="pct"/>
            <w:shd w:val="clear" w:color="auto" w:fill="auto"/>
            <w:vAlign w:val="center"/>
          </w:tcPr>
          <w:p w:rsidR="00172AD3" w:rsidRPr="00240BFE" w:rsidRDefault="00172AD3" w:rsidP="00D5705B">
            <w:pPr>
              <w:pStyle w:val="Tabletext"/>
              <w:keepNext/>
              <w:keepLines/>
              <w:suppressLineNumbers/>
              <w:suppressAutoHyphens/>
              <w:rPr>
                <w:lang w:val="en-US"/>
              </w:rPr>
            </w:pPr>
            <w:r w:rsidRPr="00240BFE">
              <w:rPr>
                <w:lang w:val="en-US"/>
              </w:rPr>
              <w:t xml:space="preserve">Source of utility estimates </w:t>
            </w:r>
          </w:p>
        </w:tc>
        <w:tc>
          <w:tcPr>
            <w:tcW w:w="2561" w:type="pct"/>
            <w:shd w:val="clear" w:color="auto" w:fill="auto"/>
            <w:vAlign w:val="center"/>
          </w:tcPr>
          <w:p w:rsidR="00172AD3" w:rsidRPr="00240BFE" w:rsidRDefault="00172AD3" w:rsidP="00D5705B">
            <w:pPr>
              <w:pStyle w:val="Tabletext"/>
              <w:keepNext/>
              <w:keepLines/>
              <w:suppressLineNumbers/>
              <w:suppressAutoHyphens/>
              <w:jc w:val="both"/>
              <w:rPr>
                <w:lang w:val="en-US"/>
              </w:rPr>
            </w:pPr>
            <w:r w:rsidRPr="00240BFE">
              <w:rPr>
                <w:lang w:val="en-US"/>
              </w:rPr>
              <w:t xml:space="preserve">For the base case, the submission used estimates from Wang et al 2014. </w:t>
            </w:r>
            <w:r w:rsidRPr="00240BFE">
              <w:rPr>
                <w:iCs/>
                <w:lang w:val="en-US"/>
              </w:rPr>
              <w:t xml:space="preserve">However, </w:t>
            </w:r>
            <w:r w:rsidR="00682BE7">
              <w:rPr>
                <w:iCs/>
                <w:lang w:val="en-US"/>
              </w:rPr>
              <w:t xml:space="preserve">the ESC considered that </w:t>
            </w:r>
            <w:r w:rsidRPr="00240BFE">
              <w:rPr>
                <w:iCs/>
                <w:lang w:val="en-US"/>
              </w:rPr>
              <w:t xml:space="preserve">estimates from Aggarwal et al 2009 </w:t>
            </w:r>
            <w:r w:rsidR="00682BE7">
              <w:rPr>
                <w:iCs/>
                <w:lang w:val="en-US"/>
              </w:rPr>
              <w:t>were</w:t>
            </w:r>
            <w:r w:rsidRPr="00240BFE">
              <w:rPr>
                <w:iCs/>
                <w:lang w:val="en-US"/>
              </w:rPr>
              <w:t xml:space="preserve"> preferred given the population was more application to the requested PBS population.</w:t>
            </w:r>
          </w:p>
        </w:tc>
        <w:tc>
          <w:tcPr>
            <w:tcW w:w="1489" w:type="pct"/>
            <w:shd w:val="clear" w:color="auto" w:fill="auto"/>
            <w:vAlign w:val="center"/>
          </w:tcPr>
          <w:p w:rsidR="00172AD3" w:rsidRPr="00240BFE" w:rsidRDefault="00172AD3" w:rsidP="00D5705B">
            <w:pPr>
              <w:pStyle w:val="Tabletext"/>
              <w:keepNext/>
              <w:keepLines/>
              <w:suppressLineNumbers/>
              <w:suppressAutoHyphens/>
              <w:jc w:val="center"/>
              <w:rPr>
                <w:lang w:val="en-US"/>
              </w:rPr>
            </w:pPr>
            <w:r w:rsidRPr="00240BFE">
              <w:rPr>
                <w:lang w:val="en-US"/>
              </w:rPr>
              <w:t>High, favours belimumab.</w:t>
            </w:r>
          </w:p>
        </w:tc>
      </w:tr>
    </w:tbl>
    <w:p w:rsidR="00172AD3" w:rsidRPr="00240BFE" w:rsidRDefault="00172AD3" w:rsidP="00D5705B">
      <w:pPr>
        <w:pStyle w:val="TableFooter"/>
        <w:keepNext/>
        <w:keepLines/>
        <w:suppressLineNumbers/>
        <w:suppressAutoHyphens/>
        <w:rPr>
          <w:iCs/>
        </w:rPr>
      </w:pPr>
      <w:r w:rsidRPr="00240BFE">
        <w:rPr>
          <w:iCs/>
        </w:rPr>
        <w:t>Source: compiled during the evaluation</w:t>
      </w:r>
    </w:p>
    <w:p w:rsidR="00172AD3" w:rsidRPr="00275C5A" w:rsidRDefault="00172AD3" w:rsidP="00172AD3"/>
    <w:p w:rsidR="00172AD3" w:rsidRPr="00D16630" w:rsidRDefault="00172AD3" w:rsidP="00FF5FCE">
      <w:pPr>
        <w:pStyle w:val="ListParagraph"/>
        <w:widowControl/>
        <w:numPr>
          <w:ilvl w:val="1"/>
          <w:numId w:val="1"/>
        </w:numPr>
        <w:spacing w:after="120"/>
        <w:rPr>
          <w:iCs/>
          <w:szCs w:val="24"/>
        </w:rPr>
      </w:pPr>
      <w:r w:rsidRPr="006E781A">
        <w:rPr>
          <w:szCs w:val="24"/>
        </w:rPr>
        <w:t>Figure 2 presents a Markov trace of the health states by treatment descriptors (“BEL</w:t>
      </w:r>
      <w:r w:rsidRPr="00D16630">
        <w:rPr>
          <w:iCs/>
          <w:szCs w:val="24"/>
        </w:rPr>
        <w:t xml:space="preserve"> treatment” which included “BEL induction</w:t>
      </w:r>
      <w:r w:rsidR="00BB75B4" w:rsidRPr="00D16630">
        <w:rPr>
          <w:iCs/>
          <w:szCs w:val="24"/>
        </w:rPr>
        <w:t>”</w:t>
      </w:r>
      <w:r w:rsidRPr="00D16630">
        <w:rPr>
          <w:iCs/>
          <w:szCs w:val="24"/>
        </w:rPr>
        <w:t xml:space="preserve"> and “BEL responder” health states, “SOC”, and </w:t>
      </w:r>
      <w:r w:rsidR="00BB75B4" w:rsidRPr="00D16630">
        <w:rPr>
          <w:iCs/>
          <w:szCs w:val="24"/>
        </w:rPr>
        <w:t>“</w:t>
      </w:r>
      <w:r w:rsidRPr="00D16630">
        <w:rPr>
          <w:iCs/>
          <w:szCs w:val="24"/>
        </w:rPr>
        <w:t>dead</w:t>
      </w:r>
      <w:r w:rsidR="00BB75B4" w:rsidRPr="00D16630">
        <w:rPr>
          <w:iCs/>
          <w:szCs w:val="24"/>
        </w:rPr>
        <w:t>”</w:t>
      </w:r>
      <w:r w:rsidRPr="00D16630">
        <w:rPr>
          <w:iCs/>
          <w:szCs w:val="24"/>
        </w:rPr>
        <w:t>). The figure illustrates that few patients</w:t>
      </w:r>
      <w:r w:rsidR="002B650D" w:rsidRPr="00D16630">
        <w:rPr>
          <w:iCs/>
          <w:szCs w:val="24"/>
        </w:rPr>
        <w:t xml:space="preserve"> (less than 10%) remained on belimumab</w:t>
      </w:r>
      <w:r w:rsidRPr="00D16630">
        <w:rPr>
          <w:iCs/>
          <w:szCs w:val="24"/>
        </w:rPr>
        <w:t xml:space="preserve"> treatment beyond 20 ye</w:t>
      </w:r>
      <w:r w:rsidR="002B650D" w:rsidRPr="00D16630">
        <w:rPr>
          <w:iCs/>
          <w:szCs w:val="24"/>
        </w:rPr>
        <w:t>ars, those that discontinued belimumab</w:t>
      </w:r>
      <w:r w:rsidRPr="00D16630">
        <w:rPr>
          <w:iCs/>
          <w:szCs w:val="24"/>
        </w:rPr>
        <w:t xml:space="preserve"> transitioned to the “SOC” health states, and there was a small differen</w:t>
      </w:r>
      <w:r w:rsidR="002B650D" w:rsidRPr="00D16630">
        <w:rPr>
          <w:iCs/>
          <w:szCs w:val="24"/>
        </w:rPr>
        <w:t>ce in mortality in favour of belimumab</w:t>
      </w:r>
      <w:r w:rsidRPr="00D16630">
        <w:rPr>
          <w:iCs/>
          <w:szCs w:val="24"/>
        </w:rPr>
        <w:t>.</w:t>
      </w:r>
    </w:p>
    <w:p w:rsidR="00172AD3" w:rsidRPr="00DA3DE1" w:rsidRDefault="00172AD3" w:rsidP="00D5705B">
      <w:pPr>
        <w:keepNext/>
        <w:keepLines/>
        <w:widowControl/>
        <w:suppressLineNumbers/>
        <w:suppressAutoHyphens/>
        <w:rPr>
          <w:rFonts w:ascii="Arial Narrow" w:hAnsi="Arial Narrow" w:cs="Calibri"/>
          <w:b/>
          <w:bCs/>
          <w:iCs/>
          <w:sz w:val="20"/>
          <w:szCs w:val="20"/>
        </w:rPr>
      </w:pPr>
      <w:r w:rsidRPr="00DA3DE1">
        <w:rPr>
          <w:rFonts w:ascii="Arial Narrow" w:hAnsi="Arial Narrow" w:cs="Calibri"/>
          <w:b/>
          <w:bCs/>
          <w:iCs/>
          <w:sz w:val="20"/>
          <w:szCs w:val="20"/>
        </w:rPr>
        <w:t>Figure 2: Markov traces of health states by treatment descriptors</w:t>
      </w:r>
    </w:p>
    <w:p w:rsidR="00172AD3" w:rsidRPr="00F458C2" w:rsidRDefault="00172AD3" w:rsidP="00D5705B">
      <w:pPr>
        <w:keepNext/>
        <w:keepLines/>
        <w:widowControl/>
        <w:suppressLineNumbers/>
        <w:suppressAutoHyphens/>
        <w:jc w:val="center"/>
        <w:rPr>
          <w:i/>
          <w:iCs/>
          <w:szCs w:val="24"/>
        </w:rPr>
      </w:pPr>
      <w:r w:rsidRPr="00F458C2">
        <w:rPr>
          <w:noProof/>
          <w:lang w:eastAsia="en-AU"/>
        </w:rPr>
        <w:drawing>
          <wp:inline distT="0" distB="0" distL="0" distR="0" wp14:anchorId="57C607C6" wp14:editId="48EDEA5B">
            <wp:extent cx="4775200" cy="2825750"/>
            <wp:effectExtent l="0" t="0" r="6350" b="12700"/>
            <wp:docPr id="23" name="Chart 23" title="Figure 2: Markov traces of health states by treatment descriptor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2AD3" w:rsidRPr="00240BFE" w:rsidRDefault="00172AD3" w:rsidP="00D5705B">
      <w:pPr>
        <w:keepNext/>
        <w:keepLines/>
        <w:widowControl/>
        <w:suppressLineNumbers/>
        <w:suppressAutoHyphens/>
        <w:rPr>
          <w:rFonts w:ascii="Arial Narrow" w:hAnsi="Arial Narrow"/>
          <w:iCs/>
          <w:sz w:val="18"/>
          <w:szCs w:val="18"/>
        </w:rPr>
      </w:pPr>
      <w:r w:rsidRPr="00240BFE">
        <w:rPr>
          <w:rFonts w:ascii="Arial Narrow" w:hAnsi="Arial Narrow"/>
          <w:iCs/>
          <w:sz w:val="18"/>
          <w:szCs w:val="18"/>
        </w:rPr>
        <w:t>Source: Compiled during the evaluation using Belimumab_SLE-Model_Jul19.</w:t>
      </w:r>
    </w:p>
    <w:p w:rsidR="00172AD3" w:rsidRPr="00F458C2" w:rsidRDefault="00172AD3" w:rsidP="00172AD3">
      <w:pPr>
        <w:rPr>
          <w:i/>
          <w:iCs/>
          <w:szCs w:val="24"/>
        </w:rPr>
      </w:pPr>
    </w:p>
    <w:p w:rsidR="00172AD3" w:rsidRPr="00D16630" w:rsidRDefault="00172AD3" w:rsidP="00061114">
      <w:pPr>
        <w:pStyle w:val="ListParagraph"/>
        <w:widowControl/>
        <w:numPr>
          <w:ilvl w:val="1"/>
          <w:numId w:val="1"/>
        </w:numPr>
        <w:spacing w:after="120"/>
        <w:rPr>
          <w:iCs/>
          <w:szCs w:val="24"/>
        </w:rPr>
      </w:pPr>
      <w:r w:rsidRPr="006E781A">
        <w:rPr>
          <w:szCs w:val="24"/>
        </w:rPr>
        <w:t>A Markov trace by SDI health state presented in the submission indicated that the model was tracking patients through the SDI health states as intended (based on Bruce et al</w:t>
      </w:r>
      <w:r w:rsidR="002B650D" w:rsidRPr="006E781A">
        <w:rPr>
          <w:szCs w:val="24"/>
        </w:rPr>
        <w:t xml:space="preserve"> 2015), with</w:t>
      </w:r>
      <w:r w:rsidR="002B650D" w:rsidRPr="00D16630">
        <w:rPr>
          <w:rFonts w:cs="Calibri"/>
          <w:iCs/>
          <w:szCs w:val="24"/>
        </w:rPr>
        <w:t xml:space="preserve"> patients in the belimumab</w:t>
      </w:r>
      <w:r w:rsidRPr="00D16630">
        <w:rPr>
          <w:rFonts w:cs="Calibri"/>
          <w:iCs/>
          <w:szCs w:val="24"/>
        </w:rPr>
        <w:t xml:space="preserve"> arm spending less time in the higher SDI health states compared to SOC.</w:t>
      </w:r>
      <w:r w:rsidR="00860673" w:rsidRPr="00D16630">
        <w:rPr>
          <w:rFonts w:cs="Calibri"/>
          <w:iCs/>
          <w:szCs w:val="24"/>
        </w:rPr>
        <w:t xml:space="preserve"> However, the model </w:t>
      </w:r>
      <w:r w:rsidR="00860673" w:rsidRPr="00D16630">
        <w:rPr>
          <w:iCs/>
        </w:rPr>
        <w:t xml:space="preserve">predicted higher SDI progression rates at 52 weeks for SOC patients (11.4%) compared </w:t>
      </w:r>
      <w:r w:rsidR="00061114">
        <w:rPr>
          <w:iCs/>
        </w:rPr>
        <w:t>with</w:t>
      </w:r>
      <w:r w:rsidR="00860673" w:rsidRPr="00D16630">
        <w:rPr>
          <w:iCs/>
        </w:rPr>
        <w:t xml:space="preserve"> </w:t>
      </w:r>
      <w:r w:rsidR="00BB75B4" w:rsidRPr="00D16630">
        <w:rPr>
          <w:iCs/>
        </w:rPr>
        <w:t>patients in</w:t>
      </w:r>
      <w:r w:rsidR="00860673" w:rsidRPr="00D16630">
        <w:rPr>
          <w:iCs/>
        </w:rPr>
        <w:t xml:space="preserve"> BLISS-SC (5%) and the Toronto Lupus Cohort (8.7%) in Urowitz et al 2018; </w:t>
      </w:r>
      <w:r w:rsidR="006335C9" w:rsidRPr="00D16630">
        <w:rPr>
          <w:iCs/>
        </w:rPr>
        <w:t xml:space="preserve">indicating </w:t>
      </w:r>
      <w:r w:rsidR="00860673" w:rsidRPr="00D16630">
        <w:rPr>
          <w:iCs/>
        </w:rPr>
        <w:t>inconsistencies across the different sources of data.</w:t>
      </w:r>
      <w:r w:rsidR="00061114">
        <w:rPr>
          <w:iCs/>
        </w:rPr>
        <w:t xml:space="preserve"> The pre-PBAC response stated the lower SOC progression rates in BLISS-SC were because the trial used a last observation carried </w:t>
      </w:r>
      <w:r w:rsidR="00061114">
        <w:rPr>
          <w:iCs/>
        </w:rPr>
        <w:lastRenderedPageBreak/>
        <w:t xml:space="preserve">forward analysis and approximately 20% of patients in the placebo arm were lost to follow-up and assumed to be free of progression. Overall, the PBAC considered that the </w:t>
      </w:r>
      <w:r w:rsidR="00061114" w:rsidRPr="00061114">
        <w:rPr>
          <w:iCs/>
        </w:rPr>
        <w:t>reliability and applicability of the Bruce et al 2015 model predictions were unclear</w:t>
      </w:r>
      <w:r w:rsidR="00061114">
        <w:rPr>
          <w:iCs/>
        </w:rPr>
        <w:t>.</w:t>
      </w:r>
    </w:p>
    <w:p w:rsidR="00172AD3" w:rsidRPr="000578ED" w:rsidRDefault="00172AD3" w:rsidP="00FF5FCE">
      <w:pPr>
        <w:pStyle w:val="ListParagraph"/>
        <w:widowControl/>
        <w:numPr>
          <w:ilvl w:val="1"/>
          <w:numId w:val="1"/>
        </w:numPr>
        <w:spacing w:after="120"/>
        <w:rPr>
          <w:szCs w:val="24"/>
        </w:rPr>
      </w:pPr>
      <w:r w:rsidRPr="000578ED">
        <w:rPr>
          <w:szCs w:val="24"/>
        </w:rPr>
        <w:t xml:space="preserve">Table </w:t>
      </w:r>
      <w:r w:rsidR="00220FE4">
        <w:rPr>
          <w:szCs w:val="24"/>
        </w:rPr>
        <w:t>1</w:t>
      </w:r>
      <w:r w:rsidR="00F61CA4">
        <w:rPr>
          <w:szCs w:val="24"/>
        </w:rPr>
        <w:t>4</w:t>
      </w:r>
      <w:r w:rsidRPr="000578ED">
        <w:rPr>
          <w:szCs w:val="24"/>
        </w:rPr>
        <w:t xml:space="preserve"> provides the results of the stepped economic evaluation.</w:t>
      </w:r>
    </w:p>
    <w:p w:rsidR="00172AD3" w:rsidRDefault="00220FE4" w:rsidP="00D5705B">
      <w:pPr>
        <w:keepNext/>
        <w:keepLines/>
      </w:pPr>
      <w:r>
        <w:rPr>
          <w:rStyle w:val="CommentReference"/>
        </w:rPr>
        <w:t>Table 1</w:t>
      </w:r>
      <w:r w:rsidR="00F61CA4">
        <w:rPr>
          <w:rStyle w:val="CommentReference"/>
        </w:rPr>
        <w:t>4</w:t>
      </w:r>
      <w:r w:rsidR="00172AD3" w:rsidRPr="000A2B1D">
        <w:rPr>
          <w:rStyle w:val="CommentReference"/>
        </w:rPr>
        <w:t>: Results of the stepped</w:t>
      </w:r>
      <w:r w:rsidR="00172AD3" w:rsidRPr="001222FC">
        <w:rPr>
          <w:rStyle w:val="CommentReference"/>
        </w:rPr>
        <w:t xml:space="preserv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stepped economic evaluation"/>
      </w:tblPr>
      <w:tblGrid>
        <w:gridCol w:w="3257"/>
        <w:gridCol w:w="1843"/>
        <w:gridCol w:w="1843"/>
        <w:gridCol w:w="2074"/>
      </w:tblGrid>
      <w:tr w:rsidR="00172AD3" w:rsidRPr="00E65784" w:rsidTr="0011582A">
        <w:trPr>
          <w:tblHeader/>
        </w:trPr>
        <w:tc>
          <w:tcPr>
            <w:tcW w:w="1806" w:type="pct"/>
            <w:vAlign w:val="center"/>
          </w:tcPr>
          <w:p w:rsidR="00172AD3" w:rsidRPr="0037031D" w:rsidRDefault="00172AD3" w:rsidP="00D5705B">
            <w:pPr>
              <w:pStyle w:val="Tabletext"/>
              <w:keepNext/>
              <w:keepLines/>
              <w:rPr>
                <w:b/>
              </w:rPr>
            </w:pPr>
            <w:r w:rsidRPr="0037031D">
              <w:rPr>
                <w:b/>
              </w:rPr>
              <w:t>Step and component</w:t>
            </w:r>
          </w:p>
        </w:tc>
        <w:tc>
          <w:tcPr>
            <w:tcW w:w="1022" w:type="pct"/>
            <w:vAlign w:val="center"/>
          </w:tcPr>
          <w:p w:rsidR="00172AD3" w:rsidRPr="0037031D" w:rsidRDefault="00172AD3" w:rsidP="00D5705B">
            <w:pPr>
              <w:pStyle w:val="Tabletext"/>
              <w:keepNext/>
              <w:keepLines/>
              <w:jc w:val="center"/>
              <w:rPr>
                <w:b/>
              </w:rPr>
            </w:pPr>
            <w:r w:rsidRPr="0037031D">
              <w:rPr>
                <w:b/>
              </w:rPr>
              <w:t>BEL + SOC</w:t>
            </w:r>
          </w:p>
        </w:tc>
        <w:tc>
          <w:tcPr>
            <w:tcW w:w="1022" w:type="pct"/>
            <w:vAlign w:val="center"/>
          </w:tcPr>
          <w:p w:rsidR="00172AD3" w:rsidRPr="0037031D" w:rsidRDefault="00172AD3" w:rsidP="00D5705B">
            <w:pPr>
              <w:pStyle w:val="Tabletext"/>
              <w:keepNext/>
              <w:keepLines/>
              <w:jc w:val="center"/>
              <w:rPr>
                <w:b/>
              </w:rPr>
            </w:pPr>
            <w:r w:rsidRPr="0037031D">
              <w:rPr>
                <w:b/>
              </w:rPr>
              <w:t>SOC</w:t>
            </w:r>
          </w:p>
        </w:tc>
        <w:tc>
          <w:tcPr>
            <w:tcW w:w="1150" w:type="pct"/>
            <w:vAlign w:val="center"/>
          </w:tcPr>
          <w:p w:rsidR="00172AD3" w:rsidRPr="0037031D" w:rsidRDefault="00172AD3" w:rsidP="00D5705B">
            <w:pPr>
              <w:pStyle w:val="Tabletext"/>
              <w:keepNext/>
              <w:keepLines/>
              <w:jc w:val="center"/>
              <w:rPr>
                <w:b/>
              </w:rPr>
            </w:pPr>
            <w:r w:rsidRPr="0037031D">
              <w:rPr>
                <w:b/>
              </w:rPr>
              <w:t>Increment</w:t>
            </w:r>
          </w:p>
        </w:tc>
      </w:tr>
      <w:tr w:rsidR="00172AD3" w:rsidRPr="00E65784" w:rsidTr="00E65784">
        <w:tc>
          <w:tcPr>
            <w:tcW w:w="5000" w:type="pct"/>
            <w:gridSpan w:val="4"/>
            <w:tcBorders>
              <w:bottom w:val="single" w:sz="4" w:space="0" w:color="auto"/>
            </w:tcBorders>
            <w:shd w:val="clear" w:color="auto" w:fill="auto"/>
            <w:vAlign w:val="center"/>
          </w:tcPr>
          <w:p w:rsidR="00172AD3" w:rsidRPr="0037031D" w:rsidRDefault="00172AD3" w:rsidP="00D5705B">
            <w:pPr>
              <w:pStyle w:val="Tabletext"/>
              <w:keepNext/>
              <w:keepLines/>
            </w:pPr>
            <w:r w:rsidRPr="0037031D">
              <w:rPr>
                <w:b/>
                <w:bCs/>
              </w:rPr>
              <w:t xml:space="preserve">Step 1: </w:t>
            </w:r>
            <w:r w:rsidRPr="0037031D">
              <w:t>Trial-based, incremental cost per additional SRI responder at 52 weeks, assuming</w:t>
            </w:r>
          </w:p>
          <w:p w:rsidR="00172AD3" w:rsidRPr="0037031D" w:rsidRDefault="00172AD3" w:rsidP="00D5705B">
            <w:pPr>
              <w:pStyle w:val="Tabletext"/>
              <w:keepNext/>
              <w:keepLines/>
              <w:numPr>
                <w:ilvl w:val="0"/>
                <w:numId w:val="7"/>
              </w:numPr>
              <w:ind w:left="254" w:hanging="142"/>
              <w:rPr>
                <w:b/>
                <w:snapToGrid w:val="0"/>
              </w:rPr>
            </w:pPr>
            <w:r w:rsidRPr="0037031D">
              <w:t>Drug costs only,</w:t>
            </w:r>
            <w:r w:rsidR="009F4076" w:rsidRPr="0037031D">
              <w:t xml:space="preserve"> </w:t>
            </w:r>
            <w:r w:rsidRPr="0037031D">
              <w:t>All patients remain on BEL for 52 weeks</w:t>
            </w:r>
          </w:p>
        </w:tc>
      </w:tr>
      <w:tr w:rsidR="00172AD3" w:rsidRPr="00E65784" w:rsidTr="00E65784">
        <w:tc>
          <w:tcPr>
            <w:tcW w:w="1806" w:type="pct"/>
            <w:tcBorders>
              <w:bottom w:val="nil"/>
            </w:tcBorders>
            <w:shd w:val="clear" w:color="auto" w:fill="auto"/>
            <w:vAlign w:val="center"/>
          </w:tcPr>
          <w:p w:rsidR="00172AD3" w:rsidRPr="0037031D" w:rsidRDefault="00172AD3" w:rsidP="00D5705B">
            <w:pPr>
              <w:pStyle w:val="Tabletext"/>
              <w:keepNext/>
              <w:keepLines/>
              <w:rPr>
                <w:rFonts w:ascii="Times" w:hAnsi="Times"/>
              </w:rPr>
            </w:pPr>
            <w:r w:rsidRPr="0037031D">
              <w:t>Costs (52 weeks)</w:t>
            </w:r>
          </w:p>
        </w:tc>
        <w:tc>
          <w:tcPr>
            <w:tcW w:w="1022"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c>
          <w:tcPr>
            <w:tcW w:w="1022"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$0</w:t>
            </w:r>
          </w:p>
        </w:tc>
        <w:tc>
          <w:tcPr>
            <w:tcW w:w="1150"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r>
      <w:tr w:rsidR="00172AD3" w:rsidRPr="00E65784" w:rsidTr="00E65784">
        <w:tc>
          <w:tcPr>
            <w:tcW w:w="1806" w:type="pct"/>
            <w:tcBorders>
              <w:top w:val="nil"/>
              <w:bottom w:val="single" w:sz="4" w:space="0" w:color="auto"/>
            </w:tcBorders>
            <w:shd w:val="clear" w:color="auto" w:fill="auto"/>
            <w:vAlign w:val="center"/>
          </w:tcPr>
          <w:p w:rsidR="00172AD3" w:rsidRPr="0037031D" w:rsidRDefault="00172AD3" w:rsidP="00D5705B">
            <w:pPr>
              <w:pStyle w:val="Tabletext"/>
              <w:keepNext/>
              <w:keepLines/>
              <w:rPr>
                <w:rFonts w:ascii="Times" w:hAnsi="Times"/>
              </w:rPr>
            </w:pPr>
            <w:r w:rsidRPr="0037031D">
              <w:t>SRI responders at 52 weeks</w:t>
            </w:r>
          </w:p>
        </w:tc>
        <w:tc>
          <w:tcPr>
            <w:tcW w:w="1022" w:type="pct"/>
            <w:tcBorders>
              <w:top w:val="nil"/>
              <w:bottom w:val="single" w:sz="4" w:space="0" w:color="auto"/>
            </w:tcBorders>
            <w:shd w:val="clear" w:color="auto" w:fill="auto"/>
            <w:vAlign w:val="center"/>
          </w:tcPr>
          <w:p w:rsidR="00172AD3" w:rsidRPr="0037031D" w:rsidRDefault="00172AD3" w:rsidP="00D5705B">
            <w:pPr>
              <w:pStyle w:val="Tabletext"/>
              <w:keepNext/>
              <w:keepLines/>
              <w:jc w:val="center"/>
              <w:rPr>
                <w:rFonts w:ascii="Times" w:hAnsi="Times"/>
              </w:rPr>
            </w:pPr>
            <w:r w:rsidRPr="0037031D">
              <w:t>0.614</w:t>
            </w:r>
          </w:p>
        </w:tc>
        <w:tc>
          <w:tcPr>
            <w:tcW w:w="1022" w:type="pct"/>
            <w:tcBorders>
              <w:top w:val="nil"/>
              <w:bottom w:val="single" w:sz="4" w:space="0" w:color="auto"/>
            </w:tcBorders>
            <w:shd w:val="clear" w:color="auto" w:fill="auto"/>
            <w:vAlign w:val="center"/>
          </w:tcPr>
          <w:p w:rsidR="00172AD3" w:rsidRPr="0037031D" w:rsidRDefault="00172AD3" w:rsidP="00D5705B">
            <w:pPr>
              <w:pStyle w:val="Tabletext"/>
              <w:keepNext/>
              <w:keepLines/>
              <w:jc w:val="center"/>
              <w:rPr>
                <w:rFonts w:ascii="Times" w:hAnsi="Times"/>
              </w:rPr>
            </w:pPr>
            <w:r w:rsidRPr="0037031D">
              <w:t>0.484</w:t>
            </w:r>
          </w:p>
        </w:tc>
        <w:tc>
          <w:tcPr>
            <w:tcW w:w="1150" w:type="pct"/>
            <w:tcBorders>
              <w:top w:val="nil"/>
              <w:bottom w:val="single" w:sz="4" w:space="0" w:color="auto"/>
            </w:tcBorders>
            <w:shd w:val="clear" w:color="auto" w:fill="auto"/>
            <w:vAlign w:val="center"/>
          </w:tcPr>
          <w:p w:rsidR="00172AD3" w:rsidRPr="0037031D" w:rsidRDefault="00172AD3" w:rsidP="00D5705B">
            <w:pPr>
              <w:pStyle w:val="Tabletext"/>
              <w:keepNext/>
              <w:keepLines/>
              <w:jc w:val="center"/>
            </w:pPr>
            <w:r w:rsidRPr="0037031D">
              <w:t>0.13</w:t>
            </w:r>
          </w:p>
        </w:tc>
      </w:tr>
      <w:tr w:rsidR="00172AD3" w:rsidRPr="00E65784" w:rsidTr="00E65784">
        <w:tc>
          <w:tcPr>
            <w:tcW w:w="3850" w:type="pct"/>
            <w:gridSpan w:val="3"/>
            <w:tcBorders>
              <w:top w:val="single" w:sz="4" w:space="0" w:color="auto"/>
            </w:tcBorders>
            <w:shd w:val="clear" w:color="auto" w:fill="auto"/>
            <w:vAlign w:val="center"/>
          </w:tcPr>
          <w:p w:rsidR="00172AD3" w:rsidRPr="0037031D" w:rsidRDefault="00172AD3" w:rsidP="00D5705B">
            <w:pPr>
              <w:pStyle w:val="Tabletext"/>
              <w:keepNext/>
              <w:keepLines/>
              <w:jc w:val="right"/>
              <w:rPr>
                <w:rFonts w:ascii="Times" w:hAnsi="Times"/>
                <w:b/>
                <w:bCs/>
                <w:snapToGrid w:val="0"/>
              </w:rPr>
            </w:pPr>
            <w:r w:rsidRPr="0037031D">
              <w:rPr>
                <w:b/>
                <w:bCs/>
              </w:rPr>
              <w:t>Incremental cost/extra SRI responder at 52 weeks</w:t>
            </w:r>
          </w:p>
        </w:tc>
        <w:tc>
          <w:tcPr>
            <w:tcW w:w="1150" w:type="pct"/>
            <w:tcBorders>
              <w:top w:val="single" w:sz="4" w:space="0" w:color="auto"/>
            </w:tcBorders>
            <w:shd w:val="clear" w:color="auto" w:fill="auto"/>
            <w:vAlign w:val="center"/>
          </w:tcPr>
          <w:p w:rsidR="00172AD3" w:rsidRPr="0037031D" w:rsidRDefault="00172AD3" w:rsidP="00D5705B">
            <w:pPr>
              <w:pStyle w:val="Tabletext"/>
              <w:keepNext/>
              <w:keepLines/>
              <w:jc w:val="center"/>
              <w:rPr>
                <w:rFonts w:ascii="Times" w:hAnsi="Times"/>
                <w:b/>
                <w:bCs/>
              </w:rPr>
            </w:pPr>
            <w:r w:rsidRPr="0037031D">
              <w:rPr>
                <w:b/>
                <w:bCs/>
              </w:rPr>
              <w:t>$70,</w:t>
            </w:r>
            <w:r w:rsidRPr="0037031D">
              <w:rPr>
                <w:b/>
                <w:bCs/>
                <w:iCs/>
              </w:rPr>
              <w:t>769</w:t>
            </w:r>
          </w:p>
        </w:tc>
      </w:tr>
      <w:tr w:rsidR="00172AD3" w:rsidRPr="00E65784" w:rsidTr="00E65784">
        <w:tc>
          <w:tcPr>
            <w:tcW w:w="5000" w:type="pct"/>
            <w:gridSpan w:val="4"/>
            <w:tcBorders>
              <w:bottom w:val="single" w:sz="4" w:space="0" w:color="auto"/>
            </w:tcBorders>
            <w:shd w:val="clear" w:color="auto" w:fill="auto"/>
            <w:vAlign w:val="center"/>
          </w:tcPr>
          <w:p w:rsidR="00172AD3" w:rsidRPr="0037031D" w:rsidRDefault="00172AD3" w:rsidP="00D5705B">
            <w:pPr>
              <w:pStyle w:val="Tabletext"/>
              <w:keepNext/>
              <w:keepLines/>
            </w:pPr>
            <w:r w:rsidRPr="0037031D">
              <w:rPr>
                <w:b/>
                <w:bCs/>
              </w:rPr>
              <w:t xml:space="preserve">Step 2: </w:t>
            </w:r>
            <w:r w:rsidRPr="0037031D">
              <w:t>Trial-based, incremental cost per additional SELENA-SLEDAI responder at 24 weeks, assuming</w:t>
            </w:r>
          </w:p>
          <w:p w:rsidR="00172AD3" w:rsidRPr="0037031D" w:rsidRDefault="00172AD3" w:rsidP="00D5705B">
            <w:pPr>
              <w:pStyle w:val="Tabletext"/>
              <w:keepNext/>
              <w:keepLines/>
              <w:numPr>
                <w:ilvl w:val="0"/>
                <w:numId w:val="7"/>
              </w:numPr>
              <w:ind w:left="254" w:hanging="142"/>
              <w:rPr>
                <w:b/>
                <w:snapToGrid w:val="0"/>
              </w:rPr>
            </w:pPr>
            <w:r w:rsidRPr="0037031D">
              <w:t>Drug costs only,</w:t>
            </w:r>
            <w:r w:rsidR="009F4076" w:rsidRPr="0037031D">
              <w:t xml:space="preserve"> </w:t>
            </w:r>
            <w:r w:rsidRPr="0037031D">
              <w:t>All patients remain on BEL for 24 weeks</w:t>
            </w:r>
          </w:p>
        </w:tc>
      </w:tr>
      <w:tr w:rsidR="00172AD3" w:rsidRPr="00E65784" w:rsidTr="00E65784">
        <w:tc>
          <w:tcPr>
            <w:tcW w:w="1806" w:type="pct"/>
            <w:tcBorders>
              <w:bottom w:val="nil"/>
            </w:tcBorders>
            <w:shd w:val="clear" w:color="auto" w:fill="auto"/>
            <w:vAlign w:val="center"/>
          </w:tcPr>
          <w:p w:rsidR="00172AD3" w:rsidRPr="0037031D" w:rsidRDefault="00172AD3" w:rsidP="00D5705B">
            <w:pPr>
              <w:pStyle w:val="Tabletext"/>
              <w:keepNext/>
              <w:keepLines/>
              <w:rPr>
                <w:rFonts w:ascii="Times" w:hAnsi="Times"/>
              </w:rPr>
            </w:pPr>
            <w:r w:rsidRPr="0037031D">
              <w:t>Costs (24 weeks)</w:t>
            </w:r>
          </w:p>
        </w:tc>
        <w:tc>
          <w:tcPr>
            <w:tcW w:w="1022"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c>
          <w:tcPr>
            <w:tcW w:w="1022"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$0</w:t>
            </w:r>
          </w:p>
        </w:tc>
        <w:tc>
          <w:tcPr>
            <w:tcW w:w="1150"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r>
      <w:tr w:rsidR="00172AD3" w:rsidRPr="00E65784" w:rsidTr="00E65784">
        <w:tc>
          <w:tcPr>
            <w:tcW w:w="1806" w:type="pct"/>
            <w:tcBorders>
              <w:top w:val="nil"/>
            </w:tcBorders>
            <w:shd w:val="clear" w:color="auto" w:fill="auto"/>
            <w:vAlign w:val="center"/>
          </w:tcPr>
          <w:p w:rsidR="00172AD3" w:rsidRPr="0037031D" w:rsidRDefault="00172AD3" w:rsidP="00D5705B">
            <w:pPr>
              <w:pStyle w:val="Tabletext"/>
              <w:keepNext/>
              <w:keepLines/>
              <w:rPr>
                <w:rFonts w:ascii="Times" w:hAnsi="Times"/>
              </w:rPr>
            </w:pPr>
            <w:r w:rsidRPr="0037031D">
              <w:t>SELENA-SLEDAI responders at 24 weeks</w:t>
            </w:r>
          </w:p>
        </w:tc>
        <w:tc>
          <w:tcPr>
            <w:tcW w:w="1022" w:type="pct"/>
            <w:tcBorders>
              <w:top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0.610</w:t>
            </w:r>
          </w:p>
        </w:tc>
        <w:tc>
          <w:tcPr>
            <w:tcW w:w="1022" w:type="pct"/>
            <w:tcBorders>
              <w:top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0.532</w:t>
            </w:r>
          </w:p>
        </w:tc>
        <w:tc>
          <w:tcPr>
            <w:tcW w:w="1150" w:type="pct"/>
            <w:tcBorders>
              <w:top w:val="nil"/>
            </w:tcBorders>
            <w:shd w:val="clear" w:color="auto" w:fill="auto"/>
            <w:vAlign w:val="center"/>
          </w:tcPr>
          <w:p w:rsidR="00172AD3" w:rsidRPr="0037031D" w:rsidRDefault="00172AD3" w:rsidP="00D5705B">
            <w:pPr>
              <w:pStyle w:val="Tabletext"/>
              <w:keepNext/>
              <w:keepLines/>
              <w:jc w:val="center"/>
            </w:pPr>
            <w:r w:rsidRPr="0037031D">
              <w:t>0.078</w:t>
            </w:r>
          </w:p>
        </w:tc>
      </w:tr>
      <w:tr w:rsidR="00172AD3" w:rsidRPr="00E65784" w:rsidTr="00E65784">
        <w:tc>
          <w:tcPr>
            <w:tcW w:w="3850" w:type="pct"/>
            <w:gridSpan w:val="3"/>
            <w:shd w:val="clear" w:color="auto" w:fill="auto"/>
            <w:vAlign w:val="center"/>
          </w:tcPr>
          <w:p w:rsidR="00172AD3" w:rsidRPr="0037031D" w:rsidRDefault="00172AD3" w:rsidP="00D5705B">
            <w:pPr>
              <w:pStyle w:val="Tabletext"/>
              <w:keepNext/>
              <w:keepLines/>
              <w:jc w:val="right"/>
              <w:rPr>
                <w:rFonts w:ascii="Times" w:hAnsi="Times"/>
                <w:b/>
                <w:bCs/>
                <w:snapToGrid w:val="0"/>
              </w:rPr>
            </w:pPr>
            <w:r w:rsidRPr="0037031D">
              <w:rPr>
                <w:b/>
                <w:bCs/>
              </w:rPr>
              <w:t>Incremental cost/extra SELENA-SLEDAI responder at 24 weeks</w:t>
            </w:r>
          </w:p>
        </w:tc>
        <w:tc>
          <w:tcPr>
            <w:tcW w:w="1150" w:type="pct"/>
            <w:shd w:val="clear" w:color="auto" w:fill="auto"/>
            <w:vAlign w:val="center"/>
          </w:tcPr>
          <w:p w:rsidR="00172AD3" w:rsidRPr="0037031D" w:rsidRDefault="00172AD3" w:rsidP="00D5705B">
            <w:pPr>
              <w:pStyle w:val="Tabletext"/>
              <w:keepNext/>
              <w:keepLines/>
              <w:jc w:val="center"/>
              <w:rPr>
                <w:rFonts w:ascii="Times" w:hAnsi="Times"/>
                <w:b/>
                <w:bCs/>
              </w:rPr>
            </w:pPr>
            <w:r w:rsidRPr="0037031D">
              <w:rPr>
                <w:b/>
                <w:bCs/>
              </w:rPr>
              <w:t>$</w:t>
            </w:r>
            <w:r w:rsidR="006D6DCE">
              <w:rPr>
                <w:b/>
                <w:bCs/>
                <w:noProof/>
                <w:color w:val="000000"/>
                <w:highlight w:val="black"/>
              </w:rPr>
              <w:t>''''''''''''</w:t>
            </w:r>
          </w:p>
        </w:tc>
      </w:tr>
      <w:tr w:rsidR="00172AD3" w:rsidRPr="00E65784" w:rsidTr="00E65784">
        <w:tc>
          <w:tcPr>
            <w:tcW w:w="5000" w:type="pct"/>
            <w:gridSpan w:val="4"/>
            <w:tcBorders>
              <w:bottom w:val="single" w:sz="4" w:space="0" w:color="auto"/>
            </w:tcBorders>
            <w:shd w:val="clear" w:color="auto" w:fill="auto"/>
            <w:vAlign w:val="center"/>
          </w:tcPr>
          <w:p w:rsidR="00172AD3" w:rsidRPr="0037031D" w:rsidRDefault="00172AD3" w:rsidP="00D5705B">
            <w:pPr>
              <w:keepNext/>
              <w:keepLines/>
              <w:rPr>
                <w:rFonts w:ascii="Arial Narrow" w:hAnsi="Arial Narrow" w:cs="Times New Roman"/>
                <w:sz w:val="20"/>
              </w:rPr>
            </w:pPr>
            <w:r w:rsidRPr="0037031D">
              <w:rPr>
                <w:rFonts w:ascii="Arial Narrow" w:hAnsi="Arial Narrow" w:cs="Times New Roman"/>
                <w:b/>
                <w:bCs/>
                <w:sz w:val="20"/>
              </w:rPr>
              <w:t xml:space="preserve">Step 3: </w:t>
            </w:r>
            <w:r w:rsidRPr="0037031D">
              <w:rPr>
                <w:rFonts w:ascii="Arial Narrow" w:hAnsi="Arial Narrow" w:cs="Times New Roman"/>
                <w:sz w:val="20"/>
              </w:rPr>
              <w:t>Trial-based / simple model, incremental cost per additional SELENA-SLEDAI responder at 52 weeks, assuming</w:t>
            </w:r>
          </w:p>
          <w:p w:rsidR="00172AD3" w:rsidRPr="0037031D" w:rsidRDefault="00172AD3" w:rsidP="00D5705B">
            <w:pPr>
              <w:pStyle w:val="ListParagraph"/>
              <w:keepNext/>
              <w:keepLines/>
              <w:widowControl/>
              <w:numPr>
                <w:ilvl w:val="0"/>
                <w:numId w:val="6"/>
              </w:numPr>
              <w:spacing w:after="0"/>
              <w:ind w:left="264" w:hanging="142"/>
              <w:contextualSpacing/>
              <w:jc w:val="left"/>
              <w:rPr>
                <w:b/>
              </w:rPr>
            </w:pPr>
            <w:r w:rsidRPr="0037031D">
              <w:rPr>
                <w:rFonts w:ascii="Arial Narrow" w:hAnsi="Arial Narrow" w:cs="Times New Roman"/>
                <w:sz w:val="20"/>
              </w:rPr>
              <w:t>Drugs costs only,</w:t>
            </w:r>
            <w:r w:rsidR="009F4076" w:rsidRPr="0037031D">
              <w:rPr>
                <w:rFonts w:ascii="Arial Narrow" w:hAnsi="Arial Narrow" w:cs="Times New Roman"/>
                <w:sz w:val="20"/>
              </w:rPr>
              <w:t xml:space="preserve"> </w:t>
            </w:r>
            <w:r w:rsidRPr="0037031D">
              <w:rPr>
                <w:rFonts w:ascii="Arial Narrow" w:hAnsi="Arial Narrow" w:cs="Times New Roman"/>
                <w:sz w:val="20"/>
              </w:rPr>
              <w:t>BEL non-responders at 24 weeks stop treatment, and BEL responders at 24 weeks discontinue treatment</w:t>
            </w:r>
          </w:p>
        </w:tc>
      </w:tr>
      <w:tr w:rsidR="00172AD3" w:rsidRPr="00E65784" w:rsidTr="00E65784">
        <w:tc>
          <w:tcPr>
            <w:tcW w:w="1806" w:type="pct"/>
            <w:tcBorders>
              <w:bottom w:val="nil"/>
            </w:tcBorders>
            <w:shd w:val="clear" w:color="auto" w:fill="auto"/>
            <w:vAlign w:val="center"/>
          </w:tcPr>
          <w:p w:rsidR="00172AD3" w:rsidRPr="0037031D" w:rsidRDefault="00172AD3" w:rsidP="00D5705B">
            <w:pPr>
              <w:pStyle w:val="Tabletext"/>
              <w:keepNext/>
              <w:keepLines/>
              <w:rPr>
                <w:rFonts w:ascii="Times" w:hAnsi="Times"/>
              </w:rPr>
            </w:pPr>
            <w:r w:rsidRPr="0037031D">
              <w:t>Costs (52 weeks)</w:t>
            </w:r>
          </w:p>
        </w:tc>
        <w:tc>
          <w:tcPr>
            <w:tcW w:w="1022"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c>
          <w:tcPr>
            <w:tcW w:w="1022"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$0</w:t>
            </w:r>
          </w:p>
        </w:tc>
        <w:tc>
          <w:tcPr>
            <w:tcW w:w="1150"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r>
      <w:tr w:rsidR="00172AD3" w:rsidRPr="00E65784" w:rsidTr="00E65784">
        <w:tc>
          <w:tcPr>
            <w:tcW w:w="1806" w:type="pct"/>
            <w:tcBorders>
              <w:top w:val="nil"/>
            </w:tcBorders>
            <w:shd w:val="clear" w:color="auto" w:fill="auto"/>
            <w:vAlign w:val="center"/>
          </w:tcPr>
          <w:p w:rsidR="00172AD3" w:rsidRPr="0037031D" w:rsidRDefault="00172AD3" w:rsidP="00D5705B">
            <w:pPr>
              <w:pStyle w:val="Tabletext"/>
              <w:keepNext/>
              <w:keepLines/>
              <w:rPr>
                <w:rFonts w:ascii="Times" w:hAnsi="Times"/>
              </w:rPr>
            </w:pPr>
            <w:r w:rsidRPr="0037031D">
              <w:t>SELENA-SLEDAI responders at 52 weeks</w:t>
            </w:r>
          </w:p>
        </w:tc>
        <w:tc>
          <w:tcPr>
            <w:tcW w:w="1022" w:type="pct"/>
            <w:tcBorders>
              <w:top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0.610</w:t>
            </w:r>
          </w:p>
        </w:tc>
        <w:tc>
          <w:tcPr>
            <w:tcW w:w="1022" w:type="pct"/>
            <w:tcBorders>
              <w:top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0.532</w:t>
            </w:r>
          </w:p>
        </w:tc>
        <w:tc>
          <w:tcPr>
            <w:tcW w:w="1150" w:type="pct"/>
            <w:tcBorders>
              <w:top w:val="nil"/>
            </w:tcBorders>
            <w:shd w:val="clear" w:color="auto" w:fill="auto"/>
            <w:vAlign w:val="center"/>
          </w:tcPr>
          <w:p w:rsidR="00172AD3" w:rsidRPr="0037031D" w:rsidRDefault="00172AD3" w:rsidP="00D5705B">
            <w:pPr>
              <w:pStyle w:val="Tabletext"/>
              <w:keepNext/>
              <w:keepLines/>
              <w:jc w:val="center"/>
            </w:pPr>
            <w:r w:rsidRPr="0037031D">
              <w:t>0.078</w:t>
            </w:r>
          </w:p>
        </w:tc>
      </w:tr>
      <w:tr w:rsidR="00172AD3" w:rsidRPr="00E65784" w:rsidTr="00E65784">
        <w:tc>
          <w:tcPr>
            <w:tcW w:w="3850" w:type="pct"/>
            <w:gridSpan w:val="3"/>
            <w:shd w:val="clear" w:color="auto" w:fill="auto"/>
            <w:vAlign w:val="center"/>
          </w:tcPr>
          <w:p w:rsidR="00172AD3" w:rsidRPr="0037031D" w:rsidRDefault="00172AD3" w:rsidP="00D5705B">
            <w:pPr>
              <w:pStyle w:val="Tabletext"/>
              <w:keepNext/>
              <w:keepLines/>
              <w:rPr>
                <w:rFonts w:ascii="Times" w:hAnsi="Times"/>
              </w:rPr>
            </w:pPr>
            <w:r w:rsidRPr="0037031D">
              <w:t>Incremental cost/extra SELENA-SLEDAI responder at 52 weeks</w:t>
            </w:r>
          </w:p>
        </w:tc>
        <w:tc>
          <w:tcPr>
            <w:tcW w:w="1150" w:type="pct"/>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r>
      <w:tr w:rsidR="00172AD3" w:rsidRPr="00E65784" w:rsidTr="00E65784">
        <w:tc>
          <w:tcPr>
            <w:tcW w:w="5000" w:type="pct"/>
            <w:gridSpan w:val="4"/>
            <w:tcBorders>
              <w:bottom w:val="single" w:sz="4" w:space="0" w:color="auto"/>
            </w:tcBorders>
            <w:shd w:val="clear" w:color="auto" w:fill="auto"/>
            <w:vAlign w:val="center"/>
          </w:tcPr>
          <w:p w:rsidR="00172AD3" w:rsidRPr="0037031D" w:rsidRDefault="00172AD3" w:rsidP="00D5705B">
            <w:pPr>
              <w:keepNext/>
              <w:keepLines/>
              <w:rPr>
                <w:rFonts w:ascii="Arial Narrow" w:hAnsi="Arial Narrow" w:cs="Times New Roman"/>
                <w:sz w:val="20"/>
              </w:rPr>
            </w:pPr>
            <w:r w:rsidRPr="0037031D">
              <w:rPr>
                <w:rFonts w:ascii="Arial Narrow" w:hAnsi="Arial Narrow" w:cs="Times New Roman"/>
                <w:b/>
                <w:bCs/>
                <w:sz w:val="20"/>
              </w:rPr>
              <w:t xml:space="preserve">Step 4: </w:t>
            </w:r>
            <w:r w:rsidRPr="0037031D">
              <w:rPr>
                <w:rFonts w:ascii="Arial Narrow" w:hAnsi="Arial Narrow" w:cs="Times New Roman"/>
                <w:sz w:val="20"/>
              </w:rPr>
              <w:t xml:space="preserve">Modelled economic evaluation, incremental cost per QALY at 52 </w:t>
            </w:r>
            <w:r w:rsidR="00A8052D" w:rsidRPr="0037031D">
              <w:rPr>
                <w:rFonts w:ascii="Arial Narrow" w:hAnsi="Arial Narrow" w:cs="Times New Roman"/>
                <w:sz w:val="20"/>
              </w:rPr>
              <w:t>weeks</w:t>
            </w:r>
            <w:r w:rsidRPr="0037031D">
              <w:rPr>
                <w:rFonts w:ascii="Arial Narrow" w:hAnsi="Arial Narrow" w:cs="Times New Roman"/>
                <w:sz w:val="20"/>
              </w:rPr>
              <w:t>, assuming:</w:t>
            </w:r>
          </w:p>
          <w:p w:rsidR="00172AD3" w:rsidRPr="0037031D" w:rsidRDefault="00172AD3" w:rsidP="00D5705B">
            <w:pPr>
              <w:pStyle w:val="ListParagraph"/>
              <w:keepNext/>
              <w:keepLines/>
              <w:widowControl/>
              <w:numPr>
                <w:ilvl w:val="0"/>
                <w:numId w:val="6"/>
              </w:numPr>
              <w:spacing w:after="0"/>
              <w:ind w:left="264" w:hanging="142"/>
              <w:contextualSpacing/>
              <w:jc w:val="left"/>
              <w:rPr>
                <w:b/>
              </w:rPr>
            </w:pPr>
            <w:r w:rsidRPr="0037031D">
              <w:rPr>
                <w:rFonts w:ascii="Arial Narrow" w:hAnsi="Arial Narrow" w:cs="Times New Roman"/>
                <w:sz w:val="20"/>
              </w:rPr>
              <w:t>Probability of SDI progression (Bruce et al 2015, Urowitz et al 2018),</w:t>
            </w:r>
            <w:r w:rsidR="009F4076" w:rsidRPr="0037031D">
              <w:rPr>
                <w:rFonts w:ascii="Arial Narrow" w:hAnsi="Arial Narrow" w:cs="Times New Roman"/>
                <w:sz w:val="20"/>
              </w:rPr>
              <w:t xml:space="preserve"> </w:t>
            </w:r>
            <w:r w:rsidRPr="0037031D">
              <w:rPr>
                <w:rFonts w:ascii="Arial Narrow" w:hAnsi="Arial Narrow" w:cs="Times New Roman"/>
                <w:sz w:val="20"/>
              </w:rPr>
              <w:t>Age-related mortality (life tables), QALYs (Wang et al 2014)</w:t>
            </w:r>
            <w:r w:rsidR="009F4076" w:rsidRPr="0037031D">
              <w:rPr>
                <w:rFonts w:ascii="Arial Narrow" w:hAnsi="Arial Narrow" w:cs="Times New Roman"/>
                <w:sz w:val="20"/>
              </w:rPr>
              <w:t xml:space="preserve">, </w:t>
            </w:r>
            <w:r w:rsidRPr="0037031D">
              <w:rPr>
                <w:rFonts w:ascii="Arial Narrow" w:hAnsi="Arial Narrow" w:cs="Times New Roman"/>
                <w:sz w:val="20"/>
              </w:rPr>
              <w:t>Disutility from SLE flares (</w:t>
            </w:r>
            <w:r w:rsidR="00E351A1" w:rsidRPr="0037031D">
              <w:rPr>
                <w:rFonts w:ascii="Arial Narrow" w:hAnsi="Arial Narrow" w:cs="Times New Roman"/>
                <w:sz w:val="20"/>
              </w:rPr>
              <w:t>BLISS-SC</w:t>
            </w:r>
            <w:r w:rsidRPr="0037031D">
              <w:rPr>
                <w:rFonts w:ascii="Arial Narrow" w:hAnsi="Arial Narrow" w:cs="Times New Roman"/>
                <w:sz w:val="20"/>
              </w:rPr>
              <w:t>, Pollard et al 2015, Squance et al 2014).</w:t>
            </w:r>
          </w:p>
        </w:tc>
      </w:tr>
      <w:tr w:rsidR="00172AD3" w:rsidRPr="00E65784" w:rsidTr="00E65784">
        <w:tc>
          <w:tcPr>
            <w:tcW w:w="1806" w:type="pct"/>
            <w:tcBorders>
              <w:bottom w:val="nil"/>
            </w:tcBorders>
            <w:shd w:val="clear" w:color="auto" w:fill="auto"/>
            <w:vAlign w:val="center"/>
          </w:tcPr>
          <w:p w:rsidR="00172AD3" w:rsidRPr="0037031D" w:rsidRDefault="00172AD3" w:rsidP="00D5705B">
            <w:pPr>
              <w:pStyle w:val="Tabletext"/>
              <w:keepNext/>
              <w:keepLines/>
              <w:rPr>
                <w:rFonts w:ascii="Times" w:hAnsi="Times"/>
              </w:rPr>
            </w:pPr>
            <w:r w:rsidRPr="0037031D">
              <w:t>Costs (52 weeks)</w:t>
            </w:r>
          </w:p>
        </w:tc>
        <w:tc>
          <w:tcPr>
            <w:tcW w:w="1022"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c>
          <w:tcPr>
            <w:tcW w:w="1022"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$0</w:t>
            </w:r>
          </w:p>
        </w:tc>
        <w:tc>
          <w:tcPr>
            <w:tcW w:w="1150"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r>
      <w:tr w:rsidR="00172AD3" w:rsidRPr="00E65784" w:rsidTr="00E65784">
        <w:tc>
          <w:tcPr>
            <w:tcW w:w="1806" w:type="pct"/>
            <w:tcBorders>
              <w:top w:val="nil"/>
            </w:tcBorders>
            <w:shd w:val="clear" w:color="auto" w:fill="auto"/>
            <w:vAlign w:val="center"/>
          </w:tcPr>
          <w:p w:rsidR="00172AD3" w:rsidRPr="0037031D" w:rsidRDefault="00172AD3" w:rsidP="00D5705B">
            <w:pPr>
              <w:pStyle w:val="Tabletext"/>
              <w:keepNext/>
              <w:keepLines/>
              <w:rPr>
                <w:rFonts w:ascii="Times" w:hAnsi="Times"/>
              </w:rPr>
            </w:pPr>
            <w:r w:rsidRPr="0037031D">
              <w:t>QALYs (52 weeks)</w:t>
            </w:r>
          </w:p>
        </w:tc>
        <w:tc>
          <w:tcPr>
            <w:tcW w:w="1022" w:type="pct"/>
            <w:tcBorders>
              <w:top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0.732</w:t>
            </w:r>
          </w:p>
        </w:tc>
        <w:tc>
          <w:tcPr>
            <w:tcW w:w="1022" w:type="pct"/>
            <w:tcBorders>
              <w:top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0.685</w:t>
            </w:r>
          </w:p>
        </w:tc>
        <w:tc>
          <w:tcPr>
            <w:tcW w:w="1150" w:type="pct"/>
            <w:tcBorders>
              <w:top w:val="nil"/>
            </w:tcBorders>
            <w:shd w:val="clear" w:color="auto" w:fill="auto"/>
            <w:vAlign w:val="center"/>
          </w:tcPr>
          <w:p w:rsidR="00172AD3" w:rsidRPr="0037031D" w:rsidRDefault="00172AD3" w:rsidP="00D5705B">
            <w:pPr>
              <w:pStyle w:val="Tabletext"/>
              <w:keepNext/>
              <w:keepLines/>
              <w:jc w:val="center"/>
            </w:pPr>
            <w:r w:rsidRPr="0037031D">
              <w:t>0.047</w:t>
            </w:r>
          </w:p>
        </w:tc>
      </w:tr>
      <w:tr w:rsidR="00172AD3" w:rsidRPr="00E65784" w:rsidTr="00E65784">
        <w:tc>
          <w:tcPr>
            <w:tcW w:w="3850" w:type="pct"/>
            <w:gridSpan w:val="3"/>
            <w:shd w:val="clear" w:color="auto" w:fill="auto"/>
            <w:vAlign w:val="center"/>
          </w:tcPr>
          <w:p w:rsidR="00172AD3" w:rsidRPr="0037031D" w:rsidRDefault="00172AD3" w:rsidP="00D5705B">
            <w:pPr>
              <w:pStyle w:val="Tabletext"/>
              <w:keepNext/>
              <w:keepLines/>
            </w:pPr>
            <w:r w:rsidRPr="0037031D">
              <w:t>Incremental cost/extra QALY gained at 52 weeks</w:t>
            </w:r>
          </w:p>
        </w:tc>
        <w:tc>
          <w:tcPr>
            <w:tcW w:w="1150" w:type="pct"/>
            <w:shd w:val="clear" w:color="auto" w:fill="auto"/>
            <w:vAlign w:val="center"/>
          </w:tcPr>
          <w:p w:rsidR="00172AD3" w:rsidRPr="0037031D" w:rsidRDefault="00172AD3" w:rsidP="00D5705B">
            <w:pPr>
              <w:pStyle w:val="Tabletext"/>
              <w:keepNext/>
              <w:keepLines/>
              <w:jc w:val="center"/>
            </w:pPr>
            <w:r w:rsidRPr="0037031D">
              <w:t>$</w:t>
            </w:r>
            <w:r w:rsidR="006D6DCE">
              <w:rPr>
                <w:noProof/>
                <w:color w:val="000000"/>
                <w:highlight w:val="black"/>
              </w:rPr>
              <w:t>'''''''''''''''''</w:t>
            </w:r>
          </w:p>
        </w:tc>
      </w:tr>
      <w:tr w:rsidR="00172AD3" w:rsidRPr="00E65784" w:rsidTr="00E65784">
        <w:trPr>
          <w:trHeight w:val="586"/>
        </w:trPr>
        <w:tc>
          <w:tcPr>
            <w:tcW w:w="5000" w:type="pct"/>
            <w:gridSpan w:val="4"/>
            <w:tcBorders>
              <w:bottom w:val="single" w:sz="4" w:space="0" w:color="auto"/>
            </w:tcBorders>
            <w:shd w:val="clear" w:color="auto" w:fill="auto"/>
            <w:vAlign w:val="center"/>
          </w:tcPr>
          <w:p w:rsidR="00172AD3" w:rsidRPr="0037031D" w:rsidRDefault="00172AD3" w:rsidP="00D5705B">
            <w:pPr>
              <w:keepNext/>
              <w:keepLines/>
              <w:rPr>
                <w:rFonts w:ascii="Arial Narrow" w:hAnsi="Arial Narrow" w:cs="Times New Roman"/>
                <w:sz w:val="20"/>
              </w:rPr>
            </w:pPr>
            <w:r w:rsidRPr="0037031D">
              <w:rPr>
                <w:rFonts w:ascii="Arial Narrow" w:hAnsi="Arial Narrow" w:cs="Times New Roman"/>
                <w:b/>
                <w:bCs/>
                <w:sz w:val="20"/>
              </w:rPr>
              <w:t>Step 5:</w:t>
            </w:r>
            <w:r w:rsidRPr="0037031D">
              <w:rPr>
                <w:rFonts w:ascii="Arial Narrow" w:hAnsi="Arial Narrow" w:cs="Times New Roman"/>
                <w:sz w:val="20"/>
              </w:rPr>
              <w:t xml:space="preserve"> Modelled economic evaluation, incremental cost per QALY at 60 years, assuming:</w:t>
            </w:r>
          </w:p>
          <w:p w:rsidR="00172AD3" w:rsidRPr="0037031D" w:rsidRDefault="00172AD3" w:rsidP="00D5705B">
            <w:pPr>
              <w:pStyle w:val="ListParagraph"/>
              <w:keepNext/>
              <w:keepLines/>
              <w:widowControl/>
              <w:numPr>
                <w:ilvl w:val="0"/>
                <w:numId w:val="6"/>
              </w:numPr>
              <w:spacing w:after="0"/>
              <w:ind w:left="264" w:hanging="142"/>
              <w:contextualSpacing/>
              <w:jc w:val="left"/>
              <w:rPr>
                <w:rFonts w:ascii="Arial Narrow" w:hAnsi="Arial Narrow" w:cs="Times New Roman"/>
                <w:sz w:val="20"/>
              </w:rPr>
            </w:pPr>
            <w:r w:rsidRPr="0037031D">
              <w:rPr>
                <w:rFonts w:ascii="Arial Narrow" w:hAnsi="Arial Narrow" w:cs="Times New Roman"/>
                <w:sz w:val="20"/>
              </w:rPr>
              <w:t>Step 4 assumptions,</w:t>
            </w:r>
            <w:r w:rsidR="009F4076" w:rsidRPr="0037031D">
              <w:rPr>
                <w:rFonts w:ascii="Arial Narrow" w:hAnsi="Arial Narrow" w:cs="Times New Roman"/>
                <w:sz w:val="20"/>
              </w:rPr>
              <w:t xml:space="preserve"> </w:t>
            </w:r>
            <w:r w:rsidRPr="0037031D">
              <w:rPr>
                <w:rFonts w:ascii="Arial Narrow" w:hAnsi="Arial Narrow" w:cs="Times New Roman"/>
                <w:sz w:val="20"/>
              </w:rPr>
              <w:t>Incorporation of SDI mortality (Bruce et al. 2015)</w:t>
            </w:r>
            <w:r w:rsidR="009F4076" w:rsidRPr="0037031D">
              <w:rPr>
                <w:rFonts w:ascii="Arial Narrow" w:hAnsi="Arial Narrow" w:cs="Times New Roman"/>
                <w:sz w:val="20"/>
              </w:rPr>
              <w:t xml:space="preserve">, </w:t>
            </w:r>
            <w:r w:rsidRPr="0037031D">
              <w:rPr>
                <w:rFonts w:ascii="Arial Narrow" w:hAnsi="Arial Narrow" w:cs="Times New Roman"/>
                <w:sz w:val="20"/>
              </w:rPr>
              <w:t>60 year time horizon</w:t>
            </w:r>
          </w:p>
        </w:tc>
      </w:tr>
      <w:tr w:rsidR="00172AD3" w:rsidRPr="00E65784" w:rsidTr="00E65784">
        <w:tc>
          <w:tcPr>
            <w:tcW w:w="1806" w:type="pct"/>
            <w:tcBorders>
              <w:bottom w:val="nil"/>
            </w:tcBorders>
            <w:shd w:val="clear" w:color="auto" w:fill="auto"/>
            <w:vAlign w:val="center"/>
          </w:tcPr>
          <w:p w:rsidR="00172AD3" w:rsidRPr="0037031D" w:rsidRDefault="00172AD3" w:rsidP="00D5705B">
            <w:pPr>
              <w:pStyle w:val="Tabletext"/>
              <w:keepNext/>
              <w:keepLines/>
            </w:pPr>
            <w:r w:rsidRPr="0037031D">
              <w:t>Costs (discounted)</w:t>
            </w:r>
          </w:p>
        </w:tc>
        <w:tc>
          <w:tcPr>
            <w:tcW w:w="1022" w:type="pct"/>
            <w:tcBorders>
              <w:bottom w:val="nil"/>
            </w:tcBorders>
            <w:shd w:val="clear" w:color="auto" w:fill="auto"/>
            <w:vAlign w:val="center"/>
          </w:tcPr>
          <w:p w:rsidR="00172AD3" w:rsidRPr="0037031D" w:rsidRDefault="00172AD3" w:rsidP="00D5705B">
            <w:pPr>
              <w:pStyle w:val="Tabletext"/>
              <w:keepNext/>
              <w:keepLines/>
              <w:jc w:val="center"/>
            </w:pPr>
            <w:r w:rsidRPr="0037031D">
              <w:t>$</w:t>
            </w:r>
            <w:r w:rsidR="006D6DCE">
              <w:rPr>
                <w:noProof/>
                <w:color w:val="000000"/>
                <w:highlight w:val="black"/>
              </w:rPr>
              <w:t>''''''''''''''''</w:t>
            </w:r>
          </w:p>
        </w:tc>
        <w:tc>
          <w:tcPr>
            <w:tcW w:w="1022" w:type="pct"/>
            <w:tcBorders>
              <w:bottom w:val="nil"/>
            </w:tcBorders>
            <w:shd w:val="clear" w:color="auto" w:fill="auto"/>
            <w:vAlign w:val="center"/>
          </w:tcPr>
          <w:p w:rsidR="00172AD3" w:rsidRPr="0037031D" w:rsidRDefault="00172AD3" w:rsidP="00D5705B">
            <w:pPr>
              <w:pStyle w:val="Tabletext"/>
              <w:keepNext/>
              <w:keepLines/>
              <w:jc w:val="center"/>
            </w:pPr>
            <w:r w:rsidRPr="0037031D">
              <w:t>$0</w:t>
            </w:r>
          </w:p>
        </w:tc>
        <w:tc>
          <w:tcPr>
            <w:tcW w:w="1150" w:type="pct"/>
            <w:tcBorders>
              <w:bottom w:val="nil"/>
            </w:tcBorders>
            <w:shd w:val="clear" w:color="auto" w:fill="auto"/>
            <w:vAlign w:val="center"/>
          </w:tcPr>
          <w:p w:rsidR="00172AD3" w:rsidRPr="0037031D" w:rsidRDefault="00172AD3" w:rsidP="00D5705B">
            <w:pPr>
              <w:pStyle w:val="Tabletext"/>
              <w:keepNext/>
              <w:keepLines/>
              <w:jc w:val="center"/>
            </w:pPr>
            <w:r w:rsidRPr="0037031D">
              <w:t>$</w:t>
            </w:r>
            <w:r w:rsidR="006D6DCE">
              <w:rPr>
                <w:noProof/>
                <w:color w:val="000000"/>
                <w:highlight w:val="black"/>
              </w:rPr>
              <w:t>'''''''''''''''''</w:t>
            </w:r>
          </w:p>
        </w:tc>
      </w:tr>
      <w:tr w:rsidR="00172AD3" w:rsidRPr="00E65784" w:rsidTr="00E65784">
        <w:tc>
          <w:tcPr>
            <w:tcW w:w="1806" w:type="pct"/>
            <w:tcBorders>
              <w:top w:val="nil"/>
            </w:tcBorders>
            <w:shd w:val="clear" w:color="auto" w:fill="auto"/>
            <w:vAlign w:val="center"/>
          </w:tcPr>
          <w:p w:rsidR="00172AD3" w:rsidRPr="0037031D" w:rsidRDefault="00172AD3" w:rsidP="00D5705B">
            <w:pPr>
              <w:pStyle w:val="Tabletext"/>
              <w:keepNext/>
              <w:keepLines/>
            </w:pPr>
            <w:r w:rsidRPr="0037031D">
              <w:t>QALYs (discounted)</w:t>
            </w:r>
          </w:p>
        </w:tc>
        <w:tc>
          <w:tcPr>
            <w:tcW w:w="1022" w:type="pct"/>
            <w:tcBorders>
              <w:top w:val="nil"/>
            </w:tcBorders>
            <w:shd w:val="clear" w:color="auto" w:fill="auto"/>
            <w:vAlign w:val="center"/>
          </w:tcPr>
          <w:p w:rsidR="00172AD3" w:rsidRPr="0037031D" w:rsidRDefault="00172AD3" w:rsidP="00D5705B">
            <w:pPr>
              <w:pStyle w:val="Tabletext"/>
              <w:keepNext/>
              <w:keepLines/>
              <w:jc w:val="center"/>
            </w:pPr>
            <w:r w:rsidRPr="0037031D">
              <w:t>12.128</w:t>
            </w:r>
          </w:p>
        </w:tc>
        <w:tc>
          <w:tcPr>
            <w:tcW w:w="1022" w:type="pct"/>
            <w:tcBorders>
              <w:top w:val="nil"/>
            </w:tcBorders>
            <w:shd w:val="clear" w:color="auto" w:fill="auto"/>
            <w:vAlign w:val="center"/>
          </w:tcPr>
          <w:p w:rsidR="00172AD3" w:rsidRPr="0037031D" w:rsidRDefault="00172AD3" w:rsidP="00D5705B">
            <w:pPr>
              <w:pStyle w:val="Tabletext"/>
              <w:keepNext/>
              <w:keepLines/>
              <w:jc w:val="center"/>
            </w:pPr>
            <w:r w:rsidRPr="0037031D">
              <w:t>11.521</w:t>
            </w:r>
          </w:p>
        </w:tc>
        <w:tc>
          <w:tcPr>
            <w:tcW w:w="1150" w:type="pct"/>
            <w:tcBorders>
              <w:top w:val="nil"/>
            </w:tcBorders>
            <w:shd w:val="clear" w:color="auto" w:fill="auto"/>
            <w:vAlign w:val="center"/>
          </w:tcPr>
          <w:p w:rsidR="00172AD3" w:rsidRPr="0037031D" w:rsidRDefault="00172AD3" w:rsidP="00D5705B">
            <w:pPr>
              <w:pStyle w:val="Tabletext"/>
              <w:keepNext/>
              <w:keepLines/>
              <w:jc w:val="center"/>
            </w:pPr>
            <w:r w:rsidRPr="0037031D">
              <w:t>0.607</w:t>
            </w:r>
          </w:p>
        </w:tc>
      </w:tr>
      <w:tr w:rsidR="00172AD3" w:rsidRPr="00E65784" w:rsidTr="00E65784">
        <w:tc>
          <w:tcPr>
            <w:tcW w:w="3850" w:type="pct"/>
            <w:gridSpan w:val="3"/>
            <w:shd w:val="clear" w:color="auto" w:fill="auto"/>
            <w:vAlign w:val="center"/>
          </w:tcPr>
          <w:p w:rsidR="00172AD3" w:rsidRPr="0037031D" w:rsidRDefault="00172AD3" w:rsidP="00D5705B">
            <w:pPr>
              <w:pStyle w:val="Tabletext"/>
              <w:keepNext/>
              <w:keepLines/>
              <w:rPr>
                <w:rFonts w:ascii="Times" w:hAnsi="Times"/>
              </w:rPr>
            </w:pPr>
            <w:r w:rsidRPr="0037031D">
              <w:t>Incremental cost/extra QALY gained</w:t>
            </w:r>
          </w:p>
        </w:tc>
        <w:tc>
          <w:tcPr>
            <w:tcW w:w="1150" w:type="pct"/>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r>
      <w:tr w:rsidR="00172AD3" w:rsidRPr="00E65784" w:rsidTr="00E65784">
        <w:tc>
          <w:tcPr>
            <w:tcW w:w="5000" w:type="pct"/>
            <w:gridSpan w:val="4"/>
            <w:tcBorders>
              <w:bottom w:val="single" w:sz="4" w:space="0" w:color="auto"/>
            </w:tcBorders>
            <w:shd w:val="clear" w:color="auto" w:fill="auto"/>
            <w:vAlign w:val="center"/>
          </w:tcPr>
          <w:p w:rsidR="00172AD3" w:rsidRPr="0037031D" w:rsidRDefault="00172AD3" w:rsidP="00D5705B">
            <w:pPr>
              <w:keepNext/>
              <w:keepLines/>
              <w:rPr>
                <w:rFonts w:ascii="Arial Narrow" w:hAnsi="Arial Narrow" w:cs="Times New Roman"/>
                <w:sz w:val="20"/>
              </w:rPr>
            </w:pPr>
            <w:r w:rsidRPr="0037031D">
              <w:rPr>
                <w:rFonts w:ascii="Arial Narrow" w:hAnsi="Arial Narrow" w:cs="Times New Roman"/>
                <w:b/>
                <w:bCs/>
                <w:sz w:val="20"/>
              </w:rPr>
              <w:t xml:space="preserve">Step 6: </w:t>
            </w:r>
            <w:r w:rsidRPr="0037031D">
              <w:rPr>
                <w:rFonts w:ascii="Arial Narrow" w:hAnsi="Arial Narrow" w:cs="Times New Roman"/>
                <w:sz w:val="20"/>
              </w:rPr>
              <w:t xml:space="preserve">Modelled economic evaluation, incremental cost per QALY at 60 years, assuming: </w:t>
            </w:r>
          </w:p>
          <w:p w:rsidR="00172AD3" w:rsidRPr="0037031D" w:rsidRDefault="00172AD3" w:rsidP="00D5705B">
            <w:pPr>
              <w:pStyle w:val="ListParagraph"/>
              <w:keepNext/>
              <w:keepLines/>
              <w:widowControl/>
              <w:numPr>
                <w:ilvl w:val="0"/>
                <w:numId w:val="6"/>
              </w:numPr>
              <w:spacing w:after="0"/>
              <w:ind w:left="264" w:hanging="142"/>
              <w:contextualSpacing/>
              <w:jc w:val="left"/>
              <w:rPr>
                <w:b/>
              </w:rPr>
            </w:pPr>
            <w:r w:rsidRPr="0037031D">
              <w:rPr>
                <w:rFonts w:ascii="Arial Narrow" w:hAnsi="Arial Narrow" w:cs="Times New Roman"/>
                <w:sz w:val="20"/>
              </w:rPr>
              <w:t>Step 5 assumptions,</w:t>
            </w:r>
            <w:r w:rsidR="009F4076" w:rsidRPr="0037031D">
              <w:rPr>
                <w:rFonts w:ascii="Arial Narrow" w:hAnsi="Arial Narrow" w:cs="Times New Roman"/>
                <w:sz w:val="20"/>
              </w:rPr>
              <w:t xml:space="preserve"> </w:t>
            </w:r>
            <w:r w:rsidRPr="0037031D">
              <w:rPr>
                <w:rFonts w:ascii="Arial Narrow" w:hAnsi="Arial Narrow" w:cs="Times New Roman"/>
                <w:sz w:val="20"/>
              </w:rPr>
              <w:t>Costs included for SDI health states (background costs)</w:t>
            </w:r>
            <w:r w:rsidR="009F4076" w:rsidRPr="0037031D">
              <w:rPr>
                <w:rFonts w:ascii="Arial Narrow" w:hAnsi="Arial Narrow" w:cs="Times New Roman"/>
                <w:sz w:val="20"/>
              </w:rPr>
              <w:t xml:space="preserve">, </w:t>
            </w:r>
            <w:r w:rsidRPr="0037031D">
              <w:rPr>
                <w:rFonts w:ascii="Arial Narrow" w:hAnsi="Arial Narrow" w:cs="Times New Roman"/>
                <w:sz w:val="20"/>
              </w:rPr>
              <w:t>Costs included for treating SLE flares</w:t>
            </w:r>
          </w:p>
        </w:tc>
      </w:tr>
      <w:tr w:rsidR="00172AD3" w:rsidRPr="00E65784" w:rsidTr="00E65784">
        <w:tc>
          <w:tcPr>
            <w:tcW w:w="1806" w:type="pct"/>
            <w:tcBorders>
              <w:bottom w:val="nil"/>
            </w:tcBorders>
            <w:shd w:val="clear" w:color="auto" w:fill="auto"/>
            <w:vAlign w:val="center"/>
          </w:tcPr>
          <w:p w:rsidR="00172AD3" w:rsidRPr="0037031D" w:rsidRDefault="00172AD3" w:rsidP="00D5705B">
            <w:pPr>
              <w:pStyle w:val="Tabletext"/>
              <w:keepNext/>
              <w:keepLines/>
              <w:rPr>
                <w:rFonts w:ascii="Times" w:hAnsi="Times"/>
              </w:rPr>
            </w:pPr>
            <w:r w:rsidRPr="0037031D">
              <w:t>Costs (discounted)</w:t>
            </w:r>
          </w:p>
        </w:tc>
        <w:tc>
          <w:tcPr>
            <w:tcW w:w="1022"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c>
          <w:tcPr>
            <w:tcW w:w="1022"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c>
          <w:tcPr>
            <w:tcW w:w="1150" w:type="pct"/>
            <w:tcBorders>
              <w:bottom w:val="nil"/>
            </w:tcBorders>
            <w:shd w:val="clear" w:color="auto" w:fill="auto"/>
            <w:vAlign w:val="center"/>
          </w:tcPr>
          <w:p w:rsidR="00172AD3" w:rsidRPr="0037031D" w:rsidRDefault="00172AD3" w:rsidP="00D5705B">
            <w:pPr>
              <w:pStyle w:val="Tabletext"/>
              <w:keepNext/>
              <w:keepLines/>
              <w:jc w:val="center"/>
              <w:rPr>
                <w:rFonts w:ascii="Times" w:hAnsi="Times"/>
              </w:rPr>
            </w:pPr>
            <w:r w:rsidRPr="0037031D">
              <w:t>$</w:t>
            </w:r>
            <w:r w:rsidR="006D6DCE">
              <w:rPr>
                <w:noProof/>
                <w:color w:val="000000"/>
                <w:highlight w:val="black"/>
              </w:rPr>
              <w:t>''''''''''''''''''</w:t>
            </w:r>
          </w:p>
        </w:tc>
      </w:tr>
      <w:tr w:rsidR="00172AD3" w:rsidRPr="00E65784" w:rsidTr="00E65784">
        <w:tc>
          <w:tcPr>
            <w:tcW w:w="1806" w:type="pct"/>
            <w:tcBorders>
              <w:top w:val="nil"/>
              <w:bottom w:val="nil"/>
            </w:tcBorders>
            <w:shd w:val="clear" w:color="auto" w:fill="auto"/>
            <w:vAlign w:val="center"/>
          </w:tcPr>
          <w:p w:rsidR="00172AD3" w:rsidRPr="0037031D" w:rsidRDefault="00172AD3" w:rsidP="00D5705B">
            <w:pPr>
              <w:pStyle w:val="Tabletext"/>
              <w:keepNext/>
              <w:keepLines/>
            </w:pPr>
            <w:r w:rsidRPr="0037031D">
              <w:rPr>
                <w:iCs/>
              </w:rPr>
              <w:t>Life Years gained (discounted)</w:t>
            </w:r>
          </w:p>
        </w:tc>
        <w:tc>
          <w:tcPr>
            <w:tcW w:w="1022" w:type="pct"/>
            <w:tcBorders>
              <w:top w:val="nil"/>
              <w:bottom w:val="nil"/>
            </w:tcBorders>
            <w:shd w:val="clear" w:color="auto" w:fill="auto"/>
            <w:vAlign w:val="center"/>
          </w:tcPr>
          <w:p w:rsidR="00172AD3" w:rsidRPr="0037031D" w:rsidRDefault="00172AD3" w:rsidP="00D5705B">
            <w:pPr>
              <w:pStyle w:val="Tabletext"/>
              <w:keepNext/>
              <w:keepLines/>
              <w:jc w:val="center"/>
            </w:pPr>
            <w:r w:rsidRPr="0037031D">
              <w:rPr>
                <w:iCs/>
              </w:rPr>
              <w:t>16.03</w:t>
            </w:r>
          </w:p>
        </w:tc>
        <w:tc>
          <w:tcPr>
            <w:tcW w:w="1022" w:type="pct"/>
            <w:tcBorders>
              <w:top w:val="nil"/>
              <w:bottom w:val="nil"/>
            </w:tcBorders>
            <w:shd w:val="clear" w:color="auto" w:fill="auto"/>
            <w:vAlign w:val="center"/>
          </w:tcPr>
          <w:p w:rsidR="00172AD3" w:rsidRPr="0037031D" w:rsidRDefault="00172AD3" w:rsidP="00D5705B">
            <w:pPr>
              <w:pStyle w:val="Tabletext"/>
              <w:keepNext/>
              <w:keepLines/>
              <w:jc w:val="center"/>
            </w:pPr>
            <w:r w:rsidRPr="0037031D">
              <w:rPr>
                <w:iCs/>
              </w:rPr>
              <w:t>15.79</w:t>
            </w:r>
          </w:p>
        </w:tc>
        <w:tc>
          <w:tcPr>
            <w:tcW w:w="1150" w:type="pct"/>
            <w:tcBorders>
              <w:top w:val="nil"/>
              <w:bottom w:val="nil"/>
            </w:tcBorders>
            <w:shd w:val="clear" w:color="auto" w:fill="auto"/>
            <w:vAlign w:val="center"/>
          </w:tcPr>
          <w:p w:rsidR="00172AD3" w:rsidRPr="0037031D" w:rsidRDefault="00172AD3" w:rsidP="00D5705B">
            <w:pPr>
              <w:pStyle w:val="Tabletext"/>
              <w:keepNext/>
              <w:keepLines/>
              <w:jc w:val="center"/>
            </w:pPr>
            <w:r w:rsidRPr="0037031D">
              <w:rPr>
                <w:iCs/>
              </w:rPr>
              <w:t>0.24</w:t>
            </w:r>
          </w:p>
        </w:tc>
      </w:tr>
      <w:tr w:rsidR="00172AD3" w:rsidRPr="00E65784" w:rsidTr="00E65784">
        <w:tc>
          <w:tcPr>
            <w:tcW w:w="1806" w:type="pct"/>
            <w:tcBorders>
              <w:top w:val="nil"/>
              <w:bottom w:val="single" w:sz="4" w:space="0" w:color="auto"/>
            </w:tcBorders>
            <w:shd w:val="clear" w:color="auto" w:fill="auto"/>
            <w:vAlign w:val="center"/>
          </w:tcPr>
          <w:p w:rsidR="00172AD3" w:rsidRPr="0037031D" w:rsidRDefault="00172AD3" w:rsidP="00D5705B">
            <w:pPr>
              <w:pStyle w:val="Tabletext"/>
              <w:keepNext/>
              <w:keepLines/>
              <w:rPr>
                <w:rFonts w:ascii="Times" w:hAnsi="Times"/>
              </w:rPr>
            </w:pPr>
            <w:r w:rsidRPr="0037031D">
              <w:t>QALYs (discounted)</w:t>
            </w:r>
          </w:p>
        </w:tc>
        <w:tc>
          <w:tcPr>
            <w:tcW w:w="1022" w:type="pct"/>
            <w:tcBorders>
              <w:top w:val="nil"/>
              <w:bottom w:val="single" w:sz="4" w:space="0" w:color="auto"/>
            </w:tcBorders>
            <w:shd w:val="clear" w:color="auto" w:fill="auto"/>
            <w:vAlign w:val="center"/>
          </w:tcPr>
          <w:p w:rsidR="00172AD3" w:rsidRPr="0037031D" w:rsidRDefault="00172AD3" w:rsidP="00D5705B">
            <w:pPr>
              <w:pStyle w:val="Tabletext"/>
              <w:keepNext/>
              <w:keepLines/>
              <w:jc w:val="center"/>
              <w:rPr>
                <w:rFonts w:ascii="Times" w:hAnsi="Times"/>
              </w:rPr>
            </w:pPr>
            <w:r w:rsidRPr="0037031D">
              <w:t>12.128</w:t>
            </w:r>
          </w:p>
        </w:tc>
        <w:tc>
          <w:tcPr>
            <w:tcW w:w="1022" w:type="pct"/>
            <w:tcBorders>
              <w:top w:val="nil"/>
              <w:bottom w:val="single" w:sz="4" w:space="0" w:color="auto"/>
            </w:tcBorders>
            <w:shd w:val="clear" w:color="auto" w:fill="auto"/>
            <w:vAlign w:val="center"/>
          </w:tcPr>
          <w:p w:rsidR="00172AD3" w:rsidRPr="0037031D" w:rsidRDefault="00172AD3" w:rsidP="00D5705B">
            <w:pPr>
              <w:pStyle w:val="Tabletext"/>
              <w:keepNext/>
              <w:keepLines/>
              <w:jc w:val="center"/>
              <w:rPr>
                <w:rFonts w:ascii="Times" w:hAnsi="Times"/>
              </w:rPr>
            </w:pPr>
            <w:r w:rsidRPr="0037031D">
              <w:t>11.521</w:t>
            </w:r>
          </w:p>
        </w:tc>
        <w:tc>
          <w:tcPr>
            <w:tcW w:w="1150" w:type="pct"/>
            <w:tcBorders>
              <w:top w:val="nil"/>
              <w:bottom w:val="single" w:sz="4" w:space="0" w:color="auto"/>
            </w:tcBorders>
            <w:shd w:val="clear" w:color="auto" w:fill="auto"/>
            <w:vAlign w:val="center"/>
          </w:tcPr>
          <w:p w:rsidR="00172AD3" w:rsidRPr="0037031D" w:rsidRDefault="00172AD3" w:rsidP="00D5705B">
            <w:pPr>
              <w:pStyle w:val="Tabletext"/>
              <w:keepNext/>
              <w:keepLines/>
              <w:jc w:val="center"/>
            </w:pPr>
            <w:r w:rsidRPr="0037031D">
              <w:t>0.607</w:t>
            </w:r>
          </w:p>
        </w:tc>
      </w:tr>
      <w:tr w:rsidR="00172AD3" w:rsidRPr="00E65784" w:rsidTr="00E65784">
        <w:tc>
          <w:tcPr>
            <w:tcW w:w="3850" w:type="pct"/>
            <w:gridSpan w:val="3"/>
            <w:tcBorders>
              <w:bottom w:val="nil"/>
            </w:tcBorders>
            <w:shd w:val="clear" w:color="auto" w:fill="auto"/>
            <w:vAlign w:val="center"/>
          </w:tcPr>
          <w:p w:rsidR="00172AD3" w:rsidRPr="0037031D" w:rsidRDefault="00172AD3" w:rsidP="00D5705B">
            <w:pPr>
              <w:pStyle w:val="Tabletext"/>
              <w:keepNext/>
              <w:keepLines/>
              <w:rPr>
                <w:b/>
                <w:bCs/>
                <w:iCs/>
              </w:rPr>
            </w:pPr>
            <w:r w:rsidRPr="0037031D">
              <w:rPr>
                <w:b/>
                <w:bCs/>
                <w:iCs/>
              </w:rPr>
              <w:t>Incremental cost / Life Years gained</w:t>
            </w:r>
          </w:p>
        </w:tc>
        <w:tc>
          <w:tcPr>
            <w:tcW w:w="1150" w:type="pct"/>
            <w:tcBorders>
              <w:bottom w:val="nil"/>
            </w:tcBorders>
            <w:shd w:val="clear" w:color="auto" w:fill="auto"/>
            <w:vAlign w:val="center"/>
          </w:tcPr>
          <w:p w:rsidR="00172AD3" w:rsidRPr="0037031D" w:rsidRDefault="00172AD3" w:rsidP="00D5705B">
            <w:pPr>
              <w:pStyle w:val="Tabletext"/>
              <w:keepNext/>
              <w:keepLines/>
              <w:jc w:val="center"/>
              <w:rPr>
                <w:b/>
                <w:bCs/>
                <w:iCs/>
              </w:rPr>
            </w:pPr>
            <w:r w:rsidRPr="0037031D">
              <w:rPr>
                <w:b/>
                <w:bCs/>
                <w:iCs/>
              </w:rPr>
              <w:t>$</w:t>
            </w:r>
            <w:r w:rsidR="006D6DCE">
              <w:rPr>
                <w:b/>
                <w:bCs/>
                <w:iCs/>
                <w:noProof/>
                <w:color w:val="000000"/>
                <w:highlight w:val="black"/>
              </w:rPr>
              <w:t>''''''''''''''''</w:t>
            </w:r>
          </w:p>
        </w:tc>
      </w:tr>
      <w:tr w:rsidR="00172AD3" w:rsidRPr="00E2771E" w:rsidTr="00E65784">
        <w:tc>
          <w:tcPr>
            <w:tcW w:w="3850" w:type="pct"/>
            <w:gridSpan w:val="3"/>
            <w:tcBorders>
              <w:top w:val="nil"/>
            </w:tcBorders>
            <w:shd w:val="clear" w:color="auto" w:fill="auto"/>
            <w:vAlign w:val="center"/>
          </w:tcPr>
          <w:p w:rsidR="00172AD3" w:rsidRPr="0037031D" w:rsidRDefault="00172AD3" w:rsidP="00D5705B">
            <w:pPr>
              <w:pStyle w:val="Tabletext"/>
              <w:keepNext/>
              <w:keepLines/>
            </w:pPr>
            <w:r w:rsidRPr="0037031D">
              <w:rPr>
                <w:b/>
              </w:rPr>
              <w:t>Incremental cost/extra QALY gained (base case in submission)</w:t>
            </w:r>
          </w:p>
        </w:tc>
        <w:tc>
          <w:tcPr>
            <w:tcW w:w="1150" w:type="pct"/>
            <w:tcBorders>
              <w:top w:val="nil"/>
            </w:tcBorders>
            <w:shd w:val="clear" w:color="auto" w:fill="auto"/>
            <w:vAlign w:val="center"/>
          </w:tcPr>
          <w:p w:rsidR="00172AD3" w:rsidRPr="0037031D" w:rsidRDefault="00172AD3" w:rsidP="00D5705B">
            <w:pPr>
              <w:pStyle w:val="Tabletext"/>
              <w:keepNext/>
              <w:keepLines/>
              <w:jc w:val="center"/>
            </w:pPr>
            <w:r w:rsidRPr="0037031D">
              <w:rPr>
                <w:b/>
              </w:rPr>
              <w:t>$</w:t>
            </w:r>
            <w:r w:rsidR="006D6DCE">
              <w:rPr>
                <w:b/>
                <w:noProof/>
                <w:color w:val="000000"/>
                <w:highlight w:val="black"/>
              </w:rPr>
              <w:t>'''''''''''''''</w:t>
            </w:r>
          </w:p>
        </w:tc>
      </w:tr>
    </w:tbl>
    <w:p w:rsidR="00172AD3" w:rsidRPr="00A51E49" w:rsidRDefault="00172AD3" w:rsidP="00D5705B">
      <w:pPr>
        <w:keepNext/>
        <w:keepLines/>
        <w:rPr>
          <w:rFonts w:ascii="Arial Narrow" w:hAnsi="Arial Narrow"/>
          <w:sz w:val="18"/>
          <w:szCs w:val="18"/>
        </w:rPr>
      </w:pPr>
      <w:r w:rsidRPr="00A51E49">
        <w:rPr>
          <w:rFonts w:ascii="Arial Narrow" w:hAnsi="Arial Narrow"/>
          <w:sz w:val="18"/>
          <w:szCs w:val="18"/>
        </w:rPr>
        <w:t>Source: Table 94, p221 of submission.</w:t>
      </w:r>
    </w:p>
    <w:p w:rsidR="00172AD3" w:rsidRDefault="00172AD3" w:rsidP="00172AD3"/>
    <w:p w:rsidR="00172AD3" w:rsidRPr="00D16630" w:rsidRDefault="00220FE4" w:rsidP="00FF5FCE">
      <w:pPr>
        <w:pStyle w:val="ListParagraph"/>
        <w:keepLines/>
        <w:numPr>
          <w:ilvl w:val="1"/>
          <w:numId w:val="1"/>
        </w:numPr>
        <w:spacing w:after="120"/>
        <w:rPr>
          <w:szCs w:val="24"/>
        </w:rPr>
      </w:pPr>
      <w:r>
        <w:rPr>
          <w:szCs w:val="24"/>
        </w:rPr>
        <w:lastRenderedPageBreak/>
        <w:t>Table 1</w:t>
      </w:r>
      <w:r w:rsidR="00F61CA4">
        <w:rPr>
          <w:szCs w:val="24"/>
        </w:rPr>
        <w:t>5</w:t>
      </w:r>
      <w:r w:rsidR="00172AD3" w:rsidRPr="00D16630">
        <w:rPr>
          <w:szCs w:val="24"/>
        </w:rPr>
        <w:t xml:space="preserve"> presents results of sensitivity analyses</w:t>
      </w:r>
      <w:r w:rsidR="009F4076">
        <w:rPr>
          <w:szCs w:val="24"/>
        </w:rPr>
        <w:t>, predominantly</w:t>
      </w:r>
      <w:r w:rsidR="00172AD3" w:rsidRPr="00D16630">
        <w:rPr>
          <w:szCs w:val="24"/>
        </w:rPr>
        <w:t xml:space="preserve"> around the utility assumptions. </w:t>
      </w:r>
      <w:r w:rsidR="00D26D4C" w:rsidRPr="0025361D">
        <w:rPr>
          <w:szCs w:val="24"/>
        </w:rPr>
        <w:t xml:space="preserve">The base case analysis was highly sensitive to the modelling approach for assigning utilities to health states and the source of utility values. Taken together, the model estimated considerable quality of life gains in the belimumab arm </w:t>
      </w:r>
      <w:r w:rsidR="00D26D4C">
        <w:rPr>
          <w:szCs w:val="24"/>
        </w:rPr>
        <w:t>such that</w:t>
      </w:r>
      <w:r w:rsidR="00D26D4C" w:rsidRPr="0025361D">
        <w:rPr>
          <w:szCs w:val="24"/>
        </w:rPr>
        <w:t xml:space="preserve"> the results were </w:t>
      </w:r>
      <w:r w:rsidR="00192801">
        <w:rPr>
          <w:szCs w:val="24"/>
        </w:rPr>
        <w:t>relatively</w:t>
      </w:r>
      <w:r w:rsidR="00D26D4C" w:rsidRPr="0025361D">
        <w:rPr>
          <w:szCs w:val="24"/>
        </w:rPr>
        <w:t xml:space="preserve"> insensitive to other model assumptions, including the treatment effect.</w:t>
      </w:r>
      <w:r w:rsidR="00D26D4C">
        <w:rPr>
          <w:szCs w:val="24"/>
        </w:rPr>
        <w:t xml:space="preserve"> </w:t>
      </w:r>
      <w:r w:rsidR="0025361D" w:rsidRPr="0025361D">
        <w:rPr>
          <w:szCs w:val="24"/>
        </w:rPr>
        <w:t>When quality of life was based on SDI health state, the model became much more sensitive to the other parameters</w:t>
      </w:r>
      <w:r w:rsidR="0025361D">
        <w:rPr>
          <w:szCs w:val="24"/>
        </w:rPr>
        <w:t>.</w:t>
      </w:r>
      <w:r w:rsidR="0025361D" w:rsidRPr="0025361D" w:rsidDel="009F4076">
        <w:rPr>
          <w:szCs w:val="24"/>
        </w:rPr>
        <w:t xml:space="preserve"> </w:t>
      </w:r>
    </w:p>
    <w:p w:rsidR="00172AD3" w:rsidRPr="006747A4" w:rsidRDefault="00172AD3" w:rsidP="00D5705B">
      <w:pPr>
        <w:keepNext/>
        <w:keepLines/>
        <w:widowControl/>
        <w:suppressLineNumbers/>
        <w:suppressAutoHyphens/>
        <w:rPr>
          <w:rFonts w:ascii="Arial Narrow" w:hAnsi="Arial Narrow"/>
          <w:b/>
          <w:bCs/>
          <w:sz w:val="20"/>
          <w:szCs w:val="20"/>
        </w:rPr>
      </w:pPr>
      <w:r w:rsidRPr="006747A4">
        <w:rPr>
          <w:rFonts w:ascii="Arial Narrow" w:hAnsi="Arial Narrow"/>
          <w:b/>
          <w:bCs/>
          <w:sz w:val="20"/>
          <w:szCs w:val="20"/>
        </w:rPr>
        <w:t xml:space="preserve">Table </w:t>
      </w:r>
      <w:r>
        <w:rPr>
          <w:rFonts w:ascii="Arial Narrow" w:hAnsi="Arial Narrow"/>
          <w:b/>
          <w:bCs/>
          <w:sz w:val="20"/>
          <w:szCs w:val="20"/>
        </w:rPr>
        <w:t>1</w:t>
      </w:r>
      <w:r w:rsidR="00F61CA4">
        <w:rPr>
          <w:rFonts w:ascii="Arial Narrow" w:hAnsi="Arial Narrow"/>
          <w:b/>
          <w:bCs/>
          <w:sz w:val="20"/>
          <w:szCs w:val="20"/>
        </w:rPr>
        <w:t>5</w:t>
      </w:r>
      <w:r w:rsidRPr="006747A4">
        <w:rPr>
          <w:rFonts w:ascii="Arial Narrow" w:hAnsi="Arial Narrow"/>
          <w:b/>
          <w:bCs/>
          <w:sz w:val="20"/>
          <w:szCs w:val="20"/>
        </w:rPr>
        <w:t>: Results of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Results of key sensitivity analyses"/>
      </w:tblPr>
      <w:tblGrid>
        <w:gridCol w:w="6041"/>
        <w:gridCol w:w="992"/>
        <w:gridCol w:w="992"/>
        <w:gridCol w:w="992"/>
      </w:tblGrid>
      <w:tr w:rsidR="00172AD3" w:rsidRPr="00E0383E" w:rsidTr="002E1265">
        <w:trPr>
          <w:tblHeader/>
        </w:trPr>
        <w:tc>
          <w:tcPr>
            <w:tcW w:w="3350" w:type="pct"/>
          </w:tcPr>
          <w:p w:rsidR="00172AD3" w:rsidRPr="00E0383E" w:rsidRDefault="00172AD3" w:rsidP="00D5705B">
            <w:pPr>
              <w:keepNext/>
              <w:keepLines/>
              <w:widowControl/>
              <w:suppressLineNumbers/>
              <w:tabs>
                <w:tab w:val="left" w:pos="142"/>
              </w:tabs>
              <w:suppressAutoHyphens/>
              <w:rPr>
                <w:rFonts w:ascii="Arial Narrow" w:hAnsi="Arial Narrow" w:cs="Times New Roman"/>
                <w:b/>
                <w:sz w:val="20"/>
              </w:rPr>
            </w:pPr>
            <w:r w:rsidRPr="00E0383E">
              <w:rPr>
                <w:rFonts w:ascii="Arial Narrow" w:hAnsi="Arial Narrow" w:cs="Times New Roman"/>
                <w:b/>
                <w:sz w:val="20"/>
              </w:rPr>
              <w:t>Analyses</w:t>
            </w:r>
          </w:p>
        </w:tc>
        <w:tc>
          <w:tcPr>
            <w:tcW w:w="550" w:type="pct"/>
          </w:tcPr>
          <w:p w:rsidR="00172AD3" w:rsidRPr="00E0383E" w:rsidRDefault="00172AD3" w:rsidP="00D5705B">
            <w:pPr>
              <w:keepNext/>
              <w:keepLines/>
              <w:widowControl/>
              <w:suppressLineNumbers/>
              <w:suppressAutoHyphens/>
              <w:jc w:val="center"/>
              <w:rPr>
                <w:rFonts w:ascii="Arial Narrow" w:hAnsi="Arial Narrow" w:cs="Times New Roman"/>
                <w:b/>
                <w:sz w:val="20"/>
              </w:rPr>
            </w:pPr>
            <w:r w:rsidRPr="00E0383E">
              <w:rPr>
                <w:rFonts w:ascii="Arial Narrow" w:hAnsi="Arial Narrow" w:cs="Times New Roman"/>
                <w:b/>
                <w:sz w:val="20"/>
              </w:rPr>
              <w:t>Incremental cost</w:t>
            </w:r>
          </w:p>
        </w:tc>
        <w:tc>
          <w:tcPr>
            <w:tcW w:w="550" w:type="pct"/>
          </w:tcPr>
          <w:p w:rsidR="00172AD3" w:rsidRPr="00E0383E" w:rsidRDefault="00172AD3" w:rsidP="00D5705B">
            <w:pPr>
              <w:keepNext/>
              <w:keepLines/>
              <w:widowControl/>
              <w:suppressLineNumbers/>
              <w:suppressAutoHyphens/>
              <w:jc w:val="center"/>
              <w:rPr>
                <w:rFonts w:ascii="Arial Narrow" w:hAnsi="Arial Narrow" w:cs="Times New Roman"/>
                <w:b/>
                <w:sz w:val="20"/>
              </w:rPr>
            </w:pPr>
            <w:r w:rsidRPr="00E0383E">
              <w:rPr>
                <w:rFonts w:ascii="Arial Narrow" w:hAnsi="Arial Narrow" w:cs="Times New Roman"/>
                <w:b/>
                <w:sz w:val="20"/>
              </w:rPr>
              <w:t>Incremental QALY</w:t>
            </w:r>
          </w:p>
        </w:tc>
        <w:tc>
          <w:tcPr>
            <w:tcW w:w="550" w:type="pct"/>
          </w:tcPr>
          <w:p w:rsidR="00172AD3" w:rsidRPr="00E0383E" w:rsidRDefault="00172AD3" w:rsidP="00D5705B">
            <w:pPr>
              <w:keepNext/>
              <w:keepLines/>
              <w:widowControl/>
              <w:suppressLineNumbers/>
              <w:suppressAutoHyphens/>
              <w:jc w:val="center"/>
              <w:rPr>
                <w:rFonts w:ascii="Arial Narrow" w:hAnsi="Arial Narrow" w:cs="Times New Roman"/>
                <w:b/>
                <w:sz w:val="20"/>
              </w:rPr>
            </w:pPr>
            <w:r w:rsidRPr="00E0383E">
              <w:rPr>
                <w:rFonts w:ascii="Arial Narrow" w:hAnsi="Arial Narrow" w:cs="Times New Roman"/>
                <w:b/>
                <w:sz w:val="20"/>
              </w:rPr>
              <w:t>ICER</w:t>
            </w:r>
          </w:p>
        </w:tc>
      </w:tr>
      <w:tr w:rsidR="00172AD3" w:rsidRPr="00E0383E" w:rsidTr="002E1265">
        <w:tc>
          <w:tcPr>
            <w:tcW w:w="3350" w:type="pct"/>
          </w:tcPr>
          <w:p w:rsidR="00172AD3" w:rsidRDefault="00172AD3" w:rsidP="00D5705B">
            <w:pPr>
              <w:keepNext/>
              <w:keepLines/>
              <w:widowControl/>
              <w:suppressLineNumbers/>
              <w:tabs>
                <w:tab w:val="left" w:pos="142"/>
              </w:tabs>
              <w:suppressAutoHyphens/>
              <w:rPr>
                <w:rFonts w:ascii="Arial Narrow" w:hAnsi="Arial Narrow" w:cs="Times New Roman"/>
                <w:bCs/>
                <w:sz w:val="20"/>
              </w:rPr>
            </w:pPr>
            <w:r w:rsidRPr="00CF774A">
              <w:rPr>
                <w:rFonts w:ascii="Arial Narrow" w:hAnsi="Arial Narrow" w:cs="Times New Roman"/>
                <w:bCs/>
                <w:sz w:val="20"/>
              </w:rPr>
              <w:t>Base case of submission</w:t>
            </w:r>
            <w:r>
              <w:rPr>
                <w:rFonts w:ascii="Arial Narrow" w:hAnsi="Arial Narrow" w:cs="Times New Roman"/>
                <w:bCs/>
                <w:sz w:val="20"/>
              </w:rPr>
              <w:t>:</w:t>
            </w:r>
          </w:p>
          <w:p w:rsidR="00172AD3" w:rsidRPr="00CF774A" w:rsidRDefault="00172AD3" w:rsidP="00D5705B">
            <w:pPr>
              <w:keepNext/>
              <w:keepLines/>
              <w:widowControl/>
              <w:suppressLineNumbers/>
              <w:tabs>
                <w:tab w:val="left" w:pos="142"/>
              </w:tabs>
              <w:suppressAutoHyphens/>
              <w:rPr>
                <w:rFonts w:ascii="Arial Narrow" w:hAnsi="Arial Narrow" w:cs="Times New Roman"/>
                <w:bCs/>
                <w:sz w:val="20"/>
              </w:rPr>
            </w:pPr>
            <w:r>
              <w:rPr>
                <w:rFonts w:ascii="Arial Narrow" w:hAnsi="Arial Narrow" w:cs="Times New Roman"/>
                <w:sz w:val="20"/>
              </w:rPr>
              <w:t>QOL by SLEDAI score for BEL and SOC health states; Wang et al 2014 EQ-5D estimates (</w:t>
            </w:r>
            <w:r w:rsidRPr="00E0383E">
              <w:rPr>
                <w:rFonts w:ascii="Arial Narrow" w:hAnsi="Arial Narrow" w:cs="Times New Roman"/>
                <w:sz w:val="20"/>
              </w:rPr>
              <w:t>0.846 SLEDAI≤4</w:t>
            </w:r>
            <w:r>
              <w:rPr>
                <w:rFonts w:ascii="Arial Narrow" w:hAnsi="Arial Narrow" w:cs="Times New Roman"/>
                <w:sz w:val="20"/>
              </w:rPr>
              <w:t xml:space="preserve"> </w:t>
            </w:r>
            <w:r w:rsidRPr="00E0383E">
              <w:rPr>
                <w:rFonts w:ascii="Arial Narrow" w:hAnsi="Arial Narrow" w:cs="Times New Roman"/>
                <w:sz w:val="20"/>
              </w:rPr>
              <w:t>for responders</w:t>
            </w:r>
            <w:r>
              <w:rPr>
                <w:rFonts w:ascii="Arial Narrow" w:hAnsi="Arial Narrow" w:cs="Times New Roman"/>
                <w:sz w:val="20"/>
              </w:rPr>
              <w:t>,</w:t>
            </w:r>
            <w:r w:rsidRPr="00E0383E">
              <w:rPr>
                <w:rFonts w:ascii="Arial Narrow" w:hAnsi="Arial Narrow" w:cs="Times New Roman"/>
                <w:sz w:val="20"/>
              </w:rPr>
              <w:t xml:space="preserve"> 0.619 SLEDAI&gt;4 for non-responders)</w:t>
            </w:r>
            <w:r>
              <w:rPr>
                <w:rFonts w:ascii="Arial Narrow" w:hAnsi="Arial Narrow" w:cs="Times New Roman"/>
                <w:sz w:val="20"/>
              </w:rPr>
              <w:t>.</w:t>
            </w:r>
          </w:p>
        </w:tc>
        <w:tc>
          <w:tcPr>
            <w:tcW w:w="550" w:type="pct"/>
            <w:vAlign w:val="center"/>
          </w:tcPr>
          <w:p w:rsidR="00172AD3" w:rsidRPr="00A52AC5" w:rsidRDefault="00172AD3" w:rsidP="00D5705B">
            <w:pPr>
              <w:keepNext/>
              <w:keepLines/>
              <w:widowControl/>
              <w:suppressLineNumbers/>
              <w:suppressAutoHyphens/>
              <w:jc w:val="center"/>
              <w:rPr>
                <w:rFonts w:ascii="Arial Narrow" w:hAnsi="Arial Narrow" w:cs="Times New Roman"/>
                <w:b/>
                <w:sz w:val="20"/>
              </w:rPr>
            </w:pPr>
            <w:r w:rsidRPr="00A52AC5">
              <w:rPr>
                <w:rFonts w:ascii="Arial Narrow" w:hAnsi="Arial Narrow" w:cs="Times New Roman"/>
                <w:b/>
                <w:sz w:val="20"/>
              </w:rPr>
              <w:t>$</w:t>
            </w:r>
            <w:r w:rsidR="006D6DCE">
              <w:rPr>
                <w:rFonts w:ascii="Arial Narrow" w:hAnsi="Arial Narrow" w:cs="Times New Roman"/>
                <w:b/>
                <w:noProof/>
                <w:color w:val="000000"/>
                <w:sz w:val="20"/>
                <w:highlight w:val="black"/>
              </w:rPr>
              <w:t>'''''''''''''</w:t>
            </w:r>
          </w:p>
        </w:tc>
        <w:tc>
          <w:tcPr>
            <w:tcW w:w="550" w:type="pct"/>
            <w:vAlign w:val="center"/>
          </w:tcPr>
          <w:p w:rsidR="00172AD3" w:rsidRPr="00A52AC5" w:rsidRDefault="00172AD3" w:rsidP="00D5705B">
            <w:pPr>
              <w:keepNext/>
              <w:keepLines/>
              <w:widowControl/>
              <w:suppressLineNumbers/>
              <w:suppressAutoHyphens/>
              <w:jc w:val="center"/>
              <w:rPr>
                <w:rFonts w:ascii="Arial Narrow" w:hAnsi="Arial Narrow" w:cs="Times New Roman"/>
                <w:b/>
                <w:sz w:val="20"/>
              </w:rPr>
            </w:pPr>
            <w:r w:rsidRPr="00A52AC5">
              <w:rPr>
                <w:rFonts w:ascii="Arial Narrow" w:hAnsi="Arial Narrow" w:cs="Times New Roman"/>
                <w:b/>
                <w:sz w:val="20"/>
              </w:rPr>
              <w:t>0.607</w:t>
            </w:r>
          </w:p>
        </w:tc>
        <w:tc>
          <w:tcPr>
            <w:tcW w:w="550" w:type="pct"/>
            <w:vAlign w:val="center"/>
          </w:tcPr>
          <w:p w:rsidR="00172AD3" w:rsidRPr="00A52AC5" w:rsidRDefault="00172AD3" w:rsidP="00D5705B">
            <w:pPr>
              <w:keepNext/>
              <w:keepLines/>
              <w:widowControl/>
              <w:suppressLineNumbers/>
              <w:suppressAutoHyphens/>
              <w:jc w:val="center"/>
              <w:rPr>
                <w:rFonts w:ascii="Arial Narrow" w:hAnsi="Arial Narrow" w:cs="Times New Roman"/>
                <w:b/>
                <w:sz w:val="20"/>
              </w:rPr>
            </w:pPr>
            <w:r w:rsidRPr="00A52AC5">
              <w:rPr>
                <w:rFonts w:ascii="Arial Narrow" w:hAnsi="Arial Narrow" w:cs="Times New Roman"/>
                <w:b/>
                <w:sz w:val="20"/>
              </w:rPr>
              <w:t>$</w:t>
            </w:r>
            <w:r w:rsidR="006D6DCE">
              <w:rPr>
                <w:rFonts w:ascii="Arial Narrow" w:hAnsi="Arial Narrow" w:cs="Times New Roman"/>
                <w:b/>
                <w:noProof/>
                <w:color w:val="000000"/>
                <w:sz w:val="20"/>
                <w:highlight w:val="black"/>
              </w:rPr>
              <w:t>'''''''''''''</w:t>
            </w:r>
          </w:p>
        </w:tc>
      </w:tr>
      <w:tr w:rsidR="00172AD3" w:rsidRPr="00E0383E" w:rsidTr="002E1265">
        <w:tc>
          <w:tcPr>
            <w:tcW w:w="3350" w:type="pct"/>
          </w:tcPr>
          <w:p w:rsidR="00172AD3" w:rsidRPr="00E0383E" w:rsidRDefault="005725C5" w:rsidP="00D5705B">
            <w:pPr>
              <w:keepNext/>
              <w:keepLines/>
              <w:widowControl/>
              <w:suppressLineNumbers/>
              <w:tabs>
                <w:tab w:val="left" w:pos="142"/>
              </w:tabs>
              <w:suppressAutoHyphens/>
              <w:rPr>
                <w:rFonts w:ascii="Arial Narrow" w:hAnsi="Arial Narrow" w:cs="Times New Roman"/>
                <w:sz w:val="20"/>
              </w:rPr>
            </w:pPr>
            <w:r w:rsidRPr="005725C5">
              <w:rPr>
                <w:rFonts w:ascii="Arial Narrow" w:hAnsi="Arial Narrow" w:cs="Times New Roman"/>
                <w:i/>
                <w:sz w:val="20"/>
              </w:rPr>
              <w:t xml:space="preserve">SA1: </w:t>
            </w:r>
            <w:r w:rsidR="00172AD3">
              <w:rPr>
                <w:rFonts w:ascii="Arial Narrow" w:hAnsi="Arial Narrow" w:cs="Times New Roman"/>
                <w:sz w:val="20"/>
              </w:rPr>
              <w:t xml:space="preserve">QOL by SLEDAI score for BEL and SOC health states; </w:t>
            </w:r>
            <w:r w:rsidR="00172AD3" w:rsidRPr="00E0383E">
              <w:rPr>
                <w:rFonts w:ascii="Arial Narrow" w:hAnsi="Arial Narrow" w:cs="Times New Roman"/>
                <w:sz w:val="20"/>
              </w:rPr>
              <w:t>Aggarwal et al. 2009</w:t>
            </w:r>
            <w:r w:rsidR="00172AD3">
              <w:rPr>
                <w:rFonts w:ascii="Arial Narrow" w:hAnsi="Arial Narrow" w:cs="Times New Roman"/>
                <w:sz w:val="20"/>
              </w:rPr>
              <w:t xml:space="preserve"> EQ-5D estimates (</w:t>
            </w:r>
            <w:r w:rsidR="00172AD3" w:rsidRPr="00E0383E">
              <w:rPr>
                <w:rFonts w:ascii="Arial Narrow" w:hAnsi="Arial Narrow" w:cs="Times New Roman"/>
                <w:sz w:val="20"/>
              </w:rPr>
              <w:t>0.75 SLEDAI≤5 for responders</w:t>
            </w:r>
            <w:r w:rsidR="00172AD3">
              <w:rPr>
                <w:rFonts w:ascii="Arial Narrow" w:hAnsi="Arial Narrow" w:cs="Times New Roman"/>
                <w:sz w:val="20"/>
              </w:rPr>
              <w:t>,</w:t>
            </w:r>
            <w:r w:rsidR="00172AD3" w:rsidRPr="00E0383E">
              <w:rPr>
                <w:rFonts w:ascii="Arial Narrow" w:hAnsi="Arial Narrow" w:cs="Times New Roman"/>
                <w:sz w:val="20"/>
              </w:rPr>
              <w:t xml:space="preserve"> 0.69 SLEDAI&gt;5 for non-responders</w:t>
            </w:r>
            <w:r w:rsidR="00172AD3">
              <w:rPr>
                <w:rFonts w:ascii="Arial Narrow" w:hAnsi="Arial Narrow" w:cs="Times New Roman"/>
                <w:sz w:val="20"/>
              </w:rPr>
              <w:t>).</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w:t>
            </w:r>
            <w:r w:rsidR="006D6DCE">
              <w:rPr>
                <w:rFonts w:ascii="Arial Narrow" w:hAnsi="Arial Narrow" w:cs="Times New Roman"/>
                <w:noProof/>
                <w:color w:val="000000"/>
                <w:sz w:val="20"/>
                <w:highlight w:val="black"/>
              </w:rPr>
              <w:t>''''''''''''''''''</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0.289</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w:t>
            </w:r>
            <w:r w:rsidR="006D6DCE">
              <w:rPr>
                <w:rFonts w:ascii="Arial Narrow" w:hAnsi="Arial Narrow" w:cs="Times New Roman"/>
                <w:noProof/>
                <w:color w:val="000000"/>
                <w:sz w:val="20"/>
                <w:highlight w:val="black"/>
              </w:rPr>
              <w:t>''''''''''''''''''</w:t>
            </w:r>
          </w:p>
        </w:tc>
      </w:tr>
      <w:tr w:rsidR="00172AD3" w:rsidRPr="00E0383E" w:rsidTr="002E1265">
        <w:tc>
          <w:tcPr>
            <w:tcW w:w="3350" w:type="pct"/>
          </w:tcPr>
          <w:p w:rsidR="00172AD3" w:rsidRPr="00E0383E" w:rsidRDefault="005725C5" w:rsidP="00D5705B">
            <w:pPr>
              <w:keepNext/>
              <w:keepLines/>
              <w:widowControl/>
              <w:suppressLineNumbers/>
              <w:tabs>
                <w:tab w:val="left" w:pos="142"/>
              </w:tabs>
              <w:suppressAutoHyphens/>
              <w:rPr>
                <w:rFonts w:ascii="Arial Narrow" w:hAnsi="Arial Narrow" w:cs="Times New Roman"/>
                <w:sz w:val="20"/>
              </w:rPr>
            </w:pPr>
            <w:r w:rsidRPr="005725C5">
              <w:rPr>
                <w:rFonts w:ascii="Arial Narrow" w:hAnsi="Arial Narrow" w:cs="Times New Roman"/>
                <w:i/>
                <w:sz w:val="20"/>
              </w:rPr>
              <w:t>SA2:</w:t>
            </w:r>
            <w:r>
              <w:rPr>
                <w:rFonts w:ascii="Arial Narrow" w:hAnsi="Arial Narrow" w:cs="Times New Roman"/>
                <w:sz w:val="20"/>
              </w:rPr>
              <w:t xml:space="preserve"> </w:t>
            </w:r>
            <w:r w:rsidR="00172AD3">
              <w:rPr>
                <w:rFonts w:ascii="Arial Narrow" w:hAnsi="Arial Narrow" w:cs="Times New Roman"/>
                <w:sz w:val="20"/>
              </w:rPr>
              <w:t xml:space="preserve">QOL by SLEDAI score for BEL and SOC health states; Aggarwal et al 2009 </w:t>
            </w:r>
            <w:r w:rsidR="00172AD3" w:rsidRPr="00E0383E">
              <w:rPr>
                <w:rFonts w:ascii="Arial Narrow" w:hAnsi="Arial Narrow" w:cs="Times New Roman"/>
                <w:sz w:val="20"/>
              </w:rPr>
              <w:t xml:space="preserve">SF-6D </w:t>
            </w:r>
            <w:r w:rsidR="00172AD3">
              <w:rPr>
                <w:rFonts w:ascii="Arial Narrow" w:hAnsi="Arial Narrow" w:cs="Times New Roman"/>
                <w:sz w:val="20"/>
              </w:rPr>
              <w:t>estimates (</w:t>
            </w:r>
            <w:r w:rsidR="00172AD3" w:rsidRPr="00E0383E">
              <w:rPr>
                <w:rFonts w:ascii="Arial Narrow" w:hAnsi="Arial Narrow" w:cs="Times New Roman"/>
                <w:sz w:val="20"/>
              </w:rPr>
              <w:t>0.66 SLEDAI≤5 for responders</w:t>
            </w:r>
            <w:r w:rsidR="00172AD3">
              <w:rPr>
                <w:rFonts w:ascii="Arial Narrow" w:hAnsi="Arial Narrow" w:cs="Times New Roman"/>
                <w:sz w:val="20"/>
              </w:rPr>
              <w:t xml:space="preserve">; </w:t>
            </w:r>
            <w:r w:rsidR="00172AD3" w:rsidRPr="00E0383E">
              <w:rPr>
                <w:rFonts w:ascii="Arial Narrow" w:hAnsi="Arial Narrow" w:cs="Times New Roman"/>
                <w:sz w:val="20"/>
              </w:rPr>
              <w:t>0.61 SLEDAI&gt;5 for non-responders</w:t>
            </w:r>
            <w:r w:rsidR="00172AD3">
              <w:rPr>
                <w:rFonts w:ascii="Arial Narrow" w:hAnsi="Arial Narrow" w:cs="Times New Roman"/>
                <w:sz w:val="20"/>
              </w:rPr>
              <w:t>).</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w:t>
            </w:r>
            <w:r w:rsidR="006D6DCE">
              <w:rPr>
                <w:rFonts w:ascii="Arial Narrow" w:hAnsi="Arial Narrow" w:cs="Times New Roman"/>
                <w:noProof/>
                <w:color w:val="000000"/>
                <w:sz w:val="20"/>
                <w:highlight w:val="black"/>
              </w:rPr>
              <w:t>''''''''''''''''''</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0.251</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w:t>
            </w:r>
            <w:r w:rsidR="006D6DCE">
              <w:rPr>
                <w:rFonts w:ascii="Arial Narrow" w:hAnsi="Arial Narrow" w:cs="Times New Roman"/>
                <w:noProof/>
                <w:color w:val="000000"/>
                <w:sz w:val="20"/>
                <w:highlight w:val="black"/>
              </w:rPr>
              <w:t>'''''''''''''''''''''</w:t>
            </w:r>
          </w:p>
        </w:tc>
      </w:tr>
      <w:tr w:rsidR="00172AD3" w:rsidRPr="00E0383E" w:rsidTr="002E1265">
        <w:tc>
          <w:tcPr>
            <w:tcW w:w="3350" w:type="pct"/>
          </w:tcPr>
          <w:p w:rsidR="00172AD3" w:rsidRPr="00E0383E" w:rsidRDefault="005725C5" w:rsidP="00D5705B">
            <w:pPr>
              <w:keepNext/>
              <w:keepLines/>
              <w:widowControl/>
              <w:suppressLineNumbers/>
              <w:tabs>
                <w:tab w:val="left" w:pos="142"/>
              </w:tabs>
              <w:suppressAutoHyphens/>
              <w:rPr>
                <w:rFonts w:ascii="Arial Narrow" w:hAnsi="Arial Narrow" w:cs="Times New Roman"/>
                <w:sz w:val="20"/>
              </w:rPr>
            </w:pPr>
            <w:r w:rsidRPr="005725C5">
              <w:rPr>
                <w:rFonts w:ascii="Arial Narrow" w:hAnsi="Arial Narrow" w:cs="Times New Roman"/>
                <w:i/>
                <w:sz w:val="20"/>
              </w:rPr>
              <w:t>SA3:</w:t>
            </w:r>
            <w:r>
              <w:rPr>
                <w:rFonts w:ascii="Arial Narrow" w:hAnsi="Arial Narrow" w:cs="Times New Roman"/>
                <w:sz w:val="20"/>
              </w:rPr>
              <w:t xml:space="preserve"> </w:t>
            </w:r>
            <w:r w:rsidR="00172AD3">
              <w:rPr>
                <w:rFonts w:ascii="Arial Narrow" w:hAnsi="Arial Narrow" w:cs="Times New Roman"/>
                <w:sz w:val="20"/>
              </w:rPr>
              <w:t xml:space="preserve">QOL by SDI health state; </w:t>
            </w:r>
            <w:r w:rsidR="00172AD3" w:rsidRPr="00E0383E">
              <w:rPr>
                <w:rFonts w:ascii="Arial Narrow" w:hAnsi="Arial Narrow" w:cs="Times New Roman"/>
                <w:sz w:val="20"/>
              </w:rPr>
              <w:t>Aggarwal et al. 2009</w:t>
            </w:r>
            <w:r w:rsidR="00172AD3">
              <w:rPr>
                <w:rFonts w:ascii="Arial Narrow" w:hAnsi="Arial Narrow" w:cs="Times New Roman"/>
                <w:sz w:val="20"/>
              </w:rPr>
              <w:t xml:space="preserve"> EQ-5D estimates (</w:t>
            </w:r>
            <w:r w:rsidR="00172AD3" w:rsidRPr="00E0383E">
              <w:rPr>
                <w:rFonts w:ascii="Arial Narrow" w:hAnsi="Arial Narrow" w:cs="Times New Roman"/>
                <w:sz w:val="20"/>
              </w:rPr>
              <w:t>0.74 for SDI≤2</w:t>
            </w:r>
            <w:r w:rsidR="00172AD3">
              <w:rPr>
                <w:rFonts w:ascii="Arial Narrow" w:hAnsi="Arial Narrow" w:cs="Times New Roman"/>
                <w:sz w:val="20"/>
              </w:rPr>
              <w:t>;</w:t>
            </w:r>
            <w:r w:rsidR="00172AD3" w:rsidRPr="00E0383E">
              <w:rPr>
                <w:rFonts w:ascii="Arial Narrow" w:hAnsi="Arial Narrow" w:cs="Times New Roman"/>
                <w:sz w:val="20"/>
              </w:rPr>
              <w:t xml:space="preserve"> 0.68 for SDI&gt;2</w:t>
            </w:r>
            <w:r w:rsidR="00172AD3">
              <w:rPr>
                <w:rFonts w:ascii="Arial Narrow" w:hAnsi="Arial Narrow" w:cs="Times New Roman"/>
                <w:sz w:val="20"/>
              </w:rPr>
              <w:t>).</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w:t>
            </w:r>
            <w:r w:rsidR="006D6DCE">
              <w:rPr>
                <w:rFonts w:ascii="Arial Narrow" w:hAnsi="Arial Narrow" w:cs="Times New Roman"/>
                <w:noProof/>
                <w:color w:val="000000"/>
                <w:sz w:val="20"/>
                <w:highlight w:val="black"/>
              </w:rPr>
              <w:t>''''''''''''''''</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0.239</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w:t>
            </w:r>
            <w:r w:rsidR="006D6DCE">
              <w:rPr>
                <w:rFonts w:ascii="Arial Narrow" w:hAnsi="Arial Narrow" w:cs="Times New Roman"/>
                <w:noProof/>
                <w:color w:val="000000"/>
                <w:sz w:val="20"/>
                <w:highlight w:val="black"/>
              </w:rPr>
              <w:t>'''''''''''''''''''</w:t>
            </w:r>
          </w:p>
        </w:tc>
      </w:tr>
      <w:tr w:rsidR="00172AD3" w:rsidRPr="00E0383E" w:rsidTr="002E1265">
        <w:tc>
          <w:tcPr>
            <w:tcW w:w="3350" w:type="pct"/>
          </w:tcPr>
          <w:p w:rsidR="00172AD3" w:rsidRPr="00E0383E" w:rsidRDefault="005725C5" w:rsidP="00D5705B">
            <w:pPr>
              <w:keepNext/>
              <w:keepLines/>
              <w:widowControl/>
              <w:suppressLineNumbers/>
              <w:tabs>
                <w:tab w:val="left" w:pos="142"/>
              </w:tabs>
              <w:suppressAutoHyphens/>
              <w:rPr>
                <w:rFonts w:ascii="Arial Narrow" w:hAnsi="Arial Narrow" w:cs="Times New Roman"/>
                <w:sz w:val="20"/>
              </w:rPr>
            </w:pPr>
            <w:r w:rsidRPr="005725C5">
              <w:rPr>
                <w:rFonts w:ascii="Arial Narrow" w:hAnsi="Arial Narrow" w:cs="Times New Roman"/>
                <w:i/>
                <w:sz w:val="20"/>
              </w:rPr>
              <w:t>SA4:</w:t>
            </w:r>
            <w:r>
              <w:rPr>
                <w:rFonts w:ascii="Arial Narrow" w:hAnsi="Arial Narrow" w:cs="Times New Roman"/>
                <w:sz w:val="20"/>
              </w:rPr>
              <w:t xml:space="preserve"> </w:t>
            </w:r>
            <w:r w:rsidR="00172AD3">
              <w:rPr>
                <w:rFonts w:ascii="Arial Narrow" w:hAnsi="Arial Narrow" w:cs="Times New Roman"/>
                <w:sz w:val="20"/>
              </w:rPr>
              <w:t xml:space="preserve">QOL by SDI health state; </w:t>
            </w:r>
            <w:r w:rsidR="00172AD3" w:rsidRPr="00E0383E">
              <w:rPr>
                <w:rFonts w:ascii="Arial Narrow" w:hAnsi="Arial Narrow" w:cs="Times New Roman"/>
                <w:sz w:val="20"/>
              </w:rPr>
              <w:t>Aggarwal et al. 2009</w:t>
            </w:r>
            <w:r w:rsidR="00172AD3">
              <w:rPr>
                <w:rFonts w:ascii="Arial Narrow" w:hAnsi="Arial Narrow" w:cs="Times New Roman"/>
                <w:sz w:val="20"/>
              </w:rPr>
              <w:t xml:space="preserve"> SF-6D estimates (</w:t>
            </w:r>
            <w:r w:rsidR="00172AD3" w:rsidRPr="00E0383E">
              <w:rPr>
                <w:rFonts w:ascii="Arial Narrow" w:hAnsi="Arial Narrow" w:cs="Times New Roman"/>
                <w:sz w:val="20"/>
              </w:rPr>
              <w:t>0.65 for SDI≤2</w:t>
            </w:r>
            <w:r w:rsidR="00172AD3">
              <w:rPr>
                <w:rFonts w:ascii="Arial Narrow" w:hAnsi="Arial Narrow" w:cs="Times New Roman"/>
                <w:sz w:val="20"/>
              </w:rPr>
              <w:t>,</w:t>
            </w:r>
            <w:r w:rsidR="00172AD3" w:rsidRPr="00E0383E">
              <w:rPr>
                <w:rFonts w:ascii="Arial Narrow" w:hAnsi="Arial Narrow" w:cs="Times New Roman"/>
                <w:sz w:val="20"/>
              </w:rPr>
              <w:t xml:space="preserve"> 0.6 for SDI&gt;2</w:t>
            </w:r>
            <w:r w:rsidR="00172AD3">
              <w:rPr>
                <w:rFonts w:ascii="Arial Narrow" w:hAnsi="Arial Narrow" w:cs="Times New Roman"/>
                <w:sz w:val="20"/>
              </w:rPr>
              <w:t>).</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w:t>
            </w:r>
            <w:r w:rsidR="006D6DCE">
              <w:rPr>
                <w:rFonts w:ascii="Arial Narrow" w:hAnsi="Arial Narrow" w:cs="Times New Roman"/>
                <w:noProof/>
                <w:color w:val="000000"/>
                <w:sz w:val="20"/>
                <w:highlight w:val="black"/>
              </w:rPr>
              <w:t>''''''''''''''''</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0.208</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sz w:val="20"/>
              </w:rPr>
            </w:pPr>
            <w:r w:rsidRPr="00E0383E">
              <w:rPr>
                <w:rFonts w:ascii="Arial Narrow" w:hAnsi="Arial Narrow" w:cs="Times New Roman"/>
                <w:sz w:val="20"/>
              </w:rPr>
              <w:t>$</w:t>
            </w:r>
            <w:r w:rsidR="006D6DCE">
              <w:rPr>
                <w:rFonts w:ascii="Arial Narrow" w:hAnsi="Arial Narrow" w:cs="Times New Roman"/>
                <w:noProof/>
                <w:color w:val="000000"/>
                <w:sz w:val="20"/>
                <w:highlight w:val="black"/>
              </w:rPr>
              <w:t>''''''''''''''''''</w:t>
            </w:r>
          </w:p>
        </w:tc>
      </w:tr>
      <w:tr w:rsidR="00172AD3" w:rsidRPr="00E0383E" w:rsidTr="002E1265">
        <w:tc>
          <w:tcPr>
            <w:tcW w:w="3350" w:type="pct"/>
          </w:tcPr>
          <w:p w:rsidR="00172AD3" w:rsidRPr="00E0383E" w:rsidRDefault="005725C5" w:rsidP="00D5705B">
            <w:pPr>
              <w:keepNext/>
              <w:keepLines/>
              <w:widowControl/>
              <w:suppressLineNumbers/>
              <w:tabs>
                <w:tab w:val="left" w:pos="142"/>
              </w:tabs>
              <w:suppressAutoHyphens/>
              <w:rPr>
                <w:rFonts w:ascii="Arial Narrow" w:hAnsi="Arial Narrow" w:cs="Times New Roman"/>
                <w:sz w:val="20"/>
              </w:rPr>
            </w:pPr>
            <w:r w:rsidRPr="005725C5">
              <w:rPr>
                <w:rFonts w:ascii="Arial Narrow" w:hAnsi="Arial Narrow" w:cs="Times New Roman"/>
                <w:i/>
                <w:sz w:val="20"/>
              </w:rPr>
              <w:t xml:space="preserve">SA5: </w:t>
            </w:r>
            <w:r w:rsidR="00172AD3">
              <w:rPr>
                <w:rFonts w:ascii="Arial Narrow" w:hAnsi="Arial Narrow" w:cs="Times New Roman"/>
                <w:sz w:val="20"/>
              </w:rPr>
              <w:t>QOL by SDI health state; Wang</w:t>
            </w:r>
            <w:r w:rsidR="00172AD3" w:rsidRPr="00E0383E">
              <w:rPr>
                <w:rFonts w:ascii="Arial Narrow" w:hAnsi="Arial Narrow" w:cs="Times New Roman"/>
                <w:sz w:val="20"/>
              </w:rPr>
              <w:t xml:space="preserve"> et al. 20</w:t>
            </w:r>
            <w:r w:rsidR="00172AD3">
              <w:rPr>
                <w:rFonts w:ascii="Arial Narrow" w:hAnsi="Arial Narrow" w:cs="Times New Roman"/>
                <w:sz w:val="20"/>
              </w:rPr>
              <w:t>14 EQ-5D estimates (</w:t>
            </w:r>
            <w:r w:rsidR="00172AD3" w:rsidRPr="00E0383E">
              <w:rPr>
                <w:rFonts w:ascii="Arial Narrow" w:hAnsi="Arial Narrow" w:cs="Times New Roman"/>
                <w:sz w:val="20"/>
              </w:rPr>
              <w:t>0.843 for SDI≤1</w:t>
            </w:r>
            <w:r w:rsidR="00172AD3">
              <w:rPr>
                <w:rFonts w:ascii="Arial Narrow" w:hAnsi="Arial Narrow" w:cs="Times New Roman"/>
                <w:sz w:val="20"/>
              </w:rPr>
              <w:t xml:space="preserve">, </w:t>
            </w:r>
            <w:r w:rsidR="00172AD3" w:rsidRPr="00E0383E">
              <w:rPr>
                <w:rFonts w:ascii="Arial Narrow" w:hAnsi="Arial Narrow" w:cs="Times New Roman"/>
                <w:sz w:val="20"/>
              </w:rPr>
              <w:t>0.663 for SDI&gt;1)</w:t>
            </w:r>
            <w:r w:rsidR="00172AD3">
              <w:rPr>
                <w:rFonts w:ascii="Arial Narrow" w:hAnsi="Arial Narrow" w:cs="Times New Roman"/>
                <w:sz w:val="20"/>
              </w:rPr>
              <w:t>.</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i/>
                <w:iCs/>
                <w:sz w:val="20"/>
              </w:rPr>
            </w:pPr>
            <w:r w:rsidRPr="00E0383E">
              <w:rPr>
                <w:rFonts w:ascii="Arial Narrow" w:hAnsi="Arial Narrow" w:cs="Times New Roman"/>
                <w:sz w:val="20"/>
              </w:rPr>
              <w:t>$</w:t>
            </w:r>
            <w:r w:rsidR="006D6DCE">
              <w:rPr>
                <w:rFonts w:ascii="Arial Narrow" w:hAnsi="Arial Narrow" w:cs="Times New Roman"/>
                <w:noProof/>
                <w:color w:val="000000"/>
                <w:sz w:val="20"/>
                <w:highlight w:val="black"/>
              </w:rPr>
              <w:t>'''''''''''''''''</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i/>
                <w:iCs/>
                <w:sz w:val="20"/>
              </w:rPr>
            </w:pPr>
            <w:r w:rsidRPr="00E0383E">
              <w:rPr>
                <w:rFonts w:ascii="Arial Narrow" w:hAnsi="Arial Narrow" w:cs="Times New Roman"/>
                <w:sz w:val="20"/>
              </w:rPr>
              <w:t>0.360</w:t>
            </w:r>
          </w:p>
        </w:tc>
        <w:tc>
          <w:tcPr>
            <w:tcW w:w="550" w:type="pct"/>
            <w:vAlign w:val="center"/>
          </w:tcPr>
          <w:p w:rsidR="00172AD3" w:rsidRPr="00E0383E" w:rsidRDefault="00172AD3" w:rsidP="00D5705B">
            <w:pPr>
              <w:keepNext/>
              <w:keepLines/>
              <w:widowControl/>
              <w:suppressLineNumbers/>
              <w:suppressAutoHyphens/>
              <w:jc w:val="center"/>
              <w:rPr>
                <w:rFonts w:ascii="Arial Narrow" w:hAnsi="Arial Narrow" w:cs="Times New Roman"/>
                <w:i/>
                <w:iCs/>
                <w:sz w:val="20"/>
              </w:rPr>
            </w:pPr>
            <w:r w:rsidRPr="00E0383E">
              <w:rPr>
                <w:rFonts w:ascii="Arial Narrow" w:hAnsi="Arial Narrow" w:cs="Times New Roman"/>
                <w:sz w:val="20"/>
              </w:rPr>
              <w:t>$</w:t>
            </w:r>
            <w:r w:rsidR="006D6DCE">
              <w:rPr>
                <w:rFonts w:ascii="Arial Narrow" w:hAnsi="Arial Narrow" w:cs="Times New Roman"/>
                <w:noProof/>
                <w:color w:val="000000"/>
                <w:sz w:val="20"/>
                <w:highlight w:val="black"/>
              </w:rPr>
              <w:t>'''''''''''''''''''</w:t>
            </w:r>
          </w:p>
        </w:tc>
      </w:tr>
      <w:tr w:rsidR="002E1265" w:rsidRPr="00E0383E" w:rsidTr="002E1265">
        <w:tc>
          <w:tcPr>
            <w:tcW w:w="5000" w:type="pct"/>
            <w:gridSpan w:val="4"/>
          </w:tcPr>
          <w:p w:rsidR="002E1265" w:rsidRPr="0022277A" w:rsidRDefault="002E1265" w:rsidP="00D5705B">
            <w:pPr>
              <w:keepNext/>
              <w:keepLines/>
              <w:widowControl/>
              <w:suppressLineNumbers/>
              <w:suppressAutoHyphens/>
              <w:jc w:val="left"/>
              <w:rPr>
                <w:rFonts w:ascii="Arial Narrow" w:hAnsi="Arial Narrow" w:cs="Times New Roman"/>
                <w:b/>
                <w:sz w:val="20"/>
              </w:rPr>
            </w:pPr>
            <w:r w:rsidRPr="0022277A">
              <w:rPr>
                <w:rFonts w:ascii="Arial Narrow" w:hAnsi="Arial Narrow" w:cs="Times New Roman"/>
                <w:b/>
                <w:sz w:val="20"/>
              </w:rPr>
              <w:t>Multivariate sensitivity analysis addressing other more minor model issues</w:t>
            </w:r>
            <w:r w:rsidRPr="0022277A">
              <w:rPr>
                <w:rFonts w:ascii="Arial Narrow" w:hAnsi="Arial Narrow" w:cs="Times New Roman"/>
                <w:b/>
                <w:sz w:val="20"/>
                <w:vertAlign w:val="superscript"/>
              </w:rPr>
              <w:t>a</w:t>
            </w:r>
          </w:p>
        </w:tc>
      </w:tr>
      <w:tr w:rsidR="005725C5" w:rsidRPr="00E0383E" w:rsidTr="002E1265">
        <w:tc>
          <w:tcPr>
            <w:tcW w:w="3350" w:type="pct"/>
          </w:tcPr>
          <w:p w:rsidR="005725C5" w:rsidRPr="0022277A" w:rsidRDefault="002E1265" w:rsidP="00D5705B">
            <w:pPr>
              <w:keepNext/>
              <w:keepLines/>
              <w:widowControl/>
              <w:suppressLineNumbers/>
              <w:tabs>
                <w:tab w:val="left" w:pos="142"/>
              </w:tabs>
              <w:suppressAutoHyphens/>
              <w:rPr>
                <w:rFonts w:ascii="Arial Narrow" w:hAnsi="Arial Narrow" w:cs="Times New Roman"/>
                <w:sz w:val="20"/>
              </w:rPr>
            </w:pPr>
            <w:r w:rsidRPr="0022277A">
              <w:rPr>
                <w:rFonts w:ascii="Arial Narrow" w:hAnsi="Arial Narrow" w:cs="Times New Roman"/>
                <w:sz w:val="20"/>
              </w:rPr>
              <w:t>SA3: QOL by SDI health state; Aggarwal et al. 2009 EQ-5D estimates (0.74 for SDI≤2; 0.68 for SDI&gt;2)</w:t>
            </w:r>
            <w:r w:rsidR="007E1D6B" w:rsidRPr="0022277A">
              <w:rPr>
                <w:rFonts w:ascii="Arial Narrow" w:hAnsi="Arial Narrow" w:cs="Times New Roman"/>
                <w:sz w:val="20"/>
              </w:rPr>
              <w:t>, plus addressing</w:t>
            </w:r>
            <w:r w:rsidR="00826EBC" w:rsidRPr="0022277A">
              <w:rPr>
                <w:rFonts w:ascii="Arial Narrow" w:hAnsi="Arial Narrow" w:cs="Times New Roman"/>
                <w:sz w:val="20"/>
              </w:rPr>
              <w:t xml:space="preserve"> 3 minor issues in the model</w:t>
            </w:r>
            <w:r w:rsidR="002F523C" w:rsidRPr="0022277A">
              <w:rPr>
                <w:rFonts w:ascii="Arial Narrow" w:hAnsi="Arial Narrow" w:cs="Times New Roman"/>
                <w:sz w:val="20"/>
              </w:rPr>
              <w:t xml:space="preserve"> </w:t>
            </w:r>
            <w:r w:rsidR="002F523C" w:rsidRPr="0022277A">
              <w:rPr>
                <w:rFonts w:ascii="Arial Narrow" w:hAnsi="Arial Narrow" w:cs="Times New Roman"/>
                <w:sz w:val="20"/>
                <w:vertAlign w:val="superscript"/>
              </w:rPr>
              <w:t>a</w:t>
            </w:r>
          </w:p>
        </w:tc>
        <w:tc>
          <w:tcPr>
            <w:tcW w:w="550" w:type="pct"/>
            <w:vAlign w:val="center"/>
          </w:tcPr>
          <w:p w:rsidR="005725C5" w:rsidRPr="0022277A" w:rsidRDefault="0036023F" w:rsidP="00D5705B">
            <w:pPr>
              <w:keepNext/>
              <w:keepLines/>
              <w:widowControl/>
              <w:suppressLineNumbers/>
              <w:suppressAutoHyphens/>
              <w:jc w:val="center"/>
              <w:rPr>
                <w:rFonts w:ascii="Arial Narrow" w:hAnsi="Arial Narrow" w:cs="Times New Roman"/>
                <w:sz w:val="20"/>
              </w:rPr>
            </w:pPr>
            <w:r w:rsidRPr="0022277A">
              <w:rPr>
                <w:rFonts w:ascii="Arial Narrow" w:hAnsi="Arial Narrow" w:cs="Times New Roman"/>
                <w:sz w:val="20"/>
              </w:rPr>
              <w:t>$</w:t>
            </w:r>
            <w:r w:rsidR="006D6DCE">
              <w:rPr>
                <w:rFonts w:ascii="Arial Narrow" w:hAnsi="Arial Narrow" w:cs="Times New Roman"/>
                <w:noProof/>
                <w:color w:val="000000"/>
                <w:sz w:val="20"/>
                <w:highlight w:val="black"/>
              </w:rPr>
              <w:t>'''''''''''''''''</w:t>
            </w:r>
          </w:p>
        </w:tc>
        <w:tc>
          <w:tcPr>
            <w:tcW w:w="550" w:type="pct"/>
            <w:vAlign w:val="center"/>
          </w:tcPr>
          <w:p w:rsidR="005725C5" w:rsidRPr="0022277A" w:rsidRDefault="002E1265" w:rsidP="00D5705B">
            <w:pPr>
              <w:keepNext/>
              <w:keepLines/>
              <w:widowControl/>
              <w:suppressLineNumbers/>
              <w:suppressAutoHyphens/>
              <w:jc w:val="center"/>
              <w:rPr>
                <w:rFonts w:ascii="Arial Narrow" w:hAnsi="Arial Narrow" w:cs="Times New Roman"/>
                <w:sz w:val="20"/>
              </w:rPr>
            </w:pPr>
            <w:r w:rsidRPr="0022277A">
              <w:rPr>
                <w:rFonts w:ascii="Arial Narrow" w:hAnsi="Arial Narrow" w:cs="Times New Roman"/>
                <w:sz w:val="20"/>
              </w:rPr>
              <w:t>0.230</w:t>
            </w:r>
          </w:p>
        </w:tc>
        <w:tc>
          <w:tcPr>
            <w:tcW w:w="550" w:type="pct"/>
            <w:vAlign w:val="center"/>
          </w:tcPr>
          <w:p w:rsidR="005725C5" w:rsidRPr="0022277A" w:rsidRDefault="0036023F" w:rsidP="00D5705B">
            <w:pPr>
              <w:keepNext/>
              <w:keepLines/>
              <w:widowControl/>
              <w:suppressLineNumbers/>
              <w:suppressAutoHyphens/>
              <w:jc w:val="center"/>
              <w:rPr>
                <w:rFonts w:ascii="Arial Narrow" w:hAnsi="Arial Narrow" w:cs="Times New Roman"/>
                <w:sz w:val="20"/>
              </w:rPr>
            </w:pPr>
            <w:r w:rsidRPr="0022277A">
              <w:rPr>
                <w:rFonts w:ascii="Arial Narrow" w:hAnsi="Arial Narrow" w:cs="Times New Roman"/>
                <w:sz w:val="20"/>
              </w:rPr>
              <w:t>$</w:t>
            </w:r>
            <w:r w:rsidR="006D6DCE">
              <w:rPr>
                <w:rFonts w:ascii="Arial Narrow" w:hAnsi="Arial Narrow" w:cs="Times New Roman"/>
                <w:noProof/>
                <w:color w:val="000000"/>
                <w:sz w:val="20"/>
                <w:highlight w:val="black"/>
              </w:rPr>
              <w:t>'''''''''''''''''''</w:t>
            </w:r>
          </w:p>
        </w:tc>
      </w:tr>
    </w:tbl>
    <w:p w:rsidR="00172AD3" w:rsidRDefault="00172AD3" w:rsidP="00D5705B">
      <w:pPr>
        <w:keepNext/>
        <w:keepLines/>
        <w:widowControl/>
        <w:suppressLineNumbers/>
        <w:suppressAutoHyphens/>
        <w:rPr>
          <w:rFonts w:ascii="Arial Narrow" w:hAnsi="Arial Narrow"/>
          <w:sz w:val="18"/>
          <w:szCs w:val="18"/>
        </w:rPr>
      </w:pPr>
      <w:r w:rsidRPr="001057DE">
        <w:rPr>
          <w:rFonts w:ascii="Arial Narrow" w:hAnsi="Arial Narrow"/>
          <w:sz w:val="18"/>
          <w:szCs w:val="18"/>
        </w:rPr>
        <w:t>Source: Table 98, pp.227-228 of submission</w:t>
      </w:r>
      <w:r w:rsidR="00826EBC">
        <w:rPr>
          <w:rFonts w:ascii="Arial Narrow" w:hAnsi="Arial Narrow"/>
          <w:sz w:val="18"/>
          <w:szCs w:val="18"/>
        </w:rPr>
        <w:t xml:space="preserve"> </w:t>
      </w:r>
      <w:r w:rsidR="00826EBC" w:rsidRPr="00826EBC">
        <w:rPr>
          <w:rFonts w:ascii="Arial Narrow" w:hAnsi="Arial Narrow"/>
          <w:i/>
          <w:sz w:val="18"/>
          <w:szCs w:val="18"/>
        </w:rPr>
        <w:t>and estimated using Belimumab_SLE-Model_Jul19.</w:t>
      </w:r>
    </w:p>
    <w:p w:rsidR="00826EBC" w:rsidRPr="0022277A" w:rsidRDefault="00826EBC" w:rsidP="00D5705B">
      <w:pPr>
        <w:keepNext/>
        <w:keepLines/>
        <w:widowControl/>
        <w:suppressLineNumbers/>
        <w:suppressAutoHyphens/>
        <w:rPr>
          <w:rFonts w:ascii="Arial Narrow" w:hAnsi="Arial Narrow"/>
          <w:sz w:val="18"/>
          <w:szCs w:val="18"/>
        </w:rPr>
      </w:pPr>
      <w:r w:rsidRPr="0022277A">
        <w:rPr>
          <w:rFonts w:ascii="Arial Narrow" w:hAnsi="Arial Narrow"/>
          <w:sz w:val="18"/>
          <w:szCs w:val="18"/>
        </w:rPr>
        <w:t>Abbreviations: SELENA= Safety of Estrogen in Lupus Erythematosus National Assessment; SLEDAI= SLE Disease Activity Index; SRI= SLE Response Index</w:t>
      </w:r>
    </w:p>
    <w:p w:rsidR="002E1265" w:rsidRPr="0022277A" w:rsidRDefault="002E1265" w:rsidP="00D5705B">
      <w:pPr>
        <w:keepNext/>
        <w:keepLines/>
        <w:widowControl/>
        <w:suppressLineNumbers/>
        <w:suppressAutoHyphens/>
        <w:rPr>
          <w:rFonts w:ascii="Arial Narrow" w:hAnsi="Arial Narrow"/>
          <w:sz w:val="18"/>
          <w:szCs w:val="18"/>
        </w:rPr>
      </w:pPr>
      <w:r w:rsidRPr="0022277A">
        <w:rPr>
          <w:rFonts w:ascii="Arial Narrow" w:hAnsi="Arial Narrow"/>
          <w:sz w:val="18"/>
          <w:szCs w:val="18"/>
          <w:vertAlign w:val="superscript"/>
        </w:rPr>
        <w:t>a</w:t>
      </w:r>
      <w:r w:rsidRPr="0022277A">
        <w:rPr>
          <w:rFonts w:ascii="Arial Narrow" w:hAnsi="Arial Narrow"/>
          <w:sz w:val="18"/>
          <w:szCs w:val="18"/>
        </w:rPr>
        <w:t xml:space="preserve"> Minor model issues were</w:t>
      </w:r>
      <w:r w:rsidR="00826EBC" w:rsidRPr="0022277A">
        <w:rPr>
          <w:rFonts w:ascii="Arial Narrow" w:hAnsi="Arial Narrow"/>
          <w:sz w:val="18"/>
          <w:szCs w:val="18"/>
        </w:rPr>
        <w:t>:</w:t>
      </w:r>
      <w:r w:rsidRPr="0022277A">
        <w:rPr>
          <w:rFonts w:ascii="Arial Narrow" w:hAnsi="Arial Narrow"/>
          <w:sz w:val="18"/>
          <w:szCs w:val="18"/>
        </w:rPr>
        <w:t xml:space="preserve"> </w:t>
      </w:r>
      <w:r w:rsidR="0036023F" w:rsidRPr="0022277A">
        <w:rPr>
          <w:rFonts w:ascii="Arial Narrow" w:hAnsi="Arial Narrow"/>
          <w:sz w:val="18"/>
          <w:szCs w:val="18"/>
        </w:rPr>
        <w:t xml:space="preserve">additive </w:t>
      </w:r>
      <w:r w:rsidRPr="0022277A">
        <w:rPr>
          <w:rFonts w:ascii="Arial Narrow" w:hAnsi="Arial Narrow"/>
          <w:sz w:val="18"/>
          <w:szCs w:val="18"/>
        </w:rPr>
        <w:t>mortality</w:t>
      </w:r>
      <w:r w:rsidR="00826EBC" w:rsidRPr="0022277A">
        <w:rPr>
          <w:rFonts w:ascii="Arial Narrow" w:hAnsi="Arial Narrow"/>
          <w:sz w:val="18"/>
          <w:szCs w:val="18"/>
        </w:rPr>
        <w:t xml:space="preserve"> </w:t>
      </w:r>
      <w:r w:rsidR="002F523C" w:rsidRPr="0022277A">
        <w:rPr>
          <w:rFonts w:ascii="Arial Narrow" w:hAnsi="Arial Narrow"/>
          <w:sz w:val="18"/>
          <w:szCs w:val="18"/>
        </w:rPr>
        <w:t>(</w:t>
      </w:r>
      <w:r w:rsidR="00826EBC" w:rsidRPr="0022277A">
        <w:rPr>
          <w:rFonts w:ascii="Arial Narrow" w:hAnsi="Arial Narrow"/>
          <w:sz w:val="18"/>
          <w:szCs w:val="18"/>
        </w:rPr>
        <w:t>SLE mortality added to age-related mortality from lifetables</w:t>
      </w:r>
      <w:r w:rsidR="002F523C" w:rsidRPr="0022277A">
        <w:rPr>
          <w:rFonts w:ascii="Arial Narrow" w:hAnsi="Arial Narrow"/>
          <w:sz w:val="18"/>
          <w:szCs w:val="18"/>
        </w:rPr>
        <w:t>,</w:t>
      </w:r>
      <w:r w:rsidR="00826EBC" w:rsidRPr="0022277A">
        <w:rPr>
          <w:rFonts w:ascii="Arial Narrow" w:hAnsi="Arial Narrow"/>
          <w:sz w:val="18"/>
          <w:szCs w:val="18"/>
        </w:rPr>
        <w:t xml:space="preserve"> instead of using a maximum function)</w:t>
      </w:r>
      <w:r w:rsidRPr="0022277A">
        <w:rPr>
          <w:rFonts w:ascii="Arial Narrow" w:hAnsi="Arial Narrow"/>
          <w:sz w:val="18"/>
          <w:szCs w:val="18"/>
        </w:rPr>
        <w:t xml:space="preserve">, disutility in the first cycle </w:t>
      </w:r>
      <w:r w:rsidR="002F523C" w:rsidRPr="0022277A">
        <w:rPr>
          <w:rFonts w:ascii="Arial Narrow" w:hAnsi="Arial Narrow"/>
          <w:sz w:val="18"/>
          <w:szCs w:val="18"/>
        </w:rPr>
        <w:t xml:space="preserve">(inclusion of a disutility from flares in induction); </w:t>
      </w:r>
      <w:r w:rsidRPr="0022277A">
        <w:rPr>
          <w:rFonts w:ascii="Arial Narrow" w:hAnsi="Arial Narrow"/>
          <w:sz w:val="18"/>
          <w:szCs w:val="18"/>
        </w:rPr>
        <w:t xml:space="preserve">and </w:t>
      </w:r>
      <w:r w:rsidR="002F523C" w:rsidRPr="0022277A">
        <w:rPr>
          <w:rFonts w:ascii="Arial Narrow" w:hAnsi="Arial Narrow"/>
          <w:sz w:val="18"/>
          <w:szCs w:val="18"/>
        </w:rPr>
        <w:t xml:space="preserve">use of a </w:t>
      </w:r>
      <w:r w:rsidRPr="0022277A">
        <w:rPr>
          <w:rFonts w:ascii="Arial Narrow" w:hAnsi="Arial Narrow"/>
          <w:sz w:val="18"/>
          <w:szCs w:val="18"/>
        </w:rPr>
        <w:t>global discounting</w:t>
      </w:r>
      <w:r w:rsidR="002F523C" w:rsidRPr="0022277A">
        <w:rPr>
          <w:rFonts w:ascii="Arial Narrow" w:hAnsi="Arial Narrow"/>
          <w:sz w:val="18"/>
          <w:szCs w:val="18"/>
        </w:rPr>
        <w:t xml:space="preserve"> formula.</w:t>
      </w:r>
      <w:r w:rsidR="00826EBC" w:rsidRPr="0022277A">
        <w:rPr>
          <w:rFonts w:ascii="Arial Narrow" w:hAnsi="Arial Narrow"/>
          <w:sz w:val="18"/>
          <w:szCs w:val="18"/>
        </w:rPr>
        <w:t>-</w:t>
      </w:r>
    </w:p>
    <w:p w:rsidR="00172AD3" w:rsidRPr="00CF774A" w:rsidRDefault="00172AD3" w:rsidP="00172AD3">
      <w:pPr>
        <w:rPr>
          <w:szCs w:val="24"/>
        </w:rPr>
      </w:pPr>
    </w:p>
    <w:p w:rsidR="00D26D4C" w:rsidRPr="00D26D4C" w:rsidRDefault="00172AD3" w:rsidP="00FF5FCE">
      <w:pPr>
        <w:pStyle w:val="ListParagraph"/>
        <w:widowControl/>
        <w:numPr>
          <w:ilvl w:val="1"/>
          <w:numId w:val="1"/>
        </w:numPr>
        <w:spacing w:after="120"/>
        <w:rPr>
          <w:iCs/>
          <w:szCs w:val="24"/>
        </w:rPr>
      </w:pPr>
      <w:r w:rsidRPr="009F3947">
        <w:rPr>
          <w:szCs w:val="24"/>
        </w:rPr>
        <w:t>Given that the SDI score was the main clinical outcome in the model, and the model</w:t>
      </w:r>
      <w:r w:rsidRPr="009F3947">
        <w:rPr>
          <w:iCs/>
          <w:szCs w:val="24"/>
        </w:rPr>
        <w:t xml:space="preserve"> tracks all patients across both arms by the SDI health state, it </w:t>
      </w:r>
      <w:r w:rsidR="00243A6E">
        <w:rPr>
          <w:iCs/>
          <w:szCs w:val="24"/>
        </w:rPr>
        <w:t>would be</w:t>
      </w:r>
      <w:r w:rsidR="00243A6E" w:rsidRPr="009F3947">
        <w:rPr>
          <w:iCs/>
          <w:szCs w:val="24"/>
        </w:rPr>
        <w:t xml:space="preserve"> </w:t>
      </w:r>
      <w:r w:rsidRPr="009F3947">
        <w:rPr>
          <w:iCs/>
          <w:szCs w:val="24"/>
        </w:rPr>
        <w:t xml:space="preserve">more reasonable to assign quality of life on the basis of SDI. </w:t>
      </w:r>
      <w:r w:rsidR="00031ED6" w:rsidRPr="00D16630">
        <w:t xml:space="preserve">This alternative approach increased the ICER </w:t>
      </w:r>
      <w:r w:rsidR="00031ED6" w:rsidRPr="009F3947">
        <w:rPr>
          <w:iCs/>
        </w:rPr>
        <w:t>by 69% to 192% ($</w:t>
      </w:r>
      <w:r w:rsidR="00A446DE">
        <w:rPr>
          <w:iCs/>
        </w:rPr>
        <w:t>75,000/QALY</w:t>
      </w:r>
      <w:r w:rsidR="008058F5">
        <w:rPr>
          <w:iCs/>
        </w:rPr>
        <w:t xml:space="preserve"> </w:t>
      </w:r>
      <w:r w:rsidR="00A446DE">
        <w:rPr>
          <w:iCs/>
        </w:rPr>
        <w:t xml:space="preserve">- </w:t>
      </w:r>
      <w:r w:rsidR="008249E4">
        <w:rPr>
          <w:iCs/>
        </w:rPr>
        <w:t>$</w:t>
      </w:r>
      <w:r w:rsidR="00A446DE">
        <w:rPr>
          <w:iCs/>
        </w:rPr>
        <w:t>105,000</w:t>
      </w:r>
      <w:r w:rsidR="00031ED6" w:rsidRPr="009F3947">
        <w:rPr>
          <w:iCs/>
        </w:rPr>
        <w:t>/QALY to $</w:t>
      </w:r>
      <w:r w:rsidR="008249E4">
        <w:rPr>
          <w:iCs/>
        </w:rPr>
        <w:t>10</w:t>
      </w:r>
      <w:r w:rsidR="00A446DE">
        <w:rPr>
          <w:iCs/>
        </w:rPr>
        <w:t>5</w:t>
      </w:r>
      <w:r w:rsidR="008249E4">
        <w:rPr>
          <w:iCs/>
        </w:rPr>
        <w:t>,000/QALY - $200,000</w:t>
      </w:r>
      <w:r w:rsidR="00031ED6" w:rsidRPr="009F3947">
        <w:rPr>
          <w:iCs/>
        </w:rPr>
        <w:t xml:space="preserve">/QALY), depending on </w:t>
      </w:r>
      <w:r w:rsidR="009F4076" w:rsidRPr="009F3947">
        <w:rPr>
          <w:iCs/>
        </w:rPr>
        <w:t xml:space="preserve">the </w:t>
      </w:r>
      <w:r w:rsidR="00031ED6" w:rsidRPr="009F3947">
        <w:rPr>
          <w:iCs/>
        </w:rPr>
        <w:t>utility values used.</w:t>
      </w:r>
      <w:r w:rsidR="00031ED6" w:rsidRPr="00D16630">
        <w:t xml:space="preserve"> </w:t>
      </w:r>
    </w:p>
    <w:p w:rsidR="008F4313" w:rsidRPr="00360C5E" w:rsidRDefault="00A60BF7" w:rsidP="00223251">
      <w:pPr>
        <w:pStyle w:val="ListParagraph"/>
        <w:widowControl/>
        <w:numPr>
          <w:ilvl w:val="1"/>
          <w:numId w:val="1"/>
        </w:numPr>
        <w:spacing w:after="120"/>
        <w:rPr>
          <w:iCs/>
          <w:szCs w:val="24"/>
        </w:rPr>
      </w:pPr>
      <w:r w:rsidRPr="00360C5E">
        <w:rPr>
          <w:szCs w:val="24"/>
        </w:rPr>
        <w:t>T</w:t>
      </w:r>
      <w:r w:rsidR="009F4076" w:rsidRPr="00360C5E">
        <w:rPr>
          <w:szCs w:val="24"/>
        </w:rPr>
        <w:t>he</w:t>
      </w:r>
      <w:r w:rsidR="009F4076" w:rsidRPr="00360C5E">
        <w:rPr>
          <w:iCs/>
          <w:szCs w:val="24"/>
        </w:rPr>
        <w:t xml:space="preserve"> evaluation and the ESC considered that </w:t>
      </w:r>
      <w:r w:rsidR="00172AD3" w:rsidRPr="00360C5E">
        <w:rPr>
          <w:iCs/>
          <w:szCs w:val="24"/>
        </w:rPr>
        <w:t xml:space="preserve">EQ-5D estimates by SDI health state in </w:t>
      </w:r>
      <w:r w:rsidR="00172AD3" w:rsidRPr="00360C5E">
        <w:rPr>
          <w:szCs w:val="24"/>
        </w:rPr>
        <w:t>Aggarwal</w:t>
      </w:r>
      <w:r w:rsidR="00172AD3" w:rsidRPr="00360C5E">
        <w:rPr>
          <w:iCs/>
          <w:szCs w:val="24"/>
        </w:rPr>
        <w:t xml:space="preserve"> et al 2009 were </w:t>
      </w:r>
      <w:r w:rsidR="00D26D4C" w:rsidRPr="00360C5E">
        <w:rPr>
          <w:iCs/>
          <w:szCs w:val="24"/>
        </w:rPr>
        <w:t xml:space="preserve">more applicable to the requested PBS population than those in </w:t>
      </w:r>
      <w:r w:rsidR="00172AD3" w:rsidRPr="00360C5E">
        <w:rPr>
          <w:iCs/>
          <w:szCs w:val="24"/>
        </w:rPr>
        <w:t>Wang et al 2014</w:t>
      </w:r>
      <w:r w:rsidRPr="00360C5E">
        <w:rPr>
          <w:iCs/>
          <w:szCs w:val="24"/>
        </w:rPr>
        <w:t>.</w:t>
      </w:r>
      <w:r w:rsidR="00D26D4C" w:rsidRPr="00360C5E">
        <w:rPr>
          <w:iCs/>
          <w:szCs w:val="24"/>
        </w:rPr>
        <w:t xml:space="preserve"> This was because </w:t>
      </w:r>
      <w:r w:rsidR="00D16BC3" w:rsidRPr="00360C5E">
        <w:rPr>
          <w:iCs/>
          <w:szCs w:val="24"/>
        </w:rPr>
        <w:t>p</w:t>
      </w:r>
      <w:r w:rsidR="00D26D4C" w:rsidRPr="00360C5E">
        <w:rPr>
          <w:iCs/>
          <w:szCs w:val="24"/>
        </w:rPr>
        <w:t xml:space="preserve">atients included in Aggarwal et al 2009 had more severe and progressed disease compared </w:t>
      </w:r>
      <w:r w:rsidR="00B9780F" w:rsidRPr="00360C5E">
        <w:rPr>
          <w:iCs/>
          <w:szCs w:val="24"/>
        </w:rPr>
        <w:t>with</w:t>
      </w:r>
      <w:r w:rsidR="00D26D4C" w:rsidRPr="00360C5E">
        <w:rPr>
          <w:iCs/>
          <w:szCs w:val="24"/>
        </w:rPr>
        <w:t xml:space="preserve"> Wang et al 2014, given patients were older (42.5 vs 33.8 years), had longer SLE duration (9.3 vs 4.8 years), higher SLEDAI score (6.2 vs</w:t>
      </w:r>
      <w:r w:rsidR="005B2A51">
        <w:rPr>
          <w:iCs/>
          <w:szCs w:val="24"/>
        </w:rPr>
        <w:t xml:space="preserve"> 2.9) and SDI score (2.0 vs 0</w:t>
      </w:r>
      <w:r w:rsidR="00D26D4C" w:rsidRPr="00360C5E">
        <w:rPr>
          <w:iCs/>
          <w:szCs w:val="24"/>
        </w:rPr>
        <w:t>).</w:t>
      </w:r>
      <w:r w:rsidR="00172AD3" w:rsidRPr="00360C5E">
        <w:rPr>
          <w:iCs/>
          <w:szCs w:val="24"/>
        </w:rPr>
        <w:t xml:space="preserve"> </w:t>
      </w:r>
      <w:r w:rsidR="000349CB" w:rsidRPr="00360C5E">
        <w:rPr>
          <w:iCs/>
          <w:szCs w:val="24"/>
        </w:rPr>
        <w:t xml:space="preserve">The pre-PBAC response stated </w:t>
      </w:r>
      <w:r w:rsidR="00BE20EB" w:rsidRPr="00360C5E">
        <w:rPr>
          <w:iCs/>
          <w:szCs w:val="24"/>
        </w:rPr>
        <w:t>that patients in Wa</w:t>
      </w:r>
      <w:r w:rsidR="0093015C" w:rsidRPr="00360C5E">
        <w:rPr>
          <w:iCs/>
          <w:szCs w:val="24"/>
        </w:rPr>
        <w:t>n</w:t>
      </w:r>
      <w:r w:rsidR="00BE20EB" w:rsidRPr="00360C5E">
        <w:rPr>
          <w:iCs/>
          <w:szCs w:val="24"/>
        </w:rPr>
        <w:t xml:space="preserve">g et al 2014 were </w:t>
      </w:r>
      <w:r w:rsidR="0093015C" w:rsidRPr="00360C5E">
        <w:rPr>
          <w:iCs/>
          <w:szCs w:val="24"/>
        </w:rPr>
        <w:t xml:space="preserve">better matched to the Monash HDAS cohort (defined by the Monash Medical Centre Lupus Clinic as patients who ever had a SLEDAI-2K </w:t>
      </w:r>
      <w:r w:rsidR="0093015C" w:rsidRPr="00360C5E">
        <w:rPr>
          <w:iCs/>
          <w:szCs w:val="24"/>
        </w:rPr>
        <w:lastRenderedPageBreak/>
        <w:t xml:space="preserve">score ≥ 10 during follow-up) in terms of age, SDI and ethnicity. </w:t>
      </w:r>
      <w:r w:rsidR="00360C5E" w:rsidRPr="00360C5E">
        <w:rPr>
          <w:iCs/>
          <w:szCs w:val="24"/>
        </w:rPr>
        <w:t>However, the PBAC considered that</w:t>
      </w:r>
      <w:r w:rsidR="00682BE7" w:rsidRPr="00360C5E">
        <w:rPr>
          <w:iCs/>
          <w:szCs w:val="24"/>
        </w:rPr>
        <w:t xml:space="preserve"> patients in Wang et al 2014 may have had less severe disease than the Monash HDAS cohort based on duration of illness (4.8 years in Wang et al versus 7.7 years in the Monash HDAS cohort) and median SDI (</w:t>
      </w:r>
      <w:r w:rsidR="002B4E2A" w:rsidRPr="005A2EEC">
        <w:rPr>
          <w:iCs/>
          <w:szCs w:val="24"/>
        </w:rPr>
        <w:t>0</w:t>
      </w:r>
      <w:r w:rsidR="00985A3F">
        <w:rPr>
          <w:iCs/>
          <w:szCs w:val="24"/>
        </w:rPr>
        <w:t xml:space="preserve"> </w:t>
      </w:r>
      <w:r w:rsidR="00682BE7" w:rsidRPr="005A2EEC">
        <w:rPr>
          <w:iCs/>
          <w:szCs w:val="24"/>
        </w:rPr>
        <w:t>versus</w:t>
      </w:r>
      <w:r w:rsidR="00985A3F">
        <w:rPr>
          <w:iCs/>
          <w:szCs w:val="24"/>
        </w:rPr>
        <w:t xml:space="preserve"> 1</w:t>
      </w:r>
      <w:r w:rsidR="00682BE7" w:rsidRPr="00360C5E">
        <w:rPr>
          <w:iCs/>
          <w:szCs w:val="24"/>
        </w:rPr>
        <w:t>)</w:t>
      </w:r>
      <w:r w:rsidR="00360C5E" w:rsidRPr="00360C5E">
        <w:rPr>
          <w:iCs/>
          <w:szCs w:val="24"/>
        </w:rPr>
        <w:t xml:space="preserve">, and because only 29% of patients in the HDAS group had SLEDAI-2K score ≥ 10 at baseline. </w:t>
      </w:r>
    </w:p>
    <w:p w:rsidR="004C30B7" w:rsidRPr="0022277A" w:rsidRDefault="00D26D4C" w:rsidP="00FF5FCE">
      <w:pPr>
        <w:pStyle w:val="ListParagraph"/>
        <w:keepLines/>
        <w:numPr>
          <w:ilvl w:val="1"/>
          <w:numId w:val="1"/>
        </w:numPr>
        <w:spacing w:after="120"/>
        <w:rPr>
          <w:iCs/>
          <w:szCs w:val="24"/>
        </w:rPr>
      </w:pPr>
      <w:r w:rsidRPr="0022277A">
        <w:rPr>
          <w:iCs/>
          <w:szCs w:val="24"/>
        </w:rPr>
        <w:t>The ESC noted that a</w:t>
      </w:r>
      <w:r w:rsidR="00B9780F" w:rsidRPr="0022277A">
        <w:rPr>
          <w:iCs/>
          <w:szCs w:val="24"/>
        </w:rPr>
        <w:t>ssigning</w:t>
      </w:r>
      <w:r w:rsidRPr="0022277A">
        <w:rPr>
          <w:iCs/>
          <w:szCs w:val="24"/>
        </w:rPr>
        <w:t xml:space="preserve"> the EQ-5D estimates by SDI health state in Aggarwal et al 2009 </w:t>
      </w:r>
      <w:r w:rsidR="00031ED6" w:rsidRPr="0022277A">
        <w:rPr>
          <w:iCs/>
          <w:szCs w:val="24"/>
        </w:rPr>
        <w:t>resulted in an ICER of</w:t>
      </w:r>
      <w:r w:rsidR="00172AD3" w:rsidRPr="0022277A">
        <w:rPr>
          <w:iCs/>
          <w:szCs w:val="24"/>
        </w:rPr>
        <w:t xml:space="preserve"> $</w:t>
      </w:r>
      <w:r w:rsidR="008249E4">
        <w:rPr>
          <w:iCs/>
          <w:szCs w:val="24"/>
        </w:rPr>
        <w:t>10</w:t>
      </w:r>
      <w:r w:rsidR="005577F8">
        <w:rPr>
          <w:iCs/>
          <w:szCs w:val="24"/>
        </w:rPr>
        <w:t>5</w:t>
      </w:r>
      <w:r w:rsidR="008249E4">
        <w:rPr>
          <w:iCs/>
          <w:szCs w:val="24"/>
        </w:rPr>
        <w:t>,000/QALY - $200,000</w:t>
      </w:r>
      <w:r w:rsidR="00172AD3" w:rsidRPr="0022277A">
        <w:rPr>
          <w:iCs/>
          <w:szCs w:val="24"/>
        </w:rPr>
        <w:t>/QALY. The ICER increased to $</w:t>
      </w:r>
      <w:r w:rsidR="008249E4">
        <w:rPr>
          <w:iCs/>
          <w:szCs w:val="24"/>
        </w:rPr>
        <w:t>10</w:t>
      </w:r>
      <w:r w:rsidR="005577F8">
        <w:rPr>
          <w:iCs/>
          <w:szCs w:val="24"/>
        </w:rPr>
        <w:t>5</w:t>
      </w:r>
      <w:r w:rsidR="008249E4">
        <w:rPr>
          <w:iCs/>
          <w:szCs w:val="24"/>
        </w:rPr>
        <w:t>,000/QALY - $200,000</w:t>
      </w:r>
      <w:r w:rsidR="00172AD3" w:rsidRPr="0022277A">
        <w:rPr>
          <w:iCs/>
          <w:szCs w:val="24"/>
        </w:rPr>
        <w:t xml:space="preserve">/QALY in a multivariate sensitivity </w:t>
      </w:r>
      <w:r w:rsidR="009F4076" w:rsidRPr="0022277A">
        <w:rPr>
          <w:iCs/>
          <w:szCs w:val="24"/>
        </w:rPr>
        <w:t xml:space="preserve">analysis that </w:t>
      </w:r>
      <w:r w:rsidR="00172AD3" w:rsidRPr="0022277A">
        <w:rPr>
          <w:iCs/>
          <w:szCs w:val="24"/>
        </w:rPr>
        <w:t>also address</w:t>
      </w:r>
      <w:r w:rsidR="009F4076" w:rsidRPr="0022277A">
        <w:rPr>
          <w:iCs/>
          <w:szCs w:val="24"/>
        </w:rPr>
        <w:t>ed</w:t>
      </w:r>
      <w:r w:rsidR="00172AD3" w:rsidRPr="0022277A">
        <w:rPr>
          <w:iCs/>
          <w:szCs w:val="24"/>
        </w:rPr>
        <w:t xml:space="preserve"> other minor model issues (additive mortality, disutility in the fir</w:t>
      </w:r>
      <w:r w:rsidR="00536DCA" w:rsidRPr="0022277A">
        <w:rPr>
          <w:iCs/>
          <w:szCs w:val="24"/>
        </w:rPr>
        <w:t>st cycle and global discounting</w:t>
      </w:r>
      <w:r w:rsidR="00172AD3" w:rsidRPr="0022277A">
        <w:rPr>
          <w:iCs/>
          <w:szCs w:val="24"/>
        </w:rPr>
        <w:t>).</w:t>
      </w:r>
      <w:r w:rsidR="009F4076" w:rsidRPr="0022277A">
        <w:rPr>
          <w:iCs/>
          <w:szCs w:val="24"/>
        </w:rPr>
        <w:t xml:space="preserve"> The ESC considered that</w:t>
      </w:r>
      <w:r w:rsidRPr="0022277A">
        <w:rPr>
          <w:iCs/>
          <w:szCs w:val="24"/>
        </w:rPr>
        <w:t xml:space="preserve"> this represented a more </w:t>
      </w:r>
      <w:r w:rsidR="006046E7" w:rsidRPr="0022277A">
        <w:rPr>
          <w:iCs/>
          <w:szCs w:val="24"/>
        </w:rPr>
        <w:t>plausible ICER</w:t>
      </w:r>
      <w:r w:rsidR="00A60BF7" w:rsidRPr="0022277A">
        <w:rPr>
          <w:iCs/>
          <w:szCs w:val="24"/>
        </w:rPr>
        <w:t xml:space="preserve"> than that presented in the submission</w:t>
      </w:r>
      <w:r w:rsidR="009F4076" w:rsidRPr="0022277A">
        <w:rPr>
          <w:iCs/>
          <w:szCs w:val="24"/>
        </w:rPr>
        <w:t xml:space="preserve">, </w:t>
      </w:r>
      <w:r w:rsidR="00A60BF7" w:rsidRPr="0022277A">
        <w:rPr>
          <w:iCs/>
          <w:szCs w:val="24"/>
        </w:rPr>
        <w:t xml:space="preserve">but considered </w:t>
      </w:r>
      <w:r w:rsidR="008F4313" w:rsidRPr="0022277A">
        <w:rPr>
          <w:iCs/>
          <w:szCs w:val="24"/>
        </w:rPr>
        <w:t>this ICER likely remained optimistic as it included a benefit for belimumab for SDI progression, which was not supported by the clinical data.</w:t>
      </w:r>
    </w:p>
    <w:p w:rsidR="00B9780F" w:rsidRPr="0022277A" w:rsidRDefault="008F4313" w:rsidP="00FF5FCE">
      <w:pPr>
        <w:pStyle w:val="ListParagraph"/>
        <w:widowControl/>
        <w:numPr>
          <w:ilvl w:val="1"/>
          <w:numId w:val="1"/>
        </w:numPr>
        <w:spacing w:after="120"/>
        <w:rPr>
          <w:iCs/>
          <w:szCs w:val="24"/>
        </w:rPr>
      </w:pPr>
      <w:r w:rsidRPr="0022277A">
        <w:rPr>
          <w:iCs/>
          <w:szCs w:val="24"/>
        </w:rPr>
        <w:t xml:space="preserve">The ESC </w:t>
      </w:r>
      <w:r w:rsidR="004C30B7" w:rsidRPr="0022277A">
        <w:rPr>
          <w:iCs/>
          <w:szCs w:val="24"/>
        </w:rPr>
        <w:t>considered that many of</w:t>
      </w:r>
      <w:r w:rsidR="00A60BF7" w:rsidRPr="0022277A">
        <w:rPr>
          <w:iCs/>
          <w:szCs w:val="24"/>
        </w:rPr>
        <w:t xml:space="preserve"> th</w:t>
      </w:r>
      <w:r w:rsidR="00D26D4C" w:rsidRPr="0022277A">
        <w:rPr>
          <w:iCs/>
          <w:szCs w:val="24"/>
        </w:rPr>
        <w:t xml:space="preserve">e limitations of the </w:t>
      </w:r>
      <w:r w:rsidR="00052321" w:rsidRPr="0022277A">
        <w:rPr>
          <w:iCs/>
          <w:szCs w:val="24"/>
        </w:rPr>
        <w:t>model</w:t>
      </w:r>
      <w:r w:rsidR="00D26D4C" w:rsidRPr="0022277A">
        <w:rPr>
          <w:iCs/>
          <w:szCs w:val="24"/>
        </w:rPr>
        <w:t xml:space="preserve"> could not be tested in sensitivity analyses</w:t>
      </w:r>
      <w:r w:rsidRPr="0022277A">
        <w:rPr>
          <w:iCs/>
          <w:szCs w:val="24"/>
        </w:rPr>
        <w:t>.</w:t>
      </w:r>
    </w:p>
    <w:p w:rsidR="00172AD3" w:rsidRPr="001461A3" w:rsidRDefault="00172AD3" w:rsidP="00C463DB">
      <w:pPr>
        <w:pStyle w:val="Heading2"/>
        <w:spacing w:after="120"/>
      </w:pPr>
      <w:bookmarkStart w:id="13" w:name="_Toc371170711"/>
      <w:bookmarkStart w:id="14" w:name="_Toc19712627"/>
      <w:r w:rsidRPr="002C2775">
        <w:t>Drug cost/patient/year</w:t>
      </w:r>
      <w:bookmarkEnd w:id="13"/>
      <w:r>
        <w:t>: $</w:t>
      </w:r>
      <w:bookmarkEnd w:id="14"/>
      <w:r w:rsidR="006D6DCE">
        <w:rPr>
          <w:noProof/>
          <w:color w:val="000000"/>
          <w:highlight w:val="black"/>
        </w:rPr>
        <w:t>'''''''''''</w:t>
      </w:r>
    </w:p>
    <w:p w:rsidR="00172AD3" w:rsidRPr="00D16630" w:rsidRDefault="00172AD3" w:rsidP="00FF5FCE">
      <w:pPr>
        <w:pStyle w:val="ListParagraph"/>
        <w:widowControl/>
        <w:numPr>
          <w:ilvl w:val="1"/>
          <w:numId w:val="1"/>
        </w:numPr>
        <w:spacing w:after="120"/>
        <w:rPr>
          <w:szCs w:val="24"/>
        </w:rPr>
      </w:pPr>
      <w:r w:rsidRPr="003A3356">
        <w:rPr>
          <w:szCs w:val="24"/>
        </w:rPr>
        <w:t xml:space="preserve">In </w:t>
      </w:r>
      <w:r>
        <w:rPr>
          <w:szCs w:val="24"/>
        </w:rPr>
        <w:t xml:space="preserve">the </w:t>
      </w:r>
      <w:r w:rsidRPr="00D16630">
        <w:rPr>
          <w:szCs w:val="24"/>
        </w:rPr>
        <w:t>modelled economic evaluation and financial estimates, the average cost of treatment per patient per script (28 days) was $</w:t>
      </w:r>
      <w:r w:rsidR="006D6DCE">
        <w:rPr>
          <w:noProof/>
          <w:color w:val="000000"/>
          <w:szCs w:val="24"/>
          <w:highlight w:val="black"/>
        </w:rPr>
        <w:t>''''''''''''</w:t>
      </w:r>
      <w:r w:rsidRPr="00D16630">
        <w:rPr>
          <w:szCs w:val="24"/>
        </w:rPr>
        <w:t xml:space="preserve"> (assuming a 78:22% split for public and private hospitals respectively)</w:t>
      </w:r>
      <w:r w:rsidR="00220FE4">
        <w:rPr>
          <w:szCs w:val="24"/>
        </w:rPr>
        <w:t xml:space="preserve"> (Table 1</w:t>
      </w:r>
      <w:r w:rsidR="00F61CA4">
        <w:rPr>
          <w:szCs w:val="24"/>
        </w:rPr>
        <w:t>6</w:t>
      </w:r>
      <w:r w:rsidR="00220FE4">
        <w:rPr>
          <w:szCs w:val="24"/>
        </w:rPr>
        <w:t>)</w:t>
      </w:r>
      <w:r w:rsidRPr="00D16630">
        <w:rPr>
          <w:szCs w:val="24"/>
        </w:rPr>
        <w:t xml:space="preserve">, corresponding to an annual cost of </w:t>
      </w:r>
      <w:r w:rsidR="006D6DCE">
        <w:rPr>
          <w:noProof/>
          <w:color w:val="000000"/>
          <w:szCs w:val="24"/>
          <w:highlight w:val="black"/>
        </w:rPr>
        <w:t>'''''''''''''</w:t>
      </w:r>
      <w:r w:rsidRPr="00D16630">
        <w:rPr>
          <w:szCs w:val="24"/>
        </w:rPr>
        <w:t xml:space="preserve"> assuming 13 scripts per year. </w:t>
      </w:r>
    </w:p>
    <w:p w:rsidR="00172AD3" w:rsidRPr="001057DE" w:rsidRDefault="00220FE4" w:rsidP="001057DE">
      <w:pPr>
        <w:rPr>
          <w:rFonts w:ascii="Arial Narrow" w:hAnsi="Arial Narrow"/>
          <w:b/>
          <w:bCs/>
          <w:sz w:val="20"/>
          <w:szCs w:val="18"/>
        </w:rPr>
      </w:pPr>
      <w:r>
        <w:rPr>
          <w:rFonts w:ascii="Arial Narrow" w:hAnsi="Arial Narrow"/>
          <w:b/>
          <w:bCs/>
          <w:sz w:val="20"/>
          <w:szCs w:val="14"/>
        </w:rPr>
        <w:t>Table 1</w:t>
      </w:r>
      <w:r w:rsidR="00F61CA4">
        <w:rPr>
          <w:rFonts w:ascii="Arial Narrow" w:hAnsi="Arial Narrow"/>
          <w:b/>
          <w:bCs/>
          <w:sz w:val="20"/>
          <w:szCs w:val="14"/>
        </w:rPr>
        <w:t>6</w:t>
      </w:r>
      <w:r w:rsidR="00172AD3" w:rsidRPr="001057DE">
        <w:rPr>
          <w:rFonts w:ascii="Arial Narrow" w:hAnsi="Arial Narrow"/>
          <w:b/>
          <w:bCs/>
          <w:sz w:val="20"/>
          <w:szCs w:val="14"/>
        </w:rPr>
        <w:t>: Belimumab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6: Belimumab drug cost per patient for proposed and comparator drugs"/>
      </w:tblPr>
      <w:tblGrid>
        <w:gridCol w:w="1409"/>
        <w:gridCol w:w="2536"/>
        <w:gridCol w:w="2536"/>
        <w:gridCol w:w="2536"/>
      </w:tblGrid>
      <w:tr w:rsidR="00172AD3" w:rsidTr="009F3947">
        <w:trPr>
          <w:jc w:val="center"/>
        </w:trPr>
        <w:tc>
          <w:tcPr>
            <w:tcW w:w="782" w:type="pct"/>
            <w:tcMar>
              <w:top w:w="0" w:type="dxa"/>
              <w:left w:w="28" w:type="dxa"/>
              <w:bottom w:w="0" w:type="dxa"/>
              <w:right w:w="28" w:type="dxa"/>
            </w:tcMar>
            <w:vAlign w:val="center"/>
          </w:tcPr>
          <w:p w:rsidR="00172AD3" w:rsidRDefault="00172AD3" w:rsidP="0011582A">
            <w:pPr>
              <w:keepNext/>
              <w:rPr>
                <w:lang w:val="en-US"/>
              </w:rPr>
            </w:pPr>
          </w:p>
        </w:tc>
        <w:tc>
          <w:tcPr>
            <w:tcW w:w="1406" w:type="pct"/>
            <w:tcMar>
              <w:top w:w="0" w:type="dxa"/>
              <w:left w:w="28" w:type="dxa"/>
              <w:bottom w:w="0" w:type="dxa"/>
              <w:right w:w="28" w:type="dxa"/>
            </w:tcMar>
            <w:vAlign w:val="center"/>
            <w:hideMark/>
          </w:tcPr>
          <w:p w:rsidR="00172AD3" w:rsidRDefault="00172AD3" w:rsidP="0011582A">
            <w:pPr>
              <w:keepNext/>
              <w:jc w:val="center"/>
              <w:rPr>
                <w:rFonts w:ascii="Arial Narrow" w:hAnsi="Arial Narrow"/>
                <w:b/>
                <w:bCs/>
                <w:sz w:val="20"/>
                <w:szCs w:val="20"/>
                <w:lang w:val="en-US"/>
              </w:rPr>
            </w:pPr>
            <w:r>
              <w:rPr>
                <w:rFonts w:ascii="Arial Narrow" w:hAnsi="Arial Narrow"/>
                <w:b/>
                <w:bCs/>
                <w:sz w:val="20"/>
                <w:szCs w:val="20"/>
                <w:lang w:val="en-US"/>
              </w:rPr>
              <w:t>BLISS-SC</w:t>
            </w:r>
          </w:p>
        </w:tc>
        <w:tc>
          <w:tcPr>
            <w:tcW w:w="1406" w:type="pct"/>
            <w:tcMar>
              <w:top w:w="0" w:type="dxa"/>
              <w:left w:w="28" w:type="dxa"/>
              <w:bottom w:w="0" w:type="dxa"/>
              <w:right w:w="28" w:type="dxa"/>
            </w:tcMar>
            <w:vAlign w:val="center"/>
            <w:hideMark/>
          </w:tcPr>
          <w:p w:rsidR="00172AD3" w:rsidRDefault="001057DE" w:rsidP="001057DE">
            <w:pPr>
              <w:keepNext/>
              <w:jc w:val="center"/>
              <w:rPr>
                <w:rFonts w:ascii="Arial Narrow" w:hAnsi="Arial Narrow"/>
                <w:b/>
                <w:bCs/>
                <w:sz w:val="20"/>
                <w:szCs w:val="20"/>
                <w:lang w:val="en-US"/>
              </w:rPr>
            </w:pPr>
            <w:r>
              <w:rPr>
                <w:rFonts w:ascii="Arial Narrow" w:hAnsi="Arial Narrow"/>
                <w:b/>
                <w:bCs/>
                <w:sz w:val="20"/>
                <w:szCs w:val="20"/>
                <w:lang w:val="en-US"/>
              </w:rPr>
              <w:t>Economic m</w:t>
            </w:r>
            <w:r w:rsidR="00172AD3">
              <w:rPr>
                <w:rFonts w:ascii="Arial Narrow" w:hAnsi="Arial Narrow"/>
                <w:b/>
                <w:bCs/>
                <w:sz w:val="20"/>
                <w:szCs w:val="20"/>
                <w:lang w:val="en-US"/>
              </w:rPr>
              <w:t>odel</w:t>
            </w:r>
          </w:p>
        </w:tc>
        <w:tc>
          <w:tcPr>
            <w:tcW w:w="1406" w:type="pct"/>
            <w:tcMar>
              <w:top w:w="0" w:type="dxa"/>
              <w:left w:w="28" w:type="dxa"/>
              <w:bottom w:w="0" w:type="dxa"/>
              <w:right w:w="28" w:type="dxa"/>
            </w:tcMar>
            <w:vAlign w:val="center"/>
            <w:hideMark/>
          </w:tcPr>
          <w:p w:rsidR="00172AD3" w:rsidRDefault="00172AD3" w:rsidP="0011582A">
            <w:pPr>
              <w:keepNext/>
              <w:jc w:val="center"/>
              <w:rPr>
                <w:rFonts w:ascii="Arial Narrow" w:hAnsi="Arial Narrow"/>
                <w:b/>
                <w:bCs/>
                <w:sz w:val="20"/>
                <w:szCs w:val="20"/>
                <w:lang w:val="en-US"/>
              </w:rPr>
            </w:pPr>
            <w:r>
              <w:rPr>
                <w:rFonts w:ascii="Arial Narrow" w:hAnsi="Arial Narrow"/>
                <w:b/>
                <w:bCs/>
                <w:sz w:val="20"/>
                <w:szCs w:val="20"/>
                <w:lang w:val="en-US"/>
              </w:rPr>
              <w:t>Financial estimates</w:t>
            </w:r>
          </w:p>
        </w:tc>
      </w:tr>
      <w:tr w:rsidR="00172AD3" w:rsidTr="009F3947">
        <w:trPr>
          <w:trHeight w:val="60"/>
          <w:jc w:val="center"/>
        </w:trPr>
        <w:tc>
          <w:tcPr>
            <w:tcW w:w="782" w:type="pct"/>
            <w:tcMar>
              <w:top w:w="0" w:type="dxa"/>
              <w:left w:w="28" w:type="dxa"/>
              <w:bottom w:w="0" w:type="dxa"/>
              <w:right w:w="28" w:type="dxa"/>
            </w:tcMar>
            <w:vAlign w:val="center"/>
            <w:hideMark/>
          </w:tcPr>
          <w:p w:rsidR="00172AD3" w:rsidRDefault="00172AD3" w:rsidP="0011582A">
            <w:pPr>
              <w:keepNext/>
              <w:rPr>
                <w:rFonts w:ascii="Arial Narrow" w:hAnsi="Arial Narrow"/>
                <w:sz w:val="20"/>
                <w:szCs w:val="20"/>
                <w:lang w:val="en-US"/>
              </w:rPr>
            </w:pPr>
            <w:r>
              <w:rPr>
                <w:rFonts w:ascii="Arial Narrow" w:hAnsi="Arial Narrow"/>
                <w:sz w:val="20"/>
                <w:szCs w:val="20"/>
                <w:lang w:val="en-US"/>
              </w:rPr>
              <w:t>Mean dose</w:t>
            </w:r>
          </w:p>
        </w:tc>
        <w:tc>
          <w:tcPr>
            <w:tcW w:w="1406" w:type="pct"/>
            <w:tcMar>
              <w:top w:w="0" w:type="dxa"/>
              <w:left w:w="28" w:type="dxa"/>
              <w:bottom w:w="0" w:type="dxa"/>
              <w:right w:w="28" w:type="dxa"/>
            </w:tcMar>
            <w:vAlign w:val="center"/>
          </w:tcPr>
          <w:p w:rsidR="00172AD3" w:rsidRPr="001057DE" w:rsidRDefault="001057DE" w:rsidP="0011582A">
            <w:pPr>
              <w:keepNext/>
              <w:jc w:val="center"/>
              <w:rPr>
                <w:rFonts w:ascii="Arial Narrow" w:hAnsi="Arial Narrow"/>
                <w:sz w:val="20"/>
                <w:szCs w:val="20"/>
                <w:lang w:val="en-US"/>
              </w:rPr>
            </w:pPr>
            <w:r w:rsidRPr="001057DE">
              <w:rPr>
                <w:rFonts w:ascii="Arial Narrow" w:hAnsi="Arial Narrow"/>
                <w:sz w:val="20"/>
                <w:szCs w:val="20"/>
                <w:lang w:val="en-US"/>
              </w:rPr>
              <w:t>NR</w:t>
            </w:r>
          </w:p>
        </w:tc>
        <w:tc>
          <w:tcPr>
            <w:tcW w:w="1406" w:type="pct"/>
            <w:tcMar>
              <w:top w:w="0" w:type="dxa"/>
              <w:left w:w="28" w:type="dxa"/>
              <w:bottom w:w="0" w:type="dxa"/>
              <w:right w:w="28" w:type="dxa"/>
            </w:tcMar>
            <w:vAlign w:val="center"/>
          </w:tcPr>
          <w:p w:rsidR="00172AD3" w:rsidRDefault="00172AD3" w:rsidP="0011582A">
            <w:pPr>
              <w:keepNext/>
              <w:jc w:val="center"/>
              <w:rPr>
                <w:rFonts w:ascii="Arial Narrow" w:hAnsi="Arial Narrow"/>
                <w:b/>
                <w:bCs/>
                <w:sz w:val="20"/>
                <w:szCs w:val="20"/>
                <w:lang w:val="en-US"/>
              </w:rPr>
            </w:pPr>
            <w:r>
              <w:rPr>
                <w:rFonts w:ascii="Arial Narrow" w:hAnsi="Arial Narrow"/>
                <w:b/>
                <w:bCs/>
                <w:sz w:val="20"/>
                <w:szCs w:val="20"/>
                <w:lang w:val="en-US"/>
              </w:rPr>
              <w:t>200mg SC once weekly</w:t>
            </w:r>
          </w:p>
        </w:tc>
        <w:tc>
          <w:tcPr>
            <w:tcW w:w="1406" w:type="pct"/>
            <w:tcMar>
              <w:top w:w="0" w:type="dxa"/>
              <w:left w:w="28" w:type="dxa"/>
              <w:bottom w:w="0" w:type="dxa"/>
              <w:right w:w="28" w:type="dxa"/>
            </w:tcMar>
            <w:vAlign w:val="center"/>
          </w:tcPr>
          <w:p w:rsidR="00172AD3" w:rsidRDefault="00172AD3" w:rsidP="0011582A">
            <w:pPr>
              <w:keepNext/>
              <w:jc w:val="center"/>
              <w:rPr>
                <w:rFonts w:ascii="Arial Narrow" w:hAnsi="Arial Narrow"/>
                <w:b/>
                <w:bCs/>
                <w:sz w:val="20"/>
                <w:szCs w:val="20"/>
                <w:lang w:val="en-US"/>
              </w:rPr>
            </w:pPr>
            <w:r>
              <w:rPr>
                <w:rFonts w:ascii="Arial Narrow" w:hAnsi="Arial Narrow"/>
                <w:b/>
                <w:bCs/>
                <w:sz w:val="20"/>
                <w:szCs w:val="20"/>
                <w:lang w:val="en-US"/>
              </w:rPr>
              <w:t>200mg SC once weekly</w:t>
            </w:r>
          </w:p>
        </w:tc>
      </w:tr>
      <w:tr w:rsidR="00172AD3" w:rsidTr="009F3947">
        <w:trPr>
          <w:jc w:val="center"/>
        </w:trPr>
        <w:tc>
          <w:tcPr>
            <w:tcW w:w="782" w:type="pct"/>
            <w:tcMar>
              <w:top w:w="0" w:type="dxa"/>
              <w:left w:w="28" w:type="dxa"/>
              <w:bottom w:w="0" w:type="dxa"/>
              <w:right w:w="28" w:type="dxa"/>
            </w:tcMar>
            <w:vAlign w:val="center"/>
            <w:hideMark/>
          </w:tcPr>
          <w:p w:rsidR="00172AD3" w:rsidRDefault="00172AD3" w:rsidP="0011582A">
            <w:pPr>
              <w:keepNext/>
              <w:rPr>
                <w:rFonts w:ascii="Arial Narrow" w:hAnsi="Arial Narrow"/>
                <w:sz w:val="20"/>
                <w:szCs w:val="20"/>
                <w:lang w:val="en-US"/>
              </w:rPr>
            </w:pPr>
            <w:r>
              <w:rPr>
                <w:rFonts w:ascii="Arial Narrow" w:hAnsi="Arial Narrow"/>
                <w:sz w:val="20"/>
                <w:szCs w:val="20"/>
                <w:lang w:val="en-US"/>
              </w:rPr>
              <w:t>Cost/patient/script (28 days)</w:t>
            </w:r>
          </w:p>
        </w:tc>
        <w:tc>
          <w:tcPr>
            <w:tcW w:w="1406" w:type="pct"/>
            <w:tcMar>
              <w:top w:w="0" w:type="dxa"/>
              <w:left w:w="28" w:type="dxa"/>
              <w:bottom w:w="0" w:type="dxa"/>
              <w:right w:w="28" w:type="dxa"/>
            </w:tcMar>
            <w:vAlign w:val="center"/>
          </w:tcPr>
          <w:p w:rsidR="00172AD3" w:rsidRDefault="00172AD3" w:rsidP="0011582A">
            <w:pPr>
              <w:keepNext/>
              <w:jc w:val="center"/>
              <w:rPr>
                <w:rFonts w:ascii="Arial Narrow" w:hAnsi="Arial Narrow"/>
                <w:sz w:val="20"/>
                <w:szCs w:val="20"/>
                <w:lang w:val="en-US"/>
              </w:rPr>
            </w:pPr>
            <w:r>
              <w:rPr>
                <w:rFonts w:ascii="Arial Narrow" w:hAnsi="Arial Narrow"/>
                <w:sz w:val="20"/>
                <w:szCs w:val="20"/>
                <w:lang w:val="en-US"/>
              </w:rPr>
              <w:t>$</w:t>
            </w:r>
            <w:r w:rsidR="006D6DCE">
              <w:rPr>
                <w:rFonts w:ascii="Arial Narrow" w:hAnsi="Arial Narrow"/>
                <w:noProof/>
                <w:color w:val="000000"/>
                <w:sz w:val="20"/>
                <w:szCs w:val="20"/>
                <w:highlight w:val="black"/>
                <w:lang w:val="en-US"/>
              </w:rPr>
              <w:t>''''''''''</w:t>
            </w:r>
            <w:r>
              <w:rPr>
                <w:rFonts w:ascii="Arial Narrow" w:hAnsi="Arial Narrow"/>
                <w:sz w:val="20"/>
                <w:szCs w:val="20"/>
                <w:lang w:val="en-US"/>
              </w:rPr>
              <w:t xml:space="preserve"> (public hospital)</w:t>
            </w:r>
          </w:p>
          <w:p w:rsidR="00172AD3" w:rsidRDefault="00A91BA6" w:rsidP="0011582A">
            <w:pPr>
              <w:keepNext/>
              <w:jc w:val="center"/>
              <w:rPr>
                <w:rFonts w:ascii="Arial Narrow" w:hAnsi="Arial Narrow"/>
                <w:sz w:val="20"/>
                <w:szCs w:val="20"/>
                <w:lang w:val="en-US"/>
              </w:rPr>
            </w:pPr>
            <w:r>
              <w:rPr>
                <w:rFonts w:ascii="Arial Narrow" w:hAnsi="Arial Narrow"/>
                <w:sz w:val="20"/>
                <w:szCs w:val="20"/>
                <w:lang w:val="en-US"/>
              </w:rPr>
              <w:t>$</w:t>
            </w:r>
            <w:r w:rsidR="006D6DCE">
              <w:rPr>
                <w:rFonts w:ascii="Arial Narrow" w:hAnsi="Arial Narrow"/>
                <w:noProof/>
                <w:color w:val="000000"/>
                <w:sz w:val="20"/>
                <w:szCs w:val="20"/>
                <w:highlight w:val="black"/>
                <w:lang w:val="en-US"/>
              </w:rPr>
              <w:t>'''''''''''''''</w:t>
            </w:r>
            <w:r w:rsidR="00172AD3">
              <w:rPr>
                <w:rFonts w:ascii="Arial Narrow" w:hAnsi="Arial Narrow"/>
                <w:sz w:val="20"/>
                <w:szCs w:val="20"/>
                <w:lang w:val="en-US"/>
              </w:rPr>
              <w:t xml:space="preserve"> (private hospital)</w:t>
            </w:r>
          </w:p>
        </w:tc>
        <w:tc>
          <w:tcPr>
            <w:tcW w:w="1406" w:type="pct"/>
            <w:tcMar>
              <w:top w:w="0" w:type="dxa"/>
              <w:left w:w="28" w:type="dxa"/>
              <w:bottom w:w="0" w:type="dxa"/>
              <w:right w:w="28" w:type="dxa"/>
            </w:tcMar>
            <w:vAlign w:val="center"/>
          </w:tcPr>
          <w:p w:rsidR="00172AD3" w:rsidRDefault="00172AD3" w:rsidP="0011582A">
            <w:pPr>
              <w:keepNext/>
              <w:jc w:val="center"/>
              <w:rPr>
                <w:rFonts w:ascii="Arial Narrow" w:hAnsi="Arial Narrow"/>
                <w:sz w:val="20"/>
                <w:szCs w:val="20"/>
                <w:lang w:val="en-US"/>
              </w:rPr>
            </w:pPr>
            <w:r>
              <w:rPr>
                <w:rFonts w:ascii="Arial Narrow" w:hAnsi="Arial Narrow"/>
                <w:sz w:val="20"/>
                <w:szCs w:val="20"/>
                <w:lang w:val="en-US"/>
              </w:rPr>
              <w:t>$</w:t>
            </w:r>
            <w:r w:rsidR="006D6DCE">
              <w:rPr>
                <w:rFonts w:ascii="Arial Narrow" w:hAnsi="Arial Narrow"/>
                <w:noProof/>
                <w:color w:val="000000"/>
                <w:sz w:val="20"/>
                <w:szCs w:val="20"/>
                <w:highlight w:val="black"/>
                <w:lang w:val="en-US"/>
              </w:rPr>
              <w:t>'''''''''''''''''</w:t>
            </w:r>
            <w:r>
              <w:rPr>
                <w:rFonts w:ascii="Arial Narrow" w:hAnsi="Arial Narrow"/>
                <w:sz w:val="20"/>
                <w:szCs w:val="20"/>
                <w:lang w:val="en-US"/>
              </w:rPr>
              <w:t xml:space="preserve"> </w:t>
            </w:r>
          </w:p>
          <w:p w:rsidR="00172AD3" w:rsidRDefault="00172AD3" w:rsidP="0011582A">
            <w:pPr>
              <w:keepNext/>
              <w:jc w:val="center"/>
              <w:rPr>
                <w:rFonts w:ascii="Arial Narrow" w:hAnsi="Arial Narrow"/>
                <w:sz w:val="20"/>
                <w:szCs w:val="20"/>
                <w:lang w:val="en-US"/>
              </w:rPr>
            </w:pPr>
            <w:r>
              <w:rPr>
                <w:rFonts w:ascii="Arial Narrow" w:hAnsi="Arial Narrow"/>
                <w:sz w:val="20"/>
                <w:szCs w:val="20"/>
                <w:lang w:val="en-US"/>
              </w:rPr>
              <w:t>(78.27%:21.73% public:private)</w:t>
            </w:r>
          </w:p>
        </w:tc>
        <w:tc>
          <w:tcPr>
            <w:tcW w:w="1406" w:type="pct"/>
            <w:tcMar>
              <w:top w:w="0" w:type="dxa"/>
              <w:left w:w="28" w:type="dxa"/>
              <w:bottom w:w="0" w:type="dxa"/>
              <w:right w:w="28" w:type="dxa"/>
            </w:tcMar>
            <w:vAlign w:val="center"/>
          </w:tcPr>
          <w:p w:rsidR="00172AD3" w:rsidRDefault="00172AD3" w:rsidP="0011582A">
            <w:pPr>
              <w:keepNext/>
              <w:jc w:val="center"/>
              <w:rPr>
                <w:rFonts w:ascii="Arial Narrow" w:hAnsi="Arial Narrow"/>
                <w:sz w:val="20"/>
                <w:szCs w:val="20"/>
                <w:lang w:val="en-US"/>
              </w:rPr>
            </w:pPr>
            <w:r>
              <w:rPr>
                <w:rFonts w:ascii="Arial Narrow" w:hAnsi="Arial Narrow"/>
                <w:sz w:val="20"/>
                <w:szCs w:val="20"/>
                <w:lang w:val="en-US"/>
              </w:rPr>
              <w:t>$</w:t>
            </w:r>
            <w:r w:rsidR="006D6DCE">
              <w:rPr>
                <w:rFonts w:ascii="Arial Narrow" w:hAnsi="Arial Narrow"/>
                <w:noProof/>
                <w:color w:val="000000"/>
                <w:sz w:val="20"/>
                <w:szCs w:val="20"/>
                <w:highlight w:val="black"/>
                <w:lang w:val="en-US"/>
              </w:rPr>
              <w:t>'''''''''''''''</w:t>
            </w:r>
            <w:r>
              <w:rPr>
                <w:rFonts w:ascii="Arial Narrow" w:hAnsi="Arial Narrow"/>
                <w:sz w:val="20"/>
                <w:szCs w:val="20"/>
                <w:lang w:val="en-US"/>
              </w:rPr>
              <w:t xml:space="preserve"> </w:t>
            </w:r>
          </w:p>
          <w:p w:rsidR="00172AD3" w:rsidRDefault="00172AD3" w:rsidP="0011582A">
            <w:pPr>
              <w:keepNext/>
              <w:jc w:val="center"/>
              <w:rPr>
                <w:rFonts w:ascii="Arial Narrow" w:hAnsi="Arial Narrow"/>
                <w:sz w:val="20"/>
                <w:szCs w:val="20"/>
                <w:lang w:val="en-US"/>
              </w:rPr>
            </w:pPr>
            <w:r>
              <w:rPr>
                <w:rFonts w:ascii="Arial Narrow" w:hAnsi="Arial Narrow"/>
                <w:sz w:val="20"/>
                <w:szCs w:val="20"/>
                <w:lang w:val="en-US"/>
              </w:rPr>
              <w:t>(78.27%:21.73% public:private)</w:t>
            </w:r>
          </w:p>
        </w:tc>
      </w:tr>
    </w:tbl>
    <w:p w:rsidR="00172AD3" w:rsidRDefault="00172AD3" w:rsidP="001057DE">
      <w:pPr>
        <w:rPr>
          <w:rFonts w:ascii="Arial Narrow" w:hAnsi="Arial Narrow"/>
          <w:bCs/>
          <w:sz w:val="18"/>
          <w:szCs w:val="10"/>
        </w:rPr>
      </w:pPr>
      <w:r w:rsidRPr="001057DE">
        <w:rPr>
          <w:rFonts w:ascii="Arial Narrow" w:hAnsi="Arial Narrow"/>
          <w:bCs/>
          <w:sz w:val="18"/>
          <w:szCs w:val="10"/>
        </w:rPr>
        <w:t xml:space="preserve">Source: </w:t>
      </w:r>
      <w:r w:rsidR="001057DE">
        <w:rPr>
          <w:rFonts w:ascii="Arial Narrow" w:hAnsi="Arial Narrow"/>
          <w:bCs/>
          <w:sz w:val="18"/>
          <w:szCs w:val="10"/>
        </w:rPr>
        <w:t>compiled during the evaluation</w:t>
      </w:r>
    </w:p>
    <w:p w:rsidR="00EA28ED" w:rsidRPr="001057DE" w:rsidRDefault="00EA28ED" w:rsidP="001057DE">
      <w:pPr>
        <w:rPr>
          <w:rFonts w:ascii="Arial Narrow" w:hAnsi="Arial Narrow"/>
          <w:bCs/>
          <w:sz w:val="18"/>
          <w:szCs w:val="10"/>
        </w:rPr>
      </w:pPr>
    </w:p>
    <w:p w:rsidR="00AC3415" w:rsidRPr="00ED7E3E" w:rsidRDefault="00AC3415" w:rsidP="00D5705B">
      <w:pPr>
        <w:pStyle w:val="Heading2"/>
        <w:spacing w:after="120"/>
      </w:pPr>
      <w:r w:rsidRPr="00ED7E3E">
        <w:t>Estimated PBS usage &amp; financial implications</w:t>
      </w:r>
    </w:p>
    <w:p w:rsidR="00906D87" w:rsidRPr="00906D87" w:rsidRDefault="00AC3415" w:rsidP="00D5705B">
      <w:pPr>
        <w:pStyle w:val="ListParagraph"/>
        <w:widowControl/>
        <w:numPr>
          <w:ilvl w:val="1"/>
          <w:numId w:val="1"/>
        </w:numPr>
        <w:spacing w:after="120"/>
        <w:rPr>
          <w:szCs w:val="24"/>
        </w:rPr>
      </w:pPr>
      <w:r w:rsidRPr="00AC3415">
        <w:rPr>
          <w:szCs w:val="24"/>
        </w:rPr>
        <w:t xml:space="preserve">This submission </w:t>
      </w:r>
      <w:r w:rsidR="00826E7C">
        <w:rPr>
          <w:szCs w:val="24"/>
        </w:rPr>
        <w:t>was</w:t>
      </w:r>
      <w:r w:rsidRPr="00AC3415">
        <w:rPr>
          <w:szCs w:val="24"/>
        </w:rPr>
        <w:t xml:space="preserve"> considered by DUSC</w:t>
      </w:r>
      <w:r w:rsidR="00826E7C">
        <w:rPr>
          <w:szCs w:val="24"/>
        </w:rPr>
        <w:t>.</w:t>
      </w:r>
      <w:r w:rsidRPr="00AC3415">
        <w:rPr>
          <w:color w:val="0070C0"/>
          <w:szCs w:val="24"/>
        </w:rPr>
        <w:t xml:space="preserve"> </w:t>
      </w:r>
    </w:p>
    <w:p w:rsidR="001E3E8A" w:rsidRDefault="00AC3415" w:rsidP="00D5705B">
      <w:pPr>
        <w:pStyle w:val="ListParagraph"/>
        <w:widowControl/>
        <w:numPr>
          <w:ilvl w:val="1"/>
          <w:numId w:val="1"/>
        </w:numPr>
        <w:spacing w:after="120"/>
        <w:rPr>
          <w:szCs w:val="24"/>
        </w:rPr>
      </w:pPr>
      <w:r w:rsidRPr="009D2E1F">
        <w:rPr>
          <w:szCs w:val="24"/>
        </w:rPr>
        <w:t xml:space="preserve">The submission used an epidemiological approach to estimate the financial impact of listing. </w:t>
      </w:r>
      <w:r w:rsidR="001E3E8A" w:rsidRPr="001E3E8A">
        <w:rPr>
          <w:szCs w:val="24"/>
        </w:rPr>
        <w:t xml:space="preserve">The submission stated a prevalence approach was taken, </w:t>
      </w:r>
      <w:r w:rsidR="001E3E8A">
        <w:rPr>
          <w:szCs w:val="24"/>
        </w:rPr>
        <w:t xml:space="preserve">but </w:t>
      </w:r>
      <w:r w:rsidR="001E3E8A" w:rsidRPr="001E3E8A">
        <w:rPr>
          <w:szCs w:val="24"/>
        </w:rPr>
        <w:t>also accounted for “entry to” (incidence driven by population growth), and “exit from” (deaths) to the patient pool. The commentary noted that the estimated total population each year includes background death, therefore the assumed death rate (SLE-related + background) may be slightly overestimated. DUSC emphasised that when using a prevalence approach, the application of incidence and death rates is unnecessary, as incidence and death are accounted for in prevalence rates. As a high rate of survival would be expected over the six-year forward estimates period, a prevalence-only approach would have been appropriate and less complex.</w:t>
      </w:r>
    </w:p>
    <w:p w:rsidR="00D12C5D" w:rsidRPr="009D2E1F" w:rsidRDefault="00AC3415" w:rsidP="00D5705B">
      <w:pPr>
        <w:pStyle w:val="ListParagraph"/>
        <w:widowControl/>
        <w:numPr>
          <w:ilvl w:val="1"/>
          <w:numId w:val="1"/>
        </w:numPr>
        <w:spacing w:after="120"/>
        <w:rPr>
          <w:szCs w:val="24"/>
        </w:rPr>
      </w:pPr>
      <w:r w:rsidRPr="009D2E1F">
        <w:rPr>
          <w:szCs w:val="24"/>
        </w:rPr>
        <w:lastRenderedPageBreak/>
        <w:t xml:space="preserve">The </w:t>
      </w:r>
      <w:r w:rsidR="00D12C5D" w:rsidRPr="009D2E1F">
        <w:rPr>
          <w:szCs w:val="24"/>
        </w:rPr>
        <w:t xml:space="preserve">submission used an SLE </w:t>
      </w:r>
      <w:r w:rsidRPr="009D2E1F">
        <w:rPr>
          <w:szCs w:val="24"/>
        </w:rPr>
        <w:t>prevalence rate of 65.26 per 100,000 population</w:t>
      </w:r>
      <w:r w:rsidR="00D12C5D" w:rsidRPr="009D2E1F">
        <w:rPr>
          <w:szCs w:val="24"/>
        </w:rPr>
        <w:t xml:space="preserve">, which was derived from an average of three estimates from six sources. </w:t>
      </w:r>
      <w:r w:rsidR="001B60A6">
        <w:rPr>
          <w:szCs w:val="24"/>
        </w:rPr>
        <w:t>T</w:t>
      </w:r>
      <w:r w:rsidR="001B60A6" w:rsidRPr="001B60A6">
        <w:rPr>
          <w:szCs w:val="24"/>
        </w:rPr>
        <w:t>here is a lack of definitive evidence concerning the prevalence of SLE in the Australian population.</w:t>
      </w:r>
      <w:r w:rsidR="001B60A6">
        <w:rPr>
          <w:szCs w:val="24"/>
        </w:rPr>
        <w:t xml:space="preserve"> </w:t>
      </w:r>
      <w:r w:rsidR="00281113" w:rsidRPr="009D2E1F">
        <w:rPr>
          <w:szCs w:val="24"/>
        </w:rPr>
        <w:t xml:space="preserve">DUSC </w:t>
      </w:r>
      <w:r w:rsidR="001B60A6">
        <w:rPr>
          <w:szCs w:val="24"/>
        </w:rPr>
        <w:t xml:space="preserve">and the PBAC </w:t>
      </w:r>
      <w:r w:rsidR="00281113" w:rsidRPr="009D2E1F">
        <w:rPr>
          <w:szCs w:val="24"/>
        </w:rPr>
        <w:t xml:space="preserve">considered there is uncertainty with the applied rate of prevalence as there is significant variation in prevalence of SLE in Australia according to racial demographics, geographical location, age and gender. </w:t>
      </w:r>
    </w:p>
    <w:p w:rsidR="00281113" w:rsidRPr="00281113" w:rsidRDefault="00D12C5D" w:rsidP="00D5705B">
      <w:pPr>
        <w:pStyle w:val="ListParagraph"/>
        <w:widowControl/>
        <w:numPr>
          <w:ilvl w:val="1"/>
          <w:numId w:val="1"/>
        </w:numPr>
        <w:spacing w:after="120"/>
        <w:rPr>
          <w:szCs w:val="24"/>
        </w:rPr>
      </w:pPr>
      <w:r w:rsidRPr="00281113">
        <w:rPr>
          <w:szCs w:val="24"/>
        </w:rPr>
        <w:t xml:space="preserve">The submission </w:t>
      </w:r>
      <w:r w:rsidR="00281113" w:rsidRPr="00281113">
        <w:rPr>
          <w:szCs w:val="24"/>
        </w:rPr>
        <w:t>estimate</w:t>
      </w:r>
      <w:r w:rsidRPr="00281113">
        <w:rPr>
          <w:szCs w:val="24"/>
        </w:rPr>
        <w:t>d that</w:t>
      </w:r>
      <w:r w:rsidR="00AC3415" w:rsidRPr="00281113">
        <w:rPr>
          <w:szCs w:val="24"/>
        </w:rPr>
        <w:t xml:space="preserve"> 15.36%</w:t>
      </w:r>
      <w:r w:rsidRPr="00281113">
        <w:rPr>
          <w:szCs w:val="24"/>
        </w:rPr>
        <w:t xml:space="preserve"> of </w:t>
      </w:r>
      <w:r w:rsidR="00281113" w:rsidRPr="00281113">
        <w:rPr>
          <w:szCs w:val="24"/>
        </w:rPr>
        <w:t>patients with SLE would</w:t>
      </w:r>
      <w:r w:rsidR="00AC3415" w:rsidRPr="00281113">
        <w:rPr>
          <w:szCs w:val="24"/>
        </w:rPr>
        <w:t xml:space="preserve"> </w:t>
      </w:r>
      <w:r w:rsidR="00281113" w:rsidRPr="00281113">
        <w:rPr>
          <w:szCs w:val="24"/>
        </w:rPr>
        <w:t>meet the proposed PBS criteria, based on the Monash Lupus Clinic study. Th</w:t>
      </w:r>
      <w:r w:rsidR="001B60A6">
        <w:rPr>
          <w:szCs w:val="24"/>
        </w:rPr>
        <w:t>e PBAC considered th</w:t>
      </w:r>
      <w:r w:rsidR="00281113" w:rsidRPr="00281113">
        <w:rPr>
          <w:szCs w:val="24"/>
        </w:rPr>
        <w:t xml:space="preserve">is may be overestimated as: </w:t>
      </w:r>
      <w:r w:rsidR="00B45E97">
        <w:rPr>
          <w:szCs w:val="24"/>
        </w:rPr>
        <w:t xml:space="preserve">two of the four </w:t>
      </w:r>
      <w:r w:rsidR="00281113" w:rsidRPr="00281113">
        <w:rPr>
          <w:szCs w:val="24"/>
        </w:rPr>
        <w:t>expert</w:t>
      </w:r>
      <w:r w:rsidR="00B45E97">
        <w:rPr>
          <w:szCs w:val="24"/>
        </w:rPr>
        <w:t>s</w:t>
      </w:r>
      <w:r w:rsidR="00281113" w:rsidRPr="00281113">
        <w:rPr>
          <w:szCs w:val="24"/>
        </w:rPr>
        <w:t xml:space="preserve"> opinion</w:t>
      </w:r>
      <w:r w:rsidR="00B45E97">
        <w:rPr>
          <w:szCs w:val="24"/>
        </w:rPr>
        <w:t>s</w:t>
      </w:r>
      <w:r w:rsidR="00281113" w:rsidRPr="00281113">
        <w:rPr>
          <w:szCs w:val="24"/>
        </w:rPr>
        <w:t xml:space="preserve"> presented in the submission suggested</w:t>
      </w:r>
      <w:r w:rsidR="00B45E97">
        <w:rPr>
          <w:szCs w:val="24"/>
        </w:rPr>
        <w:t xml:space="preserve"> that</w:t>
      </w:r>
      <w:r w:rsidR="00281113" w:rsidRPr="00281113">
        <w:rPr>
          <w:szCs w:val="24"/>
        </w:rPr>
        <w:t xml:space="preserve"> 5% of all SLE patients may be considered for a biologic (i.e. rituximab or belimumab); and the PBAC considered that simultaneous triple therapy should be required to qualify for belimumab (rather than any prior exposure, as assumed in the submission). Additionally, DUSC </w:t>
      </w:r>
      <w:r w:rsidR="001B60A6">
        <w:rPr>
          <w:szCs w:val="24"/>
        </w:rPr>
        <w:t xml:space="preserve">and the PBAC </w:t>
      </w:r>
      <w:r w:rsidR="00281113" w:rsidRPr="00281113">
        <w:rPr>
          <w:szCs w:val="24"/>
        </w:rPr>
        <w:t>considered that the Monash Lupus Clinic study may not be representative of the PBS population (in particular, there may be under-representation of Indigenous Australians in the Monash Lupus Clinic study</w:t>
      </w:r>
      <w:r w:rsidR="009D2E1F">
        <w:rPr>
          <w:szCs w:val="24"/>
        </w:rPr>
        <w:t>)</w:t>
      </w:r>
      <w:r w:rsidR="00281113" w:rsidRPr="00281113">
        <w:rPr>
          <w:szCs w:val="24"/>
        </w:rPr>
        <w:t xml:space="preserve">. </w:t>
      </w:r>
    </w:p>
    <w:p w:rsidR="00AC3415" w:rsidRPr="009D2E1F" w:rsidRDefault="00AC3415" w:rsidP="00D5705B">
      <w:pPr>
        <w:pStyle w:val="ListParagraph"/>
        <w:widowControl/>
        <w:numPr>
          <w:ilvl w:val="1"/>
          <w:numId w:val="1"/>
        </w:numPr>
        <w:spacing w:after="120"/>
        <w:rPr>
          <w:szCs w:val="24"/>
        </w:rPr>
      </w:pPr>
      <w:r w:rsidRPr="00AC3415">
        <w:rPr>
          <w:szCs w:val="24"/>
        </w:rPr>
        <w:t xml:space="preserve">The </w:t>
      </w:r>
      <w:r w:rsidR="009D2E1F">
        <w:rPr>
          <w:szCs w:val="24"/>
        </w:rPr>
        <w:t xml:space="preserve">submission assumed </w:t>
      </w:r>
      <w:r w:rsidR="009D2E1F" w:rsidRPr="00AC3415">
        <w:rPr>
          <w:szCs w:val="24"/>
        </w:rPr>
        <w:t xml:space="preserve">uptake rates </w:t>
      </w:r>
      <w:r w:rsidR="009D2E1F">
        <w:rPr>
          <w:szCs w:val="24"/>
        </w:rPr>
        <w:t xml:space="preserve">of </w:t>
      </w:r>
      <w:r w:rsidR="009D2E1F" w:rsidRPr="00AC3415">
        <w:rPr>
          <w:szCs w:val="24"/>
        </w:rPr>
        <w:t>15% to 40%</w:t>
      </w:r>
      <w:r w:rsidR="009D2E1F">
        <w:rPr>
          <w:szCs w:val="24"/>
        </w:rPr>
        <w:t xml:space="preserve"> per year. </w:t>
      </w:r>
      <w:r w:rsidR="00B33DBA">
        <w:rPr>
          <w:szCs w:val="24"/>
        </w:rPr>
        <w:t xml:space="preserve">The </w:t>
      </w:r>
      <w:r w:rsidR="00647058">
        <w:rPr>
          <w:szCs w:val="24"/>
        </w:rPr>
        <w:t xml:space="preserve">PBAC considered </w:t>
      </w:r>
      <w:r w:rsidR="009D2E1F">
        <w:rPr>
          <w:szCs w:val="24"/>
        </w:rPr>
        <w:t>t</w:t>
      </w:r>
      <w:r w:rsidRPr="00AC3415">
        <w:rPr>
          <w:iCs/>
        </w:rPr>
        <w:t xml:space="preserve">he uptake rates </w:t>
      </w:r>
      <w:r w:rsidR="00647058">
        <w:rPr>
          <w:iCs/>
        </w:rPr>
        <w:t xml:space="preserve">are highly uncertain. While there is a clinical need, the PBAC noted that current </w:t>
      </w:r>
      <w:r w:rsidR="001E3E8A">
        <w:rPr>
          <w:iCs/>
        </w:rPr>
        <w:t xml:space="preserve">non-PBS </w:t>
      </w:r>
      <w:r w:rsidR="00647058">
        <w:rPr>
          <w:iCs/>
        </w:rPr>
        <w:t>use of IV belimumab is low</w:t>
      </w:r>
      <w:r w:rsidR="004D3B75">
        <w:rPr>
          <w:iCs/>
        </w:rPr>
        <w:t xml:space="preserve"> (data supplied by </w:t>
      </w:r>
      <w:r w:rsidR="002506E1">
        <w:rPr>
          <w:iCs/>
        </w:rPr>
        <w:t xml:space="preserve">the </w:t>
      </w:r>
      <w:r w:rsidR="004D3B75">
        <w:rPr>
          <w:iCs/>
        </w:rPr>
        <w:t xml:space="preserve">sponsor indicated that ‘recent annual sales volumes’ of the vials for IV infusion </w:t>
      </w:r>
      <w:r w:rsidR="004D3B75" w:rsidRPr="002B4E2A">
        <w:rPr>
          <w:iCs/>
        </w:rPr>
        <w:t xml:space="preserve">were: </w:t>
      </w:r>
      <w:r w:rsidR="006D6DCE">
        <w:rPr>
          <w:iCs/>
          <w:noProof/>
          <w:color w:val="000000"/>
          <w:highlight w:val="black"/>
        </w:rPr>
        <w:t>''''''</w:t>
      </w:r>
      <w:r w:rsidR="004D3B75" w:rsidRPr="002B4E2A">
        <w:rPr>
          <w:iCs/>
        </w:rPr>
        <w:t xml:space="preserve"> vials</w:t>
      </w:r>
      <w:r w:rsidR="004D3B75">
        <w:rPr>
          <w:iCs/>
        </w:rPr>
        <w:t xml:space="preserve"> of 120 mg; and </w:t>
      </w:r>
      <w:r w:rsidR="006D6DCE">
        <w:rPr>
          <w:iCs/>
          <w:noProof/>
          <w:color w:val="000000"/>
          <w:highlight w:val="black"/>
        </w:rPr>
        <w:t>'''''''</w:t>
      </w:r>
      <w:r w:rsidR="004D3B75">
        <w:rPr>
          <w:iCs/>
        </w:rPr>
        <w:t xml:space="preserve"> vials of 400 mg), even in the context of use</w:t>
      </w:r>
      <w:r w:rsidR="00762639">
        <w:rPr>
          <w:iCs/>
        </w:rPr>
        <w:t xml:space="preserve"> requir</w:t>
      </w:r>
      <w:r w:rsidR="004D3B75">
        <w:rPr>
          <w:iCs/>
        </w:rPr>
        <w:t>ing</w:t>
      </w:r>
      <w:r w:rsidR="00762639">
        <w:rPr>
          <w:iCs/>
        </w:rPr>
        <w:t xml:space="preserve"> private funding or public hospital access </w:t>
      </w:r>
      <w:r w:rsidR="004D3B75">
        <w:rPr>
          <w:iCs/>
        </w:rPr>
        <w:t>(</w:t>
      </w:r>
      <w:r w:rsidR="001E3E8A">
        <w:rPr>
          <w:iCs/>
        </w:rPr>
        <w:t>the latter</w:t>
      </w:r>
      <w:r w:rsidR="00762639">
        <w:rPr>
          <w:iCs/>
        </w:rPr>
        <w:t xml:space="preserve"> would require drug and therapeutic committee approval</w:t>
      </w:r>
      <w:r w:rsidR="004D3B75">
        <w:rPr>
          <w:iCs/>
        </w:rPr>
        <w:t xml:space="preserve">). </w:t>
      </w:r>
      <w:r w:rsidR="00762639">
        <w:rPr>
          <w:iCs/>
        </w:rPr>
        <w:t xml:space="preserve">Further, the PBAC considered that the </w:t>
      </w:r>
      <w:r w:rsidR="00647058">
        <w:rPr>
          <w:iCs/>
        </w:rPr>
        <w:t xml:space="preserve">treatment effect is modest and </w:t>
      </w:r>
      <w:r w:rsidR="001E3E8A">
        <w:rPr>
          <w:iCs/>
        </w:rPr>
        <w:t xml:space="preserve">use </w:t>
      </w:r>
      <w:r w:rsidR="00647058">
        <w:rPr>
          <w:iCs/>
        </w:rPr>
        <w:t>may be associated with potentially severe adverse events</w:t>
      </w:r>
      <w:r w:rsidR="004D3B75">
        <w:rPr>
          <w:iCs/>
        </w:rPr>
        <w:t>, which may temper uptake</w:t>
      </w:r>
      <w:r w:rsidR="00647058">
        <w:rPr>
          <w:iCs/>
        </w:rPr>
        <w:t xml:space="preserve">. </w:t>
      </w:r>
    </w:p>
    <w:p w:rsidR="009D2E1F" w:rsidRDefault="009D2E1F" w:rsidP="00D5705B">
      <w:pPr>
        <w:pStyle w:val="ListParagraph"/>
        <w:widowControl/>
        <w:numPr>
          <w:ilvl w:val="1"/>
          <w:numId w:val="1"/>
        </w:numPr>
        <w:spacing w:after="120"/>
        <w:rPr>
          <w:szCs w:val="24"/>
        </w:rPr>
      </w:pPr>
      <w:r w:rsidRPr="009D2E1F">
        <w:rPr>
          <w:szCs w:val="24"/>
        </w:rPr>
        <w:t xml:space="preserve">Treatment persistence was informed by responder rates and treatment discontinuations as determined in the economic evaluation. </w:t>
      </w:r>
      <w:r>
        <w:rPr>
          <w:szCs w:val="24"/>
        </w:rPr>
        <w:t>This was based on the SRI response rate in BLISS-SC of 61%.</w:t>
      </w:r>
      <w:r w:rsidRPr="009D2E1F">
        <w:rPr>
          <w:szCs w:val="24"/>
        </w:rPr>
        <w:t xml:space="preserve"> DUSC </w:t>
      </w:r>
      <w:r>
        <w:rPr>
          <w:szCs w:val="24"/>
        </w:rPr>
        <w:t>considered</w:t>
      </w:r>
      <w:r w:rsidRPr="009D2E1F">
        <w:rPr>
          <w:szCs w:val="24"/>
        </w:rPr>
        <w:t xml:space="preserve"> that the response rates in practice might differ from the trial. </w:t>
      </w:r>
      <w:r w:rsidR="00726E96">
        <w:rPr>
          <w:szCs w:val="24"/>
        </w:rPr>
        <w:t>DUSC considered that t</w:t>
      </w:r>
      <w:r w:rsidRPr="009D2E1F">
        <w:rPr>
          <w:szCs w:val="24"/>
        </w:rPr>
        <w:t xml:space="preserve">he response rate might </w:t>
      </w:r>
      <w:r>
        <w:rPr>
          <w:szCs w:val="24"/>
        </w:rPr>
        <w:t>be higher</w:t>
      </w:r>
      <w:r w:rsidRPr="009D2E1F">
        <w:rPr>
          <w:szCs w:val="24"/>
        </w:rPr>
        <w:t xml:space="preserve"> in subpopulations not adequately represented in the trial i.e. Asian and Indigenous Australians</w:t>
      </w:r>
      <w:r w:rsidR="00647058">
        <w:rPr>
          <w:szCs w:val="24"/>
        </w:rPr>
        <w:t>; on the other hand, r</w:t>
      </w:r>
      <w:r w:rsidRPr="009D2E1F">
        <w:rPr>
          <w:szCs w:val="24"/>
        </w:rPr>
        <w:t xml:space="preserve">esponse rates in practice are often lower than trial populations due to the differences in monitoring. </w:t>
      </w:r>
    </w:p>
    <w:p w:rsidR="009D2E1F" w:rsidRPr="009D2E1F" w:rsidRDefault="009D2E1F" w:rsidP="00D5705B">
      <w:pPr>
        <w:pStyle w:val="ListParagraph"/>
        <w:widowControl/>
        <w:numPr>
          <w:ilvl w:val="1"/>
          <w:numId w:val="1"/>
        </w:numPr>
        <w:spacing w:after="120"/>
        <w:rPr>
          <w:szCs w:val="24"/>
        </w:rPr>
      </w:pPr>
      <w:r w:rsidRPr="009D2E1F">
        <w:rPr>
          <w:szCs w:val="24"/>
        </w:rPr>
        <w:t xml:space="preserve">The assumed continuation rate was 58.17% in Year 1 and 90.80% in subsequent years. The commentary noted long-term extension studies indicated that &lt;50% of patients continue with belimumab after approximately one year, and of those remaining on treatment, &lt;50% continue with treatment over several years. </w:t>
      </w:r>
      <w:r w:rsidR="00EC6B79">
        <w:rPr>
          <w:szCs w:val="24"/>
        </w:rPr>
        <w:t>DUSC considered the</w:t>
      </w:r>
      <w:r w:rsidRPr="009D2E1F">
        <w:rPr>
          <w:szCs w:val="24"/>
        </w:rPr>
        <w:t xml:space="preserve"> discontinuation rate </w:t>
      </w:r>
      <w:r w:rsidR="00647058">
        <w:rPr>
          <w:szCs w:val="24"/>
        </w:rPr>
        <w:t>applied (</w:t>
      </w:r>
      <w:r w:rsidRPr="009D2E1F">
        <w:rPr>
          <w:szCs w:val="24"/>
        </w:rPr>
        <w:t>9.2%</w:t>
      </w:r>
      <w:r w:rsidR="00647058">
        <w:rPr>
          <w:szCs w:val="24"/>
        </w:rPr>
        <w:t>)</w:t>
      </w:r>
      <w:r w:rsidRPr="009D2E1F">
        <w:rPr>
          <w:szCs w:val="24"/>
        </w:rPr>
        <w:t xml:space="preserve"> seemed low in the context of the extension study. DUSC noted the estimates did not take into account treatment breaks not due to treatment failure e.g. pregnancy. Overall, DUSC </w:t>
      </w:r>
      <w:r w:rsidR="00647058">
        <w:rPr>
          <w:szCs w:val="24"/>
        </w:rPr>
        <w:t>considered</w:t>
      </w:r>
      <w:r w:rsidRPr="009D2E1F">
        <w:rPr>
          <w:szCs w:val="24"/>
        </w:rPr>
        <w:t xml:space="preserve"> that the proportion of patients continuing treatment in years 2-6 was likely overestimated.</w:t>
      </w:r>
      <w:r w:rsidR="00EC6B79">
        <w:rPr>
          <w:szCs w:val="24"/>
        </w:rPr>
        <w:t xml:space="preserve"> However, the PBAC not</w:t>
      </w:r>
      <w:r w:rsidR="001B60A6">
        <w:rPr>
          <w:szCs w:val="24"/>
        </w:rPr>
        <w:t>ed that retention rates of m</w:t>
      </w:r>
      <w:r w:rsidR="00EC6B79">
        <w:rPr>
          <w:szCs w:val="24"/>
        </w:rPr>
        <w:t>any</w:t>
      </w:r>
      <w:r w:rsidR="001B60A6">
        <w:rPr>
          <w:szCs w:val="24"/>
        </w:rPr>
        <w:t xml:space="preserve"> bDMARDs are higher in clinical practice than in trials</w:t>
      </w:r>
      <w:r w:rsidR="00EC6B79">
        <w:rPr>
          <w:szCs w:val="24"/>
        </w:rPr>
        <w:t>, and thus considered that the continuation rates were uncertain</w:t>
      </w:r>
      <w:r w:rsidR="001B60A6">
        <w:rPr>
          <w:szCs w:val="24"/>
        </w:rPr>
        <w:t>.</w:t>
      </w:r>
    </w:p>
    <w:p w:rsidR="009D2E1F" w:rsidRPr="009D2E1F" w:rsidRDefault="009D2E1F" w:rsidP="00D5705B">
      <w:pPr>
        <w:pStyle w:val="ListParagraph"/>
        <w:widowControl/>
        <w:numPr>
          <w:ilvl w:val="1"/>
          <w:numId w:val="1"/>
        </w:numPr>
        <w:spacing w:after="120"/>
        <w:rPr>
          <w:szCs w:val="24"/>
        </w:rPr>
      </w:pPr>
      <w:r w:rsidRPr="009D2E1F">
        <w:rPr>
          <w:szCs w:val="24"/>
        </w:rPr>
        <w:lastRenderedPageBreak/>
        <w:t xml:space="preserve">The </w:t>
      </w:r>
      <w:r>
        <w:rPr>
          <w:szCs w:val="24"/>
        </w:rPr>
        <w:t>submission assumed a compliance rate of</w:t>
      </w:r>
      <w:r w:rsidRPr="009D2E1F">
        <w:rPr>
          <w:szCs w:val="24"/>
        </w:rPr>
        <w:t xml:space="preserve"> 100%. The compliance rate in BLISS-SC was 96%. </w:t>
      </w:r>
      <w:r>
        <w:rPr>
          <w:szCs w:val="24"/>
        </w:rPr>
        <w:t xml:space="preserve">However, the DUSC considered that </w:t>
      </w:r>
      <w:r w:rsidRPr="009D2E1F">
        <w:rPr>
          <w:szCs w:val="24"/>
        </w:rPr>
        <w:t xml:space="preserve">compliance in the PBS setting is anticipated to be lower than </w:t>
      </w:r>
      <w:r w:rsidR="00D20F3C">
        <w:rPr>
          <w:szCs w:val="24"/>
        </w:rPr>
        <w:t xml:space="preserve">in </w:t>
      </w:r>
      <w:r w:rsidRPr="009D2E1F">
        <w:rPr>
          <w:szCs w:val="24"/>
        </w:rPr>
        <w:t xml:space="preserve">the clinical trial setting. </w:t>
      </w:r>
    </w:p>
    <w:p w:rsidR="00AC3415" w:rsidRPr="009D2E1F" w:rsidRDefault="00AC3415" w:rsidP="00D5705B">
      <w:pPr>
        <w:keepNext/>
        <w:keepLines/>
        <w:widowControl/>
        <w:rPr>
          <w:rStyle w:val="CommentReference"/>
          <w:rFonts w:ascii="Calibri" w:hAnsi="Calibri"/>
          <w:b w:val="0"/>
          <w:sz w:val="24"/>
          <w:szCs w:val="24"/>
        </w:rPr>
      </w:pPr>
      <w:r w:rsidRPr="00AC3415">
        <w:rPr>
          <w:rStyle w:val="CommentReference"/>
        </w:rPr>
        <w:t>Table 1</w:t>
      </w:r>
      <w:r w:rsidR="00F25061">
        <w:rPr>
          <w:rStyle w:val="CommentReference"/>
        </w:rPr>
        <w:t>7</w:t>
      </w:r>
      <w:r w:rsidRPr="00AC3415">
        <w:rPr>
          <w:rStyle w:val="CommentReference"/>
        </w:rPr>
        <w:t>: Estimated use of belimumab and cost to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Estimated use of belimumab and cost to the PBS/RPBS"/>
      </w:tblPr>
      <w:tblGrid>
        <w:gridCol w:w="2538"/>
        <w:gridCol w:w="1079"/>
        <w:gridCol w:w="1080"/>
        <w:gridCol w:w="1080"/>
        <w:gridCol w:w="1080"/>
        <w:gridCol w:w="1080"/>
        <w:gridCol w:w="1080"/>
      </w:tblGrid>
      <w:tr w:rsidR="00AC3415" w:rsidRPr="00AC3415" w:rsidTr="005F031D">
        <w:trPr>
          <w:tblHeader/>
        </w:trPr>
        <w:tc>
          <w:tcPr>
            <w:tcW w:w="1407" w:type="pct"/>
            <w:shd w:val="clear" w:color="auto" w:fill="auto"/>
            <w:vAlign w:val="center"/>
          </w:tcPr>
          <w:p w:rsidR="00AC3415" w:rsidRPr="00AC3415" w:rsidRDefault="00AC3415" w:rsidP="00D5705B">
            <w:pPr>
              <w:pStyle w:val="Tabletext"/>
              <w:keepNext/>
              <w:keepLines/>
              <w:rPr>
                <w:b/>
              </w:rPr>
            </w:pPr>
          </w:p>
        </w:tc>
        <w:tc>
          <w:tcPr>
            <w:tcW w:w="598" w:type="pct"/>
            <w:shd w:val="clear" w:color="auto" w:fill="auto"/>
            <w:vAlign w:val="center"/>
          </w:tcPr>
          <w:p w:rsidR="00AC3415" w:rsidRPr="00AC3415" w:rsidRDefault="00AC3415" w:rsidP="00D5705B">
            <w:pPr>
              <w:pStyle w:val="Tabletext"/>
              <w:keepNext/>
              <w:keepLines/>
              <w:jc w:val="center"/>
              <w:rPr>
                <w:b/>
              </w:rPr>
            </w:pPr>
            <w:r w:rsidRPr="00AC3415">
              <w:rPr>
                <w:b/>
              </w:rPr>
              <w:t>Year 1</w:t>
            </w:r>
          </w:p>
        </w:tc>
        <w:tc>
          <w:tcPr>
            <w:tcW w:w="599" w:type="pct"/>
            <w:shd w:val="clear" w:color="auto" w:fill="auto"/>
            <w:vAlign w:val="center"/>
          </w:tcPr>
          <w:p w:rsidR="00AC3415" w:rsidRPr="00AC3415" w:rsidRDefault="00AC3415" w:rsidP="00D5705B">
            <w:pPr>
              <w:pStyle w:val="Tabletext"/>
              <w:keepNext/>
              <w:keepLines/>
              <w:jc w:val="center"/>
              <w:rPr>
                <w:b/>
              </w:rPr>
            </w:pPr>
            <w:r w:rsidRPr="00AC3415">
              <w:rPr>
                <w:b/>
              </w:rPr>
              <w:t>Year 2</w:t>
            </w:r>
          </w:p>
        </w:tc>
        <w:tc>
          <w:tcPr>
            <w:tcW w:w="599" w:type="pct"/>
            <w:shd w:val="clear" w:color="auto" w:fill="auto"/>
            <w:vAlign w:val="center"/>
          </w:tcPr>
          <w:p w:rsidR="00AC3415" w:rsidRPr="00AC3415" w:rsidRDefault="00AC3415" w:rsidP="00D5705B">
            <w:pPr>
              <w:pStyle w:val="Tabletext"/>
              <w:keepNext/>
              <w:keepLines/>
              <w:jc w:val="center"/>
              <w:rPr>
                <w:b/>
              </w:rPr>
            </w:pPr>
            <w:r w:rsidRPr="00AC3415">
              <w:rPr>
                <w:b/>
              </w:rPr>
              <w:t>Year 3</w:t>
            </w:r>
          </w:p>
        </w:tc>
        <w:tc>
          <w:tcPr>
            <w:tcW w:w="599" w:type="pct"/>
            <w:shd w:val="clear" w:color="auto" w:fill="auto"/>
            <w:vAlign w:val="center"/>
          </w:tcPr>
          <w:p w:rsidR="00AC3415" w:rsidRPr="00AC3415" w:rsidRDefault="00AC3415" w:rsidP="00D5705B">
            <w:pPr>
              <w:pStyle w:val="Tabletext"/>
              <w:keepNext/>
              <w:keepLines/>
              <w:jc w:val="center"/>
              <w:rPr>
                <w:b/>
              </w:rPr>
            </w:pPr>
            <w:r w:rsidRPr="00AC3415">
              <w:rPr>
                <w:b/>
              </w:rPr>
              <w:t>Year 4</w:t>
            </w:r>
          </w:p>
        </w:tc>
        <w:tc>
          <w:tcPr>
            <w:tcW w:w="599" w:type="pct"/>
            <w:shd w:val="clear" w:color="auto" w:fill="auto"/>
            <w:vAlign w:val="center"/>
          </w:tcPr>
          <w:p w:rsidR="00AC3415" w:rsidRPr="00AC3415" w:rsidRDefault="00AC3415" w:rsidP="00D5705B">
            <w:pPr>
              <w:pStyle w:val="Tabletext"/>
              <w:keepNext/>
              <w:keepLines/>
              <w:jc w:val="center"/>
              <w:rPr>
                <w:b/>
              </w:rPr>
            </w:pPr>
            <w:r w:rsidRPr="00AC3415">
              <w:rPr>
                <w:b/>
              </w:rPr>
              <w:t>Year 5</w:t>
            </w:r>
          </w:p>
        </w:tc>
        <w:tc>
          <w:tcPr>
            <w:tcW w:w="599" w:type="pct"/>
            <w:shd w:val="clear" w:color="auto" w:fill="auto"/>
            <w:vAlign w:val="center"/>
          </w:tcPr>
          <w:p w:rsidR="00AC3415" w:rsidRPr="00AC3415" w:rsidRDefault="00AC3415" w:rsidP="00D5705B">
            <w:pPr>
              <w:pStyle w:val="Tabletext"/>
              <w:keepNext/>
              <w:keepLines/>
              <w:jc w:val="center"/>
              <w:rPr>
                <w:b/>
              </w:rPr>
            </w:pPr>
            <w:r w:rsidRPr="00AC3415">
              <w:rPr>
                <w:b/>
              </w:rPr>
              <w:t>Year 6</w:t>
            </w:r>
          </w:p>
        </w:tc>
      </w:tr>
      <w:tr w:rsidR="00AC3415" w:rsidRPr="00AC3415" w:rsidTr="005F031D">
        <w:tc>
          <w:tcPr>
            <w:tcW w:w="1407" w:type="pct"/>
            <w:tcBorders>
              <w:bottom w:val="nil"/>
            </w:tcBorders>
            <w:shd w:val="clear" w:color="auto" w:fill="auto"/>
            <w:vAlign w:val="center"/>
          </w:tcPr>
          <w:p w:rsidR="00AC3415" w:rsidRPr="00AC3415" w:rsidRDefault="00AC3415" w:rsidP="00D5705B">
            <w:pPr>
              <w:pStyle w:val="Tabletext"/>
              <w:keepNext/>
              <w:keepLines/>
            </w:pPr>
            <w:r w:rsidRPr="00AC3415">
              <w:t>SLE population</w:t>
            </w:r>
          </w:p>
        </w:tc>
        <w:tc>
          <w:tcPr>
            <w:tcW w:w="598" w:type="pct"/>
            <w:tcBorders>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pPr>
            <w:r w:rsidRPr="00AC3415">
              <w:t>Eligibility criteria (without BEL)</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112"/>
            </w:pPr>
            <w:r w:rsidRPr="00AC3415">
              <w:t>Prevalent patients</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112"/>
              <w:rPr>
                <w:b/>
                <w:bCs/>
              </w:rPr>
            </w:pPr>
            <w:r w:rsidRPr="00AC3415">
              <w:rPr>
                <w:b/>
                <w:bCs/>
              </w:rPr>
              <w:t>Incident patients</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r>
      <w:tr w:rsidR="00AC3415" w:rsidRPr="00AC3415" w:rsidTr="005F031D">
        <w:tc>
          <w:tcPr>
            <w:tcW w:w="1407" w:type="pct"/>
            <w:tcBorders>
              <w:top w:val="nil"/>
              <w:bottom w:val="single" w:sz="4" w:space="0" w:color="auto"/>
            </w:tcBorders>
            <w:shd w:val="clear" w:color="auto" w:fill="auto"/>
            <w:vAlign w:val="center"/>
          </w:tcPr>
          <w:p w:rsidR="00AC3415" w:rsidRPr="00AC3415" w:rsidRDefault="00AC3415" w:rsidP="00D5705B">
            <w:pPr>
              <w:pStyle w:val="Tabletext"/>
              <w:keepNext/>
              <w:keepLines/>
              <w:ind w:left="112"/>
            </w:pPr>
            <w:r w:rsidRPr="00AC3415">
              <w:t>Deaths in year</w:t>
            </w:r>
          </w:p>
        </w:tc>
        <w:tc>
          <w:tcPr>
            <w:tcW w:w="598"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r>
      <w:tr w:rsidR="00AC3415" w:rsidRPr="00AC3415" w:rsidTr="005F031D">
        <w:tc>
          <w:tcPr>
            <w:tcW w:w="1407" w:type="pct"/>
            <w:tcBorders>
              <w:bottom w:val="nil"/>
            </w:tcBorders>
            <w:shd w:val="clear" w:color="auto" w:fill="auto"/>
            <w:vAlign w:val="center"/>
          </w:tcPr>
          <w:p w:rsidR="00AC3415" w:rsidRPr="00AC3415" w:rsidRDefault="00AC3415" w:rsidP="00D5705B">
            <w:pPr>
              <w:pStyle w:val="Tabletext"/>
              <w:keepNext/>
              <w:keepLines/>
            </w:pPr>
            <w:r w:rsidRPr="00AC3415">
              <w:t>Eligible population (With BEL)</w:t>
            </w:r>
          </w:p>
        </w:tc>
        <w:tc>
          <w:tcPr>
            <w:tcW w:w="598" w:type="pct"/>
            <w:tcBorders>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bottom w:val="nil"/>
            </w:tcBorders>
            <w:shd w:val="clear" w:color="auto" w:fill="auto"/>
            <w:vAlign w:val="center"/>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112"/>
            </w:pPr>
            <w:r w:rsidRPr="00AC3415">
              <w:t>Uptake</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pPr>
            <w:r>
              <w:rPr>
                <w:noProof/>
                <w:color w:val="000000"/>
                <w:highlight w:val="black"/>
              </w:rPr>
              <w:t>''''''</w:t>
            </w:r>
            <w:r w:rsidR="00AC3415" w:rsidRPr="00B42756">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pPr>
            <w:r>
              <w:rPr>
                <w:noProof/>
                <w:color w:val="000000"/>
                <w:highlight w:val="black"/>
              </w:rPr>
              <w:t>''''''</w:t>
            </w:r>
            <w:r w:rsidR="00AC3415" w:rsidRPr="00B42756">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pPr>
            <w:r>
              <w:rPr>
                <w:noProof/>
                <w:color w:val="000000"/>
                <w:highlight w:val="black"/>
              </w:rPr>
              <w:t>'''''''</w:t>
            </w:r>
            <w:r w:rsidR="00AC3415" w:rsidRPr="00B42756">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pPr>
            <w:r>
              <w:rPr>
                <w:noProof/>
                <w:color w:val="000000"/>
                <w:highlight w:val="black"/>
              </w:rPr>
              <w:t>''''''</w:t>
            </w:r>
            <w:r w:rsidR="00AC3415" w:rsidRPr="00B42756">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pPr>
            <w:r>
              <w:rPr>
                <w:noProof/>
                <w:color w:val="000000"/>
                <w:highlight w:val="black"/>
              </w:rPr>
              <w:t>''''''</w:t>
            </w:r>
            <w:r w:rsidR="00AC3415" w:rsidRPr="00B42756">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pPr>
            <w:r>
              <w:rPr>
                <w:noProof/>
                <w:color w:val="000000"/>
                <w:highlight w:val="black"/>
              </w:rPr>
              <w:t>'''''</w:t>
            </w:r>
            <w:r w:rsidR="00AC3415" w:rsidRPr="00B42756">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112"/>
              <w:rPr>
                <w:b/>
                <w:bCs/>
              </w:rPr>
            </w:pPr>
            <w:r w:rsidRPr="00AC3415">
              <w:rPr>
                <w:b/>
                <w:bCs/>
              </w:rPr>
              <w:t>Initiating belimumab</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b/>
                <w:bCs/>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b/>
                <w:bCs/>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b/>
                <w:bCs/>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b/>
                <w:bCs/>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b/>
                <w:bCs/>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b/>
                <w:bCs/>
                <w:noProof/>
                <w:color w:val="00000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112"/>
            </w:pPr>
            <w:r w:rsidRPr="00AC3415">
              <w:t>Not initiating belimumab</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254"/>
            </w:pPr>
            <w:r w:rsidRPr="00AC3415">
              <w:t>Deaths</w:t>
            </w:r>
          </w:p>
        </w:tc>
        <w:tc>
          <w:tcPr>
            <w:tcW w:w="598" w:type="pct"/>
            <w:tcBorders>
              <w:top w:val="nil"/>
              <w:bottom w:val="nil"/>
            </w:tcBorders>
            <w:shd w:val="clear" w:color="auto" w:fill="auto"/>
            <w:vAlign w:val="center"/>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center"/>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center"/>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center"/>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center"/>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center"/>
          </w:tcPr>
          <w:p w:rsidR="00AC3415" w:rsidRPr="006D6DCE" w:rsidRDefault="006D6DCE" w:rsidP="00D5705B">
            <w:pPr>
              <w:pStyle w:val="Tabletext"/>
              <w:keepNext/>
              <w:keepLines/>
              <w:jc w:val="center"/>
              <w:rPr>
                <w:highlight w:val="black"/>
              </w:rPr>
            </w:pPr>
            <w:r>
              <w:rPr>
                <w:noProof/>
                <w:color w:val="000000"/>
                <w:highlight w:val="black"/>
              </w:rPr>
              <w:t>'''</w:t>
            </w:r>
          </w:p>
        </w:tc>
      </w:tr>
      <w:tr w:rsidR="00AC3415" w:rsidRPr="00AC3415" w:rsidTr="005F031D">
        <w:tc>
          <w:tcPr>
            <w:tcW w:w="1407" w:type="pct"/>
            <w:tcBorders>
              <w:top w:val="nil"/>
              <w:bottom w:val="single" w:sz="4" w:space="0" w:color="auto"/>
            </w:tcBorders>
            <w:shd w:val="clear" w:color="auto" w:fill="auto"/>
            <w:vAlign w:val="center"/>
          </w:tcPr>
          <w:p w:rsidR="00AC3415" w:rsidRPr="00AC3415" w:rsidRDefault="00AC3415" w:rsidP="00D5705B">
            <w:pPr>
              <w:pStyle w:val="Tabletext"/>
              <w:keepNext/>
              <w:keepLines/>
              <w:ind w:left="254"/>
            </w:pPr>
            <w:r w:rsidRPr="00AC3415">
              <w:t>Remaining eligible</w:t>
            </w:r>
          </w:p>
        </w:tc>
        <w:tc>
          <w:tcPr>
            <w:tcW w:w="598" w:type="pct"/>
            <w:tcBorders>
              <w:top w:val="nil"/>
              <w:bottom w:val="single" w:sz="4" w:space="0" w:color="auto"/>
            </w:tcBorders>
            <w:shd w:val="clear" w:color="auto" w:fill="auto"/>
            <w:vAlign w:val="center"/>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center"/>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single" w:sz="4" w:space="0" w:color="auto"/>
            </w:tcBorders>
            <w:shd w:val="clear" w:color="auto" w:fill="auto"/>
            <w:vAlign w:val="center"/>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center"/>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center"/>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center"/>
          </w:tcPr>
          <w:p w:rsidR="00AC3415" w:rsidRPr="006D6DCE" w:rsidRDefault="006D6DCE" w:rsidP="00D5705B">
            <w:pPr>
              <w:pStyle w:val="Tabletext"/>
              <w:keepNext/>
              <w:keepLines/>
              <w:jc w:val="center"/>
              <w:rPr>
                <w:highlight w:val="black"/>
              </w:rPr>
            </w:pPr>
            <w:r>
              <w:rPr>
                <w:noProof/>
                <w:color w:val="000000"/>
                <w:highlight w:val="black"/>
              </w:rPr>
              <w:t>''''''''''</w:t>
            </w:r>
          </w:p>
        </w:tc>
      </w:tr>
      <w:tr w:rsidR="00AC3415" w:rsidRPr="00AC3415" w:rsidTr="005F031D">
        <w:tc>
          <w:tcPr>
            <w:tcW w:w="1407" w:type="pct"/>
            <w:tcBorders>
              <w:bottom w:val="nil"/>
            </w:tcBorders>
            <w:shd w:val="clear" w:color="auto" w:fill="auto"/>
            <w:vAlign w:val="center"/>
          </w:tcPr>
          <w:p w:rsidR="00AC3415" w:rsidRPr="00AC3415" w:rsidRDefault="00AC3415" w:rsidP="00D5705B">
            <w:pPr>
              <w:pStyle w:val="Tabletext"/>
              <w:keepNext/>
              <w:keepLines/>
              <w:rPr>
                <w:b/>
                <w:bCs/>
              </w:rPr>
            </w:pPr>
            <w:r w:rsidRPr="00AC3415">
              <w:rPr>
                <w:b/>
                <w:bCs/>
              </w:rPr>
              <w:t>Treated patients</w:t>
            </w:r>
          </w:p>
        </w:tc>
        <w:tc>
          <w:tcPr>
            <w:tcW w:w="598" w:type="pct"/>
            <w:tcBorders>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rFonts w:cs="Arial"/>
                <w:b/>
                <w:bCs/>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rFonts w:cs="Arial"/>
                <w:b/>
                <w:bCs/>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rFonts w:cs="Arial"/>
                <w:b/>
                <w:bCs/>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rFonts w:cs="Arial"/>
                <w:b/>
                <w:bCs/>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rFonts w:cs="Arial"/>
                <w:b/>
                <w:bCs/>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rFonts w:cs="Arial"/>
                <w:b/>
                <w:bCs/>
                <w:highlight w:val="black"/>
              </w:rPr>
            </w:pPr>
            <w:r>
              <w:rPr>
                <w:rFonts w:cs="Arial"/>
                <w:b/>
                <w:bCs/>
                <w:noProof/>
                <w:color w:val="00000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112"/>
            </w:pPr>
            <w:r w:rsidRPr="00AC3415">
              <w:t>Initiated year 1</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112"/>
            </w:pPr>
            <w:r w:rsidRPr="00AC3415">
              <w:t>Initiated year 2</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112"/>
            </w:pPr>
            <w:r w:rsidRPr="00AC3415">
              <w:t>Initiated year 3</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C3415" w:rsidRPr="00AC3415" w:rsidTr="005F031D">
        <w:trPr>
          <w:trHeight w:val="80"/>
        </w:trPr>
        <w:tc>
          <w:tcPr>
            <w:tcW w:w="1407" w:type="pct"/>
            <w:tcBorders>
              <w:top w:val="nil"/>
              <w:bottom w:val="nil"/>
            </w:tcBorders>
            <w:shd w:val="clear" w:color="auto" w:fill="auto"/>
            <w:vAlign w:val="center"/>
          </w:tcPr>
          <w:p w:rsidR="00AC3415" w:rsidRPr="00AC3415" w:rsidRDefault="00AC3415" w:rsidP="00D5705B">
            <w:pPr>
              <w:pStyle w:val="Tabletext"/>
              <w:keepNext/>
              <w:keepLines/>
              <w:ind w:left="112"/>
            </w:pPr>
            <w:r w:rsidRPr="00AC3415">
              <w:t>Initiated year 4</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112"/>
            </w:pPr>
            <w:r w:rsidRPr="00AC3415">
              <w:t>Initiated year 5</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599" w:type="pct"/>
            <w:tcBorders>
              <w:top w:val="nil"/>
              <w:bottom w:val="nil"/>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C3415" w:rsidRPr="00AC3415" w:rsidTr="005F031D">
        <w:tc>
          <w:tcPr>
            <w:tcW w:w="1407" w:type="pct"/>
            <w:tcBorders>
              <w:top w:val="nil"/>
              <w:bottom w:val="single" w:sz="4" w:space="0" w:color="auto"/>
            </w:tcBorders>
            <w:shd w:val="clear" w:color="auto" w:fill="auto"/>
            <w:vAlign w:val="center"/>
          </w:tcPr>
          <w:p w:rsidR="00AC3415" w:rsidRPr="00AC3415" w:rsidRDefault="00AC3415" w:rsidP="00D5705B">
            <w:pPr>
              <w:pStyle w:val="Tabletext"/>
              <w:keepNext/>
              <w:keepLines/>
              <w:ind w:left="112"/>
            </w:pPr>
            <w:r w:rsidRPr="00AC3415">
              <w:t>Initiated year 6</w:t>
            </w:r>
          </w:p>
        </w:tc>
        <w:tc>
          <w:tcPr>
            <w:tcW w:w="598"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AC3415" w:rsidRPr="00AC3415" w:rsidTr="005F031D">
        <w:tc>
          <w:tcPr>
            <w:tcW w:w="1407" w:type="pct"/>
            <w:tcBorders>
              <w:bottom w:val="nil"/>
            </w:tcBorders>
            <w:shd w:val="clear" w:color="auto" w:fill="auto"/>
            <w:vAlign w:val="center"/>
          </w:tcPr>
          <w:p w:rsidR="00AC3415" w:rsidRPr="00AC3415" w:rsidRDefault="00AC3415" w:rsidP="00D5705B">
            <w:pPr>
              <w:pStyle w:val="Tabletext"/>
              <w:keepNext/>
              <w:keepLines/>
              <w:rPr>
                <w:b/>
                <w:bCs/>
              </w:rPr>
            </w:pPr>
            <w:r w:rsidRPr="00AC3415">
              <w:rPr>
                <w:b/>
                <w:bCs/>
              </w:rPr>
              <w:t>Total belimumab scripts</w:t>
            </w:r>
          </w:p>
        </w:tc>
        <w:tc>
          <w:tcPr>
            <w:tcW w:w="598" w:type="pct"/>
            <w:tcBorders>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c>
          <w:tcPr>
            <w:tcW w:w="599" w:type="pct"/>
            <w:tcBorders>
              <w:bottom w:val="nil"/>
            </w:tcBorders>
            <w:shd w:val="clear" w:color="auto" w:fill="auto"/>
            <w:vAlign w:val="bottom"/>
          </w:tcPr>
          <w:p w:rsidR="00AC3415" w:rsidRPr="006D6DCE" w:rsidRDefault="006D6DCE" w:rsidP="00D5705B">
            <w:pPr>
              <w:pStyle w:val="Tabletext"/>
              <w:keepNext/>
              <w:keepLines/>
              <w:jc w:val="center"/>
              <w:rPr>
                <w:b/>
                <w:bCs/>
                <w:highlight w:val="black"/>
              </w:rPr>
            </w:pPr>
            <w:r>
              <w:rPr>
                <w:b/>
                <w:bCs/>
                <w:noProof/>
                <w:color w:val="00000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112"/>
            </w:pPr>
            <w:r w:rsidRPr="00AC3415">
              <w:t>Initial</w:t>
            </w:r>
          </w:p>
        </w:tc>
        <w:tc>
          <w:tcPr>
            <w:tcW w:w="598"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nil"/>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r>
      <w:tr w:rsidR="00AC3415" w:rsidRPr="00AC3415" w:rsidTr="005F031D">
        <w:tc>
          <w:tcPr>
            <w:tcW w:w="1407" w:type="pct"/>
            <w:tcBorders>
              <w:top w:val="nil"/>
              <w:bottom w:val="single" w:sz="4" w:space="0" w:color="auto"/>
            </w:tcBorders>
            <w:shd w:val="clear" w:color="auto" w:fill="auto"/>
            <w:vAlign w:val="center"/>
          </w:tcPr>
          <w:p w:rsidR="00AC3415" w:rsidRPr="00AC3415" w:rsidRDefault="00AC3415" w:rsidP="00D5705B">
            <w:pPr>
              <w:pStyle w:val="Tabletext"/>
              <w:keepNext/>
              <w:keepLines/>
              <w:ind w:left="112"/>
            </w:pPr>
            <w:r w:rsidRPr="00AC3415">
              <w:t>Continuing</w:t>
            </w:r>
          </w:p>
        </w:tc>
        <w:tc>
          <w:tcPr>
            <w:tcW w:w="598"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c>
          <w:tcPr>
            <w:tcW w:w="599" w:type="pct"/>
            <w:tcBorders>
              <w:top w:val="nil"/>
              <w:bottom w:val="single" w:sz="4" w:space="0" w:color="auto"/>
            </w:tcBorders>
            <w:shd w:val="clear" w:color="auto" w:fill="auto"/>
            <w:vAlign w:val="bottom"/>
          </w:tcPr>
          <w:p w:rsidR="00AC3415" w:rsidRPr="006D6DCE" w:rsidRDefault="006D6DCE" w:rsidP="00D5705B">
            <w:pPr>
              <w:pStyle w:val="Tabletext"/>
              <w:keepNext/>
              <w:keepLines/>
              <w:jc w:val="center"/>
              <w:rPr>
                <w:highlight w:val="black"/>
              </w:rPr>
            </w:pPr>
            <w:r>
              <w:rPr>
                <w:noProof/>
                <w:color w:val="000000"/>
                <w:highlight w:val="black"/>
              </w:rPr>
              <w:t>''''''''''''''''</w:t>
            </w:r>
          </w:p>
        </w:tc>
      </w:tr>
      <w:tr w:rsidR="00AC3415" w:rsidRPr="00AC3415" w:rsidTr="005F031D">
        <w:tc>
          <w:tcPr>
            <w:tcW w:w="1407" w:type="pct"/>
            <w:tcBorders>
              <w:top w:val="single" w:sz="4" w:space="0" w:color="auto"/>
              <w:bottom w:val="nil"/>
            </w:tcBorders>
            <w:shd w:val="clear" w:color="auto" w:fill="auto"/>
            <w:vAlign w:val="center"/>
          </w:tcPr>
          <w:p w:rsidR="00AC3415" w:rsidRPr="00AC3415" w:rsidRDefault="00AC3415" w:rsidP="00D5705B">
            <w:pPr>
              <w:pStyle w:val="Tabletext"/>
              <w:keepNext/>
              <w:keepLines/>
              <w:rPr>
                <w:b/>
                <w:bCs/>
              </w:rPr>
            </w:pPr>
            <w:r w:rsidRPr="00AC3415">
              <w:rPr>
                <w:b/>
                <w:bCs/>
                <w:szCs w:val="20"/>
              </w:rPr>
              <w:t>Net cost to PBS/RPBS</w:t>
            </w:r>
          </w:p>
        </w:tc>
        <w:tc>
          <w:tcPr>
            <w:tcW w:w="598" w:type="pct"/>
            <w:tcBorders>
              <w:top w:val="single" w:sz="4" w:space="0" w:color="auto"/>
              <w:bottom w:val="nil"/>
            </w:tcBorders>
            <w:shd w:val="clear" w:color="auto" w:fill="auto"/>
            <w:vAlign w:val="bottom"/>
          </w:tcPr>
          <w:p w:rsidR="00AC3415" w:rsidRPr="006D6DCE" w:rsidRDefault="00AC3415" w:rsidP="00D5705B">
            <w:pPr>
              <w:pStyle w:val="Tabletext"/>
              <w:keepNext/>
              <w:keepLines/>
              <w:jc w:val="center"/>
              <w:rPr>
                <w:b/>
                <w:bCs/>
              </w:rPr>
            </w:pPr>
            <w:r w:rsidRPr="00B42756">
              <w:rPr>
                <w:b/>
                <w:bCs/>
              </w:rPr>
              <w:t>$</w:t>
            </w:r>
            <w:r w:rsidR="006D6DCE">
              <w:rPr>
                <w:b/>
                <w:bCs/>
                <w:noProof/>
                <w:color w:val="000000"/>
                <w:highlight w:val="black"/>
              </w:rPr>
              <w:t>''''''''''''''''''</w:t>
            </w:r>
          </w:p>
        </w:tc>
        <w:tc>
          <w:tcPr>
            <w:tcW w:w="599" w:type="pct"/>
            <w:tcBorders>
              <w:top w:val="single" w:sz="4" w:space="0" w:color="auto"/>
              <w:bottom w:val="nil"/>
            </w:tcBorders>
            <w:shd w:val="clear" w:color="auto" w:fill="auto"/>
            <w:vAlign w:val="bottom"/>
          </w:tcPr>
          <w:p w:rsidR="00AC3415" w:rsidRPr="006D6DCE" w:rsidRDefault="00AC3415" w:rsidP="00D5705B">
            <w:pPr>
              <w:pStyle w:val="Tabletext"/>
              <w:keepNext/>
              <w:keepLines/>
              <w:jc w:val="center"/>
              <w:rPr>
                <w:b/>
                <w:bCs/>
              </w:rPr>
            </w:pPr>
            <w:r w:rsidRPr="00B42756">
              <w:rPr>
                <w:b/>
                <w:bCs/>
              </w:rPr>
              <w:t>$</w:t>
            </w:r>
            <w:r w:rsidR="006D6DCE">
              <w:rPr>
                <w:b/>
                <w:bCs/>
                <w:noProof/>
                <w:color w:val="000000"/>
                <w:highlight w:val="black"/>
              </w:rPr>
              <w:t>'''''''''''''''''''</w:t>
            </w:r>
          </w:p>
        </w:tc>
        <w:tc>
          <w:tcPr>
            <w:tcW w:w="599" w:type="pct"/>
            <w:tcBorders>
              <w:top w:val="single" w:sz="4" w:space="0" w:color="auto"/>
              <w:bottom w:val="nil"/>
            </w:tcBorders>
            <w:shd w:val="clear" w:color="auto" w:fill="auto"/>
            <w:vAlign w:val="bottom"/>
          </w:tcPr>
          <w:p w:rsidR="00AC3415" w:rsidRPr="006D6DCE" w:rsidRDefault="00AC3415" w:rsidP="00D5705B">
            <w:pPr>
              <w:pStyle w:val="Tabletext"/>
              <w:keepNext/>
              <w:keepLines/>
              <w:jc w:val="center"/>
              <w:rPr>
                <w:b/>
                <w:bCs/>
              </w:rPr>
            </w:pPr>
            <w:r w:rsidRPr="00B42756">
              <w:rPr>
                <w:b/>
                <w:bCs/>
              </w:rPr>
              <w:t>$</w:t>
            </w:r>
            <w:r w:rsidR="006D6DCE">
              <w:rPr>
                <w:b/>
                <w:bCs/>
                <w:noProof/>
                <w:color w:val="000000"/>
                <w:highlight w:val="black"/>
              </w:rPr>
              <w:t>''''''''''''''''''</w:t>
            </w:r>
          </w:p>
        </w:tc>
        <w:tc>
          <w:tcPr>
            <w:tcW w:w="599" w:type="pct"/>
            <w:tcBorders>
              <w:top w:val="single" w:sz="4" w:space="0" w:color="auto"/>
              <w:bottom w:val="nil"/>
            </w:tcBorders>
            <w:shd w:val="clear" w:color="auto" w:fill="auto"/>
            <w:vAlign w:val="bottom"/>
          </w:tcPr>
          <w:p w:rsidR="00AC3415" w:rsidRPr="006D6DCE" w:rsidRDefault="00AC3415" w:rsidP="00D5705B">
            <w:pPr>
              <w:pStyle w:val="Tabletext"/>
              <w:keepNext/>
              <w:keepLines/>
              <w:jc w:val="center"/>
              <w:rPr>
                <w:b/>
                <w:bCs/>
              </w:rPr>
            </w:pPr>
            <w:r w:rsidRPr="00B42756">
              <w:rPr>
                <w:b/>
                <w:bCs/>
              </w:rPr>
              <w:t>$</w:t>
            </w:r>
            <w:r w:rsidR="006D6DCE">
              <w:rPr>
                <w:b/>
                <w:bCs/>
                <w:noProof/>
                <w:color w:val="000000"/>
                <w:highlight w:val="black"/>
              </w:rPr>
              <w:t>'''''''''''''''''''''</w:t>
            </w:r>
          </w:p>
        </w:tc>
        <w:tc>
          <w:tcPr>
            <w:tcW w:w="599" w:type="pct"/>
            <w:tcBorders>
              <w:top w:val="single" w:sz="4" w:space="0" w:color="auto"/>
              <w:bottom w:val="nil"/>
            </w:tcBorders>
            <w:shd w:val="clear" w:color="auto" w:fill="auto"/>
            <w:vAlign w:val="bottom"/>
          </w:tcPr>
          <w:p w:rsidR="00AC3415" w:rsidRPr="006D6DCE" w:rsidRDefault="00AC3415" w:rsidP="00D5705B">
            <w:pPr>
              <w:pStyle w:val="Tabletext"/>
              <w:keepNext/>
              <w:keepLines/>
              <w:jc w:val="center"/>
              <w:rPr>
                <w:b/>
                <w:bCs/>
              </w:rPr>
            </w:pPr>
            <w:r w:rsidRPr="00B42756">
              <w:rPr>
                <w:b/>
                <w:bCs/>
              </w:rPr>
              <w:t>$</w:t>
            </w:r>
            <w:r w:rsidR="006D6DCE">
              <w:rPr>
                <w:b/>
                <w:bCs/>
                <w:noProof/>
                <w:color w:val="000000"/>
                <w:highlight w:val="black"/>
              </w:rPr>
              <w:t>'''''''''''''''''''</w:t>
            </w:r>
          </w:p>
        </w:tc>
        <w:tc>
          <w:tcPr>
            <w:tcW w:w="599" w:type="pct"/>
            <w:tcBorders>
              <w:top w:val="single" w:sz="4" w:space="0" w:color="auto"/>
              <w:bottom w:val="nil"/>
            </w:tcBorders>
            <w:shd w:val="clear" w:color="auto" w:fill="auto"/>
            <w:vAlign w:val="bottom"/>
          </w:tcPr>
          <w:p w:rsidR="00AC3415" w:rsidRPr="006D6DCE" w:rsidRDefault="00AC3415" w:rsidP="00D5705B">
            <w:pPr>
              <w:pStyle w:val="Tabletext"/>
              <w:keepNext/>
              <w:keepLines/>
              <w:jc w:val="center"/>
              <w:rPr>
                <w:b/>
                <w:bCs/>
              </w:rPr>
            </w:pPr>
            <w:r w:rsidRPr="00B42756">
              <w:rPr>
                <w:b/>
                <w:bCs/>
              </w:rPr>
              <w:t>$</w:t>
            </w:r>
            <w:r w:rsidR="006D6DCE">
              <w:rPr>
                <w:b/>
                <w:bCs/>
                <w:noProof/>
                <w:color w:val="000000"/>
                <w:highlight w:val="black"/>
              </w:rPr>
              <w:t>'''''''''''''''''''''''</w:t>
            </w:r>
          </w:p>
        </w:tc>
      </w:tr>
      <w:tr w:rsidR="00AC3415" w:rsidRPr="00AC3415" w:rsidTr="005F031D">
        <w:tc>
          <w:tcPr>
            <w:tcW w:w="1407" w:type="pct"/>
            <w:tcBorders>
              <w:top w:val="nil"/>
              <w:bottom w:val="nil"/>
            </w:tcBorders>
            <w:shd w:val="clear" w:color="auto" w:fill="auto"/>
            <w:vAlign w:val="center"/>
          </w:tcPr>
          <w:p w:rsidR="00AC3415" w:rsidRPr="00AC3415" w:rsidRDefault="00AC3415" w:rsidP="00D5705B">
            <w:pPr>
              <w:pStyle w:val="Tabletext"/>
              <w:keepNext/>
              <w:keepLines/>
              <w:ind w:left="112"/>
            </w:pPr>
            <w:r w:rsidRPr="00AC3415">
              <w:t>PBS</w:t>
            </w:r>
          </w:p>
        </w:tc>
        <w:tc>
          <w:tcPr>
            <w:tcW w:w="598" w:type="pct"/>
            <w:tcBorders>
              <w:top w:val="nil"/>
              <w:bottom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c>
          <w:tcPr>
            <w:tcW w:w="599" w:type="pct"/>
            <w:tcBorders>
              <w:top w:val="nil"/>
              <w:bottom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c>
          <w:tcPr>
            <w:tcW w:w="599" w:type="pct"/>
            <w:tcBorders>
              <w:top w:val="nil"/>
              <w:bottom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c>
          <w:tcPr>
            <w:tcW w:w="599" w:type="pct"/>
            <w:tcBorders>
              <w:top w:val="nil"/>
              <w:bottom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c>
          <w:tcPr>
            <w:tcW w:w="599" w:type="pct"/>
            <w:tcBorders>
              <w:top w:val="nil"/>
              <w:bottom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c>
          <w:tcPr>
            <w:tcW w:w="599" w:type="pct"/>
            <w:tcBorders>
              <w:top w:val="nil"/>
              <w:bottom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r>
      <w:tr w:rsidR="00AC3415" w:rsidRPr="00AC3415" w:rsidTr="005F031D">
        <w:tc>
          <w:tcPr>
            <w:tcW w:w="1407" w:type="pct"/>
            <w:tcBorders>
              <w:top w:val="nil"/>
            </w:tcBorders>
            <w:shd w:val="clear" w:color="auto" w:fill="auto"/>
            <w:vAlign w:val="center"/>
          </w:tcPr>
          <w:p w:rsidR="00AC3415" w:rsidRPr="00AC3415" w:rsidRDefault="00AC3415" w:rsidP="00D5705B">
            <w:pPr>
              <w:pStyle w:val="Tabletext"/>
              <w:keepNext/>
              <w:keepLines/>
              <w:ind w:left="112"/>
            </w:pPr>
            <w:r w:rsidRPr="00AC3415">
              <w:t>RPBS</w:t>
            </w:r>
          </w:p>
        </w:tc>
        <w:tc>
          <w:tcPr>
            <w:tcW w:w="598" w:type="pct"/>
            <w:tcBorders>
              <w:top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c>
          <w:tcPr>
            <w:tcW w:w="599" w:type="pct"/>
            <w:tcBorders>
              <w:top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c>
          <w:tcPr>
            <w:tcW w:w="599" w:type="pct"/>
            <w:tcBorders>
              <w:top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c>
          <w:tcPr>
            <w:tcW w:w="599" w:type="pct"/>
            <w:tcBorders>
              <w:top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c>
          <w:tcPr>
            <w:tcW w:w="599" w:type="pct"/>
            <w:tcBorders>
              <w:top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c>
          <w:tcPr>
            <w:tcW w:w="599" w:type="pct"/>
            <w:tcBorders>
              <w:top w:val="nil"/>
            </w:tcBorders>
            <w:shd w:val="clear" w:color="auto" w:fill="auto"/>
            <w:vAlign w:val="bottom"/>
          </w:tcPr>
          <w:p w:rsidR="00AC3415" w:rsidRPr="006D6DCE" w:rsidRDefault="00AC3415" w:rsidP="00D5705B">
            <w:pPr>
              <w:pStyle w:val="Tabletext"/>
              <w:keepNext/>
              <w:keepLines/>
              <w:jc w:val="center"/>
            </w:pPr>
            <w:r w:rsidRPr="00B42756">
              <w:t>$</w:t>
            </w:r>
            <w:r w:rsidR="006D6DCE">
              <w:rPr>
                <w:noProof/>
                <w:color w:val="000000"/>
                <w:highlight w:val="black"/>
              </w:rPr>
              <w:t>'''''''''''''''</w:t>
            </w:r>
          </w:p>
        </w:tc>
      </w:tr>
    </w:tbl>
    <w:p w:rsidR="00AC3415" w:rsidRPr="00AC3415" w:rsidRDefault="00AC3415" w:rsidP="00D5705B">
      <w:pPr>
        <w:pStyle w:val="TableFooter"/>
        <w:keepNext/>
        <w:keepLines/>
      </w:pPr>
      <w:r w:rsidRPr="00AC3415">
        <w:t>Abbreviations: SLE=Systemic lupus erythematosus.</w:t>
      </w:r>
    </w:p>
    <w:p w:rsidR="00AC3415" w:rsidRPr="00AC3415" w:rsidRDefault="00AC3415" w:rsidP="00D5705B">
      <w:pPr>
        <w:pStyle w:val="TableFooter"/>
        <w:keepNext/>
        <w:keepLines/>
        <w:rPr>
          <w:sz w:val="20"/>
        </w:rPr>
      </w:pPr>
      <w:r w:rsidRPr="00AC3415">
        <w:t>Source: Tables 101-110, pp.234-246 of the submission.</w:t>
      </w:r>
    </w:p>
    <w:p w:rsidR="00AC3415" w:rsidRDefault="00AC3415" w:rsidP="00AC3415"/>
    <w:p w:rsidR="00E0721A" w:rsidRPr="00E0721A" w:rsidRDefault="00E0721A" w:rsidP="00E0721A">
      <w:pPr>
        <w:rPr>
          <w:rFonts w:asciiTheme="minorHAnsi" w:hAnsiTheme="minorHAnsi"/>
          <w:szCs w:val="24"/>
        </w:rPr>
      </w:pPr>
      <w:r w:rsidRPr="00E0721A">
        <w:rPr>
          <w:rFonts w:asciiTheme="minorHAnsi" w:hAnsiTheme="minorHAnsi"/>
          <w:szCs w:val="24"/>
        </w:rPr>
        <w:t>The redacted tabl</w:t>
      </w:r>
      <w:r>
        <w:rPr>
          <w:rFonts w:asciiTheme="minorHAnsi" w:hAnsiTheme="minorHAnsi"/>
          <w:szCs w:val="24"/>
        </w:rPr>
        <w:t>e shows that at Year 6</w:t>
      </w:r>
      <w:r w:rsidRPr="00E0721A">
        <w:rPr>
          <w:rFonts w:asciiTheme="minorHAnsi" w:hAnsiTheme="minorHAnsi"/>
          <w:szCs w:val="24"/>
        </w:rPr>
        <w:t xml:space="preserve">, the estimated number of patients was </w:t>
      </w:r>
      <w:r>
        <w:rPr>
          <w:rFonts w:asciiTheme="minorHAnsi" w:hAnsiTheme="minorHAnsi"/>
          <w:szCs w:val="24"/>
        </w:rPr>
        <w:t>less than 10,000 per year</w:t>
      </w:r>
      <w:r w:rsidRPr="00E0721A">
        <w:rPr>
          <w:rFonts w:asciiTheme="minorHAnsi" w:hAnsiTheme="minorHAnsi"/>
          <w:szCs w:val="24"/>
        </w:rPr>
        <w:t xml:space="preserve"> and the net co</w:t>
      </w:r>
      <w:r>
        <w:rPr>
          <w:rFonts w:asciiTheme="minorHAnsi" w:hAnsiTheme="minorHAnsi"/>
          <w:szCs w:val="24"/>
        </w:rPr>
        <w:t>st to the PBS</w:t>
      </w:r>
      <w:r w:rsidR="00D34900">
        <w:rPr>
          <w:rFonts w:asciiTheme="minorHAnsi" w:hAnsiTheme="minorHAnsi"/>
          <w:szCs w:val="24"/>
        </w:rPr>
        <w:t>/RPBS</w:t>
      </w:r>
      <w:r>
        <w:rPr>
          <w:rFonts w:asciiTheme="minorHAnsi" w:hAnsiTheme="minorHAnsi"/>
          <w:szCs w:val="24"/>
        </w:rPr>
        <w:t xml:space="preserve"> would be $10 - $20 million per year.</w:t>
      </w:r>
    </w:p>
    <w:p w:rsidR="00E0721A" w:rsidRPr="00AC3415" w:rsidRDefault="00E0721A" w:rsidP="00AC3415"/>
    <w:p w:rsidR="00AC3415" w:rsidRPr="00AC3415" w:rsidRDefault="00AC3415" w:rsidP="000D5369">
      <w:pPr>
        <w:pStyle w:val="ListParagraph"/>
        <w:widowControl/>
        <w:numPr>
          <w:ilvl w:val="1"/>
          <w:numId w:val="1"/>
        </w:numPr>
        <w:spacing w:after="120"/>
        <w:rPr>
          <w:szCs w:val="24"/>
        </w:rPr>
      </w:pPr>
      <w:r w:rsidRPr="00AC3415">
        <w:rPr>
          <w:szCs w:val="24"/>
        </w:rPr>
        <w:t xml:space="preserve">The submission estimated a net cost to the PBS/RPBS of </w:t>
      </w:r>
      <w:r w:rsidR="00E0721A">
        <w:rPr>
          <w:szCs w:val="24"/>
        </w:rPr>
        <w:t xml:space="preserve">$30 - $60 </w:t>
      </w:r>
      <w:r w:rsidR="00906D87">
        <w:rPr>
          <w:szCs w:val="24"/>
        </w:rPr>
        <w:t>million</w:t>
      </w:r>
      <w:r w:rsidRPr="00AC3415">
        <w:rPr>
          <w:szCs w:val="24"/>
        </w:rPr>
        <w:t xml:space="preserve"> over the first six years of listing. The estimates did not include any changes to the use of other medications on the PBS/RPBS or other healthcare resources</w:t>
      </w:r>
      <w:r w:rsidRPr="00AC3415">
        <w:rPr>
          <w:iCs/>
          <w:szCs w:val="24"/>
        </w:rPr>
        <w:t>.</w:t>
      </w:r>
    </w:p>
    <w:p w:rsidR="00906D87" w:rsidRDefault="00906D87" w:rsidP="00D5705B">
      <w:pPr>
        <w:pStyle w:val="Heading2"/>
        <w:spacing w:after="120"/>
      </w:pPr>
      <w:bookmarkStart w:id="15" w:name="_Toc19712630"/>
      <w:r w:rsidRPr="00906D87">
        <w:t>Quality Use of Medicines</w:t>
      </w:r>
    </w:p>
    <w:p w:rsidR="00906D87" w:rsidRDefault="00906D87" w:rsidP="00D5705B">
      <w:pPr>
        <w:pStyle w:val="ListParagraph"/>
        <w:widowControl/>
        <w:numPr>
          <w:ilvl w:val="1"/>
          <w:numId w:val="1"/>
        </w:numPr>
        <w:spacing w:after="120"/>
      </w:pPr>
      <w:r>
        <w:t xml:space="preserve">DUSC considered patient and carer familiarisation on appropriate administration and storage of the injections would be required. </w:t>
      </w:r>
    </w:p>
    <w:p w:rsidR="00172AD3" w:rsidRPr="00ED7E3E" w:rsidRDefault="00172AD3" w:rsidP="00AC5DF8">
      <w:pPr>
        <w:pStyle w:val="Heading2"/>
        <w:keepNext/>
        <w:spacing w:after="120"/>
      </w:pPr>
      <w:r w:rsidRPr="00ED7E3E">
        <w:lastRenderedPageBreak/>
        <w:t>Financial Management – Risk Sharing Arrangements</w:t>
      </w:r>
      <w:bookmarkEnd w:id="15"/>
    </w:p>
    <w:p w:rsidR="00FC00C4" w:rsidRPr="00FC00C4" w:rsidRDefault="00172AD3" w:rsidP="00AC5DF8">
      <w:pPr>
        <w:pStyle w:val="ListParagraph"/>
        <w:keepNext/>
        <w:widowControl/>
        <w:numPr>
          <w:ilvl w:val="1"/>
          <w:numId w:val="1"/>
        </w:numPr>
        <w:spacing w:after="120"/>
      </w:pPr>
      <w:r w:rsidRPr="00D16630">
        <w:t>The submission did not propose a risk</w:t>
      </w:r>
      <w:r w:rsidR="00D20F3C">
        <w:t xml:space="preserve"> s</w:t>
      </w:r>
      <w:r w:rsidRPr="00D16630">
        <w:t>haring arrangement</w:t>
      </w:r>
      <w:r w:rsidR="00D20F3C">
        <w:t xml:space="preserve"> (RSA)</w:t>
      </w:r>
      <w:r w:rsidRPr="00D16630">
        <w:t>, however it stated that the Sponsor is amenable to discussing appropriate arrangements to address any areas of uncertainty.</w:t>
      </w:r>
      <w:r w:rsidRPr="00D16630">
        <w:rPr>
          <w:color w:val="3366FF"/>
        </w:rPr>
        <w:t xml:space="preserve"> </w:t>
      </w:r>
    </w:p>
    <w:p w:rsidR="00FC00C4" w:rsidRPr="00FC00C4" w:rsidRDefault="00FC00C4" w:rsidP="00D5705B">
      <w:pPr>
        <w:pStyle w:val="ListParagraph"/>
        <w:widowControl/>
        <w:numPr>
          <w:ilvl w:val="1"/>
          <w:numId w:val="1"/>
        </w:numPr>
        <w:spacing w:after="120"/>
        <w:rPr>
          <w:i/>
        </w:rPr>
      </w:pPr>
      <w:r>
        <w:rPr>
          <w:szCs w:val="24"/>
        </w:rPr>
        <w:t>The PBAC considered there may be potential for use outside the restriction (e.g. in patient</w:t>
      </w:r>
      <w:r w:rsidRPr="00FC00C4">
        <w:rPr>
          <w:szCs w:val="24"/>
        </w:rPr>
        <w:t xml:space="preserve">s with </w:t>
      </w:r>
      <w:r w:rsidR="00633106">
        <w:rPr>
          <w:szCs w:val="24"/>
        </w:rPr>
        <w:t xml:space="preserve">less severe SLE or </w:t>
      </w:r>
      <w:r w:rsidRPr="00FC00C4">
        <w:rPr>
          <w:szCs w:val="24"/>
        </w:rPr>
        <w:t>poorly defined connective tissue diseases)</w:t>
      </w:r>
      <w:r w:rsidR="001E3E8A">
        <w:rPr>
          <w:szCs w:val="24"/>
        </w:rPr>
        <w:t xml:space="preserve">. However, the </w:t>
      </w:r>
      <w:r>
        <w:rPr>
          <w:szCs w:val="24"/>
        </w:rPr>
        <w:t xml:space="preserve">PBAC </w:t>
      </w:r>
      <w:r w:rsidR="001E3E8A">
        <w:rPr>
          <w:szCs w:val="24"/>
        </w:rPr>
        <w:t xml:space="preserve">considered that use outside the restriction </w:t>
      </w:r>
      <w:r w:rsidR="00633106">
        <w:rPr>
          <w:szCs w:val="24"/>
        </w:rPr>
        <w:t xml:space="preserve">may be tempered by the </w:t>
      </w:r>
      <w:r w:rsidR="00633106">
        <w:rPr>
          <w:iCs/>
        </w:rPr>
        <w:t>potential for severe adverse events</w:t>
      </w:r>
      <w:r w:rsidR="00633106">
        <w:rPr>
          <w:szCs w:val="24"/>
        </w:rPr>
        <w:t xml:space="preserve"> and the modest treatment effect.</w:t>
      </w:r>
      <w:r w:rsidR="001E3E8A">
        <w:rPr>
          <w:szCs w:val="24"/>
        </w:rPr>
        <w:t xml:space="preserve"> Overall, the PBAC considered that the risk of leakage was unclear.</w:t>
      </w:r>
    </w:p>
    <w:p w:rsidR="003A64F4" w:rsidRDefault="003A64F4" w:rsidP="00D5705B">
      <w:pPr>
        <w:widowControl/>
        <w:spacing w:after="120"/>
        <w:rPr>
          <w:i/>
        </w:rPr>
      </w:pPr>
      <w:r w:rsidRPr="003A64F4">
        <w:rPr>
          <w:i/>
        </w:rPr>
        <w:t>For more detail on PBAC’s view, see section 7 PBAC outcome.</w:t>
      </w:r>
    </w:p>
    <w:p w:rsidR="00A968F5" w:rsidRPr="00D52702" w:rsidRDefault="00A968F5" w:rsidP="00D5705B">
      <w:pPr>
        <w:pStyle w:val="PBACHeading1"/>
        <w:spacing w:before="0"/>
      </w:pPr>
      <w:r w:rsidRPr="00D52702">
        <w:t>PBAC Outcome</w:t>
      </w:r>
    </w:p>
    <w:p w:rsidR="00D041AA" w:rsidRDefault="00D66F33" w:rsidP="00D5705B">
      <w:pPr>
        <w:numPr>
          <w:ilvl w:val="1"/>
          <w:numId w:val="1"/>
        </w:numPr>
        <w:spacing w:after="120"/>
        <w:rPr>
          <w:rFonts w:asciiTheme="minorHAnsi" w:hAnsiTheme="minorHAnsi"/>
          <w:bCs/>
          <w:lang w:val="en-GB"/>
        </w:rPr>
      </w:pPr>
      <w:r w:rsidRPr="00D66F33">
        <w:rPr>
          <w:rFonts w:asciiTheme="minorHAnsi" w:hAnsiTheme="minorHAnsi"/>
          <w:bCs/>
          <w:lang w:val="en-GB"/>
        </w:rPr>
        <w:t xml:space="preserve">The PBAC did not recommend </w:t>
      </w:r>
      <w:r>
        <w:rPr>
          <w:rFonts w:asciiTheme="minorHAnsi" w:hAnsiTheme="minorHAnsi"/>
          <w:bCs/>
          <w:lang w:val="en-GB"/>
        </w:rPr>
        <w:t xml:space="preserve">belimumab </w:t>
      </w:r>
      <w:r w:rsidRPr="00D66F33">
        <w:rPr>
          <w:rFonts w:asciiTheme="minorHAnsi" w:hAnsiTheme="minorHAnsi"/>
          <w:bCs/>
          <w:lang w:val="en-GB"/>
        </w:rPr>
        <w:t xml:space="preserve">for the treatment of </w:t>
      </w:r>
      <w:r w:rsidR="00D20F3C">
        <w:rPr>
          <w:rFonts w:asciiTheme="minorHAnsi" w:hAnsiTheme="minorHAnsi"/>
          <w:bCs/>
          <w:lang w:val="en-GB"/>
        </w:rPr>
        <w:t xml:space="preserve">patients with </w:t>
      </w:r>
      <w:r w:rsidR="00D20F3C" w:rsidRPr="00ED7E3E">
        <w:t xml:space="preserve">active auto-antibody positive SLE </w:t>
      </w:r>
      <w:r w:rsidR="00D20F3C" w:rsidRPr="00D20F3C">
        <w:t xml:space="preserve">with a </w:t>
      </w:r>
      <w:r w:rsidR="00A141FD">
        <w:t>high degree of disease activity</w:t>
      </w:r>
      <w:r w:rsidR="00D20F3C" w:rsidRPr="00D20F3C">
        <w:t xml:space="preserve"> despite ongoing standard therapy</w:t>
      </w:r>
      <w:r w:rsidRPr="00D20F3C">
        <w:rPr>
          <w:rFonts w:asciiTheme="minorHAnsi" w:hAnsiTheme="minorHAnsi"/>
          <w:bCs/>
          <w:lang w:val="en-GB"/>
        </w:rPr>
        <w:t xml:space="preserve">. </w:t>
      </w:r>
      <w:r w:rsidR="00664225">
        <w:rPr>
          <w:rFonts w:asciiTheme="minorHAnsi" w:hAnsiTheme="minorHAnsi"/>
          <w:bCs/>
          <w:lang w:val="en-GB"/>
        </w:rPr>
        <w:t>The PBAC</w:t>
      </w:r>
      <w:r w:rsidR="00664225" w:rsidRPr="00664225">
        <w:rPr>
          <w:rFonts w:asciiTheme="minorHAnsi" w:hAnsiTheme="minorHAnsi"/>
          <w:bCs/>
          <w:lang w:val="en-GB"/>
        </w:rPr>
        <w:t xml:space="preserve"> </w:t>
      </w:r>
      <w:r w:rsidR="00D041AA" w:rsidRPr="00D20F3C">
        <w:rPr>
          <w:rFonts w:asciiTheme="minorHAnsi" w:hAnsiTheme="minorHAnsi"/>
          <w:bCs/>
          <w:lang w:val="en-GB"/>
        </w:rPr>
        <w:t>considered</w:t>
      </w:r>
      <w:r w:rsidR="00D041AA" w:rsidRPr="00D041AA">
        <w:rPr>
          <w:rFonts w:asciiTheme="minorHAnsi" w:hAnsiTheme="minorHAnsi"/>
          <w:bCs/>
          <w:lang w:val="en-GB"/>
        </w:rPr>
        <w:t xml:space="preserve"> that the evidence demonstrated a modest clinical benefit</w:t>
      </w:r>
      <w:r w:rsidR="005F6229">
        <w:rPr>
          <w:rFonts w:asciiTheme="minorHAnsi" w:hAnsiTheme="minorHAnsi"/>
          <w:bCs/>
          <w:lang w:val="en-GB"/>
        </w:rPr>
        <w:t>.</w:t>
      </w:r>
      <w:r w:rsidR="00D041AA" w:rsidRPr="00D041AA">
        <w:rPr>
          <w:rFonts w:asciiTheme="minorHAnsi" w:hAnsiTheme="minorHAnsi"/>
          <w:bCs/>
          <w:lang w:val="en-GB"/>
        </w:rPr>
        <w:t xml:space="preserve"> </w:t>
      </w:r>
      <w:r w:rsidR="005F6229">
        <w:rPr>
          <w:rFonts w:asciiTheme="minorHAnsi" w:hAnsiTheme="minorHAnsi"/>
          <w:bCs/>
          <w:lang w:val="en-GB"/>
        </w:rPr>
        <w:t>T</w:t>
      </w:r>
      <w:r w:rsidR="00D041AA" w:rsidRPr="00D041AA">
        <w:rPr>
          <w:rFonts w:asciiTheme="minorHAnsi" w:hAnsiTheme="minorHAnsi"/>
          <w:bCs/>
          <w:lang w:val="en-GB"/>
        </w:rPr>
        <w:t xml:space="preserve">he PBAC considered that the </w:t>
      </w:r>
      <w:r w:rsidR="0037031D">
        <w:rPr>
          <w:rFonts w:asciiTheme="minorHAnsi" w:hAnsiTheme="minorHAnsi"/>
          <w:bCs/>
          <w:lang w:val="en-GB"/>
        </w:rPr>
        <w:t xml:space="preserve">economic model presented in the submission </w:t>
      </w:r>
      <w:r w:rsidR="00053656" w:rsidRPr="00053656">
        <w:rPr>
          <w:rFonts w:asciiTheme="minorHAnsi" w:hAnsiTheme="minorHAnsi"/>
          <w:bCs/>
          <w:lang w:val="en-GB"/>
        </w:rPr>
        <w:t>did not provide a reliable basis for estimating the cost-effectiveness of belimumab</w:t>
      </w:r>
      <w:r w:rsidR="0037031D">
        <w:rPr>
          <w:rFonts w:asciiTheme="minorHAnsi" w:hAnsiTheme="minorHAnsi"/>
          <w:bCs/>
          <w:lang w:val="en-GB"/>
        </w:rPr>
        <w:t xml:space="preserve">. </w:t>
      </w:r>
    </w:p>
    <w:p w:rsidR="00A22F1F" w:rsidRPr="00A22F1F" w:rsidRDefault="00D66F33" w:rsidP="00D5705B">
      <w:pPr>
        <w:pStyle w:val="ListParagraph"/>
        <w:numPr>
          <w:ilvl w:val="1"/>
          <w:numId w:val="1"/>
        </w:numPr>
        <w:spacing w:after="120"/>
        <w:rPr>
          <w:rFonts w:asciiTheme="minorHAnsi" w:hAnsiTheme="minorHAnsi"/>
          <w:bCs/>
          <w:lang w:val="en-GB"/>
        </w:rPr>
      </w:pPr>
      <w:r w:rsidRPr="00A22F1F">
        <w:rPr>
          <w:rFonts w:asciiTheme="minorHAnsi" w:hAnsiTheme="minorHAnsi"/>
          <w:bCs/>
          <w:lang w:val="en-GB"/>
        </w:rPr>
        <w:t>The PBAC considered</w:t>
      </w:r>
      <w:r w:rsidR="006D489E">
        <w:rPr>
          <w:rFonts w:asciiTheme="minorHAnsi" w:hAnsiTheme="minorHAnsi"/>
          <w:bCs/>
          <w:lang w:val="en-GB"/>
        </w:rPr>
        <w:t xml:space="preserve"> that</w:t>
      </w:r>
      <w:r w:rsidRPr="00A22F1F">
        <w:rPr>
          <w:rFonts w:asciiTheme="minorHAnsi" w:hAnsiTheme="minorHAnsi"/>
          <w:bCs/>
          <w:lang w:val="en-GB"/>
        </w:rPr>
        <w:t xml:space="preserve"> there is a clinical need for effective treatments for </w:t>
      </w:r>
      <w:r w:rsidR="00A22F1F" w:rsidRPr="00A22F1F">
        <w:rPr>
          <w:rFonts w:asciiTheme="minorHAnsi" w:hAnsiTheme="minorHAnsi"/>
          <w:bCs/>
          <w:lang w:val="en-GB"/>
        </w:rPr>
        <w:t>SLE</w:t>
      </w:r>
      <w:r w:rsidR="00553D54">
        <w:rPr>
          <w:rFonts w:asciiTheme="minorHAnsi" w:hAnsiTheme="minorHAnsi"/>
          <w:bCs/>
          <w:lang w:val="en-GB"/>
        </w:rPr>
        <w:t xml:space="preserve">, particularly for </w:t>
      </w:r>
      <w:r w:rsidR="00A141FD">
        <w:rPr>
          <w:rFonts w:asciiTheme="minorHAnsi" w:hAnsiTheme="minorHAnsi"/>
          <w:bCs/>
          <w:lang w:val="en-GB"/>
        </w:rPr>
        <w:t xml:space="preserve">the group </w:t>
      </w:r>
      <w:r w:rsidR="006D489E">
        <w:rPr>
          <w:rFonts w:asciiTheme="minorHAnsi" w:hAnsiTheme="minorHAnsi"/>
          <w:bCs/>
          <w:lang w:val="en-GB"/>
        </w:rPr>
        <w:t xml:space="preserve">of patients </w:t>
      </w:r>
      <w:r w:rsidR="00A141FD">
        <w:rPr>
          <w:rFonts w:asciiTheme="minorHAnsi" w:hAnsiTheme="minorHAnsi"/>
          <w:bCs/>
          <w:lang w:val="en-GB"/>
        </w:rPr>
        <w:t>requested by the submission</w:t>
      </w:r>
      <w:r w:rsidR="00553D54">
        <w:rPr>
          <w:rFonts w:asciiTheme="minorHAnsi" w:hAnsiTheme="minorHAnsi"/>
          <w:bCs/>
          <w:lang w:val="en-GB"/>
        </w:rPr>
        <w:t>.</w:t>
      </w:r>
      <w:r w:rsidR="00A22F1F" w:rsidRPr="00A22F1F">
        <w:t xml:space="preserve"> </w:t>
      </w:r>
      <w:r w:rsidR="00664225">
        <w:t xml:space="preserve">The PBAC noted that there </w:t>
      </w:r>
      <w:r w:rsidR="007766D0" w:rsidRPr="007766D0">
        <w:t>have been no new developments in the treatment of SL</w:t>
      </w:r>
      <w:r w:rsidR="007766D0">
        <w:t xml:space="preserve">E </w:t>
      </w:r>
      <w:r w:rsidR="00637A91">
        <w:t xml:space="preserve">for decades </w:t>
      </w:r>
      <w:r w:rsidR="007766D0">
        <w:t>and that an analysi</w:t>
      </w:r>
      <w:r w:rsidR="007766D0" w:rsidRPr="001B082E">
        <w:t>s show</w:t>
      </w:r>
      <w:r w:rsidR="007766D0">
        <w:t>ed</w:t>
      </w:r>
      <w:r w:rsidR="007766D0" w:rsidRPr="001B082E">
        <w:t xml:space="preserve"> </w:t>
      </w:r>
      <w:r w:rsidR="007766D0">
        <w:t xml:space="preserve">there have been no improvements in mortality </w:t>
      </w:r>
      <w:r w:rsidR="006D489E">
        <w:t xml:space="preserve">rates </w:t>
      </w:r>
      <w:r w:rsidR="007766D0" w:rsidRPr="001B082E">
        <w:t>since 1996</w:t>
      </w:r>
      <w:r w:rsidR="007766D0">
        <w:t xml:space="preserve"> (Jorge et al 2018).</w:t>
      </w:r>
    </w:p>
    <w:p w:rsidR="00AD2E16" w:rsidRPr="00DD57FD" w:rsidRDefault="00C0679D" w:rsidP="00D5705B">
      <w:pPr>
        <w:pStyle w:val="ListParagraph"/>
        <w:widowControl/>
        <w:numPr>
          <w:ilvl w:val="1"/>
          <w:numId w:val="1"/>
        </w:numPr>
        <w:spacing w:after="120"/>
      </w:pPr>
      <w:r>
        <w:t xml:space="preserve">The PBAC noted that the proposed restriction was narrower than the clinical trial </w:t>
      </w:r>
      <w:r w:rsidR="00553D54">
        <w:t xml:space="preserve">eligibility </w:t>
      </w:r>
      <w:r>
        <w:t xml:space="preserve">criteria in order to target </w:t>
      </w:r>
      <w:r w:rsidR="001B42A2">
        <w:t xml:space="preserve">use to those </w:t>
      </w:r>
      <w:r>
        <w:t xml:space="preserve">patients who </w:t>
      </w:r>
      <w:r w:rsidR="00637A91">
        <w:t xml:space="preserve">have the greatest clinical need and who </w:t>
      </w:r>
      <w:r>
        <w:t xml:space="preserve">are most likely to respond </w:t>
      </w:r>
      <w:r w:rsidR="00637A91">
        <w:t xml:space="preserve">based on </w:t>
      </w:r>
      <w:r w:rsidR="00AD2E16">
        <w:t>results of subgroup analyses of the trials</w:t>
      </w:r>
      <w:r w:rsidR="00637A91">
        <w:t xml:space="preserve">. The PBAC noted that such targeting was </w:t>
      </w:r>
      <w:r w:rsidR="00374731">
        <w:t xml:space="preserve">generally </w:t>
      </w:r>
      <w:r w:rsidR="00637A91">
        <w:t>consistent with</w:t>
      </w:r>
      <w:r w:rsidR="00FC51D3">
        <w:t>:</w:t>
      </w:r>
      <w:r w:rsidR="00AD2E16">
        <w:t xml:space="preserve"> </w:t>
      </w:r>
      <w:r w:rsidR="00FC51D3">
        <w:t xml:space="preserve">recommendations made in </w:t>
      </w:r>
      <w:r w:rsidR="00AD2E16">
        <w:t xml:space="preserve">international clinical guidelines </w:t>
      </w:r>
      <w:r w:rsidR="00637A91">
        <w:t xml:space="preserve">(including the </w:t>
      </w:r>
      <w:r w:rsidR="00637A91" w:rsidRPr="00856882">
        <w:t xml:space="preserve">‘2019 update of the EULAR recommendations for the management of </w:t>
      </w:r>
      <w:r w:rsidR="00637A91">
        <w:t>SLE</w:t>
      </w:r>
      <w:r w:rsidR="00637A91" w:rsidRPr="00856882">
        <w:t>’</w:t>
      </w:r>
      <w:r w:rsidR="00637A91">
        <w:t>)</w:t>
      </w:r>
      <w:r w:rsidR="00FC51D3">
        <w:t>;</w:t>
      </w:r>
      <w:r w:rsidR="00637A91">
        <w:t xml:space="preserve"> </w:t>
      </w:r>
      <w:r w:rsidR="00FC51D3" w:rsidRPr="00FC51D3">
        <w:t xml:space="preserve">predictors of response </w:t>
      </w:r>
      <w:r w:rsidR="00FC51D3">
        <w:t xml:space="preserve">identified in </w:t>
      </w:r>
      <w:r w:rsidR="00AD2E16">
        <w:t>a</w:t>
      </w:r>
      <w:r w:rsidR="00BA7552">
        <w:t>n</w:t>
      </w:r>
      <w:r w:rsidR="00AD2E16">
        <w:t xml:space="preserve"> Italian study of use of belimumab in the ‘real world’ setting</w:t>
      </w:r>
      <w:r w:rsidR="00FC51D3">
        <w:t>;</w:t>
      </w:r>
      <w:r w:rsidR="00BA7552">
        <w:t xml:space="preserve"> and </w:t>
      </w:r>
      <w:r w:rsidR="00637A91">
        <w:t>the advice of the clinician who presented at the hearing and many of the consumer comments.</w:t>
      </w:r>
    </w:p>
    <w:p w:rsidR="00AA0A3E" w:rsidRDefault="00BA7552" w:rsidP="00D5705B">
      <w:pPr>
        <w:pStyle w:val="ListParagraph"/>
        <w:numPr>
          <w:ilvl w:val="1"/>
          <w:numId w:val="1"/>
        </w:numPr>
        <w:spacing w:after="120"/>
      </w:pPr>
      <w:r>
        <w:t xml:space="preserve">In order to target use to those patients who have the greatest clinical need and who are most likely to respond, </w:t>
      </w:r>
      <w:r w:rsidR="007637CE">
        <w:t xml:space="preserve">the PBAC considered the restriction should </w:t>
      </w:r>
      <w:r w:rsidR="007637CE" w:rsidRPr="00AA0A3E">
        <w:t>require patients to</w:t>
      </w:r>
      <w:r w:rsidR="007637CE">
        <w:t>:</w:t>
      </w:r>
      <w:r w:rsidR="00FC51D3">
        <w:t xml:space="preserve"> </w:t>
      </w:r>
    </w:p>
    <w:p w:rsidR="00AA0A3E" w:rsidRPr="00A45550" w:rsidRDefault="00AA0A3E" w:rsidP="00D5705B">
      <w:pPr>
        <w:pStyle w:val="Bulletpoints"/>
        <w:spacing w:after="120"/>
        <w:ind w:left="1276" w:hanging="425"/>
      </w:pPr>
      <w:r>
        <w:t>have l</w:t>
      </w:r>
      <w:r w:rsidRPr="00DD57FD">
        <w:t xml:space="preserve">aboratory evidence of disease activity with elevated anti-dsDNA titre </w:t>
      </w:r>
      <w:r w:rsidR="00FC6B3A">
        <w:t>or</w:t>
      </w:r>
      <w:r w:rsidRPr="00DD57FD">
        <w:t xml:space="preserve"> low complement (C3,</w:t>
      </w:r>
      <w:r w:rsidR="00637A91">
        <w:t xml:space="preserve"> </w:t>
      </w:r>
      <w:r w:rsidRPr="00DD57FD">
        <w:t>C4) levels</w:t>
      </w:r>
      <w:r w:rsidR="005D76AA">
        <w:t>;</w:t>
      </w:r>
    </w:p>
    <w:p w:rsidR="00AA0A3E" w:rsidRDefault="00AD2E16" w:rsidP="00D5705B">
      <w:pPr>
        <w:pStyle w:val="Bulletpoints"/>
        <w:spacing w:after="120"/>
        <w:ind w:left="1276" w:hanging="425"/>
      </w:pPr>
      <w:r>
        <w:t xml:space="preserve">have </w:t>
      </w:r>
      <w:r w:rsidR="005D76AA">
        <w:t xml:space="preserve">a </w:t>
      </w:r>
      <w:r w:rsidR="005D76AA" w:rsidRPr="00A45550">
        <w:t>SLEDAI</w:t>
      </w:r>
      <w:r w:rsidR="005D76AA">
        <w:t xml:space="preserve">-2K </w:t>
      </w:r>
      <w:r w:rsidR="005D76AA" w:rsidRPr="00A45550">
        <w:t>score ≥ 10 at baseline</w:t>
      </w:r>
      <w:r w:rsidR="00C518B8">
        <w:t>.</w:t>
      </w:r>
      <w:r w:rsidR="005D76AA">
        <w:t xml:space="preserve"> The PBAC </w:t>
      </w:r>
      <w:r w:rsidR="00FC6B3A">
        <w:t xml:space="preserve">considered </w:t>
      </w:r>
      <w:r w:rsidR="005D76AA">
        <w:t xml:space="preserve">that the </w:t>
      </w:r>
      <w:r w:rsidR="00BA7552">
        <w:t xml:space="preserve">PBS </w:t>
      </w:r>
      <w:r w:rsidR="00BA7552">
        <w:lastRenderedPageBreak/>
        <w:t xml:space="preserve">restriction should be based on the </w:t>
      </w:r>
      <w:r w:rsidR="005D76AA" w:rsidRPr="00A45550">
        <w:t xml:space="preserve">SLEDAI-2K </w:t>
      </w:r>
      <w:r w:rsidR="00FC6B3A">
        <w:t>tool</w:t>
      </w:r>
      <w:r w:rsidR="00BA7552">
        <w:t xml:space="preserve"> as it</w:t>
      </w:r>
      <w:r w:rsidR="00FC6B3A">
        <w:t xml:space="preserve"> </w:t>
      </w:r>
      <w:r w:rsidR="005D76AA" w:rsidRPr="00A45550">
        <w:t xml:space="preserve">is more commonly </w:t>
      </w:r>
      <w:r w:rsidR="00BA7552">
        <w:t xml:space="preserve">used </w:t>
      </w:r>
      <w:r w:rsidR="005D76AA" w:rsidRPr="00A45550">
        <w:t>in clinical practice</w:t>
      </w:r>
      <w:r w:rsidR="005D76AA">
        <w:t xml:space="preserve"> </w:t>
      </w:r>
      <w:r w:rsidR="00BA7552">
        <w:t>than</w:t>
      </w:r>
      <w:r w:rsidR="005D76AA">
        <w:t xml:space="preserve"> </w:t>
      </w:r>
      <w:r w:rsidR="00BA7552">
        <w:t>SELENA-SLEDAI</w:t>
      </w:r>
      <w:r>
        <w:t>;</w:t>
      </w:r>
    </w:p>
    <w:p w:rsidR="005D76AA" w:rsidRPr="005D76AA" w:rsidRDefault="00AD2E16" w:rsidP="00D5705B">
      <w:pPr>
        <w:pStyle w:val="Bulletpoints"/>
        <w:spacing w:after="120"/>
        <w:ind w:left="1276" w:hanging="425"/>
        <w:rPr>
          <w:szCs w:val="22"/>
        </w:rPr>
      </w:pPr>
      <w:r>
        <w:t>have ≥ 4</w:t>
      </w:r>
      <w:r>
        <w:noBreakHyphen/>
      </w:r>
      <w:r w:rsidRPr="00A45550">
        <w:t>point reduction in SLEDAI</w:t>
      </w:r>
      <w:r>
        <w:t>-2K score to continue belimumab;</w:t>
      </w:r>
    </w:p>
    <w:p w:rsidR="005D76AA" w:rsidRPr="005D76AA" w:rsidRDefault="005D76AA" w:rsidP="00D5705B">
      <w:pPr>
        <w:pStyle w:val="Bulletpoints"/>
        <w:spacing w:after="120"/>
        <w:ind w:left="1276" w:hanging="425"/>
        <w:rPr>
          <w:szCs w:val="22"/>
        </w:rPr>
      </w:pPr>
      <w:r>
        <w:t xml:space="preserve">require patients to be on the following medicines at </w:t>
      </w:r>
      <w:r w:rsidR="00AD2E16">
        <w:t xml:space="preserve">the time of </w:t>
      </w:r>
      <w:r>
        <w:t>initiation of belimumab:</w:t>
      </w:r>
    </w:p>
    <w:p w:rsidR="005D76AA" w:rsidRPr="00A45550" w:rsidRDefault="005D76AA" w:rsidP="00D5705B">
      <w:pPr>
        <w:pStyle w:val="Bulletpoints"/>
        <w:numPr>
          <w:ilvl w:val="1"/>
          <w:numId w:val="2"/>
        </w:numPr>
        <w:spacing w:after="120"/>
        <w:ind w:left="1843" w:hanging="425"/>
      </w:pPr>
      <w:r>
        <w:t>7</w:t>
      </w:r>
      <w:r w:rsidRPr="00A45550">
        <w:t xml:space="preserve">.5 mg per day </w:t>
      </w:r>
      <w:r>
        <w:t xml:space="preserve">or more of </w:t>
      </w:r>
      <w:r w:rsidRPr="00A45550">
        <w:t>prednisone</w:t>
      </w:r>
      <w:r w:rsidR="007766D0">
        <w:t xml:space="preserve"> (or </w:t>
      </w:r>
      <w:r w:rsidRPr="00A45550">
        <w:t>equivalent</w:t>
      </w:r>
      <w:r w:rsidR="007766D0">
        <w:t>)</w:t>
      </w:r>
      <w:r>
        <w:t xml:space="preserve"> at the time of commencement of belimumab and for at least one month prior</w:t>
      </w:r>
      <w:r w:rsidR="00AD2E16">
        <w:t xml:space="preserve">; </w:t>
      </w:r>
    </w:p>
    <w:p w:rsidR="0086466E" w:rsidRDefault="005D76AA" w:rsidP="00D5705B">
      <w:pPr>
        <w:pStyle w:val="Bulletpoints"/>
        <w:numPr>
          <w:ilvl w:val="1"/>
          <w:numId w:val="2"/>
        </w:numPr>
        <w:spacing w:after="120"/>
        <w:ind w:left="1843" w:hanging="425"/>
      </w:pPr>
      <w:r w:rsidRPr="005D76AA">
        <w:t>h</w:t>
      </w:r>
      <w:r w:rsidR="00AD2E16">
        <w:t>ydroxychloroquine for at least three</w:t>
      </w:r>
      <w:r w:rsidRPr="005D76AA">
        <w:t xml:space="preserve"> months</w:t>
      </w:r>
      <w:r w:rsidR="0086466E">
        <w:t>;</w:t>
      </w:r>
      <w:r w:rsidRPr="005D76AA">
        <w:t xml:space="preserve"> </w:t>
      </w:r>
      <w:r w:rsidR="00AD2E16">
        <w:t>and</w:t>
      </w:r>
      <w:r w:rsidRPr="005D76AA">
        <w:t xml:space="preserve"> </w:t>
      </w:r>
    </w:p>
    <w:p w:rsidR="00AA0A3E" w:rsidRDefault="005D76AA" w:rsidP="00D5705B">
      <w:pPr>
        <w:pStyle w:val="Bulletpoints"/>
        <w:numPr>
          <w:ilvl w:val="1"/>
          <w:numId w:val="2"/>
        </w:numPr>
        <w:spacing w:after="120"/>
        <w:ind w:left="1843" w:hanging="425"/>
      </w:pPr>
      <w:r w:rsidRPr="005D76AA">
        <w:t xml:space="preserve">immunosuppressant medication for at least </w:t>
      </w:r>
      <w:r w:rsidR="00AD2E16">
        <w:t>three</w:t>
      </w:r>
      <w:r w:rsidRPr="005D76AA">
        <w:t xml:space="preserve"> months (methotrexate 20mg weekly, azathioprine 100mg daily or mycophenolate).</w:t>
      </w:r>
    </w:p>
    <w:p w:rsidR="00637A91" w:rsidRPr="00BA7552" w:rsidRDefault="00637A91" w:rsidP="00D5705B">
      <w:pPr>
        <w:pStyle w:val="ListParagraph"/>
        <w:numPr>
          <w:ilvl w:val="1"/>
          <w:numId w:val="1"/>
        </w:numPr>
        <w:spacing w:after="120"/>
        <w:rPr>
          <w:rFonts w:asciiTheme="minorHAnsi" w:hAnsiTheme="minorHAnsi"/>
          <w:bCs/>
          <w:lang w:val="en-GB"/>
        </w:rPr>
      </w:pPr>
      <w:r w:rsidRPr="00BA7552">
        <w:rPr>
          <w:rFonts w:asciiTheme="minorHAnsi" w:hAnsiTheme="minorHAnsi"/>
          <w:bCs/>
          <w:lang w:val="en-GB"/>
        </w:rPr>
        <w:t xml:space="preserve">The PBAC </w:t>
      </w:r>
      <w:r w:rsidR="00BA7552" w:rsidRPr="00BA7552">
        <w:rPr>
          <w:rFonts w:asciiTheme="minorHAnsi" w:hAnsiTheme="minorHAnsi"/>
          <w:bCs/>
          <w:lang w:val="en-GB"/>
        </w:rPr>
        <w:t xml:space="preserve">also </w:t>
      </w:r>
      <w:r w:rsidRPr="00BA7552">
        <w:rPr>
          <w:rFonts w:asciiTheme="minorHAnsi" w:hAnsiTheme="minorHAnsi"/>
          <w:bCs/>
          <w:lang w:val="en-GB"/>
        </w:rPr>
        <w:t>considered the restriction should:</w:t>
      </w:r>
    </w:p>
    <w:p w:rsidR="00BA7552" w:rsidRPr="00BA7552" w:rsidRDefault="00BA7552" w:rsidP="00D5705B">
      <w:pPr>
        <w:pStyle w:val="Bulletpoints"/>
        <w:spacing w:after="120"/>
        <w:ind w:left="1276" w:hanging="425"/>
      </w:pPr>
      <w:r w:rsidRPr="00BA7552">
        <w:t>require patients to have a confirmed and documented diagnosis according to the 2019 EULAR / ACR classification criteria for SLE to reduce the risk of leakage;</w:t>
      </w:r>
    </w:p>
    <w:p w:rsidR="00BA7552" w:rsidRPr="00BA7552" w:rsidRDefault="00BA7552" w:rsidP="00D5705B">
      <w:pPr>
        <w:pStyle w:val="Bulletpoints"/>
        <w:spacing w:after="120"/>
        <w:ind w:left="1276" w:hanging="425"/>
      </w:pPr>
      <w:r>
        <w:t>limit</w:t>
      </w:r>
      <w:r w:rsidR="00637A91" w:rsidRPr="00BA7552">
        <w:t xml:space="preserve"> prescribing of belimumab to rheumatologists, clinical immunologists and nephrologists</w:t>
      </w:r>
      <w:r>
        <w:t>,</w:t>
      </w:r>
      <w:r w:rsidR="00637A91" w:rsidRPr="00BA7552">
        <w:t xml:space="preserve"> </w:t>
      </w:r>
      <w:r w:rsidRPr="00BA7552">
        <w:t>given the complexity of SLE management</w:t>
      </w:r>
      <w:r>
        <w:t>; and</w:t>
      </w:r>
    </w:p>
    <w:p w:rsidR="00637A91" w:rsidRPr="00BA7552" w:rsidRDefault="00637A91" w:rsidP="00D5705B">
      <w:pPr>
        <w:pStyle w:val="Bulletpoints"/>
        <w:spacing w:after="120"/>
        <w:ind w:left="1276" w:hanging="425"/>
      </w:pPr>
      <w:r w:rsidRPr="00BA7552">
        <w:t xml:space="preserve">exclude patients with severe active lupus nephritis and severe active </w:t>
      </w:r>
      <w:r w:rsidR="0086466E">
        <w:t>CNS</w:t>
      </w:r>
      <w:r w:rsidR="00BA7552">
        <w:t xml:space="preserve"> lupus, consistent with the clinical trial evidence.</w:t>
      </w:r>
    </w:p>
    <w:p w:rsidR="00D66F33" w:rsidRPr="0046504D" w:rsidRDefault="00BC4605" w:rsidP="00D5705B">
      <w:pPr>
        <w:numPr>
          <w:ilvl w:val="1"/>
          <w:numId w:val="1"/>
        </w:numPr>
        <w:spacing w:after="120"/>
        <w:rPr>
          <w:rFonts w:asciiTheme="minorHAnsi" w:hAnsiTheme="minorHAnsi"/>
          <w:bCs/>
          <w:i/>
          <w:lang w:val="en-GB"/>
        </w:rPr>
      </w:pPr>
      <w:r>
        <w:rPr>
          <w:rFonts w:cs="Calibri"/>
          <w:snapToGrid/>
          <w:szCs w:val="24"/>
          <w:lang w:eastAsia="en-AU"/>
        </w:rPr>
        <w:t xml:space="preserve">The PBAC considered that SOC </w:t>
      </w:r>
      <w:r w:rsidRPr="00E76BBF">
        <w:rPr>
          <w:rFonts w:cs="Calibri"/>
          <w:snapToGrid/>
          <w:szCs w:val="24"/>
          <w:lang w:eastAsia="en-AU"/>
        </w:rPr>
        <w:t>was the appropriate comparator</w:t>
      </w:r>
      <w:r w:rsidR="00BA54C1">
        <w:rPr>
          <w:rFonts w:cs="Calibri"/>
          <w:snapToGrid/>
          <w:szCs w:val="24"/>
          <w:lang w:eastAsia="en-AU"/>
        </w:rPr>
        <w:t xml:space="preserve">. </w:t>
      </w:r>
    </w:p>
    <w:p w:rsidR="0046504D" w:rsidRDefault="00BA54C1" w:rsidP="00D5705B">
      <w:pPr>
        <w:pStyle w:val="ListParagraph"/>
        <w:numPr>
          <w:ilvl w:val="1"/>
          <w:numId w:val="1"/>
        </w:numPr>
        <w:spacing w:after="120"/>
        <w:rPr>
          <w:rFonts w:asciiTheme="minorHAnsi" w:hAnsiTheme="minorHAnsi"/>
          <w:bCs/>
          <w:lang w:val="en-GB"/>
        </w:rPr>
      </w:pPr>
      <w:r>
        <w:rPr>
          <w:rFonts w:asciiTheme="minorHAnsi" w:hAnsiTheme="minorHAnsi"/>
          <w:bCs/>
          <w:lang w:val="en-GB"/>
        </w:rPr>
        <w:t xml:space="preserve">The PBAC considered that </w:t>
      </w:r>
      <w:r w:rsidR="00A04B69" w:rsidRPr="00A04B69">
        <w:rPr>
          <w:rFonts w:asciiTheme="minorHAnsi" w:hAnsiTheme="minorHAnsi"/>
          <w:bCs/>
          <w:lang w:val="en-GB"/>
        </w:rPr>
        <w:t xml:space="preserve">belimumab demonstrated </w:t>
      </w:r>
      <w:r>
        <w:rPr>
          <w:rFonts w:asciiTheme="minorHAnsi" w:hAnsiTheme="minorHAnsi"/>
          <w:bCs/>
          <w:lang w:val="en-GB"/>
        </w:rPr>
        <w:t xml:space="preserve">a </w:t>
      </w:r>
      <w:r w:rsidR="00A04B69" w:rsidRPr="00A04B69">
        <w:rPr>
          <w:rFonts w:asciiTheme="minorHAnsi" w:hAnsiTheme="minorHAnsi"/>
          <w:bCs/>
          <w:lang w:val="en-GB"/>
        </w:rPr>
        <w:t xml:space="preserve">modest </w:t>
      </w:r>
      <w:r>
        <w:rPr>
          <w:rFonts w:asciiTheme="minorHAnsi" w:hAnsiTheme="minorHAnsi"/>
          <w:bCs/>
          <w:lang w:val="en-GB"/>
        </w:rPr>
        <w:t xml:space="preserve">clinical </w:t>
      </w:r>
      <w:r w:rsidR="00FC51D3">
        <w:rPr>
          <w:rFonts w:asciiTheme="minorHAnsi" w:hAnsiTheme="minorHAnsi"/>
          <w:bCs/>
          <w:lang w:val="en-GB"/>
        </w:rPr>
        <w:t>benefit</w:t>
      </w:r>
      <w:r w:rsidR="00A04B69" w:rsidRPr="00A04B69">
        <w:rPr>
          <w:rFonts w:asciiTheme="minorHAnsi" w:hAnsiTheme="minorHAnsi"/>
          <w:bCs/>
          <w:lang w:val="en-GB"/>
        </w:rPr>
        <w:t xml:space="preserve"> compared</w:t>
      </w:r>
      <w:r>
        <w:rPr>
          <w:rFonts w:asciiTheme="minorHAnsi" w:hAnsiTheme="minorHAnsi"/>
          <w:bCs/>
          <w:lang w:val="en-GB"/>
        </w:rPr>
        <w:t xml:space="preserve"> with</w:t>
      </w:r>
      <w:r w:rsidR="00A04B69" w:rsidRPr="00A04B69">
        <w:rPr>
          <w:rFonts w:asciiTheme="minorHAnsi" w:hAnsiTheme="minorHAnsi"/>
          <w:bCs/>
          <w:lang w:val="en-GB"/>
        </w:rPr>
        <w:t xml:space="preserve"> placebo</w:t>
      </w:r>
      <w:r>
        <w:rPr>
          <w:rFonts w:asciiTheme="minorHAnsi" w:hAnsiTheme="minorHAnsi"/>
          <w:bCs/>
          <w:lang w:val="en-GB"/>
        </w:rPr>
        <w:t xml:space="preserve">. The </w:t>
      </w:r>
      <w:r w:rsidRPr="0022277A">
        <w:t>BLISS</w:t>
      </w:r>
      <w:r w:rsidRPr="0022277A">
        <w:rPr>
          <w:rFonts w:asciiTheme="minorHAnsi" w:eastAsiaTheme="minorHAnsi" w:hAnsiTheme="minorHAnsi" w:cstheme="minorBidi"/>
          <w:snapToGrid/>
        </w:rPr>
        <w:t xml:space="preserve">-SC </w:t>
      </w:r>
      <w:r>
        <w:rPr>
          <w:rFonts w:asciiTheme="minorHAnsi" w:eastAsiaTheme="minorHAnsi" w:hAnsiTheme="minorHAnsi" w:cstheme="minorBidi"/>
          <w:snapToGrid/>
        </w:rPr>
        <w:t xml:space="preserve">trial found that belimumab plus SOC resulted in a 13% increase in the </w:t>
      </w:r>
      <w:r w:rsidRPr="0022277A">
        <w:rPr>
          <w:rFonts w:asciiTheme="minorHAnsi" w:eastAsiaTheme="minorHAnsi" w:hAnsiTheme="minorHAnsi" w:cstheme="minorBidi"/>
          <w:snapToGrid/>
        </w:rPr>
        <w:t xml:space="preserve">proportion of SRI responders at Week 52 </w:t>
      </w:r>
      <w:r>
        <w:rPr>
          <w:rFonts w:asciiTheme="minorHAnsi" w:eastAsiaTheme="minorHAnsi" w:hAnsiTheme="minorHAnsi" w:cstheme="minorBidi"/>
          <w:snapToGrid/>
        </w:rPr>
        <w:t>compared with</w:t>
      </w:r>
      <w:r w:rsidRPr="0022277A">
        <w:rPr>
          <w:rFonts w:asciiTheme="minorHAnsi" w:eastAsiaTheme="minorHAnsi" w:hAnsiTheme="minorHAnsi" w:cstheme="minorBidi"/>
          <w:snapToGrid/>
        </w:rPr>
        <w:t xml:space="preserve"> placebo plus SOC (RD</w:t>
      </w:r>
      <w:r>
        <w:rPr>
          <w:rFonts w:asciiTheme="minorHAnsi" w:eastAsiaTheme="minorHAnsi" w:hAnsiTheme="minorHAnsi" w:cstheme="minorBidi"/>
          <w:snapToGrid/>
        </w:rPr>
        <w:t xml:space="preserve"> = </w:t>
      </w:r>
      <w:r w:rsidRPr="0022277A">
        <w:rPr>
          <w:rFonts w:asciiTheme="minorHAnsi" w:eastAsiaTheme="minorHAnsi" w:hAnsiTheme="minorHAnsi" w:cstheme="minorBidi"/>
          <w:snapToGrid/>
        </w:rPr>
        <w:t>0.13; 95% CI</w:t>
      </w:r>
      <w:r w:rsidR="00986DB2">
        <w:rPr>
          <w:rFonts w:asciiTheme="minorHAnsi" w:eastAsiaTheme="minorHAnsi" w:hAnsiTheme="minorHAnsi" w:cstheme="minorBidi"/>
          <w:snapToGrid/>
        </w:rPr>
        <w:t>:</w:t>
      </w:r>
      <w:r w:rsidRPr="0022277A">
        <w:rPr>
          <w:rFonts w:asciiTheme="minorHAnsi" w:eastAsiaTheme="minorHAnsi" w:hAnsiTheme="minorHAnsi" w:cstheme="minorBidi"/>
          <w:snapToGrid/>
        </w:rPr>
        <w:t xml:space="preserve"> 0.06, 0.20). </w:t>
      </w:r>
      <w:r>
        <w:rPr>
          <w:rFonts w:asciiTheme="minorHAnsi" w:eastAsiaTheme="minorHAnsi" w:hAnsiTheme="minorHAnsi" w:cstheme="minorBidi"/>
          <w:snapToGrid/>
        </w:rPr>
        <w:t xml:space="preserve">The </w:t>
      </w:r>
      <w:r w:rsidRPr="0022277A">
        <w:rPr>
          <w:rFonts w:asciiTheme="minorHAnsi" w:eastAsiaTheme="minorHAnsi" w:hAnsiTheme="minorHAnsi" w:cstheme="minorBidi"/>
          <w:snapToGrid/>
        </w:rPr>
        <w:t>response rate in the placebo arms of the trials were high</w:t>
      </w:r>
      <w:r>
        <w:rPr>
          <w:rFonts w:asciiTheme="minorHAnsi" w:eastAsiaTheme="minorHAnsi" w:hAnsiTheme="minorHAnsi" w:cstheme="minorBidi"/>
          <w:snapToGrid/>
        </w:rPr>
        <w:t>,</w:t>
      </w:r>
      <w:r w:rsidRPr="0022277A">
        <w:rPr>
          <w:rFonts w:asciiTheme="minorHAnsi" w:eastAsiaTheme="minorHAnsi" w:hAnsiTheme="minorHAnsi" w:cstheme="minorBidi"/>
          <w:snapToGrid/>
        </w:rPr>
        <w:t xml:space="preserve"> </w:t>
      </w:r>
      <w:r>
        <w:rPr>
          <w:rFonts w:asciiTheme="minorHAnsi" w:hAnsiTheme="minorHAnsi"/>
          <w:bCs/>
          <w:lang w:val="en-GB"/>
        </w:rPr>
        <w:t>which the PBAC considered was likely due to a combination of reasons including optimisation and adherence to SOC</w:t>
      </w:r>
      <w:r w:rsidR="00FC51D3">
        <w:rPr>
          <w:rFonts w:asciiTheme="minorHAnsi" w:hAnsiTheme="minorHAnsi"/>
          <w:bCs/>
          <w:lang w:val="en-GB"/>
        </w:rPr>
        <w:t xml:space="preserve"> in the clinical trial setting</w:t>
      </w:r>
      <w:r>
        <w:rPr>
          <w:rFonts w:asciiTheme="minorHAnsi" w:hAnsiTheme="minorHAnsi"/>
          <w:bCs/>
          <w:lang w:val="en-GB"/>
        </w:rPr>
        <w:t xml:space="preserve">, as well as regression to the mean </w:t>
      </w:r>
      <w:r w:rsidR="00FC51D3">
        <w:rPr>
          <w:rFonts w:asciiTheme="minorHAnsi" w:hAnsiTheme="minorHAnsi"/>
          <w:bCs/>
          <w:lang w:val="en-GB"/>
        </w:rPr>
        <w:t xml:space="preserve">as </w:t>
      </w:r>
      <w:r w:rsidR="00FC51D3">
        <w:t xml:space="preserve">some </w:t>
      </w:r>
      <w:r w:rsidR="00FC51D3" w:rsidRPr="0022277A">
        <w:t xml:space="preserve">patients </w:t>
      </w:r>
      <w:r w:rsidR="00FC51D3">
        <w:t xml:space="preserve">may have </w:t>
      </w:r>
      <w:r w:rsidR="00FC51D3" w:rsidRPr="0022277A">
        <w:t>commenc</w:t>
      </w:r>
      <w:r w:rsidR="00FC51D3">
        <w:t>ed</w:t>
      </w:r>
      <w:r w:rsidR="00FC51D3" w:rsidRPr="0022277A">
        <w:t xml:space="preserve"> therapy during a disease flare</w:t>
      </w:r>
      <w:r>
        <w:rPr>
          <w:rFonts w:asciiTheme="minorHAnsi" w:hAnsiTheme="minorHAnsi"/>
          <w:bCs/>
          <w:lang w:val="en-GB"/>
        </w:rPr>
        <w:t>.</w:t>
      </w:r>
    </w:p>
    <w:p w:rsidR="00DF474E" w:rsidRPr="0022277A" w:rsidRDefault="00053656" w:rsidP="00D5705B">
      <w:pPr>
        <w:pStyle w:val="ListParagraph"/>
        <w:numPr>
          <w:ilvl w:val="1"/>
          <w:numId w:val="1"/>
        </w:numPr>
        <w:spacing w:after="120"/>
      </w:pPr>
      <w:r>
        <w:rPr>
          <w:rFonts w:asciiTheme="minorHAnsi" w:hAnsiTheme="minorHAnsi"/>
          <w:bCs/>
          <w:lang w:val="en-GB"/>
        </w:rPr>
        <w:t>Th</w:t>
      </w:r>
      <w:r w:rsidR="00DF474E" w:rsidRPr="0046504D">
        <w:rPr>
          <w:rFonts w:asciiTheme="minorHAnsi" w:hAnsiTheme="minorHAnsi"/>
          <w:bCs/>
          <w:lang w:val="en-GB"/>
        </w:rPr>
        <w:t xml:space="preserve">e </w:t>
      </w:r>
      <w:r w:rsidR="00DF474E">
        <w:rPr>
          <w:rFonts w:asciiTheme="minorHAnsi" w:hAnsiTheme="minorHAnsi"/>
          <w:bCs/>
          <w:lang w:val="en-GB"/>
        </w:rPr>
        <w:t>PBAC</w:t>
      </w:r>
      <w:r w:rsidR="00DF474E" w:rsidRPr="0046504D">
        <w:rPr>
          <w:rFonts w:asciiTheme="minorHAnsi" w:hAnsiTheme="minorHAnsi"/>
          <w:bCs/>
          <w:lang w:val="en-GB"/>
        </w:rPr>
        <w:t xml:space="preserve"> </w:t>
      </w:r>
      <w:r w:rsidR="00374731">
        <w:rPr>
          <w:rFonts w:asciiTheme="minorHAnsi" w:hAnsiTheme="minorHAnsi"/>
          <w:bCs/>
          <w:lang w:val="en-GB"/>
        </w:rPr>
        <w:t xml:space="preserve">also </w:t>
      </w:r>
      <w:r>
        <w:rPr>
          <w:rFonts w:asciiTheme="minorHAnsi" w:hAnsiTheme="minorHAnsi"/>
          <w:bCs/>
          <w:lang w:val="en-GB"/>
        </w:rPr>
        <w:t xml:space="preserve">noted that </w:t>
      </w:r>
      <w:r w:rsidR="00DF474E" w:rsidRPr="0022277A">
        <w:t>SRI response at Week 52 was not statistically significant in the EMBRACE trial, which was conducted in patients of African American, Native American and African descent. SLE is more common and more severe in Indigenous Australians and</w:t>
      </w:r>
      <w:r w:rsidR="00DF474E" w:rsidRPr="0022277A" w:rsidDel="00A816EE">
        <w:t xml:space="preserve"> </w:t>
      </w:r>
      <w:r w:rsidR="00DF474E" w:rsidRPr="0022277A">
        <w:t xml:space="preserve">the applicability of the </w:t>
      </w:r>
      <w:r w:rsidR="00DF474E">
        <w:t xml:space="preserve">pivotal trial, </w:t>
      </w:r>
      <w:r w:rsidR="00DF474E" w:rsidRPr="0022277A">
        <w:t>BLISS-SC</w:t>
      </w:r>
      <w:r w:rsidR="00DF474E">
        <w:t>,</w:t>
      </w:r>
      <w:r w:rsidR="00DF474E" w:rsidRPr="0022277A">
        <w:t xml:space="preserve"> to these patients is uncertain.</w:t>
      </w:r>
    </w:p>
    <w:p w:rsidR="006D489E" w:rsidRPr="006D489E" w:rsidRDefault="0077566A" w:rsidP="00D5705B">
      <w:pPr>
        <w:numPr>
          <w:ilvl w:val="1"/>
          <w:numId w:val="1"/>
        </w:numPr>
        <w:spacing w:after="120"/>
        <w:rPr>
          <w:rFonts w:asciiTheme="minorHAnsi" w:hAnsiTheme="minorHAnsi"/>
          <w:bCs/>
          <w:lang w:val="en-GB"/>
        </w:rPr>
      </w:pPr>
      <w:r w:rsidRPr="0077566A">
        <w:rPr>
          <w:rFonts w:asciiTheme="minorHAnsi" w:hAnsiTheme="minorHAnsi"/>
          <w:bCs/>
          <w:lang w:val="en-GB"/>
        </w:rPr>
        <w:t>The economic model was based on organ damage (SDI progression</w:t>
      </w:r>
      <w:r>
        <w:rPr>
          <w:rFonts w:asciiTheme="minorHAnsi" w:hAnsiTheme="minorHAnsi"/>
          <w:bCs/>
          <w:lang w:val="en-GB"/>
        </w:rPr>
        <w:t>), however t</w:t>
      </w:r>
      <w:r w:rsidR="006D489E" w:rsidRPr="006D489E">
        <w:rPr>
          <w:rFonts w:asciiTheme="minorHAnsi" w:hAnsiTheme="minorHAnsi"/>
          <w:bCs/>
          <w:lang w:val="en-GB"/>
        </w:rPr>
        <w:t xml:space="preserve">he PBAC considered that the benefit of belimumab in </w:t>
      </w:r>
      <w:r w:rsidR="0018326C">
        <w:rPr>
          <w:rFonts w:asciiTheme="minorHAnsi" w:hAnsiTheme="minorHAnsi"/>
          <w:bCs/>
          <w:lang w:val="en-GB"/>
        </w:rPr>
        <w:t xml:space="preserve">reducing </w:t>
      </w:r>
      <w:r w:rsidR="006D489E" w:rsidRPr="006D489E">
        <w:rPr>
          <w:rFonts w:asciiTheme="minorHAnsi" w:hAnsiTheme="minorHAnsi"/>
          <w:bCs/>
          <w:lang w:val="en-GB"/>
        </w:rPr>
        <w:t>SDI progression was not adequately supported</w:t>
      </w:r>
      <w:r w:rsidR="00240955">
        <w:rPr>
          <w:rFonts w:asciiTheme="minorHAnsi" w:hAnsiTheme="minorHAnsi"/>
          <w:bCs/>
          <w:lang w:val="en-GB"/>
        </w:rPr>
        <w:t>.</w:t>
      </w:r>
      <w:r w:rsidR="006D489E" w:rsidRPr="006D489E">
        <w:rPr>
          <w:rFonts w:asciiTheme="minorHAnsi" w:hAnsiTheme="minorHAnsi"/>
          <w:bCs/>
          <w:lang w:val="en-GB"/>
        </w:rPr>
        <w:t xml:space="preserve"> </w:t>
      </w:r>
      <w:r w:rsidR="00240955" w:rsidRPr="006D489E">
        <w:rPr>
          <w:rFonts w:asciiTheme="minorHAnsi" w:hAnsiTheme="minorHAnsi"/>
          <w:bCs/>
          <w:lang w:val="en-GB"/>
        </w:rPr>
        <w:t xml:space="preserve">The PBAC considered that the propensity score matched analysis by Urowitz et al 2018 (used to support an improvement in organ damage progression in the economic model) was not reliable due to a high risk of unmeasured confounders. </w:t>
      </w:r>
    </w:p>
    <w:p w:rsidR="00687519" w:rsidRPr="00E220EC" w:rsidRDefault="00BA6314" w:rsidP="00D5705B">
      <w:pPr>
        <w:pStyle w:val="ListParagraph"/>
        <w:numPr>
          <w:ilvl w:val="1"/>
          <w:numId w:val="1"/>
        </w:numPr>
        <w:spacing w:after="120"/>
        <w:rPr>
          <w:rFonts w:asciiTheme="minorHAnsi" w:hAnsiTheme="minorHAnsi"/>
          <w:bCs/>
          <w:lang w:val="en-GB"/>
        </w:rPr>
      </w:pPr>
      <w:r w:rsidRPr="00E220EC">
        <w:rPr>
          <w:rFonts w:asciiTheme="minorHAnsi" w:hAnsiTheme="minorHAnsi"/>
          <w:bCs/>
          <w:lang w:val="en-GB"/>
        </w:rPr>
        <w:lastRenderedPageBreak/>
        <w:t>The PBAC noted that a recent post-marketing safety study (BASE) observed imbalances</w:t>
      </w:r>
      <w:r w:rsidR="0086466E">
        <w:rPr>
          <w:rFonts w:asciiTheme="minorHAnsi" w:hAnsiTheme="minorHAnsi"/>
          <w:bCs/>
          <w:lang w:val="en-GB"/>
        </w:rPr>
        <w:t xml:space="preserve"> between belimumab and </w:t>
      </w:r>
      <w:r w:rsidR="00DE0D98">
        <w:rPr>
          <w:rFonts w:asciiTheme="minorHAnsi" w:hAnsiTheme="minorHAnsi"/>
          <w:bCs/>
          <w:lang w:val="en-GB"/>
        </w:rPr>
        <w:t>placebo</w:t>
      </w:r>
      <w:r w:rsidRPr="00E220EC">
        <w:rPr>
          <w:rFonts w:asciiTheme="minorHAnsi" w:hAnsiTheme="minorHAnsi"/>
          <w:bCs/>
          <w:lang w:val="en-GB"/>
        </w:rPr>
        <w:t xml:space="preserve"> in serious depression, serious suicidal ideation/behaviour and self-injury events</w:t>
      </w:r>
      <w:r w:rsidR="0008522A">
        <w:rPr>
          <w:rFonts w:asciiTheme="minorHAnsi" w:hAnsiTheme="minorHAnsi"/>
          <w:bCs/>
          <w:lang w:val="en-GB"/>
        </w:rPr>
        <w:t>. P</w:t>
      </w:r>
      <w:r w:rsidR="0008522A" w:rsidRPr="0008522A">
        <w:rPr>
          <w:rFonts w:asciiTheme="minorHAnsi" w:hAnsiTheme="minorHAnsi"/>
          <w:bCs/>
          <w:lang w:val="en-GB"/>
        </w:rPr>
        <w:t>sychiatric event</w:t>
      </w:r>
      <w:r w:rsidR="0008522A">
        <w:rPr>
          <w:rFonts w:asciiTheme="minorHAnsi" w:hAnsiTheme="minorHAnsi"/>
          <w:bCs/>
          <w:lang w:val="en-GB"/>
        </w:rPr>
        <w:t>s were listed as</w:t>
      </w:r>
      <w:r w:rsidR="0008522A" w:rsidRPr="0008522A">
        <w:rPr>
          <w:rFonts w:asciiTheme="minorHAnsi" w:hAnsiTheme="minorHAnsi"/>
          <w:bCs/>
          <w:lang w:val="en-GB"/>
        </w:rPr>
        <w:t xml:space="preserve"> an ‘important identified risk’</w:t>
      </w:r>
      <w:r w:rsidR="0008522A">
        <w:rPr>
          <w:rFonts w:asciiTheme="minorHAnsi" w:hAnsiTheme="minorHAnsi"/>
          <w:bCs/>
          <w:lang w:val="en-GB"/>
        </w:rPr>
        <w:t xml:space="preserve"> in the regulatory risk management plan</w:t>
      </w:r>
      <w:r w:rsidRPr="00E220EC">
        <w:rPr>
          <w:rFonts w:asciiTheme="minorHAnsi" w:hAnsiTheme="minorHAnsi"/>
          <w:bCs/>
          <w:lang w:val="en-GB"/>
        </w:rPr>
        <w:t xml:space="preserve">. </w:t>
      </w:r>
      <w:r w:rsidR="00E220EC" w:rsidRPr="0088186F">
        <w:rPr>
          <w:rFonts w:asciiTheme="minorHAnsi" w:hAnsiTheme="minorHAnsi"/>
          <w:bCs/>
          <w:lang w:val="en-GB"/>
        </w:rPr>
        <w:t xml:space="preserve">The PBAC </w:t>
      </w:r>
      <w:r w:rsidR="00992A53">
        <w:rPr>
          <w:rFonts w:asciiTheme="minorHAnsi" w:hAnsiTheme="minorHAnsi"/>
          <w:bCs/>
          <w:lang w:val="en-GB"/>
        </w:rPr>
        <w:t>considered</w:t>
      </w:r>
      <w:r w:rsidR="00E220EC" w:rsidRPr="0088186F">
        <w:rPr>
          <w:rFonts w:asciiTheme="minorHAnsi" w:hAnsiTheme="minorHAnsi"/>
          <w:bCs/>
          <w:lang w:val="en-GB"/>
        </w:rPr>
        <w:t xml:space="preserve"> th</w:t>
      </w:r>
      <w:r w:rsidR="00590B93">
        <w:rPr>
          <w:rFonts w:asciiTheme="minorHAnsi" w:hAnsiTheme="minorHAnsi"/>
          <w:bCs/>
          <w:lang w:val="en-GB"/>
        </w:rPr>
        <w:t>at, given the potential severity of the</w:t>
      </w:r>
      <w:r w:rsidR="00E220EC" w:rsidRPr="0088186F">
        <w:rPr>
          <w:rFonts w:asciiTheme="minorHAnsi" w:hAnsiTheme="minorHAnsi"/>
          <w:bCs/>
          <w:lang w:val="en-GB"/>
        </w:rPr>
        <w:t>se adverse events</w:t>
      </w:r>
      <w:r w:rsidR="00590B93">
        <w:rPr>
          <w:rFonts w:asciiTheme="minorHAnsi" w:hAnsiTheme="minorHAnsi"/>
          <w:bCs/>
          <w:lang w:val="en-GB"/>
        </w:rPr>
        <w:t>,</w:t>
      </w:r>
      <w:r w:rsidR="00E220EC" w:rsidRPr="0088186F">
        <w:rPr>
          <w:rFonts w:asciiTheme="minorHAnsi" w:hAnsiTheme="minorHAnsi"/>
          <w:bCs/>
          <w:lang w:val="en-GB"/>
        </w:rPr>
        <w:t xml:space="preserve"> belimumab had inferior safety versus SOC alone.</w:t>
      </w:r>
      <w:r w:rsidR="00E220EC" w:rsidRPr="00E220EC">
        <w:rPr>
          <w:rFonts w:asciiTheme="minorHAnsi" w:hAnsiTheme="minorHAnsi"/>
          <w:bCs/>
          <w:lang w:val="en-GB"/>
        </w:rPr>
        <w:t xml:space="preserve"> </w:t>
      </w:r>
    </w:p>
    <w:p w:rsidR="00CB0F92" w:rsidRPr="00A35405" w:rsidRDefault="00A35405" w:rsidP="00D5705B">
      <w:pPr>
        <w:numPr>
          <w:ilvl w:val="1"/>
          <w:numId w:val="1"/>
        </w:numPr>
        <w:spacing w:after="120"/>
        <w:rPr>
          <w:rFonts w:asciiTheme="minorHAnsi" w:hAnsiTheme="minorHAnsi"/>
          <w:bCs/>
          <w:lang w:val="en-GB"/>
        </w:rPr>
      </w:pPr>
      <w:r w:rsidRPr="00A35405">
        <w:rPr>
          <w:rFonts w:asciiTheme="minorHAnsi" w:hAnsiTheme="minorHAnsi"/>
          <w:bCs/>
          <w:lang w:val="en-GB"/>
        </w:rPr>
        <w:t xml:space="preserve">The </w:t>
      </w:r>
      <w:r>
        <w:rPr>
          <w:rFonts w:asciiTheme="minorHAnsi" w:hAnsiTheme="minorHAnsi"/>
          <w:bCs/>
          <w:lang w:val="en-GB"/>
        </w:rPr>
        <w:t xml:space="preserve">PBAC </w:t>
      </w:r>
      <w:r w:rsidR="00826E7C">
        <w:rPr>
          <w:rFonts w:asciiTheme="minorHAnsi" w:hAnsiTheme="minorHAnsi"/>
          <w:bCs/>
          <w:lang w:val="en-GB"/>
        </w:rPr>
        <w:t xml:space="preserve">agreed with the issues </w:t>
      </w:r>
      <w:r w:rsidR="00633106">
        <w:rPr>
          <w:rFonts w:asciiTheme="minorHAnsi" w:hAnsiTheme="minorHAnsi"/>
          <w:bCs/>
          <w:lang w:val="en-GB"/>
        </w:rPr>
        <w:t xml:space="preserve">regarding the economic evaluation </w:t>
      </w:r>
      <w:r w:rsidR="00826E7C">
        <w:rPr>
          <w:rFonts w:asciiTheme="minorHAnsi" w:hAnsiTheme="minorHAnsi"/>
          <w:bCs/>
          <w:lang w:val="en-GB"/>
        </w:rPr>
        <w:t>raised by the evaluation and ESC</w:t>
      </w:r>
      <w:r w:rsidR="005E4C03">
        <w:rPr>
          <w:rFonts w:asciiTheme="minorHAnsi" w:hAnsiTheme="minorHAnsi"/>
          <w:bCs/>
          <w:lang w:val="en-GB"/>
        </w:rPr>
        <w:t>,</w:t>
      </w:r>
      <w:r w:rsidR="00826E7C">
        <w:rPr>
          <w:rFonts w:asciiTheme="minorHAnsi" w:hAnsiTheme="minorHAnsi"/>
          <w:bCs/>
          <w:lang w:val="en-GB"/>
        </w:rPr>
        <w:t xml:space="preserve"> as outlined in the ‘Economic analysis’ section above. Overall, the PBAC considered that </w:t>
      </w:r>
      <w:r w:rsidR="00826E7C" w:rsidRPr="00826E7C">
        <w:rPr>
          <w:rFonts w:asciiTheme="minorHAnsi" w:hAnsiTheme="minorHAnsi"/>
          <w:bCs/>
          <w:lang w:val="en-GB"/>
        </w:rPr>
        <w:t xml:space="preserve">the </w:t>
      </w:r>
      <w:r w:rsidR="00D52EB4" w:rsidRPr="00D52EB4">
        <w:rPr>
          <w:rFonts w:asciiTheme="minorHAnsi" w:hAnsiTheme="minorHAnsi"/>
          <w:bCs/>
          <w:lang w:val="en-GB"/>
        </w:rPr>
        <w:t>economic model did not provide a reliable basis for estimating the cost-effectiveness of</w:t>
      </w:r>
      <w:r w:rsidR="00D52EB4">
        <w:rPr>
          <w:rFonts w:asciiTheme="minorHAnsi" w:hAnsiTheme="minorHAnsi"/>
          <w:bCs/>
          <w:lang w:val="en-GB"/>
        </w:rPr>
        <w:t xml:space="preserve"> belimumab </w:t>
      </w:r>
      <w:r w:rsidR="005E4C03">
        <w:rPr>
          <w:rFonts w:asciiTheme="minorHAnsi" w:hAnsiTheme="minorHAnsi"/>
          <w:bCs/>
          <w:lang w:val="en-GB"/>
        </w:rPr>
        <w:t>(</w:t>
      </w:r>
      <w:r w:rsidR="00CB0F92">
        <w:rPr>
          <w:rFonts w:asciiTheme="minorHAnsi" w:hAnsiTheme="minorHAnsi"/>
          <w:bCs/>
          <w:lang w:val="en-GB"/>
        </w:rPr>
        <w:t>for the reasons</w:t>
      </w:r>
      <w:r w:rsidR="00826E7C" w:rsidRPr="00826E7C">
        <w:rPr>
          <w:rFonts w:asciiTheme="minorHAnsi" w:hAnsiTheme="minorHAnsi"/>
          <w:bCs/>
          <w:lang w:val="en-GB"/>
        </w:rPr>
        <w:t xml:space="preserve"> outlined in the </w:t>
      </w:r>
      <w:r w:rsidR="00223544">
        <w:rPr>
          <w:rFonts w:asciiTheme="minorHAnsi" w:hAnsiTheme="minorHAnsi"/>
          <w:bCs/>
          <w:lang w:val="en-GB"/>
        </w:rPr>
        <w:t>‘Economic analysis’ section</w:t>
      </w:r>
      <w:r w:rsidR="00CB0F92">
        <w:rPr>
          <w:rFonts w:asciiTheme="minorHAnsi" w:hAnsiTheme="minorHAnsi"/>
          <w:bCs/>
          <w:lang w:val="en-GB"/>
        </w:rPr>
        <w:t xml:space="preserve"> above.</w:t>
      </w:r>
      <w:r w:rsidR="005E4C03">
        <w:rPr>
          <w:rFonts w:asciiTheme="minorHAnsi" w:hAnsiTheme="minorHAnsi"/>
          <w:bCs/>
          <w:lang w:val="en-GB"/>
        </w:rPr>
        <w:t>)</w:t>
      </w:r>
      <w:r w:rsidR="00CB0F92">
        <w:rPr>
          <w:rFonts w:asciiTheme="minorHAnsi" w:hAnsiTheme="minorHAnsi"/>
          <w:bCs/>
          <w:lang w:val="en-GB"/>
        </w:rPr>
        <w:t xml:space="preserve"> In particular, the PBAC considered that the </w:t>
      </w:r>
      <w:r w:rsidR="00CB0F92" w:rsidRPr="00A35405">
        <w:rPr>
          <w:rFonts w:asciiTheme="minorHAnsi" w:hAnsiTheme="minorHAnsi"/>
          <w:bCs/>
          <w:lang w:val="en-GB"/>
        </w:rPr>
        <w:t>structure and inputs of the model were not reasonable because:</w:t>
      </w:r>
    </w:p>
    <w:p w:rsidR="00CB0F92" w:rsidRDefault="006D489E" w:rsidP="00D5705B">
      <w:pPr>
        <w:pStyle w:val="Bulletpoints"/>
        <w:spacing w:after="120"/>
        <w:ind w:left="1276" w:hanging="284"/>
        <w:rPr>
          <w:rFonts w:asciiTheme="minorHAnsi" w:hAnsiTheme="minorHAnsi"/>
          <w:bCs/>
          <w:lang w:val="en-GB"/>
        </w:rPr>
      </w:pPr>
      <w:r w:rsidRPr="006D489E">
        <w:rPr>
          <w:rFonts w:asciiTheme="minorHAnsi" w:hAnsiTheme="minorHAnsi"/>
          <w:bCs/>
          <w:lang w:val="en-GB"/>
        </w:rPr>
        <w:t xml:space="preserve">the economic model’s assumption of an improvement in SDI progression with belimumab (and linear persisting benefits) based on the propensity score matched analysis was not </w:t>
      </w:r>
      <w:r>
        <w:t>reasonable</w:t>
      </w:r>
      <w:r w:rsidR="00CB0F92" w:rsidRPr="00A35405">
        <w:rPr>
          <w:rFonts w:asciiTheme="minorHAnsi" w:hAnsiTheme="minorHAnsi"/>
          <w:bCs/>
          <w:lang w:val="en-GB"/>
        </w:rPr>
        <w:t xml:space="preserve">; </w:t>
      </w:r>
    </w:p>
    <w:p w:rsidR="00CB0F92" w:rsidRPr="00A35405" w:rsidRDefault="00CB0F92" w:rsidP="00D5705B">
      <w:pPr>
        <w:pStyle w:val="Bulletpoints"/>
        <w:spacing w:after="120"/>
        <w:ind w:left="1276" w:hanging="284"/>
      </w:pPr>
      <w:r w:rsidRPr="00A35405">
        <w:t>the</w:t>
      </w:r>
      <w:r w:rsidRPr="00A35405">
        <w:rPr>
          <w:rFonts w:asciiTheme="minorHAnsi" w:hAnsiTheme="minorHAnsi"/>
          <w:bCs/>
          <w:lang w:val="en-GB"/>
        </w:rPr>
        <w:t xml:space="preserve"> submission’s approach to modelling utility based on SLEDAI response (rather than SDI progression, upon which the model structure was based) </w:t>
      </w:r>
      <w:r w:rsidRPr="00A35405">
        <w:t>was inappropriate because the model did not differentiate between responders and non-responders in the SOC arms. In effect, belimumab non-responders (who transitioned to the SOC arms) were attributed a utility value that incorporated a pr</w:t>
      </w:r>
      <w:r w:rsidR="00313EC1">
        <w:t xml:space="preserve">oportion of patients responding. Further, </w:t>
      </w:r>
      <w:r w:rsidRPr="00A35405">
        <w:t>SOC responders did not have the reduced SDI progression that was assumed for belimumab responders</w:t>
      </w:r>
      <w:r>
        <w:t>. T</w:t>
      </w:r>
      <w:r w:rsidRPr="00A35405">
        <w:t xml:space="preserve">he </w:t>
      </w:r>
      <w:r>
        <w:t xml:space="preserve">PBAC acknowledged the arguments in the </w:t>
      </w:r>
      <w:r w:rsidRPr="00A35405">
        <w:t xml:space="preserve">PSCR </w:t>
      </w:r>
      <w:r>
        <w:t xml:space="preserve">and pre-PBAC response </w:t>
      </w:r>
      <w:r w:rsidR="00360C5E">
        <w:t>as to why d</w:t>
      </w:r>
      <w:r w:rsidRPr="00A35405">
        <w:t>ifferential rate</w:t>
      </w:r>
      <w:r w:rsidR="00360C5E">
        <w:t>s</w:t>
      </w:r>
      <w:r w:rsidRPr="00A35405">
        <w:t xml:space="preserve"> of progression</w:t>
      </w:r>
      <w:r w:rsidR="00360C5E">
        <w:t xml:space="preserve"> were not applied</w:t>
      </w:r>
      <w:r w:rsidRPr="00A35405">
        <w:t xml:space="preserve"> for SOC responders and non-responders</w:t>
      </w:r>
      <w:r w:rsidR="00652408">
        <w:t>; however</w:t>
      </w:r>
      <w:r>
        <w:t>, o</w:t>
      </w:r>
      <w:r w:rsidRPr="00A35405">
        <w:t xml:space="preserve">verall the </w:t>
      </w:r>
      <w:r>
        <w:t>PBAC</w:t>
      </w:r>
      <w:r w:rsidRPr="00A35405">
        <w:t xml:space="preserve"> considered that these issues highlight the structural problems with the model</w:t>
      </w:r>
      <w:r w:rsidR="00360C5E">
        <w:t>.</w:t>
      </w:r>
    </w:p>
    <w:p w:rsidR="00647058" w:rsidRPr="00227119" w:rsidRDefault="00AB5D51" w:rsidP="00D5705B">
      <w:pPr>
        <w:numPr>
          <w:ilvl w:val="1"/>
          <w:numId w:val="1"/>
        </w:numPr>
        <w:spacing w:after="120"/>
        <w:rPr>
          <w:rFonts w:asciiTheme="minorHAnsi" w:hAnsiTheme="minorHAnsi"/>
          <w:bCs/>
          <w:lang w:val="en-GB"/>
        </w:rPr>
      </w:pPr>
      <w:r w:rsidRPr="00227119">
        <w:rPr>
          <w:rFonts w:asciiTheme="minorHAnsi" w:hAnsiTheme="minorHAnsi"/>
          <w:bCs/>
          <w:lang w:val="en-GB"/>
        </w:rPr>
        <w:t>The PBAC considered the financial estimates were uncertain</w:t>
      </w:r>
      <w:r w:rsidR="00BA254C" w:rsidRPr="00227119">
        <w:rPr>
          <w:rFonts w:asciiTheme="minorHAnsi" w:hAnsiTheme="minorHAnsi"/>
          <w:bCs/>
          <w:lang w:val="en-GB"/>
        </w:rPr>
        <w:t xml:space="preserve"> and likely overestimated</w:t>
      </w:r>
      <w:r w:rsidRPr="00227119">
        <w:rPr>
          <w:rFonts w:asciiTheme="minorHAnsi" w:hAnsiTheme="minorHAnsi"/>
          <w:bCs/>
          <w:lang w:val="en-GB"/>
        </w:rPr>
        <w:t xml:space="preserve"> because</w:t>
      </w:r>
      <w:r w:rsidR="00647058" w:rsidRPr="00227119">
        <w:rPr>
          <w:rFonts w:asciiTheme="minorHAnsi" w:hAnsiTheme="minorHAnsi"/>
          <w:bCs/>
          <w:lang w:val="en-GB"/>
        </w:rPr>
        <w:t>:</w:t>
      </w:r>
    </w:p>
    <w:p w:rsidR="00647058" w:rsidRPr="00BA254C" w:rsidRDefault="00BA254C" w:rsidP="00D5705B">
      <w:pPr>
        <w:pStyle w:val="Bulletpoints"/>
        <w:spacing w:after="120"/>
        <w:ind w:left="1276" w:hanging="284"/>
        <w:contextualSpacing/>
      </w:pPr>
      <w:r>
        <w:t>t</w:t>
      </w:r>
      <w:r w:rsidRPr="00BA254C">
        <w:t>he</w:t>
      </w:r>
      <w:r>
        <w:t xml:space="preserve"> prevalence rate</w:t>
      </w:r>
      <w:r w:rsidRPr="00BA254C">
        <w:t xml:space="preserve"> is </w:t>
      </w:r>
      <w:r>
        <w:t>uncertain</w:t>
      </w:r>
      <w:r w:rsidR="00647058" w:rsidRPr="00BA254C">
        <w:t xml:space="preserve"> as there is significant variation according to racial demographics, geographical location, age and gender</w:t>
      </w:r>
      <w:r>
        <w:t>;</w:t>
      </w:r>
    </w:p>
    <w:p w:rsidR="00647058" w:rsidRPr="00BA254C" w:rsidRDefault="00BA254C" w:rsidP="00D5705B">
      <w:pPr>
        <w:pStyle w:val="Bulletpoints"/>
        <w:spacing w:after="120"/>
        <w:ind w:left="1276" w:hanging="284"/>
        <w:contextualSpacing/>
      </w:pPr>
      <w:r>
        <w:t>t</w:t>
      </w:r>
      <w:r w:rsidRPr="00281113">
        <w:t xml:space="preserve">he </w:t>
      </w:r>
      <w:r w:rsidR="00B33DBA">
        <w:t>proportion of patients</w:t>
      </w:r>
      <w:r w:rsidRPr="00281113">
        <w:t xml:space="preserve"> with SLE </w:t>
      </w:r>
      <w:r w:rsidR="00B33DBA">
        <w:t>who</w:t>
      </w:r>
      <w:r w:rsidRPr="00281113">
        <w:t xml:space="preserve"> meet the PBS criteria</w:t>
      </w:r>
      <w:r w:rsidR="00B33DBA">
        <w:t xml:space="preserve"> was likely</w:t>
      </w:r>
      <w:r w:rsidRPr="00281113">
        <w:t xml:space="preserve"> overestimated</w:t>
      </w:r>
      <w:r w:rsidR="00B33DBA">
        <w:t xml:space="preserve"> as</w:t>
      </w:r>
      <w:r w:rsidRPr="00281113">
        <w:t xml:space="preserve"> expert opinion </w:t>
      </w:r>
      <w:r w:rsidR="005D556D">
        <w:t>(</w:t>
      </w:r>
      <w:r w:rsidRPr="00281113">
        <w:t>presented in the submission</w:t>
      </w:r>
      <w:r w:rsidR="005D556D">
        <w:t>)</w:t>
      </w:r>
      <w:r w:rsidRPr="00281113">
        <w:t xml:space="preserve"> suggested</w:t>
      </w:r>
      <w:r w:rsidR="00B33DBA">
        <w:t xml:space="preserve"> </w:t>
      </w:r>
      <w:r w:rsidR="00762639">
        <w:t>the proportion</w:t>
      </w:r>
      <w:r w:rsidR="00B33DBA">
        <w:t xml:space="preserve"> would be lower</w:t>
      </w:r>
      <w:r w:rsidR="005D556D">
        <w:t>,</w:t>
      </w:r>
      <w:r w:rsidRPr="00281113">
        <w:t xml:space="preserve"> </w:t>
      </w:r>
      <w:r w:rsidR="00B33DBA">
        <w:t xml:space="preserve">and the </w:t>
      </w:r>
      <w:r w:rsidR="005D556D">
        <w:t xml:space="preserve">submission’s approach </w:t>
      </w:r>
      <w:r w:rsidR="00B33DBA">
        <w:t xml:space="preserve">did not account for simultaneous triple therapy </w:t>
      </w:r>
      <w:r w:rsidRPr="00281113">
        <w:t>be</w:t>
      </w:r>
      <w:r w:rsidR="00B33DBA">
        <w:t>ing</w:t>
      </w:r>
      <w:r w:rsidRPr="00281113">
        <w:t xml:space="preserve"> </w:t>
      </w:r>
      <w:r w:rsidR="004D3B75">
        <w:t>required</w:t>
      </w:r>
      <w:r w:rsidRPr="00281113">
        <w:t xml:space="preserve"> to qualify for belimumab. Additionally, </w:t>
      </w:r>
      <w:r>
        <w:t xml:space="preserve">the PBAC </w:t>
      </w:r>
      <w:r w:rsidRPr="00281113">
        <w:t xml:space="preserve">considered that the </w:t>
      </w:r>
      <w:r w:rsidR="00B33DBA">
        <w:t xml:space="preserve">underpinning data </w:t>
      </w:r>
      <w:r w:rsidRPr="00281113">
        <w:t xml:space="preserve">may not be representative of the PBS population. </w:t>
      </w:r>
    </w:p>
    <w:p w:rsidR="00EC6B79" w:rsidRPr="00EC6B79" w:rsidRDefault="00B80A58" w:rsidP="00D5705B">
      <w:pPr>
        <w:pStyle w:val="Bulletpoints"/>
        <w:spacing w:after="120"/>
        <w:ind w:left="1276" w:hanging="284"/>
        <w:contextualSpacing/>
        <w:rPr>
          <w:iCs/>
        </w:rPr>
      </w:pPr>
      <w:r>
        <w:t>t</w:t>
      </w:r>
      <w:r w:rsidR="00B33DBA">
        <w:t>he PBAC considered t</w:t>
      </w:r>
      <w:r w:rsidR="00B33DBA" w:rsidRPr="00AC3415">
        <w:t xml:space="preserve">he uptake rates </w:t>
      </w:r>
      <w:r w:rsidR="00B33DBA">
        <w:t>are highly uncertain. While there is a clinical need</w:t>
      </w:r>
      <w:r w:rsidR="005E4C03">
        <w:t xml:space="preserve"> for effective therapies for SLE</w:t>
      </w:r>
      <w:r w:rsidR="00B33DBA">
        <w:t xml:space="preserve">, the PBAC noted that current </w:t>
      </w:r>
      <w:r w:rsidR="005E4C03">
        <w:t xml:space="preserve">non-PBS </w:t>
      </w:r>
      <w:r w:rsidR="00B33DBA">
        <w:t>use of IV belimumab</w:t>
      </w:r>
      <w:r w:rsidR="00EC6B79">
        <w:t xml:space="preserve"> is low. </w:t>
      </w:r>
      <w:r w:rsidR="00EC6B79" w:rsidRPr="00EC6B79">
        <w:rPr>
          <w:iCs/>
        </w:rPr>
        <w:t xml:space="preserve">Further, the PBAC considered that the treatment effect is modest and </w:t>
      </w:r>
      <w:r w:rsidR="00EC6B79">
        <w:rPr>
          <w:iCs/>
        </w:rPr>
        <w:t xml:space="preserve">use </w:t>
      </w:r>
      <w:r w:rsidR="00EC6B79" w:rsidRPr="00EC6B79">
        <w:rPr>
          <w:iCs/>
        </w:rPr>
        <w:t xml:space="preserve">may be associated with adverse events, which may </w:t>
      </w:r>
      <w:r w:rsidR="00EC6B79" w:rsidRPr="00EC6B79">
        <w:rPr>
          <w:iCs/>
        </w:rPr>
        <w:lastRenderedPageBreak/>
        <w:t xml:space="preserve">temper uptake. </w:t>
      </w:r>
    </w:p>
    <w:p w:rsidR="00647058" w:rsidRPr="00BA254C" w:rsidRDefault="00647058" w:rsidP="00D5705B">
      <w:pPr>
        <w:pStyle w:val="Bulletpoints"/>
        <w:spacing w:after="120"/>
        <w:ind w:left="1276" w:hanging="284"/>
        <w:rPr>
          <w:rFonts w:asciiTheme="minorHAnsi" w:hAnsiTheme="minorHAnsi"/>
          <w:bCs/>
          <w:lang w:val="en-GB"/>
        </w:rPr>
      </w:pPr>
      <w:r w:rsidRPr="00BA254C">
        <w:t>The proportion of patients continuing treatment in subsequent years was</w:t>
      </w:r>
      <w:r w:rsidR="00EC6B79">
        <w:t xml:space="preserve"> uncertain</w:t>
      </w:r>
      <w:r w:rsidR="00726E96">
        <w:t xml:space="preserve"> given higher rates of discontinuation in the extension studies and because continuation rates in clinical practice may differ from those observed in clinical study settings</w:t>
      </w:r>
      <w:r w:rsidRPr="00BA254C">
        <w:rPr>
          <w:rFonts w:asciiTheme="minorHAnsi" w:hAnsiTheme="minorHAnsi"/>
          <w:bCs/>
          <w:lang w:val="en-GB"/>
        </w:rPr>
        <w:t>.</w:t>
      </w:r>
    </w:p>
    <w:p w:rsidR="00053656" w:rsidRDefault="00053656" w:rsidP="00D5705B">
      <w:pPr>
        <w:numPr>
          <w:ilvl w:val="1"/>
          <w:numId w:val="1"/>
        </w:numPr>
        <w:spacing w:after="120"/>
        <w:rPr>
          <w:rFonts w:asciiTheme="minorHAnsi" w:hAnsiTheme="minorHAnsi"/>
          <w:bCs/>
          <w:lang w:val="en-GB"/>
        </w:rPr>
      </w:pPr>
      <w:r>
        <w:rPr>
          <w:rFonts w:asciiTheme="minorHAnsi" w:hAnsiTheme="minorHAnsi"/>
          <w:bCs/>
          <w:lang w:val="en-GB"/>
        </w:rPr>
        <w:t>Further, the PBAC considered that a prevalence-only approach would be appropriate (as outlined in Paragraph 6.6</w:t>
      </w:r>
      <w:r w:rsidR="00240955">
        <w:rPr>
          <w:rFonts w:asciiTheme="minorHAnsi" w:hAnsiTheme="minorHAnsi"/>
          <w:bCs/>
          <w:lang w:val="en-GB"/>
        </w:rPr>
        <w:t>1</w:t>
      </w:r>
      <w:r>
        <w:rPr>
          <w:rFonts w:asciiTheme="minorHAnsi" w:hAnsiTheme="minorHAnsi"/>
          <w:bCs/>
          <w:lang w:val="en-GB"/>
        </w:rPr>
        <w:t>).</w:t>
      </w:r>
    </w:p>
    <w:p w:rsidR="00AB5D51" w:rsidRDefault="00AB5D51" w:rsidP="00D5705B">
      <w:pPr>
        <w:numPr>
          <w:ilvl w:val="1"/>
          <w:numId w:val="1"/>
        </w:numPr>
        <w:spacing w:after="120"/>
        <w:rPr>
          <w:rFonts w:asciiTheme="minorHAnsi" w:hAnsiTheme="minorHAnsi"/>
          <w:bCs/>
          <w:lang w:val="en-GB"/>
        </w:rPr>
      </w:pPr>
      <w:r>
        <w:rPr>
          <w:rFonts w:asciiTheme="minorHAnsi" w:hAnsiTheme="minorHAnsi"/>
          <w:bCs/>
          <w:lang w:val="en-GB"/>
        </w:rPr>
        <w:t xml:space="preserve">Given the uncertain patient population, treatment duration and uncertain potential for leakage, the PBAC considered that an RSA </w:t>
      </w:r>
      <w:r w:rsidR="00A141FD" w:rsidRPr="00D52EB4">
        <w:t xml:space="preserve">a 100% rebate over the cap </w:t>
      </w:r>
      <w:r>
        <w:rPr>
          <w:rFonts w:asciiTheme="minorHAnsi" w:hAnsiTheme="minorHAnsi"/>
          <w:bCs/>
          <w:lang w:val="en-GB"/>
        </w:rPr>
        <w:t>would be required.</w:t>
      </w:r>
    </w:p>
    <w:p w:rsidR="00D52EB4" w:rsidRPr="00D52EB4" w:rsidRDefault="00D52EB4" w:rsidP="00D5705B">
      <w:pPr>
        <w:numPr>
          <w:ilvl w:val="1"/>
          <w:numId w:val="1"/>
        </w:numPr>
        <w:spacing w:after="120"/>
        <w:rPr>
          <w:rFonts w:asciiTheme="minorHAnsi" w:hAnsiTheme="minorHAnsi"/>
          <w:bCs/>
          <w:lang w:val="en-GB"/>
        </w:rPr>
      </w:pPr>
      <w:r w:rsidRPr="00D52EB4">
        <w:rPr>
          <w:rFonts w:asciiTheme="minorHAnsi" w:hAnsiTheme="minorHAnsi"/>
          <w:bCs/>
          <w:lang w:val="en-GB"/>
        </w:rPr>
        <w:t>The PBAC considered that any resubmission would need to be a major submission and would need to address the following issues:</w:t>
      </w:r>
    </w:p>
    <w:p w:rsidR="00D52EB4" w:rsidRDefault="00D52EB4" w:rsidP="00D5705B">
      <w:pPr>
        <w:pStyle w:val="Bulletpoints"/>
        <w:spacing w:after="120"/>
        <w:ind w:left="1276" w:hanging="284"/>
      </w:pPr>
      <w:r>
        <w:t>update the restriction as outlined in ‘Requested listing’ above;</w:t>
      </w:r>
    </w:p>
    <w:p w:rsidR="00D52EB4" w:rsidRPr="00D52EB4" w:rsidRDefault="00D52EB4" w:rsidP="00D5705B">
      <w:pPr>
        <w:pStyle w:val="Bulletpoints"/>
        <w:spacing w:after="120"/>
        <w:ind w:left="1276" w:hanging="284"/>
      </w:pPr>
      <w:r w:rsidRPr="00D52EB4">
        <w:t xml:space="preserve">update the economic model to </w:t>
      </w:r>
      <w:r>
        <w:t>address the issues raised in the ‘economic analysis’ section and Paragraph</w:t>
      </w:r>
      <w:r w:rsidR="00D01511">
        <w:t xml:space="preserve"> </w:t>
      </w:r>
      <w:r>
        <w:t>7.1</w:t>
      </w:r>
      <w:r w:rsidR="0018326C">
        <w:t>1</w:t>
      </w:r>
      <w:r>
        <w:t xml:space="preserve"> above</w:t>
      </w:r>
    </w:p>
    <w:p w:rsidR="00D52EB4" w:rsidRPr="00D52EB4" w:rsidRDefault="00D52EB4" w:rsidP="00D5705B">
      <w:pPr>
        <w:pStyle w:val="Bulletpoints"/>
        <w:spacing w:after="120"/>
        <w:ind w:left="1276" w:hanging="284"/>
      </w:pPr>
      <w:r w:rsidRPr="00D52EB4">
        <w:t>revise the financial estimates</w:t>
      </w:r>
      <w:r w:rsidR="005E4C03">
        <w:t xml:space="preserve"> </w:t>
      </w:r>
      <w:r w:rsidR="00A141FD">
        <w:t>to address the issues raised in the ‘Estimated PBS usage and financial implications’ section and Paragraph</w:t>
      </w:r>
      <w:r w:rsidR="00240955">
        <w:t>s 7.12 and</w:t>
      </w:r>
      <w:r w:rsidR="00A141FD">
        <w:t xml:space="preserve"> 7.1</w:t>
      </w:r>
      <w:r w:rsidR="0018326C">
        <w:t>3</w:t>
      </w:r>
      <w:r w:rsidRPr="00D52EB4">
        <w:t>; and</w:t>
      </w:r>
    </w:p>
    <w:p w:rsidR="00D52EB4" w:rsidRPr="00D52EB4" w:rsidRDefault="00D52EB4" w:rsidP="00D5705B">
      <w:pPr>
        <w:pStyle w:val="Bulletpoints"/>
        <w:spacing w:after="120"/>
        <w:ind w:left="1276" w:hanging="284"/>
        <w:rPr>
          <w:rFonts w:asciiTheme="minorHAnsi" w:hAnsiTheme="minorHAnsi"/>
          <w:bCs/>
          <w:lang w:val="en-GB"/>
        </w:rPr>
      </w:pPr>
      <w:r w:rsidRPr="00D52EB4">
        <w:t xml:space="preserve">propose an RSA with a 100% rebate over the cap to mitigate the uncertain patient population, </w:t>
      </w:r>
      <w:r w:rsidR="00A141FD">
        <w:t xml:space="preserve">treatment duration and </w:t>
      </w:r>
      <w:r w:rsidRPr="00D52EB4">
        <w:t>the</w:t>
      </w:r>
      <w:r w:rsidRPr="00D52EB4">
        <w:rPr>
          <w:rFonts w:asciiTheme="minorHAnsi" w:hAnsiTheme="minorHAnsi"/>
          <w:bCs/>
          <w:lang w:val="en-GB"/>
        </w:rPr>
        <w:t xml:space="preserve"> potential for use outside the restriction.</w:t>
      </w:r>
    </w:p>
    <w:p w:rsidR="00A968F5" w:rsidRPr="00F5245A" w:rsidRDefault="00A968F5" w:rsidP="00D5705B">
      <w:pPr>
        <w:numPr>
          <w:ilvl w:val="1"/>
          <w:numId w:val="1"/>
        </w:numPr>
        <w:spacing w:after="120"/>
        <w:rPr>
          <w:rFonts w:asciiTheme="minorHAnsi" w:hAnsiTheme="minorHAnsi"/>
          <w:bCs/>
          <w:lang w:val="en-GB"/>
        </w:rPr>
      </w:pPr>
      <w:r w:rsidRPr="00F5245A">
        <w:rPr>
          <w:rFonts w:asciiTheme="minorHAnsi" w:hAnsiTheme="minorHAnsi"/>
          <w:bCs/>
          <w:lang w:val="en-GB"/>
        </w:rPr>
        <w:t>The PBAC noted that this submission is eligible for an Independent Review.</w:t>
      </w:r>
    </w:p>
    <w:p w:rsidR="00812C1B" w:rsidRDefault="00A968F5" w:rsidP="00812C1B">
      <w:pPr>
        <w:rPr>
          <w:rFonts w:asciiTheme="minorHAnsi" w:hAnsiTheme="minorHAnsi"/>
          <w:b/>
          <w:bCs/>
          <w:lang w:val="en-GB"/>
        </w:rPr>
      </w:pPr>
      <w:r w:rsidRPr="00525B39">
        <w:rPr>
          <w:rFonts w:asciiTheme="minorHAnsi" w:hAnsiTheme="minorHAnsi"/>
          <w:b/>
          <w:bCs/>
          <w:lang w:val="en-GB"/>
        </w:rPr>
        <w:t>Outcome:</w:t>
      </w:r>
    </w:p>
    <w:p w:rsidR="00A968F5" w:rsidRDefault="00A968F5" w:rsidP="00D5705B">
      <w:pPr>
        <w:spacing w:after="120"/>
        <w:rPr>
          <w:rFonts w:asciiTheme="minorHAnsi" w:hAnsiTheme="minorHAnsi"/>
          <w:bCs/>
          <w:lang w:val="en-GB"/>
        </w:rPr>
      </w:pPr>
      <w:r w:rsidRPr="00525B39">
        <w:rPr>
          <w:rFonts w:asciiTheme="minorHAnsi" w:hAnsiTheme="minorHAnsi"/>
          <w:bCs/>
          <w:lang w:val="en-GB"/>
        </w:rPr>
        <w:t xml:space="preserve">Rejected </w:t>
      </w:r>
    </w:p>
    <w:p w:rsidR="00544BB7" w:rsidRPr="00A90911" w:rsidRDefault="00544BB7" w:rsidP="00544BB7">
      <w:pPr>
        <w:pStyle w:val="2Sections"/>
        <w:numPr>
          <w:ilvl w:val="0"/>
          <w:numId w:val="1"/>
        </w:numPr>
        <w:rPr>
          <w:rFonts w:cstheme="minorHAnsi"/>
        </w:rPr>
      </w:pPr>
      <w:r>
        <w:t xml:space="preserve">Context for Decision </w:t>
      </w:r>
    </w:p>
    <w:p w:rsidR="00A90911" w:rsidRPr="00A90911" w:rsidRDefault="00A90911" w:rsidP="00A90911">
      <w:pPr>
        <w:spacing w:after="120"/>
        <w:rPr>
          <w:rFonts w:asciiTheme="minorHAnsi" w:hAnsiTheme="minorHAnsi"/>
          <w:bCs/>
          <w:lang w:val="en-GB"/>
        </w:rPr>
      </w:pPr>
      <w:r w:rsidRPr="00A90911">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544BB7" w:rsidRPr="00D53BD3" w:rsidRDefault="00544BB7" w:rsidP="00544BB7">
      <w:pPr>
        <w:pStyle w:val="2Sections"/>
        <w:numPr>
          <w:ilvl w:val="0"/>
          <w:numId w:val="1"/>
        </w:numPr>
      </w:pPr>
      <w:r w:rsidRPr="00D53BD3">
        <w:t>Sponsor’s Comment</w:t>
      </w:r>
    </w:p>
    <w:p w:rsidR="00544BB7" w:rsidRPr="00A90911" w:rsidRDefault="00544BB7" w:rsidP="00A90911">
      <w:pPr>
        <w:spacing w:after="120" w:line="276" w:lineRule="auto"/>
        <w:rPr>
          <w:rFonts w:asciiTheme="minorHAnsi" w:eastAsiaTheme="minorHAnsi" w:hAnsiTheme="minorHAnsi"/>
          <w:bCs/>
        </w:rPr>
      </w:pPr>
      <w:r w:rsidRPr="00D53BD3">
        <w:rPr>
          <w:rFonts w:asciiTheme="minorHAnsi" w:eastAsiaTheme="minorHAnsi" w:hAnsiTheme="minorHAnsi"/>
          <w:bCs/>
        </w:rPr>
        <w:t>The sponsor had no comment.</w:t>
      </w:r>
    </w:p>
    <w:sectPr w:rsidR="00544BB7" w:rsidRPr="00A90911" w:rsidSect="000933F9">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8D80DF" w16cid:durableId="215869E8"/>
  <w16cid:commentId w16cid:paraId="235BF7F5" w16cid:durableId="215869E9"/>
  <w16cid:commentId w16cid:paraId="2FE30377" w16cid:durableId="215869F5"/>
  <w16cid:commentId w16cid:paraId="1E80B0A3" w16cid:durableId="215869EA"/>
  <w16cid:commentId w16cid:paraId="45540906" w16cid:durableId="21586C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DCE" w:rsidRDefault="006D6DCE" w:rsidP="00124A51">
      <w:r>
        <w:separator/>
      </w:r>
    </w:p>
    <w:p w:rsidR="006D6DCE" w:rsidRDefault="006D6DCE"/>
  </w:endnote>
  <w:endnote w:type="continuationSeparator" w:id="0">
    <w:p w:rsidR="006D6DCE" w:rsidRDefault="006D6DCE" w:rsidP="00124A51">
      <w:r>
        <w:continuationSeparator/>
      </w:r>
    </w:p>
    <w:p w:rsidR="006D6DCE" w:rsidRDefault="006D6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elior">
    <w:altName w:val="Calibri"/>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64" w:rsidRDefault="00155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253939"/>
      <w:docPartObj>
        <w:docPartGallery w:val="Page Numbers (Bottom of Page)"/>
        <w:docPartUnique/>
      </w:docPartObj>
    </w:sdtPr>
    <w:sdtEndPr>
      <w:rPr>
        <w:b/>
        <w:noProof/>
        <w:szCs w:val="24"/>
      </w:rPr>
    </w:sdtEndPr>
    <w:sdtContent>
      <w:p w:rsidR="000B4FDF" w:rsidRDefault="000B4FDF">
        <w:pPr>
          <w:pStyle w:val="Footer"/>
          <w:jc w:val="center"/>
        </w:pPr>
      </w:p>
      <w:p w:rsidR="000B4FDF" w:rsidRPr="00EF72E4" w:rsidRDefault="000B4FDF">
        <w:pPr>
          <w:pStyle w:val="Footer"/>
          <w:jc w:val="center"/>
          <w:rPr>
            <w:b/>
            <w:szCs w:val="24"/>
          </w:rPr>
        </w:pPr>
        <w:r w:rsidRPr="00EF72E4">
          <w:rPr>
            <w:b/>
            <w:szCs w:val="24"/>
          </w:rPr>
          <w:fldChar w:fldCharType="begin"/>
        </w:r>
        <w:r w:rsidRPr="00EF72E4">
          <w:rPr>
            <w:b/>
            <w:szCs w:val="24"/>
          </w:rPr>
          <w:instrText xml:space="preserve"> PAGE   \* MERGEFORMAT </w:instrText>
        </w:r>
        <w:r w:rsidRPr="00EF72E4">
          <w:rPr>
            <w:b/>
            <w:szCs w:val="24"/>
          </w:rPr>
          <w:fldChar w:fldCharType="separate"/>
        </w:r>
        <w:r w:rsidR="00EE1F1C">
          <w:rPr>
            <w:b/>
            <w:noProof/>
            <w:szCs w:val="24"/>
          </w:rPr>
          <w:t>1</w:t>
        </w:r>
        <w:r w:rsidRPr="00EF72E4">
          <w:rPr>
            <w:b/>
            <w:noProof/>
            <w:szCs w:val="24"/>
          </w:rPr>
          <w:fldChar w:fldCharType="end"/>
        </w:r>
      </w:p>
    </w:sdtContent>
  </w:sdt>
  <w:p w:rsidR="000B4FDF" w:rsidRDefault="000B4FDF" w:rsidP="00D06AC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64" w:rsidRDefault="00155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DCE" w:rsidRDefault="006D6DCE" w:rsidP="00124A51">
      <w:r>
        <w:separator/>
      </w:r>
    </w:p>
    <w:p w:rsidR="006D6DCE" w:rsidRPr="00753844" w:rsidRDefault="006D6DCE" w:rsidP="00124A51">
      <w:pPr>
        <w:rPr>
          <w:sz w:val="8"/>
          <w:szCs w:val="8"/>
        </w:rPr>
      </w:pPr>
    </w:p>
  </w:footnote>
  <w:footnote w:type="continuationSeparator" w:id="0">
    <w:p w:rsidR="006D6DCE" w:rsidRDefault="006D6DCE" w:rsidP="00124A51">
      <w:r>
        <w:continuationSeparator/>
      </w:r>
    </w:p>
    <w:p w:rsidR="006D6DCE" w:rsidRDefault="006D6DCE"/>
  </w:footnote>
  <w:footnote w:id="1">
    <w:p w:rsidR="000B4FDF" w:rsidRPr="00F5245A" w:rsidRDefault="000B4FDF">
      <w:pPr>
        <w:pStyle w:val="FootnoteText"/>
        <w:rPr>
          <w:rFonts w:ascii="Arial Narrow" w:hAnsi="Arial Narrow"/>
        </w:rPr>
      </w:pPr>
      <w:r w:rsidRPr="00F5245A">
        <w:rPr>
          <w:rStyle w:val="FootnoteReference"/>
          <w:rFonts w:ascii="Arial Narrow" w:hAnsi="Arial Narrow"/>
        </w:rPr>
        <w:footnoteRef/>
      </w:r>
      <w:r w:rsidRPr="00F5245A">
        <w:rPr>
          <w:rFonts w:ascii="Arial Narrow" w:hAnsi="Arial Narrow"/>
        </w:rPr>
        <w:t xml:space="preserve"> Laccarino L, et al. Clinical predictors of response and discontinuation of belimumab in patients with systemic lupus erythematosus in real life setting. Results of a large, multicentric, nationwide study. J Autoimmun 2018; 86: 1–8. https://www.sciencedirect.com/science/article/pii/S0896841117304389?via%3Dihub</w:t>
      </w:r>
    </w:p>
  </w:footnote>
  <w:footnote w:id="2">
    <w:p w:rsidR="000B4FDF" w:rsidRDefault="000B4FDF">
      <w:pPr>
        <w:pStyle w:val="FootnoteText"/>
      </w:pPr>
      <w:r>
        <w:rPr>
          <w:rStyle w:val="FootnoteReference"/>
        </w:rPr>
        <w:footnoteRef/>
      </w:r>
      <w:r>
        <w:t xml:space="preserve"> </w:t>
      </w:r>
      <w:r w:rsidRPr="006F311C">
        <w:rPr>
          <w:rFonts w:ascii="Arial Narrow" w:hAnsi="Arial Narrow"/>
        </w:rPr>
        <w:t>Fanouriakis A, et al2019 update of the EULAR recommendations for the management of systemic lupus erythematosusAnnals of the Rheumatic Diseases 2019;78:736-745. Available at: https://ard.bmj.com/content/78/6/736</w:t>
      </w:r>
    </w:p>
  </w:footnote>
  <w:footnote w:id="3">
    <w:p w:rsidR="000B4FDF" w:rsidRDefault="000B4FDF">
      <w:pPr>
        <w:pStyle w:val="FootnoteText"/>
      </w:pPr>
      <w:r>
        <w:rPr>
          <w:rStyle w:val="FootnoteReference"/>
        </w:rPr>
        <w:footnoteRef/>
      </w:r>
      <w:r>
        <w:t xml:space="preserve"> </w:t>
      </w:r>
      <w:r w:rsidRPr="00EA0422">
        <w:rPr>
          <w:rFonts w:ascii="Arial Narrow" w:hAnsi="Arial Narrow"/>
        </w:rPr>
        <w:t>Aringer M, Costenbader K, Daikh D, et al. 2019 European League against Rheumatism/American College of rheumatology classification criteria for systemic lupus erythematosus. Ann Rheum Dis 2019; 78:1151–9.</w:t>
      </w:r>
    </w:p>
  </w:footnote>
  <w:footnote w:id="4">
    <w:p w:rsidR="000B4FDF" w:rsidRPr="00B70A55" w:rsidRDefault="000B4FDF" w:rsidP="00172AD3">
      <w:pPr>
        <w:pStyle w:val="FootnoteText"/>
        <w:rPr>
          <w:rFonts w:ascii="Arial Narrow" w:hAnsi="Arial Narrow" w:cstheme="minorHAnsi"/>
          <w:sz w:val="18"/>
          <w:szCs w:val="18"/>
        </w:rPr>
      </w:pPr>
      <w:r w:rsidRPr="00B70A55">
        <w:rPr>
          <w:rStyle w:val="FootnoteReference"/>
          <w:rFonts w:ascii="Arial Narrow" w:hAnsi="Arial Narrow" w:cstheme="minorHAnsi"/>
          <w:sz w:val="18"/>
          <w:szCs w:val="18"/>
        </w:rPr>
        <w:footnoteRef/>
      </w:r>
      <w:r w:rsidRPr="00B70A55">
        <w:rPr>
          <w:rFonts w:ascii="Arial Narrow" w:hAnsi="Arial Narrow" w:cstheme="minorHAnsi"/>
          <w:sz w:val="18"/>
          <w:szCs w:val="18"/>
        </w:rPr>
        <w:t xml:space="preserve"> </w:t>
      </w:r>
      <w:r w:rsidRPr="00B70A55">
        <w:rPr>
          <w:rFonts w:ascii="Arial Narrow" w:hAnsi="Arial Narrow" w:cstheme="minorHAnsi"/>
          <w:color w:val="333333"/>
          <w:sz w:val="18"/>
          <w:szCs w:val="18"/>
          <w:shd w:val="clear" w:color="auto" w:fill="FFFFFF"/>
        </w:rPr>
        <w:t>Connelly K, Morand EF, Hoi AY. Asian ethnicity in systemic lupus erythematosus: an Australian perspective. Intern Med J 2013;43:618–24.</w:t>
      </w:r>
    </w:p>
  </w:footnote>
  <w:footnote w:id="5">
    <w:p w:rsidR="000B4FDF" w:rsidRPr="00B70A55" w:rsidRDefault="000B4FDF" w:rsidP="00172AD3">
      <w:pPr>
        <w:pStyle w:val="FootnoteText"/>
        <w:rPr>
          <w:rFonts w:ascii="Arial Narrow" w:hAnsi="Arial Narrow" w:cstheme="minorHAnsi"/>
          <w:sz w:val="18"/>
          <w:szCs w:val="18"/>
        </w:rPr>
      </w:pPr>
      <w:r w:rsidRPr="00B70A55">
        <w:rPr>
          <w:rStyle w:val="FootnoteReference"/>
          <w:rFonts w:ascii="Arial Narrow" w:hAnsi="Arial Narrow" w:cstheme="minorHAnsi"/>
          <w:sz w:val="18"/>
          <w:szCs w:val="18"/>
        </w:rPr>
        <w:footnoteRef/>
      </w:r>
      <w:r w:rsidRPr="00B70A55">
        <w:rPr>
          <w:rFonts w:ascii="Arial Narrow" w:hAnsi="Arial Narrow" w:cstheme="minorHAnsi"/>
          <w:sz w:val="18"/>
          <w:szCs w:val="18"/>
        </w:rPr>
        <w:t xml:space="preserve"> </w:t>
      </w:r>
      <w:r w:rsidRPr="00B70A55">
        <w:rPr>
          <w:rFonts w:ascii="Arial Narrow" w:hAnsi="Arial Narrow" w:cstheme="minorHAnsi"/>
          <w:color w:val="333333"/>
          <w:sz w:val="18"/>
          <w:szCs w:val="18"/>
          <w:shd w:val="clear" w:color="auto" w:fill="FFFFFF"/>
        </w:rPr>
        <w:t>Vincent FB, Bourke P, Morand EF, Mackay F, Bossingham D. Focus on systemic lupus erythematosus in Indigenous Australians: towards a better understanding of autoimmune diseases. Intern Med 2013;43:227–34.</w:t>
      </w:r>
    </w:p>
  </w:footnote>
  <w:footnote w:id="6">
    <w:p w:rsidR="000B4FDF" w:rsidRPr="00B70A55" w:rsidRDefault="000B4FDF" w:rsidP="00172AD3">
      <w:pPr>
        <w:pStyle w:val="FootnoteText"/>
        <w:rPr>
          <w:rFonts w:ascii="Arial Narrow" w:hAnsi="Arial Narrow"/>
          <w:sz w:val="18"/>
          <w:szCs w:val="18"/>
        </w:rPr>
      </w:pPr>
      <w:r w:rsidRPr="00B70A55">
        <w:rPr>
          <w:rStyle w:val="FootnoteReference"/>
          <w:rFonts w:ascii="Arial Narrow" w:hAnsi="Arial Narrow"/>
          <w:sz w:val="18"/>
          <w:szCs w:val="18"/>
        </w:rPr>
        <w:footnoteRef/>
      </w:r>
      <w:r w:rsidRPr="00B70A55">
        <w:rPr>
          <w:rFonts w:ascii="Arial Narrow" w:hAnsi="Arial Narrow"/>
          <w:sz w:val="18"/>
          <w:szCs w:val="18"/>
        </w:rPr>
        <w:t xml:space="preserve"> Mikdashi, J., &amp; Nived, O. (2015). Measuring disease activity in adults with systemic lupus erythematosus: the challenges of administrative burden and responsiveness to patient concerns in clinical research. Arthritis research &amp; therapy, 17(1), 183. doi:10.1186/s13075-015-0702-6</w:t>
      </w:r>
      <w:r>
        <w:rPr>
          <w:rFonts w:ascii="Arial Narrow" w:hAnsi="Arial Narrow"/>
          <w:sz w:val="18"/>
          <w:szCs w:val="18"/>
        </w:rPr>
        <w:t>.</w:t>
      </w:r>
    </w:p>
  </w:footnote>
  <w:footnote w:id="7">
    <w:p w:rsidR="000B4FDF" w:rsidRPr="00B70A55" w:rsidRDefault="000B4FDF" w:rsidP="00172AD3">
      <w:pPr>
        <w:pStyle w:val="FootnoteText"/>
        <w:rPr>
          <w:rFonts w:ascii="Arial Narrow" w:hAnsi="Arial Narrow"/>
          <w:sz w:val="18"/>
          <w:szCs w:val="18"/>
        </w:rPr>
      </w:pPr>
      <w:r w:rsidRPr="00B70A55">
        <w:rPr>
          <w:rStyle w:val="FootnoteReference"/>
          <w:rFonts w:ascii="Arial Narrow" w:hAnsi="Arial Narrow"/>
          <w:sz w:val="18"/>
          <w:szCs w:val="18"/>
        </w:rPr>
        <w:footnoteRef/>
      </w:r>
      <w:r w:rsidRPr="00B70A55">
        <w:rPr>
          <w:rFonts w:ascii="Arial Narrow" w:hAnsi="Arial Narrow"/>
          <w:sz w:val="18"/>
          <w:szCs w:val="18"/>
        </w:rPr>
        <w:t xml:space="preserve"> Wallace DJ, Stohl W, Furie RA, Lisse JR, McKay JD, Merrill JT, et al. A phase II, randomized, double-blind, placebo controlled, dose-ranging study of belimumab in patients with active systemic lupus erythematosus. Arthritis Rheum 2009; 61:1168–78.</w:t>
      </w:r>
    </w:p>
  </w:footnote>
  <w:footnote w:id="8">
    <w:p w:rsidR="000B4FDF" w:rsidRPr="00C463DB" w:rsidRDefault="000B4FDF">
      <w:pPr>
        <w:pStyle w:val="FootnoteText"/>
        <w:rPr>
          <w:rFonts w:ascii="Arial Narrow" w:hAnsi="Arial Narrow"/>
          <w:sz w:val="18"/>
          <w:szCs w:val="18"/>
        </w:rPr>
      </w:pPr>
      <w:r w:rsidRPr="00C463DB">
        <w:rPr>
          <w:rStyle w:val="FootnoteReference"/>
          <w:rFonts w:ascii="Arial Narrow" w:hAnsi="Arial Narrow"/>
          <w:sz w:val="18"/>
          <w:szCs w:val="18"/>
        </w:rPr>
        <w:footnoteRef/>
      </w:r>
      <w:r w:rsidRPr="00C463DB">
        <w:rPr>
          <w:rFonts w:ascii="Arial Narrow" w:hAnsi="Arial Narrow"/>
          <w:sz w:val="18"/>
          <w:szCs w:val="18"/>
        </w:rPr>
        <w:t xml:space="preserve"> Petri, M., Buyon, J. &amp; Kim, 1999. Classification and definition of major flares in SLE clinical trials. Lupus., 8(8), pp.685–691.</w:t>
      </w:r>
    </w:p>
  </w:footnote>
  <w:footnote w:id="9">
    <w:p w:rsidR="000B4FDF" w:rsidRPr="002C34C7" w:rsidRDefault="000B4FDF">
      <w:pPr>
        <w:pStyle w:val="FootnoteText"/>
        <w:rPr>
          <w:rFonts w:ascii="Arial Narrow" w:hAnsi="Arial Narrow"/>
        </w:rPr>
      </w:pPr>
      <w:r w:rsidRPr="002C34C7">
        <w:rPr>
          <w:rStyle w:val="FootnoteReference"/>
          <w:rFonts w:ascii="Arial Narrow" w:hAnsi="Arial Narrow"/>
        </w:rPr>
        <w:footnoteRef/>
      </w:r>
      <w:r w:rsidRPr="002C34C7">
        <w:rPr>
          <w:rFonts w:ascii="Arial Narrow" w:hAnsi="Arial Narrow"/>
        </w:rPr>
        <w:t xml:space="preserve"> Merrill JT, Neuwelt CM, Wallace DJ, et al. Efficacy and safety of rituximab in moderately-to-severely active systemic lupus erythematosus: the randomized, double-blind, phase II/III systemic lupus erythematosus evaluation of rituximab trial. Arthritis Rheum. 2010;62(1):222–233. </w:t>
      </w:r>
    </w:p>
  </w:footnote>
  <w:footnote w:id="10">
    <w:p w:rsidR="000B4FDF" w:rsidRPr="00C463DB" w:rsidRDefault="000B4FDF" w:rsidP="00172AD3">
      <w:pPr>
        <w:pStyle w:val="FootnoteText"/>
        <w:rPr>
          <w:rFonts w:ascii="Arial Narrow" w:hAnsi="Arial Narrow"/>
          <w:sz w:val="18"/>
          <w:szCs w:val="18"/>
        </w:rPr>
      </w:pPr>
      <w:r w:rsidRPr="00C463DB">
        <w:rPr>
          <w:rStyle w:val="FootnoteReference"/>
          <w:rFonts w:ascii="Arial Narrow" w:hAnsi="Arial Narrow"/>
          <w:sz w:val="18"/>
          <w:szCs w:val="18"/>
        </w:rPr>
        <w:footnoteRef/>
      </w:r>
      <w:r w:rsidRPr="00C463DB">
        <w:rPr>
          <w:rFonts w:ascii="Arial Narrow" w:hAnsi="Arial Narrow"/>
          <w:sz w:val="18"/>
          <w:szCs w:val="18"/>
        </w:rPr>
        <w:t xml:space="preserve"> Furie RA, Petri MA, Wallace DJ, Ginzler EM, Merrill JT, Stohl W, et al. Novel evidence-based systemic lupus erythematosus responder index. Arthritis Rheum. 2009 Sep 15;61(9):1143-51.</w:t>
      </w:r>
    </w:p>
  </w:footnote>
  <w:footnote w:id="11">
    <w:p w:rsidR="000B4FDF" w:rsidRPr="004B0F30" w:rsidRDefault="000B4FDF" w:rsidP="000D4DB4">
      <w:pPr>
        <w:pStyle w:val="FootnoteText"/>
        <w:keepNext/>
        <w:keepLines/>
        <w:rPr>
          <w:rFonts w:ascii="Arial Narrow" w:hAnsi="Arial Narrow"/>
          <w:sz w:val="18"/>
          <w:szCs w:val="18"/>
        </w:rPr>
      </w:pPr>
      <w:r w:rsidRPr="004B0F30">
        <w:rPr>
          <w:rStyle w:val="FootnoteReference"/>
          <w:rFonts w:ascii="Arial Narrow" w:hAnsi="Arial Narrow"/>
          <w:sz w:val="18"/>
          <w:szCs w:val="18"/>
        </w:rPr>
        <w:footnoteRef/>
      </w:r>
      <w:r w:rsidRPr="004B0F30">
        <w:rPr>
          <w:rFonts w:ascii="Arial Narrow" w:hAnsi="Arial Narrow"/>
          <w:sz w:val="18"/>
          <w:szCs w:val="18"/>
        </w:rPr>
        <w:t xml:space="preserve"> The primary SRI outcome in EMBRACE used SLEDAI-2K (S2K) rules instead of SELENA-SLEDAI (SS) rules when scoring for proteinuria. However, EMBRACE included SRI response using the SS scoring rules for proteinuria as a secondary outcome. The submission presented results of EMBRACE based on SS for the SRI and S2K for ≥4 point reduction from baseline in SELENA-SLEDAI score at Week 52. The SRI result for EMBRACE (S2K) is also presented below (one less patient was counted as a responder in the belimumab arm, compared to when using SS scoring).</w:t>
      </w:r>
    </w:p>
  </w:footnote>
  <w:footnote w:id="12">
    <w:p w:rsidR="000B4FDF" w:rsidRPr="00C463DB" w:rsidRDefault="000B4FDF">
      <w:pPr>
        <w:pStyle w:val="FootnoteText"/>
        <w:rPr>
          <w:rFonts w:ascii="Arial Narrow" w:hAnsi="Arial Narrow"/>
          <w:sz w:val="18"/>
          <w:szCs w:val="18"/>
        </w:rPr>
      </w:pPr>
      <w:r w:rsidRPr="00C463DB">
        <w:rPr>
          <w:rStyle w:val="FootnoteReference"/>
          <w:rFonts w:ascii="Arial Narrow" w:hAnsi="Arial Narrow"/>
          <w:sz w:val="18"/>
          <w:szCs w:val="18"/>
        </w:rPr>
        <w:footnoteRef/>
      </w:r>
      <w:r w:rsidRPr="00C463DB">
        <w:rPr>
          <w:rFonts w:ascii="Arial Narrow" w:hAnsi="Arial Narrow"/>
          <w:sz w:val="18"/>
          <w:szCs w:val="18"/>
        </w:rPr>
        <w:t xml:space="preserve"> Kandala N, et al. Belimumab: a technological advance for systemic lupus erythematosus patients? Report of a systematic review and meta-analysis. BMJ Open 2013;3: https://bmjopen.bmj.com/content/3/7/e002852</w:t>
      </w:r>
    </w:p>
  </w:footnote>
  <w:footnote w:id="13">
    <w:p w:rsidR="000B4FDF" w:rsidRDefault="000B4FDF" w:rsidP="006F2F52">
      <w:pPr>
        <w:pStyle w:val="FootnoteText"/>
      </w:pPr>
      <w:r>
        <w:rPr>
          <w:rStyle w:val="FootnoteReference"/>
        </w:rPr>
        <w:footnoteRef/>
      </w:r>
      <w:r>
        <w:t xml:space="preserve"> </w:t>
      </w:r>
      <w:r w:rsidRPr="00753844">
        <w:rPr>
          <w:rFonts w:ascii="Arial Narrow" w:hAnsi="Arial Narrow"/>
        </w:rPr>
        <w:t>No significant treatment-by-subgroup interactions were observed for any of these subgroups. The interaction p-values were: 0.960, 0.212 and 0.246 for anti-ds DNA</w:t>
      </w:r>
      <w:r>
        <w:rPr>
          <w:rFonts w:ascii="Arial Narrow" w:hAnsi="Arial Narrow"/>
        </w:rPr>
        <w:t xml:space="preserve"> positivity</w:t>
      </w:r>
      <w:r w:rsidRPr="00753844">
        <w:rPr>
          <w:rFonts w:ascii="Arial Narrow" w:hAnsi="Arial Narrow"/>
        </w:rPr>
        <w:t>; SELENA-SLEDAI score ≥10</w:t>
      </w:r>
      <w:r>
        <w:rPr>
          <w:rFonts w:ascii="Arial Narrow" w:hAnsi="Arial Narrow"/>
        </w:rPr>
        <w:t>; and use of prednisone at baseline</w:t>
      </w:r>
      <w:r w:rsidRPr="00753844">
        <w:rPr>
          <w:rFonts w:ascii="Arial Narrow" w:hAnsi="Arial Narrow"/>
        </w:rPr>
        <w:t xml:space="preserve"> (pp 1183, 1187, 1188 of the CSR)</w:t>
      </w:r>
      <w:r>
        <w:rPr>
          <w:rFonts w:ascii="Arial Narrow" w:hAnsi="Arial Narrow"/>
        </w:rPr>
        <w:t>.</w:t>
      </w:r>
    </w:p>
  </w:footnote>
  <w:footnote w:id="14">
    <w:p w:rsidR="000B4FDF" w:rsidRDefault="000B4FDF">
      <w:pPr>
        <w:pStyle w:val="FootnoteText"/>
      </w:pPr>
      <w:r>
        <w:rPr>
          <w:rStyle w:val="FootnoteReference"/>
        </w:rPr>
        <w:footnoteRef/>
      </w:r>
      <w:r>
        <w:t xml:space="preserve"> </w:t>
      </w:r>
      <w:r w:rsidRPr="001B082E">
        <w:rPr>
          <w:rFonts w:ascii="Arial Narrow" w:hAnsi="Arial Narrow"/>
        </w:rPr>
        <w:t>Jorge, AM, Lu N, Zhang Y, et al.  Unchanging premature mortality trends in systemic lupus erythematosus: a general population-based study (1999-2014).  Rheumatology 2018; 57: 337-344</w:t>
      </w:r>
      <w:r>
        <w:rPr>
          <w:rFonts w:ascii="Arial Narrow" w:hAnsi="Arial Narrow"/>
        </w:rPr>
        <w:t>.</w:t>
      </w:r>
    </w:p>
  </w:footnote>
  <w:footnote w:id="15">
    <w:p w:rsidR="000B4FDF" w:rsidRPr="00C463DB" w:rsidRDefault="000B4FDF" w:rsidP="00172AD3">
      <w:pPr>
        <w:pStyle w:val="FootnoteText"/>
        <w:rPr>
          <w:rFonts w:ascii="Arial Narrow" w:hAnsi="Arial Narrow"/>
          <w:sz w:val="18"/>
          <w:szCs w:val="18"/>
        </w:rPr>
      </w:pPr>
      <w:r w:rsidRPr="00C463DB">
        <w:rPr>
          <w:rStyle w:val="FootnoteReference"/>
          <w:rFonts w:ascii="Arial Narrow" w:hAnsi="Arial Narrow"/>
          <w:sz w:val="18"/>
          <w:szCs w:val="18"/>
        </w:rPr>
        <w:footnoteRef/>
      </w:r>
      <w:r w:rsidRPr="00C463DB">
        <w:rPr>
          <w:rFonts w:ascii="Arial Narrow" w:hAnsi="Arial Narrow"/>
          <w:sz w:val="18"/>
          <w:szCs w:val="18"/>
        </w:rPr>
        <w:t xml:space="preserve"> Sheikh S, Scheinberg M, Cheng-Chung Wei J, et al LB0012</w:t>
      </w:r>
      <w:r w:rsidRPr="00C463DB">
        <w:rPr>
          <w:rFonts w:ascii="Arial" w:hAnsi="Arial"/>
          <w:sz w:val="18"/>
          <w:szCs w:val="18"/>
        </w:rPr>
        <w:t> </w:t>
      </w:r>
      <w:r w:rsidRPr="00C463DB">
        <w:rPr>
          <w:rFonts w:ascii="Arial Narrow" w:hAnsi="Arial Narrow"/>
          <w:sz w:val="18"/>
          <w:szCs w:val="18"/>
        </w:rPr>
        <w:t xml:space="preserve">Headline results for a Phase 4, 52-week, randomised, double-blind, placebo-controlled study to assess adverse events of special interest (AESI) in adults with active, autoantibody-positive systemic lupus erythematosus (SLE) receiving belimumab. Annals of the Rheumatic Diseases 2019;78:266. The Clinical Study Report is anticipated to be available at the end of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64" w:rsidRDefault="00155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DF" w:rsidRPr="001C75BC" w:rsidRDefault="000B4FDF" w:rsidP="001C75BC">
    <w:pPr>
      <w:tabs>
        <w:tab w:val="left" w:pos="142"/>
        <w:tab w:val="right" w:pos="9027"/>
      </w:tabs>
      <w:jc w:val="center"/>
      <w:rPr>
        <w:i/>
      </w:rPr>
    </w:pPr>
    <w:r>
      <w:rPr>
        <w:i/>
        <w:szCs w:val="24"/>
      </w:rPr>
      <w:t xml:space="preserve">Public Summary Document </w:t>
    </w:r>
    <w:r w:rsidRPr="001C75BC">
      <w:rPr>
        <w:i/>
        <w:szCs w:val="24"/>
      </w:rPr>
      <w:t>– November 2019 PBAC Meeting</w:t>
    </w:r>
  </w:p>
  <w:p w:rsidR="000B4FDF" w:rsidRDefault="000B4FDF" w:rsidP="001C75BC">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64" w:rsidRDefault="00155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15AB9"/>
    <w:multiLevelType w:val="hybridMultilevel"/>
    <w:tmpl w:val="56FA0B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22F11FC"/>
    <w:multiLevelType w:val="hybridMultilevel"/>
    <w:tmpl w:val="45DA30A4"/>
    <w:styleLink w:val="Bullet"/>
    <w:lvl w:ilvl="0" w:tplc="6EB6D05C">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502BB4">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3E3CBE">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C685DA">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DAF888">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A437AE">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3A1BFC">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E286F2">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DA9B30">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3" w15:restartNumberingAfterBreak="0">
    <w:nsid w:val="420B6ECC"/>
    <w:multiLevelType w:val="hybridMultilevel"/>
    <w:tmpl w:val="C23E7B90"/>
    <w:lvl w:ilvl="0" w:tplc="ED1E5F1E">
      <w:start w:val="1"/>
      <w:numFmt w:val="bullet"/>
      <w:pStyle w:val="BulletedList"/>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E57C6"/>
    <w:multiLevelType w:val="hybridMultilevel"/>
    <w:tmpl w:val="0650AC06"/>
    <w:lvl w:ilvl="0" w:tplc="C5C80ADE">
      <w:numFmt w:val="bullet"/>
      <w:lvlText w:val="-"/>
      <w:lvlJc w:val="left"/>
      <w:pPr>
        <w:ind w:left="720" w:hanging="360"/>
      </w:pPr>
      <w:rPr>
        <w:rFonts w:ascii="Calibri" w:eastAsiaTheme="minorEastAsia"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0D6F74"/>
    <w:multiLevelType w:val="hybridMultilevel"/>
    <w:tmpl w:val="2BF49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A36E8B"/>
    <w:multiLevelType w:val="hybridMultilevel"/>
    <w:tmpl w:val="755605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4B31A6"/>
    <w:multiLevelType w:val="hybridMultilevel"/>
    <w:tmpl w:val="17601842"/>
    <w:lvl w:ilvl="0" w:tplc="7B7E3694">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950C58"/>
    <w:multiLevelType w:val="hybridMultilevel"/>
    <w:tmpl w:val="5DD884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8C25C48"/>
    <w:multiLevelType w:val="hybridMultilevel"/>
    <w:tmpl w:val="F93063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5104A76"/>
    <w:multiLevelType w:val="hybridMultilevel"/>
    <w:tmpl w:val="B6824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033C"/>
    <w:multiLevelType w:val="multilevel"/>
    <w:tmpl w:val="647C6F3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7B0AC6"/>
    <w:multiLevelType w:val="hybridMultilevel"/>
    <w:tmpl w:val="5C6E8550"/>
    <w:lvl w:ilvl="0" w:tplc="C5C80ADE">
      <w:numFmt w:val="bullet"/>
      <w:lvlText w:val="-"/>
      <w:lvlJc w:val="left"/>
      <w:pPr>
        <w:ind w:left="720" w:hanging="360"/>
      </w:pPr>
      <w:rPr>
        <w:rFonts w:ascii="Calibri" w:eastAsiaTheme="minorEastAsia"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2"/>
  </w:num>
  <w:num w:numId="5">
    <w:abstractNumId w:val="7"/>
  </w:num>
  <w:num w:numId="6">
    <w:abstractNumId w:val="13"/>
  </w:num>
  <w:num w:numId="7">
    <w:abstractNumId w:val="5"/>
  </w:num>
  <w:num w:numId="8">
    <w:abstractNumId w:val="9"/>
  </w:num>
  <w:num w:numId="9">
    <w:abstractNumId w:val="0"/>
  </w:num>
  <w:num w:numId="10">
    <w:abstractNumId w:val="11"/>
  </w:num>
  <w:num w:numId="11">
    <w:abstractNumId w:val="10"/>
  </w:num>
  <w:num w:numId="12">
    <w:abstractNumId w:val="1"/>
  </w:num>
  <w:num w:numId="13">
    <w:abstractNumId w:val="8"/>
  </w:num>
  <w:num w:numId="14">
    <w:abstractNumId w:val="4"/>
  </w:num>
  <w:num w:numId="15">
    <w:abstractNumId w:val="4"/>
  </w:num>
  <w:num w:numId="16">
    <w:abstractNumId w:val="6"/>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38C"/>
    <w:rsid w:val="000029D2"/>
    <w:rsid w:val="00003499"/>
    <w:rsid w:val="000039B7"/>
    <w:rsid w:val="0000438D"/>
    <w:rsid w:val="000056D8"/>
    <w:rsid w:val="0000667B"/>
    <w:rsid w:val="000069E8"/>
    <w:rsid w:val="0000740C"/>
    <w:rsid w:val="000106CD"/>
    <w:rsid w:val="000107A9"/>
    <w:rsid w:val="00011138"/>
    <w:rsid w:val="00011297"/>
    <w:rsid w:val="000115FD"/>
    <w:rsid w:val="00011E56"/>
    <w:rsid w:val="00013247"/>
    <w:rsid w:val="00013256"/>
    <w:rsid w:val="0001325E"/>
    <w:rsid w:val="00013995"/>
    <w:rsid w:val="000145AA"/>
    <w:rsid w:val="0001470A"/>
    <w:rsid w:val="00015886"/>
    <w:rsid w:val="00015BC3"/>
    <w:rsid w:val="000162EF"/>
    <w:rsid w:val="00017D4D"/>
    <w:rsid w:val="000215F2"/>
    <w:rsid w:val="00021808"/>
    <w:rsid w:val="0002225F"/>
    <w:rsid w:val="000225AE"/>
    <w:rsid w:val="00022F06"/>
    <w:rsid w:val="00022F9F"/>
    <w:rsid w:val="00023763"/>
    <w:rsid w:val="0002393C"/>
    <w:rsid w:val="00024F9E"/>
    <w:rsid w:val="000259E3"/>
    <w:rsid w:val="00025A64"/>
    <w:rsid w:val="000308CE"/>
    <w:rsid w:val="00031E11"/>
    <w:rsid w:val="00031ED6"/>
    <w:rsid w:val="0003218C"/>
    <w:rsid w:val="0003231D"/>
    <w:rsid w:val="00032D34"/>
    <w:rsid w:val="000337CB"/>
    <w:rsid w:val="00033863"/>
    <w:rsid w:val="000339E1"/>
    <w:rsid w:val="00033FAE"/>
    <w:rsid w:val="00034836"/>
    <w:rsid w:val="000349CB"/>
    <w:rsid w:val="000350F6"/>
    <w:rsid w:val="0003566B"/>
    <w:rsid w:val="00035DC0"/>
    <w:rsid w:val="00036829"/>
    <w:rsid w:val="00036C12"/>
    <w:rsid w:val="00036C17"/>
    <w:rsid w:val="00037D63"/>
    <w:rsid w:val="00040895"/>
    <w:rsid w:val="00041106"/>
    <w:rsid w:val="00043C37"/>
    <w:rsid w:val="0004403C"/>
    <w:rsid w:val="00045017"/>
    <w:rsid w:val="00045A2B"/>
    <w:rsid w:val="0004698F"/>
    <w:rsid w:val="00046B91"/>
    <w:rsid w:val="00047182"/>
    <w:rsid w:val="0004729A"/>
    <w:rsid w:val="00047B21"/>
    <w:rsid w:val="00047D6D"/>
    <w:rsid w:val="00047DFB"/>
    <w:rsid w:val="00050DF7"/>
    <w:rsid w:val="0005111D"/>
    <w:rsid w:val="00051238"/>
    <w:rsid w:val="00052321"/>
    <w:rsid w:val="00053656"/>
    <w:rsid w:val="000539D0"/>
    <w:rsid w:val="00054621"/>
    <w:rsid w:val="000546D7"/>
    <w:rsid w:val="00055C2C"/>
    <w:rsid w:val="0005603B"/>
    <w:rsid w:val="00056CBF"/>
    <w:rsid w:val="00060775"/>
    <w:rsid w:val="00060924"/>
    <w:rsid w:val="000609C5"/>
    <w:rsid w:val="00061114"/>
    <w:rsid w:val="00062546"/>
    <w:rsid w:val="00062673"/>
    <w:rsid w:val="000640C1"/>
    <w:rsid w:val="00065ECF"/>
    <w:rsid w:val="00066360"/>
    <w:rsid w:val="00067808"/>
    <w:rsid w:val="00067A84"/>
    <w:rsid w:val="00071248"/>
    <w:rsid w:val="000720B9"/>
    <w:rsid w:val="000727D4"/>
    <w:rsid w:val="00072B55"/>
    <w:rsid w:val="000737F7"/>
    <w:rsid w:val="00073D41"/>
    <w:rsid w:val="00075BD9"/>
    <w:rsid w:val="00075DEA"/>
    <w:rsid w:val="0007672F"/>
    <w:rsid w:val="00076FA8"/>
    <w:rsid w:val="000774F0"/>
    <w:rsid w:val="00077A55"/>
    <w:rsid w:val="00080573"/>
    <w:rsid w:val="00080909"/>
    <w:rsid w:val="000812CA"/>
    <w:rsid w:val="00081906"/>
    <w:rsid w:val="0008258D"/>
    <w:rsid w:val="00082CB2"/>
    <w:rsid w:val="00082F68"/>
    <w:rsid w:val="00083E99"/>
    <w:rsid w:val="0008469B"/>
    <w:rsid w:val="00084989"/>
    <w:rsid w:val="0008522A"/>
    <w:rsid w:val="000856C5"/>
    <w:rsid w:val="00085E47"/>
    <w:rsid w:val="000861CA"/>
    <w:rsid w:val="000862E9"/>
    <w:rsid w:val="000869FA"/>
    <w:rsid w:val="00087F38"/>
    <w:rsid w:val="000900ED"/>
    <w:rsid w:val="00090C7E"/>
    <w:rsid w:val="00091346"/>
    <w:rsid w:val="000925D1"/>
    <w:rsid w:val="00092600"/>
    <w:rsid w:val="0009262B"/>
    <w:rsid w:val="00093310"/>
    <w:rsid w:val="000933F9"/>
    <w:rsid w:val="0009371F"/>
    <w:rsid w:val="00093B49"/>
    <w:rsid w:val="0009445C"/>
    <w:rsid w:val="00094CE3"/>
    <w:rsid w:val="0009552C"/>
    <w:rsid w:val="00095FE5"/>
    <w:rsid w:val="00096041"/>
    <w:rsid w:val="00096284"/>
    <w:rsid w:val="0009633B"/>
    <w:rsid w:val="000A21E1"/>
    <w:rsid w:val="000A34C4"/>
    <w:rsid w:val="000A37CD"/>
    <w:rsid w:val="000A636C"/>
    <w:rsid w:val="000A72E6"/>
    <w:rsid w:val="000A7D08"/>
    <w:rsid w:val="000B0670"/>
    <w:rsid w:val="000B0E75"/>
    <w:rsid w:val="000B2A65"/>
    <w:rsid w:val="000B2A95"/>
    <w:rsid w:val="000B33EE"/>
    <w:rsid w:val="000B43DE"/>
    <w:rsid w:val="000B4D7B"/>
    <w:rsid w:val="000B4FDF"/>
    <w:rsid w:val="000B50E5"/>
    <w:rsid w:val="000B556A"/>
    <w:rsid w:val="000B57C9"/>
    <w:rsid w:val="000B6CAC"/>
    <w:rsid w:val="000B6DBE"/>
    <w:rsid w:val="000B70A4"/>
    <w:rsid w:val="000B7612"/>
    <w:rsid w:val="000C3DF9"/>
    <w:rsid w:val="000C6713"/>
    <w:rsid w:val="000C6B9C"/>
    <w:rsid w:val="000C7291"/>
    <w:rsid w:val="000D1BFC"/>
    <w:rsid w:val="000D281A"/>
    <w:rsid w:val="000D2C99"/>
    <w:rsid w:val="000D2FBA"/>
    <w:rsid w:val="000D326A"/>
    <w:rsid w:val="000D4DB4"/>
    <w:rsid w:val="000D5061"/>
    <w:rsid w:val="000D51FB"/>
    <w:rsid w:val="000D5240"/>
    <w:rsid w:val="000D5369"/>
    <w:rsid w:val="000D6BE1"/>
    <w:rsid w:val="000D770F"/>
    <w:rsid w:val="000E008B"/>
    <w:rsid w:val="000E135D"/>
    <w:rsid w:val="000E268D"/>
    <w:rsid w:val="000E3221"/>
    <w:rsid w:val="000E3420"/>
    <w:rsid w:val="000E4862"/>
    <w:rsid w:val="000E7DAA"/>
    <w:rsid w:val="000E7F89"/>
    <w:rsid w:val="000F00BA"/>
    <w:rsid w:val="000F1959"/>
    <w:rsid w:val="000F1E26"/>
    <w:rsid w:val="000F316A"/>
    <w:rsid w:val="000F336E"/>
    <w:rsid w:val="000F3933"/>
    <w:rsid w:val="000F3C74"/>
    <w:rsid w:val="000F4BB8"/>
    <w:rsid w:val="000F4C37"/>
    <w:rsid w:val="000F6085"/>
    <w:rsid w:val="000F6108"/>
    <w:rsid w:val="000F67CD"/>
    <w:rsid w:val="000F7112"/>
    <w:rsid w:val="000F7127"/>
    <w:rsid w:val="00100462"/>
    <w:rsid w:val="00100860"/>
    <w:rsid w:val="00100F22"/>
    <w:rsid w:val="00100F8A"/>
    <w:rsid w:val="001012CD"/>
    <w:rsid w:val="00101F6A"/>
    <w:rsid w:val="00102FDA"/>
    <w:rsid w:val="001030C4"/>
    <w:rsid w:val="00105159"/>
    <w:rsid w:val="001057DE"/>
    <w:rsid w:val="00105AE2"/>
    <w:rsid w:val="0010694C"/>
    <w:rsid w:val="00106B80"/>
    <w:rsid w:val="00107F3E"/>
    <w:rsid w:val="001102EB"/>
    <w:rsid w:val="0011032E"/>
    <w:rsid w:val="001111ED"/>
    <w:rsid w:val="0011348B"/>
    <w:rsid w:val="0011373D"/>
    <w:rsid w:val="0011582A"/>
    <w:rsid w:val="00115982"/>
    <w:rsid w:val="0011644B"/>
    <w:rsid w:val="00116C53"/>
    <w:rsid w:val="00117F42"/>
    <w:rsid w:val="001203AB"/>
    <w:rsid w:val="00121799"/>
    <w:rsid w:val="00121F6A"/>
    <w:rsid w:val="00122181"/>
    <w:rsid w:val="001222FC"/>
    <w:rsid w:val="00122BF4"/>
    <w:rsid w:val="00123713"/>
    <w:rsid w:val="00124A51"/>
    <w:rsid w:val="00124AD5"/>
    <w:rsid w:val="00125459"/>
    <w:rsid w:val="001254A6"/>
    <w:rsid w:val="00126377"/>
    <w:rsid w:val="00126621"/>
    <w:rsid w:val="001301E9"/>
    <w:rsid w:val="00131D82"/>
    <w:rsid w:val="001328D2"/>
    <w:rsid w:val="0013293F"/>
    <w:rsid w:val="00132AA7"/>
    <w:rsid w:val="00132F46"/>
    <w:rsid w:val="0013319F"/>
    <w:rsid w:val="001339BE"/>
    <w:rsid w:val="00133D36"/>
    <w:rsid w:val="00136D52"/>
    <w:rsid w:val="001370F7"/>
    <w:rsid w:val="00137645"/>
    <w:rsid w:val="0014015A"/>
    <w:rsid w:val="00140E99"/>
    <w:rsid w:val="0014250D"/>
    <w:rsid w:val="00142663"/>
    <w:rsid w:val="00144C4F"/>
    <w:rsid w:val="00144F27"/>
    <w:rsid w:val="00145540"/>
    <w:rsid w:val="001456B0"/>
    <w:rsid w:val="00147157"/>
    <w:rsid w:val="001500C8"/>
    <w:rsid w:val="001502F3"/>
    <w:rsid w:val="00150527"/>
    <w:rsid w:val="00150AEF"/>
    <w:rsid w:val="00150CA9"/>
    <w:rsid w:val="00152B7B"/>
    <w:rsid w:val="00152C2A"/>
    <w:rsid w:val="00153C32"/>
    <w:rsid w:val="00155E64"/>
    <w:rsid w:val="00157002"/>
    <w:rsid w:val="00157130"/>
    <w:rsid w:val="001576B1"/>
    <w:rsid w:val="00160A4C"/>
    <w:rsid w:val="00161005"/>
    <w:rsid w:val="00161428"/>
    <w:rsid w:val="001620D3"/>
    <w:rsid w:val="00162913"/>
    <w:rsid w:val="0016347B"/>
    <w:rsid w:val="00163EFF"/>
    <w:rsid w:val="00165E43"/>
    <w:rsid w:val="001661FB"/>
    <w:rsid w:val="00166C67"/>
    <w:rsid w:val="00171653"/>
    <w:rsid w:val="00172AD3"/>
    <w:rsid w:val="00173565"/>
    <w:rsid w:val="001736A2"/>
    <w:rsid w:val="00173B07"/>
    <w:rsid w:val="001752AB"/>
    <w:rsid w:val="00175E95"/>
    <w:rsid w:val="00177311"/>
    <w:rsid w:val="001815A2"/>
    <w:rsid w:val="001818B8"/>
    <w:rsid w:val="00181D9C"/>
    <w:rsid w:val="0018258A"/>
    <w:rsid w:val="0018326C"/>
    <w:rsid w:val="00183601"/>
    <w:rsid w:val="001839D3"/>
    <w:rsid w:val="00184A5E"/>
    <w:rsid w:val="00184D39"/>
    <w:rsid w:val="00186643"/>
    <w:rsid w:val="0018752F"/>
    <w:rsid w:val="00190428"/>
    <w:rsid w:val="00190EC7"/>
    <w:rsid w:val="00191233"/>
    <w:rsid w:val="00192101"/>
    <w:rsid w:val="0019271A"/>
    <w:rsid w:val="00192801"/>
    <w:rsid w:val="00195222"/>
    <w:rsid w:val="0019641E"/>
    <w:rsid w:val="00196C3F"/>
    <w:rsid w:val="001975D8"/>
    <w:rsid w:val="00197C2B"/>
    <w:rsid w:val="001A00A8"/>
    <w:rsid w:val="001A1B1E"/>
    <w:rsid w:val="001A35E3"/>
    <w:rsid w:val="001A3B6B"/>
    <w:rsid w:val="001A3CC4"/>
    <w:rsid w:val="001A3E56"/>
    <w:rsid w:val="001A43FA"/>
    <w:rsid w:val="001A4813"/>
    <w:rsid w:val="001A59FB"/>
    <w:rsid w:val="001A6354"/>
    <w:rsid w:val="001A6AE2"/>
    <w:rsid w:val="001A76F8"/>
    <w:rsid w:val="001A79C1"/>
    <w:rsid w:val="001A7AE8"/>
    <w:rsid w:val="001A7ED0"/>
    <w:rsid w:val="001B082E"/>
    <w:rsid w:val="001B0C01"/>
    <w:rsid w:val="001B1E98"/>
    <w:rsid w:val="001B204E"/>
    <w:rsid w:val="001B2E0D"/>
    <w:rsid w:val="001B3443"/>
    <w:rsid w:val="001B4091"/>
    <w:rsid w:val="001B42A2"/>
    <w:rsid w:val="001B4D20"/>
    <w:rsid w:val="001B5260"/>
    <w:rsid w:val="001B60A6"/>
    <w:rsid w:val="001C2A9B"/>
    <w:rsid w:val="001C2AA1"/>
    <w:rsid w:val="001C4299"/>
    <w:rsid w:val="001C5F94"/>
    <w:rsid w:val="001C6E66"/>
    <w:rsid w:val="001C75BC"/>
    <w:rsid w:val="001C78BF"/>
    <w:rsid w:val="001C7987"/>
    <w:rsid w:val="001C7BC1"/>
    <w:rsid w:val="001D19D9"/>
    <w:rsid w:val="001D259A"/>
    <w:rsid w:val="001D2682"/>
    <w:rsid w:val="001D550A"/>
    <w:rsid w:val="001D5852"/>
    <w:rsid w:val="001D7B1B"/>
    <w:rsid w:val="001E046F"/>
    <w:rsid w:val="001E238E"/>
    <w:rsid w:val="001E2483"/>
    <w:rsid w:val="001E28F4"/>
    <w:rsid w:val="001E2B1E"/>
    <w:rsid w:val="001E2B32"/>
    <w:rsid w:val="001E30D4"/>
    <w:rsid w:val="001E3E8A"/>
    <w:rsid w:val="001E52EB"/>
    <w:rsid w:val="001E5FD8"/>
    <w:rsid w:val="001E61D2"/>
    <w:rsid w:val="001E6234"/>
    <w:rsid w:val="001E740C"/>
    <w:rsid w:val="001E7EEB"/>
    <w:rsid w:val="001F1235"/>
    <w:rsid w:val="001F1BBE"/>
    <w:rsid w:val="001F1CB3"/>
    <w:rsid w:val="001F2D98"/>
    <w:rsid w:val="001F38B5"/>
    <w:rsid w:val="001F4A55"/>
    <w:rsid w:val="001F5228"/>
    <w:rsid w:val="001F5D06"/>
    <w:rsid w:val="001F7361"/>
    <w:rsid w:val="001F798F"/>
    <w:rsid w:val="002008A4"/>
    <w:rsid w:val="00200DC8"/>
    <w:rsid w:val="002011B0"/>
    <w:rsid w:val="00201EF1"/>
    <w:rsid w:val="00203181"/>
    <w:rsid w:val="002032FF"/>
    <w:rsid w:val="00203783"/>
    <w:rsid w:val="0020385F"/>
    <w:rsid w:val="00204731"/>
    <w:rsid w:val="0020636C"/>
    <w:rsid w:val="00207021"/>
    <w:rsid w:val="002072FE"/>
    <w:rsid w:val="0020732F"/>
    <w:rsid w:val="00207D00"/>
    <w:rsid w:val="002100A2"/>
    <w:rsid w:val="002105C1"/>
    <w:rsid w:val="00213910"/>
    <w:rsid w:val="00217CA0"/>
    <w:rsid w:val="00220FE4"/>
    <w:rsid w:val="0022277A"/>
    <w:rsid w:val="00223251"/>
    <w:rsid w:val="00223544"/>
    <w:rsid w:val="0022392C"/>
    <w:rsid w:val="00223B49"/>
    <w:rsid w:val="00224355"/>
    <w:rsid w:val="0022435E"/>
    <w:rsid w:val="00224DD4"/>
    <w:rsid w:val="00225118"/>
    <w:rsid w:val="00226023"/>
    <w:rsid w:val="002262F2"/>
    <w:rsid w:val="00227119"/>
    <w:rsid w:val="00227591"/>
    <w:rsid w:val="002309CC"/>
    <w:rsid w:val="0023209F"/>
    <w:rsid w:val="00233664"/>
    <w:rsid w:val="00233972"/>
    <w:rsid w:val="002349A0"/>
    <w:rsid w:val="00234BAD"/>
    <w:rsid w:val="0023629D"/>
    <w:rsid w:val="00237255"/>
    <w:rsid w:val="0023771C"/>
    <w:rsid w:val="0024088F"/>
    <w:rsid w:val="00240955"/>
    <w:rsid w:val="00240BFE"/>
    <w:rsid w:val="00241E8E"/>
    <w:rsid w:val="002424AF"/>
    <w:rsid w:val="00242B64"/>
    <w:rsid w:val="00242C90"/>
    <w:rsid w:val="00243315"/>
    <w:rsid w:val="002439DC"/>
    <w:rsid w:val="00243A6E"/>
    <w:rsid w:val="0024424C"/>
    <w:rsid w:val="00244DC8"/>
    <w:rsid w:val="002458BA"/>
    <w:rsid w:val="0024636C"/>
    <w:rsid w:val="00247046"/>
    <w:rsid w:val="00247925"/>
    <w:rsid w:val="002506E1"/>
    <w:rsid w:val="002511E2"/>
    <w:rsid w:val="00251D52"/>
    <w:rsid w:val="0025329A"/>
    <w:rsid w:val="00253450"/>
    <w:rsid w:val="0025361D"/>
    <w:rsid w:val="00254DCF"/>
    <w:rsid w:val="002551A3"/>
    <w:rsid w:val="0025534B"/>
    <w:rsid w:val="002559B1"/>
    <w:rsid w:val="00255BB7"/>
    <w:rsid w:val="00256F8A"/>
    <w:rsid w:val="002571FB"/>
    <w:rsid w:val="00257541"/>
    <w:rsid w:val="00262A1A"/>
    <w:rsid w:val="00262A87"/>
    <w:rsid w:val="00264D26"/>
    <w:rsid w:val="00264F78"/>
    <w:rsid w:val="00265DFA"/>
    <w:rsid w:val="00267642"/>
    <w:rsid w:val="0026783C"/>
    <w:rsid w:val="00267AEA"/>
    <w:rsid w:val="00267FF5"/>
    <w:rsid w:val="002700E6"/>
    <w:rsid w:val="00270DA8"/>
    <w:rsid w:val="00270F15"/>
    <w:rsid w:val="00272380"/>
    <w:rsid w:val="0027294B"/>
    <w:rsid w:val="00272F46"/>
    <w:rsid w:val="00273014"/>
    <w:rsid w:val="00273E8E"/>
    <w:rsid w:val="00273FB3"/>
    <w:rsid w:val="002746F9"/>
    <w:rsid w:val="00275C5A"/>
    <w:rsid w:val="00275E96"/>
    <w:rsid w:val="00276032"/>
    <w:rsid w:val="002776DC"/>
    <w:rsid w:val="002800E3"/>
    <w:rsid w:val="00281014"/>
    <w:rsid w:val="00281113"/>
    <w:rsid w:val="002830F4"/>
    <w:rsid w:val="00284112"/>
    <w:rsid w:val="0028468D"/>
    <w:rsid w:val="00285163"/>
    <w:rsid w:val="00286CE9"/>
    <w:rsid w:val="00287572"/>
    <w:rsid w:val="0029351C"/>
    <w:rsid w:val="00294FAD"/>
    <w:rsid w:val="002955DF"/>
    <w:rsid w:val="002A14AB"/>
    <w:rsid w:val="002A1AEC"/>
    <w:rsid w:val="002A2CD9"/>
    <w:rsid w:val="002A2F50"/>
    <w:rsid w:val="002A3C93"/>
    <w:rsid w:val="002A44A6"/>
    <w:rsid w:val="002A4AFE"/>
    <w:rsid w:val="002A7452"/>
    <w:rsid w:val="002A7484"/>
    <w:rsid w:val="002B09A4"/>
    <w:rsid w:val="002B0AD6"/>
    <w:rsid w:val="002B13E6"/>
    <w:rsid w:val="002B1C1F"/>
    <w:rsid w:val="002B3FE1"/>
    <w:rsid w:val="002B432F"/>
    <w:rsid w:val="002B4E2A"/>
    <w:rsid w:val="002B62B3"/>
    <w:rsid w:val="002B650D"/>
    <w:rsid w:val="002B6754"/>
    <w:rsid w:val="002B693F"/>
    <w:rsid w:val="002B6B36"/>
    <w:rsid w:val="002B6CCE"/>
    <w:rsid w:val="002C085B"/>
    <w:rsid w:val="002C0AD0"/>
    <w:rsid w:val="002C1592"/>
    <w:rsid w:val="002C1FA9"/>
    <w:rsid w:val="002C2510"/>
    <w:rsid w:val="002C2775"/>
    <w:rsid w:val="002C27C1"/>
    <w:rsid w:val="002C34C7"/>
    <w:rsid w:val="002C4223"/>
    <w:rsid w:val="002C42D8"/>
    <w:rsid w:val="002C4727"/>
    <w:rsid w:val="002C4D93"/>
    <w:rsid w:val="002C5099"/>
    <w:rsid w:val="002C5726"/>
    <w:rsid w:val="002C5889"/>
    <w:rsid w:val="002C6ABA"/>
    <w:rsid w:val="002C71CE"/>
    <w:rsid w:val="002D25DA"/>
    <w:rsid w:val="002D29B6"/>
    <w:rsid w:val="002D388A"/>
    <w:rsid w:val="002D3D5A"/>
    <w:rsid w:val="002D3F20"/>
    <w:rsid w:val="002D4FCA"/>
    <w:rsid w:val="002D5624"/>
    <w:rsid w:val="002D577C"/>
    <w:rsid w:val="002D5B24"/>
    <w:rsid w:val="002D5EC7"/>
    <w:rsid w:val="002E1265"/>
    <w:rsid w:val="002E15B9"/>
    <w:rsid w:val="002E1925"/>
    <w:rsid w:val="002E2158"/>
    <w:rsid w:val="002E255A"/>
    <w:rsid w:val="002E5D02"/>
    <w:rsid w:val="002E6811"/>
    <w:rsid w:val="002E6814"/>
    <w:rsid w:val="002E6B6A"/>
    <w:rsid w:val="002E6CBD"/>
    <w:rsid w:val="002E729E"/>
    <w:rsid w:val="002E7722"/>
    <w:rsid w:val="002E7954"/>
    <w:rsid w:val="002F0363"/>
    <w:rsid w:val="002F066C"/>
    <w:rsid w:val="002F07BA"/>
    <w:rsid w:val="002F0DA9"/>
    <w:rsid w:val="002F1032"/>
    <w:rsid w:val="002F1E52"/>
    <w:rsid w:val="002F523C"/>
    <w:rsid w:val="002F61A6"/>
    <w:rsid w:val="002F6232"/>
    <w:rsid w:val="002F643C"/>
    <w:rsid w:val="002F6D72"/>
    <w:rsid w:val="002F71C0"/>
    <w:rsid w:val="002F7DA3"/>
    <w:rsid w:val="00301017"/>
    <w:rsid w:val="003011CD"/>
    <w:rsid w:val="0030155F"/>
    <w:rsid w:val="00303F46"/>
    <w:rsid w:val="0030422E"/>
    <w:rsid w:val="00304AFD"/>
    <w:rsid w:val="00305430"/>
    <w:rsid w:val="0030587B"/>
    <w:rsid w:val="00306D98"/>
    <w:rsid w:val="00306DED"/>
    <w:rsid w:val="003077B5"/>
    <w:rsid w:val="0030786C"/>
    <w:rsid w:val="0031031A"/>
    <w:rsid w:val="00310981"/>
    <w:rsid w:val="003110B4"/>
    <w:rsid w:val="00313EC1"/>
    <w:rsid w:val="00315498"/>
    <w:rsid w:val="003159B4"/>
    <w:rsid w:val="0031616A"/>
    <w:rsid w:val="00316591"/>
    <w:rsid w:val="003206B9"/>
    <w:rsid w:val="0032154C"/>
    <w:rsid w:val="003220AD"/>
    <w:rsid w:val="00322107"/>
    <w:rsid w:val="00322846"/>
    <w:rsid w:val="00323C65"/>
    <w:rsid w:val="00323DF6"/>
    <w:rsid w:val="003240AF"/>
    <w:rsid w:val="003268C7"/>
    <w:rsid w:val="00326DA7"/>
    <w:rsid w:val="00326DF0"/>
    <w:rsid w:val="003270E4"/>
    <w:rsid w:val="003278CB"/>
    <w:rsid w:val="00327D1A"/>
    <w:rsid w:val="00330F5C"/>
    <w:rsid w:val="00331128"/>
    <w:rsid w:val="0033123B"/>
    <w:rsid w:val="003318A0"/>
    <w:rsid w:val="00331AD0"/>
    <w:rsid w:val="0033329E"/>
    <w:rsid w:val="0033454E"/>
    <w:rsid w:val="003366C9"/>
    <w:rsid w:val="00337168"/>
    <w:rsid w:val="003371B0"/>
    <w:rsid w:val="00340615"/>
    <w:rsid w:val="00340DF1"/>
    <w:rsid w:val="00341DF0"/>
    <w:rsid w:val="003420C0"/>
    <w:rsid w:val="00343260"/>
    <w:rsid w:val="003441CE"/>
    <w:rsid w:val="0034473B"/>
    <w:rsid w:val="00346675"/>
    <w:rsid w:val="00347198"/>
    <w:rsid w:val="00347923"/>
    <w:rsid w:val="003517F9"/>
    <w:rsid w:val="00351A9E"/>
    <w:rsid w:val="00351D33"/>
    <w:rsid w:val="003520F5"/>
    <w:rsid w:val="003539D2"/>
    <w:rsid w:val="0035425D"/>
    <w:rsid w:val="00354AD3"/>
    <w:rsid w:val="00355C84"/>
    <w:rsid w:val="0035620E"/>
    <w:rsid w:val="00357681"/>
    <w:rsid w:val="0036023F"/>
    <w:rsid w:val="00360B89"/>
    <w:rsid w:val="00360C5E"/>
    <w:rsid w:val="003624C4"/>
    <w:rsid w:val="003628AD"/>
    <w:rsid w:val="0036315D"/>
    <w:rsid w:val="003649EE"/>
    <w:rsid w:val="00364E8F"/>
    <w:rsid w:val="003654AC"/>
    <w:rsid w:val="003656AE"/>
    <w:rsid w:val="00365A6F"/>
    <w:rsid w:val="0037031D"/>
    <w:rsid w:val="00370F30"/>
    <w:rsid w:val="003710CF"/>
    <w:rsid w:val="00371BE6"/>
    <w:rsid w:val="00372676"/>
    <w:rsid w:val="00372D9A"/>
    <w:rsid w:val="0037358A"/>
    <w:rsid w:val="00373B62"/>
    <w:rsid w:val="00374731"/>
    <w:rsid w:val="003750F6"/>
    <w:rsid w:val="003760FC"/>
    <w:rsid w:val="00376ED0"/>
    <w:rsid w:val="003773E0"/>
    <w:rsid w:val="0037778B"/>
    <w:rsid w:val="00377F88"/>
    <w:rsid w:val="00380340"/>
    <w:rsid w:val="00380AEC"/>
    <w:rsid w:val="00381AF1"/>
    <w:rsid w:val="0038365C"/>
    <w:rsid w:val="0038369B"/>
    <w:rsid w:val="00383B78"/>
    <w:rsid w:val="003846AB"/>
    <w:rsid w:val="00385A9D"/>
    <w:rsid w:val="00385DD2"/>
    <w:rsid w:val="00387D18"/>
    <w:rsid w:val="003902B1"/>
    <w:rsid w:val="0039043E"/>
    <w:rsid w:val="00391FC5"/>
    <w:rsid w:val="00393FC3"/>
    <w:rsid w:val="00394E6E"/>
    <w:rsid w:val="0039516B"/>
    <w:rsid w:val="00396896"/>
    <w:rsid w:val="00396FD0"/>
    <w:rsid w:val="003A0300"/>
    <w:rsid w:val="003A0A6B"/>
    <w:rsid w:val="003A15EB"/>
    <w:rsid w:val="003A1A7A"/>
    <w:rsid w:val="003A2392"/>
    <w:rsid w:val="003A2831"/>
    <w:rsid w:val="003A2D28"/>
    <w:rsid w:val="003A3ED1"/>
    <w:rsid w:val="003A53EA"/>
    <w:rsid w:val="003A5567"/>
    <w:rsid w:val="003A64F4"/>
    <w:rsid w:val="003A73F7"/>
    <w:rsid w:val="003B146D"/>
    <w:rsid w:val="003B1ED0"/>
    <w:rsid w:val="003B20CF"/>
    <w:rsid w:val="003B4296"/>
    <w:rsid w:val="003B469C"/>
    <w:rsid w:val="003B5844"/>
    <w:rsid w:val="003B5B61"/>
    <w:rsid w:val="003B64C1"/>
    <w:rsid w:val="003C1654"/>
    <w:rsid w:val="003C400C"/>
    <w:rsid w:val="003C52A8"/>
    <w:rsid w:val="003C5BFD"/>
    <w:rsid w:val="003C6831"/>
    <w:rsid w:val="003C7D19"/>
    <w:rsid w:val="003D11C9"/>
    <w:rsid w:val="003D1828"/>
    <w:rsid w:val="003D1DE4"/>
    <w:rsid w:val="003D21BA"/>
    <w:rsid w:val="003D2422"/>
    <w:rsid w:val="003D2687"/>
    <w:rsid w:val="003D26B5"/>
    <w:rsid w:val="003D37F3"/>
    <w:rsid w:val="003D39A1"/>
    <w:rsid w:val="003D3FBF"/>
    <w:rsid w:val="003D4046"/>
    <w:rsid w:val="003D4A30"/>
    <w:rsid w:val="003D4ED7"/>
    <w:rsid w:val="003D6942"/>
    <w:rsid w:val="003D6EA0"/>
    <w:rsid w:val="003D7160"/>
    <w:rsid w:val="003D79BB"/>
    <w:rsid w:val="003D7C98"/>
    <w:rsid w:val="003E0543"/>
    <w:rsid w:val="003E084D"/>
    <w:rsid w:val="003E23A7"/>
    <w:rsid w:val="003E2C05"/>
    <w:rsid w:val="003E3F92"/>
    <w:rsid w:val="003E7097"/>
    <w:rsid w:val="003E73E3"/>
    <w:rsid w:val="003E7824"/>
    <w:rsid w:val="003F06B0"/>
    <w:rsid w:val="003F2150"/>
    <w:rsid w:val="003F27BE"/>
    <w:rsid w:val="003F2A09"/>
    <w:rsid w:val="003F2A90"/>
    <w:rsid w:val="003F4156"/>
    <w:rsid w:val="003F4A65"/>
    <w:rsid w:val="003F4EC9"/>
    <w:rsid w:val="003F5BFF"/>
    <w:rsid w:val="003F7F7A"/>
    <w:rsid w:val="00400B29"/>
    <w:rsid w:val="00400D5A"/>
    <w:rsid w:val="00403D3F"/>
    <w:rsid w:val="0040504B"/>
    <w:rsid w:val="00406B5D"/>
    <w:rsid w:val="004070DE"/>
    <w:rsid w:val="0040740B"/>
    <w:rsid w:val="0040769A"/>
    <w:rsid w:val="00410324"/>
    <w:rsid w:val="00410708"/>
    <w:rsid w:val="00410729"/>
    <w:rsid w:val="00410EC7"/>
    <w:rsid w:val="00411B39"/>
    <w:rsid w:val="00411BFB"/>
    <w:rsid w:val="00413A1E"/>
    <w:rsid w:val="00413DE0"/>
    <w:rsid w:val="004142CF"/>
    <w:rsid w:val="00414476"/>
    <w:rsid w:val="00414C2E"/>
    <w:rsid w:val="004151CF"/>
    <w:rsid w:val="00415886"/>
    <w:rsid w:val="0041596C"/>
    <w:rsid w:val="00416364"/>
    <w:rsid w:val="00416BC4"/>
    <w:rsid w:val="0041729A"/>
    <w:rsid w:val="00420AA6"/>
    <w:rsid w:val="00420B9F"/>
    <w:rsid w:val="00422260"/>
    <w:rsid w:val="0042305D"/>
    <w:rsid w:val="00423753"/>
    <w:rsid w:val="0042413F"/>
    <w:rsid w:val="00424958"/>
    <w:rsid w:val="00425515"/>
    <w:rsid w:val="00426031"/>
    <w:rsid w:val="00426645"/>
    <w:rsid w:val="0043176A"/>
    <w:rsid w:val="004319F8"/>
    <w:rsid w:val="00431E55"/>
    <w:rsid w:val="004321F6"/>
    <w:rsid w:val="0043288C"/>
    <w:rsid w:val="00433044"/>
    <w:rsid w:val="004331DE"/>
    <w:rsid w:val="00436CAF"/>
    <w:rsid w:val="004372C3"/>
    <w:rsid w:val="00437353"/>
    <w:rsid w:val="004375B9"/>
    <w:rsid w:val="0044030E"/>
    <w:rsid w:val="00440BF0"/>
    <w:rsid w:val="0044160F"/>
    <w:rsid w:val="00442421"/>
    <w:rsid w:val="004428D0"/>
    <w:rsid w:val="00442E0B"/>
    <w:rsid w:val="00443326"/>
    <w:rsid w:val="004435D9"/>
    <w:rsid w:val="004443A7"/>
    <w:rsid w:val="0044442C"/>
    <w:rsid w:val="00445941"/>
    <w:rsid w:val="00445F36"/>
    <w:rsid w:val="004461EE"/>
    <w:rsid w:val="004464EB"/>
    <w:rsid w:val="00447D26"/>
    <w:rsid w:val="00447F54"/>
    <w:rsid w:val="00450907"/>
    <w:rsid w:val="00450B8B"/>
    <w:rsid w:val="00453097"/>
    <w:rsid w:val="004558AC"/>
    <w:rsid w:val="00455AC6"/>
    <w:rsid w:val="00455D45"/>
    <w:rsid w:val="004573AA"/>
    <w:rsid w:val="00457DAF"/>
    <w:rsid w:val="00457F7E"/>
    <w:rsid w:val="00460424"/>
    <w:rsid w:val="00462B17"/>
    <w:rsid w:val="004644A1"/>
    <w:rsid w:val="00464595"/>
    <w:rsid w:val="00464929"/>
    <w:rsid w:val="00464BE4"/>
    <w:rsid w:val="0046504D"/>
    <w:rsid w:val="0046642C"/>
    <w:rsid w:val="00466B59"/>
    <w:rsid w:val="00466B8F"/>
    <w:rsid w:val="00466E22"/>
    <w:rsid w:val="00470A88"/>
    <w:rsid w:val="00470BF9"/>
    <w:rsid w:val="0047182E"/>
    <w:rsid w:val="00471BAF"/>
    <w:rsid w:val="00472A79"/>
    <w:rsid w:val="00472C27"/>
    <w:rsid w:val="00473F19"/>
    <w:rsid w:val="00474B38"/>
    <w:rsid w:val="004758E1"/>
    <w:rsid w:val="00475E22"/>
    <w:rsid w:val="00475EE5"/>
    <w:rsid w:val="00476E3D"/>
    <w:rsid w:val="0048088E"/>
    <w:rsid w:val="004825A7"/>
    <w:rsid w:val="00482720"/>
    <w:rsid w:val="004829DA"/>
    <w:rsid w:val="004835E7"/>
    <w:rsid w:val="00483974"/>
    <w:rsid w:val="004839EF"/>
    <w:rsid w:val="00483E67"/>
    <w:rsid w:val="0048446D"/>
    <w:rsid w:val="004851E4"/>
    <w:rsid w:val="004864A9"/>
    <w:rsid w:val="004867E2"/>
    <w:rsid w:val="00486A1E"/>
    <w:rsid w:val="00486E52"/>
    <w:rsid w:val="0049135F"/>
    <w:rsid w:val="004917D7"/>
    <w:rsid w:val="00491B3A"/>
    <w:rsid w:val="00491D1A"/>
    <w:rsid w:val="00492CFD"/>
    <w:rsid w:val="00492D05"/>
    <w:rsid w:val="00494DD5"/>
    <w:rsid w:val="00495689"/>
    <w:rsid w:val="004962D2"/>
    <w:rsid w:val="004967DF"/>
    <w:rsid w:val="004A0633"/>
    <w:rsid w:val="004A0A6E"/>
    <w:rsid w:val="004A0DA1"/>
    <w:rsid w:val="004A1EF9"/>
    <w:rsid w:val="004A2B37"/>
    <w:rsid w:val="004A32EC"/>
    <w:rsid w:val="004A4682"/>
    <w:rsid w:val="004A52E9"/>
    <w:rsid w:val="004A6597"/>
    <w:rsid w:val="004A76E3"/>
    <w:rsid w:val="004A7848"/>
    <w:rsid w:val="004A7A11"/>
    <w:rsid w:val="004A7C35"/>
    <w:rsid w:val="004B0CE5"/>
    <w:rsid w:val="004B0F30"/>
    <w:rsid w:val="004B18D8"/>
    <w:rsid w:val="004B1ACB"/>
    <w:rsid w:val="004B1CB4"/>
    <w:rsid w:val="004B21BA"/>
    <w:rsid w:val="004B2F18"/>
    <w:rsid w:val="004B3DDB"/>
    <w:rsid w:val="004B43E3"/>
    <w:rsid w:val="004B4468"/>
    <w:rsid w:val="004B44FD"/>
    <w:rsid w:val="004B5CE8"/>
    <w:rsid w:val="004B5CFC"/>
    <w:rsid w:val="004B72D5"/>
    <w:rsid w:val="004B76AD"/>
    <w:rsid w:val="004B774D"/>
    <w:rsid w:val="004B7B67"/>
    <w:rsid w:val="004C0103"/>
    <w:rsid w:val="004C1130"/>
    <w:rsid w:val="004C1325"/>
    <w:rsid w:val="004C30B7"/>
    <w:rsid w:val="004C4AA5"/>
    <w:rsid w:val="004C4AED"/>
    <w:rsid w:val="004D2C2D"/>
    <w:rsid w:val="004D2CE1"/>
    <w:rsid w:val="004D3B75"/>
    <w:rsid w:val="004D7227"/>
    <w:rsid w:val="004D762C"/>
    <w:rsid w:val="004E0E7F"/>
    <w:rsid w:val="004E0EB8"/>
    <w:rsid w:val="004E1BF6"/>
    <w:rsid w:val="004E1F2E"/>
    <w:rsid w:val="004E2ADC"/>
    <w:rsid w:val="004E2CA5"/>
    <w:rsid w:val="004E3B8B"/>
    <w:rsid w:val="004E3C2B"/>
    <w:rsid w:val="004E40F1"/>
    <w:rsid w:val="004E4332"/>
    <w:rsid w:val="004E43B2"/>
    <w:rsid w:val="004E4F47"/>
    <w:rsid w:val="004E63DE"/>
    <w:rsid w:val="004E6DB1"/>
    <w:rsid w:val="004E7E84"/>
    <w:rsid w:val="004F0637"/>
    <w:rsid w:val="004F1D02"/>
    <w:rsid w:val="004F2679"/>
    <w:rsid w:val="004F2F21"/>
    <w:rsid w:val="004F36C8"/>
    <w:rsid w:val="004F552F"/>
    <w:rsid w:val="004F5B32"/>
    <w:rsid w:val="004F6035"/>
    <w:rsid w:val="004F6913"/>
    <w:rsid w:val="004F7567"/>
    <w:rsid w:val="004F7865"/>
    <w:rsid w:val="00500AFD"/>
    <w:rsid w:val="00500F46"/>
    <w:rsid w:val="0050219B"/>
    <w:rsid w:val="0050274C"/>
    <w:rsid w:val="00502F6A"/>
    <w:rsid w:val="00503E84"/>
    <w:rsid w:val="00503F17"/>
    <w:rsid w:val="00505F23"/>
    <w:rsid w:val="00506928"/>
    <w:rsid w:val="00507678"/>
    <w:rsid w:val="005076B0"/>
    <w:rsid w:val="00510356"/>
    <w:rsid w:val="00511406"/>
    <w:rsid w:val="00512663"/>
    <w:rsid w:val="00512D47"/>
    <w:rsid w:val="00514F0A"/>
    <w:rsid w:val="005152B5"/>
    <w:rsid w:val="00516FFD"/>
    <w:rsid w:val="00521319"/>
    <w:rsid w:val="005228E6"/>
    <w:rsid w:val="00522BC8"/>
    <w:rsid w:val="00523C28"/>
    <w:rsid w:val="005248B3"/>
    <w:rsid w:val="00525B53"/>
    <w:rsid w:val="00530B4F"/>
    <w:rsid w:val="00531659"/>
    <w:rsid w:val="00531760"/>
    <w:rsid w:val="005338E7"/>
    <w:rsid w:val="00533DFD"/>
    <w:rsid w:val="00534D40"/>
    <w:rsid w:val="00536DCA"/>
    <w:rsid w:val="00536F42"/>
    <w:rsid w:val="00537182"/>
    <w:rsid w:val="0054005E"/>
    <w:rsid w:val="00542743"/>
    <w:rsid w:val="00542B88"/>
    <w:rsid w:val="00542C2D"/>
    <w:rsid w:val="00544BB7"/>
    <w:rsid w:val="005450DB"/>
    <w:rsid w:val="00545209"/>
    <w:rsid w:val="00545FA7"/>
    <w:rsid w:val="00546223"/>
    <w:rsid w:val="00546A10"/>
    <w:rsid w:val="00546A61"/>
    <w:rsid w:val="00547DD0"/>
    <w:rsid w:val="00551985"/>
    <w:rsid w:val="00552B3E"/>
    <w:rsid w:val="00552BD3"/>
    <w:rsid w:val="00553D54"/>
    <w:rsid w:val="00554376"/>
    <w:rsid w:val="005546F0"/>
    <w:rsid w:val="00554959"/>
    <w:rsid w:val="00554A26"/>
    <w:rsid w:val="00555109"/>
    <w:rsid w:val="00557501"/>
    <w:rsid w:val="005577F8"/>
    <w:rsid w:val="005613FA"/>
    <w:rsid w:val="005625FA"/>
    <w:rsid w:val="00565199"/>
    <w:rsid w:val="00566101"/>
    <w:rsid w:val="0056696F"/>
    <w:rsid w:val="00572269"/>
    <w:rsid w:val="0057244A"/>
    <w:rsid w:val="005725C5"/>
    <w:rsid w:val="00572686"/>
    <w:rsid w:val="0057441B"/>
    <w:rsid w:val="00574AFD"/>
    <w:rsid w:val="005751EE"/>
    <w:rsid w:val="005752C4"/>
    <w:rsid w:val="00575500"/>
    <w:rsid w:val="0057598B"/>
    <w:rsid w:val="00575D8D"/>
    <w:rsid w:val="005760E0"/>
    <w:rsid w:val="0057637F"/>
    <w:rsid w:val="00576972"/>
    <w:rsid w:val="00576B0B"/>
    <w:rsid w:val="005779FD"/>
    <w:rsid w:val="00577C66"/>
    <w:rsid w:val="00580E7A"/>
    <w:rsid w:val="005823E2"/>
    <w:rsid w:val="00582EFF"/>
    <w:rsid w:val="00583699"/>
    <w:rsid w:val="00583F24"/>
    <w:rsid w:val="0058419D"/>
    <w:rsid w:val="005854AA"/>
    <w:rsid w:val="00585CDD"/>
    <w:rsid w:val="00586AF3"/>
    <w:rsid w:val="00587058"/>
    <w:rsid w:val="00590B93"/>
    <w:rsid w:val="00591957"/>
    <w:rsid w:val="00594693"/>
    <w:rsid w:val="00597BF9"/>
    <w:rsid w:val="005A139B"/>
    <w:rsid w:val="005A279E"/>
    <w:rsid w:val="005A286F"/>
    <w:rsid w:val="005A2EEC"/>
    <w:rsid w:val="005A373D"/>
    <w:rsid w:val="005A4955"/>
    <w:rsid w:val="005A6057"/>
    <w:rsid w:val="005A6322"/>
    <w:rsid w:val="005A66C9"/>
    <w:rsid w:val="005A6DF5"/>
    <w:rsid w:val="005A7181"/>
    <w:rsid w:val="005A7845"/>
    <w:rsid w:val="005B0290"/>
    <w:rsid w:val="005B22FC"/>
    <w:rsid w:val="005B26C5"/>
    <w:rsid w:val="005B2A51"/>
    <w:rsid w:val="005B31F9"/>
    <w:rsid w:val="005B4720"/>
    <w:rsid w:val="005B5857"/>
    <w:rsid w:val="005B6B82"/>
    <w:rsid w:val="005B79B4"/>
    <w:rsid w:val="005C1B83"/>
    <w:rsid w:val="005C2D55"/>
    <w:rsid w:val="005C314D"/>
    <w:rsid w:val="005C346B"/>
    <w:rsid w:val="005C38C5"/>
    <w:rsid w:val="005C5809"/>
    <w:rsid w:val="005D044D"/>
    <w:rsid w:val="005D0ABD"/>
    <w:rsid w:val="005D0C07"/>
    <w:rsid w:val="005D18AD"/>
    <w:rsid w:val="005D26B4"/>
    <w:rsid w:val="005D2967"/>
    <w:rsid w:val="005D2B76"/>
    <w:rsid w:val="005D3F7A"/>
    <w:rsid w:val="005D54BE"/>
    <w:rsid w:val="005D556D"/>
    <w:rsid w:val="005D61AF"/>
    <w:rsid w:val="005D7685"/>
    <w:rsid w:val="005D76AA"/>
    <w:rsid w:val="005D77E0"/>
    <w:rsid w:val="005D7B2A"/>
    <w:rsid w:val="005D7D86"/>
    <w:rsid w:val="005E1B28"/>
    <w:rsid w:val="005E3610"/>
    <w:rsid w:val="005E3909"/>
    <w:rsid w:val="005E423B"/>
    <w:rsid w:val="005E4C03"/>
    <w:rsid w:val="005E5A73"/>
    <w:rsid w:val="005E5B36"/>
    <w:rsid w:val="005E6CBC"/>
    <w:rsid w:val="005E73C0"/>
    <w:rsid w:val="005E7C23"/>
    <w:rsid w:val="005F031D"/>
    <w:rsid w:val="005F1F1B"/>
    <w:rsid w:val="005F23EE"/>
    <w:rsid w:val="005F2706"/>
    <w:rsid w:val="005F52D6"/>
    <w:rsid w:val="005F61CB"/>
    <w:rsid w:val="005F6229"/>
    <w:rsid w:val="005F6A8F"/>
    <w:rsid w:val="005F7B0E"/>
    <w:rsid w:val="00600ABE"/>
    <w:rsid w:val="00601497"/>
    <w:rsid w:val="00601557"/>
    <w:rsid w:val="00603A14"/>
    <w:rsid w:val="00603DB9"/>
    <w:rsid w:val="006046E7"/>
    <w:rsid w:val="00604C7E"/>
    <w:rsid w:val="00604FC6"/>
    <w:rsid w:val="00605642"/>
    <w:rsid w:val="00605790"/>
    <w:rsid w:val="00606D4E"/>
    <w:rsid w:val="00607669"/>
    <w:rsid w:val="00607AFD"/>
    <w:rsid w:val="0061058B"/>
    <w:rsid w:val="00612F97"/>
    <w:rsid w:val="0061345D"/>
    <w:rsid w:val="00613BC1"/>
    <w:rsid w:val="00614898"/>
    <w:rsid w:val="00616802"/>
    <w:rsid w:val="00616C13"/>
    <w:rsid w:val="00616F88"/>
    <w:rsid w:val="00617D8A"/>
    <w:rsid w:val="00617E12"/>
    <w:rsid w:val="00620046"/>
    <w:rsid w:val="00620FEC"/>
    <w:rsid w:val="00621477"/>
    <w:rsid w:val="00621829"/>
    <w:rsid w:val="00622C05"/>
    <w:rsid w:val="00623E33"/>
    <w:rsid w:val="0062559B"/>
    <w:rsid w:val="0062572B"/>
    <w:rsid w:val="00625889"/>
    <w:rsid w:val="00625F81"/>
    <w:rsid w:val="00626E19"/>
    <w:rsid w:val="006303DD"/>
    <w:rsid w:val="00630770"/>
    <w:rsid w:val="0063158F"/>
    <w:rsid w:val="00631D6B"/>
    <w:rsid w:val="00632627"/>
    <w:rsid w:val="006326FE"/>
    <w:rsid w:val="006330A1"/>
    <w:rsid w:val="00633106"/>
    <w:rsid w:val="006335C9"/>
    <w:rsid w:val="0063479F"/>
    <w:rsid w:val="00634839"/>
    <w:rsid w:val="006353F0"/>
    <w:rsid w:val="00635CC2"/>
    <w:rsid w:val="006364A1"/>
    <w:rsid w:val="00637A91"/>
    <w:rsid w:val="00637BFD"/>
    <w:rsid w:val="00640880"/>
    <w:rsid w:val="00641C4E"/>
    <w:rsid w:val="00642FBD"/>
    <w:rsid w:val="00645E34"/>
    <w:rsid w:val="00646A8C"/>
    <w:rsid w:val="00647058"/>
    <w:rsid w:val="006471CC"/>
    <w:rsid w:val="00647D14"/>
    <w:rsid w:val="0065079F"/>
    <w:rsid w:val="006510DE"/>
    <w:rsid w:val="00651FBB"/>
    <w:rsid w:val="00652408"/>
    <w:rsid w:val="006530C0"/>
    <w:rsid w:val="00653171"/>
    <w:rsid w:val="0065379F"/>
    <w:rsid w:val="0065391B"/>
    <w:rsid w:val="00653B10"/>
    <w:rsid w:val="006569D8"/>
    <w:rsid w:val="00661B8B"/>
    <w:rsid w:val="00661C6B"/>
    <w:rsid w:val="00662F6F"/>
    <w:rsid w:val="00664225"/>
    <w:rsid w:val="00664963"/>
    <w:rsid w:val="00666987"/>
    <w:rsid w:val="006700BE"/>
    <w:rsid w:val="00670313"/>
    <w:rsid w:val="00670748"/>
    <w:rsid w:val="006716F1"/>
    <w:rsid w:val="00673216"/>
    <w:rsid w:val="00674E42"/>
    <w:rsid w:val="00675A39"/>
    <w:rsid w:val="00676A40"/>
    <w:rsid w:val="00676DED"/>
    <w:rsid w:val="00677322"/>
    <w:rsid w:val="00680606"/>
    <w:rsid w:val="00680AA9"/>
    <w:rsid w:val="00681578"/>
    <w:rsid w:val="00681976"/>
    <w:rsid w:val="00682112"/>
    <w:rsid w:val="0068299A"/>
    <w:rsid w:val="00682B91"/>
    <w:rsid w:val="00682BE7"/>
    <w:rsid w:val="006835EE"/>
    <w:rsid w:val="00683EB3"/>
    <w:rsid w:val="00684B02"/>
    <w:rsid w:val="00685A10"/>
    <w:rsid w:val="00686957"/>
    <w:rsid w:val="006872BA"/>
    <w:rsid w:val="00687519"/>
    <w:rsid w:val="00687778"/>
    <w:rsid w:val="006912FA"/>
    <w:rsid w:val="00691648"/>
    <w:rsid w:val="006917D7"/>
    <w:rsid w:val="00691A3D"/>
    <w:rsid w:val="0069221D"/>
    <w:rsid w:val="00692E28"/>
    <w:rsid w:val="00693483"/>
    <w:rsid w:val="00694A70"/>
    <w:rsid w:val="00694AAE"/>
    <w:rsid w:val="00694F44"/>
    <w:rsid w:val="006960AD"/>
    <w:rsid w:val="006960D6"/>
    <w:rsid w:val="006A237A"/>
    <w:rsid w:val="006A3BDB"/>
    <w:rsid w:val="006A580E"/>
    <w:rsid w:val="006A7771"/>
    <w:rsid w:val="006A7E5F"/>
    <w:rsid w:val="006B108E"/>
    <w:rsid w:val="006B261B"/>
    <w:rsid w:val="006B2C90"/>
    <w:rsid w:val="006B3B3D"/>
    <w:rsid w:val="006B3E15"/>
    <w:rsid w:val="006B562F"/>
    <w:rsid w:val="006B5CDF"/>
    <w:rsid w:val="006B6DD0"/>
    <w:rsid w:val="006C02C9"/>
    <w:rsid w:val="006C0BF9"/>
    <w:rsid w:val="006C0D28"/>
    <w:rsid w:val="006C1667"/>
    <w:rsid w:val="006C1752"/>
    <w:rsid w:val="006C2A8E"/>
    <w:rsid w:val="006C434D"/>
    <w:rsid w:val="006C5A53"/>
    <w:rsid w:val="006C5E82"/>
    <w:rsid w:val="006C653B"/>
    <w:rsid w:val="006C6CE9"/>
    <w:rsid w:val="006C72E6"/>
    <w:rsid w:val="006C7E42"/>
    <w:rsid w:val="006D2603"/>
    <w:rsid w:val="006D28F2"/>
    <w:rsid w:val="006D2E5D"/>
    <w:rsid w:val="006D3C7D"/>
    <w:rsid w:val="006D489E"/>
    <w:rsid w:val="006D5BFC"/>
    <w:rsid w:val="006D5D5F"/>
    <w:rsid w:val="006D6DCE"/>
    <w:rsid w:val="006E07D6"/>
    <w:rsid w:val="006E1097"/>
    <w:rsid w:val="006E1FE5"/>
    <w:rsid w:val="006E285D"/>
    <w:rsid w:val="006E37B3"/>
    <w:rsid w:val="006E3E7D"/>
    <w:rsid w:val="006E4027"/>
    <w:rsid w:val="006E761D"/>
    <w:rsid w:val="006E781A"/>
    <w:rsid w:val="006E7957"/>
    <w:rsid w:val="006F08C6"/>
    <w:rsid w:val="006F1C01"/>
    <w:rsid w:val="006F228A"/>
    <w:rsid w:val="006F2C0B"/>
    <w:rsid w:val="006F2F52"/>
    <w:rsid w:val="006F306C"/>
    <w:rsid w:val="006F30B2"/>
    <w:rsid w:val="006F311C"/>
    <w:rsid w:val="006F362D"/>
    <w:rsid w:val="006F5039"/>
    <w:rsid w:val="006F63A5"/>
    <w:rsid w:val="006F69CB"/>
    <w:rsid w:val="006F7DE6"/>
    <w:rsid w:val="00700E74"/>
    <w:rsid w:val="0070142B"/>
    <w:rsid w:val="0070276E"/>
    <w:rsid w:val="007027A2"/>
    <w:rsid w:val="00702F8F"/>
    <w:rsid w:val="0070322E"/>
    <w:rsid w:val="007039A7"/>
    <w:rsid w:val="00703D67"/>
    <w:rsid w:val="00705036"/>
    <w:rsid w:val="007056D7"/>
    <w:rsid w:val="00705AF0"/>
    <w:rsid w:val="00706674"/>
    <w:rsid w:val="00710A75"/>
    <w:rsid w:val="007113DF"/>
    <w:rsid w:val="00711A36"/>
    <w:rsid w:val="00714123"/>
    <w:rsid w:val="00714289"/>
    <w:rsid w:val="007144FA"/>
    <w:rsid w:val="00714D63"/>
    <w:rsid w:val="0071529C"/>
    <w:rsid w:val="00715AF5"/>
    <w:rsid w:val="00715E13"/>
    <w:rsid w:val="00716C1C"/>
    <w:rsid w:val="007172AD"/>
    <w:rsid w:val="0072076A"/>
    <w:rsid w:val="00722B1B"/>
    <w:rsid w:val="0072350D"/>
    <w:rsid w:val="00723B36"/>
    <w:rsid w:val="0072416F"/>
    <w:rsid w:val="00724E9A"/>
    <w:rsid w:val="00726E96"/>
    <w:rsid w:val="00727C94"/>
    <w:rsid w:val="00727E06"/>
    <w:rsid w:val="007302A0"/>
    <w:rsid w:val="0073107B"/>
    <w:rsid w:val="00731EAE"/>
    <w:rsid w:val="00733C47"/>
    <w:rsid w:val="007344E3"/>
    <w:rsid w:val="00735033"/>
    <w:rsid w:val="00735328"/>
    <w:rsid w:val="0073547E"/>
    <w:rsid w:val="00735B60"/>
    <w:rsid w:val="00736797"/>
    <w:rsid w:val="0073685B"/>
    <w:rsid w:val="00740482"/>
    <w:rsid w:val="00746B5F"/>
    <w:rsid w:val="00747710"/>
    <w:rsid w:val="00747720"/>
    <w:rsid w:val="0075169A"/>
    <w:rsid w:val="00752142"/>
    <w:rsid w:val="007523F9"/>
    <w:rsid w:val="007535AB"/>
    <w:rsid w:val="00753844"/>
    <w:rsid w:val="00755670"/>
    <w:rsid w:val="00756E04"/>
    <w:rsid w:val="007573E8"/>
    <w:rsid w:val="00760256"/>
    <w:rsid w:val="007606A0"/>
    <w:rsid w:val="00760C4E"/>
    <w:rsid w:val="007611AF"/>
    <w:rsid w:val="00761988"/>
    <w:rsid w:val="00762639"/>
    <w:rsid w:val="0076337E"/>
    <w:rsid w:val="007637CE"/>
    <w:rsid w:val="00763D50"/>
    <w:rsid w:val="007645E4"/>
    <w:rsid w:val="00765B1A"/>
    <w:rsid w:val="00765D3F"/>
    <w:rsid w:val="00766836"/>
    <w:rsid w:val="0077054F"/>
    <w:rsid w:val="00770775"/>
    <w:rsid w:val="00771F8C"/>
    <w:rsid w:val="00774FD8"/>
    <w:rsid w:val="0077566A"/>
    <w:rsid w:val="00775B55"/>
    <w:rsid w:val="00776108"/>
    <w:rsid w:val="00776512"/>
    <w:rsid w:val="007766D0"/>
    <w:rsid w:val="00776D3D"/>
    <w:rsid w:val="00776F5B"/>
    <w:rsid w:val="007771D0"/>
    <w:rsid w:val="007773D6"/>
    <w:rsid w:val="007773E4"/>
    <w:rsid w:val="00777688"/>
    <w:rsid w:val="007778B0"/>
    <w:rsid w:val="00777D02"/>
    <w:rsid w:val="00781025"/>
    <w:rsid w:val="00782BD0"/>
    <w:rsid w:val="007833D0"/>
    <w:rsid w:val="007835E9"/>
    <w:rsid w:val="007843F2"/>
    <w:rsid w:val="00784ACF"/>
    <w:rsid w:val="00784B07"/>
    <w:rsid w:val="007852A2"/>
    <w:rsid w:val="00785A38"/>
    <w:rsid w:val="00785B89"/>
    <w:rsid w:val="00787C7C"/>
    <w:rsid w:val="00791A95"/>
    <w:rsid w:val="00792BE2"/>
    <w:rsid w:val="00792DC2"/>
    <w:rsid w:val="00796AAB"/>
    <w:rsid w:val="00797713"/>
    <w:rsid w:val="00797909"/>
    <w:rsid w:val="007A0018"/>
    <w:rsid w:val="007A0A12"/>
    <w:rsid w:val="007A0E52"/>
    <w:rsid w:val="007A1183"/>
    <w:rsid w:val="007A132D"/>
    <w:rsid w:val="007A1DE4"/>
    <w:rsid w:val="007A2133"/>
    <w:rsid w:val="007A3A0D"/>
    <w:rsid w:val="007A61BC"/>
    <w:rsid w:val="007A6A31"/>
    <w:rsid w:val="007B0D68"/>
    <w:rsid w:val="007B251D"/>
    <w:rsid w:val="007B351D"/>
    <w:rsid w:val="007B401E"/>
    <w:rsid w:val="007B4F58"/>
    <w:rsid w:val="007B528D"/>
    <w:rsid w:val="007B579E"/>
    <w:rsid w:val="007B5E85"/>
    <w:rsid w:val="007B77D1"/>
    <w:rsid w:val="007C0DDE"/>
    <w:rsid w:val="007C104B"/>
    <w:rsid w:val="007C1CD9"/>
    <w:rsid w:val="007C2613"/>
    <w:rsid w:val="007C361D"/>
    <w:rsid w:val="007C38F2"/>
    <w:rsid w:val="007C3FC1"/>
    <w:rsid w:val="007C40AE"/>
    <w:rsid w:val="007C4777"/>
    <w:rsid w:val="007C4B84"/>
    <w:rsid w:val="007C6119"/>
    <w:rsid w:val="007C650A"/>
    <w:rsid w:val="007C6D1B"/>
    <w:rsid w:val="007C7F7B"/>
    <w:rsid w:val="007D004F"/>
    <w:rsid w:val="007D0B38"/>
    <w:rsid w:val="007D0B49"/>
    <w:rsid w:val="007D29E5"/>
    <w:rsid w:val="007D3579"/>
    <w:rsid w:val="007D45EB"/>
    <w:rsid w:val="007D4BBF"/>
    <w:rsid w:val="007D5440"/>
    <w:rsid w:val="007D55C9"/>
    <w:rsid w:val="007D6979"/>
    <w:rsid w:val="007D7214"/>
    <w:rsid w:val="007D7491"/>
    <w:rsid w:val="007E0D58"/>
    <w:rsid w:val="007E1D6B"/>
    <w:rsid w:val="007E47C3"/>
    <w:rsid w:val="007E797A"/>
    <w:rsid w:val="007F0898"/>
    <w:rsid w:val="007F1017"/>
    <w:rsid w:val="007F1AA4"/>
    <w:rsid w:val="007F1DE4"/>
    <w:rsid w:val="007F3679"/>
    <w:rsid w:val="007F3B48"/>
    <w:rsid w:val="007F4A3F"/>
    <w:rsid w:val="007F4A61"/>
    <w:rsid w:val="007F57B6"/>
    <w:rsid w:val="007F60DB"/>
    <w:rsid w:val="007F61C2"/>
    <w:rsid w:val="007F7B11"/>
    <w:rsid w:val="008015D2"/>
    <w:rsid w:val="00801759"/>
    <w:rsid w:val="00802A53"/>
    <w:rsid w:val="00803A24"/>
    <w:rsid w:val="0080407D"/>
    <w:rsid w:val="00805142"/>
    <w:rsid w:val="008058F5"/>
    <w:rsid w:val="00807906"/>
    <w:rsid w:val="008079AE"/>
    <w:rsid w:val="00807A8B"/>
    <w:rsid w:val="00811383"/>
    <w:rsid w:val="008113E3"/>
    <w:rsid w:val="00811802"/>
    <w:rsid w:val="00812149"/>
    <w:rsid w:val="00812478"/>
    <w:rsid w:val="008127CA"/>
    <w:rsid w:val="00812C1B"/>
    <w:rsid w:val="00812CAC"/>
    <w:rsid w:val="0081385D"/>
    <w:rsid w:val="0081468E"/>
    <w:rsid w:val="00814D70"/>
    <w:rsid w:val="008166EF"/>
    <w:rsid w:val="00823489"/>
    <w:rsid w:val="008249E4"/>
    <w:rsid w:val="008251EF"/>
    <w:rsid w:val="00825751"/>
    <w:rsid w:val="008264EB"/>
    <w:rsid w:val="0082663F"/>
    <w:rsid w:val="00826E7C"/>
    <w:rsid w:val="00826EBC"/>
    <w:rsid w:val="0082783A"/>
    <w:rsid w:val="008318F6"/>
    <w:rsid w:val="00832A68"/>
    <w:rsid w:val="00832FD4"/>
    <w:rsid w:val="008331B9"/>
    <w:rsid w:val="00833B05"/>
    <w:rsid w:val="008362B4"/>
    <w:rsid w:val="0083696B"/>
    <w:rsid w:val="0084062D"/>
    <w:rsid w:val="00840CA2"/>
    <w:rsid w:val="0084374F"/>
    <w:rsid w:val="008446CE"/>
    <w:rsid w:val="00845814"/>
    <w:rsid w:val="00845E4D"/>
    <w:rsid w:val="008462B9"/>
    <w:rsid w:val="00847809"/>
    <w:rsid w:val="00847DF5"/>
    <w:rsid w:val="00850458"/>
    <w:rsid w:val="00851DF8"/>
    <w:rsid w:val="0085309D"/>
    <w:rsid w:val="00854294"/>
    <w:rsid w:val="008557FF"/>
    <w:rsid w:val="00856882"/>
    <w:rsid w:val="00856897"/>
    <w:rsid w:val="00856E9A"/>
    <w:rsid w:val="00857750"/>
    <w:rsid w:val="00860673"/>
    <w:rsid w:val="0086075D"/>
    <w:rsid w:val="008622CB"/>
    <w:rsid w:val="008623A9"/>
    <w:rsid w:val="00862502"/>
    <w:rsid w:val="0086266B"/>
    <w:rsid w:val="00863372"/>
    <w:rsid w:val="0086466E"/>
    <w:rsid w:val="008660D4"/>
    <w:rsid w:val="00866458"/>
    <w:rsid w:val="00866C79"/>
    <w:rsid w:val="008709B9"/>
    <w:rsid w:val="008713D9"/>
    <w:rsid w:val="00871FA9"/>
    <w:rsid w:val="008728E9"/>
    <w:rsid w:val="008747C0"/>
    <w:rsid w:val="0087684F"/>
    <w:rsid w:val="00876BC2"/>
    <w:rsid w:val="008771A3"/>
    <w:rsid w:val="00877701"/>
    <w:rsid w:val="00877CF0"/>
    <w:rsid w:val="00881056"/>
    <w:rsid w:val="0088186F"/>
    <w:rsid w:val="00882874"/>
    <w:rsid w:val="00882B91"/>
    <w:rsid w:val="00883787"/>
    <w:rsid w:val="00884698"/>
    <w:rsid w:val="00886CD2"/>
    <w:rsid w:val="0089275D"/>
    <w:rsid w:val="00892A1D"/>
    <w:rsid w:val="00892A36"/>
    <w:rsid w:val="00893239"/>
    <w:rsid w:val="00893FF2"/>
    <w:rsid w:val="00894489"/>
    <w:rsid w:val="00894592"/>
    <w:rsid w:val="0089579D"/>
    <w:rsid w:val="0089608E"/>
    <w:rsid w:val="008963A5"/>
    <w:rsid w:val="00897764"/>
    <w:rsid w:val="00897A52"/>
    <w:rsid w:val="008A073D"/>
    <w:rsid w:val="008A245C"/>
    <w:rsid w:val="008A24DD"/>
    <w:rsid w:val="008A3363"/>
    <w:rsid w:val="008A3371"/>
    <w:rsid w:val="008A3C3E"/>
    <w:rsid w:val="008A4068"/>
    <w:rsid w:val="008A5D2C"/>
    <w:rsid w:val="008A6DB5"/>
    <w:rsid w:val="008A6DD1"/>
    <w:rsid w:val="008A79DE"/>
    <w:rsid w:val="008B1757"/>
    <w:rsid w:val="008B1BA9"/>
    <w:rsid w:val="008B1FB4"/>
    <w:rsid w:val="008B2414"/>
    <w:rsid w:val="008B4635"/>
    <w:rsid w:val="008B51FF"/>
    <w:rsid w:val="008B7231"/>
    <w:rsid w:val="008B7B7C"/>
    <w:rsid w:val="008B7C88"/>
    <w:rsid w:val="008B7D7E"/>
    <w:rsid w:val="008C3D03"/>
    <w:rsid w:val="008C4200"/>
    <w:rsid w:val="008C6323"/>
    <w:rsid w:val="008C6781"/>
    <w:rsid w:val="008C73CB"/>
    <w:rsid w:val="008C7ECB"/>
    <w:rsid w:val="008D03C5"/>
    <w:rsid w:val="008D0C4E"/>
    <w:rsid w:val="008D13F9"/>
    <w:rsid w:val="008D1B3F"/>
    <w:rsid w:val="008D1C5A"/>
    <w:rsid w:val="008D3FB9"/>
    <w:rsid w:val="008D4755"/>
    <w:rsid w:val="008D49F8"/>
    <w:rsid w:val="008D4C3D"/>
    <w:rsid w:val="008D689D"/>
    <w:rsid w:val="008D6A98"/>
    <w:rsid w:val="008D71DB"/>
    <w:rsid w:val="008D7649"/>
    <w:rsid w:val="008D7954"/>
    <w:rsid w:val="008E04A9"/>
    <w:rsid w:val="008E052D"/>
    <w:rsid w:val="008E0D3C"/>
    <w:rsid w:val="008E1B9E"/>
    <w:rsid w:val="008E1C1F"/>
    <w:rsid w:val="008E2CD9"/>
    <w:rsid w:val="008E3438"/>
    <w:rsid w:val="008E3F5D"/>
    <w:rsid w:val="008E45BB"/>
    <w:rsid w:val="008E55AB"/>
    <w:rsid w:val="008E6465"/>
    <w:rsid w:val="008E7792"/>
    <w:rsid w:val="008F03D3"/>
    <w:rsid w:val="008F0E95"/>
    <w:rsid w:val="008F120A"/>
    <w:rsid w:val="008F2140"/>
    <w:rsid w:val="008F27E0"/>
    <w:rsid w:val="008F2D05"/>
    <w:rsid w:val="008F4313"/>
    <w:rsid w:val="008F48EB"/>
    <w:rsid w:val="008F4F0B"/>
    <w:rsid w:val="008F58A7"/>
    <w:rsid w:val="008F64DB"/>
    <w:rsid w:val="00900728"/>
    <w:rsid w:val="00901612"/>
    <w:rsid w:val="00902E04"/>
    <w:rsid w:val="00902E1D"/>
    <w:rsid w:val="0090320C"/>
    <w:rsid w:val="0090398B"/>
    <w:rsid w:val="009046C4"/>
    <w:rsid w:val="009062A5"/>
    <w:rsid w:val="009064B6"/>
    <w:rsid w:val="00906D87"/>
    <w:rsid w:val="0090704D"/>
    <w:rsid w:val="009074BE"/>
    <w:rsid w:val="00911272"/>
    <w:rsid w:val="009114B0"/>
    <w:rsid w:val="00911724"/>
    <w:rsid w:val="0091174C"/>
    <w:rsid w:val="00912BE9"/>
    <w:rsid w:val="00913057"/>
    <w:rsid w:val="009135D6"/>
    <w:rsid w:val="00913607"/>
    <w:rsid w:val="00913921"/>
    <w:rsid w:val="00914C77"/>
    <w:rsid w:val="00916118"/>
    <w:rsid w:val="00916675"/>
    <w:rsid w:val="00916767"/>
    <w:rsid w:val="0092369B"/>
    <w:rsid w:val="00924F5B"/>
    <w:rsid w:val="00926FF0"/>
    <w:rsid w:val="0093015C"/>
    <w:rsid w:val="009304A0"/>
    <w:rsid w:val="00930B2F"/>
    <w:rsid w:val="00930E25"/>
    <w:rsid w:val="009312CE"/>
    <w:rsid w:val="009320EE"/>
    <w:rsid w:val="00932B1F"/>
    <w:rsid w:val="00932BB6"/>
    <w:rsid w:val="00932CF7"/>
    <w:rsid w:val="009330C8"/>
    <w:rsid w:val="009346DF"/>
    <w:rsid w:val="0093753D"/>
    <w:rsid w:val="00937D9C"/>
    <w:rsid w:val="00940A47"/>
    <w:rsid w:val="00941ABD"/>
    <w:rsid w:val="00943C43"/>
    <w:rsid w:val="00943C83"/>
    <w:rsid w:val="009442F1"/>
    <w:rsid w:val="00944856"/>
    <w:rsid w:val="009448A7"/>
    <w:rsid w:val="009464F6"/>
    <w:rsid w:val="00946741"/>
    <w:rsid w:val="00947AA7"/>
    <w:rsid w:val="009503FD"/>
    <w:rsid w:val="009510A2"/>
    <w:rsid w:val="009523B4"/>
    <w:rsid w:val="00953100"/>
    <w:rsid w:val="00953257"/>
    <w:rsid w:val="0095398A"/>
    <w:rsid w:val="00954EC1"/>
    <w:rsid w:val="00955F54"/>
    <w:rsid w:val="009570E5"/>
    <w:rsid w:val="00957343"/>
    <w:rsid w:val="00960424"/>
    <w:rsid w:val="009609EB"/>
    <w:rsid w:val="00962BAB"/>
    <w:rsid w:val="00962CB9"/>
    <w:rsid w:val="0096370B"/>
    <w:rsid w:val="00964312"/>
    <w:rsid w:val="00964915"/>
    <w:rsid w:val="00965B8A"/>
    <w:rsid w:val="00966E92"/>
    <w:rsid w:val="00967628"/>
    <w:rsid w:val="009679DA"/>
    <w:rsid w:val="00967B6C"/>
    <w:rsid w:val="00971189"/>
    <w:rsid w:val="0097129D"/>
    <w:rsid w:val="009717AC"/>
    <w:rsid w:val="00971ECC"/>
    <w:rsid w:val="009724FD"/>
    <w:rsid w:val="00972889"/>
    <w:rsid w:val="00975245"/>
    <w:rsid w:val="009754C9"/>
    <w:rsid w:val="00975BB4"/>
    <w:rsid w:val="00976CC6"/>
    <w:rsid w:val="0097768A"/>
    <w:rsid w:val="009779FE"/>
    <w:rsid w:val="00981332"/>
    <w:rsid w:val="00981918"/>
    <w:rsid w:val="00981B7C"/>
    <w:rsid w:val="00982780"/>
    <w:rsid w:val="00983E57"/>
    <w:rsid w:val="00984FBC"/>
    <w:rsid w:val="00985A3F"/>
    <w:rsid w:val="00986697"/>
    <w:rsid w:val="0098675D"/>
    <w:rsid w:val="00986DB2"/>
    <w:rsid w:val="00987044"/>
    <w:rsid w:val="0098739D"/>
    <w:rsid w:val="00987B34"/>
    <w:rsid w:val="009906C4"/>
    <w:rsid w:val="009916D0"/>
    <w:rsid w:val="00992A53"/>
    <w:rsid w:val="009943D8"/>
    <w:rsid w:val="0099648E"/>
    <w:rsid w:val="00996B1A"/>
    <w:rsid w:val="0099732F"/>
    <w:rsid w:val="00997528"/>
    <w:rsid w:val="00997BE9"/>
    <w:rsid w:val="009A31ED"/>
    <w:rsid w:val="009A7486"/>
    <w:rsid w:val="009A768F"/>
    <w:rsid w:val="009A7E37"/>
    <w:rsid w:val="009A7F10"/>
    <w:rsid w:val="009B0596"/>
    <w:rsid w:val="009B142E"/>
    <w:rsid w:val="009B23B8"/>
    <w:rsid w:val="009B37BC"/>
    <w:rsid w:val="009B3C3F"/>
    <w:rsid w:val="009B3DD8"/>
    <w:rsid w:val="009B3E26"/>
    <w:rsid w:val="009B4321"/>
    <w:rsid w:val="009B464F"/>
    <w:rsid w:val="009B562C"/>
    <w:rsid w:val="009B6220"/>
    <w:rsid w:val="009B7289"/>
    <w:rsid w:val="009B7562"/>
    <w:rsid w:val="009C187E"/>
    <w:rsid w:val="009C27A3"/>
    <w:rsid w:val="009C2DBF"/>
    <w:rsid w:val="009C3E14"/>
    <w:rsid w:val="009C434A"/>
    <w:rsid w:val="009C6CEA"/>
    <w:rsid w:val="009C7B5B"/>
    <w:rsid w:val="009C7B85"/>
    <w:rsid w:val="009C7FBB"/>
    <w:rsid w:val="009D2605"/>
    <w:rsid w:val="009D2E1F"/>
    <w:rsid w:val="009D3727"/>
    <w:rsid w:val="009D5B91"/>
    <w:rsid w:val="009D683C"/>
    <w:rsid w:val="009D792E"/>
    <w:rsid w:val="009E0DFE"/>
    <w:rsid w:val="009E0FF8"/>
    <w:rsid w:val="009E22A5"/>
    <w:rsid w:val="009E295B"/>
    <w:rsid w:val="009E34D0"/>
    <w:rsid w:val="009E3A32"/>
    <w:rsid w:val="009E4C07"/>
    <w:rsid w:val="009E5F7D"/>
    <w:rsid w:val="009E7711"/>
    <w:rsid w:val="009E7E60"/>
    <w:rsid w:val="009F0880"/>
    <w:rsid w:val="009F12EF"/>
    <w:rsid w:val="009F3947"/>
    <w:rsid w:val="009F39E2"/>
    <w:rsid w:val="009F4076"/>
    <w:rsid w:val="009F5B28"/>
    <w:rsid w:val="009F74DE"/>
    <w:rsid w:val="00A00837"/>
    <w:rsid w:val="00A00ACC"/>
    <w:rsid w:val="00A01113"/>
    <w:rsid w:val="00A01184"/>
    <w:rsid w:val="00A01856"/>
    <w:rsid w:val="00A02129"/>
    <w:rsid w:val="00A03D43"/>
    <w:rsid w:val="00A04380"/>
    <w:rsid w:val="00A04B69"/>
    <w:rsid w:val="00A06EF8"/>
    <w:rsid w:val="00A06F07"/>
    <w:rsid w:val="00A1079B"/>
    <w:rsid w:val="00A10C92"/>
    <w:rsid w:val="00A10F72"/>
    <w:rsid w:val="00A11981"/>
    <w:rsid w:val="00A11CD0"/>
    <w:rsid w:val="00A12031"/>
    <w:rsid w:val="00A12DF1"/>
    <w:rsid w:val="00A13463"/>
    <w:rsid w:val="00A13774"/>
    <w:rsid w:val="00A138EF"/>
    <w:rsid w:val="00A13920"/>
    <w:rsid w:val="00A13948"/>
    <w:rsid w:val="00A141FD"/>
    <w:rsid w:val="00A1555B"/>
    <w:rsid w:val="00A155C5"/>
    <w:rsid w:val="00A16AD8"/>
    <w:rsid w:val="00A17CDA"/>
    <w:rsid w:val="00A17E3F"/>
    <w:rsid w:val="00A20282"/>
    <w:rsid w:val="00A205A4"/>
    <w:rsid w:val="00A2186D"/>
    <w:rsid w:val="00A21CF3"/>
    <w:rsid w:val="00A22B29"/>
    <w:rsid w:val="00A22F1F"/>
    <w:rsid w:val="00A230AD"/>
    <w:rsid w:val="00A23BC3"/>
    <w:rsid w:val="00A250E2"/>
    <w:rsid w:val="00A27AEC"/>
    <w:rsid w:val="00A27F55"/>
    <w:rsid w:val="00A30685"/>
    <w:rsid w:val="00A314EF"/>
    <w:rsid w:val="00A320DB"/>
    <w:rsid w:val="00A32821"/>
    <w:rsid w:val="00A32F1D"/>
    <w:rsid w:val="00A34224"/>
    <w:rsid w:val="00A35405"/>
    <w:rsid w:val="00A35D16"/>
    <w:rsid w:val="00A3629E"/>
    <w:rsid w:val="00A367B5"/>
    <w:rsid w:val="00A36D71"/>
    <w:rsid w:val="00A37055"/>
    <w:rsid w:val="00A37BCD"/>
    <w:rsid w:val="00A40CDA"/>
    <w:rsid w:val="00A41881"/>
    <w:rsid w:val="00A41E5B"/>
    <w:rsid w:val="00A420B1"/>
    <w:rsid w:val="00A4304E"/>
    <w:rsid w:val="00A438A3"/>
    <w:rsid w:val="00A43C59"/>
    <w:rsid w:val="00A43FBF"/>
    <w:rsid w:val="00A440A9"/>
    <w:rsid w:val="00A441DD"/>
    <w:rsid w:val="00A446DE"/>
    <w:rsid w:val="00A45550"/>
    <w:rsid w:val="00A45DB4"/>
    <w:rsid w:val="00A47574"/>
    <w:rsid w:val="00A50ECD"/>
    <w:rsid w:val="00A518F3"/>
    <w:rsid w:val="00A519FE"/>
    <w:rsid w:val="00A52296"/>
    <w:rsid w:val="00A52729"/>
    <w:rsid w:val="00A533C8"/>
    <w:rsid w:val="00A534F9"/>
    <w:rsid w:val="00A53675"/>
    <w:rsid w:val="00A539AC"/>
    <w:rsid w:val="00A53E79"/>
    <w:rsid w:val="00A564D7"/>
    <w:rsid w:val="00A56A37"/>
    <w:rsid w:val="00A56B6A"/>
    <w:rsid w:val="00A56C44"/>
    <w:rsid w:val="00A578DC"/>
    <w:rsid w:val="00A6098D"/>
    <w:rsid w:val="00A60BF7"/>
    <w:rsid w:val="00A6147C"/>
    <w:rsid w:val="00A6255E"/>
    <w:rsid w:val="00A64712"/>
    <w:rsid w:val="00A65A78"/>
    <w:rsid w:val="00A6725B"/>
    <w:rsid w:val="00A70605"/>
    <w:rsid w:val="00A70896"/>
    <w:rsid w:val="00A70CCE"/>
    <w:rsid w:val="00A70DD4"/>
    <w:rsid w:val="00A71ED9"/>
    <w:rsid w:val="00A72CCB"/>
    <w:rsid w:val="00A72DEA"/>
    <w:rsid w:val="00A72EE5"/>
    <w:rsid w:val="00A73134"/>
    <w:rsid w:val="00A73660"/>
    <w:rsid w:val="00A741FC"/>
    <w:rsid w:val="00A745BE"/>
    <w:rsid w:val="00A74BD5"/>
    <w:rsid w:val="00A75559"/>
    <w:rsid w:val="00A75E46"/>
    <w:rsid w:val="00A77609"/>
    <w:rsid w:val="00A777B2"/>
    <w:rsid w:val="00A8052D"/>
    <w:rsid w:val="00A80CFA"/>
    <w:rsid w:val="00A816EE"/>
    <w:rsid w:val="00A82F63"/>
    <w:rsid w:val="00A83FA6"/>
    <w:rsid w:val="00A84EFD"/>
    <w:rsid w:val="00A85D1E"/>
    <w:rsid w:val="00A866EC"/>
    <w:rsid w:val="00A86E8B"/>
    <w:rsid w:val="00A86FCB"/>
    <w:rsid w:val="00A87164"/>
    <w:rsid w:val="00A87DF3"/>
    <w:rsid w:val="00A90911"/>
    <w:rsid w:val="00A91BA6"/>
    <w:rsid w:val="00A93072"/>
    <w:rsid w:val="00A93953"/>
    <w:rsid w:val="00A959A8"/>
    <w:rsid w:val="00A959D8"/>
    <w:rsid w:val="00A968F5"/>
    <w:rsid w:val="00A96AEA"/>
    <w:rsid w:val="00AA0165"/>
    <w:rsid w:val="00AA035A"/>
    <w:rsid w:val="00AA0A3E"/>
    <w:rsid w:val="00AA113D"/>
    <w:rsid w:val="00AA19DC"/>
    <w:rsid w:val="00AA30BC"/>
    <w:rsid w:val="00AA4FEA"/>
    <w:rsid w:val="00AA5716"/>
    <w:rsid w:val="00AA6C7D"/>
    <w:rsid w:val="00AA7FD6"/>
    <w:rsid w:val="00AB03F9"/>
    <w:rsid w:val="00AB042A"/>
    <w:rsid w:val="00AB111A"/>
    <w:rsid w:val="00AB2D34"/>
    <w:rsid w:val="00AB3430"/>
    <w:rsid w:val="00AB43B6"/>
    <w:rsid w:val="00AB4AD1"/>
    <w:rsid w:val="00AB4B04"/>
    <w:rsid w:val="00AB4FC2"/>
    <w:rsid w:val="00AB50F8"/>
    <w:rsid w:val="00AB5D51"/>
    <w:rsid w:val="00AB7C7D"/>
    <w:rsid w:val="00AB7CFA"/>
    <w:rsid w:val="00AC0F55"/>
    <w:rsid w:val="00AC3242"/>
    <w:rsid w:val="00AC3415"/>
    <w:rsid w:val="00AC46E6"/>
    <w:rsid w:val="00AC485F"/>
    <w:rsid w:val="00AC4E60"/>
    <w:rsid w:val="00AC5B48"/>
    <w:rsid w:val="00AC5B77"/>
    <w:rsid w:val="00AC5DF8"/>
    <w:rsid w:val="00AC7D93"/>
    <w:rsid w:val="00AD043F"/>
    <w:rsid w:val="00AD0F59"/>
    <w:rsid w:val="00AD1260"/>
    <w:rsid w:val="00AD18E4"/>
    <w:rsid w:val="00AD1966"/>
    <w:rsid w:val="00AD2E16"/>
    <w:rsid w:val="00AD31A2"/>
    <w:rsid w:val="00AD32F1"/>
    <w:rsid w:val="00AD5700"/>
    <w:rsid w:val="00AD5EB2"/>
    <w:rsid w:val="00AD6502"/>
    <w:rsid w:val="00AD6E64"/>
    <w:rsid w:val="00AE05AA"/>
    <w:rsid w:val="00AE16A3"/>
    <w:rsid w:val="00AE27E8"/>
    <w:rsid w:val="00AE34C4"/>
    <w:rsid w:val="00AE37B7"/>
    <w:rsid w:val="00AE5003"/>
    <w:rsid w:val="00AE6BCF"/>
    <w:rsid w:val="00AE6CB6"/>
    <w:rsid w:val="00AE7F66"/>
    <w:rsid w:val="00AF1315"/>
    <w:rsid w:val="00AF19BF"/>
    <w:rsid w:val="00AF246F"/>
    <w:rsid w:val="00AF2DC3"/>
    <w:rsid w:val="00AF3D14"/>
    <w:rsid w:val="00AF3EC1"/>
    <w:rsid w:val="00AF4479"/>
    <w:rsid w:val="00AF49C8"/>
    <w:rsid w:val="00AF79C6"/>
    <w:rsid w:val="00AF7DA2"/>
    <w:rsid w:val="00B00BD5"/>
    <w:rsid w:val="00B01C29"/>
    <w:rsid w:val="00B01C32"/>
    <w:rsid w:val="00B0223A"/>
    <w:rsid w:val="00B02431"/>
    <w:rsid w:val="00B02FE1"/>
    <w:rsid w:val="00B033E5"/>
    <w:rsid w:val="00B03841"/>
    <w:rsid w:val="00B03A63"/>
    <w:rsid w:val="00B0519C"/>
    <w:rsid w:val="00B05516"/>
    <w:rsid w:val="00B05FFA"/>
    <w:rsid w:val="00B0711C"/>
    <w:rsid w:val="00B07227"/>
    <w:rsid w:val="00B12A70"/>
    <w:rsid w:val="00B130D3"/>
    <w:rsid w:val="00B13A89"/>
    <w:rsid w:val="00B14544"/>
    <w:rsid w:val="00B160C9"/>
    <w:rsid w:val="00B17F09"/>
    <w:rsid w:val="00B201A4"/>
    <w:rsid w:val="00B205FB"/>
    <w:rsid w:val="00B20B88"/>
    <w:rsid w:val="00B213A6"/>
    <w:rsid w:val="00B22A5A"/>
    <w:rsid w:val="00B24524"/>
    <w:rsid w:val="00B24DF6"/>
    <w:rsid w:val="00B26E12"/>
    <w:rsid w:val="00B27C78"/>
    <w:rsid w:val="00B30A00"/>
    <w:rsid w:val="00B31583"/>
    <w:rsid w:val="00B32B97"/>
    <w:rsid w:val="00B33DBA"/>
    <w:rsid w:val="00B3471A"/>
    <w:rsid w:val="00B34FE2"/>
    <w:rsid w:val="00B350A4"/>
    <w:rsid w:val="00B35505"/>
    <w:rsid w:val="00B357D8"/>
    <w:rsid w:val="00B360DA"/>
    <w:rsid w:val="00B36B65"/>
    <w:rsid w:val="00B37BFC"/>
    <w:rsid w:val="00B37D4C"/>
    <w:rsid w:val="00B40358"/>
    <w:rsid w:val="00B40DB5"/>
    <w:rsid w:val="00B4147A"/>
    <w:rsid w:val="00B41614"/>
    <w:rsid w:val="00B41C05"/>
    <w:rsid w:val="00B42756"/>
    <w:rsid w:val="00B42851"/>
    <w:rsid w:val="00B42F80"/>
    <w:rsid w:val="00B435CB"/>
    <w:rsid w:val="00B4391D"/>
    <w:rsid w:val="00B43FC6"/>
    <w:rsid w:val="00B45E97"/>
    <w:rsid w:val="00B46C57"/>
    <w:rsid w:val="00B46E44"/>
    <w:rsid w:val="00B50235"/>
    <w:rsid w:val="00B509AE"/>
    <w:rsid w:val="00B50C18"/>
    <w:rsid w:val="00B50C1B"/>
    <w:rsid w:val="00B50DB8"/>
    <w:rsid w:val="00B52386"/>
    <w:rsid w:val="00B52AE9"/>
    <w:rsid w:val="00B535F6"/>
    <w:rsid w:val="00B53654"/>
    <w:rsid w:val="00B53905"/>
    <w:rsid w:val="00B54B5B"/>
    <w:rsid w:val="00B5562E"/>
    <w:rsid w:val="00B57000"/>
    <w:rsid w:val="00B60939"/>
    <w:rsid w:val="00B60AFD"/>
    <w:rsid w:val="00B61CF9"/>
    <w:rsid w:val="00B62715"/>
    <w:rsid w:val="00B6280E"/>
    <w:rsid w:val="00B6394E"/>
    <w:rsid w:val="00B64A79"/>
    <w:rsid w:val="00B64BB4"/>
    <w:rsid w:val="00B66470"/>
    <w:rsid w:val="00B66E35"/>
    <w:rsid w:val="00B6713F"/>
    <w:rsid w:val="00B70A55"/>
    <w:rsid w:val="00B70C49"/>
    <w:rsid w:val="00B70D4B"/>
    <w:rsid w:val="00B72226"/>
    <w:rsid w:val="00B804BE"/>
    <w:rsid w:val="00B807FD"/>
    <w:rsid w:val="00B80A58"/>
    <w:rsid w:val="00B80A99"/>
    <w:rsid w:val="00B818A4"/>
    <w:rsid w:val="00B82939"/>
    <w:rsid w:val="00B83720"/>
    <w:rsid w:val="00B83C5F"/>
    <w:rsid w:val="00B84117"/>
    <w:rsid w:val="00B853C7"/>
    <w:rsid w:val="00B85AA2"/>
    <w:rsid w:val="00B8649C"/>
    <w:rsid w:val="00B8651A"/>
    <w:rsid w:val="00B869DC"/>
    <w:rsid w:val="00B86E32"/>
    <w:rsid w:val="00B874C1"/>
    <w:rsid w:val="00B87F0A"/>
    <w:rsid w:val="00B90F6D"/>
    <w:rsid w:val="00B91098"/>
    <w:rsid w:val="00B91740"/>
    <w:rsid w:val="00B92D0B"/>
    <w:rsid w:val="00B940D4"/>
    <w:rsid w:val="00B94945"/>
    <w:rsid w:val="00B95448"/>
    <w:rsid w:val="00B96CA6"/>
    <w:rsid w:val="00B974A2"/>
    <w:rsid w:val="00B9780F"/>
    <w:rsid w:val="00B97C0C"/>
    <w:rsid w:val="00BA127C"/>
    <w:rsid w:val="00BA19E5"/>
    <w:rsid w:val="00BA2234"/>
    <w:rsid w:val="00BA254C"/>
    <w:rsid w:val="00BA298A"/>
    <w:rsid w:val="00BA322D"/>
    <w:rsid w:val="00BA4395"/>
    <w:rsid w:val="00BA4DB7"/>
    <w:rsid w:val="00BA54C1"/>
    <w:rsid w:val="00BA5A42"/>
    <w:rsid w:val="00BA6314"/>
    <w:rsid w:val="00BA7552"/>
    <w:rsid w:val="00BA762F"/>
    <w:rsid w:val="00BA79AA"/>
    <w:rsid w:val="00BB09FC"/>
    <w:rsid w:val="00BB0BDD"/>
    <w:rsid w:val="00BB2A73"/>
    <w:rsid w:val="00BB2DD4"/>
    <w:rsid w:val="00BB4ACC"/>
    <w:rsid w:val="00BB6479"/>
    <w:rsid w:val="00BB6E64"/>
    <w:rsid w:val="00BB703E"/>
    <w:rsid w:val="00BB7405"/>
    <w:rsid w:val="00BB75B4"/>
    <w:rsid w:val="00BC1C3D"/>
    <w:rsid w:val="00BC243D"/>
    <w:rsid w:val="00BC3631"/>
    <w:rsid w:val="00BC39AD"/>
    <w:rsid w:val="00BC4605"/>
    <w:rsid w:val="00BC5274"/>
    <w:rsid w:val="00BC56BB"/>
    <w:rsid w:val="00BC56E2"/>
    <w:rsid w:val="00BC67A5"/>
    <w:rsid w:val="00BD07EB"/>
    <w:rsid w:val="00BD0D4A"/>
    <w:rsid w:val="00BD17C6"/>
    <w:rsid w:val="00BD2AEB"/>
    <w:rsid w:val="00BD3A95"/>
    <w:rsid w:val="00BD4FD3"/>
    <w:rsid w:val="00BD6266"/>
    <w:rsid w:val="00BD68A3"/>
    <w:rsid w:val="00BD6938"/>
    <w:rsid w:val="00BD6CF3"/>
    <w:rsid w:val="00BD71E7"/>
    <w:rsid w:val="00BE03F3"/>
    <w:rsid w:val="00BE04D5"/>
    <w:rsid w:val="00BE1104"/>
    <w:rsid w:val="00BE1F0F"/>
    <w:rsid w:val="00BE20EB"/>
    <w:rsid w:val="00BE2180"/>
    <w:rsid w:val="00BE21F2"/>
    <w:rsid w:val="00BE33BF"/>
    <w:rsid w:val="00BE3865"/>
    <w:rsid w:val="00BE4275"/>
    <w:rsid w:val="00BE463D"/>
    <w:rsid w:val="00BE4860"/>
    <w:rsid w:val="00BE79EA"/>
    <w:rsid w:val="00BF0C2C"/>
    <w:rsid w:val="00BF0F95"/>
    <w:rsid w:val="00BF21C5"/>
    <w:rsid w:val="00BF2433"/>
    <w:rsid w:val="00BF5742"/>
    <w:rsid w:val="00BF61C9"/>
    <w:rsid w:val="00BF6541"/>
    <w:rsid w:val="00BF6C94"/>
    <w:rsid w:val="00BF7A33"/>
    <w:rsid w:val="00C00159"/>
    <w:rsid w:val="00C001A9"/>
    <w:rsid w:val="00C00424"/>
    <w:rsid w:val="00C018E2"/>
    <w:rsid w:val="00C02488"/>
    <w:rsid w:val="00C045CB"/>
    <w:rsid w:val="00C04614"/>
    <w:rsid w:val="00C04B1D"/>
    <w:rsid w:val="00C04BA9"/>
    <w:rsid w:val="00C0679D"/>
    <w:rsid w:val="00C1279F"/>
    <w:rsid w:val="00C12C14"/>
    <w:rsid w:val="00C13D2B"/>
    <w:rsid w:val="00C14389"/>
    <w:rsid w:val="00C144ED"/>
    <w:rsid w:val="00C14F9D"/>
    <w:rsid w:val="00C1511A"/>
    <w:rsid w:val="00C1567A"/>
    <w:rsid w:val="00C165E3"/>
    <w:rsid w:val="00C200AA"/>
    <w:rsid w:val="00C211E9"/>
    <w:rsid w:val="00C22AE4"/>
    <w:rsid w:val="00C237ED"/>
    <w:rsid w:val="00C2421E"/>
    <w:rsid w:val="00C24632"/>
    <w:rsid w:val="00C24DBF"/>
    <w:rsid w:val="00C25311"/>
    <w:rsid w:val="00C25418"/>
    <w:rsid w:val="00C25D9C"/>
    <w:rsid w:val="00C2655A"/>
    <w:rsid w:val="00C2778B"/>
    <w:rsid w:val="00C30BBC"/>
    <w:rsid w:val="00C31649"/>
    <w:rsid w:val="00C3443E"/>
    <w:rsid w:val="00C353B5"/>
    <w:rsid w:val="00C359B7"/>
    <w:rsid w:val="00C3619A"/>
    <w:rsid w:val="00C37BCF"/>
    <w:rsid w:val="00C40385"/>
    <w:rsid w:val="00C41523"/>
    <w:rsid w:val="00C43BA2"/>
    <w:rsid w:val="00C463DB"/>
    <w:rsid w:val="00C46AF9"/>
    <w:rsid w:val="00C46C9B"/>
    <w:rsid w:val="00C46CA1"/>
    <w:rsid w:val="00C47169"/>
    <w:rsid w:val="00C475AA"/>
    <w:rsid w:val="00C47AD7"/>
    <w:rsid w:val="00C518B8"/>
    <w:rsid w:val="00C52EE9"/>
    <w:rsid w:val="00C53037"/>
    <w:rsid w:val="00C53A20"/>
    <w:rsid w:val="00C61120"/>
    <w:rsid w:val="00C61B16"/>
    <w:rsid w:val="00C62F9F"/>
    <w:rsid w:val="00C63312"/>
    <w:rsid w:val="00C65423"/>
    <w:rsid w:val="00C65576"/>
    <w:rsid w:val="00C66165"/>
    <w:rsid w:val="00C66CBB"/>
    <w:rsid w:val="00C67FA2"/>
    <w:rsid w:val="00C70905"/>
    <w:rsid w:val="00C70A8D"/>
    <w:rsid w:val="00C70BFC"/>
    <w:rsid w:val="00C70F5D"/>
    <w:rsid w:val="00C713E7"/>
    <w:rsid w:val="00C7151A"/>
    <w:rsid w:val="00C715E5"/>
    <w:rsid w:val="00C71F60"/>
    <w:rsid w:val="00C72241"/>
    <w:rsid w:val="00C728D8"/>
    <w:rsid w:val="00C7424A"/>
    <w:rsid w:val="00C750C8"/>
    <w:rsid w:val="00C7560F"/>
    <w:rsid w:val="00C75D76"/>
    <w:rsid w:val="00C80A0E"/>
    <w:rsid w:val="00C80FF7"/>
    <w:rsid w:val="00C810FF"/>
    <w:rsid w:val="00C8213F"/>
    <w:rsid w:val="00C82F56"/>
    <w:rsid w:val="00C83AAB"/>
    <w:rsid w:val="00C83AE0"/>
    <w:rsid w:val="00C85B5A"/>
    <w:rsid w:val="00C86FB0"/>
    <w:rsid w:val="00C871A1"/>
    <w:rsid w:val="00C8797A"/>
    <w:rsid w:val="00C879E2"/>
    <w:rsid w:val="00C87E89"/>
    <w:rsid w:val="00C900B8"/>
    <w:rsid w:val="00C9048B"/>
    <w:rsid w:val="00C906E9"/>
    <w:rsid w:val="00C90C71"/>
    <w:rsid w:val="00C917B7"/>
    <w:rsid w:val="00C918D3"/>
    <w:rsid w:val="00C9286D"/>
    <w:rsid w:val="00C931CF"/>
    <w:rsid w:val="00C938CF"/>
    <w:rsid w:val="00C940A4"/>
    <w:rsid w:val="00C9624D"/>
    <w:rsid w:val="00C969DA"/>
    <w:rsid w:val="00C96E49"/>
    <w:rsid w:val="00CA0318"/>
    <w:rsid w:val="00CA21DF"/>
    <w:rsid w:val="00CA227A"/>
    <w:rsid w:val="00CA288D"/>
    <w:rsid w:val="00CA2C77"/>
    <w:rsid w:val="00CA444F"/>
    <w:rsid w:val="00CA4B77"/>
    <w:rsid w:val="00CA4B91"/>
    <w:rsid w:val="00CA5245"/>
    <w:rsid w:val="00CA71F4"/>
    <w:rsid w:val="00CA74A7"/>
    <w:rsid w:val="00CA7B09"/>
    <w:rsid w:val="00CB0F92"/>
    <w:rsid w:val="00CB2F2A"/>
    <w:rsid w:val="00CB51C4"/>
    <w:rsid w:val="00CB5276"/>
    <w:rsid w:val="00CB5B1A"/>
    <w:rsid w:val="00CB60E2"/>
    <w:rsid w:val="00CB6B22"/>
    <w:rsid w:val="00CB778F"/>
    <w:rsid w:val="00CB7F5F"/>
    <w:rsid w:val="00CC1B39"/>
    <w:rsid w:val="00CC3FB6"/>
    <w:rsid w:val="00CC44EC"/>
    <w:rsid w:val="00CC79B3"/>
    <w:rsid w:val="00CD11E2"/>
    <w:rsid w:val="00CD3880"/>
    <w:rsid w:val="00CD5E51"/>
    <w:rsid w:val="00CD6ADC"/>
    <w:rsid w:val="00CD7767"/>
    <w:rsid w:val="00CD7ABD"/>
    <w:rsid w:val="00CD7B89"/>
    <w:rsid w:val="00CE023B"/>
    <w:rsid w:val="00CE0F85"/>
    <w:rsid w:val="00CE0F8E"/>
    <w:rsid w:val="00CE2403"/>
    <w:rsid w:val="00CE3343"/>
    <w:rsid w:val="00CE4BF1"/>
    <w:rsid w:val="00CE5EB0"/>
    <w:rsid w:val="00CE619F"/>
    <w:rsid w:val="00CE6274"/>
    <w:rsid w:val="00CE6D38"/>
    <w:rsid w:val="00CE7B9A"/>
    <w:rsid w:val="00CF099D"/>
    <w:rsid w:val="00CF0A22"/>
    <w:rsid w:val="00CF0F0B"/>
    <w:rsid w:val="00CF20BF"/>
    <w:rsid w:val="00CF23C5"/>
    <w:rsid w:val="00CF2B8D"/>
    <w:rsid w:val="00CF3313"/>
    <w:rsid w:val="00CF4162"/>
    <w:rsid w:val="00CF456B"/>
    <w:rsid w:val="00CF5A22"/>
    <w:rsid w:val="00CF68B0"/>
    <w:rsid w:val="00CF7974"/>
    <w:rsid w:val="00CF7B36"/>
    <w:rsid w:val="00D00BC4"/>
    <w:rsid w:val="00D01511"/>
    <w:rsid w:val="00D01F43"/>
    <w:rsid w:val="00D020ED"/>
    <w:rsid w:val="00D021D0"/>
    <w:rsid w:val="00D0262E"/>
    <w:rsid w:val="00D02831"/>
    <w:rsid w:val="00D041AA"/>
    <w:rsid w:val="00D0468E"/>
    <w:rsid w:val="00D04F88"/>
    <w:rsid w:val="00D06822"/>
    <w:rsid w:val="00D06ACC"/>
    <w:rsid w:val="00D10D1D"/>
    <w:rsid w:val="00D110BD"/>
    <w:rsid w:val="00D12C5D"/>
    <w:rsid w:val="00D12C94"/>
    <w:rsid w:val="00D13675"/>
    <w:rsid w:val="00D13A34"/>
    <w:rsid w:val="00D141E1"/>
    <w:rsid w:val="00D154C3"/>
    <w:rsid w:val="00D16630"/>
    <w:rsid w:val="00D16894"/>
    <w:rsid w:val="00D16BC3"/>
    <w:rsid w:val="00D17D6C"/>
    <w:rsid w:val="00D20F3C"/>
    <w:rsid w:val="00D22606"/>
    <w:rsid w:val="00D22910"/>
    <w:rsid w:val="00D22D14"/>
    <w:rsid w:val="00D2341E"/>
    <w:rsid w:val="00D23792"/>
    <w:rsid w:val="00D26D1C"/>
    <w:rsid w:val="00D26D4C"/>
    <w:rsid w:val="00D2754D"/>
    <w:rsid w:val="00D27B27"/>
    <w:rsid w:val="00D30DFE"/>
    <w:rsid w:val="00D319E3"/>
    <w:rsid w:val="00D33BE9"/>
    <w:rsid w:val="00D345EF"/>
    <w:rsid w:val="00D34630"/>
    <w:rsid w:val="00D34900"/>
    <w:rsid w:val="00D357FF"/>
    <w:rsid w:val="00D35B3C"/>
    <w:rsid w:val="00D363B0"/>
    <w:rsid w:val="00D37BFC"/>
    <w:rsid w:val="00D37E42"/>
    <w:rsid w:val="00D41139"/>
    <w:rsid w:val="00D41654"/>
    <w:rsid w:val="00D41990"/>
    <w:rsid w:val="00D424C7"/>
    <w:rsid w:val="00D43B2A"/>
    <w:rsid w:val="00D45BBF"/>
    <w:rsid w:val="00D47575"/>
    <w:rsid w:val="00D514A7"/>
    <w:rsid w:val="00D515EA"/>
    <w:rsid w:val="00D51AFA"/>
    <w:rsid w:val="00D52EB4"/>
    <w:rsid w:val="00D53256"/>
    <w:rsid w:val="00D532C5"/>
    <w:rsid w:val="00D555DD"/>
    <w:rsid w:val="00D56441"/>
    <w:rsid w:val="00D56AEA"/>
    <w:rsid w:val="00D56EFB"/>
    <w:rsid w:val="00D5705B"/>
    <w:rsid w:val="00D5750B"/>
    <w:rsid w:val="00D578E3"/>
    <w:rsid w:val="00D608A0"/>
    <w:rsid w:val="00D62923"/>
    <w:rsid w:val="00D62CE4"/>
    <w:rsid w:val="00D63D62"/>
    <w:rsid w:val="00D65804"/>
    <w:rsid w:val="00D658D6"/>
    <w:rsid w:val="00D66561"/>
    <w:rsid w:val="00D66F33"/>
    <w:rsid w:val="00D67B41"/>
    <w:rsid w:val="00D70F16"/>
    <w:rsid w:val="00D71BFA"/>
    <w:rsid w:val="00D71C02"/>
    <w:rsid w:val="00D71DF9"/>
    <w:rsid w:val="00D721C8"/>
    <w:rsid w:val="00D72378"/>
    <w:rsid w:val="00D73B2D"/>
    <w:rsid w:val="00D73BBB"/>
    <w:rsid w:val="00D74261"/>
    <w:rsid w:val="00D746F0"/>
    <w:rsid w:val="00D76A44"/>
    <w:rsid w:val="00D806BD"/>
    <w:rsid w:val="00D815EF"/>
    <w:rsid w:val="00D82729"/>
    <w:rsid w:val="00D82819"/>
    <w:rsid w:val="00D84007"/>
    <w:rsid w:val="00D844C3"/>
    <w:rsid w:val="00D8464E"/>
    <w:rsid w:val="00D8736A"/>
    <w:rsid w:val="00D8740D"/>
    <w:rsid w:val="00D91923"/>
    <w:rsid w:val="00D93753"/>
    <w:rsid w:val="00D937AD"/>
    <w:rsid w:val="00D93E49"/>
    <w:rsid w:val="00D953A4"/>
    <w:rsid w:val="00D959C5"/>
    <w:rsid w:val="00D96057"/>
    <w:rsid w:val="00D9727E"/>
    <w:rsid w:val="00D977B7"/>
    <w:rsid w:val="00DA015B"/>
    <w:rsid w:val="00DA143B"/>
    <w:rsid w:val="00DA18C0"/>
    <w:rsid w:val="00DA2FD7"/>
    <w:rsid w:val="00DA3167"/>
    <w:rsid w:val="00DA3D8B"/>
    <w:rsid w:val="00DA3DE1"/>
    <w:rsid w:val="00DA413B"/>
    <w:rsid w:val="00DA4DC3"/>
    <w:rsid w:val="00DA77A5"/>
    <w:rsid w:val="00DA7D7D"/>
    <w:rsid w:val="00DA7EB6"/>
    <w:rsid w:val="00DB00DE"/>
    <w:rsid w:val="00DB12E3"/>
    <w:rsid w:val="00DB1506"/>
    <w:rsid w:val="00DB1935"/>
    <w:rsid w:val="00DB240C"/>
    <w:rsid w:val="00DB442A"/>
    <w:rsid w:val="00DB4575"/>
    <w:rsid w:val="00DB484F"/>
    <w:rsid w:val="00DB5F6B"/>
    <w:rsid w:val="00DC04F6"/>
    <w:rsid w:val="00DC10B8"/>
    <w:rsid w:val="00DC3109"/>
    <w:rsid w:val="00DC358D"/>
    <w:rsid w:val="00DC3C57"/>
    <w:rsid w:val="00DC3F89"/>
    <w:rsid w:val="00DC4866"/>
    <w:rsid w:val="00DC5501"/>
    <w:rsid w:val="00DC67B8"/>
    <w:rsid w:val="00DD126C"/>
    <w:rsid w:val="00DD1D17"/>
    <w:rsid w:val="00DD26A0"/>
    <w:rsid w:val="00DD273C"/>
    <w:rsid w:val="00DD332B"/>
    <w:rsid w:val="00DD3F28"/>
    <w:rsid w:val="00DD4537"/>
    <w:rsid w:val="00DD4E15"/>
    <w:rsid w:val="00DD57FD"/>
    <w:rsid w:val="00DD5C30"/>
    <w:rsid w:val="00DD7328"/>
    <w:rsid w:val="00DE0D98"/>
    <w:rsid w:val="00DE0E90"/>
    <w:rsid w:val="00DE18BA"/>
    <w:rsid w:val="00DE3138"/>
    <w:rsid w:val="00DE3417"/>
    <w:rsid w:val="00DE3633"/>
    <w:rsid w:val="00DE37F8"/>
    <w:rsid w:val="00DE3934"/>
    <w:rsid w:val="00DE4FCB"/>
    <w:rsid w:val="00DE6386"/>
    <w:rsid w:val="00DE63DF"/>
    <w:rsid w:val="00DE7832"/>
    <w:rsid w:val="00DF068B"/>
    <w:rsid w:val="00DF0819"/>
    <w:rsid w:val="00DF18FC"/>
    <w:rsid w:val="00DF19B7"/>
    <w:rsid w:val="00DF1E70"/>
    <w:rsid w:val="00DF39C5"/>
    <w:rsid w:val="00DF474E"/>
    <w:rsid w:val="00DF48CF"/>
    <w:rsid w:val="00DF5BAF"/>
    <w:rsid w:val="00DF5D2B"/>
    <w:rsid w:val="00DF64A8"/>
    <w:rsid w:val="00DF6DDD"/>
    <w:rsid w:val="00E00E8E"/>
    <w:rsid w:val="00E012E1"/>
    <w:rsid w:val="00E0295D"/>
    <w:rsid w:val="00E03106"/>
    <w:rsid w:val="00E038CD"/>
    <w:rsid w:val="00E054D4"/>
    <w:rsid w:val="00E0559B"/>
    <w:rsid w:val="00E05630"/>
    <w:rsid w:val="00E0580D"/>
    <w:rsid w:val="00E067FF"/>
    <w:rsid w:val="00E06DBB"/>
    <w:rsid w:val="00E0721A"/>
    <w:rsid w:val="00E07447"/>
    <w:rsid w:val="00E0755F"/>
    <w:rsid w:val="00E10149"/>
    <w:rsid w:val="00E1234B"/>
    <w:rsid w:val="00E12497"/>
    <w:rsid w:val="00E13A4F"/>
    <w:rsid w:val="00E14B04"/>
    <w:rsid w:val="00E153CE"/>
    <w:rsid w:val="00E15541"/>
    <w:rsid w:val="00E16372"/>
    <w:rsid w:val="00E16693"/>
    <w:rsid w:val="00E167A8"/>
    <w:rsid w:val="00E16871"/>
    <w:rsid w:val="00E17260"/>
    <w:rsid w:val="00E17750"/>
    <w:rsid w:val="00E17A12"/>
    <w:rsid w:val="00E17C64"/>
    <w:rsid w:val="00E20E15"/>
    <w:rsid w:val="00E20E4D"/>
    <w:rsid w:val="00E20ED6"/>
    <w:rsid w:val="00E21358"/>
    <w:rsid w:val="00E220EC"/>
    <w:rsid w:val="00E2249B"/>
    <w:rsid w:val="00E22A0D"/>
    <w:rsid w:val="00E2307F"/>
    <w:rsid w:val="00E2355A"/>
    <w:rsid w:val="00E24FDD"/>
    <w:rsid w:val="00E255C7"/>
    <w:rsid w:val="00E26CEA"/>
    <w:rsid w:val="00E26DDA"/>
    <w:rsid w:val="00E26E14"/>
    <w:rsid w:val="00E276EF"/>
    <w:rsid w:val="00E2771E"/>
    <w:rsid w:val="00E32B63"/>
    <w:rsid w:val="00E32EFD"/>
    <w:rsid w:val="00E33766"/>
    <w:rsid w:val="00E34948"/>
    <w:rsid w:val="00E351A1"/>
    <w:rsid w:val="00E354F0"/>
    <w:rsid w:val="00E37569"/>
    <w:rsid w:val="00E37CC1"/>
    <w:rsid w:val="00E40D43"/>
    <w:rsid w:val="00E41E30"/>
    <w:rsid w:val="00E42FC9"/>
    <w:rsid w:val="00E43D70"/>
    <w:rsid w:val="00E43F16"/>
    <w:rsid w:val="00E44B74"/>
    <w:rsid w:val="00E450E9"/>
    <w:rsid w:val="00E4552C"/>
    <w:rsid w:val="00E45954"/>
    <w:rsid w:val="00E46200"/>
    <w:rsid w:val="00E464D0"/>
    <w:rsid w:val="00E466F3"/>
    <w:rsid w:val="00E47B2C"/>
    <w:rsid w:val="00E51560"/>
    <w:rsid w:val="00E54347"/>
    <w:rsid w:val="00E55424"/>
    <w:rsid w:val="00E5561C"/>
    <w:rsid w:val="00E55BB5"/>
    <w:rsid w:val="00E5613B"/>
    <w:rsid w:val="00E5620F"/>
    <w:rsid w:val="00E56556"/>
    <w:rsid w:val="00E567A7"/>
    <w:rsid w:val="00E60F30"/>
    <w:rsid w:val="00E614E9"/>
    <w:rsid w:val="00E61C93"/>
    <w:rsid w:val="00E62149"/>
    <w:rsid w:val="00E62151"/>
    <w:rsid w:val="00E626CC"/>
    <w:rsid w:val="00E6342D"/>
    <w:rsid w:val="00E65784"/>
    <w:rsid w:val="00E65E79"/>
    <w:rsid w:val="00E6690E"/>
    <w:rsid w:val="00E66BA2"/>
    <w:rsid w:val="00E67416"/>
    <w:rsid w:val="00E70488"/>
    <w:rsid w:val="00E70EE5"/>
    <w:rsid w:val="00E711DE"/>
    <w:rsid w:val="00E718A9"/>
    <w:rsid w:val="00E718B6"/>
    <w:rsid w:val="00E71DE6"/>
    <w:rsid w:val="00E71FC7"/>
    <w:rsid w:val="00E723BA"/>
    <w:rsid w:val="00E72665"/>
    <w:rsid w:val="00E72711"/>
    <w:rsid w:val="00E72D2A"/>
    <w:rsid w:val="00E73581"/>
    <w:rsid w:val="00E74B1E"/>
    <w:rsid w:val="00E74D3D"/>
    <w:rsid w:val="00E7519D"/>
    <w:rsid w:val="00E7648F"/>
    <w:rsid w:val="00E76BBF"/>
    <w:rsid w:val="00E77D5A"/>
    <w:rsid w:val="00E77F23"/>
    <w:rsid w:val="00E815B0"/>
    <w:rsid w:val="00E829B5"/>
    <w:rsid w:val="00E833F7"/>
    <w:rsid w:val="00E83BDF"/>
    <w:rsid w:val="00E83E17"/>
    <w:rsid w:val="00E840F2"/>
    <w:rsid w:val="00E848F4"/>
    <w:rsid w:val="00E87A1D"/>
    <w:rsid w:val="00E90C53"/>
    <w:rsid w:val="00E922E3"/>
    <w:rsid w:val="00E926A5"/>
    <w:rsid w:val="00E93DAF"/>
    <w:rsid w:val="00E95464"/>
    <w:rsid w:val="00E95CA3"/>
    <w:rsid w:val="00E96224"/>
    <w:rsid w:val="00E971FE"/>
    <w:rsid w:val="00EA0096"/>
    <w:rsid w:val="00EA0422"/>
    <w:rsid w:val="00EA111C"/>
    <w:rsid w:val="00EA13D9"/>
    <w:rsid w:val="00EA17C3"/>
    <w:rsid w:val="00EA2234"/>
    <w:rsid w:val="00EA254C"/>
    <w:rsid w:val="00EA28ED"/>
    <w:rsid w:val="00EA2CAA"/>
    <w:rsid w:val="00EA37C1"/>
    <w:rsid w:val="00EA3864"/>
    <w:rsid w:val="00EA51C7"/>
    <w:rsid w:val="00EA556B"/>
    <w:rsid w:val="00EA6342"/>
    <w:rsid w:val="00EA6C05"/>
    <w:rsid w:val="00EA7AAE"/>
    <w:rsid w:val="00EA7F22"/>
    <w:rsid w:val="00EA7F31"/>
    <w:rsid w:val="00EB0190"/>
    <w:rsid w:val="00EB01F5"/>
    <w:rsid w:val="00EB15B6"/>
    <w:rsid w:val="00EB165D"/>
    <w:rsid w:val="00EB4916"/>
    <w:rsid w:val="00EB5486"/>
    <w:rsid w:val="00EB5764"/>
    <w:rsid w:val="00EC00C9"/>
    <w:rsid w:val="00EC0E95"/>
    <w:rsid w:val="00EC2649"/>
    <w:rsid w:val="00EC30FE"/>
    <w:rsid w:val="00EC3265"/>
    <w:rsid w:val="00EC3480"/>
    <w:rsid w:val="00EC3B3A"/>
    <w:rsid w:val="00EC43FA"/>
    <w:rsid w:val="00EC556F"/>
    <w:rsid w:val="00EC6B79"/>
    <w:rsid w:val="00EC74C5"/>
    <w:rsid w:val="00ED1AD1"/>
    <w:rsid w:val="00ED36ED"/>
    <w:rsid w:val="00ED3C9B"/>
    <w:rsid w:val="00ED4C92"/>
    <w:rsid w:val="00ED57EA"/>
    <w:rsid w:val="00ED5F9E"/>
    <w:rsid w:val="00ED7ABC"/>
    <w:rsid w:val="00ED7E3E"/>
    <w:rsid w:val="00EE0574"/>
    <w:rsid w:val="00EE07D3"/>
    <w:rsid w:val="00EE1154"/>
    <w:rsid w:val="00EE1F1C"/>
    <w:rsid w:val="00EE22AF"/>
    <w:rsid w:val="00EE319B"/>
    <w:rsid w:val="00EE3415"/>
    <w:rsid w:val="00EE4A25"/>
    <w:rsid w:val="00EE4FFE"/>
    <w:rsid w:val="00EE662E"/>
    <w:rsid w:val="00EE7964"/>
    <w:rsid w:val="00EF0171"/>
    <w:rsid w:val="00EF1ACD"/>
    <w:rsid w:val="00EF1B25"/>
    <w:rsid w:val="00EF3690"/>
    <w:rsid w:val="00EF4747"/>
    <w:rsid w:val="00EF4BF8"/>
    <w:rsid w:val="00EF505E"/>
    <w:rsid w:val="00EF55B2"/>
    <w:rsid w:val="00EF59C4"/>
    <w:rsid w:val="00EF5CE0"/>
    <w:rsid w:val="00EF72E4"/>
    <w:rsid w:val="00EF7891"/>
    <w:rsid w:val="00F018F3"/>
    <w:rsid w:val="00F02253"/>
    <w:rsid w:val="00F030AF"/>
    <w:rsid w:val="00F03886"/>
    <w:rsid w:val="00F03ABF"/>
    <w:rsid w:val="00F03C2E"/>
    <w:rsid w:val="00F04776"/>
    <w:rsid w:val="00F04A66"/>
    <w:rsid w:val="00F04B02"/>
    <w:rsid w:val="00F0516C"/>
    <w:rsid w:val="00F067A2"/>
    <w:rsid w:val="00F1021E"/>
    <w:rsid w:val="00F10B7D"/>
    <w:rsid w:val="00F10C62"/>
    <w:rsid w:val="00F110AA"/>
    <w:rsid w:val="00F11A2C"/>
    <w:rsid w:val="00F11F48"/>
    <w:rsid w:val="00F11FE3"/>
    <w:rsid w:val="00F1263A"/>
    <w:rsid w:val="00F12D97"/>
    <w:rsid w:val="00F1382A"/>
    <w:rsid w:val="00F14340"/>
    <w:rsid w:val="00F14BB6"/>
    <w:rsid w:val="00F15900"/>
    <w:rsid w:val="00F17D6A"/>
    <w:rsid w:val="00F20699"/>
    <w:rsid w:val="00F20ADC"/>
    <w:rsid w:val="00F22258"/>
    <w:rsid w:val="00F22E85"/>
    <w:rsid w:val="00F23E89"/>
    <w:rsid w:val="00F24837"/>
    <w:rsid w:val="00F24DD8"/>
    <w:rsid w:val="00F24E83"/>
    <w:rsid w:val="00F25061"/>
    <w:rsid w:val="00F2575F"/>
    <w:rsid w:val="00F25802"/>
    <w:rsid w:val="00F25FF7"/>
    <w:rsid w:val="00F27565"/>
    <w:rsid w:val="00F27577"/>
    <w:rsid w:val="00F310D4"/>
    <w:rsid w:val="00F31BF8"/>
    <w:rsid w:val="00F31D5A"/>
    <w:rsid w:val="00F32086"/>
    <w:rsid w:val="00F337FA"/>
    <w:rsid w:val="00F33B41"/>
    <w:rsid w:val="00F33DE9"/>
    <w:rsid w:val="00F340A7"/>
    <w:rsid w:val="00F34766"/>
    <w:rsid w:val="00F35A5D"/>
    <w:rsid w:val="00F3619A"/>
    <w:rsid w:val="00F37190"/>
    <w:rsid w:val="00F40341"/>
    <w:rsid w:val="00F40AAA"/>
    <w:rsid w:val="00F40BA7"/>
    <w:rsid w:val="00F4160D"/>
    <w:rsid w:val="00F430F3"/>
    <w:rsid w:val="00F44E4C"/>
    <w:rsid w:val="00F46CB6"/>
    <w:rsid w:val="00F4779E"/>
    <w:rsid w:val="00F479FE"/>
    <w:rsid w:val="00F47DE8"/>
    <w:rsid w:val="00F5062A"/>
    <w:rsid w:val="00F50BDA"/>
    <w:rsid w:val="00F512E8"/>
    <w:rsid w:val="00F52071"/>
    <w:rsid w:val="00F5245A"/>
    <w:rsid w:val="00F52D05"/>
    <w:rsid w:val="00F532CD"/>
    <w:rsid w:val="00F542C1"/>
    <w:rsid w:val="00F55601"/>
    <w:rsid w:val="00F55E73"/>
    <w:rsid w:val="00F55EDA"/>
    <w:rsid w:val="00F5629E"/>
    <w:rsid w:val="00F56DD7"/>
    <w:rsid w:val="00F60092"/>
    <w:rsid w:val="00F611C1"/>
    <w:rsid w:val="00F6130C"/>
    <w:rsid w:val="00F61CA4"/>
    <w:rsid w:val="00F63A0D"/>
    <w:rsid w:val="00F63C60"/>
    <w:rsid w:val="00F64424"/>
    <w:rsid w:val="00F6486E"/>
    <w:rsid w:val="00F64945"/>
    <w:rsid w:val="00F64D2D"/>
    <w:rsid w:val="00F65F4B"/>
    <w:rsid w:val="00F67E56"/>
    <w:rsid w:val="00F70562"/>
    <w:rsid w:val="00F70C9D"/>
    <w:rsid w:val="00F716E4"/>
    <w:rsid w:val="00F7337F"/>
    <w:rsid w:val="00F74CD9"/>
    <w:rsid w:val="00F75A46"/>
    <w:rsid w:val="00F768CD"/>
    <w:rsid w:val="00F76B36"/>
    <w:rsid w:val="00F7756E"/>
    <w:rsid w:val="00F80A7B"/>
    <w:rsid w:val="00F80E5D"/>
    <w:rsid w:val="00F81C1C"/>
    <w:rsid w:val="00F821B3"/>
    <w:rsid w:val="00F82C51"/>
    <w:rsid w:val="00F8304C"/>
    <w:rsid w:val="00F83057"/>
    <w:rsid w:val="00F848F5"/>
    <w:rsid w:val="00F851CE"/>
    <w:rsid w:val="00F85B39"/>
    <w:rsid w:val="00F85FFA"/>
    <w:rsid w:val="00F8628D"/>
    <w:rsid w:val="00F86B8E"/>
    <w:rsid w:val="00F878D7"/>
    <w:rsid w:val="00F91219"/>
    <w:rsid w:val="00F91276"/>
    <w:rsid w:val="00F91327"/>
    <w:rsid w:val="00F91F6A"/>
    <w:rsid w:val="00F92B2F"/>
    <w:rsid w:val="00F9399B"/>
    <w:rsid w:val="00F9579C"/>
    <w:rsid w:val="00F96C97"/>
    <w:rsid w:val="00F97A78"/>
    <w:rsid w:val="00F97D1E"/>
    <w:rsid w:val="00FA0B20"/>
    <w:rsid w:val="00FA22B8"/>
    <w:rsid w:val="00FA24E7"/>
    <w:rsid w:val="00FA3E32"/>
    <w:rsid w:val="00FA59A2"/>
    <w:rsid w:val="00FA6E59"/>
    <w:rsid w:val="00FA7A1E"/>
    <w:rsid w:val="00FB1F2E"/>
    <w:rsid w:val="00FB26E0"/>
    <w:rsid w:val="00FB2FCB"/>
    <w:rsid w:val="00FB522F"/>
    <w:rsid w:val="00FB7A23"/>
    <w:rsid w:val="00FB7F18"/>
    <w:rsid w:val="00FC00C4"/>
    <w:rsid w:val="00FC02A3"/>
    <w:rsid w:val="00FC0850"/>
    <w:rsid w:val="00FC0FE1"/>
    <w:rsid w:val="00FC1074"/>
    <w:rsid w:val="00FC1884"/>
    <w:rsid w:val="00FC371D"/>
    <w:rsid w:val="00FC4646"/>
    <w:rsid w:val="00FC4898"/>
    <w:rsid w:val="00FC51D3"/>
    <w:rsid w:val="00FC5F0B"/>
    <w:rsid w:val="00FC60AD"/>
    <w:rsid w:val="00FC6266"/>
    <w:rsid w:val="00FC6B3A"/>
    <w:rsid w:val="00FC6B70"/>
    <w:rsid w:val="00FC7DAD"/>
    <w:rsid w:val="00FD1123"/>
    <w:rsid w:val="00FD2100"/>
    <w:rsid w:val="00FD3683"/>
    <w:rsid w:val="00FD4216"/>
    <w:rsid w:val="00FD436C"/>
    <w:rsid w:val="00FD446D"/>
    <w:rsid w:val="00FD4637"/>
    <w:rsid w:val="00FD4891"/>
    <w:rsid w:val="00FD5B69"/>
    <w:rsid w:val="00FD603E"/>
    <w:rsid w:val="00FD6394"/>
    <w:rsid w:val="00FD735F"/>
    <w:rsid w:val="00FE0967"/>
    <w:rsid w:val="00FE0E6C"/>
    <w:rsid w:val="00FE395B"/>
    <w:rsid w:val="00FE459D"/>
    <w:rsid w:val="00FE4781"/>
    <w:rsid w:val="00FE5002"/>
    <w:rsid w:val="00FE5913"/>
    <w:rsid w:val="00FE68FB"/>
    <w:rsid w:val="00FE70C3"/>
    <w:rsid w:val="00FE7BE3"/>
    <w:rsid w:val="00FF3578"/>
    <w:rsid w:val="00FF3DCF"/>
    <w:rsid w:val="00FF492C"/>
    <w:rsid w:val="00FF4A21"/>
    <w:rsid w:val="00FF5842"/>
    <w:rsid w:val="00FF5AA3"/>
    <w:rsid w:val="00FF5AD8"/>
    <w:rsid w:val="00FF5FCE"/>
    <w:rsid w:val="00FF75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s Points,Styl moj,Akapit z listą1,Akapit z listą11,Footnote,Bullet point,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s Points Char,Styl moj Char,Akapit z listą1 Char,Akapit z listą11 Char,Footnote Char,Bullet point Char,List Paragraph11 Char,Recommendation Char,ES Paragraph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E7711"/>
    <w:pPr>
      <w:numPr>
        <w:numId w:val="1"/>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BulletedList">
    <w:name w:val="Bulleted List"/>
    <w:basedOn w:val="Normal"/>
    <w:uiPriority w:val="3"/>
    <w:qFormat/>
    <w:rsid w:val="00E815B0"/>
    <w:pPr>
      <w:widowControl/>
      <w:numPr>
        <w:numId w:val="3"/>
      </w:numPr>
      <w:spacing w:after="240"/>
      <w:ind w:left="357" w:hanging="357"/>
      <w:contextualSpacing/>
    </w:pPr>
    <w:rPr>
      <w:rFonts w:ascii="Candara" w:eastAsiaTheme="majorEastAsia" w:hAnsi="Candara" w:cstheme="majorBidi"/>
      <w:snapToGrid/>
    </w:rPr>
  </w:style>
  <w:style w:type="paragraph" w:styleId="FootnoteText">
    <w:name w:val="footnote text"/>
    <w:basedOn w:val="Normal"/>
    <w:link w:val="FootnoteTextChar"/>
    <w:unhideWhenUsed/>
    <w:rsid w:val="00714289"/>
    <w:rPr>
      <w:sz w:val="20"/>
      <w:szCs w:val="20"/>
    </w:rPr>
  </w:style>
  <w:style w:type="character" w:customStyle="1" w:styleId="FootnoteTextChar">
    <w:name w:val="Footnote Text Char"/>
    <w:basedOn w:val="DefaultParagraphFont"/>
    <w:link w:val="FootnoteText"/>
    <w:rsid w:val="00714289"/>
    <w:rPr>
      <w:rFonts w:ascii="Calibri" w:hAnsi="Calibri" w:cs="Arial"/>
      <w:snapToGrid w:val="0"/>
      <w:lang w:eastAsia="en-US"/>
    </w:rPr>
  </w:style>
  <w:style w:type="character" w:styleId="FootnoteReference">
    <w:name w:val="footnote reference"/>
    <w:basedOn w:val="DefaultParagraphFont"/>
    <w:semiHidden/>
    <w:unhideWhenUsed/>
    <w:rsid w:val="00714289"/>
    <w:rPr>
      <w:vertAlign w:val="superscript"/>
    </w:rPr>
  </w:style>
  <w:style w:type="paragraph" w:customStyle="1" w:styleId="NumberedList">
    <w:name w:val="Numbered List"/>
    <w:basedOn w:val="Normal"/>
    <w:uiPriority w:val="3"/>
    <w:qFormat/>
    <w:rsid w:val="008318F6"/>
    <w:pPr>
      <w:widowControl/>
      <w:numPr>
        <w:numId w:val="4"/>
      </w:numPr>
      <w:spacing w:after="240"/>
      <w:ind w:left="357" w:hanging="357"/>
      <w:contextualSpacing/>
    </w:pPr>
    <w:rPr>
      <w:rFonts w:ascii="Candara" w:eastAsiaTheme="majorEastAsia" w:hAnsi="Candara" w:cstheme="majorBidi"/>
      <w:snapToGrid/>
    </w:rPr>
  </w:style>
  <w:style w:type="paragraph" w:customStyle="1" w:styleId="TableNotes">
    <w:name w:val="Table Notes"/>
    <w:basedOn w:val="Normal"/>
    <w:link w:val="TableNotesChar"/>
    <w:qFormat/>
    <w:rsid w:val="008318F6"/>
    <w:pPr>
      <w:widowControl/>
      <w:spacing w:after="40"/>
    </w:pPr>
    <w:rPr>
      <w:rFonts w:ascii="Arial Narrow" w:eastAsiaTheme="majorEastAsia" w:hAnsi="Arial Narrow" w:cstheme="majorBidi"/>
      <w:snapToGrid/>
      <w:sz w:val="16"/>
    </w:rPr>
  </w:style>
  <w:style w:type="character" w:customStyle="1" w:styleId="TableNotesChar">
    <w:name w:val="Table Notes Char"/>
    <w:basedOn w:val="DefaultParagraphFont"/>
    <w:link w:val="TableNotes"/>
    <w:locked/>
    <w:rsid w:val="008318F6"/>
    <w:rPr>
      <w:rFonts w:ascii="Arial Narrow" w:eastAsiaTheme="majorEastAsia" w:hAnsi="Arial Narrow" w:cstheme="majorBidi"/>
      <w:sz w:val="16"/>
      <w:szCs w:val="22"/>
      <w:lang w:eastAsia="en-US"/>
    </w:rPr>
  </w:style>
  <w:style w:type="paragraph" w:customStyle="1" w:styleId="Default">
    <w:name w:val="Default"/>
    <w:rsid w:val="00A52296"/>
    <w:pPr>
      <w:autoSpaceDE w:val="0"/>
      <w:autoSpaceDN w:val="0"/>
      <w:adjustRightInd w:val="0"/>
    </w:pPr>
    <w:rPr>
      <w:rFonts w:ascii="Cambria" w:hAnsi="Cambria" w:cs="Cambria"/>
      <w:color w:val="000000"/>
      <w:sz w:val="24"/>
      <w:szCs w:val="24"/>
    </w:rPr>
  </w:style>
  <w:style w:type="character" w:customStyle="1" w:styleId="TableText0">
    <w:name w:val="Table Text"/>
    <w:basedOn w:val="DefaultParagraphFont"/>
    <w:uiPriority w:val="4"/>
    <w:qFormat/>
    <w:rsid w:val="000E7DAA"/>
    <w:rPr>
      <w:rFonts w:ascii="Arial Narrow" w:hAnsi="Arial Narrow" w:cs="Times New Roman"/>
      <w:sz w:val="18"/>
    </w:rPr>
  </w:style>
  <w:style w:type="paragraph" w:customStyle="1" w:styleId="TableTextCA">
    <w:name w:val="Table Text CA"/>
    <w:basedOn w:val="Normal"/>
    <w:qFormat/>
    <w:rsid w:val="00C713E7"/>
    <w:pPr>
      <w:widowControl/>
      <w:jc w:val="center"/>
    </w:pPr>
    <w:rPr>
      <w:rFonts w:ascii="Arial Narrow" w:eastAsiaTheme="minorHAnsi" w:hAnsi="Arial Narrow" w:cstheme="minorBidi"/>
      <w:snapToGrid/>
      <w:sz w:val="20"/>
    </w:rPr>
  </w:style>
  <w:style w:type="table" w:customStyle="1" w:styleId="Summarybox2">
    <w:name w:val="Summary box2"/>
    <w:basedOn w:val="TableNormal"/>
    <w:next w:val="TableGrid"/>
    <w:uiPriority w:val="59"/>
    <w:rsid w:val="009D3727"/>
    <w:rPr>
      <w:rFonts w:ascii="Arial Narrow" w:eastAsiaTheme="majorEastAsia" w:hAnsi="Arial Narrow" w:cstheme="majorBidi"/>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TextChar0">
    <w:name w:val="Table Text Char"/>
    <w:rsid w:val="00172AD3"/>
    <w:rPr>
      <w:rFonts w:ascii="Arial Narrow" w:hAnsi="Arial Narrow"/>
      <w:sz w:val="20"/>
    </w:rPr>
  </w:style>
  <w:style w:type="character" w:customStyle="1" w:styleId="Heading1Char">
    <w:name w:val="Heading 1 Char"/>
    <w:basedOn w:val="DefaultParagraphFont"/>
    <w:link w:val="Heading1"/>
    <w:uiPriority w:val="1"/>
    <w:rsid w:val="00DD26A0"/>
    <w:rPr>
      <w:rFonts w:ascii="Calibri" w:hAnsi="Calibri" w:cs="Arial"/>
      <w:b/>
      <w:caps/>
      <w:snapToGrid w:val="0"/>
      <w:sz w:val="32"/>
      <w:szCs w:val="22"/>
      <w:lang w:eastAsia="en-US"/>
    </w:rPr>
  </w:style>
  <w:style w:type="paragraph" w:customStyle="1" w:styleId="V50Heading2nonumbers">
    <w:name w:val="V5.0 Heading 2 no numbers"/>
    <w:basedOn w:val="Heading2"/>
    <w:qFormat/>
    <w:rsid w:val="009E7711"/>
    <w:pPr>
      <w:keepNext/>
      <w:keepLines/>
      <w:widowControl/>
      <w:spacing w:before="240" w:after="120"/>
      <w:ind w:left="578" w:hanging="578"/>
      <w:jc w:val="left"/>
    </w:pPr>
    <w:rPr>
      <w:rFonts w:cs="Times New Roman"/>
      <w:snapToGrid/>
      <w:szCs w:val="28"/>
    </w:rPr>
  </w:style>
  <w:style w:type="paragraph" w:styleId="PlainText">
    <w:name w:val="Plain Text"/>
    <w:basedOn w:val="Normal"/>
    <w:link w:val="PlainTextChar"/>
    <w:uiPriority w:val="99"/>
    <w:rsid w:val="00FF5FCE"/>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FF5FCE"/>
    <w:rPr>
      <w:rFonts w:ascii="Courier New" w:hAnsi="Courier New"/>
    </w:rPr>
  </w:style>
  <w:style w:type="paragraph" w:styleId="BodyText3">
    <w:name w:val="Body Text 3"/>
    <w:basedOn w:val="Normal"/>
    <w:link w:val="BodyText3Char"/>
    <w:semiHidden/>
    <w:unhideWhenUsed/>
    <w:rsid w:val="00AC3415"/>
    <w:pPr>
      <w:spacing w:after="120"/>
    </w:pPr>
    <w:rPr>
      <w:sz w:val="16"/>
      <w:szCs w:val="16"/>
    </w:rPr>
  </w:style>
  <w:style w:type="character" w:customStyle="1" w:styleId="BodyText3Char">
    <w:name w:val="Body Text 3 Char"/>
    <w:basedOn w:val="DefaultParagraphFont"/>
    <w:link w:val="BodyText3"/>
    <w:semiHidden/>
    <w:rsid w:val="00AC3415"/>
    <w:rPr>
      <w:rFonts w:ascii="Calibri" w:hAnsi="Calibri" w:cs="Arial"/>
      <w:snapToGrid w:val="0"/>
      <w:sz w:val="16"/>
      <w:szCs w:val="16"/>
      <w:lang w:eastAsia="en-US"/>
    </w:rPr>
  </w:style>
  <w:style w:type="paragraph" w:customStyle="1" w:styleId="BodyA">
    <w:name w:val="Body A"/>
    <w:rsid w:val="00B0519C"/>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numbering" w:customStyle="1" w:styleId="Bullet">
    <w:name w:val="Bullet"/>
    <w:rsid w:val="00B0519C"/>
    <w:pPr>
      <w:numPr>
        <w:numId w:val="12"/>
      </w:numPr>
    </w:pPr>
  </w:style>
  <w:style w:type="character" w:customStyle="1" w:styleId="None">
    <w:name w:val="None"/>
    <w:rsid w:val="00B0519C"/>
  </w:style>
  <w:style w:type="character" w:customStyle="1" w:styleId="Hyperlink0">
    <w:name w:val="Hyperlink.0"/>
    <w:basedOn w:val="None"/>
    <w:rsid w:val="00B0519C"/>
    <w:rPr>
      <w:u w:val="single"/>
    </w:rPr>
  </w:style>
  <w:style w:type="paragraph" w:customStyle="1" w:styleId="2Sections">
    <w:name w:val="2. Sections"/>
    <w:qFormat/>
    <w:rsid w:val="00544BB7"/>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544BB7"/>
    <w:pPr>
      <w:widowControl/>
      <w:tabs>
        <w:tab w:val="num" w:pos="360"/>
      </w:tabs>
      <w:spacing w:after="120"/>
    </w:pPr>
    <w:rPr>
      <w:rFonts w:asciiTheme="minorHAnsi" w:eastAsiaTheme="minorHAnsi" w:hAnsiTheme="minorHAnsi" w:cstheme="minorBidi"/>
      <w: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8601">
      <w:bodyDiv w:val="1"/>
      <w:marLeft w:val="0"/>
      <w:marRight w:val="0"/>
      <w:marTop w:val="0"/>
      <w:marBottom w:val="0"/>
      <w:divBdr>
        <w:top w:val="none" w:sz="0" w:space="0" w:color="auto"/>
        <w:left w:val="none" w:sz="0" w:space="0" w:color="auto"/>
        <w:bottom w:val="none" w:sz="0" w:space="0" w:color="auto"/>
        <w:right w:val="none" w:sz="0" w:space="0" w:color="auto"/>
      </w:divBdr>
    </w:div>
    <w:div w:id="121194563">
      <w:bodyDiv w:val="1"/>
      <w:marLeft w:val="0"/>
      <w:marRight w:val="0"/>
      <w:marTop w:val="0"/>
      <w:marBottom w:val="0"/>
      <w:divBdr>
        <w:top w:val="none" w:sz="0" w:space="0" w:color="auto"/>
        <w:left w:val="none" w:sz="0" w:space="0" w:color="auto"/>
        <w:bottom w:val="none" w:sz="0" w:space="0" w:color="auto"/>
        <w:right w:val="none" w:sz="0" w:space="0" w:color="auto"/>
      </w:divBdr>
    </w:div>
    <w:div w:id="143397735">
      <w:bodyDiv w:val="1"/>
      <w:marLeft w:val="0"/>
      <w:marRight w:val="0"/>
      <w:marTop w:val="0"/>
      <w:marBottom w:val="0"/>
      <w:divBdr>
        <w:top w:val="none" w:sz="0" w:space="0" w:color="auto"/>
        <w:left w:val="none" w:sz="0" w:space="0" w:color="auto"/>
        <w:bottom w:val="none" w:sz="0" w:space="0" w:color="auto"/>
        <w:right w:val="none" w:sz="0" w:space="0" w:color="auto"/>
      </w:divBdr>
    </w:div>
    <w:div w:id="144250922">
      <w:bodyDiv w:val="1"/>
      <w:marLeft w:val="0"/>
      <w:marRight w:val="0"/>
      <w:marTop w:val="0"/>
      <w:marBottom w:val="0"/>
      <w:divBdr>
        <w:top w:val="none" w:sz="0" w:space="0" w:color="auto"/>
        <w:left w:val="none" w:sz="0" w:space="0" w:color="auto"/>
        <w:bottom w:val="none" w:sz="0" w:space="0" w:color="auto"/>
        <w:right w:val="none" w:sz="0" w:space="0" w:color="auto"/>
      </w:divBdr>
      <w:divsChild>
        <w:div w:id="514222797">
          <w:marLeft w:val="360"/>
          <w:marRight w:val="0"/>
          <w:marTop w:val="200"/>
          <w:marBottom w:val="0"/>
          <w:divBdr>
            <w:top w:val="none" w:sz="0" w:space="0" w:color="auto"/>
            <w:left w:val="none" w:sz="0" w:space="0" w:color="auto"/>
            <w:bottom w:val="none" w:sz="0" w:space="0" w:color="auto"/>
            <w:right w:val="none" w:sz="0" w:space="0" w:color="auto"/>
          </w:divBdr>
        </w:div>
        <w:div w:id="2002928789">
          <w:marLeft w:val="1080"/>
          <w:marRight w:val="0"/>
          <w:marTop w:val="100"/>
          <w:marBottom w:val="0"/>
          <w:divBdr>
            <w:top w:val="none" w:sz="0" w:space="0" w:color="auto"/>
            <w:left w:val="none" w:sz="0" w:space="0" w:color="auto"/>
            <w:bottom w:val="none" w:sz="0" w:space="0" w:color="auto"/>
            <w:right w:val="none" w:sz="0" w:space="0" w:color="auto"/>
          </w:divBdr>
        </w:div>
        <w:div w:id="676888415">
          <w:marLeft w:val="1080"/>
          <w:marRight w:val="0"/>
          <w:marTop w:val="100"/>
          <w:marBottom w:val="0"/>
          <w:divBdr>
            <w:top w:val="none" w:sz="0" w:space="0" w:color="auto"/>
            <w:left w:val="none" w:sz="0" w:space="0" w:color="auto"/>
            <w:bottom w:val="none" w:sz="0" w:space="0" w:color="auto"/>
            <w:right w:val="none" w:sz="0" w:space="0" w:color="auto"/>
          </w:divBdr>
        </w:div>
      </w:divsChild>
    </w:div>
    <w:div w:id="173767984">
      <w:bodyDiv w:val="1"/>
      <w:marLeft w:val="0"/>
      <w:marRight w:val="0"/>
      <w:marTop w:val="0"/>
      <w:marBottom w:val="0"/>
      <w:divBdr>
        <w:top w:val="none" w:sz="0" w:space="0" w:color="auto"/>
        <w:left w:val="none" w:sz="0" w:space="0" w:color="auto"/>
        <w:bottom w:val="none" w:sz="0" w:space="0" w:color="auto"/>
        <w:right w:val="none" w:sz="0" w:space="0" w:color="auto"/>
      </w:divBdr>
    </w:div>
    <w:div w:id="201212351">
      <w:bodyDiv w:val="1"/>
      <w:marLeft w:val="0"/>
      <w:marRight w:val="0"/>
      <w:marTop w:val="0"/>
      <w:marBottom w:val="0"/>
      <w:divBdr>
        <w:top w:val="none" w:sz="0" w:space="0" w:color="auto"/>
        <w:left w:val="none" w:sz="0" w:space="0" w:color="auto"/>
        <w:bottom w:val="none" w:sz="0" w:space="0" w:color="auto"/>
        <w:right w:val="none" w:sz="0" w:space="0" w:color="auto"/>
      </w:divBdr>
      <w:divsChild>
        <w:div w:id="599068595">
          <w:marLeft w:val="446"/>
          <w:marRight w:val="0"/>
          <w:marTop w:val="0"/>
          <w:marBottom w:val="0"/>
          <w:divBdr>
            <w:top w:val="none" w:sz="0" w:space="0" w:color="auto"/>
            <w:left w:val="none" w:sz="0" w:space="0" w:color="auto"/>
            <w:bottom w:val="none" w:sz="0" w:space="0" w:color="auto"/>
            <w:right w:val="none" w:sz="0" w:space="0" w:color="auto"/>
          </w:divBdr>
        </w:div>
        <w:div w:id="122891485">
          <w:marLeft w:val="446"/>
          <w:marRight w:val="0"/>
          <w:marTop w:val="0"/>
          <w:marBottom w:val="0"/>
          <w:divBdr>
            <w:top w:val="none" w:sz="0" w:space="0" w:color="auto"/>
            <w:left w:val="none" w:sz="0" w:space="0" w:color="auto"/>
            <w:bottom w:val="none" w:sz="0" w:space="0" w:color="auto"/>
            <w:right w:val="none" w:sz="0" w:space="0" w:color="auto"/>
          </w:divBdr>
        </w:div>
        <w:div w:id="225191408">
          <w:marLeft w:val="446"/>
          <w:marRight w:val="0"/>
          <w:marTop w:val="0"/>
          <w:marBottom w:val="0"/>
          <w:divBdr>
            <w:top w:val="none" w:sz="0" w:space="0" w:color="auto"/>
            <w:left w:val="none" w:sz="0" w:space="0" w:color="auto"/>
            <w:bottom w:val="none" w:sz="0" w:space="0" w:color="auto"/>
            <w:right w:val="none" w:sz="0" w:space="0" w:color="auto"/>
          </w:divBdr>
        </w:div>
        <w:div w:id="1424260238">
          <w:marLeft w:val="446"/>
          <w:marRight w:val="0"/>
          <w:marTop w:val="0"/>
          <w:marBottom w:val="0"/>
          <w:divBdr>
            <w:top w:val="none" w:sz="0" w:space="0" w:color="auto"/>
            <w:left w:val="none" w:sz="0" w:space="0" w:color="auto"/>
            <w:bottom w:val="none" w:sz="0" w:space="0" w:color="auto"/>
            <w:right w:val="none" w:sz="0" w:space="0" w:color="auto"/>
          </w:divBdr>
        </w:div>
        <w:div w:id="1710108809">
          <w:marLeft w:val="446"/>
          <w:marRight w:val="0"/>
          <w:marTop w:val="0"/>
          <w:marBottom w:val="0"/>
          <w:divBdr>
            <w:top w:val="none" w:sz="0" w:space="0" w:color="auto"/>
            <w:left w:val="none" w:sz="0" w:space="0" w:color="auto"/>
            <w:bottom w:val="none" w:sz="0" w:space="0" w:color="auto"/>
            <w:right w:val="none" w:sz="0" w:space="0" w:color="auto"/>
          </w:divBdr>
        </w:div>
      </w:divsChild>
    </w:div>
    <w:div w:id="243609166">
      <w:bodyDiv w:val="1"/>
      <w:marLeft w:val="0"/>
      <w:marRight w:val="0"/>
      <w:marTop w:val="0"/>
      <w:marBottom w:val="0"/>
      <w:divBdr>
        <w:top w:val="none" w:sz="0" w:space="0" w:color="auto"/>
        <w:left w:val="none" w:sz="0" w:space="0" w:color="auto"/>
        <w:bottom w:val="none" w:sz="0" w:space="0" w:color="auto"/>
        <w:right w:val="none" w:sz="0" w:space="0" w:color="auto"/>
      </w:divBdr>
      <w:divsChild>
        <w:div w:id="631985638">
          <w:marLeft w:val="547"/>
          <w:marRight w:val="0"/>
          <w:marTop w:val="106"/>
          <w:marBottom w:val="0"/>
          <w:divBdr>
            <w:top w:val="none" w:sz="0" w:space="0" w:color="auto"/>
            <w:left w:val="none" w:sz="0" w:space="0" w:color="auto"/>
            <w:bottom w:val="none" w:sz="0" w:space="0" w:color="auto"/>
            <w:right w:val="none" w:sz="0" w:space="0" w:color="auto"/>
          </w:divBdr>
        </w:div>
        <w:div w:id="2070808990">
          <w:marLeft w:val="1166"/>
          <w:marRight w:val="0"/>
          <w:marTop w:val="96"/>
          <w:marBottom w:val="0"/>
          <w:divBdr>
            <w:top w:val="none" w:sz="0" w:space="0" w:color="auto"/>
            <w:left w:val="none" w:sz="0" w:space="0" w:color="auto"/>
            <w:bottom w:val="none" w:sz="0" w:space="0" w:color="auto"/>
            <w:right w:val="none" w:sz="0" w:space="0" w:color="auto"/>
          </w:divBdr>
        </w:div>
      </w:divsChild>
    </w:div>
    <w:div w:id="249239375">
      <w:bodyDiv w:val="1"/>
      <w:marLeft w:val="0"/>
      <w:marRight w:val="0"/>
      <w:marTop w:val="0"/>
      <w:marBottom w:val="0"/>
      <w:divBdr>
        <w:top w:val="none" w:sz="0" w:space="0" w:color="auto"/>
        <w:left w:val="none" w:sz="0" w:space="0" w:color="auto"/>
        <w:bottom w:val="none" w:sz="0" w:space="0" w:color="auto"/>
        <w:right w:val="none" w:sz="0" w:space="0" w:color="auto"/>
      </w:divBdr>
      <w:divsChild>
        <w:div w:id="1563524057">
          <w:marLeft w:val="0"/>
          <w:marRight w:val="0"/>
          <w:marTop w:val="0"/>
          <w:marBottom w:val="0"/>
          <w:divBdr>
            <w:top w:val="none" w:sz="0" w:space="0" w:color="auto"/>
            <w:left w:val="none" w:sz="0" w:space="0" w:color="auto"/>
            <w:bottom w:val="none" w:sz="0" w:space="0" w:color="auto"/>
            <w:right w:val="none" w:sz="0" w:space="0" w:color="auto"/>
          </w:divBdr>
        </w:div>
        <w:div w:id="1727295564">
          <w:marLeft w:val="0"/>
          <w:marRight w:val="0"/>
          <w:marTop w:val="0"/>
          <w:marBottom w:val="0"/>
          <w:divBdr>
            <w:top w:val="none" w:sz="0" w:space="0" w:color="auto"/>
            <w:left w:val="none" w:sz="0" w:space="0" w:color="auto"/>
            <w:bottom w:val="none" w:sz="0" w:space="0" w:color="auto"/>
            <w:right w:val="none" w:sz="0" w:space="0" w:color="auto"/>
          </w:divBdr>
        </w:div>
        <w:div w:id="1151680523">
          <w:marLeft w:val="0"/>
          <w:marRight w:val="0"/>
          <w:marTop w:val="0"/>
          <w:marBottom w:val="0"/>
          <w:divBdr>
            <w:top w:val="none" w:sz="0" w:space="0" w:color="auto"/>
            <w:left w:val="none" w:sz="0" w:space="0" w:color="auto"/>
            <w:bottom w:val="none" w:sz="0" w:space="0" w:color="auto"/>
            <w:right w:val="none" w:sz="0" w:space="0" w:color="auto"/>
          </w:divBdr>
        </w:div>
      </w:divsChild>
    </w:div>
    <w:div w:id="250891176">
      <w:bodyDiv w:val="1"/>
      <w:marLeft w:val="0"/>
      <w:marRight w:val="0"/>
      <w:marTop w:val="0"/>
      <w:marBottom w:val="0"/>
      <w:divBdr>
        <w:top w:val="none" w:sz="0" w:space="0" w:color="auto"/>
        <w:left w:val="none" w:sz="0" w:space="0" w:color="auto"/>
        <w:bottom w:val="none" w:sz="0" w:space="0" w:color="auto"/>
        <w:right w:val="none" w:sz="0" w:space="0" w:color="auto"/>
      </w:divBdr>
      <w:divsChild>
        <w:div w:id="439842604">
          <w:marLeft w:val="547"/>
          <w:marRight w:val="0"/>
          <w:marTop w:val="120"/>
          <w:marBottom w:val="0"/>
          <w:divBdr>
            <w:top w:val="none" w:sz="0" w:space="0" w:color="auto"/>
            <w:left w:val="none" w:sz="0" w:space="0" w:color="auto"/>
            <w:bottom w:val="none" w:sz="0" w:space="0" w:color="auto"/>
            <w:right w:val="none" w:sz="0" w:space="0" w:color="auto"/>
          </w:divBdr>
        </w:div>
      </w:divsChild>
    </w:div>
    <w:div w:id="343479737">
      <w:bodyDiv w:val="1"/>
      <w:marLeft w:val="0"/>
      <w:marRight w:val="0"/>
      <w:marTop w:val="0"/>
      <w:marBottom w:val="0"/>
      <w:divBdr>
        <w:top w:val="none" w:sz="0" w:space="0" w:color="auto"/>
        <w:left w:val="none" w:sz="0" w:space="0" w:color="auto"/>
        <w:bottom w:val="none" w:sz="0" w:space="0" w:color="auto"/>
        <w:right w:val="none" w:sz="0" w:space="0" w:color="auto"/>
      </w:divBdr>
    </w:div>
    <w:div w:id="349569800">
      <w:bodyDiv w:val="1"/>
      <w:marLeft w:val="0"/>
      <w:marRight w:val="0"/>
      <w:marTop w:val="0"/>
      <w:marBottom w:val="0"/>
      <w:divBdr>
        <w:top w:val="none" w:sz="0" w:space="0" w:color="auto"/>
        <w:left w:val="none" w:sz="0" w:space="0" w:color="auto"/>
        <w:bottom w:val="none" w:sz="0" w:space="0" w:color="auto"/>
        <w:right w:val="none" w:sz="0" w:space="0" w:color="auto"/>
      </w:divBdr>
    </w:div>
    <w:div w:id="374737433">
      <w:bodyDiv w:val="1"/>
      <w:marLeft w:val="0"/>
      <w:marRight w:val="0"/>
      <w:marTop w:val="0"/>
      <w:marBottom w:val="0"/>
      <w:divBdr>
        <w:top w:val="none" w:sz="0" w:space="0" w:color="auto"/>
        <w:left w:val="none" w:sz="0" w:space="0" w:color="auto"/>
        <w:bottom w:val="none" w:sz="0" w:space="0" w:color="auto"/>
        <w:right w:val="none" w:sz="0" w:space="0" w:color="auto"/>
      </w:divBdr>
      <w:divsChild>
        <w:div w:id="1151095567">
          <w:marLeft w:val="547"/>
          <w:marRight w:val="0"/>
          <w:marTop w:val="106"/>
          <w:marBottom w:val="0"/>
          <w:divBdr>
            <w:top w:val="none" w:sz="0" w:space="0" w:color="auto"/>
            <w:left w:val="none" w:sz="0" w:space="0" w:color="auto"/>
            <w:bottom w:val="none" w:sz="0" w:space="0" w:color="auto"/>
            <w:right w:val="none" w:sz="0" w:space="0" w:color="auto"/>
          </w:divBdr>
        </w:div>
        <w:div w:id="1381319839">
          <w:marLeft w:val="1166"/>
          <w:marRight w:val="0"/>
          <w:marTop w:val="96"/>
          <w:marBottom w:val="0"/>
          <w:divBdr>
            <w:top w:val="none" w:sz="0" w:space="0" w:color="auto"/>
            <w:left w:val="none" w:sz="0" w:space="0" w:color="auto"/>
            <w:bottom w:val="none" w:sz="0" w:space="0" w:color="auto"/>
            <w:right w:val="none" w:sz="0" w:space="0" w:color="auto"/>
          </w:divBdr>
        </w:div>
      </w:divsChild>
    </w:div>
    <w:div w:id="444037722">
      <w:bodyDiv w:val="1"/>
      <w:marLeft w:val="0"/>
      <w:marRight w:val="0"/>
      <w:marTop w:val="0"/>
      <w:marBottom w:val="0"/>
      <w:divBdr>
        <w:top w:val="none" w:sz="0" w:space="0" w:color="auto"/>
        <w:left w:val="none" w:sz="0" w:space="0" w:color="auto"/>
        <w:bottom w:val="none" w:sz="0" w:space="0" w:color="auto"/>
        <w:right w:val="none" w:sz="0" w:space="0" w:color="auto"/>
      </w:divBdr>
      <w:divsChild>
        <w:div w:id="467212874">
          <w:marLeft w:val="360"/>
          <w:marRight w:val="0"/>
          <w:marTop w:val="200"/>
          <w:marBottom w:val="0"/>
          <w:divBdr>
            <w:top w:val="none" w:sz="0" w:space="0" w:color="auto"/>
            <w:left w:val="none" w:sz="0" w:space="0" w:color="auto"/>
            <w:bottom w:val="none" w:sz="0" w:space="0" w:color="auto"/>
            <w:right w:val="none" w:sz="0" w:space="0" w:color="auto"/>
          </w:divBdr>
        </w:div>
        <w:div w:id="1046222206">
          <w:marLeft w:val="1080"/>
          <w:marRight w:val="0"/>
          <w:marTop w:val="100"/>
          <w:marBottom w:val="0"/>
          <w:divBdr>
            <w:top w:val="none" w:sz="0" w:space="0" w:color="auto"/>
            <w:left w:val="none" w:sz="0" w:space="0" w:color="auto"/>
            <w:bottom w:val="none" w:sz="0" w:space="0" w:color="auto"/>
            <w:right w:val="none" w:sz="0" w:space="0" w:color="auto"/>
          </w:divBdr>
        </w:div>
      </w:divsChild>
    </w:div>
    <w:div w:id="454569685">
      <w:bodyDiv w:val="1"/>
      <w:marLeft w:val="0"/>
      <w:marRight w:val="0"/>
      <w:marTop w:val="0"/>
      <w:marBottom w:val="0"/>
      <w:divBdr>
        <w:top w:val="none" w:sz="0" w:space="0" w:color="auto"/>
        <w:left w:val="none" w:sz="0" w:space="0" w:color="auto"/>
        <w:bottom w:val="none" w:sz="0" w:space="0" w:color="auto"/>
        <w:right w:val="none" w:sz="0" w:space="0" w:color="auto"/>
      </w:divBdr>
    </w:div>
    <w:div w:id="469325637">
      <w:bodyDiv w:val="1"/>
      <w:marLeft w:val="0"/>
      <w:marRight w:val="0"/>
      <w:marTop w:val="0"/>
      <w:marBottom w:val="0"/>
      <w:divBdr>
        <w:top w:val="none" w:sz="0" w:space="0" w:color="auto"/>
        <w:left w:val="none" w:sz="0" w:space="0" w:color="auto"/>
        <w:bottom w:val="none" w:sz="0" w:space="0" w:color="auto"/>
        <w:right w:val="none" w:sz="0" w:space="0" w:color="auto"/>
      </w:divBdr>
      <w:divsChild>
        <w:div w:id="1265722232">
          <w:marLeft w:val="1080"/>
          <w:marRight w:val="0"/>
          <w:marTop w:val="100"/>
          <w:marBottom w:val="0"/>
          <w:divBdr>
            <w:top w:val="none" w:sz="0" w:space="0" w:color="auto"/>
            <w:left w:val="none" w:sz="0" w:space="0" w:color="auto"/>
            <w:bottom w:val="none" w:sz="0" w:space="0" w:color="auto"/>
            <w:right w:val="none" w:sz="0" w:space="0" w:color="auto"/>
          </w:divBdr>
        </w:div>
      </w:divsChild>
    </w:div>
    <w:div w:id="518281041">
      <w:bodyDiv w:val="1"/>
      <w:marLeft w:val="0"/>
      <w:marRight w:val="0"/>
      <w:marTop w:val="0"/>
      <w:marBottom w:val="0"/>
      <w:divBdr>
        <w:top w:val="none" w:sz="0" w:space="0" w:color="auto"/>
        <w:left w:val="none" w:sz="0" w:space="0" w:color="auto"/>
        <w:bottom w:val="none" w:sz="0" w:space="0" w:color="auto"/>
        <w:right w:val="none" w:sz="0" w:space="0" w:color="auto"/>
      </w:divBdr>
      <w:divsChild>
        <w:div w:id="1991328296">
          <w:marLeft w:val="1800"/>
          <w:marRight w:val="0"/>
          <w:marTop w:val="106"/>
          <w:marBottom w:val="0"/>
          <w:divBdr>
            <w:top w:val="none" w:sz="0" w:space="0" w:color="auto"/>
            <w:left w:val="none" w:sz="0" w:space="0" w:color="auto"/>
            <w:bottom w:val="none" w:sz="0" w:space="0" w:color="auto"/>
            <w:right w:val="none" w:sz="0" w:space="0" w:color="auto"/>
          </w:divBdr>
        </w:div>
      </w:divsChild>
    </w:div>
    <w:div w:id="590360471">
      <w:bodyDiv w:val="1"/>
      <w:marLeft w:val="0"/>
      <w:marRight w:val="0"/>
      <w:marTop w:val="0"/>
      <w:marBottom w:val="0"/>
      <w:divBdr>
        <w:top w:val="none" w:sz="0" w:space="0" w:color="auto"/>
        <w:left w:val="none" w:sz="0" w:space="0" w:color="auto"/>
        <w:bottom w:val="none" w:sz="0" w:space="0" w:color="auto"/>
        <w:right w:val="none" w:sz="0" w:space="0" w:color="auto"/>
      </w:divBdr>
      <w:divsChild>
        <w:div w:id="1472404059">
          <w:marLeft w:val="547"/>
          <w:marRight w:val="0"/>
          <w:marTop w:val="106"/>
          <w:marBottom w:val="0"/>
          <w:divBdr>
            <w:top w:val="none" w:sz="0" w:space="0" w:color="auto"/>
            <w:left w:val="none" w:sz="0" w:space="0" w:color="auto"/>
            <w:bottom w:val="none" w:sz="0" w:space="0" w:color="auto"/>
            <w:right w:val="none" w:sz="0" w:space="0" w:color="auto"/>
          </w:divBdr>
        </w:div>
        <w:div w:id="1482963152">
          <w:marLeft w:val="1166"/>
          <w:marRight w:val="0"/>
          <w:marTop w:val="96"/>
          <w:marBottom w:val="0"/>
          <w:divBdr>
            <w:top w:val="none" w:sz="0" w:space="0" w:color="auto"/>
            <w:left w:val="none" w:sz="0" w:space="0" w:color="auto"/>
            <w:bottom w:val="none" w:sz="0" w:space="0" w:color="auto"/>
            <w:right w:val="none" w:sz="0" w:space="0" w:color="auto"/>
          </w:divBdr>
        </w:div>
      </w:divsChild>
    </w:div>
    <w:div w:id="655649007">
      <w:bodyDiv w:val="1"/>
      <w:marLeft w:val="0"/>
      <w:marRight w:val="0"/>
      <w:marTop w:val="0"/>
      <w:marBottom w:val="0"/>
      <w:divBdr>
        <w:top w:val="none" w:sz="0" w:space="0" w:color="auto"/>
        <w:left w:val="none" w:sz="0" w:space="0" w:color="auto"/>
        <w:bottom w:val="none" w:sz="0" w:space="0" w:color="auto"/>
        <w:right w:val="none" w:sz="0" w:space="0" w:color="auto"/>
      </w:divBdr>
    </w:div>
    <w:div w:id="737827157">
      <w:bodyDiv w:val="1"/>
      <w:marLeft w:val="0"/>
      <w:marRight w:val="0"/>
      <w:marTop w:val="0"/>
      <w:marBottom w:val="0"/>
      <w:divBdr>
        <w:top w:val="none" w:sz="0" w:space="0" w:color="auto"/>
        <w:left w:val="none" w:sz="0" w:space="0" w:color="auto"/>
        <w:bottom w:val="none" w:sz="0" w:space="0" w:color="auto"/>
        <w:right w:val="none" w:sz="0" w:space="0" w:color="auto"/>
      </w:divBdr>
      <w:divsChild>
        <w:div w:id="1528642879">
          <w:marLeft w:val="360"/>
          <w:marRight w:val="0"/>
          <w:marTop w:val="200"/>
          <w:marBottom w:val="0"/>
          <w:divBdr>
            <w:top w:val="none" w:sz="0" w:space="0" w:color="auto"/>
            <w:left w:val="none" w:sz="0" w:space="0" w:color="auto"/>
            <w:bottom w:val="none" w:sz="0" w:space="0" w:color="auto"/>
            <w:right w:val="none" w:sz="0" w:space="0" w:color="auto"/>
          </w:divBdr>
        </w:div>
        <w:div w:id="1156801383">
          <w:marLeft w:val="360"/>
          <w:marRight w:val="0"/>
          <w:marTop w:val="200"/>
          <w:marBottom w:val="0"/>
          <w:divBdr>
            <w:top w:val="none" w:sz="0" w:space="0" w:color="auto"/>
            <w:left w:val="none" w:sz="0" w:space="0" w:color="auto"/>
            <w:bottom w:val="none" w:sz="0" w:space="0" w:color="auto"/>
            <w:right w:val="none" w:sz="0" w:space="0" w:color="auto"/>
          </w:divBdr>
        </w:div>
        <w:div w:id="1417895223">
          <w:marLeft w:val="360"/>
          <w:marRight w:val="0"/>
          <w:marTop w:val="200"/>
          <w:marBottom w:val="0"/>
          <w:divBdr>
            <w:top w:val="none" w:sz="0" w:space="0" w:color="auto"/>
            <w:left w:val="none" w:sz="0" w:space="0" w:color="auto"/>
            <w:bottom w:val="none" w:sz="0" w:space="0" w:color="auto"/>
            <w:right w:val="none" w:sz="0" w:space="0" w:color="auto"/>
          </w:divBdr>
        </w:div>
        <w:div w:id="219638734">
          <w:marLeft w:val="1080"/>
          <w:marRight w:val="0"/>
          <w:marTop w:val="100"/>
          <w:marBottom w:val="0"/>
          <w:divBdr>
            <w:top w:val="none" w:sz="0" w:space="0" w:color="auto"/>
            <w:left w:val="none" w:sz="0" w:space="0" w:color="auto"/>
            <w:bottom w:val="none" w:sz="0" w:space="0" w:color="auto"/>
            <w:right w:val="none" w:sz="0" w:space="0" w:color="auto"/>
          </w:divBdr>
        </w:div>
        <w:div w:id="1910730402">
          <w:marLeft w:val="1080"/>
          <w:marRight w:val="0"/>
          <w:marTop w:val="100"/>
          <w:marBottom w:val="0"/>
          <w:divBdr>
            <w:top w:val="none" w:sz="0" w:space="0" w:color="auto"/>
            <w:left w:val="none" w:sz="0" w:space="0" w:color="auto"/>
            <w:bottom w:val="none" w:sz="0" w:space="0" w:color="auto"/>
            <w:right w:val="none" w:sz="0" w:space="0" w:color="auto"/>
          </w:divBdr>
        </w:div>
        <w:div w:id="1732263232">
          <w:marLeft w:val="1080"/>
          <w:marRight w:val="0"/>
          <w:marTop w:val="100"/>
          <w:marBottom w:val="0"/>
          <w:divBdr>
            <w:top w:val="none" w:sz="0" w:space="0" w:color="auto"/>
            <w:left w:val="none" w:sz="0" w:space="0" w:color="auto"/>
            <w:bottom w:val="none" w:sz="0" w:space="0" w:color="auto"/>
            <w:right w:val="none" w:sz="0" w:space="0" w:color="auto"/>
          </w:divBdr>
        </w:div>
        <w:div w:id="1270821567">
          <w:marLeft w:val="360"/>
          <w:marRight w:val="0"/>
          <w:marTop w:val="200"/>
          <w:marBottom w:val="0"/>
          <w:divBdr>
            <w:top w:val="none" w:sz="0" w:space="0" w:color="auto"/>
            <w:left w:val="none" w:sz="0" w:space="0" w:color="auto"/>
            <w:bottom w:val="none" w:sz="0" w:space="0" w:color="auto"/>
            <w:right w:val="none" w:sz="0" w:space="0" w:color="auto"/>
          </w:divBdr>
        </w:div>
        <w:div w:id="802382889">
          <w:marLeft w:val="360"/>
          <w:marRight w:val="0"/>
          <w:marTop w:val="200"/>
          <w:marBottom w:val="0"/>
          <w:divBdr>
            <w:top w:val="none" w:sz="0" w:space="0" w:color="auto"/>
            <w:left w:val="none" w:sz="0" w:space="0" w:color="auto"/>
            <w:bottom w:val="none" w:sz="0" w:space="0" w:color="auto"/>
            <w:right w:val="none" w:sz="0" w:space="0" w:color="auto"/>
          </w:divBdr>
        </w:div>
      </w:divsChild>
    </w:div>
    <w:div w:id="755708044">
      <w:bodyDiv w:val="1"/>
      <w:marLeft w:val="0"/>
      <w:marRight w:val="0"/>
      <w:marTop w:val="0"/>
      <w:marBottom w:val="0"/>
      <w:divBdr>
        <w:top w:val="none" w:sz="0" w:space="0" w:color="auto"/>
        <w:left w:val="none" w:sz="0" w:space="0" w:color="auto"/>
        <w:bottom w:val="none" w:sz="0" w:space="0" w:color="auto"/>
        <w:right w:val="none" w:sz="0" w:space="0" w:color="auto"/>
      </w:divBdr>
    </w:div>
    <w:div w:id="792208465">
      <w:bodyDiv w:val="1"/>
      <w:marLeft w:val="0"/>
      <w:marRight w:val="0"/>
      <w:marTop w:val="0"/>
      <w:marBottom w:val="0"/>
      <w:divBdr>
        <w:top w:val="none" w:sz="0" w:space="0" w:color="auto"/>
        <w:left w:val="none" w:sz="0" w:space="0" w:color="auto"/>
        <w:bottom w:val="none" w:sz="0" w:space="0" w:color="auto"/>
        <w:right w:val="none" w:sz="0" w:space="0" w:color="auto"/>
      </w:divBdr>
    </w:div>
    <w:div w:id="833883330">
      <w:bodyDiv w:val="1"/>
      <w:marLeft w:val="0"/>
      <w:marRight w:val="0"/>
      <w:marTop w:val="0"/>
      <w:marBottom w:val="0"/>
      <w:divBdr>
        <w:top w:val="none" w:sz="0" w:space="0" w:color="auto"/>
        <w:left w:val="none" w:sz="0" w:space="0" w:color="auto"/>
        <w:bottom w:val="none" w:sz="0" w:space="0" w:color="auto"/>
        <w:right w:val="none" w:sz="0" w:space="0" w:color="auto"/>
      </w:divBdr>
      <w:divsChild>
        <w:div w:id="16201282">
          <w:marLeft w:val="1080"/>
          <w:marRight w:val="0"/>
          <w:marTop w:val="100"/>
          <w:marBottom w:val="0"/>
          <w:divBdr>
            <w:top w:val="none" w:sz="0" w:space="0" w:color="auto"/>
            <w:left w:val="none" w:sz="0" w:space="0" w:color="auto"/>
            <w:bottom w:val="none" w:sz="0" w:space="0" w:color="auto"/>
            <w:right w:val="none" w:sz="0" w:space="0" w:color="auto"/>
          </w:divBdr>
        </w:div>
        <w:div w:id="736127476">
          <w:marLeft w:val="1800"/>
          <w:marRight w:val="0"/>
          <w:marTop w:val="100"/>
          <w:marBottom w:val="0"/>
          <w:divBdr>
            <w:top w:val="none" w:sz="0" w:space="0" w:color="auto"/>
            <w:left w:val="none" w:sz="0" w:space="0" w:color="auto"/>
            <w:bottom w:val="none" w:sz="0" w:space="0" w:color="auto"/>
            <w:right w:val="none" w:sz="0" w:space="0" w:color="auto"/>
          </w:divBdr>
        </w:div>
        <w:div w:id="237449533">
          <w:marLeft w:val="1800"/>
          <w:marRight w:val="0"/>
          <w:marTop w:val="100"/>
          <w:marBottom w:val="0"/>
          <w:divBdr>
            <w:top w:val="none" w:sz="0" w:space="0" w:color="auto"/>
            <w:left w:val="none" w:sz="0" w:space="0" w:color="auto"/>
            <w:bottom w:val="none" w:sz="0" w:space="0" w:color="auto"/>
            <w:right w:val="none" w:sz="0" w:space="0" w:color="auto"/>
          </w:divBdr>
        </w:div>
        <w:div w:id="728190068">
          <w:marLeft w:val="1800"/>
          <w:marRight w:val="0"/>
          <w:marTop w:val="100"/>
          <w:marBottom w:val="0"/>
          <w:divBdr>
            <w:top w:val="none" w:sz="0" w:space="0" w:color="auto"/>
            <w:left w:val="none" w:sz="0" w:space="0" w:color="auto"/>
            <w:bottom w:val="none" w:sz="0" w:space="0" w:color="auto"/>
            <w:right w:val="none" w:sz="0" w:space="0" w:color="auto"/>
          </w:divBdr>
        </w:div>
        <w:div w:id="1564682381">
          <w:marLeft w:val="1800"/>
          <w:marRight w:val="0"/>
          <w:marTop w:val="100"/>
          <w:marBottom w:val="0"/>
          <w:divBdr>
            <w:top w:val="none" w:sz="0" w:space="0" w:color="auto"/>
            <w:left w:val="none" w:sz="0" w:space="0" w:color="auto"/>
            <w:bottom w:val="none" w:sz="0" w:space="0" w:color="auto"/>
            <w:right w:val="none" w:sz="0" w:space="0" w:color="auto"/>
          </w:divBdr>
        </w:div>
        <w:div w:id="78261596">
          <w:marLeft w:val="1800"/>
          <w:marRight w:val="0"/>
          <w:marTop w:val="100"/>
          <w:marBottom w:val="0"/>
          <w:divBdr>
            <w:top w:val="none" w:sz="0" w:space="0" w:color="auto"/>
            <w:left w:val="none" w:sz="0" w:space="0" w:color="auto"/>
            <w:bottom w:val="none" w:sz="0" w:space="0" w:color="auto"/>
            <w:right w:val="none" w:sz="0" w:space="0" w:color="auto"/>
          </w:divBdr>
        </w:div>
      </w:divsChild>
    </w:div>
    <w:div w:id="863440495">
      <w:bodyDiv w:val="1"/>
      <w:marLeft w:val="0"/>
      <w:marRight w:val="0"/>
      <w:marTop w:val="0"/>
      <w:marBottom w:val="0"/>
      <w:divBdr>
        <w:top w:val="none" w:sz="0" w:space="0" w:color="auto"/>
        <w:left w:val="none" w:sz="0" w:space="0" w:color="auto"/>
        <w:bottom w:val="none" w:sz="0" w:space="0" w:color="auto"/>
        <w:right w:val="none" w:sz="0" w:space="0" w:color="auto"/>
      </w:divBdr>
    </w:div>
    <w:div w:id="1044600688">
      <w:bodyDiv w:val="1"/>
      <w:marLeft w:val="0"/>
      <w:marRight w:val="0"/>
      <w:marTop w:val="0"/>
      <w:marBottom w:val="0"/>
      <w:divBdr>
        <w:top w:val="none" w:sz="0" w:space="0" w:color="auto"/>
        <w:left w:val="none" w:sz="0" w:space="0" w:color="auto"/>
        <w:bottom w:val="none" w:sz="0" w:space="0" w:color="auto"/>
        <w:right w:val="none" w:sz="0" w:space="0" w:color="auto"/>
      </w:divBdr>
      <w:divsChild>
        <w:div w:id="1446002347">
          <w:marLeft w:val="547"/>
          <w:marRight w:val="0"/>
          <w:marTop w:val="115"/>
          <w:marBottom w:val="0"/>
          <w:divBdr>
            <w:top w:val="none" w:sz="0" w:space="0" w:color="auto"/>
            <w:left w:val="none" w:sz="0" w:space="0" w:color="auto"/>
            <w:bottom w:val="none" w:sz="0" w:space="0" w:color="auto"/>
            <w:right w:val="none" w:sz="0" w:space="0" w:color="auto"/>
          </w:divBdr>
        </w:div>
      </w:divsChild>
    </w:div>
    <w:div w:id="1047409587">
      <w:bodyDiv w:val="1"/>
      <w:marLeft w:val="0"/>
      <w:marRight w:val="0"/>
      <w:marTop w:val="0"/>
      <w:marBottom w:val="0"/>
      <w:divBdr>
        <w:top w:val="none" w:sz="0" w:space="0" w:color="auto"/>
        <w:left w:val="none" w:sz="0" w:space="0" w:color="auto"/>
        <w:bottom w:val="none" w:sz="0" w:space="0" w:color="auto"/>
        <w:right w:val="none" w:sz="0" w:space="0" w:color="auto"/>
      </w:divBdr>
      <w:divsChild>
        <w:div w:id="1081878556">
          <w:marLeft w:val="360"/>
          <w:marRight w:val="0"/>
          <w:marTop w:val="200"/>
          <w:marBottom w:val="0"/>
          <w:divBdr>
            <w:top w:val="none" w:sz="0" w:space="0" w:color="auto"/>
            <w:left w:val="none" w:sz="0" w:space="0" w:color="auto"/>
            <w:bottom w:val="none" w:sz="0" w:space="0" w:color="auto"/>
            <w:right w:val="none" w:sz="0" w:space="0" w:color="auto"/>
          </w:divBdr>
        </w:div>
      </w:divsChild>
    </w:div>
    <w:div w:id="1101529836">
      <w:bodyDiv w:val="1"/>
      <w:marLeft w:val="0"/>
      <w:marRight w:val="0"/>
      <w:marTop w:val="0"/>
      <w:marBottom w:val="0"/>
      <w:divBdr>
        <w:top w:val="none" w:sz="0" w:space="0" w:color="auto"/>
        <w:left w:val="none" w:sz="0" w:space="0" w:color="auto"/>
        <w:bottom w:val="none" w:sz="0" w:space="0" w:color="auto"/>
        <w:right w:val="none" w:sz="0" w:space="0" w:color="auto"/>
      </w:divBdr>
    </w:div>
    <w:div w:id="1108693396">
      <w:bodyDiv w:val="1"/>
      <w:marLeft w:val="0"/>
      <w:marRight w:val="0"/>
      <w:marTop w:val="0"/>
      <w:marBottom w:val="0"/>
      <w:divBdr>
        <w:top w:val="none" w:sz="0" w:space="0" w:color="auto"/>
        <w:left w:val="none" w:sz="0" w:space="0" w:color="auto"/>
        <w:bottom w:val="none" w:sz="0" w:space="0" w:color="auto"/>
        <w:right w:val="none" w:sz="0" w:space="0" w:color="auto"/>
      </w:divBdr>
      <w:divsChild>
        <w:div w:id="1823960478">
          <w:marLeft w:val="360"/>
          <w:marRight w:val="0"/>
          <w:marTop w:val="200"/>
          <w:marBottom w:val="0"/>
          <w:divBdr>
            <w:top w:val="none" w:sz="0" w:space="0" w:color="auto"/>
            <w:left w:val="none" w:sz="0" w:space="0" w:color="auto"/>
            <w:bottom w:val="none" w:sz="0" w:space="0" w:color="auto"/>
            <w:right w:val="none" w:sz="0" w:space="0" w:color="auto"/>
          </w:divBdr>
        </w:div>
        <w:div w:id="289559065">
          <w:marLeft w:val="360"/>
          <w:marRight w:val="0"/>
          <w:marTop w:val="200"/>
          <w:marBottom w:val="0"/>
          <w:divBdr>
            <w:top w:val="none" w:sz="0" w:space="0" w:color="auto"/>
            <w:left w:val="none" w:sz="0" w:space="0" w:color="auto"/>
            <w:bottom w:val="none" w:sz="0" w:space="0" w:color="auto"/>
            <w:right w:val="none" w:sz="0" w:space="0" w:color="auto"/>
          </w:divBdr>
        </w:div>
        <w:div w:id="1311784096">
          <w:marLeft w:val="360"/>
          <w:marRight w:val="0"/>
          <w:marTop w:val="200"/>
          <w:marBottom w:val="0"/>
          <w:divBdr>
            <w:top w:val="none" w:sz="0" w:space="0" w:color="auto"/>
            <w:left w:val="none" w:sz="0" w:space="0" w:color="auto"/>
            <w:bottom w:val="none" w:sz="0" w:space="0" w:color="auto"/>
            <w:right w:val="none" w:sz="0" w:space="0" w:color="auto"/>
          </w:divBdr>
        </w:div>
        <w:div w:id="2127769567">
          <w:marLeft w:val="360"/>
          <w:marRight w:val="0"/>
          <w:marTop w:val="200"/>
          <w:marBottom w:val="0"/>
          <w:divBdr>
            <w:top w:val="none" w:sz="0" w:space="0" w:color="auto"/>
            <w:left w:val="none" w:sz="0" w:space="0" w:color="auto"/>
            <w:bottom w:val="none" w:sz="0" w:space="0" w:color="auto"/>
            <w:right w:val="none" w:sz="0" w:space="0" w:color="auto"/>
          </w:divBdr>
        </w:div>
        <w:div w:id="448474040">
          <w:marLeft w:val="360"/>
          <w:marRight w:val="0"/>
          <w:marTop w:val="200"/>
          <w:marBottom w:val="0"/>
          <w:divBdr>
            <w:top w:val="none" w:sz="0" w:space="0" w:color="auto"/>
            <w:left w:val="none" w:sz="0" w:space="0" w:color="auto"/>
            <w:bottom w:val="none" w:sz="0" w:space="0" w:color="auto"/>
            <w:right w:val="none" w:sz="0" w:space="0" w:color="auto"/>
          </w:divBdr>
        </w:div>
      </w:divsChild>
    </w:div>
    <w:div w:id="1141074256">
      <w:bodyDiv w:val="1"/>
      <w:marLeft w:val="0"/>
      <w:marRight w:val="0"/>
      <w:marTop w:val="0"/>
      <w:marBottom w:val="0"/>
      <w:divBdr>
        <w:top w:val="none" w:sz="0" w:space="0" w:color="auto"/>
        <w:left w:val="none" w:sz="0" w:space="0" w:color="auto"/>
        <w:bottom w:val="none" w:sz="0" w:space="0" w:color="auto"/>
        <w:right w:val="none" w:sz="0" w:space="0" w:color="auto"/>
      </w:divBdr>
    </w:div>
    <w:div w:id="1169249645">
      <w:bodyDiv w:val="1"/>
      <w:marLeft w:val="0"/>
      <w:marRight w:val="0"/>
      <w:marTop w:val="0"/>
      <w:marBottom w:val="0"/>
      <w:divBdr>
        <w:top w:val="none" w:sz="0" w:space="0" w:color="auto"/>
        <w:left w:val="none" w:sz="0" w:space="0" w:color="auto"/>
        <w:bottom w:val="none" w:sz="0" w:space="0" w:color="auto"/>
        <w:right w:val="none" w:sz="0" w:space="0" w:color="auto"/>
      </w:divBdr>
    </w:div>
    <w:div w:id="1193614514">
      <w:bodyDiv w:val="1"/>
      <w:marLeft w:val="0"/>
      <w:marRight w:val="0"/>
      <w:marTop w:val="0"/>
      <w:marBottom w:val="0"/>
      <w:divBdr>
        <w:top w:val="none" w:sz="0" w:space="0" w:color="auto"/>
        <w:left w:val="none" w:sz="0" w:space="0" w:color="auto"/>
        <w:bottom w:val="none" w:sz="0" w:space="0" w:color="auto"/>
        <w:right w:val="none" w:sz="0" w:space="0" w:color="auto"/>
      </w:divBdr>
      <w:divsChild>
        <w:div w:id="2117215697">
          <w:marLeft w:val="360"/>
          <w:marRight w:val="0"/>
          <w:marTop w:val="200"/>
          <w:marBottom w:val="0"/>
          <w:divBdr>
            <w:top w:val="none" w:sz="0" w:space="0" w:color="auto"/>
            <w:left w:val="none" w:sz="0" w:space="0" w:color="auto"/>
            <w:bottom w:val="none" w:sz="0" w:space="0" w:color="auto"/>
            <w:right w:val="none" w:sz="0" w:space="0" w:color="auto"/>
          </w:divBdr>
        </w:div>
      </w:divsChild>
    </w:div>
    <w:div w:id="1236939489">
      <w:bodyDiv w:val="1"/>
      <w:marLeft w:val="0"/>
      <w:marRight w:val="0"/>
      <w:marTop w:val="0"/>
      <w:marBottom w:val="0"/>
      <w:divBdr>
        <w:top w:val="none" w:sz="0" w:space="0" w:color="auto"/>
        <w:left w:val="none" w:sz="0" w:space="0" w:color="auto"/>
        <w:bottom w:val="none" w:sz="0" w:space="0" w:color="auto"/>
        <w:right w:val="none" w:sz="0" w:space="0" w:color="auto"/>
      </w:divBdr>
      <w:divsChild>
        <w:div w:id="117535387">
          <w:marLeft w:val="360"/>
          <w:marRight w:val="0"/>
          <w:marTop w:val="200"/>
          <w:marBottom w:val="0"/>
          <w:divBdr>
            <w:top w:val="none" w:sz="0" w:space="0" w:color="auto"/>
            <w:left w:val="none" w:sz="0" w:space="0" w:color="auto"/>
            <w:bottom w:val="none" w:sz="0" w:space="0" w:color="auto"/>
            <w:right w:val="none" w:sz="0" w:space="0" w:color="auto"/>
          </w:divBdr>
        </w:div>
        <w:div w:id="1881161332">
          <w:marLeft w:val="360"/>
          <w:marRight w:val="0"/>
          <w:marTop w:val="200"/>
          <w:marBottom w:val="0"/>
          <w:divBdr>
            <w:top w:val="none" w:sz="0" w:space="0" w:color="auto"/>
            <w:left w:val="none" w:sz="0" w:space="0" w:color="auto"/>
            <w:bottom w:val="none" w:sz="0" w:space="0" w:color="auto"/>
            <w:right w:val="none" w:sz="0" w:space="0" w:color="auto"/>
          </w:divBdr>
        </w:div>
        <w:div w:id="843742341">
          <w:marLeft w:val="360"/>
          <w:marRight w:val="0"/>
          <w:marTop w:val="200"/>
          <w:marBottom w:val="0"/>
          <w:divBdr>
            <w:top w:val="none" w:sz="0" w:space="0" w:color="auto"/>
            <w:left w:val="none" w:sz="0" w:space="0" w:color="auto"/>
            <w:bottom w:val="none" w:sz="0" w:space="0" w:color="auto"/>
            <w:right w:val="none" w:sz="0" w:space="0" w:color="auto"/>
          </w:divBdr>
        </w:div>
        <w:div w:id="1019240463">
          <w:marLeft w:val="1080"/>
          <w:marRight w:val="0"/>
          <w:marTop w:val="100"/>
          <w:marBottom w:val="0"/>
          <w:divBdr>
            <w:top w:val="none" w:sz="0" w:space="0" w:color="auto"/>
            <w:left w:val="none" w:sz="0" w:space="0" w:color="auto"/>
            <w:bottom w:val="none" w:sz="0" w:space="0" w:color="auto"/>
            <w:right w:val="none" w:sz="0" w:space="0" w:color="auto"/>
          </w:divBdr>
        </w:div>
        <w:div w:id="1093627849">
          <w:marLeft w:val="1080"/>
          <w:marRight w:val="0"/>
          <w:marTop w:val="100"/>
          <w:marBottom w:val="0"/>
          <w:divBdr>
            <w:top w:val="none" w:sz="0" w:space="0" w:color="auto"/>
            <w:left w:val="none" w:sz="0" w:space="0" w:color="auto"/>
            <w:bottom w:val="none" w:sz="0" w:space="0" w:color="auto"/>
            <w:right w:val="none" w:sz="0" w:space="0" w:color="auto"/>
          </w:divBdr>
        </w:div>
        <w:div w:id="366951024">
          <w:marLeft w:val="1080"/>
          <w:marRight w:val="0"/>
          <w:marTop w:val="100"/>
          <w:marBottom w:val="0"/>
          <w:divBdr>
            <w:top w:val="none" w:sz="0" w:space="0" w:color="auto"/>
            <w:left w:val="none" w:sz="0" w:space="0" w:color="auto"/>
            <w:bottom w:val="none" w:sz="0" w:space="0" w:color="auto"/>
            <w:right w:val="none" w:sz="0" w:space="0" w:color="auto"/>
          </w:divBdr>
        </w:div>
        <w:div w:id="1636913553">
          <w:marLeft w:val="1080"/>
          <w:marRight w:val="0"/>
          <w:marTop w:val="100"/>
          <w:marBottom w:val="0"/>
          <w:divBdr>
            <w:top w:val="none" w:sz="0" w:space="0" w:color="auto"/>
            <w:left w:val="none" w:sz="0" w:space="0" w:color="auto"/>
            <w:bottom w:val="none" w:sz="0" w:space="0" w:color="auto"/>
            <w:right w:val="none" w:sz="0" w:space="0" w:color="auto"/>
          </w:divBdr>
        </w:div>
      </w:divsChild>
    </w:div>
    <w:div w:id="1302466366">
      <w:bodyDiv w:val="1"/>
      <w:marLeft w:val="0"/>
      <w:marRight w:val="0"/>
      <w:marTop w:val="0"/>
      <w:marBottom w:val="0"/>
      <w:divBdr>
        <w:top w:val="none" w:sz="0" w:space="0" w:color="auto"/>
        <w:left w:val="none" w:sz="0" w:space="0" w:color="auto"/>
        <w:bottom w:val="none" w:sz="0" w:space="0" w:color="auto"/>
        <w:right w:val="none" w:sz="0" w:space="0" w:color="auto"/>
      </w:divBdr>
    </w:div>
    <w:div w:id="1303848168">
      <w:bodyDiv w:val="1"/>
      <w:marLeft w:val="0"/>
      <w:marRight w:val="0"/>
      <w:marTop w:val="0"/>
      <w:marBottom w:val="0"/>
      <w:divBdr>
        <w:top w:val="none" w:sz="0" w:space="0" w:color="auto"/>
        <w:left w:val="none" w:sz="0" w:space="0" w:color="auto"/>
        <w:bottom w:val="none" w:sz="0" w:space="0" w:color="auto"/>
        <w:right w:val="none" w:sz="0" w:space="0" w:color="auto"/>
      </w:divBdr>
    </w:div>
    <w:div w:id="1309556985">
      <w:bodyDiv w:val="1"/>
      <w:marLeft w:val="0"/>
      <w:marRight w:val="0"/>
      <w:marTop w:val="0"/>
      <w:marBottom w:val="0"/>
      <w:divBdr>
        <w:top w:val="none" w:sz="0" w:space="0" w:color="auto"/>
        <w:left w:val="none" w:sz="0" w:space="0" w:color="auto"/>
        <w:bottom w:val="none" w:sz="0" w:space="0" w:color="auto"/>
        <w:right w:val="none" w:sz="0" w:space="0" w:color="auto"/>
      </w:divBdr>
    </w:div>
    <w:div w:id="1321351832">
      <w:bodyDiv w:val="1"/>
      <w:marLeft w:val="0"/>
      <w:marRight w:val="0"/>
      <w:marTop w:val="0"/>
      <w:marBottom w:val="0"/>
      <w:divBdr>
        <w:top w:val="none" w:sz="0" w:space="0" w:color="auto"/>
        <w:left w:val="none" w:sz="0" w:space="0" w:color="auto"/>
        <w:bottom w:val="none" w:sz="0" w:space="0" w:color="auto"/>
        <w:right w:val="none" w:sz="0" w:space="0" w:color="auto"/>
      </w:divBdr>
    </w:div>
    <w:div w:id="1382485612">
      <w:bodyDiv w:val="1"/>
      <w:marLeft w:val="0"/>
      <w:marRight w:val="0"/>
      <w:marTop w:val="0"/>
      <w:marBottom w:val="0"/>
      <w:divBdr>
        <w:top w:val="none" w:sz="0" w:space="0" w:color="auto"/>
        <w:left w:val="none" w:sz="0" w:space="0" w:color="auto"/>
        <w:bottom w:val="none" w:sz="0" w:space="0" w:color="auto"/>
        <w:right w:val="none" w:sz="0" w:space="0" w:color="auto"/>
      </w:divBdr>
    </w:div>
    <w:div w:id="1439519556">
      <w:bodyDiv w:val="1"/>
      <w:marLeft w:val="0"/>
      <w:marRight w:val="0"/>
      <w:marTop w:val="0"/>
      <w:marBottom w:val="0"/>
      <w:divBdr>
        <w:top w:val="none" w:sz="0" w:space="0" w:color="auto"/>
        <w:left w:val="none" w:sz="0" w:space="0" w:color="auto"/>
        <w:bottom w:val="none" w:sz="0" w:space="0" w:color="auto"/>
        <w:right w:val="none" w:sz="0" w:space="0" w:color="auto"/>
      </w:divBdr>
    </w:div>
    <w:div w:id="1452431010">
      <w:bodyDiv w:val="1"/>
      <w:marLeft w:val="0"/>
      <w:marRight w:val="0"/>
      <w:marTop w:val="0"/>
      <w:marBottom w:val="0"/>
      <w:divBdr>
        <w:top w:val="none" w:sz="0" w:space="0" w:color="auto"/>
        <w:left w:val="none" w:sz="0" w:space="0" w:color="auto"/>
        <w:bottom w:val="none" w:sz="0" w:space="0" w:color="auto"/>
        <w:right w:val="none" w:sz="0" w:space="0" w:color="auto"/>
      </w:divBdr>
    </w:div>
    <w:div w:id="1461649687">
      <w:bodyDiv w:val="1"/>
      <w:marLeft w:val="0"/>
      <w:marRight w:val="0"/>
      <w:marTop w:val="0"/>
      <w:marBottom w:val="0"/>
      <w:divBdr>
        <w:top w:val="none" w:sz="0" w:space="0" w:color="auto"/>
        <w:left w:val="none" w:sz="0" w:space="0" w:color="auto"/>
        <w:bottom w:val="none" w:sz="0" w:space="0" w:color="auto"/>
        <w:right w:val="none" w:sz="0" w:space="0" w:color="auto"/>
      </w:divBdr>
      <w:divsChild>
        <w:div w:id="503324079">
          <w:marLeft w:val="446"/>
          <w:marRight w:val="0"/>
          <w:marTop w:val="0"/>
          <w:marBottom w:val="0"/>
          <w:divBdr>
            <w:top w:val="none" w:sz="0" w:space="0" w:color="auto"/>
            <w:left w:val="none" w:sz="0" w:space="0" w:color="auto"/>
            <w:bottom w:val="none" w:sz="0" w:space="0" w:color="auto"/>
            <w:right w:val="none" w:sz="0" w:space="0" w:color="auto"/>
          </w:divBdr>
        </w:div>
      </w:divsChild>
    </w:div>
    <w:div w:id="1527980535">
      <w:bodyDiv w:val="1"/>
      <w:marLeft w:val="0"/>
      <w:marRight w:val="0"/>
      <w:marTop w:val="0"/>
      <w:marBottom w:val="0"/>
      <w:divBdr>
        <w:top w:val="none" w:sz="0" w:space="0" w:color="auto"/>
        <w:left w:val="none" w:sz="0" w:space="0" w:color="auto"/>
        <w:bottom w:val="none" w:sz="0" w:space="0" w:color="auto"/>
        <w:right w:val="none" w:sz="0" w:space="0" w:color="auto"/>
      </w:divBdr>
    </w:div>
    <w:div w:id="1650938551">
      <w:bodyDiv w:val="1"/>
      <w:marLeft w:val="0"/>
      <w:marRight w:val="0"/>
      <w:marTop w:val="0"/>
      <w:marBottom w:val="0"/>
      <w:divBdr>
        <w:top w:val="none" w:sz="0" w:space="0" w:color="auto"/>
        <w:left w:val="none" w:sz="0" w:space="0" w:color="auto"/>
        <w:bottom w:val="none" w:sz="0" w:space="0" w:color="auto"/>
        <w:right w:val="none" w:sz="0" w:space="0" w:color="auto"/>
      </w:divBdr>
    </w:div>
    <w:div w:id="1681852006">
      <w:bodyDiv w:val="1"/>
      <w:marLeft w:val="0"/>
      <w:marRight w:val="0"/>
      <w:marTop w:val="0"/>
      <w:marBottom w:val="0"/>
      <w:divBdr>
        <w:top w:val="none" w:sz="0" w:space="0" w:color="auto"/>
        <w:left w:val="none" w:sz="0" w:space="0" w:color="auto"/>
        <w:bottom w:val="none" w:sz="0" w:space="0" w:color="auto"/>
        <w:right w:val="none" w:sz="0" w:space="0" w:color="auto"/>
      </w:divBdr>
    </w:div>
    <w:div w:id="1710690952">
      <w:bodyDiv w:val="1"/>
      <w:marLeft w:val="0"/>
      <w:marRight w:val="0"/>
      <w:marTop w:val="0"/>
      <w:marBottom w:val="0"/>
      <w:divBdr>
        <w:top w:val="none" w:sz="0" w:space="0" w:color="auto"/>
        <w:left w:val="none" w:sz="0" w:space="0" w:color="auto"/>
        <w:bottom w:val="none" w:sz="0" w:space="0" w:color="auto"/>
        <w:right w:val="none" w:sz="0" w:space="0" w:color="auto"/>
      </w:divBdr>
    </w:div>
    <w:div w:id="1739399622">
      <w:bodyDiv w:val="1"/>
      <w:marLeft w:val="0"/>
      <w:marRight w:val="0"/>
      <w:marTop w:val="0"/>
      <w:marBottom w:val="0"/>
      <w:divBdr>
        <w:top w:val="none" w:sz="0" w:space="0" w:color="auto"/>
        <w:left w:val="none" w:sz="0" w:space="0" w:color="auto"/>
        <w:bottom w:val="none" w:sz="0" w:space="0" w:color="auto"/>
        <w:right w:val="none" w:sz="0" w:space="0" w:color="auto"/>
      </w:divBdr>
    </w:div>
    <w:div w:id="1816330752">
      <w:bodyDiv w:val="1"/>
      <w:marLeft w:val="0"/>
      <w:marRight w:val="0"/>
      <w:marTop w:val="0"/>
      <w:marBottom w:val="0"/>
      <w:divBdr>
        <w:top w:val="none" w:sz="0" w:space="0" w:color="auto"/>
        <w:left w:val="none" w:sz="0" w:space="0" w:color="auto"/>
        <w:bottom w:val="none" w:sz="0" w:space="0" w:color="auto"/>
        <w:right w:val="none" w:sz="0" w:space="0" w:color="auto"/>
      </w:divBdr>
    </w:div>
    <w:div w:id="2005354675">
      <w:bodyDiv w:val="1"/>
      <w:marLeft w:val="0"/>
      <w:marRight w:val="0"/>
      <w:marTop w:val="0"/>
      <w:marBottom w:val="0"/>
      <w:divBdr>
        <w:top w:val="none" w:sz="0" w:space="0" w:color="auto"/>
        <w:left w:val="none" w:sz="0" w:space="0" w:color="auto"/>
        <w:bottom w:val="none" w:sz="0" w:space="0" w:color="auto"/>
        <w:right w:val="none" w:sz="0" w:space="0" w:color="auto"/>
      </w:divBdr>
      <w:divsChild>
        <w:div w:id="1219126378">
          <w:marLeft w:val="446"/>
          <w:marRight w:val="0"/>
          <w:marTop w:val="0"/>
          <w:marBottom w:val="0"/>
          <w:divBdr>
            <w:top w:val="none" w:sz="0" w:space="0" w:color="auto"/>
            <w:left w:val="none" w:sz="0" w:space="0" w:color="auto"/>
            <w:bottom w:val="none" w:sz="0" w:space="0" w:color="auto"/>
            <w:right w:val="none" w:sz="0" w:space="0" w:color="auto"/>
          </w:divBdr>
        </w:div>
        <w:div w:id="1664501978">
          <w:marLeft w:val="446"/>
          <w:marRight w:val="0"/>
          <w:marTop w:val="0"/>
          <w:marBottom w:val="0"/>
          <w:divBdr>
            <w:top w:val="none" w:sz="0" w:space="0" w:color="auto"/>
            <w:left w:val="none" w:sz="0" w:space="0" w:color="auto"/>
            <w:bottom w:val="none" w:sz="0" w:space="0" w:color="auto"/>
            <w:right w:val="none" w:sz="0" w:space="0" w:color="auto"/>
          </w:divBdr>
        </w:div>
      </w:divsChild>
    </w:div>
    <w:div w:id="2024159742">
      <w:bodyDiv w:val="1"/>
      <w:marLeft w:val="0"/>
      <w:marRight w:val="0"/>
      <w:marTop w:val="0"/>
      <w:marBottom w:val="0"/>
      <w:divBdr>
        <w:top w:val="none" w:sz="0" w:space="0" w:color="auto"/>
        <w:left w:val="none" w:sz="0" w:space="0" w:color="auto"/>
        <w:bottom w:val="none" w:sz="0" w:space="0" w:color="auto"/>
        <w:right w:val="none" w:sz="0" w:space="0" w:color="auto"/>
      </w:divBdr>
    </w:div>
    <w:div w:id="2085102712">
      <w:bodyDiv w:val="1"/>
      <w:marLeft w:val="0"/>
      <w:marRight w:val="0"/>
      <w:marTop w:val="0"/>
      <w:marBottom w:val="0"/>
      <w:divBdr>
        <w:top w:val="none" w:sz="0" w:space="0" w:color="auto"/>
        <w:left w:val="none" w:sz="0" w:space="0" w:color="auto"/>
        <w:bottom w:val="none" w:sz="0" w:space="0" w:color="auto"/>
        <w:right w:val="none" w:sz="0" w:space="0" w:color="auto"/>
      </w:divBdr>
      <w:divsChild>
        <w:div w:id="14965686">
          <w:marLeft w:val="1800"/>
          <w:marRight w:val="0"/>
          <w:marTop w:val="100"/>
          <w:marBottom w:val="0"/>
          <w:divBdr>
            <w:top w:val="none" w:sz="0" w:space="0" w:color="auto"/>
            <w:left w:val="none" w:sz="0" w:space="0" w:color="auto"/>
            <w:bottom w:val="none" w:sz="0" w:space="0" w:color="auto"/>
            <w:right w:val="none" w:sz="0" w:space="0" w:color="auto"/>
          </w:divBdr>
        </w:div>
        <w:div w:id="1270118002">
          <w:marLeft w:val="1800"/>
          <w:marRight w:val="0"/>
          <w:marTop w:val="100"/>
          <w:marBottom w:val="0"/>
          <w:divBdr>
            <w:top w:val="none" w:sz="0" w:space="0" w:color="auto"/>
            <w:left w:val="none" w:sz="0" w:space="0" w:color="auto"/>
            <w:bottom w:val="none" w:sz="0" w:space="0" w:color="auto"/>
            <w:right w:val="none" w:sz="0" w:space="0" w:color="auto"/>
          </w:divBdr>
        </w:div>
        <w:div w:id="812023533">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BEL treatment</c:v>
          </c:tx>
          <c:spPr>
            <a:ln w="28575" cap="rnd">
              <a:solidFill>
                <a:schemeClr val="accent1"/>
              </a:solidFill>
              <a:round/>
            </a:ln>
            <a:effectLst/>
          </c:spPr>
          <c:marker>
            <c:symbol val="none"/>
          </c:marker>
          <c:cat>
            <c:numRef>
              <c:f>BEL!$A$3:$A$122</c:f>
              <c:numCache>
                <c:formatCode>General</c:formatCode>
                <c:ptCount val="120"/>
                <c:pt idx="0">
                  <c:v>40.5</c:v>
                </c:pt>
                <c:pt idx="1">
                  <c:v>41</c:v>
                </c:pt>
                <c:pt idx="2">
                  <c:v>41.5</c:v>
                </c:pt>
                <c:pt idx="3">
                  <c:v>42</c:v>
                </c:pt>
                <c:pt idx="4">
                  <c:v>42.5</c:v>
                </c:pt>
                <c:pt idx="5">
                  <c:v>43</c:v>
                </c:pt>
                <c:pt idx="6">
                  <c:v>43.5</c:v>
                </c:pt>
                <c:pt idx="7">
                  <c:v>44</c:v>
                </c:pt>
                <c:pt idx="8">
                  <c:v>44.5</c:v>
                </c:pt>
                <c:pt idx="9">
                  <c:v>45</c:v>
                </c:pt>
                <c:pt idx="10">
                  <c:v>45.5</c:v>
                </c:pt>
                <c:pt idx="11">
                  <c:v>46</c:v>
                </c:pt>
                <c:pt idx="12">
                  <c:v>46.5</c:v>
                </c:pt>
                <c:pt idx="13">
                  <c:v>47</c:v>
                </c:pt>
                <c:pt idx="14">
                  <c:v>47.5</c:v>
                </c:pt>
                <c:pt idx="15">
                  <c:v>48</c:v>
                </c:pt>
                <c:pt idx="16">
                  <c:v>48.5</c:v>
                </c:pt>
                <c:pt idx="17">
                  <c:v>49</c:v>
                </c:pt>
                <c:pt idx="18">
                  <c:v>49.5</c:v>
                </c:pt>
                <c:pt idx="19">
                  <c:v>50</c:v>
                </c:pt>
                <c:pt idx="20">
                  <c:v>50.5</c:v>
                </c:pt>
                <c:pt idx="21">
                  <c:v>51</c:v>
                </c:pt>
                <c:pt idx="22">
                  <c:v>51.5</c:v>
                </c:pt>
                <c:pt idx="23">
                  <c:v>52</c:v>
                </c:pt>
                <c:pt idx="24">
                  <c:v>52.5</c:v>
                </c:pt>
                <c:pt idx="25">
                  <c:v>53</c:v>
                </c:pt>
                <c:pt idx="26">
                  <c:v>53.5</c:v>
                </c:pt>
                <c:pt idx="27">
                  <c:v>54</c:v>
                </c:pt>
                <c:pt idx="28">
                  <c:v>54.5</c:v>
                </c:pt>
                <c:pt idx="29">
                  <c:v>55</c:v>
                </c:pt>
                <c:pt idx="30">
                  <c:v>55.5</c:v>
                </c:pt>
                <c:pt idx="31">
                  <c:v>56</c:v>
                </c:pt>
                <c:pt idx="32">
                  <c:v>56.5</c:v>
                </c:pt>
                <c:pt idx="33">
                  <c:v>57</c:v>
                </c:pt>
                <c:pt idx="34">
                  <c:v>57.5</c:v>
                </c:pt>
                <c:pt idx="35">
                  <c:v>58</c:v>
                </c:pt>
                <c:pt idx="36">
                  <c:v>58.5</c:v>
                </c:pt>
                <c:pt idx="37">
                  <c:v>59</c:v>
                </c:pt>
                <c:pt idx="38">
                  <c:v>59.5</c:v>
                </c:pt>
                <c:pt idx="39">
                  <c:v>60</c:v>
                </c:pt>
                <c:pt idx="40">
                  <c:v>60.5</c:v>
                </c:pt>
                <c:pt idx="41">
                  <c:v>61</c:v>
                </c:pt>
                <c:pt idx="42">
                  <c:v>61.5</c:v>
                </c:pt>
                <c:pt idx="43">
                  <c:v>62</c:v>
                </c:pt>
                <c:pt idx="44">
                  <c:v>62.5</c:v>
                </c:pt>
                <c:pt idx="45">
                  <c:v>63</c:v>
                </c:pt>
                <c:pt idx="46">
                  <c:v>63.5</c:v>
                </c:pt>
                <c:pt idx="47">
                  <c:v>64</c:v>
                </c:pt>
                <c:pt idx="48">
                  <c:v>64.5</c:v>
                </c:pt>
                <c:pt idx="49">
                  <c:v>65</c:v>
                </c:pt>
                <c:pt idx="50">
                  <c:v>65.5</c:v>
                </c:pt>
                <c:pt idx="51">
                  <c:v>66</c:v>
                </c:pt>
                <c:pt idx="52">
                  <c:v>66.5</c:v>
                </c:pt>
                <c:pt idx="53">
                  <c:v>67</c:v>
                </c:pt>
                <c:pt idx="54">
                  <c:v>67.5</c:v>
                </c:pt>
                <c:pt idx="55">
                  <c:v>68</c:v>
                </c:pt>
                <c:pt idx="56">
                  <c:v>68.5</c:v>
                </c:pt>
                <c:pt idx="57">
                  <c:v>69</c:v>
                </c:pt>
                <c:pt idx="58">
                  <c:v>69.5</c:v>
                </c:pt>
                <c:pt idx="59">
                  <c:v>70</c:v>
                </c:pt>
                <c:pt idx="60">
                  <c:v>70.5</c:v>
                </c:pt>
                <c:pt idx="61">
                  <c:v>71</c:v>
                </c:pt>
                <c:pt idx="62">
                  <c:v>71.5</c:v>
                </c:pt>
                <c:pt idx="63">
                  <c:v>72</c:v>
                </c:pt>
                <c:pt idx="64">
                  <c:v>72.5</c:v>
                </c:pt>
                <c:pt idx="65">
                  <c:v>73</c:v>
                </c:pt>
                <c:pt idx="66">
                  <c:v>73.5</c:v>
                </c:pt>
                <c:pt idx="67">
                  <c:v>74</c:v>
                </c:pt>
                <c:pt idx="68">
                  <c:v>74.5</c:v>
                </c:pt>
                <c:pt idx="69">
                  <c:v>75</c:v>
                </c:pt>
                <c:pt idx="70">
                  <c:v>75.5</c:v>
                </c:pt>
                <c:pt idx="71">
                  <c:v>76</c:v>
                </c:pt>
                <c:pt idx="72">
                  <c:v>76.5</c:v>
                </c:pt>
                <c:pt idx="73">
                  <c:v>77</c:v>
                </c:pt>
                <c:pt idx="74">
                  <c:v>77.5</c:v>
                </c:pt>
                <c:pt idx="75">
                  <c:v>78</c:v>
                </c:pt>
                <c:pt idx="76">
                  <c:v>78.5</c:v>
                </c:pt>
                <c:pt idx="77">
                  <c:v>79</c:v>
                </c:pt>
                <c:pt idx="78">
                  <c:v>79.5</c:v>
                </c:pt>
                <c:pt idx="79">
                  <c:v>80</c:v>
                </c:pt>
                <c:pt idx="80">
                  <c:v>80.5</c:v>
                </c:pt>
                <c:pt idx="81">
                  <c:v>81</c:v>
                </c:pt>
                <c:pt idx="82">
                  <c:v>81.5</c:v>
                </c:pt>
                <c:pt idx="83">
                  <c:v>82</c:v>
                </c:pt>
                <c:pt idx="84">
                  <c:v>82.5</c:v>
                </c:pt>
                <c:pt idx="85">
                  <c:v>83</c:v>
                </c:pt>
                <c:pt idx="86">
                  <c:v>83.5</c:v>
                </c:pt>
                <c:pt idx="87">
                  <c:v>84</c:v>
                </c:pt>
                <c:pt idx="88">
                  <c:v>84.5</c:v>
                </c:pt>
                <c:pt idx="89">
                  <c:v>85</c:v>
                </c:pt>
                <c:pt idx="90">
                  <c:v>85.5</c:v>
                </c:pt>
                <c:pt idx="91">
                  <c:v>86</c:v>
                </c:pt>
                <c:pt idx="92">
                  <c:v>86.5</c:v>
                </c:pt>
                <c:pt idx="93">
                  <c:v>87</c:v>
                </c:pt>
                <c:pt idx="94">
                  <c:v>87.5</c:v>
                </c:pt>
                <c:pt idx="95">
                  <c:v>88</c:v>
                </c:pt>
                <c:pt idx="96">
                  <c:v>88.5</c:v>
                </c:pt>
                <c:pt idx="97">
                  <c:v>89</c:v>
                </c:pt>
                <c:pt idx="98">
                  <c:v>89.5</c:v>
                </c:pt>
                <c:pt idx="99">
                  <c:v>90</c:v>
                </c:pt>
                <c:pt idx="100">
                  <c:v>90.5</c:v>
                </c:pt>
                <c:pt idx="101">
                  <c:v>91</c:v>
                </c:pt>
                <c:pt idx="102">
                  <c:v>91.5</c:v>
                </c:pt>
                <c:pt idx="103">
                  <c:v>92</c:v>
                </c:pt>
                <c:pt idx="104">
                  <c:v>92.5</c:v>
                </c:pt>
                <c:pt idx="105">
                  <c:v>93</c:v>
                </c:pt>
                <c:pt idx="106">
                  <c:v>93.5</c:v>
                </c:pt>
                <c:pt idx="107">
                  <c:v>94</c:v>
                </c:pt>
                <c:pt idx="108">
                  <c:v>94.5</c:v>
                </c:pt>
                <c:pt idx="109">
                  <c:v>95</c:v>
                </c:pt>
                <c:pt idx="110">
                  <c:v>95.5</c:v>
                </c:pt>
                <c:pt idx="111">
                  <c:v>96</c:v>
                </c:pt>
                <c:pt idx="112">
                  <c:v>96.5</c:v>
                </c:pt>
                <c:pt idx="113">
                  <c:v>97</c:v>
                </c:pt>
                <c:pt idx="114">
                  <c:v>97.5</c:v>
                </c:pt>
                <c:pt idx="115">
                  <c:v>98</c:v>
                </c:pt>
                <c:pt idx="116">
                  <c:v>98.5</c:v>
                </c:pt>
                <c:pt idx="117">
                  <c:v>99</c:v>
                </c:pt>
                <c:pt idx="118">
                  <c:v>99.5</c:v>
                </c:pt>
                <c:pt idx="119">
                  <c:v>100</c:v>
                </c:pt>
              </c:numCache>
            </c:numRef>
          </c:cat>
          <c:val>
            <c:numRef>
              <c:f>BEL!$U$3:$U$122</c:f>
              <c:numCache>
                <c:formatCode>General</c:formatCode>
                <c:ptCount val="120"/>
                <c:pt idx="0">
                  <c:v>0.608098139828671</c:v>
                </c:pt>
                <c:pt idx="1">
                  <c:v>0.57787521496724303</c:v>
                </c:pt>
                <c:pt idx="2">
                  <c:v>0.54912835736624299</c:v>
                </c:pt>
                <c:pt idx="3">
                  <c:v>0.52178182707993703</c:v>
                </c:pt>
                <c:pt idx="4">
                  <c:v>0.49576458591560002</c:v>
                </c:pt>
                <c:pt idx="5">
                  <c:v>0.47100990471412202</c:v>
                </c:pt>
                <c:pt idx="6">
                  <c:v>0.44745501132041199</c:v>
                </c:pt>
                <c:pt idx="7">
                  <c:v>0.42504077469808599</c:v>
                </c:pt>
                <c:pt idx="8">
                  <c:v>0.40371142115390102</c:v>
                </c:pt>
                <c:pt idx="9">
                  <c:v>0.38341427909160503</c:v>
                </c:pt>
                <c:pt idx="10">
                  <c:v>0.36409954911825199</c:v>
                </c:pt>
                <c:pt idx="11">
                  <c:v>0.345720096684553</c:v>
                </c:pt>
                <c:pt idx="12">
                  <c:v>0.328231264759206</c:v>
                </c:pt>
                <c:pt idx="13">
                  <c:v>0.31159070431997898</c:v>
                </c:pt>
                <c:pt idx="14">
                  <c:v>0.295758220695507</c:v>
                </c:pt>
                <c:pt idx="15">
                  <c:v>0.28069563401476799</c:v>
                </c:pt>
                <c:pt idx="16">
                  <c:v>0.26636665221919797</c:v>
                </c:pt>
                <c:pt idx="17">
                  <c:v>0.25273675526817202</c:v>
                </c:pt>
                <c:pt idx="18">
                  <c:v>0.23977308932452901</c:v>
                </c:pt>
                <c:pt idx="19">
                  <c:v>0.227444369845203</c:v>
                </c:pt>
                <c:pt idx="20">
                  <c:v>0.215720792624751</c:v>
                </c:pt>
                <c:pt idx="21">
                  <c:v>0.204573951948434</c:v>
                </c:pt>
                <c:pt idx="22">
                  <c:v>0.193976765107995</c:v>
                </c:pt>
                <c:pt idx="23">
                  <c:v>0.18390340261879401</c:v>
                </c:pt>
                <c:pt idx="24">
                  <c:v>0.17432922355272501</c:v>
                </c:pt>
                <c:pt idx="25">
                  <c:v>0.16523071546846901</c:v>
                </c:pt>
                <c:pt idx="26">
                  <c:v>0.15658543848002199</c:v>
                </c:pt>
                <c:pt idx="27">
                  <c:v>0.14837197305703501</c:v>
                </c:pt>
                <c:pt idx="28">
                  <c:v>0.14056987119702299</c:v>
                </c:pt>
                <c:pt idx="29">
                  <c:v>0.133159610650633</c:v>
                </c:pt>
                <c:pt idx="30">
                  <c:v>0.12612255191751301</c:v>
                </c:pt>
                <c:pt idx="31">
                  <c:v>0.119440897762477</c:v>
                </c:pt>
                <c:pt idx="32">
                  <c:v>0.113097655030013</c:v>
                </c:pt>
                <c:pt idx="33">
                  <c:v>0.10707659856023299</c:v>
                </c:pt>
                <c:pt idx="34">
                  <c:v>0.101362237031477</c:v>
                </c:pt>
                <c:pt idx="35">
                  <c:v>9.5939780574248207E-2</c:v>
                </c:pt>
                <c:pt idx="36">
                  <c:v>9.07951100183709E-2</c:v>
                </c:pt>
                <c:pt idx="37">
                  <c:v>8.5914747650363804E-2</c:v>
                </c:pt>
                <c:pt idx="38">
                  <c:v>8.1285829371384802E-2</c:v>
                </c:pt>
                <c:pt idx="39">
                  <c:v>7.6896078157818806E-2</c:v>
                </c:pt>
                <c:pt idx="40">
                  <c:v>7.27337787369155E-2</c:v>
                </c:pt>
                <c:pt idx="41">
                  <c:v>6.8787753398969406E-2</c:v>
                </c:pt>
                <c:pt idx="42">
                  <c:v>6.5047005773192099E-2</c:v>
                </c:pt>
                <c:pt idx="43">
                  <c:v>6.1499891156334197E-2</c:v>
                </c:pt>
                <c:pt idx="44">
                  <c:v>5.81370331829235E-2</c:v>
                </c:pt>
                <c:pt idx="45">
                  <c:v>5.4949230536178797E-2</c:v>
                </c:pt>
                <c:pt idx="46">
                  <c:v>5.1927959038795303E-2</c:v>
                </c:pt>
                <c:pt idx="47">
                  <c:v>4.90647798076728E-2</c:v>
                </c:pt>
                <c:pt idx="48">
                  <c:v>4.63510535453069E-2</c:v>
                </c:pt>
                <c:pt idx="49">
                  <c:v>4.3778941761204899E-2</c:v>
                </c:pt>
                <c:pt idx="50">
                  <c:v>4.1341627773040297E-2</c:v>
                </c:pt>
                <c:pt idx="51">
                  <c:v>3.9032035773466901E-2</c:v>
                </c:pt>
                <c:pt idx="52">
                  <c:v>3.6844015759509997E-2</c:v>
                </c:pt>
                <c:pt idx="53">
                  <c:v>3.4771265914332397E-2</c:v>
                </c:pt>
                <c:pt idx="54">
                  <c:v>3.2808219598008802E-2</c:v>
                </c:pt>
                <c:pt idx="55">
                  <c:v>3.0949209327824901E-2</c:v>
                </c:pt>
                <c:pt idx="56">
                  <c:v>2.9188336144102999E-2</c:v>
                </c:pt>
                <c:pt idx="57">
                  <c:v>2.7520212477108001E-2</c:v>
                </c:pt>
                <c:pt idx="58">
                  <c:v>2.5940455499799599E-2</c:v>
                </c:pt>
                <c:pt idx="59">
                  <c:v>2.44443566269851E-2</c:v>
                </c:pt>
                <c:pt idx="60">
                  <c:v>2.30279641372645E-2</c:v>
                </c:pt>
                <c:pt idx="61">
                  <c:v>2.1686973029403301E-2</c:v>
                </c:pt>
                <c:pt idx="62">
                  <c:v>2.04178279491809E-2</c:v>
                </c:pt>
                <c:pt idx="63">
                  <c:v>1.9216601722151901E-2</c:v>
                </c:pt>
                <c:pt idx="64">
                  <c:v>1.80801015323638E-2</c:v>
                </c:pt>
                <c:pt idx="65">
                  <c:v>1.7004700664338498E-2</c:v>
                </c:pt>
                <c:pt idx="66">
                  <c:v>1.5987545776353401E-2</c:v>
                </c:pt>
                <c:pt idx="67">
                  <c:v>1.50249581288498E-2</c:v>
                </c:pt>
                <c:pt idx="68">
                  <c:v>1.4113513005470301E-2</c:v>
                </c:pt>
                <c:pt idx="69">
                  <c:v>1.32502353687932E-2</c:v>
                </c:pt>
                <c:pt idx="70">
                  <c:v>1.2433075109332999E-2</c:v>
                </c:pt>
                <c:pt idx="71">
                  <c:v>1.16593165953345E-2</c:v>
                </c:pt>
                <c:pt idx="72">
                  <c:v>1.0926472215429301E-2</c:v>
                </c:pt>
                <c:pt idx="73">
                  <c:v>1.02319041564937E-2</c:v>
                </c:pt>
                <c:pt idx="74">
                  <c:v>9.5742034456174803E-3</c:v>
                </c:pt>
                <c:pt idx="75">
                  <c:v>8.9510393593486802E-3</c:v>
                </c:pt>
                <c:pt idx="76">
                  <c:v>8.3612045500376497E-3</c:v>
                </c:pt>
                <c:pt idx="77">
                  <c:v>7.8025665710788903E-3</c:v>
                </c:pt>
                <c:pt idx="78">
                  <c:v>7.27409790825999E-3</c:v>
                </c:pt>
                <c:pt idx="79">
                  <c:v>6.7737329316586601E-3</c:v>
                </c:pt>
                <c:pt idx="80">
                  <c:v>6.3006271864017201E-3</c:v>
                </c:pt>
                <c:pt idx="81">
                  <c:v>5.8528927493695596E-3</c:v>
                </c:pt>
                <c:pt idx="82">
                  <c:v>5.4298469838631397E-3</c:v>
                </c:pt>
                <c:pt idx="83">
                  <c:v>5.0297709868877098E-3</c:v>
                </c:pt>
                <c:pt idx="84">
                  <c:v>4.6521224005530697E-3</c:v>
                </c:pt>
                <c:pt idx="85">
                  <c:v>4.2953676616934002E-3</c:v>
                </c:pt>
                <c:pt idx="86">
                  <c:v>3.9590769642091801E-3</c:v>
                </c:pt>
                <c:pt idx="87">
                  <c:v>3.6418252184542001E-3</c:v>
                </c:pt>
                <c:pt idx="88">
                  <c:v>3.3432825519464598E-3</c:v>
                </c:pt>
                <c:pt idx="89">
                  <c:v>3.06223255446064E-3</c:v>
                </c:pt>
                <c:pt idx="90">
                  <c:v>2.7984054260504401E-3</c:v>
                </c:pt>
                <c:pt idx="91">
                  <c:v>2.5507432102668702E-3</c:v>
                </c:pt>
                <c:pt idx="92">
                  <c:v>2.3190042670350498E-3</c:v>
                </c:pt>
                <c:pt idx="93">
                  <c:v>2.1021442926425801E-3</c:v>
                </c:pt>
                <c:pt idx="94">
                  <c:v>1.8999537267056299E-3</c:v>
                </c:pt>
                <c:pt idx="95">
                  <c:v>1.7114714659541E-3</c:v>
                </c:pt>
                <c:pt idx="96">
                  <c:v>1.5365035370868501E-3</c:v>
                </c:pt>
                <c:pt idx="97">
                  <c:v>1.37415190904627E-3</c:v>
                </c:pt>
                <c:pt idx="98">
                  <c:v>1.2242253153318401E-3</c:v>
                </c:pt>
                <c:pt idx="99">
                  <c:v>1.0859181397887101E-3</c:v>
                </c:pt>
                <c:pt idx="100">
                  <c:v>9.59017140714612E-4</c:v>
                </c:pt>
                <c:pt idx="101">
                  <c:v>8.4283336024668803E-4</c:v>
                </c:pt>
                <c:pt idx="102">
                  <c:v>7.3709495860252601E-4</c:v>
                </c:pt>
                <c:pt idx="103">
                  <c:v>6.4113000184869997E-4</c:v>
                </c:pt>
                <c:pt idx="104">
                  <c:v>5.5460647347757401E-4</c:v>
                </c:pt>
                <c:pt idx="105">
                  <c:v>4.7690309709847898E-4</c:v>
                </c:pt>
                <c:pt idx="106">
                  <c:v>4.0761632799289301E-4</c:v>
                </c:pt>
                <c:pt idx="107">
                  <c:v>3.46176031750772E-4</c:v>
                </c:pt>
                <c:pt idx="108">
                  <c:v>2.9210009273145299E-4</c:v>
                </c:pt>
                <c:pt idx="109">
                  <c:v>2.455181294365E-4</c:v>
                </c:pt>
                <c:pt idx="110">
                  <c:v>2.0556081958001101E-4</c:v>
                </c:pt>
                <c:pt idx="111">
                  <c:v>1.70816707353675E-4</c:v>
                </c:pt>
                <c:pt idx="112">
                  <c:v>1.40865620371728E-4</c:v>
                </c:pt>
                <c:pt idx="113">
                  <c:v>1.15436041673348E-4</c:v>
                </c:pt>
                <c:pt idx="114">
                  <c:v>9.3995217858501906E-5</c:v>
                </c:pt>
                <c:pt idx="115">
                  <c:v>7.6020758377391803E-5</c:v>
                </c:pt>
                <c:pt idx="116">
                  <c:v>6.1063490002302698E-5</c:v>
                </c:pt>
                <c:pt idx="117">
                  <c:v>4.8647808584483803E-5</c:v>
                </c:pt>
                <c:pt idx="118">
                  <c:v>3.8434293218845802E-5</c:v>
                </c:pt>
                <c:pt idx="119">
                  <c:v>2.14699576593073E-5</c:v>
                </c:pt>
              </c:numCache>
            </c:numRef>
          </c:val>
          <c:smooth val="0"/>
          <c:extLst>
            <c:ext xmlns:c16="http://schemas.microsoft.com/office/drawing/2014/chart" uri="{C3380CC4-5D6E-409C-BE32-E72D297353CC}">
              <c16:uniqueId val="{00000000-9A6B-41DC-BEE9-B338ABA72F1B}"/>
            </c:ext>
          </c:extLst>
        </c:ser>
        <c:ser>
          <c:idx val="1"/>
          <c:order val="1"/>
          <c:tx>
            <c:v>SOC in BEL arm</c:v>
          </c:tx>
          <c:spPr>
            <a:ln w="28575" cap="rnd">
              <a:solidFill>
                <a:schemeClr val="accent2"/>
              </a:solidFill>
              <a:prstDash val="lgDashDot"/>
              <a:round/>
            </a:ln>
            <a:effectLst/>
          </c:spPr>
          <c:marker>
            <c:symbol val="none"/>
          </c:marker>
          <c:cat>
            <c:numRef>
              <c:f>BEL!$A$3:$A$122</c:f>
              <c:numCache>
                <c:formatCode>General</c:formatCode>
                <c:ptCount val="120"/>
                <c:pt idx="0">
                  <c:v>40.5</c:v>
                </c:pt>
                <c:pt idx="1">
                  <c:v>41</c:v>
                </c:pt>
                <c:pt idx="2">
                  <c:v>41.5</c:v>
                </c:pt>
                <c:pt idx="3">
                  <c:v>42</c:v>
                </c:pt>
                <c:pt idx="4">
                  <c:v>42.5</c:v>
                </c:pt>
                <c:pt idx="5">
                  <c:v>43</c:v>
                </c:pt>
                <c:pt idx="6">
                  <c:v>43.5</c:v>
                </c:pt>
                <c:pt idx="7">
                  <c:v>44</c:v>
                </c:pt>
                <c:pt idx="8">
                  <c:v>44.5</c:v>
                </c:pt>
                <c:pt idx="9">
                  <c:v>45</c:v>
                </c:pt>
                <c:pt idx="10">
                  <c:v>45.5</c:v>
                </c:pt>
                <c:pt idx="11">
                  <c:v>46</c:v>
                </c:pt>
                <c:pt idx="12">
                  <c:v>46.5</c:v>
                </c:pt>
                <c:pt idx="13">
                  <c:v>47</c:v>
                </c:pt>
                <c:pt idx="14">
                  <c:v>47.5</c:v>
                </c:pt>
                <c:pt idx="15">
                  <c:v>48</c:v>
                </c:pt>
                <c:pt idx="16">
                  <c:v>48.5</c:v>
                </c:pt>
                <c:pt idx="17">
                  <c:v>49</c:v>
                </c:pt>
                <c:pt idx="18">
                  <c:v>49.5</c:v>
                </c:pt>
                <c:pt idx="19">
                  <c:v>50</c:v>
                </c:pt>
                <c:pt idx="20">
                  <c:v>50.5</c:v>
                </c:pt>
                <c:pt idx="21">
                  <c:v>51</c:v>
                </c:pt>
                <c:pt idx="22">
                  <c:v>51.5</c:v>
                </c:pt>
                <c:pt idx="23">
                  <c:v>52</c:v>
                </c:pt>
                <c:pt idx="24">
                  <c:v>52.5</c:v>
                </c:pt>
                <c:pt idx="25">
                  <c:v>53</c:v>
                </c:pt>
                <c:pt idx="26">
                  <c:v>53.5</c:v>
                </c:pt>
                <c:pt idx="27">
                  <c:v>54</c:v>
                </c:pt>
                <c:pt idx="28">
                  <c:v>54.5</c:v>
                </c:pt>
                <c:pt idx="29">
                  <c:v>55</c:v>
                </c:pt>
                <c:pt idx="30">
                  <c:v>55.5</c:v>
                </c:pt>
                <c:pt idx="31">
                  <c:v>56</c:v>
                </c:pt>
                <c:pt idx="32">
                  <c:v>56.5</c:v>
                </c:pt>
                <c:pt idx="33">
                  <c:v>57</c:v>
                </c:pt>
                <c:pt idx="34">
                  <c:v>57.5</c:v>
                </c:pt>
                <c:pt idx="35">
                  <c:v>58</c:v>
                </c:pt>
                <c:pt idx="36">
                  <c:v>58.5</c:v>
                </c:pt>
                <c:pt idx="37">
                  <c:v>59</c:v>
                </c:pt>
                <c:pt idx="38">
                  <c:v>59.5</c:v>
                </c:pt>
                <c:pt idx="39">
                  <c:v>60</c:v>
                </c:pt>
                <c:pt idx="40">
                  <c:v>60.5</c:v>
                </c:pt>
                <c:pt idx="41">
                  <c:v>61</c:v>
                </c:pt>
                <c:pt idx="42">
                  <c:v>61.5</c:v>
                </c:pt>
                <c:pt idx="43">
                  <c:v>62</c:v>
                </c:pt>
                <c:pt idx="44">
                  <c:v>62.5</c:v>
                </c:pt>
                <c:pt idx="45">
                  <c:v>63</c:v>
                </c:pt>
                <c:pt idx="46">
                  <c:v>63.5</c:v>
                </c:pt>
                <c:pt idx="47">
                  <c:v>64</c:v>
                </c:pt>
                <c:pt idx="48">
                  <c:v>64.5</c:v>
                </c:pt>
                <c:pt idx="49">
                  <c:v>65</c:v>
                </c:pt>
                <c:pt idx="50">
                  <c:v>65.5</c:v>
                </c:pt>
                <c:pt idx="51">
                  <c:v>66</c:v>
                </c:pt>
                <c:pt idx="52">
                  <c:v>66.5</c:v>
                </c:pt>
                <c:pt idx="53">
                  <c:v>67</c:v>
                </c:pt>
                <c:pt idx="54">
                  <c:v>67.5</c:v>
                </c:pt>
                <c:pt idx="55">
                  <c:v>68</c:v>
                </c:pt>
                <c:pt idx="56">
                  <c:v>68.5</c:v>
                </c:pt>
                <c:pt idx="57">
                  <c:v>69</c:v>
                </c:pt>
                <c:pt idx="58">
                  <c:v>69.5</c:v>
                </c:pt>
                <c:pt idx="59">
                  <c:v>70</c:v>
                </c:pt>
                <c:pt idx="60">
                  <c:v>70.5</c:v>
                </c:pt>
                <c:pt idx="61">
                  <c:v>71</c:v>
                </c:pt>
                <c:pt idx="62">
                  <c:v>71.5</c:v>
                </c:pt>
                <c:pt idx="63">
                  <c:v>72</c:v>
                </c:pt>
                <c:pt idx="64">
                  <c:v>72.5</c:v>
                </c:pt>
                <c:pt idx="65">
                  <c:v>73</c:v>
                </c:pt>
                <c:pt idx="66">
                  <c:v>73.5</c:v>
                </c:pt>
                <c:pt idx="67">
                  <c:v>74</c:v>
                </c:pt>
                <c:pt idx="68">
                  <c:v>74.5</c:v>
                </c:pt>
                <c:pt idx="69">
                  <c:v>75</c:v>
                </c:pt>
                <c:pt idx="70">
                  <c:v>75.5</c:v>
                </c:pt>
                <c:pt idx="71">
                  <c:v>76</c:v>
                </c:pt>
                <c:pt idx="72">
                  <c:v>76.5</c:v>
                </c:pt>
                <c:pt idx="73">
                  <c:v>77</c:v>
                </c:pt>
                <c:pt idx="74">
                  <c:v>77.5</c:v>
                </c:pt>
                <c:pt idx="75">
                  <c:v>78</c:v>
                </c:pt>
                <c:pt idx="76">
                  <c:v>78.5</c:v>
                </c:pt>
                <c:pt idx="77">
                  <c:v>79</c:v>
                </c:pt>
                <c:pt idx="78">
                  <c:v>79.5</c:v>
                </c:pt>
                <c:pt idx="79">
                  <c:v>80</c:v>
                </c:pt>
                <c:pt idx="80">
                  <c:v>80.5</c:v>
                </c:pt>
                <c:pt idx="81">
                  <c:v>81</c:v>
                </c:pt>
                <c:pt idx="82">
                  <c:v>81.5</c:v>
                </c:pt>
                <c:pt idx="83">
                  <c:v>82</c:v>
                </c:pt>
                <c:pt idx="84">
                  <c:v>82.5</c:v>
                </c:pt>
                <c:pt idx="85">
                  <c:v>83</c:v>
                </c:pt>
                <c:pt idx="86">
                  <c:v>83.5</c:v>
                </c:pt>
                <c:pt idx="87">
                  <c:v>84</c:v>
                </c:pt>
                <c:pt idx="88">
                  <c:v>84.5</c:v>
                </c:pt>
                <c:pt idx="89">
                  <c:v>85</c:v>
                </c:pt>
                <c:pt idx="90">
                  <c:v>85.5</c:v>
                </c:pt>
                <c:pt idx="91">
                  <c:v>86</c:v>
                </c:pt>
                <c:pt idx="92">
                  <c:v>86.5</c:v>
                </c:pt>
                <c:pt idx="93">
                  <c:v>87</c:v>
                </c:pt>
                <c:pt idx="94">
                  <c:v>87.5</c:v>
                </c:pt>
                <c:pt idx="95">
                  <c:v>88</c:v>
                </c:pt>
                <c:pt idx="96">
                  <c:v>88.5</c:v>
                </c:pt>
                <c:pt idx="97">
                  <c:v>89</c:v>
                </c:pt>
                <c:pt idx="98">
                  <c:v>89.5</c:v>
                </c:pt>
                <c:pt idx="99">
                  <c:v>90</c:v>
                </c:pt>
                <c:pt idx="100">
                  <c:v>90.5</c:v>
                </c:pt>
                <c:pt idx="101">
                  <c:v>91</c:v>
                </c:pt>
                <c:pt idx="102">
                  <c:v>91.5</c:v>
                </c:pt>
                <c:pt idx="103">
                  <c:v>92</c:v>
                </c:pt>
                <c:pt idx="104">
                  <c:v>92.5</c:v>
                </c:pt>
                <c:pt idx="105">
                  <c:v>93</c:v>
                </c:pt>
                <c:pt idx="106">
                  <c:v>93.5</c:v>
                </c:pt>
                <c:pt idx="107">
                  <c:v>94</c:v>
                </c:pt>
                <c:pt idx="108">
                  <c:v>94.5</c:v>
                </c:pt>
                <c:pt idx="109">
                  <c:v>95</c:v>
                </c:pt>
                <c:pt idx="110">
                  <c:v>95.5</c:v>
                </c:pt>
                <c:pt idx="111">
                  <c:v>96</c:v>
                </c:pt>
                <c:pt idx="112">
                  <c:v>96.5</c:v>
                </c:pt>
                <c:pt idx="113">
                  <c:v>97</c:v>
                </c:pt>
                <c:pt idx="114">
                  <c:v>97.5</c:v>
                </c:pt>
                <c:pt idx="115">
                  <c:v>98</c:v>
                </c:pt>
                <c:pt idx="116">
                  <c:v>98.5</c:v>
                </c:pt>
                <c:pt idx="117">
                  <c:v>99</c:v>
                </c:pt>
                <c:pt idx="118">
                  <c:v>99.5</c:v>
                </c:pt>
                <c:pt idx="119">
                  <c:v>100</c:v>
                </c:pt>
              </c:numCache>
            </c:numRef>
          </c:cat>
          <c:val>
            <c:numRef>
              <c:f>BEL!$AB$3:$AB$122</c:f>
              <c:numCache>
                <c:formatCode>0.0000</c:formatCode>
                <c:ptCount val="120"/>
                <c:pt idx="0">
                  <c:v>0.38927456777945002</c:v>
                </c:pt>
                <c:pt idx="1">
                  <c:v>0.416840238331181</c:v>
                </c:pt>
                <c:pt idx="2">
                  <c:v>0.44287849956782499</c:v>
                </c:pt>
                <c:pt idx="3">
                  <c:v>0.46746196381959698</c:v>
                </c:pt>
                <c:pt idx="4">
                  <c:v>0.490658542249855</c:v>
                </c:pt>
                <c:pt idx="5">
                  <c:v>0.51253187018925395</c:v>
                </c:pt>
                <c:pt idx="6">
                  <c:v>0.53314168889302405</c:v>
                </c:pt>
                <c:pt idx="7">
                  <c:v>0.55254418828643503</c:v>
                </c:pt>
                <c:pt idx="8">
                  <c:v>0.57079231477931502</c:v>
                </c:pt>
                <c:pt idx="9">
                  <c:v>0.58793604779859199</c:v>
                </c:pt>
                <c:pt idx="10">
                  <c:v>0.60402264830262897</c:v>
                </c:pt>
                <c:pt idx="11">
                  <c:v>0.61909688219732695</c:v>
                </c:pt>
                <c:pt idx="12">
                  <c:v>0.63320122126711198</c:v>
                </c:pt>
                <c:pt idx="13">
                  <c:v>0.64637602396016802</c:v>
                </c:pt>
                <c:pt idx="14">
                  <c:v>0.65865969812250502</c:v>
                </c:pt>
                <c:pt idx="15">
                  <c:v>0.67008884755706699</c:v>
                </c:pt>
                <c:pt idx="16">
                  <c:v>0.68069840408877302</c:v>
                </c:pt>
                <c:pt idx="17">
                  <c:v>0.69052174664172605</c:v>
                </c:pt>
                <c:pt idx="18">
                  <c:v>0.69959080867878898</c:v>
                </c:pt>
                <c:pt idx="19">
                  <c:v>0.70793617521389796</c:v>
                </c:pt>
                <c:pt idx="20">
                  <c:v>0.71558717048243703</c:v>
                </c:pt>
                <c:pt idx="21">
                  <c:v>0.72257193724296398</c:v>
                </c:pt>
                <c:pt idx="22">
                  <c:v>0.72891750858322102</c:v>
                </c:pt>
                <c:pt idx="23">
                  <c:v>0.73464987301330398</c:v>
                </c:pt>
                <c:pt idx="24">
                  <c:v>0.73979403354829198</c:v>
                </c:pt>
                <c:pt idx="25">
                  <c:v>0.74437406141009699</c:v>
                </c:pt>
                <c:pt idx="26">
                  <c:v>0.748413144913464</c:v>
                </c:pt>
                <c:pt idx="27">
                  <c:v>0.75193363404256297</c:v>
                </c:pt>
                <c:pt idx="28">
                  <c:v>0.75495708117232496</c:v>
                </c:pt>
                <c:pt idx="29">
                  <c:v>0.75750427834153999</c:v>
                </c:pt>
                <c:pt idx="30">
                  <c:v>0.759595291442412</c:v>
                </c:pt>
                <c:pt idx="31">
                  <c:v>0.76124949165328504</c:v>
                </c:pt>
                <c:pt idx="32">
                  <c:v>0.76248558440700198</c:v>
                </c:pt>
                <c:pt idx="33">
                  <c:v>0.76332163615666604</c:v>
                </c:pt>
                <c:pt idx="34">
                  <c:v>0.763775099172887</c:v>
                </c:pt>
                <c:pt idx="35">
                  <c:v>0.76386283458172899</c:v>
                </c:pt>
                <c:pt idx="36">
                  <c:v>0.76360113383032802</c:v>
                </c:pt>
                <c:pt idx="37">
                  <c:v>0.76300573874685196</c:v>
                </c:pt>
                <c:pt idx="38">
                  <c:v>0.76209186034362997</c:v>
                </c:pt>
                <c:pt idx="39">
                  <c:v>0.76087419649590304</c:v>
                </c:pt>
                <c:pt idx="40">
                  <c:v>0.75936694861410103</c:v>
                </c:pt>
                <c:pt idx="41">
                  <c:v>0.75758383741449897</c:v>
                </c:pt>
                <c:pt idx="42">
                  <c:v>0.75553627038946602</c:v>
                </c:pt>
                <c:pt idx="43">
                  <c:v>0.75322836563613904</c:v>
                </c:pt>
                <c:pt idx="44">
                  <c:v>0.75067310694898504</c:v>
                </c:pt>
                <c:pt idx="45">
                  <c:v>0.74788158770294699</c:v>
                </c:pt>
                <c:pt idx="46">
                  <c:v>0.74486602460130102</c:v>
                </c:pt>
                <c:pt idx="47">
                  <c:v>0.74163631261533802</c:v>
                </c:pt>
                <c:pt idx="48">
                  <c:v>0.73819685250472999</c:v>
                </c:pt>
                <c:pt idx="49">
                  <c:v>0.73455462951141104</c:v>
                </c:pt>
                <c:pt idx="50">
                  <c:v>0.73072107874843595</c:v>
                </c:pt>
                <c:pt idx="51">
                  <c:v>0.72670292876463105</c:v>
                </c:pt>
                <c:pt idx="52">
                  <c:v>0.72251112834210596</c:v>
                </c:pt>
                <c:pt idx="53">
                  <c:v>0.71815280620254796</c:v>
                </c:pt>
                <c:pt idx="54">
                  <c:v>0.71363839386821004</c:v>
                </c:pt>
                <c:pt idx="55">
                  <c:v>0.70897497180722502</c:v>
                </c:pt>
                <c:pt idx="56">
                  <c:v>0.704161887578579</c:v>
                </c:pt>
                <c:pt idx="57">
                  <c:v>0.69920122804879903</c:v>
                </c:pt>
                <c:pt idx="58">
                  <c:v>0.69410334588810796</c:v>
                </c:pt>
                <c:pt idx="59">
                  <c:v>0.68887272166990399</c:v>
                </c:pt>
                <c:pt idx="60">
                  <c:v>0.68351938937808498</c:v>
                </c:pt>
                <c:pt idx="61">
                  <c:v>0.67804707813137899</c:v>
                </c:pt>
                <c:pt idx="62">
                  <c:v>0.67246554786318102</c:v>
                </c:pt>
                <c:pt idx="63">
                  <c:v>0.66677789008046195</c:v>
                </c:pt>
                <c:pt idx="64">
                  <c:v>0.66099363061671601</c:v>
                </c:pt>
                <c:pt idx="65">
                  <c:v>0.65511465667725699</c:v>
                </c:pt>
                <c:pt idx="66">
                  <c:v>0.64915034859526699</c:v>
                </c:pt>
                <c:pt idx="67">
                  <c:v>0.64309190057302601</c:v>
                </c:pt>
                <c:pt idx="68">
                  <c:v>0.63692537623178103</c:v>
                </c:pt>
                <c:pt idx="69">
                  <c:v>0.63064907588769104</c:v>
                </c:pt>
                <c:pt idx="70">
                  <c:v>0.62427468318465595</c:v>
                </c:pt>
                <c:pt idx="71">
                  <c:v>0.61780004513632103</c:v>
                </c:pt>
                <c:pt idx="72">
                  <c:v>0.61120776888404704</c:v>
                </c:pt>
                <c:pt idx="73">
                  <c:v>0.60448604263611305</c:v>
                </c:pt>
                <c:pt idx="74">
                  <c:v>0.59764983223025803</c:v>
                </c:pt>
                <c:pt idx="75">
                  <c:v>0.59069121086262899</c:v>
                </c:pt>
                <c:pt idx="76">
                  <c:v>0.58355993014734298</c:v>
                </c:pt>
                <c:pt idx="77">
                  <c:v>0.57598413955425298</c:v>
                </c:pt>
                <c:pt idx="78">
                  <c:v>0.56798383632157001</c:v>
                </c:pt>
                <c:pt idx="79">
                  <c:v>0.55949540727438096</c:v>
                </c:pt>
                <c:pt idx="80">
                  <c:v>0.55054409299857199</c:v>
                </c:pt>
                <c:pt idx="81">
                  <c:v>0.54106243028607404</c:v>
                </c:pt>
                <c:pt idx="82">
                  <c:v>0.53108232136668199</c:v>
                </c:pt>
                <c:pt idx="83">
                  <c:v>0.520534060364653</c:v>
                </c:pt>
                <c:pt idx="84">
                  <c:v>0.50945785598535598</c:v>
                </c:pt>
                <c:pt idx="85">
                  <c:v>0.49778681536466501</c:v>
                </c:pt>
                <c:pt idx="86">
                  <c:v>0.48557109010819399</c:v>
                </c:pt>
                <c:pt idx="87">
                  <c:v>0.47274166689257402</c:v>
                </c:pt>
                <c:pt idx="88">
                  <c:v>0.45936084747335698</c:v>
                </c:pt>
                <c:pt idx="89">
                  <c:v>0.44537463948032802</c:v>
                </c:pt>
                <c:pt idx="90">
                  <c:v>0.430858589772532</c:v>
                </c:pt>
                <c:pt idx="91">
                  <c:v>0.41577474700453998</c:v>
                </c:pt>
                <c:pt idx="92">
                  <c:v>0.40021248750601801</c:v>
                </c:pt>
                <c:pt idx="93">
                  <c:v>0.38413140216939001</c:v>
                </c:pt>
                <c:pt idx="94">
                  <c:v>0.36763680676551003</c:v>
                </c:pt>
                <c:pt idx="95">
                  <c:v>0.35069917198686001</c:v>
                </c:pt>
                <c:pt idx="96">
                  <c:v>0.33344035184962001</c:v>
                </c:pt>
                <c:pt idx="97">
                  <c:v>0.31584149388716798</c:v>
                </c:pt>
                <c:pt idx="98">
                  <c:v>0.29804092377744901</c:v>
                </c:pt>
                <c:pt idx="99">
                  <c:v>0.28004118248489202</c:v>
                </c:pt>
                <c:pt idx="100">
                  <c:v>0.26199410119525601</c:v>
                </c:pt>
                <c:pt idx="101">
                  <c:v>0.24393669216175501</c:v>
                </c:pt>
                <c:pt idx="102">
                  <c:v>0.22602627831948699</c:v>
                </c:pt>
                <c:pt idx="103">
                  <c:v>0.20831058723384599</c:v>
                </c:pt>
                <c:pt idx="104">
                  <c:v>0.19094550775187</c:v>
                </c:pt>
                <c:pt idx="105">
                  <c:v>0.17399760877220599</c:v>
                </c:pt>
                <c:pt idx="106">
                  <c:v>0.15760954813825201</c:v>
                </c:pt>
                <c:pt idx="107">
                  <c:v>0.14186483997628399</c:v>
                </c:pt>
                <c:pt idx="108">
                  <c:v>0.12687764932950299</c:v>
                </c:pt>
                <c:pt idx="109">
                  <c:v>0.113042377120463</c:v>
                </c:pt>
                <c:pt idx="110">
                  <c:v>0.10032999191398601</c:v>
                </c:pt>
                <c:pt idx="111">
                  <c:v>8.8385645144876596E-2</c:v>
                </c:pt>
                <c:pt idx="112">
                  <c:v>7.7276132376172396E-2</c:v>
                </c:pt>
                <c:pt idx="113">
                  <c:v>6.7142664956566706E-2</c:v>
                </c:pt>
                <c:pt idx="114">
                  <c:v>5.7970531054267999E-2</c:v>
                </c:pt>
                <c:pt idx="115">
                  <c:v>4.9717061822222401E-2</c:v>
                </c:pt>
                <c:pt idx="116">
                  <c:v>4.2350033175762497E-2</c:v>
                </c:pt>
                <c:pt idx="117">
                  <c:v>3.5781718813577897E-2</c:v>
                </c:pt>
                <c:pt idx="118">
                  <c:v>2.9982598967103799E-2</c:v>
                </c:pt>
                <c:pt idx="119">
                  <c:v>1.77648058086801E-2</c:v>
                </c:pt>
              </c:numCache>
            </c:numRef>
          </c:val>
          <c:smooth val="0"/>
          <c:extLst>
            <c:ext xmlns:c16="http://schemas.microsoft.com/office/drawing/2014/chart" uri="{C3380CC4-5D6E-409C-BE32-E72D297353CC}">
              <c16:uniqueId val="{00000001-9A6B-41DC-BEE9-B338ABA72F1B}"/>
            </c:ext>
          </c:extLst>
        </c:ser>
        <c:ser>
          <c:idx val="2"/>
          <c:order val="2"/>
          <c:tx>
            <c:v>SOC in SOC arm</c:v>
          </c:tx>
          <c:spPr>
            <a:ln w="28575" cap="rnd">
              <a:solidFill>
                <a:srgbClr val="7030A0"/>
              </a:solidFill>
              <a:prstDash val="lgDashDot"/>
              <a:round/>
            </a:ln>
            <a:effectLst/>
          </c:spPr>
          <c:marker>
            <c:symbol val="none"/>
          </c:marker>
          <c:cat>
            <c:numRef>
              <c:f>BEL!$A$3:$A$122</c:f>
              <c:numCache>
                <c:formatCode>General</c:formatCode>
                <c:ptCount val="120"/>
                <c:pt idx="0">
                  <c:v>40.5</c:v>
                </c:pt>
                <c:pt idx="1">
                  <c:v>41</c:v>
                </c:pt>
                <c:pt idx="2">
                  <c:v>41.5</c:v>
                </c:pt>
                <c:pt idx="3">
                  <c:v>42</c:v>
                </c:pt>
                <c:pt idx="4">
                  <c:v>42.5</c:v>
                </c:pt>
                <c:pt idx="5">
                  <c:v>43</c:v>
                </c:pt>
                <c:pt idx="6">
                  <c:v>43.5</c:v>
                </c:pt>
                <c:pt idx="7">
                  <c:v>44</c:v>
                </c:pt>
                <c:pt idx="8">
                  <c:v>44.5</c:v>
                </c:pt>
                <c:pt idx="9">
                  <c:v>45</c:v>
                </c:pt>
                <c:pt idx="10">
                  <c:v>45.5</c:v>
                </c:pt>
                <c:pt idx="11">
                  <c:v>46</c:v>
                </c:pt>
                <c:pt idx="12">
                  <c:v>46.5</c:v>
                </c:pt>
                <c:pt idx="13">
                  <c:v>47</c:v>
                </c:pt>
                <c:pt idx="14">
                  <c:v>47.5</c:v>
                </c:pt>
                <c:pt idx="15">
                  <c:v>48</c:v>
                </c:pt>
                <c:pt idx="16">
                  <c:v>48.5</c:v>
                </c:pt>
                <c:pt idx="17">
                  <c:v>49</c:v>
                </c:pt>
                <c:pt idx="18">
                  <c:v>49.5</c:v>
                </c:pt>
                <c:pt idx="19">
                  <c:v>50</c:v>
                </c:pt>
                <c:pt idx="20">
                  <c:v>50.5</c:v>
                </c:pt>
                <c:pt idx="21">
                  <c:v>51</c:v>
                </c:pt>
                <c:pt idx="22">
                  <c:v>51.5</c:v>
                </c:pt>
                <c:pt idx="23">
                  <c:v>52</c:v>
                </c:pt>
                <c:pt idx="24">
                  <c:v>52.5</c:v>
                </c:pt>
                <c:pt idx="25">
                  <c:v>53</c:v>
                </c:pt>
                <c:pt idx="26">
                  <c:v>53.5</c:v>
                </c:pt>
                <c:pt idx="27">
                  <c:v>54</c:v>
                </c:pt>
                <c:pt idx="28">
                  <c:v>54.5</c:v>
                </c:pt>
                <c:pt idx="29">
                  <c:v>55</c:v>
                </c:pt>
                <c:pt idx="30">
                  <c:v>55.5</c:v>
                </c:pt>
                <c:pt idx="31">
                  <c:v>56</c:v>
                </c:pt>
                <c:pt idx="32">
                  <c:v>56.5</c:v>
                </c:pt>
                <c:pt idx="33">
                  <c:v>57</c:v>
                </c:pt>
                <c:pt idx="34">
                  <c:v>57.5</c:v>
                </c:pt>
                <c:pt idx="35">
                  <c:v>58</c:v>
                </c:pt>
                <c:pt idx="36">
                  <c:v>58.5</c:v>
                </c:pt>
                <c:pt idx="37">
                  <c:v>59</c:v>
                </c:pt>
                <c:pt idx="38">
                  <c:v>59.5</c:v>
                </c:pt>
                <c:pt idx="39">
                  <c:v>60</c:v>
                </c:pt>
                <c:pt idx="40">
                  <c:v>60.5</c:v>
                </c:pt>
                <c:pt idx="41">
                  <c:v>61</c:v>
                </c:pt>
                <c:pt idx="42">
                  <c:v>61.5</c:v>
                </c:pt>
                <c:pt idx="43">
                  <c:v>62</c:v>
                </c:pt>
                <c:pt idx="44">
                  <c:v>62.5</c:v>
                </c:pt>
                <c:pt idx="45">
                  <c:v>63</c:v>
                </c:pt>
                <c:pt idx="46">
                  <c:v>63.5</c:v>
                </c:pt>
                <c:pt idx="47">
                  <c:v>64</c:v>
                </c:pt>
                <c:pt idx="48">
                  <c:v>64.5</c:v>
                </c:pt>
                <c:pt idx="49">
                  <c:v>65</c:v>
                </c:pt>
                <c:pt idx="50">
                  <c:v>65.5</c:v>
                </c:pt>
                <c:pt idx="51">
                  <c:v>66</c:v>
                </c:pt>
                <c:pt idx="52">
                  <c:v>66.5</c:v>
                </c:pt>
                <c:pt idx="53">
                  <c:v>67</c:v>
                </c:pt>
                <c:pt idx="54">
                  <c:v>67.5</c:v>
                </c:pt>
                <c:pt idx="55">
                  <c:v>68</c:v>
                </c:pt>
                <c:pt idx="56">
                  <c:v>68.5</c:v>
                </c:pt>
                <c:pt idx="57">
                  <c:v>69</c:v>
                </c:pt>
                <c:pt idx="58">
                  <c:v>69.5</c:v>
                </c:pt>
                <c:pt idx="59">
                  <c:v>70</c:v>
                </c:pt>
                <c:pt idx="60">
                  <c:v>70.5</c:v>
                </c:pt>
                <c:pt idx="61">
                  <c:v>71</c:v>
                </c:pt>
                <c:pt idx="62">
                  <c:v>71.5</c:v>
                </c:pt>
                <c:pt idx="63">
                  <c:v>72</c:v>
                </c:pt>
                <c:pt idx="64">
                  <c:v>72.5</c:v>
                </c:pt>
                <c:pt idx="65">
                  <c:v>73</c:v>
                </c:pt>
                <c:pt idx="66">
                  <c:v>73.5</c:v>
                </c:pt>
                <c:pt idx="67">
                  <c:v>74</c:v>
                </c:pt>
                <c:pt idx="68">
                  <c:v>74.5</c:v>
                </c:pt>
                <c:pt idx="69">
                  <c:v>75</c:v>
                </c:pt>
                <c:pt idx="70">
                  <c:v>75.5</c:v>
                </c:pt>
                <c:pt idx="71">
                  <c:v>76</c:v>
                </c:pt>
                <c:pt idx="72">
                  <c:v>76.5</c:v>
                </c:pt>
                <c:pt idx="73">
                  <c:v>77</c:v>
                </c:pt>
                <c:pt idx="74">
                  <c:v>77.5</c:v>
                </c:pt>
                <c:pt idx="75">
                  <c:v>78</c:v>
                </c:pt>
                <c:pt idx="76">
                  <c:v>78.5</c:v>
                </c:pt>
                <c:pt idx="77">
                  <c:v>79</c:v>
                </c:pt>
                <c:pt idx="78">
                  <c:v>79.5</c:v>
                </c:pt>
                <c:pt idx="79">
                  <c:v>80</c:v>
                </c:pt>
                <c:pt idx="80">
                  <c:v>80.5</c:v>
                </c:pt>
                <c:pt idx="81">
                  <c:v>81</c:v>
                </c:pt>
                <c:pt idx="82">
                  <c:v>81.5</c:v>
                </c:pt>
                <c:pt idx="83">
                  <c:v>82</c:v>
                </c:pt>
                <c:pt idx="84">
                  <c:v>82.5</c:v>
                </c:pt>
                <c:pt idx="85">
                  <c:v>83</c:v>
                </c:pt>
                <c:pt idx="86">
                  <c:v>83.5</c:v>
                </c:pt>
                <c:pt idx="87">
                  <c:v>84</c:v>
                </c:pt>
                <c:pt idx="88">
                  <c:v>84.5</c:v>
                </c:pt>
                <c:pt idx="89">
                  <c:v>85</c:v>
                </c:pt>
                <c:pt idx="90">
                  <c:v>85.5</c:v>
                </c:pt>
                <c:pt idx="91">
                  <c:v>86</c:v>
                </c:pt>
                <c:pt idx="92">
                  <c:v>86.5</c:v>
                </c:pt>
                <c:pt idx="93">
                  <c:v>87</c:v>
                </c:pt>
                <c:pt idx="94">
                  <c:v>87.5</c:v>
                </c:pt>
                <c:pt idx="95">
                  <c:v>88</c:v>
                </c:pt>
                <c:pt idx="96">
                  <c:v>88.5</c:v>
                </c:pt>
                <c:pt idx="97">
                  <c:v>89</c:v>
                </c:pt>
                <c:pt idx="98">
                  <c:v>89.5</c:v>
                </c:pt>
                <c:pt idx="99">
                  <c:v>90</c:v>
                </c:pt>
                <c:pt idx="100">
                  <c:v>90.5</c:v>
                </c:pt>
                <c:pt idx="101">
                  <c:v>91</c:v>
                </c:pt>
                <c:pt idx="102">
                  <c:v>91.5</c:v>
                </c:pt>
                <c:pt idx="103">
                  <c:v>92</c:v>
                </c:pt>
                <c:pt idx="104">
                  <c:v>92.5</c:v>
                </c:pt>
                <c:pt idx="105">
                  <c:v>93</c:v>
                </c:pt>
                <c:pt idx="106">
                  <c:v>93.5</c:v>
                </c:pt>
                <c:pt idx="107">
                  <c:v>94</c:v>
                </c:pt>
                <c:pt idx="108">
                  <c:v>94.5</c:v>
                </c:pt>
                <c:pt idx="109">
                  <c:v>95</c:v>
                </c:pt>
                <c:pt idx="110">
                  <c:v>95.5</c:v>
                </c:pt>
                <c:pt idx="111">
                  <c:v>96</c:v>
                </c:pt>
                <c:pt idx="112">
                  <c:v>96.5</c:v>
                </c:pt>
                <c:pt idx="113">
                  <c:v>97</c:v>
                </c:pt>
                <c:pt idx="114">
                  <c:v>97.5</c:v>
                </c:pt>
                <c:pt idx="115">
                  <c:v>98</c:v>
                </c:pt>
                <c:pt idx="116">
                  <c:v>98.5</c:v>
                </c:pt>
                <c:pt idx="117">
                  <c:v>99</c:v>
                </c:pt>
                <c:pt idx="118">
                  <c:v>99.5</c:v>
                </c:pt>
                <c:pt idx="119">
                  <c:v>100</c:v>
                </c:pt>
              </c:numCache>
            </c:numRef>
          </c:cat>
          <c:val>
            <c:numRef>
              <c:f>SOC!$AA$3:$AA$122</c:f>
              <c:numCache>
                <c:formatCode>General</c:formatCode>
                <c:ptCount val="120"/>
                <c:pt idx="0">
                  <c:v>0.99737270760812102</c:v>
                </c:pt>
                <c:pt idx="1">
                  <c:v>0.994662438738804</c:v>
                </c:pt>
                <c:pt idx="2">
                  <c:v>0.99186568994539304</c:v>
                </c:pt>
                <c:pt idx="3">
                  <c:v>0.98897901453525405</c:v>
                </c:pt>
                <c:pt idx="4">
                  <c:v>0.98599909050046197</c:v>
                </c:pt>
                <c:pt idx="5">
                  <c:v>0.98292277555208596</c:v>
                </c:pt>
                <c:pt idx="6">
                  <c:v>0.97974715107272603</c:v>
                </c:pt>
                <c:pt idx="7">
                  <c:v>0.97646955654205503</c:v>
                </c:pt>
                <c:pt idx="8">
                  <c:v>0.97308761577146097</c:v>
                </c:pt>
                <c:pt idx="9">
                  <c:v>0.96959925609969699</c:v>
                </c:pt>
                <c:pt idx="10">
                  <c:v>0.96600272154568601</c:v>
                </c:pt>
                <c:pt idx="11">
                  <c:v>0.96229658078264602</c:v>
                </c:pt>
                <c:pt idx="12">
                  <c:v>0.95847973068539805</c:v>
                </c:pt>
                <c:pt idx="13">
                  <c:v>0.95455139610678497</c:v>
                </c:pt>
                <c:pt idx="14">
                  <c:v>0.95051112645701796</c:v>
                </c:pt>
                <c:pt idx="15">
                  <c:v>0.94635878958885</c:v>
                </c:pt>
                <c:pt idx="16">
                  <c:v>0.94209456343029696</c:v>
                </c:pt>
                <c:pt idx="17">
                  <c:v>0.937718925753385</c:v>
                </c:pt>
                <c:pt idx="18">
                  <c:v>0.93323264242089499</c:v>
                </c:pt>
                <c:pt idx="19">
                  <c:v>0.92863675441232096</c:v>
                </c:pt>
                <c:pt idx="20">
                  <c:v>0.92393256389435396</c:v>
                </c:pt>
                <c:pt idx="21">
                  <c:v>0.91912161956934901</c:v>
                </c:pt>
                <c:pt idx="22">
                  <c:v>0.91420570150705904</c:v>
                </c:pt>
                <c:pt idx="23">
                  <c:v>0.90918680563976695</c:v>
                </c:pt>
                <c:pt idx="24">
                  <c:v>0.90406712807836098</c:v>
                </c:pt>
                <c:pt idx="25">
                  <c:v>0.89884904938684296</c:v>
                </c:pt>
                <c:pt idx="26">
                  <c:v>0.89353511893458704</c:v>
                </c:pt>
                <c:pt idx="27">
                  <c:v>0.88812803942942198</c:v>
                </c:pt>
                <c:pt idx="28">
                  <c:v>0.88263065171988497</c:v>
                </c:pt>
                <c:pt idx="29">
                  <c:v>0.87704591994189596</c:v>
                </c:pt>
                <c:pt idx="30">
                  <c:v>0.87137691707308895</c:v>
                </c:pt>
                <c:pt idx="31">
                  <c:v>0.86562681094742899</c:v>
                </c:pt>
                <c:pt idx="32">
                  <c:v>0.85979885077306195</c:v>
                </c:pt>
                <c:pt idx="33">
                  <c:v>0.85389635418770704</c:v>
                </c:pt>
                <c:pt idx="34">
                  <c:v>0.84792269487818195</c:v>
                </c:pt>
                <c:pt idx="35">
                  <c:v>0.84188129078368601</c:v>
                </c:pt>
                <c:pt idx="36">
                  <c:v>0.83577559289636705</c:v>
                </c:pt>
                <c:pt idx="37">
                  <c:v>0.82960907466712697</c:v>
                </c:pt>
                <c:pt idx="38">
                  <c:v>0.82338522201987796</c:v>
                </c:pt>
                <c:pt idx="39">
                  <c:v>0.81710752397314401</c:v>
                </c:pt>
                <c:pt idx="40">
                  <c:v>0.81077946386418498</c:v>
                </c:pt>
                <c:pt idx="41">
                  <c:v>0.804404511167639</c:v>
                </c:pt>
                <c:pt idx="42">
                  <c:v>0.79798456986483501</c:v>
                </c:pt>
                <c:pt idx="43">
                  <c:v>0.79151590518932002</c:v>
                </c:pt>
                <c:pt idx="44">
                  <c:v>0.785002627852041</c:v>
                </c:pt>
                <c:pt idx="45">
                  <c:v>0.77844757821892596</c:v>
                </c:pt>
                <c:pt idx="46">
                  <c:v>0.77185479674861601</c:v>
                </c:pt>
                <c:pt idx="47">
                  <c:v>0.76522669921836195</c:v>
                </c:pt>
                <c:pt idx="48">
                  <c:v>0.75856140831335805</c:v>
                </c:pt>
                <c:pt idx="49">
                  <c:v>0.75185960275973296</c:v>
                </c:pt>
                <c:pt idx="50">
                  <c:v>0.74512579928948297</c:v>
                </c:pt>
                <c:pt idx="51">
                  <c:v>0.73836096092994796</c:v>
                </c:pt>
                <c:pt idx="52">
                  <c:v>0.73156960036739405</c:v>
                </c:pt>
                <c:pt idx="53">
                  <c:v>0.724753392468242</c:v>
                </c:pt>
                <c:pt idx="54">
                  <c:v>0.71791676239297497</c:v>
                </c:pt>
                <c:pt idx="55">
                  <c:v>0.71106167721819002</c:v>
                </c:pt>
                <c:pt idx="56">
                  <c:v>0.70418380601728403</c:v>
                </c:pt>
                <c:pt idx="57">
                  <c:v>0.69728149192170197</c:v>
                </c:pt>
                <c:pt idx="58">
                  <c:v>0.69035986479484102</c:v>
                </c:pt>
                <c:pt idx="59">
                  <c:v>0.68341960697750304</c:v>
                </c:pt>
                <c:pt idx="60">
                  <c:v>0.67646579506938498</c:v>
                </c:pt>
                <c:pt idx="61">
                  <c:v>0.66949876973038402</c:v>
                </c:pt>
                <c:pt idx="62">
                  <c:v>0.66252356788883804</c:v>
                </c:pt>
                <c:pt idx="63">
                  <c:v>0.65554025916594805</c:v>
                </c:pt>
                <c:pt idx="64">
                  <c:v>0.64855385123387999</c:v>
                </c:pt>
                <c:pt idx="65">
                  <c:v>0.64156370602626001</c:v>
                </c:pt>
                <c:pt idx="66">
                  <c:v>0.634574855907447</c:v>
                </c:pt>
                <c:pt idx="67">
                  <c:v>0.62757799045054297</c:v>
                </c:pt>
                <c:pt idx="68">
                  <c:v>0.62055931908381301</c:v>
                </c:pt>
                <c:pt idx="69">
                  <c:v>0.613516105362929</c:v>
                </c:pt>
                <c:pt idx="70">
                  <c:v>0.60645588949977303</c:v>
                </c:pt>
                <c:pt idx="71">
                  <c:v>0.59937574052701603</c:v>
                </c:pt>
                <c:pt idx="72">
                  <c:v>0.59225863895845299</c:v>
                </c:pt>
                <c:pt idx="73">
                  <c:v>0.58509423293682505</c:v>
                </c:pt>
                <c:pt idx="74">
                  <c:v>0.57789326326142698</c:v>
                </c:pt>
                <c:pt idx="75">
                  <c:v>0.57064890072901198</c:v>
                </c:pt>
                <c:pt idx="76">
                  <c:v>0.56330110946700196</c:v>
                </c:pt>
                <c:pt idx="77">
                  <c:v>0.55555998928912897</c:v>
                </c:pt>
                <c:pt idx="78">
                  <c:v>0.54744359271277898</c:v>
                </c:pt>
                <c:pt idx="79">
                  <c:v>0.538889416574163</c:v>
                </c:pt>
                <c:pt idx="80">
                  <c:v>0.52992067742504601</c:v>
                </c:pt>
                <c:pt idx="81">
                  <c:v>0.52047137733622895</c:v>
                </c:pt>
                <c:pt idx="82">
                  <c:v>0.51057122639981101</c:v>
                </c:pt>
                <c:pt idx="83">
                  <c:v>0.50015225330213497</c:v>
                </c:pt>
                <c:pt idx="84">
                  <c:v>0.48925220648000201</c:v>
                </c:pt>
                <c:pt idx="85">
                  <c:v>0.477805967997672</c:v>
                </c:pt>
                <c:pt idx="86">
                  <c:v>0.46586085555203399</c:v>
                </c:pt>
                <c:pt idx="87">
                  <c:v>0.45334983650330302</c:v>
                </c:pt>
                <c:pt idx="88">
                  <c:v>0.44033188632717202</c:v>
                </c:pt>
                <c:pt idx="89">
                  <c:v>0.42675446564727398</c:v>
                </c:pt>
                <c:pt idx="90">
                  <c:v>0.41268921179571699</c:v>
                </c:pt>
                <c:pt idx="91">
                  <c:v>0.398099001612438</c:v>
                </c:pt>
                <c:pt idx="92">
                  <c:v>0.38306866002865803</c:v>
                </c:pt>
                <c:pt idx="93">
                  <c:v>0.36755873795023197</c:v>
                </c:pt>
                <c:pt idx="94">
                  <c:v>0.35166925958899697</c:v>
                </c:pt>
                <c:pt idx="95">
                  <c:v>0.33537120877841298</c:v>
                </c:pt>
                <c:pt idx="96">
                  <c:v>0.31878036316707797</c:v>
                </c:pt>
                <c:pt idx="97">
                  <c:v>0.30187792721517498</c:v>
                </c:pt>
                <c:pt idx="98">
                  <c:v>0.28479535638638098</c:v>
                </c:pt>
                <c:pt idx="99">
                  <c:v>0.26753430212301099</c:v>
                </c:pt>
                <c:pt idx="100">
                  <c:v>0.25023905147801101</c:v>
                </c:pt>
                <c:pt idx="101">
                  <c:v>0.23294417147622801</c:v>
                </c:pt>
                <c:pt idx="102">
                  <c:v>0.21579911962314499</c:v>
                </c:pt>
                <c:pt idx="103">
                  <c:v>0.198848676359694</c:v>
                </c:pt>
                <c:pt idx="104">
                  <c:v>0.182240877175885</c:v>
                </c:pt>
                <c:pt idx="105">
                  <c:v>0.16603848105531799</c:v>
                </c:pt>
                <c:pt idx="106">
                  <c:v>0.15037686414791199</c:v>
                </c:pt>
                <c:pt idx="107">
                  <c:v>0.135334960014074</c:v>
                </c:pt>
                <c:pt idx="108">
                  <c:v>0.12102095488921601</c:v>
                </c:pt>
                <c:pt idx="109">
                  <c:v>0.10781030333724299</c:v>
                </c:pt>
                <c:pt idx="110">
                  <c:v>9.5674550334563097E-2</c:v>
                </c:pt>
                <c:pt idx="111">
                  <c:v>8.4274661416401095E-2</c:v>
                </c:pt>
                <c:pt idx="112">
                  <c:v>7.3673802651687895E-2</c:v>
                </c:pt>
                <c:pt idx="113">
                  <c:v>6.4006099279293099E-2</c:v>
                </c:pt>
                <c:pt idx="114">
                  <c:v>5.5257043806159402E-2</c:v>
                </c:pt>
                <c:pt idx="115">
                  <c:v>4.73855333376021E-2</c:v>
                </c:pt>
                <c:pt idx="116">
                  <c:v>4.0360474402981898E-2</c:v>
                </c:pt>
                <c:pt idx="117">
                  <c:v>3.4097929754091601E-2</c:v>
                </c:pt>
                <c:pt idx="118">
                  <c:v>2.8569483925474599E-2</c:v>
                </c:pt>
                <c:pt idx="119">
                  <c:v>1.6926290151114898E-2</c:v>
                </c:pt>
              </c:numCache>
            </c:numRef>
          </c:val>
          <c:smooth val="0"/>
          <c:extLst>
            <c:ext xmlns:c16="http://schemas.microsoft.com/office/drawing/2014/chart" uri="{C3380CC4-5D6E-409C-BE32-E72D297353CC}">
              <c16:uniqueId val="{00000002-9A6B-41DC-BEE9-B338ABA72F1B}"/>
            </c:ext>
          </c:extLst>
        </c:ser>
        <c:ser>
          <c:idx val="3"/>
          <c:order val="3"/>
          <c:tx>
            <c:v>Dead in SOC arm</c:v>
          </c:tx>
          <c:spPr>
            <a:ln w="28575" cap="rnd">
              <a:solidFill>
                <a:schemeClr val="accent6">
                  <a:lumMod val="75000"/>
                </a:schemeClr>
              </a:solidFill>
              <a:prstDash val="sysDot"/>
              <a:round/>
            </a:ln>
            <a:effectLst/>
          </c:spPr>
          <c:marker>
            <c:symbol val="none"/>
          </c:marker>
          <c:cat>
            <c:numRef>
              <c:f>BEL!$A$3:$A$122</c:f>
              <c:numCache>
                <c:formatCode>General</c:formatCode>
                <c:ptCount val="120"/>
                <c:pt idx="0">
                  <c:v>40.5</c:v>
                </c:pt>
                <c:pt idx="1">
                  <c:v>41</c:v>
                </c:pt>
                <c:pt idx="2">
                  <c:v>41.5</c:v>
                </c:pt>
                <c:pt idx="3">
                  <c:v>42</c:v>
                </c:pt>
                <c:pt idx="4">
                  <c:v>42.5</c:v>
                </c:pt>
                <c:pt idx="5">
                  <c:v>43</c:v>
                </c:pt>
                <c:pt idx="6">
                  <c:v>43.5</c:v>
                </c:pt>
                <c:pt idx="7">
                  <c:v>44</c:v>
                </c:pt>
                <c:pt idx="8">
                  <c:v>44.5</c:v>
                </c:pt>
                <c:pt idx="9">
                  <c:v>45</c:v>
                </c:pt>
                <c:pt idx="10">
                  <c:v>45.5</c:v>
                </c:pt>
                <c:pt idx="11">
                  <c:v>46</c:v>
                </c:pt>
                <c:pt idx="12">
                  <c:v>46.5</c:v>
                </c:pt>
                <c:pt idx="13">
                  <c:v>47</c:v>
                </c:pt>
                <c:pt idx="14">
                  <c:v>47.5</c:v>
                </c:pt>
                <c:pt idx="15">
                  <c:v>48</c:v>
                </c:pt>
                <c:pt idx="16">
                  <c:v>48.5</c:v>
                </c:pt>
                <c:pt idx="17">
                  <c:v>49</c:v>
                </c:pt>
                <c:pt idx="18">
                  <c:v>49.5</c:v>
                </c:pt>
                <c:pt idx="19">
                  <c:v>50</c:v>
                </c:pt>
                <c:pt idx="20">
                  <c:v>50.5</c:v>
                </c:pt>
                <c:pt idx="21">
                  <c:v>51</c:v>
                </c:pt>
                <c:pt idx="22">
                  <c:v>51.5</c:v>
                </c:pt>
                <c:pt idx="23">
                  <c:v>52</c:v>
                </c:pt>
                <c:pt idx="24">
                  <c:v>52.5</c:v>
                </c:pt>
                <c:pt idx="25">
                  <c:v>53</c:v>
                </c:pt>
                <c:pt idx="26">
                  <c:v>53.5</c:v>
                </c:pt>
                <c:pt idx="27">
                  <c:v>54</c:v>
                </c:pt>
                <c:pt idx="28">
                  <c:v>54.5</c:v>
                </c:pt>
                <c:pt idx="29">
                  <c:v>55</c:v>
                </c:pt>
                <c:pt idx="30">
                  <c:v>55.5</c:v>
                </c:pt>
                <c:pt idx="31">
                  <c:v>56</c:v>
                </c:pt>
                <c:pt idx="32">
                  <c:v>56.5</c:v>
                </c:pt>
                <c:pt idx="33">
                  <c:v>57</c:v>
                </c:pt>
                <c:pt idx="34">
                  <c:v>57.5</c:v>
                </c:pt>
                <c:pt idx="35">
                  <c:v>58</c:v>
                </c:pt>
                <c:pt idx="36">
                  <c:v>58.5</c:v>
                </c:pt>
                <c:pt idx="37">
                  <c:v>59</c:v>
                </c:pt>
                <c:pt idx="38">
                  <c:v>59.5</c:v>
                </c:pt>
                <c:pt idx="39">
                  <c:v>60</c:v>
                </c:pt>
                <c:pt idx="40">
                  <c:v>60.5</c:v>
                </c:pt>
                <c:pt idx="41">
                  <c:v>61</c:v>
                </c:pt>
                <c:pt idx="42">
                  <c:v>61.5</c:v>
                </c:pt>
                <c:pt idx="43">
                  <c:v>62</c:v>
                </c:pt>
                <c:pt idx="44">
                  <c:v>62.5</c:v>
                </c:pt>
                <c:pt idx="45">
                  <c:v>63</c:v>
                </c:pt>
                <c:pt idx="46">
                  <c:v>63.5</c:v>
                </c:pt>
                <c:pt idx="47">
                  <c:v>64</c:v>
                </c:pt>
                <c:pt idx="48">
                  <c:v>64.5</c:v>
                </c:pt>
                <c:pt idx="49">
                  <c:v>65</c:v>
                </c:pt>
                <c:pt idx="50">
                  <c:v>65.5</c:v>
                </c:pt>
                <c:pt idx="51">
                  <c:v>66</c:v>
                </c:pt>
                <c:pt idx="52">
                  <c:v>66.5</c:v>
                </c:pt>
                <c:pt idx="53">
                  <c:v>67</c:v>
                </c:pt>
                <c:pt idx="54">
                  <c:v>67.5</c:v>
                </c:pt>
                <c:pt idx="55">
                  <c:v>68</c:v>
                </c:pt>
                <c:pt idx="56">
                  <c:v>68.5</c:v>
                </c:pt>
                <c:pt idx="57">
                  <c:v>69</c:v>
                </c:pt>
                <c:pt idx="58">
                  <c:v>69.5</c:v>
                </c:pt>
                <c:pt idx="59">
                  <c:v>70</c:v>
                </c:pt>
                <c:pt idx="60">
                  <c:v>70.5</c:v>
                </c:pt>
                <c:pt idx="61">
                  <c:v>71</c:v>
                </c:pt>
                <c:pt idx="62">
                  <c:v>71.5</c:v>
                </c:pt>
                <c:pt idx="63">
                  <c:v>72</c:v>
                </c:pt>
                <c:pt idx="64">
                  <c:v>72.5</c:v>
                </c:pt>
                <c:pt idx="65">
                  <c:v>73</c:v>
                </c:pt>
                <c:pt idx="66">
                  <c:v>73.5</c:v>
                </c:pt>
                <c:pt idx="67">
                  <c:v>74</c:v>
                </c:pt>
                <c:pt idx="68">
                  <c:v>74.5</c:v>
                </c:pt>
                <c:pt idx="69">
                  <c:v>75</c:v>
                </c:pt>
                <c:pt idx="70">
                  <c:v>75.5</c:v>
                </c:pt>
                <c:pt idx="71">
                  <c:v>76</c:v>
                </c:pt>
                <c:pt idx="72">
                  <c:v>76.5</c:v>
                </c:pt>
                <c:pt idx="73">
                  <c:v>77</c:v>
                </c:pt>
                <c:pt idx="74">
                  <c:v>77.5</c:v>
                </c:pt>
                <c:pt idx="75">
                  <c:v>78</c:v>
                </c:pt>
                <c:pt idx="76">
                  <c:v>78.5</c:v>
                </c:pt>
                <c:pt idx="77">
                  <c:v>79</c:v>
                </c:pt>
                <c:pt idx="78">
                  <c:v>79.5</c:v>
                </c:pt>
                <c:pt idx="79">
                  <c:v>80</c:v>
                </c:pt>
                <c:pt idx="80">
                  <c:v>80.5</c:v>
                </c:pt>
                <c:pt idx="81">
                  <c:v>81</c:v>
                </c:pt>
                <c:pt idx="82">
                  <c:v>81.5</c:v>
                </c:pt>
                <c:pt idx="83">
                  <c:v>82</c:v>
                </c:pt>
                <c:pt idx="84">
                  <c:v>82.5</c:v>
                </c:pt>
                <c:pt idx="85">
                  <c:v>83</c:v>
                </c:pt>
                <c:pt idx="86">
                  <c:v>83.5</c:v>
                </c:pt>
                <c:pt idx="87">
                  <c:v>84</c:v>
                </c:pt>
                <c:pt idx="88">
                  <c:v>84.5</c:v>
                </c:pt>
                <c:pt idx="89">
                  <c:v>85</c:v>
                </c:pt>
                <c:pt idx="90">
                  <c:v>85.5</c:v>
                </c:pt>
                <c:pt idx="91">
                  <c:v>86</c:v>
                </c:pt>
                <c:pt idx="92">
                  <c:v>86.5</c:v>
                </c:pt>
                <c:pt idx="93">
                  <c:v>87</c:v>
                </c:pt>
                <c:pt idx="94">
                  <c:v>87.5</c:v>
                </c:pt>
                <c:pt idx="95">
                  <c:v>88</c:v>
                </c:pt>
                <c:pt idx="96">
                  <c:v>88.5</c:v>
                </c:pt>
                <c:pt idx="97">
                  <c:v>89</c:v>
                </c:pt>
                <c:pt idx="98">
                  <c:v>89.5</c:v>
                </c:pt>
                <c:pt idx="99">
                  <c:v>90</c:v>
                </c:pt>
                <c:pt idx="100">
                  <c:v>90.5</c:v>
                </c:pt>
                <c:pt idx="101">
                  <c:v>91</c:v>
                </c:pt>
                <c:pt idx="102">
                  <c:v>91.5</c:v>
                </c:pt>
                <c:pt idx="103">
                  <c:v>92</c:v>
                </c:pt>
                <c:pt idx="104">
                  <c:v>92.5</c:v>
                </c:pt>
                <c:pt idx="105">
                  <c:v>93</c:v>
                </c:pt>
                <c:pt idx="106">
                  <c:v>93.5</c:v>
                </c:pt>
                <c:pt idx="107">
                  <c:v>94</c:v>
                </c:pt>
                <c:pt idx="108">
                  <c:v>94.5</c:v>
                </c:pt>
                <c:pt idx="109">
                  <c:v>95</c:v>
                </c:pt>
                <c:pt idx="110">
                  <c:v>95.5</c:v>
                </c:pt>
                <c:pt idx="111">
                  <c:v>96</c:v>
                </c:pt>
                <c:pt idx="112">
                  <c:v>96.5</c:v>
                </c:pt>
                <c:pt idx="113">
                  <c:v>97</c:v>
                </c:pt>
                <c:pt idx="114">
                  <c:v>97.5</c:v>
                </c:pt>
                <c:pt idx="115">
                  <c:v>98</c:v>
                </c:pt>
                <c:pt idx="116">
                  <c:v>98.5</c:v>
                </c:pt>
                <c:pt idx="117">
                  <c:v>99</c:v>
                </c:pt>
                <c:pt idx="118">
                  <c:v>99.5</c:v>
                </c:pt>
                <c:pt idx="119">
                  <c:v>100</c:v>
                </c:pt>
              </c:numCache>
            </c:numRef>
          </c:cat>
          <c:val>
            <c:numRef>
              <c:f>SOC!$AB$3:$AB$122</c:f>
              <c:numCache>
                <c:formatCode>General</c:formatCode>
                <c:ptCount val="120"/>
                <c:pt idx="0">
                  <c:v>2.6272923918769001E-3</c:v>
                </c:pt>
                <c:pt idx="1">
                  <c:v>5.3375612611943199E-3</c:v>
                </c:pt>
                <c:pt idx="2">
                  <c:v>8.1343100546061291E-3</c:v>
                </c:pt>
                <c:pt idx="3">
                  <c:v>1.10209854647447E-2</c:v>
                </c:pt>
                <c:pt idx="4">
                  <c:v>1.40009094995357E-2</c:v>
                </c:pt>
                <c:pt idx="5">
                  <c:v>1.7077224447912698E-2</c:v>
                </c:pt>
                <c:pt idx="6">
                  <c:v>2.02528489272722E-2</c:v>
                </c:pt>
                <c:pt idx="7">
                  <c:v>2.3530443457942599E-2</c:v>
                </c:pt>
                <c:pt idx="8">
                  <c:v>2.6912384228536201E-2</c:v>
                </c:pt>
                <c:pt idx="9">
                  <c:v>3.04007439003013E-2</c:v>
                </c:pt>
                <c:pt idx="10">
                  <c:v>3.3997278454313398E-2</c:v>
                </c:pt>
                <c:pt idx="11">
                  <c:v>3.7703419217351403E-2</c:v>
                </c:pt>
                <c:pt idx="12">
                  <c:v>4.1520269314600199E-2</c:v>
                </c:pt>
                <c:pt idx="13">
                  <c:v>4.5448603893213299E-2</c:v>
                </c:pt>
                <c:pt idx="14">
                  <c:v>4.9488873542979699E-2</c:v>
                </c:pt>
                <c:pt idx="15">
                  <c:v>5.3641210411147798E-2</c:v>
                </c:pt>
                <c:pt idx="16">
                  <c:v>5.7905436569700201E-2</c:v>
                </c:pt>
                <c:pt idx="17">
                  <c:v>6.2281074246611799E-2</c:v>
                </c:pt>
                <c:pt idx="18">
                  <c:v>6.6767357579103404E-2</c:v>
                </c:pt>
                <c:pt idx="19">
                  <c:v>7.1363245587676497E-2</c:v>
                </c:pt>
                <c:pt idx="20">
                  <c:v>7.6067436105642594E-2</c:v>
                </c:pt>
                <c:pt idx="21">
                  <c:v>8.0878380430649696E-2</c:v>
                </c:pt>
                <c:pt idx="22">
                  <c:v>8.5794298492938598E-2</c:v>
                </c:pt>
                <c:pt idx="23">
                  <c:v>9.0813194360230096E-2</c:v>
                </c:pt>
                <c:pt idx="24">
                  <c:v>9.5932871921636395E-2</c:v>
                </c:pt>
                <c:pt idx="25">
                  <c:v>0.101150950613155</c:v>
                </c:pt>
                <c:pt idx="26">
                  <c:v>0.10646488106540899</c:v>
                </c:pt>
                <c:pt idx="27">
                  <c:v>0.111871960570575</c:v>
                </c:pt>
                <c:pt idx="28">
                  <c:v>0.117369348280111</c:v>
                </c:pt>
                <c:pt idx="29">
                  <c:v>0.1229540800581</c:v>
                </c:pt>
                <c:pt idx="30">
                  <c:v>0.12862308292690899</c:v>
                </c:pt>
                <c:pt idx="31">
                  <c:v>0.13437318905256801</c:v>
                </c:pt>
                <c:pt idx="32">
                  <c:v>0.140201149226935</c:v>
                </c:pt>
                <c:pt idx="33">
                  <c:v>0.14610364581228899</c:v>
                </c:pt>
                <c:pt idx="34">
                  <c:v>0.152077305121815</c:v>
                </c:pt>
                <c:pt idx="35">
                  <c:v>0.15811870921630999</c:v>
                </c:pt>
                <c:pt idx="36">
                  <c:v>0.16422440710363001</c:v>
                </c:pt>
                <c:pt idx="37">
                  <c:v>0.17039092533287001</c:v>
                </c:pt>
                <c:pt idx="38">
                  <c:v>0.17661477798011899</c:v>
                </c:pt>
                <c:pt idx="39">
                  <c:v>0.18289247602685399</c:v>
                </c:pt>
                <c:pt idx="40">
                  <c:v>0.189220536135812</c:v>
                </c:pt>
                <c:pt idx="41">
                  <c:v>0.195595488832359</c:v>
                </c:pt>
                <c:pt idx="42">
                  <c:v>0.20201543013516299</c:v>
                </c:pt>
                <c:pt idx="43">
                  <c:v>0.20848409481067801</c:v>
                </c:pt>
                <c:pt idx="44">
                  <c:v>0.214997372147957</c:v>
                </c:pt>
                <c:pt idx="45">
                  <c:v>0.22155242178107201</c:v>
                </c:pt>
                <c:pt idx="46">
                  <c:v>0.22814520325138199</c:v>
                </c:pt>
                <c:pt idx="47">
                  <c:v>0.234773300781636</c:v>
                </c:pt>
                <c:pt idx="48">
                  <c:v>0.24143859168664</c:v>
                </c:pt>
                <c:pt idx="49">
                  <c:v>0.24814039724026499</c:v>
                </c:pt>
                <c:pt idx="50">
                  <c:v>0.25487420071051498</c:v>
                </c:pt>
                <c:pt idx="51">
                  <c:v>0.26163903907004998</c:v>
                </c:pt>
                <c:pt idx="52">
                  <c:v>0.26843039963260401</c:v>
                </c:pt>
                <c:pt idx="53">
                  <c:v>0.275246607531756</c:v>
                </c:pt>
                <c:pt idx="54">
                  <c:v>0.28208323760702297</c:v>
                </c:pt>
                <c:pt idx="55">
                  <c:v>0.28893832278180798</c:v>
                </c:pt>
                <c:pt idx="56">
                  <c:v>0.29581619398271503</c:v>
                </c:pt>
                <c:pt idx="57">
                  <c:v>0.30271850807829598</c:v>
                </c:pt>
                <c:pt idx="58">
                  <c:v>0.30964013520515798</c:v>
                </c:pt>
                <c:pt idx="59">
                  <c:v>0.31658039302249602</c:v>
                </c:pt>
                <c:pt idx="60">
                  <c:v>0.32353420493061502</c:v>
                </c:pt>
                <c:pt idx="61">
                  <c:v>0.33050123026961498</c:v>
                </c:pt>
                <c:pt idx="62">
                  <c:v>0.33747643211116102</c:v>
                </c:pt>
                <c:pt idx="63">
                  <c:v>0.34445974083405001</c:v>
                </c:pt>
                <c:pt idx="64">
                  <c:v>0.35144614876611902</c:v>
                </c:pt>
                <c:pt idx="65">
                  <c:v>0.358436293973739</c:v>
                </c:pt>
                <c:pt idx="66">
                  <c:v>0.365425144092552</c:v>
                </c:pt>
                <c:pt idx="67">
                  <c:v>0.37242200954945498</c:v>
                </c:pt>
                <c:pt idx="68">
                  <c:v>0.37944068091618499</c:v>
                </c:pt>
                <c:pt idx="69">
                  <c:v>0.386483894637069</c:v>
                </c:pt>
                <c:pt idx="70">
                  <c:v>0.39354411050022597</c:v>
                </c:pt>
                <c:pt idx="71">
                  <c:v>0.40062425947298202</c:v>
                </c:pt>
                <c:pt idx="72">
                  <c:v>0.40774136104154601</c:v>
                </c:pt>
                <c:pt idx="73">
                  <c:v>0.414905767063174</c:v>
                </c:pt>
                <c:pt idx="74">
                  <c:v>0.42210673673857102</c:v>
                </c:pt>
                <c:pt idx="75">
                  <c:v>0.42935109927098603</c:v>
                </c:pt>
                <c:pt idx="76">
                  <c:v>0.43669889053299599</c:v>
                </c:pt>
                <c:pt idx="77">
                  <c:v>0.44444001071086903</c:v>
                </c:pt>
                <c:pt idx="78">
                  <c:v>0.45255640728721902</c:v>
                </c:pt>
                <c:pt idx="79">
                  <c:v>0.461110583425836</c:v>
                </c:pt>
                <c:pt idx="80">
                  <c:v>0.470079322574952</c:v>
                </c:pt>
                <c:pt idx="81">
                  <c:v>0.479528622663769</c:v>
                </c:pt>
                <c:pt idx="82">
                  <c:v>0.48942877360018699</c:v>
                </c:pt>
                <c:pt idx="83">
                  <c:v>0.49984774669786403</c:v>
                </c:pt>
                <c:pt idx="84">
                  <c:v>0.510747793519997</c:v>
                </c:pt>
                <c:pt idx="85">
                  <c:v>0.52219403200232695</c:v>
                </c:pt>
                <c:pt idx="86">
                  <c:v>0.53413914444796495</c:v>
                </c:pt>
                <c:pt idx="87">
                  <c:v>0.54665016349669504</c:v>
                </c:pt>
                <c:pt idx="88">
                  <c:v>0.55966811367282598</c:v>
                </c:pt>
                <c:pt idx="89">
                  <c:v>0.57324553435272496</c:v>
                </c:pt>
                <c:pt idx="90">
                  <c:v>0.58731078820428195</c:v>
                </c:pt>
                <c:pt idx="91">
                  <c:v>0.60190099838756095</c:v>
                </c:pt>
                <c:pt idx="92">
                  <c:v>0.61693133997134098</c:v>
                </c:pt>
                <c:pt idx="93">
                  <c:v>0.63244126204976703</c:v>
                </c:pt>
                <c:pt idx="94">
                  <c:v>0.64833074041100203</c:v>
                </c:pt>
                <c:pt idx="95">
                  <c:v>0.66462879122158602</c:v>
                </c:pt>
                <c:pt idx="96">
                  <c:v>0.68121963683292097</c:v>
                </c:pt>
                <c:pt idx="97">
                  <c:v>0.69812207278482397</c:v>
                </c:pt>
                <c:pt idx="98">
                  <c:v>0.71520464361361802</c:v>
                </c:pt>
                <c:pt idx="99">
                  <c:v>0.73246569787698801</c:v>
                </c:pt>
                <c:pt idx="100">
                  <c:v>0.74976094852198705</c:v>
                </c:pt>
                <c:pt idx="101">
                  <c:v>0.76705582852377097</c:v>
                </c:pt>
                <c:pt idx="102">
                  <c:v>0.78420088037685398</c:v>
                </c:pt>
                <c:pt idx="103">
                  <c:v>0.80115132364030595</c:v>
                </c:pt>
                <c:pt idx="104">
                  <c:v>0.817759122824114</c:v>
                </c:pt>
                <c:pt idx="105">
                  <c:v>0.83396151894468196</c:v>
                </c:pt>
                <c:pt idx="106">
                  <c:v>0.84962313585208704</c:v>
                </c:pt>
                <c:pt idx="107">
                  <c:v>0.86466503998592503</c:v>
                </c:pt>
                <c:pt idx="108">
                  <c:v>0.87897904511078295</c:v>
                </c:pt>
                <c:pt idx="109">
                  <c:v>0.89218969666275605</c:v>
                </c:pt>
                <c:pt idx="110">
                  <c:v>0.90432544966543604</c:v>
                </c:pt>
                <c:pt idx="111">
                  <c:v>0.91572533858359795</c:v>
                </c:pt>
                <c:pt idx="112">
                  <c:v>0.92632619734831101</c:v>
                </c:pt>
                <c:pt idx="113">
                  <c:v>0.93599390072070598</c:v>
                </c:pt>
                <c:pt idx="114">
                  <c:v>0.94474295619383997</c:v>
                </c:pt>
                <c:pt idx="115">
                  <c:v>0.95261446666239702</c:v>
                </c:pt>
                <c:pt idx="116">
                  <c:v>0.95963952559701704</c:v>
                </c:pt>
                <c:pt idx="117">
                  <c:v>0.96590207024590802</c:v>
                </c:pt>
                <c:pt idx="118">
                  <c:v>0.97143051607452502</c:v>
                </c:pt>
                <c:pt idx="119">
                  <c:v>0.98307370984888398</c:v>
                </c:pt>
              </c:numCache>
            </c:numRef>
          </c:val>
          <c:smooth val="0"/>
          <c:extLst>
            <c:ext xmlns:c16="http://schemas.microsoft.com/office/drawing/2014/chart" uri="{C3380CC4-5D6E-409C-BE32-E72D297353CC}">
              <c16:uniqueId val="{00000003-9A6B-41DC-BEE9-B338ABA72F1B}"/>
            </c:ext>
          </c:extLst>
        </c:ser>
        <c:ser>
          <c:idx val="11"/>
          <c:order val="4"/>
          <c:tx>
            <c:v>Dead in BEL arm</c:v>
          </c:tx>
          <c:spPr>
            <a:ln w="28575" cap="rnd">
              <a:solidFill>
                <a:sysClr val="windowText" lastClr="000000"/>
              </a:solidFill>
              <a:prstDash val="sysDot"/>
              <a:round/>
            </a:ln>
            <a:effectLst/>
          </c:spPr>
          <c:marker>
            <c:symbol val="none"/>
          </c:marker>
          <c:cat>
            <c:numRef>
              <c:f>BEL!$A$3:$A$122</c:f>
              <c:numCache>
                <c:formatCode>General</c:formatCode>
                <c:ptCount val="120"/>
                <c:pt idx="0">
                  <c:v>40.5</c:v>
                </c:pt>
                <c:pt idx="1">
                  <c:v>41</c:v>
                </c:pt>
                <c:pt idx="2">
                  <c:v>41.5</c:v>
                </c:pt>
                <c:pt idx="3">
                  <c:v>42</c:v>
                </c:pt>
                <c:pt idx="4">
                  <c:v>42.5</c:v>
                </c:pt>
                <c:pt idx="5">
                  <c:v>43</c:v>
                </c:pt>
                <c:pt idx="6">
                  <c:v>43.5</c:v>
                </c:pt>
                <c:pt idx="7">
                  <c:v>44</c:v>
                </c:pt>
                <c:pt idx="8">
                  <c:v>44.5</c:v>
                </c:pt>
                <c:pt idx="9">
                  <c:v>45</c:v>
                </c:pt>
                <c:pt idx="10">
                  <c:v>45.5</c:v>
                </c:pt>
                <c:pt idx="11">
                  <c:v>46</c:v>
                </c:pt>
                <c:pt idx="12">
                  <c:v>46.5</c:v>
                </c:pt>
                <c:pt idx="13">
                  <c:v>47</c:v>
                </c:pt>
                <c:pt idx="14">
                  <c:v>47.5</c:v>
                </c:pt>
                <c:pt idx="15">
                  <c:v>48</c:v>
                </c:pt>
                <c:pt idx="16">
                  <c:v>48.5</c:v>
                </c:pt>
                <c:pt idx="17">
                  <c:v>49</c:v>
                </c:pt>
                <c:pt idx="18">
                  <c:v>49.5</c:v>
                </c:pt>
                <c:pt idx="19">
                  <c:v>50</c:v>
                </c:pt>
                <c:pt idx="20">
                  <c:v>50.5</c:v>
                </c:pt>
                <c:pt idx="21">
                  <c:v>51</c:v>
                </c:pt>
                <c:pt idx="22">
                  <c:v>51.5</c:v>
                </c:pt>
                <c:pt idx="23">
                  <c:v>52</c:v>
                </c:pt>
                <c:pt idx="24">
                  <c:v>52.5</c:v>
                </c:pt>
                <c:pt idx="25">
                  <c:v>53</c:v>
                </c:pt>
                <c:pt idx="26">
                  <c:v>53.5</c:v>
                </c:pt>
                <c:pt idx="27">
                  <c:v>54</c:v>
                </c:pt>
                <c:pt idx="28">
                  <c:v>54.5</c:v>
                </c:pt>
                <c:pt idx="29">
                  <c:v>55</c:v>
                </c:pt>
                <c:pt idx="30">
                  <c:v>55.5</c:v>
                </c:pt>
                <c:pt idx="31">
                  <c:v>56</c:v>
                </c:pt>
                <c:pt idx="32">
                  <c:v>56.5</c:v>
                </c:pt>
                <c:pt idx="33">
                  <c:v>57</c:v>
                </c:pt>
                <c:pt idx="34">
                  <c:v>57.5</c:v>
                </c:pt>
                <c:pt idx="35">
                  <c:v>58</c:v>
                </c:pt>
                <c:pt idx="36">
                  <c:v>58.5</c:v>
                </c:pt>
                <c:pt idx="37">
                  <c:v>59</c:v>
                </c:pt>
                <c:pt idx="38">
                  <c:v>59.5</c:v>
                </c:pt>
                <c:pt idx="39">
                  <c:v>60</c:v>
                </c:pt>
                <c:pt idx="40">
                  <c:v>60.5</c:v>
                </c:pt>
                <c:pt idx="41">
                  <c:v>61</c:v>
                </c:pt>
                <c:pt idx="42">
                  <c:v>61.5</c:v>
                </c:pt>
                <c:pt idx="43">
                  <c:v>62</c:v>
                </c:pt>
                <c:pt idx="44">
                  <c:v>62.5</c:v>
                </c:pt>
                <c:pt idx="45">
                  <c:v>63</c:v>
                </c:pt>
                <c:pt idx="46">
                  <c:v>63.5</c:v>
                </c:pt>
                <c:pt idx="47">
                  <c:v>64</c:v>
                </c:pt>
                <c:pt idx="48">
                  <c:v>64.5</c:v>
                </c:pt>
                <c:pt idx="49">
                  <c:v>65</c:v>
                </c:pt>
                <c:pt idx="50">
                  <c:v>65.5</c:v>
                </c:pt>
                <c:pt idx="51">
                  <c:v>66</c:v>
                </c:pt>
                <c:pt idx="52">
                  <c:v>66.5</c:v>
                </c:pt>
                <c:pt idx="53">
                  <c:v>67</c:v>
                </c:pt>
                <c:pt idx="54">
                  <c:v>67.5</c:v>
                </c:pt>
                <c:pt idx="55">
                  <c:v>68</c:v>
                </c:pt>
                <c:pt idx="56">
                  <c:v>68.5</c:v>
                </c:pt>
                <c:pt idx="57">
                  <c:v>69</c:v>
                </c:pt>
                <c:pt idx="58">
                  <c:v>69.5</c:v>
                </c:pt>
                <c:pt idx="59">
                  <c:v>70</c:v>
                </c:pt>
                <c:pt idx="60">
                  <c:v>70.5</c:v>
                </c:pt>
                <c:pt idx="61">
                  <c:v>71</c:v>
                </c:pt>
                <c:pt idx="62">
                  <c:v>71.5</c:v>
                </c:pt>
                <c:pt idx="63">
                  <c:v>72</c:v>
                </c:pt>
                <c:pt idx="64">
                  <c:v>72.5</c:v>
                </c:pt>
                <c:pt idx="65">
                  <c:v>73</c:v>
                </c:pt>
                <c:pt idx="66">
                  <c:v>73.5</c:v>
                </c:pt>
                <c:pt idx="67">
                  <c:v>74</c:v>
                </c:pt>
                <c:pt idx="68">
                  <c:v>74.5</c:v>
                </c:pt>
                <c:pt idx="69">
                  <c:v>75</c:v>
                </c:pt>
                <c:pt idx="70">
                  <c:v>75.5</c:v>
                </c:pt>
                <c:pt idx="71">
                  <c:v>76</c:v>
                </c:pt>
                <c:pt idx="72">
                  <c:v>76.5</c:v>
                </c:pt>
                <c:pt idx="73">
                  <c:v>77</c:v>
                </c:pt>
                <c:pt idx="74">
                  <c:v>77.5</c:v>
                </c:pt>
                <c:pt idx="75">
                  <c:v>78</c:v>
                </c:pt>
                <c:pt idx="76">
                  <c:v>78.5</c:v>
                </c:pt>
                <c:pt idx="77">
                  <c:v>79</c:v>
                </c:pt>
                <c:pt idx="78">
                  <c:v>79.5</c:v>
                </c:pt>
                <c:pt idx="79">
                  <c:v>80</c:v>
                </c:pt>
                <c:pt idx="80">
                  <c:v>80.5</c:v>
                </c:pt>
                <c:pt idx="81">
                  <c:v>81</c:v>
                </c:pt>
                <c:pt idx="82">
                  <c:v>81.5</c:v>
                </c:pt>
                <c:pt idx="83">
                  <c:v>82</c:v>
                </c:pt>
                <c:pt idx="84">
                  <c:v>82.5</c:v>
                </c:pt>
                <c:pt idx="85">
                  <c:v>83</c:v>
                </c:pt>
                <c:pt idx="86">
                  <c:v>83.5</c:v>
                </c:pt>
                <c:pt idx="87">
                  <c:v>84</c:v>
                </c:pt>
                <c:pt idx="88">
                  <c:v>84.5</c:v>
                </c:pt>
                <c:pt idx="89">
                  <c:v>85</c:v>
                </c:pt>
                <c:pt idx="90">
                  <c:v>85.5</c:v>
                </c:pt>
                <c:pt idx="91">
                  <c:v>86</c:v>
                </c:pt>
                <c:pt idx="92">
                  <c:v>86.5</c:v>
                </c:pt>
                <c:pt idx="93">
                  <c:v>87</c:v>
                </c:pt>
                <c:pt idx="94">
                  <c:v>87.5</c:v>
                </c:pt>
                <c:pt idx="95">
                  <c:v>88</c:v>
                </c:pt>
                <c:pt idx="96">
                  <c:v>88.5</c:v>
                </c:pt>
                <c:pt idx="97">
                  <c:v>89</c:v>
                </c:pt>
                <c:pt idx="98">
                  <c:v>89.5</c:v>
                </c:pt>
                <c:pt idx="99">
                  <c:v>90</c:v>
                </c:pt>
                <c:pt idx="100">
                  <c:v>90.5</c:v>
                </c:pt>
                <c:pt idx="101">
                  <c:v>91</c:v>
                </c:pt>
                <c:pt idx="102">
                  <c:v>91.5</c:v>
                </c:pt>
                <c:pt idx="103">
                  <c:v>92</c:v>
                </c:pt>
                <c:pt idx="104">
                  <c:v>92.5</c:v>
                </c:pt>
                <c:pt idx="105">
                  <c:v>93</c:v>
                </c:pt>
                <c:pt idx="106">
                  <c:v>93.5</c:v>
                </c:pt>
                <c:pt idx="107">
                  <c:v>94</c:v>
                </c:pt>
                <c:pt idx="108">
                  <c:v>94.5</c:v>
                </c:pt>
                <c:pt idx="109">
                  <c:v>95</c:v>
                </c:pt>
                <c:pt idx="110">
                  <c:v>95.5</c:v>
                </c:pt>
                <c:pt idx="111">
                  <c:v>96</c:v>
                </c:pt>
                <c:pt idx="112">
                  <c:v>96.5</c:v>
                </c:pt>
                <c:pt idx="113">
                  <c:v>97</c:v>
                </c:pt>
                <c:pt idx="114">
                  <c:v>97.5</c:v>
                </c:pt>
                <c:pt idx="115">
                  <c:v>98</c:v>
                </c:pt>
                <c:pt idx="116">
                  <c:v>98.5</c:v>
                </c:pt>
                <c:pt idx="117">
                  <c:v>99</c:v>
                </c:pt>
                <c:pt idx="118">
                  <c:v>99.5</c:v>
                </c:pt>
                <c:pt idx="119">
                  <c:v>100</c:v>
                </c:pt>
              </c:numCache>
            </c:numRef>
          </c:cat>
          <c:val>
            <c:numRef>
              <c:f>BEL!$AC$3:$AC$122</c:f>
              <c:numCache>
                <c:formatCode>General</c:formatCode>
                <c:ptCount val="120"/>
                <c:pt idx="0">
                  <c:v>2.6272923918769001E-3</c:v>
                </c:pt>
                <c:pt idx="1">
                  <c:v>5.2845467015733699E-3</c:v>
                </c:pt>
                <c:pt idx="2">
                  <c:v>7.9931430659301202E-3</c:v>
                </c:pt>
                <c:pt idx="3">
                  <c:v>1.07562091004649E-2</c:v>
                </c:pt>
                <c:pt idx="4">
                  <c:v>1.3576871834542601E-2</c:v>
                </c:pt>
                <c:pt idx="5">
                  <c:v>1.6458225096622599E-2</c:v>
                </c:pt>
                <c:pt idx="6">
                  <c:v>1.94032997865617E-2</c:v>
                </c:pt>
                <c:pt idx="7">
                  <c:v>2.2415037015475599E-2</c:v>
                </c:pt>
                <c:pt idx="8">
                  <c:v>2.5496264066780901E-2</c:v>
                </c:pt>
                <c:pt idx="9">
                  <c:v>2.86496731098024E-2</c:v>
                </c:pt>
                <c:pt idx="10">
                  <c:v>3.18778025791168E-2</c:v>
                </c:pt>
                <c:pt idx="11">
                  <c:v>3.51830211181186E-2</c:v>
                </c:pt>
                <c:pt idx="12">
                  <c:v>3.8567513973679697E-2</c:v>
                </c:pt>
                <c:pt idx="13">
                  <c:v>4.2033271719851002E-2</c:v>
                </c:pt>
                <c:pt idx="14">
                  <c:v>4.55820811819872E-2</c:v>
                </c:pt>
                <c:pt idx="15">
                  <c:v>4.9215518428162103E-2</c:v>
                </c:pt>
                <c:pt idx="16">
                  <c:v>5.2934943692026802E-2</c:v>
                </c:pt>
                <c:pt idx="17">
                  <c:v>5.6741498090100699E-2</c:v>
                </c:pt>
                <c:pt idx="18">
                  <c:v>6.0636101996679799E-2</c:v>
                </c:pt>
                <c:pt idx="19">
                  <c:v>6.4619454940896506E-2</c:v>
                </c:pt>
                <c:pt idx="20">
                  <c:v>6.8692036892811698E-2</c:v>
                </c:pt>
                <c:pt idx="21">
                  <c:v>7.2854110808600894E-2</c:v>
                </c:pt>
                <c:pt idx="22">
                  <c:v>7.7105726308782999E-2</c:v>
                </c:pt>
                <c:pt idx="23">
                  <c:v>8.1446724367899598E-2</c:v>
                </c:pt>
                <c:pt idx="24">
                  <c:v>8.5876742898981895E-2</c:v>
                </c:pt>
                <c:pt idx="25">
                  <c:v>9.0395223121431695E-2</c:v>
                </c:pt>
                <c:pt idx="26">
                  <c:v>9.5001416606511901E-2</c:v>
                </c:pt>
                <c:pt idx="27">
                  <c:v>9.9694392900400705E-2</c:v>
                </c:pt>
                <c:pt idx="28">
                  <c:v>0.10447304763064801</c:v>
                </c:pt>
                <c:pt idx="29">
                  <c:v>0.10933611100782401</c:v>
                </c:pt>
                <c:pt idx="30">
                  <c:v>0.11428215664007201</c:v>
                </c:pt>
                <c:pt idx="31">
                  <c:v>0.119309610584236</c:v>
                </c:pt>
                <c:pt idx="32">
                  <c:v>0.12441676056298299</c:v>
                </c:pt>
                <c:pt idx="33">
                  <c:v>0.129601765283097</c:v>
                </c:pt>
                <c:pt idx="34">
                  <c:v>0.134862663795636</c:v>
                </c:pt>
                <c:pt idx="35">
                  <c:v>0.14019738484402</c:v>
                </c:pt>
                <c:pt idx="36">
                  <c:v>0.145603756151299</c:v>
                </c:pt>
                <c:pt idx="37">
                  <c:v>0.15107951360278199</c:v>
                </c:pt>
                <c:pt idx="38">
                  <c:v>0.156622310284982</c:v>
                </c:pt>
                <c:pt idx="39">
                  <c:v>0.162229725346275</c:v>
                </c:pt>
                <c:pt idx="40">
                  <c:v>0.167899272648981</c:v>
                </c:pt>
                <c:pt idx="41">
                  <c:v>0.173628409186531</c:v>
                </c:pt>
                <c:pt idx="42">
                  <c:v>0.179416723837338</c:v>
                </c:pt>
                <c:pt idx="43">
                  <c:v>0.18527174320752501</c:v>
                </c:pt>
                <c:pt idx="44">
                  <c:v>0.19118985986808801</c:v>
                </c:pt>
                <c:pt idx="45">
                  <c:v>0.197169181760872</c:v>
                </c:pt>
                <c:pt idx="46">
                  <c:v>0.20320601635990199</c:v>
                </c:pt>
                <c:pt idx="47">
                  <c:v>0.20929890757698699</c:v>
                </c:pt>
                <c:pt idx="48">
                  <c:v>0.21545209394996101</c:v>
                </c:pt>
                <c:pt idx="49">
                  <c:v>0.22166642872738301</c:v>
                </c:pt>
                <c:pt idx="50">
                  <c:v>0.22793729347852201</c:v>
                </c:pt>
                <c:pt idx="51">
                  <c:v>0.2342650354619</c:v>
                </c:pt>
                <c:pt idx="52">
                  <c:v>0.240644855898383</c:v>
                </c:pt>
                <c:pt idx="53">
                  <c:v>0.247075927883118</c:v>
                </c:pt>
                <c:pt idx="54">
                  <c:v>0.25355338653378001</c:v>
                </c:pt>
                <c:pt idx="55">
                  <c:v>0.26007581886494902</c:v>
                </c:pt>
                <c:pt idx="56">
                  <c:v>0.26664977627731601</c:v>
                </c:pt>
                <c:pt idx="57">
                  <c:v>0.27327855947409202</c:v>
                </c:pt>
                <c:pt idx="58">
                  <c:v>0.27995619861209098</c:v>
                </c:pt>
                <c:pt idx="59">
                  <c:v>0.28668292170310999</c:v>
                </c:pt>
                <c:pt idx="60">
                  <c:v>0.29345264648464903</c:v>
                </c:pt>
                <c:pt idx="61">
                  <c:v>0.30026594883921598</c:v>
                </c:pt>
                <c:pt idx="62">
                  <c:v>0.30711662418763802</c:v>
                </c:pt>
                <c:pt idx="63">
                  <c:v>0.31400550819738499</c:v>
                </c:pt>
                <c:pt idx="64">
                  <c:v>0.32092626785091899</c:v>
                </c:pt>
                <c:pt idx="65">
                  <c:v>0.327880642658403</c:v>
                </c:pt>
                <c:pt idx="66">
                  <c:v>0.33486210562837798</c:v>
                </c:pt>
                <c:pt idx="67">
                  <c:v>0.34188314129812297</c:v>
                </c:pt>
                <c:pt idx="68">
                  <c:v>0.348961110762747</c:v>
                </c:pt>
                <c:pt idx="69">
                  <c:v>0.35610068874351503</c:v>
                </c:pt>
                <c:pt idx="70">
                  <c:v>0.36329224170600999</c:v>
                </c:pt>
                <c:pt idx="71">
                  <c:v>0.37054063826834199</c:v>
                </c:pt>
                <c:pt idx="72">
                  <c:v>0.37786575890052299</c:v>
                </c:pt>
                <c:pt idx="73">
                  <c:v>0.38528205320739201</c:v>
                </c:pt>
                <c:pt idx="74">
                  <c:v>0.39277596432412398</c:v>
                </c:pt>
                <c:pt idx="75">
                  <c:v>0.40035774977802002</c:v>
                </c:pt>
                <c:pt idx="76">
                  <c:v>0.408078865302618</c:v>
                </c:pt>
                <c:pt idx="77">
                  <c:v>0.41621329387466699</c:v>
                </c:pt>
                <c:pt idx="78">
                  <c:v>0.42474206577016899</c:v>
                </c:pt>
                <c:pt idx="79">
                  <c:v>0.43373085979395898</c:v>
                </c:pt>
                <c:pt idx="80">
                  <c:v>0.443155279815025</c:v>
                </c:pt>
                <c:pt idx="81">
                  <c:v>0.45308467696455501</c:v>
                </c:pt>
                <c:pt idx="82">
                  <c:v>0.46348783164945301</c:v>
                </c:pt>
                <c:pt idx="83">
                  <c:v>0.474436168648458</c:v>
                </c:pt>
                <c:pt idx="84">
                  <c:v>0.48589002161408901</c:v>
                </c:pt>
                <c:pt idx="85">
                  <c:v>0.49791781697364101</c:v>
                </c:pt>
                <c:pt idx="86">
                  <c:v>0.51046983292759496</c:v>
                </c:pt>
                <c:pt idx="87">
                  <c:v>0.52361650788896996</c:v>
                </c:pt>
                <c:pt idx="88">
                  <c:v>0.53729586997469503</c:v>
                </c:pt>
                <c:pt idx="89">
                  <c:v>0.55156312796521001</c:v>
                </c:pt>
                <c:pt idx="90">
                  <c:v>0.56634300480141597</c:v>
                </c:pt>
                <c:pt idx="91">
                  <c:v>0.58167450978519097</c:v>
                </c:pt>
                <c:pt idx="92">
                  <c:v>0.59746850822694597</c:v>
                </c:pt>
                <c:pt idx="93">
                  <c:v>0.61376645353796599</c:v>
                </c:pt>
                <c:pt idx="94">
                  <c:v>0.63046323950778405</c:v>
                </c:pt>
                <c:pt idx="95">
                  <c:v>0.64758935654718497</c:v>
                </c:pt>
                <c:pt idx="96">
                  <c:v>0.66502314461329204</c:v>
                </c:pt>
                <c:pt idx="97">
                  <c:v>0.68278435420378403</c:v>
                </c:pt>
                <c:pt idx="98">
                  <c:v>0.70073485090721799</c:v>
                </c:pt>
                <c:pt idx="99">
                  <c:v>0.71887289937531795</c:v>
                </c:pt>
                <c:pt idx="100">
                  <c:v>0.73704688166402799</c:v>
                </c:pt>
                <c:pt idx="101">
                  <c:v>0.75522047447799701</c:v>
                </c:pt>
                <c:pt idx="102">
                  <c:v>0.77323662672190996</c:v>
                </c:pt>
                <c:pt idx="103">
                  <c:v>0.79104828276430506</c:v>
                </c:pt>
                <c:pt idx="104">
                  <c:v>0.80849988577465204</c:v>
                </c:pt>
                <c:pt idx="105">
                  <c:v>0.82552548813069404</c:v>
                </c:pt>
                <c:pt idx="106">
                  <c:v>0.84198283553375397</c:v>
                </c:pt>
                <c:pt idx="107">
                  <c:v>0.85778898399196502</c:v>
                </c:pt>
                <c:pt idx="108">
                  <c:v>0.87283025057776398</c:v>
                </c:pt>
                <c:pt idx="109">
                  <c:v>0.88671210475009998</c:v>
                </c:pt>
                <c:pt idx="110">
                  <c:v>0.89946444726643304</c:v>
                </c:pt>
                <c:pt idx="111">
                  <c:v>0.91144353814776902</c:v>
                </c:pt>
                <c:pt idx="112">
                  <c:v>0.922583002003455</c:v>
                </c:pt>
                <c:pt idx="113">
                  <c:v>0.93274189900175897</c:v>
                </c:pt>
                <c:pt idx="114">
                  <c:v>0.94193547372787301</c:v>
                </c:pt>
                <c:pt idx="115">
                  <c:v>0.950206917419399</c:v>
                </c:pt>
                <c:pt idx="116">
                  <c:v>0.95758890333423496</c:v>
                </c:pt>
                <c:pt idx="117">
                  <c:v>0.96416963337783701</c:v>
                </c:pt>
                <c:pt idx="118">
                  <c:v>0.96997896673967698</c:v>
                </c:pt>
                <c:pt idx="119">
                  <c:v>0.98221372423366005</c:v>
                </c:pt>
              </c:numCache>
            </c:numRef>
          </c:val>
          <c:smooth val="0"/>
          <c:extLst>
            <c:ext xmlns:c16="http://schemas.microsoft.com/office/drawing/2014/chart" uri="{C3380CC4-5D6E-409C-BE32-E72D297353CC}">
              <c16:uniqueId val="{00000004-9A6B-41DC-BEE9-B338ABA72F1B}"/>
            </c:ext>
          </c:extLst>
        </c:ser>
        <c:dLbls>
          <c:showLegendKey val="0"/>
          <c:showVal val="0"/>
          <c:showCatName val="0"/>
          <c:showSerName val="0"/>
          <c:showPercent val="0"/>
          <c:showBubbleSize val="0"/>
        </c:dLbls>
        <c:smooth val="0"/>
        <c:axId val="54145792"/>
        <c:axId val="54147712"/>
      </c:lineChart>
      <c:catAx>
        <c:axId val="54145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47712"/>
        <c:crosses val="autoZero"/>
        <c:auto val="1"/>
        <c:lblAlgn val="ctr"/>
        <c:lblOffset val="100"/>
        <c:tickLblSkip val="10"/>
        <c:noMultiLvlLbl val="0"/>
      </c:catAx>
      <c:valAx>
        <c:axId val="54147712"/>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45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98DF9-6806-41E2-A49F-C13ED73C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17154</Words>
  <Characters>96523</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2020-02-25T04:08:00Z</dcterms:created>
  <dcterms:modified xsi:type="dcterms:W3CDTF">2020-03-03T01:54:00Z</dcterms:modified>
</cp:coreProperties>
</file>