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E7EC8C" w14:textId="77777777" w:rsidR="005E2D2A" w:rsidRDefault="00BC7675" w:rsidP="005E2D2A">
      <w:pPr>
        <w:pStyle w:val="Title"/>
        <w:widowControl w:val="0"/>
        <w:spacing w:after="0"/>
        <w:ind w:left="720" w:hanging="720"/>
        <w:contextualSpacing w:val="0"/>
        <w:rPr>
          <w:rFonts w:ascii="Calibri" w:eastAsia="Times New Roman" w:hAnsi="Calibri" w:cs="Arial"/>
          <w:snapToGrid w:val="0"/>
          <w:spacing w:val="0"/>
          <w:kern w:val="0"/>
          <w:sz w:val="36"/>
          <w:szCs w:val="36"/>
          <w:lang w:eastAsia="en-US"/>
        </w:rPr>
      </w:pPr>
      <w:bookmarkStart w:id="0" w:name="_GoBack"/>
      <w:bookmarkEnd w:id="0"/>
      <w:r w:rsidRPr="005E2D2A">
        <w:rPr>
          <w:rFonts w:ascii="Calibri" w:eastAsia="Times New Roman" w:hAnsi="Calibri" w:cs="Arial"/>
          <w:snapToGrid w:val="0"/>
          <w:spacing w:val="0"/>
          <w:kern w:val="0"/>
          <w:sz w:val="36"/>
          <w:szCs w:val="36"/>
          <w:lang w:eastAsia="en-US"/>
        </w:rPr>
        <w:t>12.01</w:t>
      </w:r>
      <w:r w:rsidR="00ED2A31" w:rsidRPr="005E2D2A">
        <w:rPr>
          <w:rFonts w:ascii="Calibri" w:eastAsia="Times New Roman" w:hAnsi="Calibri" w:cs="Arial"/>
          <w:snapToGrid w:val="0"/>
          <w:spacing w:val="0"/>
          <w:kern w:val="0"/>
          <w:sz w:val="36"/>
          <w:szCs w:val="36"/>
          <w:lang w:eastAsia="en-US"/>
        </w:rPr>
        <w:t>d</w:t>
      </w:r>
      <w:r w:rsidRPr="005E2D2A">
        <w:rPr>
          <w:rFonts w:ascii="Calibri" w:eastAsia="Times New Roman" w:hAnsi="Calibri" w:cs="Arial"/>
          <w:snapToGrid w:val="0"/>
          <w:spacing w:val="0"/>
          <w:kern w:val="0"/>
          <w:sz w:val="36"/>
          <w:szCs w:val="36"/>
          <w:lang w:eastAsia="en-US"/>
        </w:rPr>
        <w:t xml:space="preserve"> </w:t>
      </w:r>
      <w:r w:rsidR="00FE6A12" w:rsidRPr="005E2D2A">
        <w:rPr>
          <w:rFonts w:ascii="Calibri" w:eastAsia="Times New Roman" w:hAnsi="Calibri" w:cs="Arial"/>
          <w:snapToGrid w:val="0"/>
          <w:spacing w:val="0"/>
          <w:kern w:val="0"/>
          <w:sz w:val="36"/>
          <w:szCs w:val="36"/>
          <w:lang w:eastAsia="en-US"/>
        </w:rPr>
        <w:tab/>
      </w:r>
      <w:r w:rsidR="007577BD" w:rsidRPr="005E2D2A">
        <w:rPr>
          <w:rFonts w:ascii="Calibri" w:eastAsia="Times New Roman" w:hAnsi="Calibri" w:cs="Arial"/>
          <w:snapToGrid w:val="0"/>
          <w:spacing w:val="0"/>
          <w:kern w:val="0"/>
          <w:sz w:val="36"/>
          <w:szCs w:val="36"/>
          <w:lang w:eastAsia="en-US"/>
        </w:rPr>
        <w:t>ALECTINIB</w:t>
      </w:r>
      <w:r w:rsidR="000426DB" w:rsidRPr="005E2D2A">
        <w:rPr>
          <w:rFonts w:ascii="Calibri" w:eastAsia="Times New Roman" w:hAnsi="Calibri" w:cs="Arial"/>
          <w:snapToGrid w:val="0"/>
          <w:spacing w:val="0"/>
          <w:kern w:val="0"/>
          <w:sz w:val="36"/>
          <w:szCs w:val="36"/>
          <w:lang w:eastAsia="en-US"/>
        </w:rPr>
        <w:t xml:space="preserve"> </w:t>
      </w:r>
      <w:r w:rsidR="0090012F" w:rsidRPr="005E2D2A">
        <w:rPr>
          <w:rFonts w:ascii="Calibri" w:eastAsia="Times New Roman" w:hAnsi="Calibri" w:cs="Arial"/>
          <w:snapToGrid w:val="0"/>
          <w:spacing w:val="0"/>
          <w:kern w:val="0"/>
          <w:sz w:val="36"/>
          <w:szCs w:val="36"/>
          <w:lang w:eastAsia="en-US"/>
        </w:rPr>
        <w:t>AND</w:t>
      </w:r>
      <w:r w:rsidR="00AE69C5" w:rsidRPr="005E2D2A">
        <w:rPr>
          <w:rFonts w:ascii="Calibri" w:eastAsia="Times New Roman" w:hAnsi="Calibri" w:cs="Arial"/>
          <w:snapToGrid w:val="0"/>
          <w:spacing w:val="0"/>
          <w:kern w:val="0"/>
          <w:sz w:val="36"/>
          <w:szCs w:val="36"/>
          <w:lang w:eastAsia="en-US"/>
        </w:rPr>
        <w:t xml:space="preserve"> CRIZOTINIB</w:t>
      </w:r>
    </w:p>
    <w:p w14:paraId="436A0E7A" w14:textId="757CDAEF" w:rsidR="00AE69C5" w:rsidRPr="005E2D2A" w:rsidRDefault="0090012F" w:rsidP="005E2D2A">
      <w:pPr>
        <w:pStyle w:val="BodyText"/>
        <w:ind w:left="1440"/>
        <w:rPr>
          <w:rFonts w:asciiTheme="minorHAnsi" w:hAnsiTheme="minorHAnsi" w:cstheme="minorHAnsi"/>
          <w:b/>
          <w:bCs/>
          <w:sz w:val="36"/>
          <w:szCs w:val="36"/>
        </w:rPr>
      </w:pPr>
      <w:r w:rsidRPr="005E2D2A">
        <w:rPr>
          <w:rFonts w:asciiTheme="minorHAnsi" w:hAnsiTheme="minorHAnsi" w:cstheme="minorHAnsi"/>
          <w:b/>
          <w:bCs/>
          <w:snapToGrid/>
          <w:sz w:val="36"/>
          <w:szCs w:val="36"/>
        </w:rPr>
        <w:t xml:space="preserve">Correspondence from Medical Oncology Group of Australia (MOGA) </w:t>
      </w:r>
    </w:p>
    <w:p w14:paraId="24578B39" w14:textId="3802F395" w:rsidR="007577BD" w:rsidRPr="007577BD" w:rsidRDefault="007577BD" w:rsidP="00546DFD">
      <w:pPr>
        <w:numPr>
          <w:ilvl w:val="0"/>
          <w:numId w:val="1"/>
        </w:numPr>
        <w:spacing w:after="120" w:line="240" w:lineRule="auto"/>
        <w:ind w:left="709" w:hanging="709"/>
        <w:outlineLvl w:val="0"/>
        <w:rPr>
          <w:rFonts w:asciiTheme="minorHAnsi" w:eastAsia="Times New Roman" w:hAnsiTheme="minorHAnsi" w:cs="Arial"/>
          <w:b/>
          <w:snapToGrid w:val="0"/>
          <w:sz w:val="32"/>
          <w:szCs w:val="32"/>
        </w:rPr>
      </w:pPr>
      <w:r w:rsidRPr="00EC2000">
        <w:rPr>
          <w:rFonts w:asciiTheme="minorHAnsi" w:eastAsia="Times New Roman" w:hAnsiTheme="minorHAnsi" w:cs="Arial"/>
          <w:b/>
          <w:snapToGrid w:val="0"/>
          <w:sz w:val="32"/>
          <w:szCs w:val="32"/>
        </w:rPr>
        <w:t>Purpose</w:t>
      </w:r>
    </w:p>
    <w:p w14:paraId="4D84C7AC" w14:textId="45CE94A6" w:rsidR="007577BD" w:rsidRPr="007577BD" w:rsidRDefault="00BC7675" w:rsidP="00546DFD">
      <w:pPr>
        <w:numPr>
          <w:ilvl w:val="1"/>
          <w:numId w:val="1"/>
        </w:numPr>
        <w:spacing w:after="120" w:line="240" w:lineRule="auto"/>
        <w:jc w:val="both"/>
        <w:rPr>
          <w:rFonts w:asciiTheme="minorHAnsi" w:hAnsiTheme="minorHAnsi" w:cstheme="minorBidi"/>
          <w:szCs w:val="22"/>
        </w:rPr>
      </w:pPr>
      <w:r>
        <w:rPr>
          <w:rFonts w:asciiTheme="minorHAnsi" w:eastAsia="Times New Roman" w:hAnsiTheme="minorHAnsi" w:cs="Arial"/>
          <w:snapToGrid w:val="0"/>
        </w:rPr>
        <w:t xml:space="preserve">The correspondence from </w:t>
      </w:r>
      <w:r w:rsidRPr="003F292D">
        <w:rPr>
          <w:rFonts w:asciiTheme="minorHAnsi" w:eastAsia="Times New Roman" w:hAnsiTheme="minorHAnsi" w:cs="Arial"/>
          <w:snapToGrid w:val="0"/>
        </w:rPr>
        <w:t xml:space="preserve">the Medical Oncology Group of Australia (MOGA) </w:t>
      </w:r>
      <w:r>
        <w:rPr>
          <w:rFonts w:asciiTheme="minorHAnsi" w:eastAsia="Times New Roman" w:hAnsiTheme="minorHAnsi" w:cs="Arial"/>
          <w:snapToGrid w:val="0"/>
        </w:rPr>
        <w:t xml:space="preserve">requested an increase the number of repeats </w:t>
      </w:r>
      <w:r w:rsidR="003F292D">
        <w:rPr>
          <w:rFonts w:asciiTheme="minorHAnsi" w:eastAsia="Times New Roman" w:hAnsiTheme="minorHAnsi" w:cs="Arial"/>
          <w:snapToGrid w:val="0"/>
        </w:rPr>
        <w:t xml:space="preserve">for </w:t>
      </w:r>
      <w:r w:rsidR="007577BD" w:rsidRPr="007577BD">
        <w:rPr>
          <w:rFonts w:asciiTheme="minorHAnsi" w:eastAsia="Times New Roman" w:hAnsiTheme="minorHAnsi" w:cs="Arial"/>
          <w:snapToGrid w:val="0"/>
        </w:rPr>
        <w:t>alectin</w:t>
      </w:r>
      <w:r w:rsidR="00A83C4C">
        <w:rPr>
          <w:rFonts w:asciiTheme="minorHAnsi" w:eastAsia="Times New Roman" w:hAnsiTheme="minorHAnsi" w:cs="Arial"/>
          <w:snapToGrid w:val="0"/>
        </w:rPr>
        <w:t>i</w:t>
      </w:r>
      <w:r w:rsidR="007577BD" w:rsidRPr="007577BD">
        <w:rPr>
          <w:rFonts w:asciiTheme="minorHAnsi" w:eastAsia="Times New Roman" w:hAnsiTheme="minorHAnsi" w:cs="Arial"/>
          <w:snapToGrid w:val="0"/>
        </w:rPr>
        <w:t xml:space="preserve">b and crizotinib </w:t>
      </w:r>
      <w:r>
        <w:rPr>
          <w:rFonts w:asciiTheme="minorHAnsi" w:eastAsia="Times New Roman" w:hAnsiTheme="minorHAnsi" w:cs="Arial"/>
          <w:snapToGrid w:val="0"/>
        </w:rPr>
        <w:t xml:space="preserve">for the treatment of patients with </w:t>
      </w:r>
      <w:r w:rsidR="009E434F" w:rsidRPr="008A513C">
        <w:rPr>
          <w:rFonts w:asciiTheme="minorHAnsi" w:hAnsiTheme="minorHAnsi" w:cstheme="minorBidi"/>
          <w:szCs w:val="22"/>
        </w:rPr>
        <w:t>Stage II</w:t>
      </w:r>
      <w:r w:rsidR="009E434F">
        <w:rPr>
          <w:rFonts w:asciiTheme="minorHAnsi" w:hAnsiTheme="minorHAnsi" w:cstheme="minorBidi"/>
          <w:szCs w:val="22"/>
        </w:rPr>
        <w:t>I</w:t>
      </w:r>
      <w:r w:rsidR="009E434F" w:rsidRPr="008A513C">
        <w:rPr>
          <w:rFonts w:asciiTheme="minorHAnsi" w:hAnsiTheme="minorHAnsi" w:cstheme="minorBidi"/>
          <w:szCs w:val="22"/>
        </w:rPr>
        <w:t xml:space="preserve">B (locally advanced) or Stage </w:t>
      </w:r>
      <w:r w:rsidR="009E434F" w:rsidRPr="006F402E">
        <w:rPr>
          <w:rFonts w:asciiTheme="minorHAnsi" w:hAnsiTheme="minorHAnsi" w:cstheme="minorBidi"/>
          <w:szCs w:val="22"/>
        </w:rPr>
        <w:t>IV (metastatic)</w:t>
      </w:r>
      <w:r w:rsidR="009E434F">
        <w:rPr>
          <w:rFonts w:asciiTheme="minorHAnsi" w:hAnsiTheme="minorHAnsi" w:cstheme="minorBidi"/>
          <w:szCs w:val="22"/>
        </w:rPr>
        <w:t xml:space="preserve"> </w:t>
      </w:r>
      <w:r>
        <w:rPr>
          <w:rFonts w:asciiTheme="minorHAnsi" w:eastAsia="Times New Roman" w:hAnsiTheme="minorHAnsi" w:cs="Arial"/>
          <w:snapToGrid w:val="0"/>
        </w:rPr>
        <w:t xml:space="preserve">non-small cell lung cancer (NSCLC) from </w:t>
      </w:r>
      <w:r w:rsidRPr="007577BD">
        <w:rPr>
          <w:rFonts w:asciiTheme="minorHAnsi" w:eastAsia="Times New Roman" w:hAnsiTheme="minorHAnsi" w:cs="Arial"/>
          <w:snapToGrid w:val="0"/>
        </w:rPr>
        <w:t>1 to 3</w:t>
      </w:r>
      <w:r>
        <w:rPr>
          <w:rFonts w:asciiTheme="minorHAnsi" w:eastAsia="Times New Roman" w:hAnsiTheme="minorHAnsi" w:cs="Arial"/>
          <w:snapToGrid w:val="0"/>
        </w:rPr>
        <w:t>.</w:t>
      </w:r>
    </w:p>
    <w:p w14:paraId="79ECF3A3" w14:textId="67E53DEE" w:rsidR="007577BD" w:rsidRPr="007577BD" w:rsidRDefault="007577BD" w:rsidP="00546DFD">
      <w:pPr>
        <w:numPr>
          <w:ilvl w:val="0"/>
          <w:numId w:val="1"/>
        </w:numPr>
        <w:spacing w:after="120" w:line="240" w:lineRule="auto"/>
        <w:ind w:left="709" w:hanging="709"/>
        <w:outlineLvl w:val="0"/>
        <w:rPr>
          <w:rFonts w:asciiTheme="minorHAnsi" w:eastAsia="Times New Roman" w:hAnsiTheme="minorHAnsi" w:cs="Arial"/>
          <w:b/>
          <w:snapToGrid w:val="0"/>
          <w:sz w:val="32"/>
          <w:szCs w:val="32"/>
        </w:rPr>
      </w:pPr>
      <w:r w:rsidRPr="007577BD">
        <w:rPr>
          <w:rFonts w:asciiTheme="minorHAnsi" w:eastAsia="Times New Roman" w:hAnsiTheme="minorHAnsi" w:cs="Arial"/>
          <w:b/>
          <w:snapToGrid w:val="0"/>
          <w:sz w:val="32"/>
          <w:szCs w:val="32"/>
        </w:rPr>
        <w:t>Background</w:t>
      </w:r>
    </w:p>
    <w:p w14:paraId="018FF3B6" w14:textId="7937EB29" w:rsidR="003448A3" w:rsidRPr="00B12A97" w:rsidRDefault="00295359" w:rsidP="00546DFD">
      <w:pPr>
        <w:numPr>
          <w:ilvl w:val="1"/>
          <w:numId w:val="1"/>
        </w:numPr>
        <w:spacing w:after="120" w:line="240" w:lineRule="auto"/>
        <w:jc w:val="both"/>
        <w:rPr>
          <w:rFonts w:asciiTheme="minorHAnsi" w:hAnsiTheme="minorHAnsi" w:cstheme="minorBidi"/>
          <w:szCs w:val="22"/>
        </w:rPr>
      </w:pPr>
      <w:r>
        <w:t xml:space="preserve">The PBAC recommended listing crizotinib </w:t>
      </w:r>
      <w:r w:rsidR="003448A3" w:rsidRPr="00A07D9B">
        <w:t xml:space="preserve">for </w:t>
      </w:r>
      <w:r>
        <w:t xml:space="preserve">the </w:t>
      </w:r>
      <w:r w:rsidR="003448A3" w:rsidRPr="00A07D9B">
        <w:t xml:space="preserve">treatment of </w:t>
      </w:r>
      <w:r>
        <w:t xml:space="preserve">patients with </w:t>
      </w:r>
      <w:r w:rsidR="003448A3" w:rsidRPr="00A07D9B">
        <w:t>ALK-positive Stage IIIB or Stage IV non-squamous or histology NOS specified NSCLC</w:t>
      </w:r>
      <w:r>
        <w:t xml:space="preserve"> in November 2015. Crizotinib was listed on the PBS</w:t>
      </w:r>
      <w:r w:rsidR="003448A3" w:rsidRPr="00A07D9B">
        <w:t xml:space="preserve"> on 1 July 2015. </w:t>
      </w:r>
      <w:r w:rsidR="003448A3">
        <w:t xml:space="preserve">The PBAC recommended extending the listings for </w:t>
      </w:r>
      <w:r>
        <w:t xml:space="preserve">crizotinib for patients with </w:t>
      </w:r>
      <w:r w:rsidR="003448A3">
        <w:t xml:space="preserve">metastatic (Stage IV) c-ROS proto-oncogene 1 (ROS1) positive NSCLC at its July 2018 meeting. </w:t>
      </w:r>
      <w:r>
        <w:t xml:space="preserve">Both recommended listings were for 1 repeat. </w:t>
      </w:r>
    </w:p>
    <w:p w14:paraId="5ECC120B" w14:textId="6C041807" w:rsidR="003448A3" w:rsidRDefault="003448A3" w:rsidP="00546DFD">
      <w:pPr>
        <w:numPr>
          <w:ilvl w:val="1"/>
          <w:numId w:val="1"/>
        </w:numPr>
        <w:spacing w:after="120" w:line="240" w:lineRule="auto"/>
        <w:jc w:val="both"/>
        <w:rPr>
          <w:rFonts w:asciiTheme="minorHAnsi" w:hAnsiTheme="minorHAnsi" w:cstheme="minorBidi"/>
          <w:szCs w:val="22"/>
        </w:rPr>
      </w:pPr>
      <w:r>
        <w:rPr>
          <w:rFonts w:asciiTheme="minorHAnsi" w:hAnsiTheme="minorHAnsi" w:cstheme="minorBidi"/>
          <w:szCs w:val="22"/>
        </w:rPr>
        <w:t xml:space="preserve">The PBAC </w:t>
      </w:r>
      <w:r w:rsidR="00295359">
        <w:rPr>
          <w:rFonts w:asciiTheme="minorHAnsi" w:hAnsiTheme="minorHAnsi" w:cstheme="minorBidi"/>
          <w:szCs w:val="22"/>
        </w:rPr>
        <w:t xml:space="preserve">subsequently </w:t>
      </w:r>
      <w:r>
        <w:rPr>
          <w:rFonts w:asciiTheme="minorHAnsi" w:hAnsiTheme="minorHAnsi" w:cstheme="minorBidi"/>
          <w:szCs w:val="22"/>
        </w:rPr>
        <w:t xml:space="preserve">recommended ceritinib </w:t>
      </w:r>
      <w:r w:rsidR="00295359">
        <w:rPr>
          <w:rFonts w:asciiTheme="minorHAnsi" w:hAnsiTheme="minorHAnsi" w:cstheme="minorBidi"/>
          <w:szCs w:val="22"/>
        </w:rPr>
        <w:t xml:space="preserve">and alectinib </w:t>
      </w:r>
      <w:r>
        <w:rPr>
          <w:rFonts w:asciiTheme="minorHAnsi" w:hAnsiTheme="minorHAnsi" w:cstheme="minorBidi"/>
          <w:szCs w:val="22"/>
        </w:rPr>
        <w:t xml:space="preserve">for </w:t>
      </w:r>
      <w:r w:rsidRPr="00A07D9B">
        <w:t>ALK-positive Stage IIIB or Stage IV non-squamous or histology NOS specified NSCLC</w:t>
      </w:r>
      <w:r w:rsidR="00295359">
        <w:t xml:space="preserve"> in November 2016 and July 2017, respectively. Both recommended listings were for 1 repeat. </w:t>
      </w:r>
    </w:p>
    <w:p w14:paraId="1301DFA2" w14:textId="77777777" w:rsidR="00DC5EC9" w:rsidRPr="00DC5EC9" w:rsidRDefault="00295359" w:rsidP="00546DFD">
      <w:pPr>
        <w:numPr>
          <w:ilvl w:val="1"/>
          <w:numId w:val="1"/>
        </w:numPr>
        <w:spacing w:after="120" w:line="240" w:lineRule="auto"/>
        <w:jc w:val="both"/>
        <w:rPr>
          <w:rFonts w:asciiTheme="minorHAnsi" w:hAnsiTheme="minorHAnsi" w:cstheme="minorBidi"/>
          <w:szCs w:val="22"/>
        </w:rPr>
      </w:pPr>
      <w:r>
        <w:t xml:space="preserve">The PBAC has not previously considered any requests to increase the number of repeats for crizotinib or ceritinib. </w:t>
      </w:r>
    </w:p>
    <w:p w14:paraId="3426F560" w14:textId="32F556DD" w:rsidR="007C664F" w:rsidRDefault="00C74603" w:rsidP="00546DFD">
      <w:pPr>
        <w:numPr>
          <w:ilvl w:val="1"/>
          <w:numId w:val="1"/>
        </w:numPr>
        <w:spacing w:after="120" w:line="240" w:lineRule="auto"/>
        <w:jc w:val="both"/>
        <w:rPr>
          <w:rFonts w:asciiTheme="minorHAnsi" w:hAnsiTheme="minorHAnsi" w:cstheme="minorBidi"/>
          <w:szCs w:val="22"/>
        </w:rPr>
      </w:pPr>
      <w:r w:rsidRPr="002C1AD5">
        <w:rPr>
          <w:rFonts w:asciiTheme="minorHAnsi" w:hAnsiTheme="minorHAnsi" w:cstheme="minorBidi"/>
          <w:szCs w:val="22"/>
        </w:rPr>
        <w:t>In March 20</w:t>
      </w:r>
      <w:r w:rsidR="00BB21DB" w:rsidRPr="002C1AD5">
        <w:rPr>
          <w:rFonts w:asciiTheme="minorHAnsi" w:hAnsiTheme="minorHAnsi" w:cstheme="minorBidi"/>
          <w:szCs w:val="22"/>
        </w:rPr>
        <w:t>19</w:t>
      </w:r>
      <w:r w:rsidRPr="002C1AD5">
        <w:rPr>
          <w:rFonts w:asciiTheme="minorHAnsi" w:hAnsiTheme="minorHAnsi" w:cstheme="minorBidi"/>
          <w:szCs w:val="22"/>
        </w:rPr>
        <w:t xml:space="preserve">, the PBAC </w:t>
      </w:r>
      <w:r w:rsidR="00A03F80">
        <w:rPr>
          <w:rFonts w:asciiTheme="minorHAnsi" w:hAnsiTheme="minorHAnsi" w:cstheme="minorBidi"/>
          <w:szCs w:val="22"/>
        </w:rPr>
        <w:t xml:space="preserve">rejected </w:t>
      </w:r>
      <w:r w:rsidR="00841F67">
        <w:rPr>
          <w:rFonts w:asciiTheme="minorHAnsi" w:hAnsiTheme="minorHAnsi" w:cstheme="minorBidi"/>
          <w:szCs w:val="22"/>
        </w:rPr>
        <w:t xml:space="preserve">a </w:t>
      </w:r>
      <w:r w:rsidR="00DC5EC9">
        <w:rPr>
          <w:rFonts w:asciiTheme="minorHAnsi" w:hAnsiTheme="minorHAnsi" w:cstheme="minorBidi"/>
          <w:szCs w:val="22"/>
        </w:rPr>
        <w:t>submission for alectinib that requested</w:t>
      </w:r>
      <w:r w:rsidR="00201AD7">
        <w:rPr>
          <w:rFonts w:asciiTheme="minorHAnsi" w:hAnsiTheme="minorHAnsi" w:cstheme="minorBidi"/>
          <w:szCs w:val="22"/>
        </w:rPr>
        <w:t xml:space="preserve"> </w:t>
      </w:r>
      <w:r w:rsidR="00614CF5">
        <w:rPr>
          <w:rFonts w:asciiTheme="minorHAnsi" w:hAnsiTheme="minorHAnsi" w:cstheme="minorBidi"/>
          <w:szCs w:val="22"/>
        </w:rPr>
        <w:t>a change to</w:t>
      </w:r>
      <w:r w:rsidR="00DC5EC9">
        <w:rPr>
          <w:rFonts w:asciiTheme="minorHAnsi" w:hAnsiTheme="minorHAnsi" w:cstheme="minorBidi"/>
          <w:szCs w:val="22"/>
        </w:rPr>
        <w:t xml:space="preserve"> the authority level from Authority Required (Telephone) to Authority Required (STREAMLINED) and to </w:t>
      </w:r>
      <w:r w:rsidR="00841F67">
        <w:rPr>
          <w:rFonts w:asciiTheme="minorHAnsi" w:hAnsiTheme="minorHAnsi" w:cstheme="minorBidi"/>
          <w:szCs w:val="22"/>
        </w:rPr>
        <w:t xml:space="preserve">increase the number of </w:t>
      </w:r>
      <w:r w:rsidRPr="002C1AD5">
        <w:rPr>
          <w:rFonts w:asciiTheme="minorHAnsi" w:hAnsiTheme="minorHAnsi" w:cstheme="minorBidi"/>
          <w:szCs w:val="22"/>
        </w:rPr>
        <w:t>repeats</w:t>
      </w:r>
      <w:r w:rsidR="00201AD7">
        <w:rPr>
          <w:rFonts w:asciiTheme="minorHAnsi" w:hAnsiTheme="minorHAnsi" w:cstheme="minorBidi"/>
          <w:szCs w:val="22"/>
        </w:rPr>
        <w:t xml:space="preserve"> of </w:t>
      </w:r>
      <w:r w:rsidR="00CA2723">
        <w:rPr>
          <w:rFonts w:asciiTheme="minorHAnsi" w:hAnsiTheme="minorHAnsi" w:cstheme="minorBidi"/>
          <w:szCs w:val="22"/>
        </w:rPr>
        <w:t xml:space="preserve">alectinib </w:t>
      </w:r>
      <w:r w:rsidR="00CA2723" w:rsidRPr="002C1AD5">
        <w:rPr>
          <w:rFonts w:asciiTheme="minorHAnsi" w:hAnsiTheme="minorHAnsi" w:cstheme="minorBidi"/>
          <w:szCs w:val="22"/>
        </w:rPr>
        <w:t>from</w:t>
      </w:r>
      <w:r w:rsidR="008A513C">
        <w:rPr>
          <w:rFonts w:asciiTheme="minorHAnsi" w:hAnsiTheme="minorHAnsi" w:cstheme="minorBidi"/>
          <w:szCs w:val="22"/>
        </w:rPr>
        <w:t xml:space="preserve"> 1 </w:t>
      </w:r>
      <w:r w:rsidRPr="002C1AD5">
        <w:rPr>
          <w:rFonts w:asciiTheme="minorHAnsi" w:hAnsiTheme="minorHAnsi" w:cstheme="minorBidi"/>
          <w:szCs w:val="22"/>
        </w:rPr>
        <w:t xml:space="preserve">to </w:t>
      </w:r>
      <w:r w:rsidR="00CA2723" w:rsidRPr="002C1AD5">
        <w:rPr>
          <w:rFonts w:asciiTheme="minorHAnsi" w:hAnsiTheme="minorHAnsi" w:cstheme="minorBidi"/>
          <w:szCs w:val="22"/>
        </w:rPr>
        <w:t>5</w:t>
      </w:r>
      <w:r w:rsidR="007C664F">
        <w:rPr>
          <w:rFonts w:asciiTheme="minorHAnsi" w:hAnsiTheme="minorHAnsi" w:cstheme="minorBidi"/>
          <w:szCs w:val="22"/>
        </w:rPr>
        <w:t xml:space="preserve"> (alectinib </w:t>
      </w:r>
      <w:r w:rsidR="00804C2E">
        <w:rPr>
          <w:rFonts w:asciiTheme="minorHAnsi" w:hAnsiTheme="minorHAnsi" w:cstheme="minorBidi"/>
          <w:szCs w:val="22"/>
        </w:rPr>
        <w:t>P</w:t>
      </w:r>
      <w:r w:rsidR="006B4099">
        <w:rPr>
          <w:rFonts w:asciiTheme="minorHAnsi" w:hAnsiTheme="minorHAnsi" w:cstheme="minorBidi"/>
          <w:szCs w:val="22"/>
        </w:rPr>
        <w:t>ublic Summary Document</w:t>
      </w:r>
      <w:r w:rsidR="007C664F">
        <w:rPr>
          <w:rFonts w:asciiTheme="minorHAnsi" w:hAnsiTheme="minorHAnsi" w:cstheme="minorBidi"/>
          <w:szCs w:val="22"/>
        </w:rPr>
        <w:t>, March 2019 PBAC meeting)</w:t>
      </w:r>
      <w:r w:rsidR="00DC5EC9">
        <w:rPr>
          <w:rFonts w:asciiTheme="minorHAnsi" w:hAnsiTheme="minorHAnsi" w:cstheme="minorBidi"/>
          <w:szCs w:val="22"/>
        </w:rPr>
        <w:t>.</w:t>
      </w:r>
      <w:r w:rsidR="00CA2723">
        <w:rPr>
          <w:rFonts w:asciiTheme="minorHAnsi" w:hAnsiTheme="minorHAnsi" w:cstheme="minorBidi"/>
          <w:szCs w:val="22"/>
        </w:rPr>
        <w:t xml:space="preserve"> </w:t>
      </w:r>
    </w:p>
    <w:p w14:paraId="5A21F68D" w14:textId="77777777" w:rsidR="007C664F" w:rsidRDefault="00DC5EC9" w:rsidP="00546DFD">
      <w:pPr>
        <w:numPr>
          <w:ilvl w:val="2"/>
          <w:numId w:val="1"/>
        </w:numPr>
        <w:spacing w:after="120" w:line="240" w:lineRule="auto"/>
        <w:ind w:left="993" w:hanging="284"/>
        <w:jc w:val="both"/>
        <w:rPr>
          <w:rFonts w:asciiTheme="minorHAnsi" w:hAnsiTheme="minorHAnsi" w:cstheme="minorBidi"/>
          <w:szCs w:val="22"/>
        </w:rPr>
      </w:pPr>
      <w:r>
        <w:rPr>
          <w:rFonts w:asciiTheme="minorHAnsi" w:hAnsiTheme="minorHAnsi" w:cstheme="minorBidi"/>
          <w:szCs w:val="22"/>
        </w:rPr>
        <w:t xml:space="preserve">The PBAC noted that ‘alectinib was [then] recently listed on the PBS (on 1 January 2018), and </w:t>
      </w:r>
      <w:r w:rsidR="00CA2723" w:rsidRPr="00CA2723">
        <w:rPr>
          <w:rFonts w:asciiTheme="minorHAnsi" w:hAnsiTheme="minorHAnsi" w:cstheme="minorBidi"/>
          <w:szCs w:val="22"/>
        </w:rPr>
        <w:t>longer-term utilisation data was required prior to amending the listing, to ensure use remained cost-effective in the patient population’</w:t>
      </w:r>
      <w:r w:rsidR="00CA2723">
        <w:rPr>
          <w:rFonts w:asciiTheme="minorHAnsi" w:hAnsiTheme="minorHAnsi" w:cstheme="minorBidi"/>
          <w:szCs w:val="22"/>
        </w:rPr>
        <w:t xml:space="preserve">. </w:t>
      </w:r>
    </w:p>
    <w:p w14:paraId="56DF8C7B" w14:textId="072FCFB8" w:rsidR="007C664F" w:rsidRDefault="00CA2723" w:rsidP="00546DFD">
      <w:pPr>
        <w:numPr>
          <w:ilvl w:val="2"/>
          <w:numId w:val="1"/>
        </w:numPr>
        <w:spacing w:after="120" w:line="240" w:lineRule="auto"/>
        <w:ind w:left="993" w:hanging="284"/>
        <w:jc w:val="both"/>
        <w:rPr>
          <w:rFonts w:asciiTheme="minorHAnsi" w:hAnsiTheme="minorHAnsi" w:cstheme="minorBidi"/>
          <w:szCs w:val="22"/>
        </w:rPr>
      </w:pPr>
      <w:r w:rsidRPr="00CA2723">
        <w:rPr>
          <w:rFonts w:asciiTheme="minorHAnsi" w:hAnsiTheme="minorHAnsi" w:cstheme="minorBidi"/>
          <w:szCs w:val="22"/>
        </w:rPr>
        <w:t xml:space="preserve">It considered that ‘increasing the repeats from </w:t>
      </w:r>
      <w:r w:rsidR="00A07D9B">
        <w:rPr>
          <w:rFonts w:asciiTheme="minorHAnsi" w:hAnsiTheme="minorHAnsi" w:cstheme="minorBidi"/>
          <w:szCs w:val="22"/>
        </w:rPr>
        <w:t>1</w:t>
      </w:r>
      <w:r w:rsidRPr="00CA2723">
        <w:rPr>
          <w:rFonts w:asciiTheme="minorHAnsi" w:hAnsiTheme="minorHAnsi" w:cstheme="minorBidi"/>
          <w:szCs w:val="22"/>
        </w:rPr>
        <w:t xml:space="preserve"> to </w:t>
      </w:r>
      <w:r w:rsidR="00A07D9B">
        <w:rPr>
          <w:rFonts w:asciiTheme="minorHAnsi" w:hAnsiTheme="minorHAnsi" w:cstheme="minorBidi"/>
          <w:szCs w:val="22"/>
        </w:rPr>
        <w:t>5</w:t>
      </w:r>
      <w:r w:rsidRPr="00CA2723">
        <w:rPr>
          <w:rFonts w:asciiTheme="minorHAnsi" w:hAnsiTheme="minorHAnsi" w:cstheme="minorBidi"/>
          <w:szCs w:val="22"/>
        </w:rPr>
        <w:t xml:space="preserve"> could inappropriately extend the treatment duration in some patients, with the risk of continuing an ineffective treatment and/or unmanaged toxicity, and that the impact on the cost effectiveness of such extended treatment was unclear’.</w:t>
      </w:r>
      <w:r w:rsidR="007C664F">
        <w:rPr>
          <w:rFonts w:asciiTheme="minorHAnsi" w:hAnsiTheme="minorHAnsi" w:cstheme="minorBidi"/>
          <w:szCs w:val="22"/>
        </w:rPr>
        <w:t xml:space="preserve"> </w:t>
      </w:r>
    </w:p>
    <w:p w14:paraId="504086CE" w14:textId="3B0B6489" w:rsidR="00AF328E" w:rsidRDefault="00AF328E" w:rsidP="00546DFD">
      <w:pPr>
        <w:numPr>
          <w:ilvl w:val="2"/>
          <w:numId w:val="1"/>
        </w:numPr>
        <w:spacing w:after="120" w:line="240" w:lineRule="auto"/>
        <w:ind w:left="993" w:hanging="284"/>
        <w:jc w:val="both"/>
        <w:rPr>
          <w:rFonts w:asciiTheme="minorHAnsi" w:hAnsiTheme="minorHAnsi" w:cstheme="minorBidi"/>
          <w:szCs w:val="22"/>
        </w:rPr>
      </w:pPr>
      <w:r>
        <w:t xml:space="preserve">The PBAC noted the recent utilisation data for ALK-inhibitors across all lines of therapy showed a steady increase in uptake, particularly following the listing of alectinib. The PBAC also noted that there was a risk of leakage to other cancers with ALK gene rearrangement that were being identified through tumour whole genome mutation testing, where there was absence of robust evidence of effectiveness and cost-effectiveness. The PBAC advised that an Authority Required (STREAMLINED) </w:t>
      </w:r>
      <w:r>
        <w:lastRenderedPageBreak/>
        <w:t>listing would be inappropriate at this time until the ALK-inhibitor market had stabilised.</w:t>
      </w:r>
    </w:p>
    <w:p w14:paraId="5CC1E790" w14:textId="77777777" w:rsidR="00614CF5" w:rsidRPr="00614CF5" w:rsidRDefault="007C664F" w:rsidP="00546DFD">
      <w:pPr>
        <w:numPr>
          <w:ilvl w:val="2"/>
          <w:numId w:val="1"/>
        </w:numPr>
        <w:spacing w:after="120" w:line="240" w:lineRule="auto"/>
        <w:ind w:left="993" w:hanging="284"/>
        <w:jc w:val="both"/>
        <w:rPr>
          <w:rFonts w:asciiTheme="minorHAnsi" w:hAnsiTheme="minorHAnsi" w:cstheme="minorBidi"/>
          <w:szCs w:val="22"/>
        </w:rPr>
      </w:pPr>
      <w:r>
        <w:t xml:space="preserve">The PBAC noted that it would be willing to reconsider a future request for lowering the authority level and increasing repeats for continuing treatment when longer-term PBS utilisation data (at least 24 months) is available for alectinib. </w:t>
      </w:r>
    </w:p>
    <w:p w14:paraId="3474D917" w14:textId="64D50F89" w:rsidR="00201AD7" w:rsidRDefault="007C664F" w:rsidP="00546DFD">
      <w:pPr>
        <w:numPr>
          <w:ilvl w:val="2"/>
          <w:numId w:val="1"/>
        </w:numPr>
        <w:spacing w:after="120" w:line="240" w:lineRule="auto"/>
        <w:ind w:left="993" w:hanging="284"/>
        <w:jc w:val="both"/>
        <w:rPr>
          <w:rFonts w:asciiTheme="minorHAnsi" w:hAnsiTheme="minorHAnsi" w:cstheme="minorBidi"/>
          <w:szCs w:val="22"/>
        </w:rPr>
      </w:pPr>
      <w:r>
        <w:t>The PBAC advised that such a request would also need to be considered in the context of changes to other PBS-listed ALK-inhibitors for this condition including ceritinib and crizotinib.</w:t>
      </w:r>
      <w:r w:rsidR="00DC5EC9">
        <w:rPr>
          <w:rFonts w:asciiTheme="minorHAnsi" w:hAnsiTheme="minorHAnsi" w:cstheme="minorBidi"/>
          <w:szCs w:val="22"/>
        </w:rPr>
        <w:t xml:space="preserve"> </w:t>
      </w:r>
    </w:p>
    <w:p w14:paraId="14359DF0" w14:textId="22FC10E1" w:rsidR="00425A0A" w:rsidRPr="00425A0A" w:rsidRDefault="00425A0A" w:rsidP="00546DFD">
      <w:pPr>
        <w:numPr>
          <w:ilvl w:val="0"/>
          <w:numId w:val="1"/>
        </w:numPr>
        <w:spacing w:after="120" w:line="240" w:lineRule="auto"/>
        <w:ind w:left="709" w:hanging="709"/>
        <w:outlineLvl w:val="0"/>
        <w:rPr>
          <w:rFonts w:asciiTheme="minorHAnsi" w:eastAsia="Times New Roman" w:hAnsiTheme="minorHAnsi" w:cs="Arial"/>
          <w:b/>
          <w:snapToGrid w:val="0"/>
          <w:sz w:val="32"/>
          <w:szCs w:val="32"/>
        </w:rPr>
      </w:pPr>
      <w:r>
        <w:rPr>
          <w:rFonts w:asciiTheme="minorHAnsi" w:eastAsia="Times New Roman" w:hAnsiTheme="minorHAnsi" w:cs="Arial"/>
          <w:b/>
          <w:snapToGrid w:val="0"/>
          <w:sz w:val="32"/>
          <w:szCs w:val="32"/>
        </w:rPr>
        <w:t>Current situation</w:t>
      </w:r>
    </w:p>
    <w:p w14:paraId="7231E0AB" w14:textId="42998BDF" w:rsidR="00C103C6" w:rsidRPr="00201AD7" w:rsidRDefault="00C103C6" w:rsidP="00546DFD">
      <w:pPr>
        <w:numPr>
          <w:ilvl w:val="1"/>
          <w:numId w:val="1"/>
        </w:numPr>
        <w:spacing w:after="120" w:line="240" w:lineRule="auto"/>
        <w:jc w:val="both"/>
        <w:rPr>
          <w:rFonts w:asciiTheme="minorHAnsi" w:hAnsiTheme="minorHAnsi" w:cstheme="minorBidi"/>
          <w:szCs w:val="22"/>
        </w:rPr>
      </w:pPr>
      <w:r w:rsidRPr="00C103C6">
        <w:rPr>
          <w:rFonts w:asciiTheme="minorHAnsi" w:hAnsiTheme="minorHAnsi" w:cstheme="minorBidi"/>
          <w:szCs w:val="22"/>
        </w:rPr>
        <w:t>The MOGA wrote to PBAC on 23 Aug</w:t>
      </w:r>
      <w:r w:rsidR="0020572C">
        <w:rPr>
          <w:rFonts w:asciiTheme="minorHAnsi" w:hAnsiTheme="minorHAnsi" w:cstheme="minorBidi"/>
          <w:szCs w:val="22"/>
        </w:rPr>
        <w:t xml:space="preserve">ust 2019 requesting </w:t>
      </w:r>
      <w:r w:rsidR="00DC5EC9">
        <w:rPr>
          <w:rFonts w:asciiTheme="minorHAnsi" w:hAnsiTheme="minorHAnsi" w:cstheme="minorBidi"/>
          <w:szCs w:val="22"/>
        </w:rPr>
        <w:t>the</w:t>
      </w:r>
      <w:r w:rsidR="0020572C">
        <w:rPr>
          <w:rFonts w:asciiTheme="minorHAnsi" w:hAnsiTheme="minorHAnsi" w:cstheme="minorBidi"/>
          <w:szCs w:val="22"/>
        </w:rPr>
        <w:t xml:space="preserve"> PBAC </w:t>
      </w:r>
      <w:r w:rsidRPr="00C103C6">
        <w:rPr>
          <w:rFonts w:asciiTheme="minorHAnsi" w:hAnsiTheme="minorHAnsi" w:cstheme="minorBidi"/>
          <w:szCs w:val="22"/>
        </w:rPr>
        <w:t>consider increasing the number of repeats for both alectinib and crizotinib from 1 to 3 to align with other similar antineoplastic agents</w:t>
      </w:r>
      <w:r w:rsidR="003448A3">
        <w:rPr>
          <w:rFonts w:asciiTheme="minorHAnsi" w:hAnsiTheme="minorHAnsi" w:cstheme="minorBidi"/>
          <w:szCs w:val="22"/>
        </w:rPr>
        <w:t xml:space="preserve"> for NSCLC</w:t>
      </w:r>
      <w:r w:rsidRPr="00C103C6">
        <w:rPr>
          <w:rFonts w:asciiTheme="minorHAnsi" w:hAnsiTheme="minorHAnsi" w:cstheme="minorBidi"/>
          <w:szCs w:val="22"/>
        </w:rPr>
        <w:t xml:space="preserve"> such as </w:t>
      </w:r>
      <w:r w:rsidR="00A173FC" w:rsidRPr="00A173FC">
        <w:rPr>
          <w:rFonts w:asciiTheme="minorHAnsi" w:hAnsiTheme="minorHAnsi" w:cstheme="minorBidi"/>
          <w:szCs w:val="22"/>
        </w:rPr>
        <w:t>erlotinib</w:t>
      </w:r>
      <w:r w:rsidRPr="00C103C6">
        <w:rPr>
          <w:rFonts w:asciiTheme="minorHAnsi" w:hAnsiTheme="minorHAnsi" w:cstheme="minorBidi"/>
          <w:szCs w:val="22"/>
        </w:rPr>
        <w:t xml:space="preserve">, which are </w:t>
      </w:r>
      <w:r w:rsidR="00A173FC">
        <w:rPr>
          <w:rFonts w:asciiTheme="minorHAnsi" w:hAnsiTheme="minorHAnsi" w:cstheme="minorBidi"/>
          <w:szCs w:val="22"/>
        </w:rPr>
        <w:t xml:space="preserve">currently </w:t>
      </w:r>
      <w:r w:rsidRPr="00C103C6">
        <w:rPr>
          <w:rFonts w:asciiTheme="minorHAnsi" w:hAnsiTheme="minorHAnsi" w:cstheme="minorBidi"/>
          <w:szCs w:val="22"/>
        </w:rPr>
        <w:t xml:space="preserve">PBS listed with </w:t>
      </w:r>
      <w:r w:rsidR="00A173FC">
        <w:rPr>
          <w:rFonts w:asciiTheme="minorHAnsi" w:hAnsiTheme="minorHAnsi" w:cstheme="minorBidi"/>
          <w:szCs w:val="22"/>
        </w:rPr>
        <w:t>3</w:t>
      </w:r>
      <w:r w:rsidRPr="00C103C6">
        <w:rPr>
          <w:rFonts w:asciiTheme="minorHAnsi" w:hAnsiTheme="minorHAnsi" w:cstheme="minorBidi"/>
          <w:szCs w:val="22"/>
        </w:rPr>
        <w:t xml:space="preserve"> repea</w:t>
      </w:r>
      <w:r w:rsidR="00A173FC">
        <w:rPr>
          <w:rFonts w:asciiTheme="minorHAnsi" w:hAnsiTheme="minorHAnsi" w:cstheme="minorBidi"/>
          <w:szCs w:val="22"/>
        </w:rPr>
        <w:t>ts</w:t>
      </w:r>
      <w:r w:rsidRPr="00C103C6">
        <w:rPr>
          <w:rFonts w:asciiTheme="minorHAnsi" w:hAnsiTheme="minorHAnsi" w:cstheme="minorBidi"/>
          <w:szCs w:val="22"/>
        </w:rPr>
        <w:t>.</w:t>
      </w:r>
    </w:p>
    <w:p w14:paraId="7C729B45" w14:textId="27742779" w:rsidR="00C103C6" w:rsidRPr="00C103C6" w:rsidRDefault="00C103C6" w:rsidP="00546DFD">
      <w:pPr>
        <w:numPr>
          <w:ilvl w:val="1"/>
          <w:numId w:val="1"/>
        </w:numPr>
        <w:spacing w:after="120" w:line="240" w:lineRule="auto"/>
        <w:jc w:val="both"/>
        <w:rPr>
          <w:rFonts w:asciiTheme="minorHAnsi" w:hAnsiTheme="minorHAnsi"/>
        </w:rPr>
      </w:pPr>
      <w:r>
        <w:rPr>
          <w:rFonts w:asciiTheme="minorHAnsi" w:hAnsiTheme="minorHAnsi" w:cstheme="minorBidi"/>
          <w:szCs w:val="22"/>
        </w:rPr>
        <w:t xml:space="preserve">The MOGA </w:t>
      </w:r>
      <w:r w:rsidR="00CB2D01">
        <w:rPr>
          <w:rFonts w:asciiTheme="minorHAnsi" w:hAnsiTheme="minorHAnsi" w:cstheme="minorBidi"/>
          <w:szCs w:val="22"/>
        </w:rPr>
        <w:t xml:space="preserve">further noted that an increase in the number of repeats would </w:t>
      </w:r>
      <w:r w:rsidR="00CB2D01" w:rsidRPr="00C103C6">
        <w:rPr>
          <w:rFonts w:asciiTheme="minorHAnsi" w:hAnsiTheme="minorHAnsi" w:cstheme="minorBidi"/>
          <w:szCs w:val="22"/>
        </w:rPr>
        <w:t>allow patients more flexibility</w:t>
      </w:r>
      <w:r w:rsidR="00CB2D01">
        <w:rPr>
          <w:rFonts w:asciiTheme="minorHAnsi" w:hAnsiTheme="minorHAnsi" w:cstheme="minorBidi"/>
          <w:szCs w:val="22"/>
        </w:rPr>
        <w:t xml:space="preserve"> of follow-up</w:t>
      </w:r>
      <w:r w:rsidR="00CB2D01" w:rsidRPr="00C103C6">
        <w:rPr>
          <w:rFonts w:asciiTheme="minorHAnsi" w:hAnsiTheme="minorHAnsi" w:cstheme="minorBidi"/>
          <w:szCs w:val="22"/>
        </w:rPr>
        <w:t xml:space="preserve"> with </w:t>
      </w:r>
      <w:r w:rsidR="00CB2D01">
        <w:rPr>
          <w:rFonts w:asciiTheme="minorHAnsi" w:hAnsiTheme="minorHAnsi" w:cstheme="minorBidi"/>
          <w:szCs w:val="22"/>
        </w:rPr>
        <w:t xml:space="preserve">their </w:t>
      </w:r>
      <w:r w:rsidR="00CB2D01" w:rsidRPr="00C103C6">
        <w:rPr>
          <w:rFonts w:asciiTheme="minorHAnsi" w:hAnsiTheme="minorHAnsi" w:cstheme="minorBidi"/>
          <w:szCs w:val="22"/>
        </w:rPr>
        <w:t>oncologist</w:t>
      </w:r>
      <w:r w:rsidR="00CB2D01">
        <w:rPr>
          <w:rFonts w:asciiTheme="minorHAnsi" w:hAnsiTheme="minorHAnsi" w:cstheme="minorBidi"/>
          <w:szCs w:val="22"/>
        </w:rPr>
        <w:t xml:space="preserve">s as that </w:t>
      </w:r>
      <w:r w:rsidR="00CB2D01" w:rsidRPr="00C103C6">
        <w:rPr>
          <w:rFonts w:asciiTheme="minorHAnsi" w:hAnsiTheme="minorHAnsi" w:cstheme="minorBidi"/>
          <w:szCs w:val="22"/>
        </w:rPr>
        <w:t xml:space="preserve">appointments </w:t>
      </w:r>
      <w:r w:rsidR="00CB2D01">
        <w:rPr>
          <w:rFonts w:asciiTheme="minorHAnsi" w:hAnsiTheme="minorHAnsi" w:cstheme="minorBidi"/>
          <w:szCs w:val="22"/>
        </w:rPr>
        <w:t>are not necessarily required every two months.</w:t>
      </w:r>
    </w:p>
    <w:p w14:paraId="68181682" w14:textId="77777777" w:rsidR="007C42C2" w:rsidRDefault="007C42C2" w:rsidP="00546DFD">
      <w:pPr>
        <w:numPr>
          <w:ilvl w:val="0"/>
          <w:numId w:val="1"/>
        </w:numPr>
        <w:spacing w:after="120" w:line="240" w:lineRule="auto"/>
        <w:ind w:left="709" w:hanging="709"/>
        <w:outlineLvl w:val="0"/>
        <w:rPr>
          <w:rFonts w:asciiTheme="minorHAnsi" w:eastAsia="Times New Roman" w:hAnsiTheme="minorHAnsi" w:cs="Arial"/>
          <w:b/>
          <w:snapToGrid w:val="0"/>
          <w:sz w:val="32"/>
          <w:szCs w:val="32"/>
        </w:rPr>
      </w:pPr>
      <w:r>
        <w:rPr>
          <w:rFonts w:asciiTheme="minorHAnsi" w:eastAsia="Times New Roman" w:hAnsiTheme="minorHAnsi" w:cs="Arial"/>
          <w:b/>
          <w:snapToGrid w:val="0"/>
          <w:sz w:val="32"/>
          <w:szCs w:val="32"/>
        </w:rPr>
        <w:t>PBAC Outcome</w:t>
      </w:r>
    </w:p>
    <w:p w14:paraId="762790A1" w14:textId="33C4AD12" w:rsidR="009E434F" w:rsidRPr="00546DFD" w:rsidRDefault="009E434F" w:rsidP="00546DFD">
      <w:pPr>
        <w:numPr>
          <w:ilvl w:val="1"/>
          <w:numId w:val="1"/>
        </w:numPr>
        <w:spacing w:after="120" w:line="240" w:lineRule="auto"/>
        <w:jc w:val="both"/>
        <w:rPr>
          <w:rFonts w:asciiTheme="minorHAnsi" w:hAnsiTheme="minorHAnsi" w:cstheme="minorBidi"/>
          <w:szCs w:val="22"/>
        </w:rPr>
      </w:pPr>
      <w:r w:rsidRPr="00546DFD">
        <w:rPr>
          <w:rFonts w:asciiTheme="minorHAnsi" w:hAnsiTheme="minorHAnsi" w:cstheme="minorBidi"/>
          <w:szCs w:val="22"/>
        </w:rPr>
        <w:t>T</w:t>
      </w:r>
      <w:r w:rsidR="007C42C2" w:rsidRPr="00546DFD">
        <w:rPr>
          <w:rFonts w:asciiTheme="minorHAnsi" w:hAnsiTheme="minorHAnsi" w:cstheme="minorBidi"/>
          <w:szCs w:val="22"/>
        </w:rPr>
        <w:t xml:space="preserve">he PBAC </w:t>
      </w:r>
      <w:r w:rsidRPr="00546DFD">
        <w:rPr>
          <w:rFonts w:asciiTheme="minorHAnsi" w:hAnsiTheme="minorHAnsi" w:cstheme="minorBidi"/>
          <w:szCs w:val="22"/>
        </w:rPr>
        <w:t xml:space="preserve">recommended an increase in the </w:t>
      </w:r>
      <w:r w:rsidR="007C42C2" w:rsidRPr="00546DFD">
        <w:rPr>
          <w:rFonts w:asciiTheme="minorHAnsi" w:hAnsiTheme="minorHAnsi" w:cstheme="minorBidi"/>
          <w:szCs w:val="22"/>
        </w:rPr>
        <w:t>number of repeats for</w:t>
      </w:r>
      <w:r w:rsidRPr="00546DFD">
        <w:rPr>
          <w:rFonts w:asciiTheme="minorHAnsi" w:hAnsiTheme="minorHAnsi" w:cstheme="minorBidi"/>
          <w:szCs w:val="22"/>
        </w:rPr>
        <w:t xml:space="preserve"> the </w:t>
      </w:r>
      <w:r w:rsidR="00614CF5" w:rsidRPr="00546DFD">
        <w:rPr>
          <w:rFonts w:asciiTheme="minorHAnsi" w:hAnsiTheme="minorHAnsi" w:cstheme="minorBidi"/>
          <w:szCs w:val="22"/>
        </w:rPr>
        <w:t xml:space="preserve">Authority Required </w:t>
      </w:r>
      <w:r w:rsidRPr="00546DFD">
        <w:rPr>
          <w:rFonts w:asciiTheme="minorHAnsi" w:hAnsiTheme="minorHAnsi" w:cstheme="minorBidi"/>
          <w:szCs w:val="22"/>
        </w:rPr>
        <w:t>listings for</w:t>
      </w:r>
      <w:r w:rsidR="007C42C2" w:rsidRPr="00546DFD">
        <w:rPr>
          <w:rFonts w:asciiTheme="minorHAnsi" w:hAnsiTheme="minorHAnsi" w:cstheme="minorBidi"/>
          <w:szCs w:val="22"/>
        </w:rPr>
        <w:t xml:space="preserve"> alectinib and crizotinib</w:t>
      </w:r>
      <w:r w:rsidRPr="00546DFD">
        <w:rPr>
          <w:rFonts w:asciiTheme="minorHAnsi" w:hAnsiTheme="minorHAnsi" w:cstheme="minorBidi"/>
          <w:szCs w:val="22"/>
        </w:rPr>
        <w:t xml:space="preserve"> for</w:t>
      </w:r>
      <w:r w:rsidR="007C42C2" w:rsidRPr="00546DFD">
        <w:rPr>
          <w:rFonts w:asciiTheme="minorHAnsi" w:hAnsiTheme="minorHAnsi" w:cstheme="minorBidi"/>
          <w:szCs w:val="22"/>
        </w:rPr>
        <w:t xml:space="preserve"> </w:t>
      </w:r>
      <w:r w:rsidRPr="008A513C">
        <w:rPr>
          <w:rFonts w:asciiTheme="minorHAnsi" w:hAnsiTheme="minorHAnsi" w:cstheme="minorBidi"/>
          <w:szCs w:val="22"/>
        </w:rPr>
        <w:t>Stage II</w:t>
      </w:r>
      <w:r>
        <w:rPr>
          <w:rFonts w:asciiTheme="minorHAnsi" w:hAnsiTheme="minorHAnsi" w:cstheme="minorBidi"/>
          <w:szCs w:val="22"/>
        </w:rPr>
        <w:t>I</w:t>
      </w:r>
      <w:r w:rsidRPr="008A513C">
        <w:rPr>
          <w:rFonts w:asciiTheme="minorHAnsi" w:hAnsiTheme="minorHAnsi" w:cstheme="minorBidi"/>
          <w:szCs w:val="22"/>
        </w:rPr>
        <w:t xml:space="preserve">B (locally advanced) or Stage </w:t>
      </w:r>
      <w:r w:rsidRPr="006F402E">
        <w:rPr>
          <w:rFonts w:asciiTheme="minorHAnsi" w:hAnsiTheme="minorHAnsi" w:cstheme="minorBidi"/>
          <w:szCs w:val="22"/>
        </w:rPr>
        <w:t>IV (metastatic)</w:t>
      </w:r>
      <w:r>
        <w:rPr>
          <w:rFonts w:asciiTheme="minorHAnsi" w:hAnsiTheme="minorHAnsi" w:cstheme="minorBidi"/>
          <w:szCs w:val="22"/>
        </w:rPr>
        <w:t xml:space="preserve"> </w:t>
      </w:r>
      <w:r w:rsidRPr="00546DFD">
        <w:rPr>
          <w:rFonts w:asciiTheme="minorHAnsi" w:hAnsiTheme="minorHAnsi" w:cstheme="minorBidi"/>
          <w:szCs w:val="22"/>
        </w:rPr>
        <w:t xml:space="preserve">NSCLC </w:t>
      </w:r>
      <w:r w:rsidR="008C66B6" w:rsidRPr="00546DFD">
        <w:rPr>
          <w:rFonts w:asciiTheme="minorHAnsi" w:hAnsiTheme="minorHAnsi" w:cstheme="minorBidi"/>
          <w:szCs w:val="22"/>
        </w:rPr>
        <w:t>from 1 to 3</w:t>
      </w:r>
      <w:r w:rsidRPr="00546DFD">
        <w:rPr>
          <w:rFonts w:asciiTheme="minorHAnsi" w:hAnsiTheme="minorHAnsi" w:cstheme="minorBidi"/>
          <w:szCs w:val="22"/>
        </w:rPr>
        <w:t xml:space="preserve">. </w:t>
      </w:r>
      <w:r w:rsidR="0030562F" w:rsidRPr="00546DFD">
        <w:rPr>
          <w:rFonts w:asciiTheme="minorHAnsi" w:hAnsiTheme="minorHAnsi" w:cstheme="minorBidi"/>
          <w:szCs w:val="22"/>
        </w:rPr>
        <w:t>The PBAC noted that this change would be consistent with the current listing for erlotinib.</w:t>
      </w:r>
    </w:p>
    <w:p w14:paraId="21979EC7" w14:textId="3058C486" w:rsidR="00465112" w:rsidRPr="00546DFD" w:rsidRDefault="00465112" w:rsidP="00546DFD">
      <w:pPr>
        <w:numPr>
          <w:ilvl w:val="1"/>
          <w:numId w:val="1"/>
        </w:numPr>
        <w:spacing w:after="120" w:line="240" w:lineRule="auto"/>
        <w:jc w:val="both"/>
        <w:rPr>
          <w:rFonts w:asciiTheme="minorHAnsi" w:hAnsiTheme="minorHAnsi" w:cstheme="minorBidi"/>
          <w:szCs w:val="22"/>
        </w:rPr>
      </w:pPr>
      <w:r w:rsidRPr="00546DFD">
        <w:rPr>
          <w:rFonts w:asciiTheme="minorHAnsi" w:hAnsiTheme="minorHAnsi" w:cstheme="minorBidi"/>
          <w:szCs w:val="22"/>
        </w:rPr>
        <w:t>The PBAC</w:t>
      </w:r>
      <w:r w:rsidR="001301D9" w:rsidRPr="00546DFD">
        <w:rPr>
          <w:rFonts w:asciiTheme="minorHAnsi" w:hAnsiTheme="minorHAnsi" w:cstheme="minorBidi"/>
          <w:szCs w:val="22"/>
        </w:rPr>
        <w:t xml:space="preserve"> also considered </w:t>
      </w:r>
      <w:r w:rsidRPr="00546DFD">
        <w:rPr>
          <w:rFonts w:asciiTheme="minorHAnsi" w:hAnsiTheme="minorHAnsi" w:cstheme="minorBidi"/>
          <w:szCs w:val="22"/>
        </w:rPr>
        <w:t xml:space="preserve">that the change should </w:t>
      </w:r>
      <w:r w:rsidR="001301D9" w:rsidRPr="00546DFD">
        <w:rPr>
          <w:rFonts w:asciiTheme="minorHAnsi" w:hAnsiTheme="minorHAnsi" w:cstheme="minorBidi"/>
          <w:szCs w:val="22"/>
        </w:rPr>
        <w:t>apply</w:t>
      </w:r>
      <w:r w:rsidRPr="00546DFD">
        <w:rPr>
          <w:rFonts w:asciiTheme="minorHAnsi" w:hAnsiTheme="minorHAnsi" w:cstheme="minorBidi"/>
          <w:szCs w:val="22"/>
        </w:rPr>
        <w:t xml:space="preserve"> to </w:t>
      </w:r>
      <w:r w:rsidR="00C82E54" w:rsidRPr="00546DFD">
        <w:rPr>
          <w:rFonts w:asciiTheme="minorHAnsi" w:hAnsiTheme="minorHAnsi" w:cstheme="minorBidi"/>
          <w:szCs w:val="22"/>
        </w:rPr>
        <w:t xml:space="preserve">all ALK inhibitors including </w:t>
      </w:r>
      <w:r w:rsidRPr="00546DFD">
        <w:rPr>
          <w:rFonts w:asciiTheme="minorHAnsi" w:hAnsiTheme="minorHAnsi" w:cstheme="minorBidi"/>
          <w:szCs w:val="22"/>
        </w:rPr>
        <w:t xml:space="preserve">ceritinib for </w:t>
      </w:r>
      <w:r w:rsidRPr="008A513C">
        <w:rPr>
          <w:rFonts w:asciiTheme="minorHAnsi" w:hAnsiTheme="minorHAnsi" w:cstheme="minorBidi"/>
          <w:szCs w:val="22"/>
        </w:rPr>
        <w:t>Stage II</w:t>
      </w:r>
      <w:r>
        <w:rPr>
          <w:rFonts w:asciiTheme="minorHAnsi" w:hAnsiTheme="minorHAnsi" w:cstheme="minorBidi"/>
          <w:szCs w:val="22"/>
        </w:rPr>
        <w:t>I</w:t>
      </w:r>
      <w:r w:rsidRPr="008A513C">
        <w:rPr>
          <w:rFonts w:asciiTheme="minorHAnsi" w:hAnsiTheme="minorHAnsi" w:cstheme="minorBidi"/>
          <w:szCs w:val="22"/>
        </w:rPr>
        <w:t xml:space="preserve">B (locally advanced) or Stage </w:t>
      </w:r>
      <w:r w:rsidRPr="006F402E">
        <w:rPr>
          <w:rFonts w:asciiTheme="minorHAnsi" w:hAnsiTheme="minorHAnsi" w:cstheme="minorBidi"/>
          <w:szCs w:val="22"/>
        </w:rPr>
        <w:t>IV (metastatic)</w:t>
      </w:r>
      <w:r>
        <w:rPr>
          <w:rFonts w:asciiTheme="minorHAnsi" w:hAnsiTheme="minorHAnsi" w:cstheme="minorBidi"/>
          <w:szCs w:val="22"/>
        </w:rPr>
        <w:t xml:space="preserve"> </w:t>
      </w:r>
      <w:r w:rsidRPr="00546DFD">
        <w:rPr>
          <w:rFonts w:asciiTheme="minorHAnsi" w:hAnsiTheme="minorHAnsi" w:cstheme="minorBidi"/>
          <w:szCs w:val="22"/>
        </w:rPr>
        <w:t>NSCLC.</w:t>
      </w:r>
    </w:p>
    <w:p w14:paraId="0862B457" w14:textId="66B01C71" w:rsidR="00274127" w:rsidRPr="00546DFD" w:rsidRDefault="00274127" w:rsidP="00546DFD">
      <w:pPr>
        <w:numPr>
          <w:ilvl w:val="1"/>
          <w:numId w:val="1"/>
        </w:numPr>
        <w:spacing w:after="120" w:line="240" w:lineRule="auto"/>
        <w:jc w:val="both"/>
        <w:rPr>
          <w:rFonts w:asciiTheme="minorHAnsi" w:hAnsiTheme="minorHAnsi" w:cstheme="minorBidi"/>
          <w:szCs w:val="22"/>
        </w:rPr>
      </w:pPr>
      <w:r w:rsidRPr="00546DFD">
        <w:rPr>
          <w:rFonts w:asciiTheme="minorHAnsi" w:hAnsiTheme="minorHAnsi" w:cstheme="minorBidi"/>
          <w:szCs w:val="22"/>
        </w:rPr>
        <w:t>The PBAC</w:t>
      </w:r>
      <w:r w:rsidR="00690B96" w:rsidRPr="00546DFD">
        <w:rPr>
          <w:rFonts w:asciiTheme="minorHAnsi" w:hAnsiTheme="minorHAnsi" w:cstheme="minorBidi"/>
          <w:szCs w:val="22"/>
        </w:rPr>
        <w:t xml:space="preserve"> further advised that </w:t>
      </w:r>
      <w:r w:rsidR="009E434F" w:rsidRPr="00546DFD">
        <w:rPr>
          <w:rFonts w:asciiTheme="minorHAnsi" w:hAnsiTheme="minorHAnsi" w:cstheme="minorBidi"/>
          <w:szCs w:val="22"/>
        </w:rPr>
        <w:t xml:space="preserve">if lorlatinib and brigatinib were recommended for </w:t>
      </w:r>
      <w:r w:rsidR="009E434F" w:rsidRPr="008A513C">
        <w:rPr>
          <w:rFonts w:asciiTheme="minorHAnsi" w:hAnsiTheme="minorHAnsi" w:cstheme="minorBidi"/>
          <w:szCs w:val="22"/>
        </w:rPr>
        <w:t>Stage II</w:t>
      </w:r>
      <w:r w:rsidR="009E434F">
        <w:rPr>
          <w:rFonts w:asciiTheme="minorHAnsi" w:hAnsiTheme="minorHAnsi" w:cstheme="minorBidi"/>
          <w:szCs w:val="22"/>
        </w:rPr>
        <w:t>I</w:t>
      </w:r>
      <w:r w:rsidR="009E434F" w:rsidRPr="008A513C">
        <w:rPr>
          <w:rFonts w:asciiTheme="minorHAnsi" w:hAnsiTheme="minorHAnsi" w:cstheme="minorBidi"/>
          <w:szCs w:val="22"/>
        </w:rPr>
        <w:t xml:space="preserve">B (locally advanced) or Stage </w:t>
      </w:r>
      <w:r w:rsidR="009E434F" w:rsidRPr="006F402E">
        <w:rPr>
          <w:rFonts w:asciiTheme="minorHAnsi" w:hAnsiTheme="minorHAnsi" w:cstheme="minorBidi"/>
          <w:szCs w:val="22"/>
        </w:rPr>
        <w:t>IV (metastatic)</w:t>
      </w:r>
      <w:r w:rsidR="009E434F">
        <w:rPr>
          <w:rFonts w:asciiTheme="minorHAnsi" w:hAnsiTheme="minorHAnsi" w:cstheme="minorBidi"/>
          <w:szCs w:val="22"/>
        </w:rPr>
        <w:t xml:space="preserve"> </w:t>
      </w:r>
      <w:r w:rsidR="009E434F" w:rsidRPr="00546DFD">
        <w:rPr>
          <w:rFonts w:asciiTheme="minorHAnsi" w:hAnsiTheme="minorHAnsi" w:cstheme="minorBidi"/>
          <w:szCs w:val="22"/>
        </w:rPr>
        <w:t xml:space="preserve">NSCLC at its November 2019 meeting, </w:t>
      </w:r>
      <w:r w:rsidR="00690B96" w:rsidRPr="00546DFD">
        <w:rPr>
          <w:rFonts w:asciiTheme="minorHAnsi" w:hAnsiTheme="minorHAnsi" w:cstheme="minorBidi"/>
          <w:szCs w:val="22"/>
        </w:rPr>
        <w:t xml:space="preserve">the increase in repeats to 3 should </w:t>
      </w:r>
      <w:r w:rsidR="009E434F" w:rsidRPr="00546DFD">
        <w:rPr>
          <w:rFonts w:asciiTheme="minorHAnsi" w:hAnsiTheme="minorHAnsi" w:cstheme="minorBidi"/>
          <w:szCs w:val="22"/>
        </w:rPr>
        <w:t xml:space="preserve">also apply to these </w:t>
      </w:r>
      <w:r w:rsidR="0030562F" w:rsidRPr="00546DFD">
        <w:rPr>
          <w:rFonts w:asciiTheme="minorHAnsi" w:hAnsiTheme="minorHAnsi" w:cstheme="minorBidi"/>
          <w:szCs w:val="22"/>
        </w:rPr>
        <w:t xml:space="preserve">recommended </w:t>
      </w:r>
      <w:r w:rsidR="00B4700B" w:rsidRPr="00546DFD">
        <w:rPr>
          <w:rFonts w:asciiTheme="minorHAnsi" w:hAnsiTheme="minorHAnsi" w:cstheme="minorBidi"/>
          <w:szCs w:val="22"/>
        </w:rPr>
        <w:t>listing</w:t>
      </w:r>
      <w:r w:rsidR="00690B96" w:rsidRPr="00546DFD">
        <w:rPr>
          <w:rFonts w:asciiTheme="minorHAnsi" w:hAnsiTheme="minorHAnsi" w:cstheme="minorBidi"/>
          <w:szCs w:val="22"/>
        </w:rPr>
        <w:t>s</w:t>
      </w:r>
      <w:r w:rsidR="00107C31" w:rsidRPr="00546DFD">
        <w:rPr>
          <w:rFonts w:asciiTheme="minorHAnsi" w:hAnsiTheme="minorHAnsi" w:cstheme="minorBidi"/>
          <w:szCs w:val="22"/>
        </w:rPr>
        <w:t>.</w:t>
      </w:r>
    </w:p>
    <w:p w14:paraId="5A97D78E" w14:textId="292C8B76" w:rsidR="00A173FC" w:rsidRPr="00546DFD" w:rsidRDefault="00A173FC" w:rsidP="00546DFD">
      <w:pPr>
        <w:pStyle w:val="BodyText"/>
        <w:rPr>
          <w:b/>
          <w:bCs/>
        </w:rPr>
      </w:pPr>
      <w:r w:rsidRPr="00546DFD">
        <w:rPr>
          <w:b/>
          <w:bCs/>
        </w:rPr>
        <w:t>Outcome</w:t>
      </w:r>
    </w:p>
    <w:p w14:paraId="2CEF0037" w14:textId="65B1C6B8" w:rsidR="00A173FC" w:rsidRPr="009E434F" w:rsidRDefault="00A173FC" w:rsidP="00546DFD">
      <w:pPr>
        <w:pStyle w:val="BodyText"/>
      </w:pPr>
      <w:r>
        <w:t>Recommended</w:t>
      </w:r>
    </w:p>
    <w:p w14:paraId="0B43FBEC" w14:textId="77777777" w:rsidR="00FA7DEB" w:rsidRPr="00A81B52" w:rsidRDefault="008C66B6" w:rsidP="00546DFD">
      <w:pPr>
        <w:numPr>
          <w:ilvl w:val="0"/>
          <w:numId w:val="1"/>
        </w:numPr>
        <w:spacing w:after="120" w:line="240" w:lineRule="auto"/>
        <w:ind w:left="709" w:hanging="709"/>
        <w:outlineLvl w:val="0"/>
        <w:rPr>
          <w:rFonts w:asciiTheme="minorHAnsi" w:eastAsia="Times New Roman" w:hAnsiTheme="minorHAnsi" w:cs="Arial"/>
          <w:b/>
          <w:snapToGrid w:val="0"/>
          <w:sz w:val="32"/>
          <w:szCs w:val="32"/>
        </w:rPr>
      </w:pPr>
      <w:r w:rsidRPr="00163D72">
        <w:rPr>
          <w:rFonts w:asciiTheme="minorHAnsi" w:eastAsia="Times New Roman" w:hAnsiTheme="minorHAnsi" w:cs="Arial"/>
          <w:b/>
          <w:snapToGrid w:val="0"/>
          <w:sz w:val="32"/>
          <w:szCs w:val="32"/>
        </w:rPr>
        <w:t>Recommended Listing</w:t>
      </w:r>
    </w:p>
    <w:p w14:paraId="3B105E0E" w14:textId="2845C30F" w:rsidR="008C66B6" w:rsidRPr="00546DFD" w:rsidRDefault="00163D72" w:rsidP="00546DFD">
      <w:pPr>
        <w:numPr>
          <w:ilvl w:val="1"/>
          <w:numId w:val="1"/>
        </w:numPr>
        <w:spacing w:after="120" w:line="240" w:lineRule="auto"/>
        <w:jc w:val="both"/>
        <w:rPr>
          <w:rFonts w:asciiTheme="minorHAnsi" w:hAnsiTheme="minorHAnsi" w:cstheme="minorBidi"/>
          <w:szCs w:val="22"/>
        </w:rPr>
      </w:pPr>
      <w:r w:rsidRPr="00546DFD">
        <w:rPr>
          <w:rFonts w:asciiTheme="minorHAnsi" w:hAnsiTheme="minorHAnsi" w:cstheme="minorBidi"/>
          <w:szCs w:val="22"/>
        </w:rPr>
        <w:t xml:space="preserve">Amend </w:t>
      </w:r>
      <w:r w:rsidR="00614CF5" w:rsidRPr="00546DFD">
        <w:rPr>
          <w:rFonts w:asciiTheme="minorHAnsi" w:hAnsiTheme="minorHAnsi" w:cstheme="minorBidi"/>
          <w:szCs w:val="22"/>
        </w:rPr>
        <w:t>number of</w:t>
      </w:r>
      <w:r w:rsidRPr="00546DFD">
        <w:rPr>
          <w:rFonts w:asciiTheme="minorHAnsi" w:hAnsiTheme="minorHAnsi" w:cstheme="minorBidi"/>
          <w:szCs w:val="22"/>
        </w:rPr>
        <w:t xml:space="preserve"> repeat</w:t>
      </w:r>
      <w:r w:rsidR="00614CF5" w:rsidRPr="00546DFD">
        <w:rPr>
          <w:rFonts w:asciiTheme="minorHAnsi" w:hAnsiTheme="minorHAnsi" w:cstheme="minorBidi"/>
          <w:szCs w:val="22"/>
        </w:rPr>
        <w:t>s to the following</w:t>
      </w:r>
      <w:r w:rsidRPr="00546DFD">
        <w:rPr>
          <w:rFonts w:asciiTheme="minorHAnsi" w:hAnsiTheme="minorHAnsi" w:cstheme="minorBidi"/>
          <w:szCs w:val="22"/>
        </w:rPr>
        <w:t xml:space="preserve"> Authority Required listings</w:t>
      </w:r>
      <w:r w:rsidR="00614CF5" w:rsidRPr="00546DFD">
        <w:rPr>
          <w:rFonts w:asciiTheme="minorHAnsi" w:hAnsiTheme="minorHAnsi" w:cstheme="minorBidi"/>
          <w:szCs w:val="22"/>
        </w:rPr>
        <w:t xml:space="preserve"> for crizotinib (10322G, 10323H, 11589Y</w:t>
      </w:r>
      <w:r w:rsidRPr="00546DFD">
        <w:rPr>
          <w:rFonts w:asciiTheme="minorHAnsi" w:hAnsiTheme="minorHAnsi" w:cstheme="minorBidi"/>
          <w:szCs w:val="22"/>
        </w:rPr>
        <w:t>,</w:t>
      </w:r>
      <w:r w:rsidR="00614CF5" w:rsidRPr="00546DFD">
        <w:rPr>
          <w:rFonts w:asciiTheme="minorHAnsi" w:hAnsiTheme="minorHAnsi" w:cstheme="minorBidi"/>
          <w:szCs w:val="22"/>
        </w:rPr>
        <w:t xml:space="preserve"> 11594F), alectinib (</w:t>
      </w:r>
      <w:r w:rsidR="00085602" w:rsidRPr="00546DFD">
        <w:rPr>
          <w:rFonts w:asciiTheme="minorHAnsi" w:hAnsiTheme="minorHAnsi" w:cstheme="minorBidi"/>
          <w:szCs w:val="22"/>
        </w:rPr>
        <w:t>11226W</w:t>
      </w:r>
      <w:r w:rsidR="00614CF5" w:rsidRPr="00546DFD">
        <w:rPr>
          <w:rFonts w:asciiTheme="minorHAnsi" w:hAnsiTheme="minorHAnsi" w:cstheme="minorBidi"/>
          <w:szCs w:val="22"/>
        </w:rPr>
        <w:t>) and ceritinib (</w:t>
      </w:r>
      <w:r w:rsidR="00085602" w:rsidRPr="00546DFD">
        <w:rPr>
          <w:rFonts w:asciiTheme="minorHAnsi" w:hAnsiTheme="minorHAnsi" w:cstheme="minorBidi"/>
          <w:szCs w:val="22"/>
        </w:rPr>
        <w:t>11056X</w:t>
      </w:r>
      <w:r w:rsidR="00614CF5" w:rsidRPr="00546DFD">
        <w:rPr>
          <w:rFonts w:asciiTheme="minorHAnsi" w:hAnsiTheme="minorHAnsi" w:cstheme="minorBidi"/>
          <w:szCs w:val="22"/>
        </w:rPr>
        <w:t>)</w:t>
      </w:r>
      <w:r w:rsidRPr="00546DFD">
        <w:rPr>
          <w:rFonts w:asciiTheme="minorHAnsi" w:hAnsiTheme="minorHAnsi" w:cstheme="minorBidi"/>
          <w:szCs w:val="22"/>
        </w:rPr>
        <w:t xml:space="preserve"> as follows:</w:t>
      </w:r>
    </w:p>
    <w:p w14:paraId="6EE10DD8" w14:textId="0DF8FB11" w:rsidR="00CF3AE3" w:rsidRPr="00CF3AE3" w:rsidRDefault="00CF3AE3" w:rsidP="00546DFD">
      <w:pPr>
        <w:pStyle w:val="ListNumber"/>
        <w:numPr>
          <w:ilvl w:val="0"/>
          <w:numId w:val="0"/>
        </w:numPr>
        <w:spacing w:after="120"/>
        <w:ind w:firstLine="720"/>
        <w:rPr>
          <w:i/>
        </w:rPr>
      </w:pPr>
      <w:r w:rsidRPr="00CF3AE3">
        <w:rPr>
          <w:i/>
        </w:rPr>
        <w:t>Suggested additions are in ita</w:t>
      </w:r>
      <w:bookmarkStart w:id="1" w:name="_Toc535915928"/>
      <w:r w:rsidRPr="00CF3AE3">
        <w:rPr>
          <w:i/>
        </w:rPr>
        <w:t>lics and deletions are in strikethrough.</w:t>
      </w:r>
      <w:bookmarkEnd w:id="1"/>
    </w:p>
    <w:p w14:paraId="23C47D0A" w14:textId="77777777" w:rsidR="00CF3AE3" w:rsidRPr="00CF3AE3" w:rsidRDefault="00CF3AE3" w:rsidP="00CF3AE3">
      <w:pPr>
        <w:pStyle w:val="ListNumber"/>
        <w:numPr>
          <w:ilvl w:val="0"/>
          <w:numId w:val="0"/>
        </w:numPr>
        <w:ind w:firstLine="720"/>
        <w:rPr>
          <w:b/>
          <w:caps/>
        </w:rPr>
      </w:pPr>
    </w:p>
    <w:tbl>
      <w:tblPr>
        <w:tblW w:w="8647" w:type="dxa"/>
        <w:tblLayout w:type="fixed"/>
        <w:tblLook w:val="0000" w:firstRow="0" w:lastRow="0" w:firstColumn="0" w:lastColumn="0" w:noHBand="0" w:noVBand="0"/>
      </w:tblPr>
      <w:tblGrid>
        <w:gridCol w:w="3261"/>
        <w:gridCol w:w="567"/>
        <w:gridCol w:w="850"/>
        <w:gridCol w:w="1559"/>
        <w:gridCol w:w="2410"/>
      </w:tblGrid>
      <w:tr w:rsidR="00CA737D" w:rsidRPr="00C254D9" w14:paraId="5F2EFAC8" w14:textId="77777777" w:rsidTr="00FA7DEB">
        <w:trPr>
          <w:cantSplit/>
          <w:trHeight w:val="471"/>
        </w:trPr>
        <w:tc>
          <w:tcPr>
            <w:tcW w:w="3261" w:type="dxa"/>
            <w:tcBorders>
              <w:bottom w:val="single" w:sz="4" w:space="0" w:color="auto"/>
            </w:tcBorders>
          </w:tcPr>
          <w:p w14:paraId="03B2BDF8" w14:textId="77777777" w:rsidR="00CA737D" w:rsidRPr="00ED2A31" w:rsidRDefault="00CA737D" w:rsidP="00690B96">
            <w:pPr>
              <w:keepNext/>
              <w:spacing w:after="0"/>
              <w:ind w:left="-108"/>
              <w:jc w:val="both"/>
              <w:rPr>
                <w:rFonts w:ascii="Arial Narrow" w:hAnsi="Arial Narrow" w:cstheme="minorHAnsi"/>
                <w:b/>
                <w:sz w:val="20"/>
                <w:szCs w:val="20"/>
              </w:rPr>
            </w:pPr>
            <w:r w:rsidRPr="00ED2A31">
              <w:rPr>
                <w:rFonts w:ascii="Arial Narrow" w:hAnsi="Arial Narrow" w:cstheme="minorHAnsi"/>
                <w:b/>
                <w:sz w:val="20"/>
                <w:szCs w:val="20"/>
              </w:rPr>
              <w:lastRenderedPageBreak/>
              <w:t>Name, Restriction,</w:t>
            </w:r>
          </w:p>
          <w:p w14:paraId="7B2E7BED" w14:textId="77777777" w:rsidR="00CA737D" w:rsidRPr="00ED2A31" w:rsidRDefault="00CA737D" w:rsidP="00690B96">
            <w:pPr>
              <w:keepNext/>
              <w:spacing w:after="0"/>
              <w:ind w:left="-108"/>
              <w:jc w:val="both"/>
              <w:rPr>
                <w:rFonts w:ascii="Arial Narrow" w:hAnsi="Arial Narrow" w:cstheme="minorHAnsi"/>
                <w:b/>
                <w:sz w:val="20"/>
                <w:szCs w:val="20"/>
              </w:rPr>
            </w:pPr>
            <w:r w:rsidRPr="00ED2A31">
              <w:rPr>
                <w:rFonts w:ascii="Arial Narrow" w:hAnsi="Arial Narrow" w:cstheme="minorHAnsi"/>
                <w:b/>
                <w:sz w:val="20"/>
                <w:szCs w:val="20"/>
              </w:rPr>
              <w:t>Manner of administration and form</w:t>
            </w:r>
          </w:p>
        </w:tc>
        <w:tc>
          <w:tcPr>
            <w:tcW w:w="567" w:type="dxa"/>
            <w:tcBorders>
              <w:bottom w:val="single" w:sz="4" w:space="0" w:color="auto"/>
            </w:tcBorders>
          </w:tcPr>
          <w:p w14:paraId="41553313" w14:textId="77777777" w:rsidR="00CA737D" w:rsidRPr="00ED2A31" w:rsidRDefault="00CA737D" w:rsidP="00674940">
            <w:pPr>
              <w:keepNext/>
              <w:spacing w:after="0"/>
              <w:ind w:left="-108"/>
              <w:jc w:val="both"/>
              <w:rPr>
                <w:rFonts w:ascii="Arial Narrow" w:hAnsi="Arial Narrow" w:cstheme="minorHAnsi"/>
                <w:b/>
                <w:sz w:val="20"/>
                <w:szCs w:val="20"/>
              </w:rPr>
            </w:pPr>
            <w:r w:rsidRPr="00ED2A31">
              <w:rPr>
                <w:rFonts w:ascii="Arial Narrow" w:hAnsi="Arial Narrow" w:cstheme="minorHAnsi"/>
                <w:b/>
                <w:sz w:val="20"/>
                <w:szCs w:val="20"/>
              </w:rPr>
              <w:t>Max.</w:t>
            </w:r>
          </w:p>
          <w:p w14:paraId="7C954307" w14:textId="77777777" w:rsidR="00CA737D" w:rsidRPr="00ED2A31" w:rsidRDefault="00CA737D" w:rsidP="00674940">
            <w:pPr>
              <w:keepNext/>
              <w:spacing w:after="0"/>
              <w:ind w:left="-108"/>
              <w:jc w:val="both"/>
              <w:rPr>
                <w:rFonts w:ascii="Arial Narrow" w:hAnsi="Arial Narrow" w:cstheme="minorHAnsi"/>
                <w:b/>
                <w:sz w:val="20"/>
                <w:szCs w:val="20"/>
              </w:rPr>
            </w:pPr>
            <w:r w:rsidRPr="00ED2A31">
              <w:rPr>
                <w:rFonts w:ascii="Arial Narrow" w:hAnsi="Arial Narrow" w:cstheme="minorHAnsi"/>
                <w:b/>
                <w:sz w:val="20"/>
                <w:szCs w:val="20"/>
              </w:rPr>
              <w:t>Qty</w:t>
            </w:r>
          </w:p>
        </w:tc>
        <w:tc>
          <w:tcPr>
            <w:tcW w:w="850" w:type="dxa"/>
            <w:tcBorders>
              <w:bottom w:val="single" w:sz="4" w:space="0" w:color="auto"/>
            </w:tcBorders>
          </w:tcPr>
          <w:p w14:paraId="05396FAA" w14:textId="77777777" w:rsidR="00CA737D" w:rsidRPr="00ED2A31" w:rsidRDefault="00CA737D" w:rsidP="00674940">
            <w:pPr>
              <w:keepNext/>
              <w:spacing w:after="0"/>
              <w:ind w:left="-108"/>
              <w:jc w:val="both"/>
              <w:rPr>
                <w:rFonts w:ascii="Arial Narrow" w:hAnsi="Arial Narrow" w:cstheme="minorHAnsi"/>
                <w:b/>
                <w:sz w:val="20"/>
                <w:szCs w:val="20"/>
              </w:rPr>
            </w:pPr>
            <w:r w:rsidRPr="00ED2A31">
              <w:rPr>
                <w:rFonts w:ascii="Arial Narrow" w:hAnsi="Arial Narrow" w:cstheme="minorHAnsi"/>
                <w:b/>
                <w:sz w:val="20"/>
                <w:szCs w:val="20"/>
              </w:rPr>
              <w:t>№.of</w:t>
            </w:r>
          </w:p>
          <w:p w14:paraId="077D73A6" w14:textId="77777777" w:rsidR="00CA737D" w:rsidRPr="00ED2A31" w:rsidRDefault="00CA737D" w:rsidP="00DA3827">
            <w:pPr>
              <w:keepNext/>
              <w:spacing w:after="0"/>
              <w:ind w:left="-108"/>
              <w:jc w:val="both"/>
              <w:rPr>
                <w:rFonts w:ascii="Arial Narrow" w:hAnsi="Arial Narrow" w:cstheme="minorHAnsi"/>
                <w:b/>
                <w:sz w:val="20"/>
                <w:szCs w:val="20"/>
              </w:rPr>
            </w:pPr>
            <w:r w:rsidRPr="00ED2A31">
              <w:rPr>
                <w:rFonts w:ascii="Arial Narrow" w:hAnsi="Arial Narrow" w:cstheme="minorHAnsi"/>
                <w:b/>
                <w:sz w:val="20"/>
                <w:szCs w:val="20"/>
              </w:rPr>
              <w:t>Rpts</w:t>
            </w:r>
          </w:p>
        </w:tc>
        <w:tc>
          <w:tcPr>
            <w:tcW w:w="3969" w:type="dxa"/>
            <w:gridSpan w:val="2"/>
            <w:tcBorders>
              <w:bottom w:val="single" w:sz="4" w:space="0" w:color="auto"/>
            </w:tcBorders>
          </w:tcPr>
          <w:p w14:paraId="59990A5A" w14:textId="77777777" w:rsidR="00CA737D" w:rsidRPr="00ED2A31" w:rsidRDefault="00CA737D" w:rsidP="00DA3827">
            <w:pPr>
              <w:keepNext/>
              <w:spacing w:after="0"/>
              <w:jc w:val="both"/>
              <w:rPr>
                <w:rFonts w:ascii="Arial Narrow" w:hAnsi="Arial Narrow" w:cstheme="minorHAnsi"/>
                <w:b/>
                <w:sz w:val="20"/>
                <w:szCs w:val="20"/>
              </w:rPr>
            </w:pPr>
            <w:r w:rsidRPr="00ED2A31">
              <w:rPr>
                <w:rFonts w:ascii="Arial Narrow" w:hAnsi="Arial Narrow" w:cstheme="minorHAnsi"/>
                <w:b/>
                <w:sz w:val="20"/>
                <w:szCs w:val="20"/>
              </w:rPr>
              <w:t>Proprietary Name and Manufacturer</w:t>
            </w:r>
          </w:p>
        </w:tc>
      </w:tr>
      <w:tr w:rsidR="00CA737D" w:rsidRPr="00C254D9" w14:paraId="00FB5FF1" w14:textId="77777777" w:rsidTr="003E3503">
        <w:trPr>
          <w:cantSplit/>
          <w:trHeight w:val="704"/>
        </w:trPr>
        <w:tc>
          <w:tcPr>
            <w:tcW w:w="3261" w:type="dxa"/>
            <w:tcBorders>
              <w:top w:val="single" w:sz="4" w:space="0" w:color="auto"/>
            </w:tcBorders>
            <w:vAlign w:val="center"/>
          </w:tcPr>
          <w:p w14:paraId="2857AD90" w14:textId="400C5866" w:rsidR="00CA737D" w:rsidRPr="00DA3827" w:rsidRDefault="00CA737D" w:rsidP="003E3503">
            <w:pPr>
              <w:keepNext/>
              <w:spacing w:after="0"/>
              <w:ind w:left="-108"/>
              <w:rPr>
                <w:rFonts w:asciiTheme="minorHAnsi" w:hAnsiTheme="minorHAnsi" w:cstheme="minorHAnsi"/>
                <w:color w:val="000000" w:themeColor="text1"/>
                <w:sz w:val="20"/>
                <w:szCs w:val="20"/>
              </w:rPr>
            </w:pPr>
            <w:r w:rsidRPr="00DA3827">
              <w:rPr>
                <w:rFonts w:asciiTheme="minorHAnsi" w:hAnsiTheme="minorHAnsi" w:cstheme="minorHAnsi"/>
                <w:color w:val="000000" w:themeColor="text1"/>
                <w:sz w:val="20"/>
                <w:szCs w:val="20"/>
              </w:rPr>
              <w:t>ALECTINIB</w:t>
            </w:r>
          </w:p>
          <w:p w14:paraId="0C1F845D" w14:textId="6D1A9164" w:rsidR="00CA737D" w:rsidRPr="00FA7DEB" w:rsidRDefault="00CA737D" w:rsidP="003E3503">
            <w:pPr>
              <w:keepNext/>
              <w:spacing w:after="0"/>
              <w:ind w:left="-108"/>
              <w:rPr>
                <w:rFonts w:asciiTheme="minorHAnsi" w:hAnsiTheme="minorHAnsi" w:cstheme="minorHAnsi"/>
                <w:sz w:val="20"/>
                <w:szCs w:val="20"/>
              </w:rPr>
            </w:pPr>
            <w:r w:rsidRPr="00FA7DEB">
              <w:rPr>
                <w:rFonts w:asciiTheme="minorHAnsi" w:hAnsiTheme="minorHAnsi" w:cstheme="minorHAnsi"/>
                <w:sz w:val="20"/>
                <w:szCs w:val="20"/>
              </w:rPr>
              <w:t xml:space="preserve">150 mg capsule, 4 x 56 </w:t>
            </w:r>
          </w:p>
        </w:tc>
        <w:tc>
          <w:tcPr>
            <w:tcW w:w="567" w:type="dxa"/>
            <w:tcBorders>
              <w:top w:val="single" w:sz="4" w:space="0" w:color="auto"/>
            </w:tcBorders>
            <w:vAlign w:val="center"/>
          </w:tcPr>
          <w:p w14:paraId="3025929E" w14:textId="77777777" w:rsidR="00CA737D" w:rsidRPr="00FA7DEB" w:rsidRDefault="00CA737D" w:rsidP="003E3503">
            <w:pPr>
              <w:keepNext/>
              <w:ind w:left="-108"/>
              <w:rPr>
                <w:rFonts w:asciiTheme="minorHAnsi" w:hAnsiTheme="minorHAnsi" w:cstheme="minorHAnsi"/>
                <w:sz w:val="20"/>
                <w:szCs w:val="20"/>
              </w:rPr>
            </w:pPr>
          </w:p>
          <w:p w14:paraId="2C767F08" w14:textId="77777777" w:rsidR="00CA737D" w:rsidRPr="00FA7DEB" w:rsidRDefault="00CA737D" w:rsidP="003E3503">
            <w:pPr>
              <w:keepNext/>
              <w:ind w:left="-108"/>
              <w:rPr>
                <w:rFonts w:asciiTheme="minorHAnsi" w:hAnsiTheme="minorHAnsi" w:cstheme="minorHAnsi"/>
                <w:sz w:val="20"/>
                <w:szCs w:val="20"/>
              </w:rPr>
            </w:pPr>
            <w:r w:rsidRPr="00FA7DEB">
              <w:rPr>
                <w:rFonts w:asciiTheme="minorHAnsi" w:hAnsiTheme="minorHAnsi" w:cstheme="minorHAnsi"/>
                <w:sz w:val="20"/>
                <w:szCs w:val="20"/>
              </w:rPr>
              <w:t>1</w:t>
            </w:r>
          </w:p>
        </w:tc>
        <w:tc>
          <w:tcPr>
            <w:tcW w:w="850" w:type="dxa"/>
            <w:tcBorders>
              <w:top w:val="single" w:sz="4" w:space="0" w:color="auto"/>
            </w:tcBorders>
            <w:vAlign w:val="center"/>
          </w:tcPr>
          <w:p w14:paraId="58F42242" w14:textId="77777777" w:rsidR="00CA737D" w:rsidRPr="00FA7DEB" w:rsidRDefault="00CA737D" w:rsidP="003E3503">
            <w:pPr>
              <w:keepNext/>
              <w:ind w:left="-108"/>
              <w:rPr>
                <w:rFonts w:asciiTheme="minorHAnsi" w:hAnsiTheme="minorHAnsi" w:cstheme="minorHAnsi"/>
                <w:sz w:val="20"/>
                <w:szCs w:val="20"/>
              </w:rPr>
            </w:pPr>
          </w:p>
          <w:p w14:paraId="28D31B57" w14:textId="37BE993E" w:rsidR="00CA737D" w:rsidRPr="00FA7DEB" w:rsidRDefault="00CF3AE3" w:rsidP="003E3503">
            <w:pPr>
              <w:keepNext/>
              <w:ind w:left="-108"/>
              <w:rPr>
                <w:rFonts w:asciiTheme="minorHAnsi" w:hAnsiTheme="minorHAnsi" w:cstheme="minorHAnsi"/>
                <w:sz w:val="20"/>
                <w:szCs w:val="20"/>
              </w:rPr>
            </w:pPr>
            <w:r w:rsidRPr="00CF3AE3">
              <w:rPr>
                <w:rFonts w:asciiTheme="minorHAnsi" w:hAnsiTheme="minorHAnsi" w:cstheme="minorHAnsi"/>
                <w:strike/>
                <w:sz w:val="20"/>
                <w:szCs w:val="20"/>
              </w:rPr>
              <w:t>1</w:t>
            </w:r>
            <w:r w:rsidR="00CA737D" w:rsidRPr="00CF3AE3">
              <w:rPr>
                <w:rFonts w:asciiTheme="minorHAnsi" w:hAnsiTheme="minorHAnsi" w:cstheme="minorHAnsi"/>
                <w:i/>
                <w:sz w:val="20"/>
                <w:szCs w:val="20"/>
              </w:rPr>
              <w:t>3</w:t>
            </w:r>
          </w:p>
        </w:tc>
        <w:tc>
          <w:tcPr>
            <w:tcW w:w="1559" w:type="dxa"/>
            <w:tcBorders>
              <w:top w:val="single" w:sz="4" w:space="0" w:color="auto"/>
            </w:tcBorders>
            <w:vAlign w:val="center"/>
          </w:tcPr>
          <w:p w14:paraId="4103A1EB" w14:textId="77777777" w:rsidR="00690B96" w:rsidRDefault="00690B96" w:rsidP="003E3503">
            <w:pPr>
              <w:keepNext/>
              <w:rPr>
                <w:rFonts w:asciiTheme="minorHAnsi" w:hAnsiTheme="minorHAnsi" w:cstheme="minorHAnsi"/>
                <w:sz w:val="20"/>
                <w:szCs w:val="20"/>
              </w:rPr>
            </w:pPr>
          </w:p>
          <w:p w14:paraId="156761AC" w14:textId="47A5DC5C" w:rsidR="00CA737D" w:rsidRPr="00FA7DEB" w:rsidRDefault="00CA737D" w:rsidP="003E3503">
            <w:pPr>
              <w:keepNext/>
              <w:rPr>
                <w:rFonts w:asciiTheme="minorHAnsi" w:hAnsiTheme="minorHAnsi" w:cstheme="minorHAnsi"/>
                <w:sz w:val="20"/>
                <w:szCs w:val="20"/>
              </w:rPr>
            </w:pPr>
            <w:r w:rsidRPr="00FA7DEB">
              <w:rPr>
                <w:rFonts w:asciiTheme="minorHAnsi" w:hAnsiTheme="minorHAnsi" w:cstheme="minorHAnsi"/>
                <w:sz w:val="20"/>
                <w:szCs w:val="20"/>
              </w:rPr>
              <w:t>Alecensa</w:t>
            </w:r>
          </w:p>
        </w:tc>
        <w:tc>
          <w:tcPr>
            <w:tcW w:w="2410" w:type="dxa"/>
            <w:tcBorders>
              <w:top w:val="single" w:sz="4" w:space="0" w:color="auto"/>
            </w:tcBorders>
            <w:vAlign w:val="center"/>
          </w:tcPr>
          <w:p w14:paraId="76DE7E40" w14:textId="77777777" w:rsidR="00690B96" w:rsidRDefault="00690B96" w:rsidP="003E3503">
            <w:pPr>
              <w:keepNext/>
              <w:rPr>
                <w:rFonts w:asciiTheme="minorHAnsi" w:hAnsiTheme="minorHAnsi" w:cstheme="minorHAnsi"/>
                <w:sz w:val="20"/>
                <w:szCs w:val="20"/>
              </w:rPr>
            </w:pPr>
          </w:p>
          <w:p w14:paraId="302E72EB" w14:textId="43678ECF" w:rsidR="00CA737D" w:rsidRPr="00FA7DEB" w:rsidRDefault="00CA737D" w:rsidP="003E3503">
            <w:pPr>
              <w:keepNext/>
              <w:rPr>
                <w:rFonts w:asciiTheme="minorHAnsi" w:hAnsiTheme="minorHAnsi" w:cstheme="minorHAnsi"/>
                <w:sz w:val="20"/>
                <w:szCs w:val="20"/>
              </w:rPr>
            </w:pPr>
            <w:r w:rsidRPr="00FA7DEB">
              <w:rPr>
                <w:rFonts w:asciiTheme="minorHAnsi" w:hAnsiTheme="minorHAnsi" w:cstheme="minorHAnsi"/>
                <w:sz w:val="20"/>
                <w:szCs w:val="20"/>
              </w:rPr>
              <w:t>Roche Products Pty Ltd</w:t>
            </w:r>
          </w:p>
        </w:tc>
      </w:tr>
      <w:tr w:rsidR="00CA737D" w:rsidRPr="00C254D9" w14:paraId="55CEE99B" w14:textId="77777777" w:rsidTr="003E3503">
        <w:trPr>
          <w:cantSplit/>
          <w:trHeight w:val="577"/>
        </w:trPr>
        <w:tc>
          <w:tcPr>
            <w:tcW w:w="3261" w:type="dxa"/>
            <w:vAlign w:val="center"/>
          </w:tcPr>
          <w:p w14:paraId="6E9B9A42" w14:textId="7EC578DD" w:rsidR="00CA737D" w:rsidRPr="00CF3AE3" w:rsidRDefault="00CA737D" w:rsidP="003E3503">
            <w:pPr>
              <w:keepNext/>
              <w:spacing w:after="0"/>
              <w:ind w:left="-108"/>
              <w:rPr>
                <w:rFonts w:asciiTheme="minorHAnsi" w:hAnsiTheme="minorHAnsi" w:cstheme="minorHAnsi"/>
                <w:sz w:val="20"/>
                <w:szCs w:val="20"/>
              </w:rPr>
            </w:pPr>
            <w:r w:rsidRPr="00CF3AE3">
              <w:rPr>
                <w:rFonts w:asciiTheme="minorHAnsi" w:hAnsiTheme="minorHAnsi" w:cstheme="minorHAnsi"/>
                <w:sz w:val="20"/>
                <w:szCs w:val="20"/>
              </w:rPr>
              <w:t>C</w:t>
            </w:r>
            <w:r w:rsidR="00690B96" w:rsidRPr="00CF3AE3">
              <w:rPr>
                <w:rFonts w:asciiTheme="minorHAnsi" w:hAnsiTheme="minorHAnsi" w:cstheme="minorHAnsi"/>
                <w:sz w:val="20"/>
                <w:szCs w:val="20"/>
              </w:rPr>
              <w:t>RIZOTINIB</w:t>
            </w:r>
          </w:p>
          <w:p w14:paraId="1A62CAA8" w14:textId="06AFEA25" w:rsidR="00CA737D" w:rsidRPr="00FA7DEB" w:rsidRDefault="00CA737D" w:rsidP="003E3503">
            <w:pPr>
              <w:keepNext/>
              <w:spacing w:after="0"/>
              <w:ind w:left="-108"/>
              <w:rPr>
                <w:rFonts w:asciiTheme="minorHAnsi" w:hAnsiTheme="minorHAnsi" w:cstheme="minorHAnsi"/>
                <w:sz w:val="20"/>
                <w:szCs w:val="20"/>
              </w:rPr>
            </w:pPr>
            <w:r w:rsidRPr="00FA7DEB">
              <w:rPr>
                <w:rFonts w:asciiTheme="minorHAnsi" w:hAnsiTheme="minorHAnsi" w:cstheme="minorHAnsi"/>
                <w:sz w:val="20"/>
                <w:szCs w:val="20"/>
              </w:rPr>
              <w:t>200  mg capsule, 60</w:t>
            </w:r>
          </w:p>
          <w:p w14:paraId="351C3A76" w14:textId="0DDBF7BD" w:rsidR="00CA737D" w:rsidRPr="00FA7DEB" w:rsidRDefault="00CA737D" w:rsidP="003E3503">
            <w:pPr>
              <w:keepNext/>
              <w:spacing w:after="0"/>
              <w:ind w:left="-108"/>
              <w:rPr>
                <w:rFonts w:asciiTheme="minorHAnsi" w:hAnsiTheme="minorHAnsi" w:cstheme="minorHAnsi"/>
                <w:sz w:val="20"/>
                <w:szCs w:val="20"/>
              </w:rPr>
            </w:pPr>
            <w:r w:rsidRPr="00FA7DEB">
              <w:rPr>
                <w:rFonts w:asciiTheme="minorHAnsi" w:hAnsiTheme="minorHAnsi" w:cstheme="minorHAnsi"/>
                <w:sz w:val="20"/>
                <w:szCs w:val="20"/>
              </w:rPr>
              <w:t>250  mg capsule, 60</w:t>
            </w:r>
          </w:p>
        </w:tc>
        <w:tc>
          <w:tcPr>
            <w:tcW w:w="567" w:type="dxa"/>
            <w:vAlign w:val="center"/>
          </w:tcPr>
          <w:p w14:paraId="5E43CDC1" w14:textId="77777777" w:rsidR="00CA737D" w:rsidRPr="00FA7DEB" w:rsidRDefault="00CA737D" w:rsidP="003E3503">
            <w:pPr>
              <w:keepNext/>
              <w:ind w:left="-108"/>
              <w:rPr>
                <w:rFonts w:asciiTheme="minorHAnsi" w:hAnsiTheme="minorHAnsi" w:cstheme="minorHAnsi"/>
                <w:sz w:val="20"/>
                <w:szCs w:val="20"/>
              </w:rPr>
            </w:pPr>
          </w:p>
          <w:p w14:paraId="16FB9F34" w14:textId="6A394B50" w:rsidR="00CA737D" w:rsidRPr="00FA7DEB" w:rsidRDefault="00CA737D" w:rsidP="003E3503">
            <w:pPr>
              <w:keepNext/>
              <w:ind w:left="-108"/>
              <w:rPr>
                <w:rFonts w:asciiTheme="minorHAnsi" w:hAnsiTheme="minorHAnsi" w:cstheme="minorHAnsi"/>
                <w:sz w:val="20"/>
                <w:szCs w:val="20"/>
              </w:rPr>
            </w:pPr>
            <w:r w:rsidRPr="00FA7DEB">
              <w:rPr>
                <w:rFonts w:asciiTheme="minorHAnsi" w:hAnsiTheme="minorHAnsi" w:cstheme="minorHAnsi"/>
                <w:sz w:val="20"/>
                <w:szCs w:val="20"/>
              </w:rPr>
              <w:t>1</w:t>
            </w:r>
          </w:p>
        </w:tc>
        <w:tc>
          <w:tcPr>
            <w:tcW w:w="850" w:type="dxa"/>
            <w:vAlign w:val="center"/>
          </w:tcPr>
          <w:p w14:paraId="4FAF5E69" w14:textId="77777777" w:rsidR="00CA737D" w:rsidRPr="00FA7DEB" w:rsidRDefault="00CA737D" w:rsidP="003E3503">
            <w:pPr>
              <w:keepNext/>
              <w:ind w:left="-108"/>
              <w:rPr>
                <w:rFonts w:asciiTheme="minorHAnsi" w:hAnsiTheme="minorHAnsi" w:cstheme="minorHAnsi"/>
                <w:sz w:val="20"/>
                <w:szCs w:val="20"/>
              </w:rPr>
            </w:pPr>
          </w:p>
          <w:p w14:paraId="4E175BAA" w14:textId="2609BC23" w:rsidR="00CA737D" w:rsidRPr="00FA7DEB" w:rsidRDefault="00CF3AE3" w:rsidP="003E3503">
            <w:pPr>
              <w:keepNext/>
              <w:ind w:left="-108"/>
              <w:rPr>
                <w:rFonts w:asciiTheme="minorHAnsi" w:hAnsiTheme="minorHAnsi" w:cstheme="minorHAnsi"/>
                <w:sz w:val="20"/>
                <w:szCs w:val="20"/>
              </w:rPr>
            </w:pPr>
            <w:r w:rsidRPr="00CF3AE3">
              <w:rPr>
                <w:rFonts w:asciiTheme="minorHAnsi" w:hAnsiTheme="minorHAnsi" w:cstheme="minorHAnsi"/>
                <w:strike/>
                <w:sz w:val="20"/>
                <w:szCs w:val="20"/>
              </w:rPr>
              <w:t>1</w:t>
            </w:r>
            <w:r w:rsidR="00CA737D" w:rsidRPr="00CF3AE3">
              <w:rPr>
                <w:rFonts w:asciiTheme="minorHAnsi" w:hAnsiTheme="minorHAnsi" w:cstheme="minorHAnsi"/>
                <w:i/>
                <w:sz w:val="20"/>
                <w:szCs w:val="20"/>
              </w:rPr>
              <w:t>3</w:t>
            </w:r>
          </w:p>
        </w:tc>
        <w:tc>
          <w:tcPr>
            <w:tcW w:w="1559" w:type="dxa"/>
            <w:vAlign w:val="center"/>
          </w:tcPr>
          <w:p w14:paraId="26578C76" w14:textId="77777777" w:rsidR="00CA737D" w:rsidRPr="00FA7DEB" w:rsidRDefault="00CA737D" w:rsidP="003E3503">
            <w:pPr>
              <w:keepNext/>
              <w:rPr>
                <w:rFonts w:asciiTheme="minorHAnsi" w:hAnsiTheme="minorHAnsi" w:cstheme="minorHAnsi"/>
                <w:sz w:val="20"/>
                <w:szCs w:val="20"/>
              </w:rPr>
            </w:pPr>
          </w:p>
          <w:p w14:paraId="7124776D" w14:textId="05C4F1D7" w:rsidR="00CA737D" w:rsidRPr="00FA7DEB" w:rsidRDefault="00CA737D" w:rsidP="003E3503">
            <w:pPr>
              <w:keepNext/>
              <w:rPr>
                <w:rFonts w:asciiTheme="minorHAnsi" w:hAnsiTheme="minorHAnsi" w:cstheme="minorHAnsi"/>
                <w:sz w:val="20"/>
                <w:szCs w:val="20"/>
              </w:rPr>
            </w:pPr>
            <w:r w:rsidRPr="00FA7DEB">
              <w:rPr>
                <w:rFonts w:asciiTheme="minorHAnsi" w:hAnsiTheme="minorHAnsi" w:cstheme="minorHAnsi"/>
                <w:sz w:val="20"/>
                <w:szCs w:val="20"/>
              </w:rPr>
              <w:t>Xalkori</w:t>
            </w:r>
          </w:p>
        </w:tc>
        <w:tc>
          <w:tcPr>
            <w:tcW w:w="2410" w:type="dxa"/>
            <w:vAlign w:val="center"/>
          </w:tcPr>
          <w:p w14:paraId="643AA2E6" w14:textId="77777777" w:rsidR="00CA737D" w:rsidRPr="00FA7DEB" w:rsidRDefault="00CA737D" w:rsidP="003E3503">
            <w:pPr>
              <w:keepNext/>
              <w:rPr>
                <w:rFonts w:asciiTheme="minorHAnsi" w:hAnsiTheme="minorHAnsi" w:cstheme="minorHAnsi"/>
                <w:sz w:val="20"/>
                <w:szCs w:val="20"/>
              </w:rPr>
            </w:pPr>
          </w:p>
          <w:p w14:paraId="1F06754E" w14:textId="1E8BF037" w:rsidR="00CA737D" w:rsidRPr="00FA7DEB" w:rsidRDefault="00CA737D" w:rsidP="003E3503">
            <w:pPr>
              <w:keepNext/>
              <w:rPr>
                <w:rFonts w:asciiTheme="minorHAnsi" w:hAnsiTheme="minorHAnsi" w:cstheme="minorHAnsi"/>
                <w:sz w:val="20"/>
                <w:szCs w:val="20"/>
              </w:rPr>
            </w:pPr>
            <w:r w:rsidRPr="00FA7DEB">
              <w:rPr>
                <w:rFonts w:asciiTheme="minorHAnsi" w:hAnsiTheme="minorHAnsi" w:cstheme="minorHAnsi"/>
                <w:sz w:val="20"/>
                <w:szCs w:val="20"/>
              </w:rPr>
              <w:t>Pfizer Australia Pty Ltd</w:t>
            </w:r>
          </w:p>
        </w:tc>
      </w:tr>
      <w:tr w:rsidR="00C400C5" w:rsidRPr="00C254D9" w14:paraId="78527B26" w14:textId="77777777" w:rsidTr="003E3503">
        <w:trPr>
          <w:cantSplit/>
          <w:trHeight w:val="577"/>
        </w:trPr>
        <w:tc>
          <w:tcPr>
            <w:tcW w:w="3261" w:type="dxa"/>
            <w:vAlign w:val="center"/>
          </w:tcPr>
          <w:p w14:paraId="1B191998" w14:textId="77777777" w:rsidR="00C400C5" w:rsidRDefault="00C400C5" w:rsidP="003E3503">
            <w:pPr>
              <w:keepNext/>
              <w:spacing w:after="0"/>
              <w:ind w:left="-108"/>
              <w:rPr>
                <w:rFonts w:asciiTheme="minorHAnsi" w:hAnsiTheme="minorHAnsi" w:cstheme="minorHAnsi"/>
                <w:sz w:val="20"/>
                <w:szCs w:val="20"/>
              </w:rPr>
            </w:pPr>
            <w:r>
              <w:rPr>
                <w:rFonts w:asciiTheme="minorHAnsi" w:hAnsiTheme="minorHAnsi" w:cstheme="minorHAnsi"/>
                <w:sz w:val="20"/>
                <w:szCs w:val="20"/>
              </w:rPr>
              <w:t>CERITINIB</w:t>
            </w:r>
          </w:p>
          <w:p w14:paraId="5F254EC1" w14:textId="72B242F9" w:rsidR="00C400C5" w:rsidRPr="00CF3AE3" w:rsidRDefault="00C400C5" w:rsidP="003E3503">
            <w:pPr>
              <w:keepNext/>
              <w:spacing w:after="0"/>
              <w:ind w:left="-108"/>
              <w:rPr>
                <w:rFonts w:asciiTheme="minorHAnsi" w:hAnsiTheme="minorHAnsi" w:cstheme="minorHAnsi"/>
                <w:sz w:val="20"/>
                <w:szCs w:val="20"/>
              </w:rPr>
            </w:pPr>
            <w:r>
              <w:rPr>
                <w:rFonts w:asciiTheme="minorHAnsi" w:hAnsiTheme="minorHAnsi" w:cstheme="minorHAnsi"/>
                <w:sz w:val="20"/>
                <w:szCs w:val="20"/>
              </w:rPr>
              <w:t>150 mg capsule, 3x 50</w:t>
            </w:r>
          </w:p>
        </w:tc>
        <w:tc>
          <w:tcPr>
            <w:tcW w:w="567" w:type="dxa"/>
            <w:vAlign w:val="center"/>
          </w:tcPr>
          <w:p w14:paraId="354B36C7" w14:textId="3BC02FD6" w:rsidR="00C400C5" w:rsidRPr="00FA7DEB" w:rsidRDefault="00C400C5" w:rsidP="003E3503">
            <w:pPr>
              <w:keepNext/>
              <w:ind w:left="-108"/>
              <w:rPr>
                <w:rFonts w:asciiTheme="minorHAnsi" w:hAnsiTheme="minorHAnsi" w:cstheme="minorHAnsi"/>
                <w:sz w:val="20"/>
                <w:szCs w:val="20"/>
              </w:rPr>
            </w:pPr>
            <w:r>
              <w:rPr>
                <w:rFonts w:asciiTheme="minorHAnsi" w:hAnsiTheme="minorHAnsi" w:cstheme="minorHAnsi"/>
                <w:sz w:val="20"/>
                <w:szCs w:val="20"/>
              </w:rPr>
              <w:t>1</w:t>
            </w:r>
          </w:p>
        </w:tc>
        <w:tc>
          <w:tcPr>
            <w:tcW w:w="850" w:type="dxa"/>
            <w:vAlign w:val="center"/>
          </w:tcPr>
          <w:p w14:paraId="21814304" w14:textId="001681D5" w:rsidR="00C400C5" w:rsidRPr="00FA7DEB" w:rsidRDefault="00D017F9" w:rsidP="003E3503">
            <w:pPr>
              <w:keepNext/>
              <w:ind w:left="-108"/>
              <w:rPr>
                <w:rFonts w:asciiTheme="minorHAnsi" w:hAnsiTheme="minorHAnsi" w:cstheme="minorHAnsi"/>
                <w:sz w:val="20"/>
                <w:szCs w:val="20"/>
              </w:rPr>
            </w:pPr>
            <w:r w:rsidRPr="003E3503">
              <w:rPr>
                <w:rFonts w:asciiTheme="minorHAnsi" w:hAnsiTheme="minorHAnsi" w:cstheme="minorHAnsi"/>
                <w:strike/>
                <w:sz w:val="20"/>
                <w:szCs w:val="20"/>
              </w:rPr>
              <w:t>1</w:t>
            </w:r>
            <w:r w:rsidRPr="003E3503">
              <w:rPr>
                <w:rFonts w:asciiTheme="minorHAnsi" w:hAnsiTheme="minorHAnsi" w:cstheme="minorHAnsi"/>
                <w:i/>
                <w:sz w:val="20"/>
                <w:szCs w:val="20"/>
              </w:rPr>
              <w:t>3</w:t>
            </w:r>
          </w:p>
        </w:tc>
        <w:tc>
          <w:tcPr>
            <w:tcW w:w="1559" w:type="dxa"/>
            <w:vAlign w:val="center"/>
          </w:tcPr>
          <w:p w14:paraId="76F4B84E" w14:textId="6F792DF3" w:rsidR="00C400C5" w:rsidRPr="00FA7DEB" w:rsidRDefault="00C400C5" w:rsidP="003E3503">
            <w:pPr>
              <w:keepNext/>
              <w:rPr>
                <w:rFonts w:asciiTheme="minorHAnsi" w:hAnsiTheme="minorHAnsi" w:cstheme="minorHAnsi"/>
                <w:sz w:val="20"/>
                <w:szCs w:val="20"/>
              </w:rPr>
            </w:pPr>
            <w:r>
              <w:rPr>
                <w:rFonts w:asciiTheme="minorHAnsi" w:hAnsiTheme="minorHAnsi" w:cstheme="minorHAnsi"/>
                <w:sz w:val="20"/>
                <w:szCs w:val="20"/>
              </w:rPr>
              <w:t>Zykadia</w:t>
            </w:r>
          </w:p>
        </w:tc>
        <w:tc>
          <w:tcPr>
            <w:tcW w:w="2410" w:type="dxa"/>
            <w:vAlign w:val="center"/>
          </w:tcPr>
          <w:p w14:paraId="254F8FF5" w14:textId="564E8A8B" w:rsidR="00C400C5" w:rsidRPr="00FA7DEB" w:rsidRDefault="00C400C5" w:rsidP="003E3503">
            <w:pPr>
              <w:keepNext/>
              <w:rPr>
                <w:rFonts w:asciiTheme="minorHAnsi" w:hAnsiTheme="minorHAnsi" w:cstheme="minorHAnsi"/>
                <w:sz w:val="20"/>
                <w:szCs w:val="20"/>
              </w:rPr>
            </w:pPr>
            <w:r>
              <w:rPr>
                <w:rFonts w:asciiTheme="minorHAnsi" w:hAnsiTheme="minorHAnsi" w:cstheme="minorHAnsi"/>
                <w:sz w:val="20"/>
                <w:szCs w:val="20"/>
              </w:rPr>
              <w:t>Novartis Pharmaceuticals Australia Pty Ltd</w:t>
            </w:r>
          </w:p>
        </w:tc>
      </w:tr>
    </w:tbl>
    <w:p w14:paraId="2D697E4D" w14:textId="7D8FEE9D" w:rsidR="0096138C" w:rsidRPr="0096138C" w:rsidRDefault="0096138C" w:rsidP="0096138C">
      <w:pPr>
        <w:numPr>
          <w:ilvl w:val="0"/>
          <w:numId w:val="1"/>
        </w:numPr>
        <w:spacing w:before="120" w:after="120" w:line="240" w:lineRule="auto"/>
        <w:ind w:left="709" w:hanging="709"/>
        <w:outlineLvl w:val="0"/>
        <w:rPr>
          <w:rFonts w:asciiTheme="minorHAnsi" w:eastAsia="Times New Roman" w:hAnsiTheme="minorHAnsi" w:cs="Arial"/>
          <w:b/>
          <w:snapToGrid w:val="0"/>
          <w:sz w:val="32"/>
          <w:szCs w:val="32"/>
        </w:rPr>
      </w:pPr>
      <w:r w:rsidRPr="0096138C">
        <w:rPr>
          <w:rFonts w:asciiTheme="minorHAnsi" w:eastAsia="Times New Roman" w:hAnsiTheme="minorHAnsi" w:cs="Arial"/>
          <w:b/>
          <w:snapToGrid w:val="0"/>
          <w:sz w:val="32"/>
          <w:szCs w:val="32"/>
        </w:rPr>
        <w:t>Context for Decision</w:t>
      </w:r>
    </w:p>
    <w:p w14:paraId="431F2158" w14:textId="77777777" w:rsidR="0096138C" w:rsidRPr="00167BA5" w:rsidRDefault="0096138C" w:rsidP="00607DE5">
      <w:pPr>
        <w:spacing w:before="120" w:after="120" w:line="240" w:lineRule="auto"/>
        <w:jc w:val="both"/>
        <w:rPr>
          <w:rFonts w:asciiTheme="minorHAnsi" w:hAnsiTheme="minorHAnsi" w:cstheme="minorHAnsi"/>
        </w:rPr>
      </w:pPr>
      <w:r w:rsidRPr="00167BA5">
        <w:rPr>
          <w:rFonts w:asciiTheme="minorHAnsi" w:hAnsiTheme="minorHAnsi" w:cstheme="minorHAnsi"/>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36E5D10" w14:textId="77777777" w:rsidR="0096138C" w:rsidRPr="0096138C" w:rsidRDefault="0096138C" w:rsidP="0096138C">
      <w:pPr>
        <w:numPr>
          <w:ilvl w:val="0"/>
          <w:numId w:val="1"/>
        </w:numPr>
        <w:spacing w:before="120" w:after="120" w:line="240" w:lineRule="auto"/>
        <w:ind w:left="709" w:hanging="709"/>
        <w:outlineLvl w:val="0"/>
        <w:rPr>
          <w:rFonts w:asciiTheme="minorHAnsi" w:eastAsia="Times New Roman" w:hAnsiTheme="minorHAnsi" w:cs="Arial"/>
          <w:b/>
          <w:snapToGrid w:val="0"/>
          <w:sz w:val="32"/>
          <w:szCs w:val="32"/>
        </w:rPr>
      </w:pPr>
      <w:r w:rsidRPr="0096138C">
        <w:rPr>
          <w:rFonts w:asciiTheme="minorHAnsi" w:eastAsia="Times New Roman" w:hAnsiTheme="minorHAnsi" w:cs="Arial"/>
          <w:b/>
          <w:snapToGrid w:val="0"/>
          <w:sz w:val="32"/>
          <w:szCs w:val="32"/>
        </w:rPr>
        <w:t>Sponsor’s Comment</w:t>
      </w:r>
    </w:p>
    <w:p w14:paraId="1E8F9D27" w14:textId="63707F00" w:rsidR="0096138C" w:rsidRPr="0096138C" w:rsidRDefault="0096138C" w:rsidP="0096138C">
      <w:pPr>
        <w:spacing w:before="120" w:after="120" w:line="240" w:lineRule="auto"/>
        <w:jc w:val="both"/>
        <w:rPr>
          <w:rFonts w:asciiTheme="minorHAnsi" w:hAnsiTheme="minorHAnsi" w:cs="Arial"/>
          <w:bCs/>
        </w:rPr>
      </w:pPr>
      <w:r>
        <w:rPr>
          <w:rFonts w:asciiTheme="minorHAnsi" w:hAnsiTheme="minorHAnsi" w:cs="Arial"/>
          <w:bCs/>
        </w:rPr>
        <w:t>The sponsor had no comment.</w:t>
      </w:r>
    </w:p>
    <w:sectPr w:rsidR="0096138C" w:rsidRPr="0096138C" w:rsidSect="000426DB">
      <w:headerReference w:type="default" r:id="rId7"/>
      <w:footerReference w:type="default" r:id="rId8"/>
      <w:pgSz w:w="11906" w:h="16838"/>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397A05" w14:textId="77777777" w:rsidR="00C32D3B" w:rsidRDefault="00C32D3B" w:rsidP="00C32D3B">
      <w:pPr>
        <w:spacing w:after="0" w:line="240" w:lineRule="auto"/>
      </w:pPr>
      <w:r>
        <w:separator/>
      </w:r>
    </w:p>
  </w:endnote>
  <w:endnote w:type="continuationSeparator" w:id="0">
    <w:p w14:paraId="008C027F" w14:textId="77777777" w:rsidR="00C32D3B" w:rsidRDefault="00C32D3B" w:rsidP="00C32D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EA87" w14:textId="77777777" w:rsidR="00295359" w:rsidRDefault="00295359" w:rsidP="00295359">
    <w:pPr>
      <w:pStyle w:val="Footer"/>
      <w:jc w:val="center"/>
      <w:rPr>
        <w:caps/>
      </w:rPr>
    </w:pPr>
  </w:p>
  <w:p w14:paraId="75AA7D49" w14:textId="17E72D8F" w:rsidR="00AD1398" w:rsidRPr="00DA4142" w:rsidRDefault="00AD1398" w:rsidP="00295359">
    <w:pPr>
      <w:pStyle w:val="Footer"/>
      <w:jc w:val="center"/>
      <w:rPr>
        <w:b/>
        <w:bCs/>
        <w:caps/>
        <w:noProof/>
      </w:rPr>
    </w:pPr>
    <w:r w:rsidRPr="00DA4142">
      <w:rPr>
        <w:b/>
        <w:bCs/>
        <w:caps/>
      </w:rPr>
      <w:fldChar w:fldCharType="begin"/>
    </w:r>
    <w:r w:rsidRPr="00DA4142">
      <w:rPr>
        <w:b/>
        <w:bCs/>
        <w:caps/>
      </w:rPr>
      <w:instrText xml:space="preserve"> PAGE   \* MERGEFORMAT </w:instrText>
    </w:r>
    <w:r w:rsidRPr="00DA4142">
      <w:rPr>
        <w:b/>
        <w:bCs/>
        <w:caps/>
      </w:rPr>
      <w:fldChar w:fldCharType="separate"/>
    </w:r>
    <w:r w:rsidR="007C1F24">
      <w:rPr>
        <w:b/>
        <w:bCs/>
        <w:caps/>
        <w:noProof/>
      </w:rPr>
      <w:t>3</w:t>
    </w:r>
    <w:r w:rsidRPr="00DA4142">
      <w:rPr>
        <w:b/>
        <w:bCs/>
        <w:cap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14C55" w14:textId="77777777" w:rsidR="00C32D3B" w:rsidRDefault="00C32D3B" w:rsidP="00C32D3B">
      <w:pPr>
        <w:spacing w:after="0" w:line="240" w:lineRule="auto"/>
      </w:pPr>
      <w:r>
        <w:separator/>
      </w:r>
    </w:p>
  </w:footnote>
  <w:footnote w:type="continuationSeparator" w:id="0">
    <w:p w14:paraId="55D1C168" w14:textId="77777777" w:rsidR="00C32D3B" w:rsidRDefault="00C32D3B" w:rsidP="00C32D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3B1CB" w14:textId="29C51964" w:rsidR="00C32D3B" w:rsidRPr="00AD1398" w:rsidRDefault="00152CC9" w:rsidP="00C32D3B">
    <w:pPr>
      <w:pStyle w:val="Header"/>
      <w:jc w:val="center"/>
      <w:rPr>
        <w:rFonts w:asciiTheme="minorHAnsi" w:hAnsiTheme="minorHAnsi" w:cstheme="minorHAnsi"/>
        <w:i/>
      </w:rPr>
    </w:pPr>
    <w:r>
      <w:rPr>
        <w:rFonts w:asciiTheme="minorHAnsi" w:hAnsiTheme="minorHAnsi" w:cstheme="minorHAnsi"/>
        <w:i/>
      </w:rPr>
      <w:t>Public Summary Document</w:t>
    </w:r>
    <w:r w:rsidR="00C32D3B" w:rsidRPr="00AD1398">
      <w:rPr>
        <w:rFonts w:asciiTheme="minorHAnsi" w:hAnsiTheme="minorHAnsi" w:cstheme="minorHAnsi"/>
        <w:i/>
      </w:rPr>
      <w:t xml:space="preserve"> – </w:t>
    </w:r>
    <w:r w:rsidR="00AD1398">
      <w:rPr>
        <w:rFonts w:asciiTheme="minorHAnsi" w:hAnsiTheme="minorHAnsi" w:cstheme="minorHAnsi"/>
        <w:i/>
      </w:rPr>
      <w:t xml:space="preserve">November </w:t>
    </w:r>
    <w:r w:rsidR="00C32D3B" w:rsidRPr="00AD1398">
      <w:rPr>
        <w:rFonts w:asciiTheme="minorHAnsi" w:hAnsiTheme="minorHAnsi" w:cstheme="minorHAnsi"/>
        <w:i/>
      </w:rPr>
      <w:t>2019 PBAC Meeting</w:t>
    </w:r>
  </w:p>
  <w:p w14:paraId="7A4622D8" w14:textId="77777777" w:rsidR="00295359" w:rsidRDefault="00295359" w:rsidP="00AD139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D033C"/>
    <w:multiLevelType w:val="multilevel"/>
    <w:tmpl w:val="5B38CE70"/>
    <w:lvl w:ilvl="0">
      <w:start w:val="1"/>
      <w:numFmt w:val="decimal"/>
      <w:pStyle w:val="ListNumber"/>
      <w:lvlText w:val="%1"/>
      <w:lvlJc w:val="left"/>
      <w:pPr>
        <w:ind w:left="720" w:hanging="720"/>
      </w:pPr>
      <w:rPr>
        <w:b/>
      </w:rPr>
    </w:lvl>
    <w:lvl w:ilvl="1">
      <w:start w:val="1"/>
      <w:numFmt w:val="decimal"/>
      <w:lvlText w:val="%1.%2"/>
      <w:lvlJc w:val="left"/>
      <w:pPr>
        <w:ind w:left="720" w:hanging="720"/>
      </w:pPr>
      <w:rPr>
        <w:rFonts w:asciiTheme="minorHAnsi" w:hAnsiTheme="minorHAnsi" w:cstheme="minorHAnsi"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78BE656F"/>
    <w:multiLevelType w:val="multilevel"/>
    <w:tmpl w:val="D7FC9746"/>
    <w:lvl w:ilvl="0">
      <w:start w:val="4"/>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szCs w:val="22"/>
      </w:rPr>
    </w:lvl>
    <w:lvl w:ilvl="2">
      <w:start w:val="1"/>
      <w:numFmt w:val="bullet"/>
      <w:lvlText w:val=""/>
      <w:lvlJc w:val="left"/>
      <w:pPr>
        <w:ind w:left="720" w:hanging="720"/>
      </w:pPr>
      <w:rPr>
        <w:rFonts w:ascii="Symbol" w:hAnsi="Symbol"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BD"/>
    <w:rsid w:val="00003BF6"/>
    <w:rsid w:val="00024716"/>
    <w:rsid w:val="000426DB"/>
    <w:rsid w:val="00085602"/>
    <w:rsid w:val="000C211E"/>
    <w:rsid w:val="000C71D9"/>
    <w:rsid w:val="000E3C05"/>
    <w:rsid w:val="00106E25"/>
    <w:rsid w:val="00107C31"/>
    <w:rsid w:val="001301D9"/>
    <w:rsid w:val="00152CC9"/>
    <w:rsid w:val="00163D72"/>
    <w:rsid w:val="00170A2C"/>
    <w:rsid w:val="00182873"/>
    <w:rsid w:val="00201AD7"/>
    <w:rsid w:val="0020572C"/>
    <w:rsid w:val="00253219"/>
    <w:rsid w:val="00274127"/>
    <w:rsid w:val="00280050"/>
    <w:rsid w:val="00287E48"/>
    <w:rsid w:val="00295359"/>
    <w:rsid w:val="002C1AD5"/>
    <w:rsid w:val="002D6AF5"/>
    <w:rsid w:val="002F67E6"/>
    <w:rsid w:val="0030562F"/>
    <w:rsid w:val="003448A3"/>
    <w:rsid w:val="003512BA"/>
    <w:rsid w:val="00355D64"/>
    <w:rsid w:val="003723D2"/>
    <w:rsid w:val="0037798C"/>
    <w:rsid w:val="00394708"/>
    <w:rsid w:val="003D4924"/>
    <w:rsid w:val="003E3503"/>
    <w:rsid w:val="003F292D"/>
    <w:rsid w:val="00425A0A"/>
    <w:rsid w:val="00435024"/>
    <w:rsid w:val="004363EB"/>
    <w:rsid w:val="0046175D"/>
    <w:rsid w:val="00465112"/>
    <w:rsid w:val="00473A07"/>
    <w:rsid w:val="00496764"/>
    <w:rsid w:val="004A12E3"/>
    <w:rsid w:val="004D123C"/>
    <w:rsid w:val="004F2C94"/>
    <w:rsid w:val="00516E71"/>
    <w:rsid w:val="005316BF"/>
    <w:rsid w:val="00546DFD"/>
    <w:rsid w:val="00546E24"/>
    <w:rsid w:val="005714D3"/>
    <w:rsid w:val="005764E9"/>
    <w:rsid w:val="005B0F26"/>
    <w:rsid w:val="005E2D2A"/>
    <w:rsid w:val="005E7B57"/>
    <w:rsid w:val="00607DE5"/>
    <w:rsid w:val="00610945"/>
    <w:rsid w:val="0061444F"/>
    <w:rsid w:val="00614CF5"/>
    <w:rsid w:val="0062633E"/>
    <w:rsid w:val="006748CE"/>
    <w:rsid w:val="00674940"/>
    <w:rsid w:val="00675E42"/>
    <w:rsid w:val="00690B96"/>
    <w:rsid w:val="006A51CA"/>
    <w:rsid w:val="006B4099"/>
    <w:rsid w:val="006C4306"/>
    <w:rsid w:val="006D4379"/>
    <w:rsid w:val="006D7C7D"/>
    <w:rsid w:val="006F402E"/>
    <w:rsid w:val="007534A9"/>
    <w:rsid w:val="007577BD"/>
    <w:rsid w:val="007A2E7B"/>
    <w:rsid w:val="007C1F24"/>
    <w:rsid w:val="007C42C2"/>
    <w:rsid w:val="007C664F"/>
    <w:rsid w:val="00804C2E"/>
    <w:rsid w:val="0082465D"/>
    <w:rsid w:val="00841F67"/>
    <w:rsid w:val="00854B8F"/>
    <w:rsid w:val="008846F9"/>
    <w:rsid w:val="0088629B"/>
    <w:rsid w:val="00894B24"/>
    <w:rsid w:val="008A513C"/>
    <w:rsid w:val="008B54A2"/>
    <w:rsid w:val="008C66B6"/>
    <w:rsid w:val="008D1066"/>
    <w:rsid w:val="0090012F"/>
    <w:rsid w:val="00911397"/>
    <w:rsid w:val="00912A4B"/>
    <w:rsid w:val="00936EFE"/>
    <w:rsid w:val="0093732C"/>
    <w:rsid w:val="00957DA7"/>
    <w:rsid w:val="0096138C"/>
    <w:rsid w:val="009C0EFB"/>
    <w:rsid w:val="009E434F"/>
    <w:rsid w:val="00A03F80"/>
    <w:rsid w:val="00A07D9B"/>
    <w:rsid w:val="00A162BC"/>
    <w:rsid w:val="00A173FC"/>
    <w:rsid w:val="00A45724"/>
    <w:rsid w:val="00A639BB"/>
    <w:rsid w:val="00A739E5"/>
    <w:rsid w:val="00A81B52"/>
    <w:rsid w:val="00A83C4C"/>
    <w:rsid w:val="00AC2440"/>
    <w:rsid w:val="00AD1398"/>
    <w:rsid w:val="00AE4417"/>
    <w:rsid w:val="00AE69C5"/>
    <w:rsid w:val="00AE76C8"/>
    <w:rsid w:val="00AF328E"/>
    <w:rsid w:val="00B12A97"/>
    <w:rsid w:val="00B40B7D"/>
    <w:rsid w:val="00B4700B"/>
    <w:rsid w:val="00B50444"/>
    <w:rsid w:val="00BB1528"/>
    <w:rsid w:val="00BB21DB"/>
    <w:rsid w:val="00BC7675"/>
    <w:rsid w:val="00BD2FB6"/>
    <w:rsid w:val="00C103C6"/>
    <w:rsid w:val="00C32D3B"/>
    <w:rsid w:val="00C400C5"/>
    <w:rsid w:val="00C46834"/>
    <w:rsid w:val="00C656F4"/>
    <w:rsid w:val="00C74603"/>
    <w:rsid w:val="00C82E54"/>
    <w:rsid w:val="00C8699F"/>
    <w:rsid w:val="00C9046D"/>
    <w:rsid w:val="00CA0FE1"/>
    <w:rsid w:val="00CA2723"/>
    <w:rsid w:val="00CA6140"/>
    <w:rsid w:val="00CA737D"/>
    <w:rsid w:val="00CB2D01"/>
    <w:rsid w:val="00CE7B02"/>
    <w:rsid w:val="00CF3AE3"/>
    <w:rsid w:val="00D017F9"/>
    <w:rsid w:val="00D1544A"/>
    <w:rsid w:val="00D17198"/>
    <w:rsid w:val="00D324CC"/>
    <w:rsid w:val="00D7213D"/>
    <w:rsid w:val="00D7775A"/>
    <w:rsid w:val="00D90BA7"/>
    <w:rsid w:val="00DA3827"/>
    <w:rsid w:val="00DA4142"/>
    <w:rsid w:val="00DC5EC9"/>
    <w:rsid w:val="00DD1525"/>
    <w:rsid w:val="00EA31EF"/>
    <w:rsid w:val="00EC2000"/>
    <w:rsid w:val="00ED2A31"/>
    <w:rsid w:val="00EF5D65"/>
    <w:rsid w:val="00F14D6C"/>
    <w:rsid w:val="00F427CC"/>
    <w:rsid w:val="00F51CD0"/>
    <w:rsid w:val="00FA7DEB"/>
    <w:rsid w:val="00FB6163"/>
    <w:rsid w:val="00FE6A12"/>
    <w:rsid w:val="00FF6EDB"/>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A2F8C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66B6"/>
    <w:rPr>
      <w:rFonts w:ascii="Calibri" w:hAnsi="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7577BD"/>
    <w:pPr>
      <w:numPr>
        <w:numId w:val="1"/>
      </w:numPr>
      <w:spacing w:after="0" w:line="240" w:lineRule="auto"/>
      <w:contextualSpacing/>
    </w:pPr>
    <w:rPr>
      <w:rFonts w:eastAsia="Times New Roman"/>
      <w:lang w:eastAsia="en-AU"/>
    </w:rPr>
  </w:style>
  <w:style w:type="paragraph" w:styleId="BalloonText">
    <w:name w:val="Balloon Text"/>
    <w:basedOn w:val="Normal"/>
    <w:link w:val="BalloonTextChar"/>
    <w:uiPriority w:val="99"/>
    <w:semiHidden/>
    <w:unhideWhenUsed/>
    <w:rsid w:val="007C42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2C2"/>
    <w:rPr>
      <w:rFonts w:ascii="Segoe UI" w:hAnsi="Segoe UI" w:cs="Segoe UI"/>
      <w:sz w:val="18"/>
      <w:szCs w:val="18"/>
    </w:rPr>
  </w:style>
  <w:style w:type="character" w:styleId="CommentReference">
    <w:name w:val="annotation reference"/>
    <w:aliases w:val="Table Title"/>
    <w:basedOn w:val="DefaultParagraphFont"/>
    <w:uiPriority w:val="99"/>
    <w:unhideWhenUsed/>
    <w:qFormat/>
    <w:rsid w:val="00C74603"/>
    <w:rPr>
      <w:sz w:val="16"/>
      <w:szCs w:val="16"/>
    </w:rPr>
  </w:style>
  <w:style w:type="paragraph" w:styleId="CommentText">
    <w:name w:val="annotation text"/>
    <w:basedOn w:val="Normal"/>
    <w:link w:val="CommentTextChar"/>
    <w:uiPriority w:val="99"/>
    <w:unhideWhenUsed/>
    <w:rsid w:val="00C74603"/>
    <w:pPr>
      <w:spacing w:line="240" w:lineRule="auto"/>
    </w:pPr>
    <w:rPr>
      <w:sz w:val="20"/>
      <w:szCs w:val="20"/>
    </w:rPr>
  </w:style>
  <w:style w:type="character" w:customStyle="1" w:styleId="CommentTextChar">
    <w:name w:val="Comment Text Char"/>
    <w:basedOn w:val="DefaultParagraphFont"/>
    <w:link w:val="CommentText"/>
    <w:uiPriority w:val="99"/>
    <w:rsid w:val="00C74603"/>
    <w:rPr>
      <w:sz w:val="20"/>
      <w:szCs w:val="20"/>
    </w:rPr>
  </w:style>
  <w:style w:type="paragraph" w:styleId="CommentSubject">
    <w:name w:val="annotation subject"/>
    <w:basedOn w:val="CommentText"/>
    <w:next w:val="CommentText"/>
    <w:link w:val="CommentSubjectChar"/>
    <w:uiPriority w:val="99"/>
    <w:semiHidden/>
    <w:unhideWhenUsed/>
    <w:rsid w:val="00C74603"/>
    <w:rPr>
      <w:b/>
      <w:bCs/>
    </w:rPr>
  </w:style>
  <w:style w:type="character" w:customStyle="1" w:styleId="CommentSubjectChar">
    <w:name w:val="Comment Subject Char"/>
    <w:basedOn w:val="CommentTextChar"/>
    <w:link w:val="CommentSubject"/>
    <w:uiPriority w:val="99"/>
    <w:semiHidden/>
    <w:rsid w:val="00C74603"/>
    <w:rPr>
      <w:b/>
      <w:bCs/>
      <w:sz w:val="20"/>
      <w:szCs w:val="20"/>
    </w:rPr>
  </w:style>
  <w:style w:type="paragraph" w:styleId="ListParagraph">
    <w:name w:val="List Paragraph"/>
    <w:basedOn w:val="Normal"/>
    <w:uiPriority w:val="34"/>
    <w:qFormat/>
    <w:rsid w:val="002C1AD5"/>
    <w:pPr>
      <w:ind w:left="720"/>
      <w:contextualSpacing/>
    </w:pPr>
  </w:style>
  <w:style w:type="paragraph" w:customStyle="1" w:styleId="PBACHeading1">
    <w:name w:val="PBAC Heading 1"/>
    <w:qFormat/>
    <w:rsid w:val="002C1AD5"/>
    <w:pPr>
      <w:spacing w:after="0" w:line="240" w:lineRule="auto"/>
      <w:ind w:left="720" w:hanging="720"/>
      <w:outlineLvl w:val="0"/>
    </w:pPr>
    <w:rPr>
      <w:rFonts w:ascii="Arial" w:eastAsia="Times New Roman" w:hAnsi="Arial" w:cs="Arial"/>
      <w:b/>
      <w:snapToGrid w:val="0"/>
      <w:sz w:val="22"/>
      <w:szCs w:val="22"/>
    </w:rPr>
  </w:style>
  <w:style w:type="paragraph" w:styleId="BodyText">
    <w:name w:val="Body Text"/>
    <w:basedOn w:val="Normal"/>
    <w:link w:val="BodyTextChar"/>
    <w:qFormat/>
    <w:rsid w:val="00CF3AE3"/>
    <w:pPr>
      <w:widowControl w:val="0"/>
      <w:spacing w:after="0" w:line="240" w:lineRule="auto"/>
    </w:pPr>
    <w:rPr>
      <w:rFonts w:eastAsia="Times New Roman" w:cs="Arial"/>
      <w:snapToGrid w:val="0"/>
      <w:szCs w:val="22"/>
    </w:rPr>
  </w:style>
  <w:style w:type="character" w:customStyle="1" w:styleId="BodyTextChar">
    <w:name w:val="Body Text Char"/>
    <w:basedOn w:val="DefaultParagraphFont"/>
    <w:link w:val="BodyText"/>
    <w:rsid w:val="00CF3AE3"/>
    <w:rPr>
      <w:rFonts w:ascii="Calibri" w:eastAsia="Times New Roman" w:hAnsi="Calibri" w:cs="Arial"/>
      <w:snapToGrid w:val="0"/>
      <w:szCs w:val="22"/>
    </w:rPr>
  </w:style>
  <w:style w:type="paragraph" w:styleId="Header">
    <w:name w:val="header"/>
    <w:aliases w:val="Page Header,Header title,he=header,cntr/bld"/>
    <w:basedOn w:val="Normal"/>
    <w:link w:val="HeaderChar"/>
    <w:uiPriority w:val="99"/>
    <w:unhideWhenUsed/>
    <w:rsid w:val="00C32D3B"/>
    <w:pPr>
      <w:tabs>
        <w:tab w:val="center" w:pos="4513"/>
        <w:tab w:val="right" w:pos="9026"/>
      </w:tabs>
      <w:spacing w:after="0" w:line="240" w:lineRule="auto"/>
    </w:pPr>
  </w:style>
  <w:style w:type="character" w:customStyle="1" w:styleId="HeaderChar">
    <w:name w:val="Header Char"/>
    <w:aliases w:val="Page Header Char,Header title Char,he=header Char,cntr/bld Char"/>
    <w:basedOn w:val="DefaultParagraphFont"/>
    <w:link w:val="Header"/>
    <w:uiPriority w:val="99"/>
    <w:rsid w:val="00C32D3B"/>
    <w:rPr>
      <w:rFonts w:ascii="Calibri" w:hAnsi="Calibri"/>
    </w:rPr>
  </w:style>
  <w:style w:type="paragraph" w:styleId="Footer">
    <w:name w:val="footer"/>
    <w:basedOn w:val="Normal"/>
    <w:link w:val="FooterChar"/>
    <w:uiPriority w:val="99"/>
    <w:unhideWhenUsed/>
    <w:rsid w:val="00C32D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D3B"/>
    <w:rPr>
      <w:rFonts w:ascii="Calibri" w:hAnsi="Calibri"/>
    </w:rPr>
  </w:style>
  <w:style w:type="paragraph" w:styleId="Title">
    <w:name w:val="Title"/>
    <w:basedOn w:val="Normal"/>
    <w:next w:val="Normal"/>
    <w:link w:val="TitleChar"/>
    <w:qFormat/>
    <w:rsid w:val="00FE6A12"/>
    <w:pPr>
      <w:spacing w:after="300" w:line="240" w:lineRule="auto"/>
      <w:contextualSpacing/>
      <w:outlineLvl w:val="0"/>
    </w:pPr>
    <w:rPr>
      <w:rFonts w:ascii="Arial Bold" w:eastAsiaTheme="majorEastAsia" w:hAnsi="Arial Bold" w:cstheme="majorBidi"/>
      <w:b/>
      <w:spacing w:val="5"/>
      <w:kern w:val="28"/>
      <w:sz w:val="28"/>
      <w:szCs w:val="52"/>
      <w:lang w:eastAsia="en-AU"/>
    </w:rPr>
  </w:style>
  <w:style w:type="character" w:customStyle="1" w:styleId="TitleChar">
    <w:name w:val="Title Char"/>
    <w:basedOn w:val="DefaultParagraphFont"/>
    <w:link w:val="Title"/>
    <w:rsid w:val="00FE6A12"/>
    <w:rPr>
      <w:rFonts w:ascii="Arial Bold" w:eastAsiaTheme="majorEastAsia" w:hAnsi="Arial Bold" w:cstheme="majorBidi"/>
      <w:b/>
      <w:spacing w:val="5"/>
      <w:kern w:val="28"/>
      <w:sz w:val="28"/>
      <w:szCs w:val="52"/>
      <w:lang w:eastAsia="en-AU"/>
    </w:rPr>
  </w:style>
  <w:style w:type="paragraph" w:styleId="Revision">
    <w:name w:val="Revision"/>
    <w:hidden/>
    <w:uiPriority w:val="99"/>
    <w:semiHidden/>
    <w:rsid w:val="00FE6A12"/>
    <w:pPr>
      <w:spacing w:after="0" w:line="240" w:lineRule="auto"/>
    </w:pPr>
    <w:rPr>
      <w:rFonts w:ascii="Calibri" w:hAnsi="Calibri"/>
    </w:rPr>
  </w:style>
  <w:style w:type="character" w:styleId="Hyperlink">
    <w:name w:val="Hyperlink"/>
    <w:basedOn w:val="DefaultParagraphFont"/>
    <w:uiPriority w:val="99"/>
    <w:semiHidden/>
    <w:unhideWhenUsed/>
    <w:rsid w:val="00085602"/>
    <w:rPr>
      <w:color w:val="0000FF"/>
      <w:u w:val="single"/>
    </w:rPr>
  </w:style>
  <w:style w:type="paragraph" w:customStyle="1" w:styleId="2Sections">
    <w:name w:val="2. Sections"/>
    <w:qFormat/>
    <w:rsid w:val="0096138C"/>
    <w:pPr>
      <w:spacing w:before="240" w:after="120" w:line="240" w:lineRule="auto"/>
      <w:ind w:left="720" w:hanging="720"/>
      <w:outlineLvl w:val="0"/>
    </w:pPr>
    <w:rPr>
      <w:rFonts w:asciiTheme="minorHAnsi" w:eastAsia="Times New Roman" w:hAnsiTheme="minorHAnsi" w:cs="Arial"/>
      <w:b/>
      <w:snapToGrid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4714</Characters>
  <Application>Microsoft Office Word</Application>
  <DocSecurity>0</DocSecurity>
  <Lines>39</Lines>
  <Paragraphs>11</Paragraphs>
  <ScaleCrop>false</ScaleCrop>
  <Company/>
  <LinksUpToDate>false</LinksUpToDate>
  <CharactersWithSpaces>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2019-12-13T03:09:00Z</dcterms:created>
  <dcterms:modified xsi:type="dcterms:W3CDTF">2020-02-25T01:06:00Z</dcterms:modified>
</cp:coreProperties>
</file>