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38F" w:rsidRPr="007F4356" w:rsidRDefault="0038038F" w:rsidP="0038038F">
      <w:pPr>
        <w:jc w:val="both"/>
        <w:rPr>
          <w:rFonts w:ascii="Calibri" w:hAnsi="Calibri" w:cs="Calibri"/>
          <w:lang w:eastAsia="en-US"/>
        </w:rPr>
      </w:pPr>
      <w:bookmarkStart w:id="0" w:name="_GoBack"/>
      <w:bookmarkEnd w:id="0"/>
      <w:r w:rsidRPr="0038038F">
        <w:rPr>
          <w:rFonts w:ascii="Calibri" w:hAnsi="Calibri" w:cs="Calibri"/>
          <w:color w:val="FF0000"/>
          <w:lang w:eastAsia="en-US"/>
        </w:rPr>
        <w:t>An addendum to this minute has been included at the end of the document.</w:t>
      </w:r>
    </w:p>
    <w:p w:rsidR="0038038F" w:rsidRPr="007317C4" w:rsidRDefault="0038038F" w:rsidP="0038038F">
      <w:pPr>
        <w:pStyle w:val="1MainTitle"/>
        <w:ind w:left="0" w:firstLine="0"/>
        <w:rPr>
          <w:sz w:val="24"/>
          <w:szCs w:val="24"/>
        </w:rPr>
      </w:pPr>
    </w:p>
    <w:p w:rsidR="00997D1C" w:rsidRDefault="00B67CB3">
      <w:pPr>
        <w:pStyle w:val="1MainTitle"/>
      </w:pPr>
      <w:r>
        <w:t>5.14</w:t>
      </w:r>
      <w:r>
        <w:tab/>
        <w:t xml:space="preserve">FERRIC DERISOMALTOSE </w:t>
      </w:r>
      <w:r>
        <w:br/>
        <w:t xml:space="preserve">Injection 1000 mg (iron) in 10 mL, </w:t>
      </w:r>
      <w:r>
        <w:br/>
        <w:t>Injection 500 mg (iron) in 5 mL,</w:t>
      </w:r>
      <w:r>
        <w:br/>
      </w:r>
      <w:proofErr w:type="spellStart"/>
      <w:r>
        <w:t>Monofer</w:t>
      </w:r>
      <w:proofErr w:type="spellEnd"/>
      <w:r>
        <w:t>®, Pfizer Australia Pty Ltd.</w:t>
      </w:r>
    </w:p>
    <w:p w:rsidR="00997D1C" w:rsidRDefault="00B67CB3">
      <w:pPr>
        <w:pStyle w:val="2Sections"/>
      </w:pPr>
      <w:r>
        <w:t xml:space="preserve">Purpose of Application </w:t>
      </w:r>
    </w:p>
    <w:p w:rsidR="00997D1C" w:rsidRDefault="00B67CB3">
      <w:pPr>
        <w:pStyle w:val="ListParagraph"/>
        <w:widowControl/>
        <w:numPr>
          <w:ilvl w:val="1"/>
          <w:numId w:val="5"/>
        </w:numPr>
        <w:spacing w:after="120"/>
        <w:contextualSpacing w:val="0"/>
        <w:rPr>
          <w:rFonts w:asciiTheme="minorHAnsi" w:hAnsiTheme="minorHAnsi"/>
          <w:sz w:val="24"/>
          <w:szCs w:val="24"/>
        </w:rPr>
      </w:pPr>
      <w:r>
        <w:rPr>
          <w:rFonts w:asciiTheme="minorHAnsi" w:eastAsiaTheme="minorHAnsi" w:hAnsiTheme="minorHAnsi" w:cstheme="minorBidi"/>
          <w:snapToGrid/>
          <w:sz w:val="24"/>
          <w:szCs w:val="22"/>
        </w:rPr>
        <w:t xml:space="preserve">The minor submission requested a Section 85 General Schedule, Unrestricted listing for ferric </w:t>
      </w:r>
      <w:proofErr w:type="spellStart"/>
      <w:r>
        <w:rPr>
          <w:rFonts w:asciiTheme="minorHAnsi" w:eastAsiaTheme="minorHAnsi" w:hAnsiTheme="minorHAnsi" w:cstheme="minorBidi"/>
          <w:snapToGrid/>
          <w:sz w:val="24"/>
          <w:szCs w:val="22"/>
        </w:rPr>
        <w:t>derisomaltose</w:t>
      </w:r>
      <w:proofErr w:type="spellEnd"/>
      <w:r>
        <w:rPr>
          <w:rFonts w:asciiTheme="minorHAnsi" w:eastAsiaTheme="minorHAnsi" w:hAnsiTheme="minorHAnsi" w:cstheme="minorBidi"/>
          <w:snapToGrid/>
          <w:sz w:val="24"/>
          <w:szCs w:val="22"/>
        </w:rPr>
        <w:t xml:space="preserve"> (</w:t>
      </w:r>
      <w:proofErr w:type="spellStart"/>
      <w:r>
        <w:rPr>
          <w:rFonts w:asciiTheme="minorHAnsi" w:eastAsiaTheme="minorHAnsi" w:hAnsiTheme="minorHAnsi" w:cstheme="minorBidi"/>
          <w:snapToGrid/>
          <w:sz w:val="24"/>
          <w:szCs w:val="22"/>
        </w:rPr>
        <w:t>Mon</w:t>
      </w:r>
      <w:r>
        <w:rPr>
          <w:rFonts w:asciiTheme="minorHAnsi" w:eastAsiaTheme="minorHAnsi" w:hAnsiTheme="minorHAnsi" w:cstheme="minorHAnsi"/>
          <w:snapToGrid/>
          <w:sz w:val="24"/>
          <w:szCs w:val="24"/>
        </w:rPr>
        <w:t>ofer</w:t>
      </w:r>
      <w:proofErr w:type="spellEnd"/>
      <w:r>
        <w:rPr>
          <w:rFonts w:asciiTheme="minorHAnsi" w:eastAsiaTheme="minorHAnsi" w:hAnsiTheme="minorHAnsi" w:cstheme="minorHAnsi"/>
          <w:snapToGrid/>
          <w:sz w:val="24"/>
          <w:szCs w:val="24"/>
        </w:rPr>
        <w:t>®) 1000 mg in 10 mL solution for injection.</w:t>
      </w:r>
    </w:p>
    <w:p w:rsidR="00997D1C" w:rsidRDefault="00B67CB3">
      <w:pPr>
        <w:pStyle w:val="ListParagraph"/>
        <w:widowControl/>
        <w:numPr>
          <w:ilvl w:val="1"/>
          <w:numId w:val="5"/>
        </w:numPr>
        <w:spacing w:after="120"/>
        <w:contextualSpacing w:val="0"/>
        <w:rPr>
          <w:rFonts w:asciiTheme="minorHAnsi" w:hAnsiTheme="minorHAnsi"/>
          <w:sz w:val="24"/>
          <w:szCs w:val="24"/>
        </w:rPr>
      </w:pPr>
      <w:r>
        <w:rPr>
          <w:rFonts w:asciiTheme="minorHAnsi" w:eastAsiaTheme="minorHAnsi" w:hAnsiTheme="minorHAnsi" w:cstheme="minorHAnsi"/>
          <w:snapToGrid/>
          <w:sz w:val="24"/>
          <w:szCs w:val="24"/>
        </w:rPr>
        <w:t xml:space="preserve">Additionally, the </w:t>
      </w:r>
      <w:r>
        <w:rPr>
          <w:rFonts w:asciiTheme="minorHAnsi" w:eastAsiaTheme="minorHAnsi" w:hAnsiTheme="minorHAnsi" w:cstheme="minorBidi"/>
          <w:snapToGrid/>
          <w:sz w:val="24"/>
          <w:szCs w:val="22"/>
        </w:rPr>
        <w:t xml:space="preserve">submission requested a revision to the current PBS listing for ferric </w:t>
      </w:r>
      <w:proofErr w:type="spellStart"/>
      <w:r>
        <w:rPr>
          <w:rFonts w:asciiTheme="minorHAnsi" w:eastAsiaTheme="minorHAnsi" w:hAnsiTheme="minorHAnsi" w:cstheme="minorBidi"/>
          <w:snapToGrid/>
          <w:sz w:val="24"/>
          <w:szCs w:val="22"/>
        </w:rPr>
        <w:t>derisomaltose</w:t>
      </w:r>
      <w:proofErr w:type="spellEnd"/>
      <w:r>
        <w:rPr>
          <w:rFonts w:asciiTheme="minorHAnsi" w:eastAsiaTheme="minorHAnsi" w:hAnsiTheme="minorHAnsi" w:cstheme="minorBidi"/>
          <w:snapToGrid/>
          <w:sz w:val="24"/>
          <w:szCs w:val="22"/>
        </w:rPr>
        <w:t xml:space="preserve"> (</w:t>
      </w:r>
      <w:proofErr w:type="spellStart"/>
      <w:r>
        <w:rPr>
          <w:rFonts w:asciiTheme="minorHAnsi" w:eastAsiaTheme="minorHAnsi" w:hAnsiTheme="minorHAnsi" w:cstheme="minorBidi"/>
          <w:snapToGrid/>
          <w:sz w:val="24"/>
          <w:szCs w:val="22"/>
        </w:rPr>
        <w:t>Monofer</w:t>
      </w:r>
      <w:proofErr w:type="spellEnd"/>
      <w:r>
        <w:rPr>
          <w:rFonts w:asciiTheme="minorHAnsi" w:eastAsiaTheme="minorHAnsi" w:hAnsiTheme="minorHAnsi" w:cstheme="minorBidi"/>
          <w:snapToGrid/>
          <w:sz w:val="24"/>
          <w:szCs w:val="22"/>
        </w:rPr>
        <w:t>®) 500 mg in 5 mL solution for injection.</w:t>
      </w:r>
    </w:p>
    <w:p w:rsidR="00997D1C" w:rsidRDefault="00B67CB3">
      <w:pPr>
        <w:pStyle w:val="2Sections"/>
      </w:pPr>
      <w:r>
        <w:t>Requested listing</w:t>
      </w:r>
    </w:p>
    <w:p w:rsidR="00997D1C" w:rsidRDefault="00B67CB3">
      <w:pPr>
        <w:pStyle w:val="3Bodytext"/>
      </w:pPr>
      <w:r>
        <w:t xml:space="preserve">The requested listings are shown below. Changes proposed in the submission are shown in bold text. </w:t>
      </w:r>
    </w:p>
    <w:p w:rsidR="00997D1C" w:rsidRDefault="00B67CB3">
      <w:pPr>
        <w:rPr>
          <w:rFonts w:asciiTheme="minorHAnsi" w:eastAsiaTheme="minorHAnsi" w:hAnsiTheme="minorHAnsi" w:cstheme="minorHAnsi"/>
        </w:rPr>
      </w:pPr>
      <w:r>
        <w:rPr>
          <w:rFonts w:asciiTheme="minorHAnsi" w:eastAsiaTheme="minorHAnsi" w:hAnsiTheme="minorHAnsi" w:cstheme="minorHAnsi"/>
        </w:rPr>
        <w:t>New listing requested:</w:t>
      </w:r>
    </w:p>
    <w:p w:rsidR="00997D1C" w:rsidRDefault="00997D1C">
      <w:pPr>
        <w:rPr>
          <w:rFonts w:asciiTheme="minorHAnsi" w:eastAsiaTheme="minorHAnsi" w:hAnsiTheme="minorHAnsi" w:cstheme="minorHAnsi"/>
        </w:rPr>
      </w:pPr>
    </w:p>
    <w:tbl>
      <w:tblPr>
        <w:tblW w:w="5000" w:type="pct"/>
        <w:tblLook w:val="0000" w:firstRow="0" w:lastRow="0" w:firstColumn="0" w:lastColumn="0" w:noHBand="0" w:noVBand="0"/>
      </w:tblPr>
      <w:tblGrid>
        <w:gridCol w:w="2777"/>
        <w:gridCol w:w="419"/>
        <w:gridCol w:w="556"/>
        <w:gridCol w:w="832"/>
        <w:gridCol w:w="1666"/>
        <w:gridCol w:w="1527"/>
        <w:gridCol w:w="1249"/>
      </w:tblGrid>
      <w:tr w:rsidR="00997D1C">
        <w:trPr>
          <w:cantSplit/>
          <w:trHeight w:val="471"/>
        </w:trPr>
        <w:tc>
          <w:tcPr>
            <w:tcW w:w="1770" w:type="pct"/>
            <w:gridSpan w:val="2"/>
            <w:tcBorders>
              <w:bottom w:val="single" w:sz="4" w:space="0" w:color="auto"/>
            </w:tcBorders>
          </w:tcPr>
          <w:p w:rsidR="00997D1C" w:rsidRDefault="00B67CB3">
            <w:pPr>
              <w:keepNext/>
              <w:ind w:left="-108"/>
              <w:jc w:val="both"/>
              <w:rPr>
                <w:rFonts w:ascii="Arial Narrow" w:hAnsi="Arial Narrow" w:cs="Arial"/>
                <w:sz w:val="20"/>
                <w:szCs w:val="20"/>
              </w:rPr>
            </w:pPr>
            <w:r>
              <w:rPr>
                <w:rFonts w:ascii="Arial Narrow" w:hAnsi="Arial Narrow" w:cs="Arial"/>
                <w:sz w:val="20"/>
                <w:szCs w:val="20"/>
              </w:rPr>
              <w:t>Name, Restriction,</w:t>
            </w:r>
          </w:p>
          <w:p w:rsidR="00997D1C" w:rsidRDefault="00B67CB3">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308" w:type="pct"/>
            <w:tcBorders>
              <w:bottom w:val="single" w:sz="4" w:space="0" w:color="auto"/>
            </w:tcBorders>
          </w:tcPr>
          <w:p w:rsidR="00997D1C" w:rsidRDefault="00B67CB3">
            <w:pPr>
              <w:keepNext/>
              <w:ind w:left="-108"/>
              <w:jc w:val="both"/>
              <w:rPr>
                <w:rFonts w:ascii="Arial Narrow" w:hAnsi="Arial Narrow" w:cs="Arial"/>
                <w:sz w:val="20"/>
                <w:szCs w:val="20"/>
              </w:rPr>
            </w:pPr>
            <w:r>
              <w:rPr>
                <w:rFonts w:ascii="Arial Narrow" w:hAnsi="Arial Narrow" w:cs="Arial"/>
                <w:sz w:val="20"/>
                <w:szCs w:val="20"/>
              </w:rPr>
              <w:t>Max.</w:t>
            </w:r>
          </w:p>
          <w:p w:rsidR="00997D1C" w:rsidRDefault="00B67CB3">
            <w:pPr>
              <w:keepNext/>
              <w:ind w:left="-108"/>
              <w:jc w:val="both"/>
              <w:rPr>
                <w:rFonts w:ascii="Arial Narrow" w:hAnsi="Arial Narrow" w:cs="Arial"/>
                <w:sz w:val="20"/>
                <w:szCs w:val="20"/>
              </w:rPr>
            </w:pPr>
            <w:r>
              <w:rPr>
                <w:rFonts w:ascii="Arial Narrow" w:hAnsi="Arial Narrow" w:cs="Arial"/>
                <w:sz w:val="20"/>
                <w:szCs w:val="20"/>
              </w:rPr>
              <w:t>Qty</w:t>
            </w:r>
          </w:p>
        </w:tc>
        <w:tc>
          <w:tcPr>
            <w:tcW w:w="461" w:type="pct"/>
            <w:tcBorders>
              <w:bottom w:val="single" w:sz="4" w:space="0" w:color="auto"/>
            </w:tcBorders>
          </w:tcPr>
          <w:p w:rsidR="00997D1C" w:rsidRDefault="00B67CB3">
            <w:pPr>
              <w:keepNext/>
              <w:ind w:left="-108"/>
              <w:jc w:val="both"/>
              <w:rPr>
                <w:rFonts w:ascii="Arial Narrow" w:hAnsi="Arial Narrow" w:cs="Arial"/>
                <w:sz w:val="20"/>
                <w:szCs w:val="20"/>
              </w:rPr>
            </w:pPr>
            <w:r>
              <w:rPr>
                <w:rFonts w:ascii="Arial Narrow" w:hAnsi="Arial Narrow" w:cs="Arial"/>
                <w:sz w:val="20"/>
                <w:szCs w:val="20"/>
              </w:rPr>
              <w:t>№.of</w:t>
            </w:r>
          </w:p>
          <w:p w:rsidR="00997D1C" w:rsidRDefault="00B67CB3">
            <w:pPr>
              <w:keepNext/>
              <w:ind w:left="-108"/>
              <w:jc w:val="both"/>
              <w:rPr>
                <w:rFonts w:ascii="Arial Narrow" w:hAnsi="Arial Narrow" w:cs="Arial"/>
                <w:sz w:val="20"/>
                <w:szCs w:val="20"/>
              </w:rPr>
            </w:pPr>
            <w:r>
              <w:rPr>
                <w:rFonts w:ascii="Arial Narrow" w:hAnsi="Arial Narrow" w:cs="Arial"/>
                <w:sz w:val="20"/>
                <w:szCs w:val="20"/>
              </w:rPr>
              <w:t>Rpts</w:t>
            </w:r>
          </w:p>
        </w:tc>
        <w:tc>
          <w:tcPr>
            <w:tcW w:w="923" w:type="pct"/>
            <w:tcBorders>
              <w:bottom w:val="single" w:sz="4" w:space="0" w:color="auto"/>
            </w:tcBorders>
          </w:tcPr>
          <w:p w:rsidR="00997D1C" w:rsidRDefault="00B67CB3">
            <w:pPr>
              <w:keepNext/>
              <w:ind w:left="-108"/>
              <w:jc w:val="both"/>
              <w:rPr>
                <w:rFonts w:ascii="Arial Narrow" w:hAnsi="Arial Narrow" w:cs="Arial"/>
                <w:sz w:val="20"/>
                <w:szCs w:val="20"/>
              </w:rPr>
            </w:pPr>
            <w:r>
              <w:rPr>
                <w:rFonts w:ascii="Arial Narrow" w:hAnsi="Arial Narrow" w:cs="Arial"/>
                <w:sz w:val="20"/>
                <w:szCs w:val="20"/>
              </w:rPr>
              <w:t>Dispensed Price for Max. Qty</w:t>
            </w:r>
          </w:p>
        </w:tc>
        <w:tc>
          <w:tcPr>
            <w:tcW w:w="1538" w:type="pct"/>
            <w:gridSpan w:val="2"/>
            <w:tcBorders>
              <w:bottom w:val="single" w:sz="4" w:space="0" w:color="auto"/>
            </w:tcBorders>
          </w:tcPr>
          <w:p w:rsidR="00997D1C" w:rsidRDefault="00B67CB3">
            <w:pPr>
              <w:keepNext/>
              <w:jc w:val="both"/>
              <w:rPr>
                <w:rFonts w:ascii="Arial Narrow" w:hAnsi="Arial Narrow" w:cs="Arial"/>
                <w:sz w:val="20"/>
                <w:szCs w:val="20"/>
              </w:rPr>
            </w:pPr>
            <w:r>
              <w:rPr>
                <w:rFonts w:ascii="Arial Narrow" w:hAnsi="Arial Narrow" w:cs="Arial"/>
                <w:sz w:val="20"/>
                <w:szCs w:val="20"/>
              </w:rPr>
              <w:t>Proprietary Name and Manufacturer</w:t>
            </w:r>
          </w:p>
        </w:tc>
      </w:tr>
      <w:tr w:rsidR="00997D1C">
        <w:trPr>
          <w:cantSplit/>
          <w:trHeight w:val="577"/>
        </w:trPr>
        <w:tc>
          <w:tcPr>
            <w:tcW w:w="1770" w:type="pct"/>
            <w:gridSpan w:val="2"/>
          </w:tcPr>
          <w:p w:rsidR="00997D1C" w:rsidRDefault="00B67CB3">
            <w:pPr>
              <w:keepNext/>
              <w:ind w:left="-108"/>
              <w:jc w:val="both"/>
              <w:rPr>
                <w:rFonts w:ascii="Arial Narrow" w:hAnsi="Arial Narrow" w:cs="Arial"/>
                <w:smallCaps/>
                <w:sz w:val="20"/>
                <w:szCs w:val="20"/>
              </w:rPr>
            </w:pPr>
            <w:r>
              <w:rPr>
                <w:rFonts w:ascii="Arial Narrow" w:hAnsi="Arial Narrow" w:cs="Arial"/>
                <w:smallCaps/>
                <w:sz w:val="20"/>
                <w:szCs w:val="20"/>
              </w:rPr>
              <w:t>FERRIC DERISOMALTOSE</w:t>
            </w:r>
          </w:p>
          <w:p w:rsidR="00997D1C" w:rsidRDefault="00B67CB3">
            <w:pPr>
              <w:keepNext/>
              <w:ind w:left="-108"/>
              <w:jc w:val="both"/>
              <w:rPr>
                <w:rFonts w:ascii="Arial Narrow" w:hAnsi="Arial Narrow" w:cs="Arial"/>
                <w:color w:val="FF0000"/>
                <w:sz w:val="20"/>
                <w:szCs w:val="20"/>
              </w:rPr>
            </w:pPr>
            <w:r>
              <w:rPr>
                <w:rFonts w:ascii="Arial Narrow" w:hAnsi="Arial Narrow" w:cs="Arial"/>
                <w:smallCaps/>
                <w:sz w:val="20"/>
                <w:szCs w:val="20"/>
              </w:rPr>
              <w:t xml:space="preserve">iron (as ferric </w:t>
            </w:r>
            <w:proofErr w:type="spellStart"/>
            <w:r>
              <w:rPr>
                <w:rFonts w:ascii="Arial Narrow" w:hAnsi="Arial Narrow" w:cs="Arial"/>
                <w:smallCaps/>
                <w:sz w:val="20"/>
                <w:szCs w:val="20"/>
              </w:rPr>
              <w:t>derisomaltose</w:t>
            </w:r>
            <w:proofErr w:type="spellEnd"/>
            <w:r>
              <w:rPr>
                <w:rFonts w:ascii="Arial Narrow" w:hAnsi="Arial Narrow" w:cs="Arial"/>
                <w:smallCaps/>
                <w:sz w:val="20"/>
                <w:szCs w:val="20"/>
              </w:rPr>
              <w:t>) 1000 mg/10 mL injection, 10 mL vial</w:t>
            </w:r>
          </w:p>
        </w:tc>
        <w:tc>
          <w:tcPr>
            <w:tcW w:w="308" w:type="pct"/>
          </w:tcPr>
          <w:p w:rsidR="00997D1C" w:rsidRDefault="00997D1C">
            <w:pPr>
              <w:keepNext/>
              <w:ind w:left="-108"/>
              <w:jc w:val="both"/>
              <w:rPr>
                <w:rFonts w:ascii="Arial Narrow" w:hAnsi="Arial Narrow" w:cs="Arial"/>
                <w:sz w:val="20"/>
                <w:szCs w:val="20"/>
              </w:rPr>
            </w:pPr>
          </w:p>
          <w:p w:rsidR="00997D1C" w:rsidRDefault="00B67CB3">
            <w:pPr>
              <w:keepNext/>
              <w:ind w:left="-108"/>
              <w:jc w:val="both"/>
              <w:rPr>
                <w:rFonts w:ascii="Arial Narrow" w:hAnsi="Arial Narrow" w:cs="Arial"/>
                <w:sz w:val="20"/>
                <w:szCs w:val="20"/>
              </w:rPr>
            </w:pPr>
            <w:r>
              <w:rPr>
                <w:rFonts w:ascii="Arial Narrow" w:hAnsi="Arial Narrow" w:cs="Arial"/>
                <w:sz w:val="20"/>
                <w:szCs w:val="20"/>
              </w:rPr>
              <w:t>1</w:t>
            </w:r>
          </w:p>
        </w:tc>
        <w:tc>
          <w:tcPr>
            <w:tcW w:w="461" w:type="pct"/>
          </w:tcPr>
          <w:p w:rsidR="00997D1C" w:rsidRDefault="00997D1C">
            <w:pPr>
              <w:keepNext/>
              <w:ind w:left="-108"/>
              <w:jc w:val="both"/>
              <w:rPr>
                <w:rFonts w:ascii="Arial Narrow" w:hAnsi="Arial Narrow" w:cs="Arial"/>
                <w:sz w:val="20"/>
                <w:szCs w:val="20"/>
              </w:rPr>
            </w:pPr>
          </w:p>
          <w:p w:rsidR="00997D1C" w:rsidRDefault="00B67CB3">
            <w:pPr>
              <w:keepNext/>
              <w:ind w:left="-108"/>
              <w:jc w:val="both"/>
              <w:rPr>
                <w:rFonts w:ascii="Arial Narrow" w:hAnsi="Arial Narrow" w:cs="Arial"/>
                <w:sz w:val="20"/>
                <w:szCs w:val="20"/>
              </w:rPr>
            </w:pPr>
            <w:r>
              <w:rPr>
                <w:rFonts w:ascii="Arial Narrow" w:hAnsi="Arial Narrow" w:cs="Arial"/>
                <w:sz w:val="20"/>
                <w:szCs w:val="20"/>
              </w:rPr>
              <w:t>1</w:t>
            </w:r>
          </w:p>
        </w:tc>
        <w:tc>
          <w:tcPr>
            <w:tcW w:w="923" w:type="pct"/>
          </w:tcPr>
          <w:p w:rsidR="00997D1C" w:rsidRDefault="00B67CB3">
            <w:pPr>
              <w:keepNext/>
              <w:ind w:left="-108"/>
              <w:jc w:val="both"/>
              <w:rPr>
                <w:rFonts w:ascii="Arial Narrow" w:hAnsi="Arial Narrow" w:cs="Arial"/>
                <w:sz w:val="20"/>
                <w:szCs w:val="20"/>
              </w:rPr>
            </w:pPr>
            <w:r>
              <w:rPr>
                <w:rFonts w:ascii="Arial Narrow" w:hAnsi="Arial Narrow" w:cs="Arial"/>
                <w:sz w:val="20"/>
                <w:szCs w:val="20"/>
              </w:rPr>
              <w:t>Published: $307.73</w:t>
            </w:r>
          </w:p>
        </w:tc>
        <w:tc>
          <w:tcPr>
            <w:tcW w:w="846" w:type="pct"/>
          </w:tcPr>
          <w:p w:rsidR="00997D1C" w:rsidRDefault="00B67CB3">
            <w:pPr>
              <w:keepNext/>
              <w:jc w:val="both"/>
              <w:rPr>
                <w:rFonts w:ascii="Arial Narrow" w:hAnsi="Arial Narrow" w:cs="Arial"/>
                <w:sz w:val="20"/>
                <w:szCs w:val="20"/>
              </w:rPr>
            </w:pPr>
            <w:proofErr w:type="spellStart"/>
            <w:r>
              <w:rPr>
                <w:rFonts w:ascii="Arial Narrow" w:hAnsi="Arial Narrow" w:cs="Arial"/>
                <w:sz w:val="20"/>
                <w:szCs w:val="20"/>
              </w:rPr>
              <w:t>Monofer</w:t>
            </w:r>
            <w:proofErr w:type="spellEnd"/>
            <w:r>
              <w:rPr>
                <w:rFonts w:ascii="Arial Narrow" w:hAnsi="Arial Narrow" w:cs="Arial"/>
                <w:sz w:val="20"/>
                <w:szCs w:val="20"/>
              </w:rPr>
              <w:t>®</w:t>
            </w:r>
          </w:p>
        </w:tc>
        <w:tc>
          <w:tcPr>
            <w:tcW w:w="692" w:type="pct"/>
          </w:tcPr>
          <w:p w:rsidR="00997D1C" w:rsidRDefault="00B67CB3">
            <w:pPr>
              <w:keepNext/>
              <w:jc w:val="both"/>
              <w:rPr>
                <w:rFonts w:ascii="Arial Narrow" w:hAnsi="Arial Narrow" w:cs="Arial"/>
                <w:sz w:val="20"/>
                <w:szCs w:val="20"/>
              </w:rPr>
            </w:pPr>
            <w:r>
              <w:rPr>
                <w:rFonts w:ascii="Arial Narrow" w:hAnsi="Arial Narrow" w:cs="Arial"/>
                <w:sz w:val="20"/>
                <w:szCs w:val="20"/>
              </w:rPr>
              <w:t>Pfizer Australia Pty Ltd</w:t>
            </w:r>
          </w:p>
        </w:tc>
      </w:tr>
      <w:tr w:rsidR="00997D1C">
        <w:trPr>
          <w:cantSplit/>
          <w:trHeight w:val="360"/>
        </w:trPr>
        <w:tc>
          <w:tcPr>
            <w:tcW w:w="5000" w:type="pct"/>
            <w:gridSpan w:val="7"/>
            <w:tcBorders>
              <w:bottom w:val="single" w:sz="4" w:space="0" w:color="auto"/>
            </w:tcBorders>
          </w:tcPr>
          <w:p w:rsidR="00997D1C" w:rsidRDefault="00997D1C">
            <w:pPr>
              <w:jc w:val="both"/>
              <w:rPr>
                <w:rFonts w:ascii="Arial Narrow" w:hAnsi="Arial Narrow" w:cs="Arial"/>
                <w:sz w:val="20"/>
                <w:szCs w:val="20"/>
              </w:rPr>
            </w:pPr>
          </w:p>
        </w:tc>
      </w:tr>
      <w:tr w:rsidR="00997D1C">
        <w:trPr>
          <w:cantSplit/>
          <w:trHeight w:val="360"/>
        </w:trPr>
        <w:tc>
          <w:tcPr>
            <w:tcW w:w="1538" w:type="pct"/>
            <w:tcBorders>
              <w:top w:val="single" w:sz="4" w:space="0" w:color="auto"/>
              <w:left w:val="single" w:sz="4" w:space="0" w:color="auto"/>
              <w:bottom w:val="single" w:sz="4" w:space="0" w:color="auto"/>
              <w:right w:val="single" w:sz="4" w:space="0" w:color="auto"/>
            </w:tcBorders>
          </w:tcPr>
          <w:p w:rsidR="00997D1C" w:rsidRDefault="00B67CB3">
            <w:pPr>
              <w:jc w:val="both"/>
              <w:rPr>
                <w:rFonts w:ascii="Arial Narrow" w:hAnsi="Arial Narrow" w:cs="Arial"/>
                <w:b/>
                <w:sz w:val="20"/>
                <w:szCs w:val="20"/>
              </w:rPr>
            </w:pPr>
            <w:r>
              <w:rPr>
                <w:rFonts w:ascii="Arial Narrow" w:hAnsi="Arial Narrow" w:cs="Arial"/>
                <w:b/>
                <w:sz w:val="20"/>
                <w:szCs w:val="20"/>
              </w:rPr>
              <w:t>Category / Program:</w:t>
            </w:r>
          </w:p>
        </w:tc>
        <w:tc>
          <w:tcPr>
            <w:tcW w:w="3462" w:type="pct"/>
            <w:gridSpan w:val="6"/>
            <w:tcBorders>
              <w:top w:val="single" w:sz="4" w:space="0" w:color="auto"/>
              <w:left w:val="single" w:sz="4" w:space="0" w:color="auto"/>
              <w:bottom w:val="single" w:sz="4" w:space="0" w:color="auto"/>
              <w:right w:val="single" w:sz="4" w:space="0" w:color="auto"/>
            </w:tcBorders>
          </w:tcPr>
          <w:p w:rsidR="00997D1C" w:rsidRDefault="00B67CB3">
            <w:pPr>
              <w:rPr>
                <w:rFonts w:ascii="Arial Narrow" w:hAnsi="Arial Narrow" w:cs="Arial"/>
                <w:sz w:val="20"/>
                <w:szCs w:val="20"/>
              </w:rPr>
            </w:pPr>
            <w:r>
              <w:rPr>
                <w:rFonts w:ascii="Arial Narrow" w:hAnsi="Arial Narrow" w:cs="Arial"/>
                <w:sz w:val="20"/>
                <w:szCs w:val="20"/>
              </w:rPr>
              <w:t>GENERAL – General Schedule (Code GE)</w:t>
            </w:r>
          </w:p>
        </w:tc>
      </w:tr>
      <w:tr w:rsidR="00997D1C">
        <w:trPr>
          <w:cantSplit/>
          <w:trHeight w:val="360"/>
        </w:trPr>
        <w:tc>
          <w:tcPr>
            <w:tcW w:w="1538" w:type="pct"/>
            <w:tcBorders>
              <w:top w:val="single" w:sz="4" w:space="0" w:color="auto"/>
              <w:left w:val="single" w:sz="4" w:space="0" w:color="auto"/>
              <w:bottom w:val="single" w:sz="4" w:space="0" w:color="auto"/>
              <w:right w:val="single" w:sz="4" w:space="0" w:color="auto"/>
            </w:tcBorders>
          </w:tcPr>
          <w:p w:rsidR="00997D1C" w:rsidRDefault="00B67CB3">
            <w:pPr>
              <w:jc w:val="both"/>
              <w:rPr>
                <w:rFonts w:ascii="Arial Narrow" w:hAnsi="Arial Narrow" w:cs="Arial"/>
                <w:b/>
                <w:sz w:val="20"/>
                <w:szCs w:val="20"/>
              </w:rPr>
            </w:pPr>
            <w:r>
              <w:rPr>
                <w:rFonts w:ascii="Arial Narrow" w:hAnsi="Arial Narrow" w:cs="Arial"/>
                <w:b/>
                <w:sz w:val="20"/>
                <w:szCs w:val="20"/>
              </w:rPr>
              <w:t>Prescriber type:</w:t>
            </w:r>
          </w:p>
          <w:p w:rsidR="00997D1C" w:rsidRDefault="00997D1C">
            <w:pPr>
              <w:jc w:val="both"/>
              <w:rPr>
                <w:rFonts w:ascii="Arial Narrow" w:hAnsi="Arial Narrow" w:cs="Arial"/>
                <w:b/>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997D1C" w:rsidRDefault="00B67CB3">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AC280A">
              <w:rPr>
                <w:rFonts w:ascii="Arial Narrow" w:hAnsi="Arial Narrow" w:cs="Arial"/>
                <w:sz w:val="20"/>
                <w:szCs w:val="20"/>
              </w:rPr>
            </w:r>
            <w:r w:rsidR="00AC280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C280A">
              <w:rPr>
                <w:rFonts w:ascii="Arial Narrow" w:hAnsi="Arial Narrow" w:cs="Arial"/>
                <w:sz w:val="20"/>
                <w:szCs w:val="20"/>
              </w:rPr>
            </w:r>
            <w:r w:rsidR="00AC280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AC280A">
              <w:rPr>
                <w:rFonts w:ascii="Arial Narrow" w:hAnsi="Arial Narrow" w:cs="Arial"/>
                <w:sz w:val="20"/>
                <w:szCs w:val="20"/>
              </w:rPr>
            </w:r>
            <w:r w:rsidR="00AC280A">
              <w:rPr>
                <w:rFonts w:ascii="Arial Narrow" w:hAnsi="Arial Narrow" w:cs="Arial"/>
                <w:sz w:val="20"/>
                <w:szCs w:val="20"/>
              </w:rPr>
              <w:fldChar w:fldCharType="separate"/>
            </w:r>
            <w:r>
              <w:rPr>
                <w:rFonts w:ascii="Arial Narrow" w:hAnsi="Arial Narrow" w:cs="Arial"/>
                <w:sz w:val="20"/>
                <w:szCs w:val="20"/>
              </w:rPr>
              <w:fldChar w:fldCharType="end"/>
            </w:r>
            <w:bookmarkEnd w:id="1"/>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C280A">
              <w:rPr>
                <w:rFonts w:ascii="Arial Narrow" w:hAnsi="Arial Narrow" w:cs="Arial"/>
                <w:sz w:val="20"/>
                <w:szCs w:val="20"/>
              </w:rPr>
            </w:r>
            <w:r w:rsidR="00AC280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997D1C" w:rsidRDefault="00B67CB3">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AC280A">
              <w:rPr>
                <w:rFonts w:ascii="Arial Narrow" w:hAnsi="Arial Narrow" w:cs="Arial"/>
                <w:sz w:val="20"/>
                <w:szCs w:val="20"/>
              </w:rPr>
            </w:r>
            <w:r w:rsidR="00AC280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997D1C">
        <w:trPr>
          <w:cantSplit/>
          <w:trHeight w:val="360"/>
        </w:trPr>
        <w:tc>
          <w:tcPr>
            <w:tcW w:w="1538" w:type="pct"/>
            <w:tcBorders>
              <w:top w:val="single" w:sz="4" w:space="0" w:color="auto"/>
              <w:left w:val="single" w:sz="4" w:space="0" w:color="auto"/>
              <w:bottom w:val="single" w:sz="4" w:space="0" w:color="auto"/>
              <w:right w:val="single" w:sz="4" w:space="0" w:color="auto"/>
            </w:tcBorders>
          </w:tcPr>
          <w:p w:rsidR="00997D1C" w:rsidRDefault="00B67CB3">
            <w:pPr>
              <w:jc w:val="both"/>
              <w:rPr>
                <w:rFonts w:ascii="Arial Narrow" w:hAnsi="Arial Narrow" w:cs="Arial"/>
                <w:b/>
                <w:sz w:val="20"/>
                <w:szCs w:val="20"/>
              </w:rPr>
            </w:pPr>
            <w:r>
              <w:rPr>
                <w:rFonts w:ascii="Arial Narrow" w:hAnsi="Arial Narrow" w:cs="Arial"/>
                <w:b/>
                <w:sz w:val="20"/>
                <w:szCs w:val="20"/>
              </w:rPr>
              <w:t>Administrative Advice</w:t>
            </w:r>
          </w:p>
        </w:tc>
        <w:tc>
          <w:tcPr>
            <w:tcW w:w="3462" w:type="pct"/>
            <w:gridSpan w:val="6"/>
            <w:tcBorders>
              <w:top w:val="single" w:sz="4" w:space="0" w:color="auto"/>
              <w:left w:val="single" w:sz="4" w:space="0" w:color="auto"/>
              <w:bottom w:val="single" w:sz="4" w:space="0" w:color="auto"/>
              <w:right w:val="single" w:sz="4" w:space="0" w:color="auto"/>
            </w:tcBorders>
          </w:tcPr>
          <w:p w:rsidR="00997D1C" w:rsidRDefault="00B67CB3">
            <w:pPr>
              <w:rPr>
                <w:rFonts w:ascii="Arial Narrow" w:hAnsi="Arial Narrow" w:cs="Arial"/>
                <w:sz w:val="20"/>
                <w:szCs w:val="20"/>
              </w:rPr>
            </w:pPr>
            <w:r>
              <w:rPr>
                <w:rFonts w:ascii="Arial Narrow" w:hAnsi="Arial Narrow" w:cs="Arial"/>
                <w:sz w:val="20"/>
                <w:szCs w:val="20"/>
              </w:rPr>
              <w:t>Special Pricing Arrangements apply.</w:t>
            </w:r>
          </w:p>
        </w:tc>
      </w:tr>
    </w:tbl>
    <w:p w:rsidR="00997D1C" w:rsidRDefault="00997D1C">
      <w:pPr>
        <w:pStyle w:val="3Bodytext"/>
        <w:numPr>
          <w:ilvl w:val="0"/>
          <w:numId w:val="0"/>
        </w:numPr>
        <w:rPr>
          <w:rFonts w:ascii="Arial Narrow" w:hAnsi="Arial Narrow"/>
          <w:sz w:val="20"/>
          <w:szCs w:val="20"/>
        </w:rPr>
      </w:pPr>
    </w:p>
    <w:p w:rsidR="00997D1C" w:rsidRDefault="00B67CB3">
      <w:pPr>
        <w:rPr>
          <w:rFonts w:asciiTheme="minorHAnsi" w:eastAsiaTheme="minorHAnsi" w:hAnsiTheme="minorHAnsi" w:cstheme="minorBidi"/>
          <w:szCs w:val="22"/>
          <w:lang w:eastAsia="en-US"/>
        </w:rPr>
      </w:pPr>
      <w:r>
        <w:br w:type="page"/>
      </w:r>
    </w:p>
    <w:p w:rsidR="00997D1C" w:rsidRDefault="00B67CB3">
      <w:pPr>
        <w:pStyle w:val="3Bodytext"/>
        <w:numPr>
          <w:ilvl w:val="0"/>
          <w:numId w:val="0"/>
        </w:numPr>
      </w:pPr>
      <w:r>
        <w:lastRenderedPageBreak/>
        <w:t>Amendments to PBS Item 11615H:</w:t>
      </w:r>
    </w:p>
    <w:tbl>
      <w:tblPr>
        <w:tblW w:w="5000" w:type="pct"/>
        <w:tblLook w:val="0000" w:firstRow="0" w:lastRow="0" w:firstColumn="0" w:lastColumn="0" w:noHBand="0" w:noVBand="0"/>
      </w:tblPr>
      <w:tblGrid>
        <w:gridCol w:w="2777"/>
        <w:gridCol w:w="419"/>
        <w:gridCol w:w="556"/>
        <w:gridCol w:w="832"/>
        <w:gridCol w:w="1666"/>
        <w:gridCol w:w="1527"/>
        <w:gridCol w:w="1249"/>
      </w:tblGrid>
      <w:tr w:rsidR="00997D1C">
        <w:trPr>
          <w:cantSplit/>
          <w:trHeight w:val="471"/>
        </w:trPr>
        <w:tc>
          <w:tcPr>
            <w:tcW w:w="1770" w:type="pct"/>
            <w:gridSpan w:val="2"/>
            <w:tcBorders>
              <w:bottom w:val="single" w:sz="4" w:space="0" w:color="auto"/>
            </w:tcBorders>
          </w:tcPr>
          <w:p w:rsidR="00997D1C" w:rsidRDefault="00B67CB3">
            <w:pPr>
              <w:keepNext/>
              <w:ind w:left="-108"/>
              <w:jc w:val="both"/>
              <w:rPr>
                <w:rFonts w:ascii="Arial Narrow" w:hAnsi="Arial Narrow" w:cs="Arial"/>
                <w:sz w:val="20"/>
                <w:szCs w:val="20"/>
              </w:rPr>
            </w:pPr>
            <w:r>
              <w:rPr>
                <w:rFonts w:ascii="Arial Narrow" w:hAnsi="Arial Narrow" w:cs="Arial"/>
                <w:sz w:val="20"/>
                <w:szCs w:val="20"/>
              </w:rPr>
              <w:t>Name, Restriction,</w:t>
            </w:r>
          </w:p>
          <w:p w:rsidR="00997D1C" w:rsidRDefault="00B67CB3">
            <w:pPr>
              <w:keepNext/>
              <w:ind w:left="-108"/>
              <w:jc w:val="both"/>
              <w:rPr>
                <w:rFonts w:ascii="Arial Narrow" w:hAnsi="Arial Narrow" w:cs="Arial"/>
                <w:sz w:val="20"/>
                <w:szCs w:val="20"/>
              </w:rPr>
            </w:pPr>
            <w:r>
              <w:rPr>
                <w:rFonts w:ascii="Arial Narrow" w:hAnsi="Arial Narrow" w:cs="Arial"/>
                <w:sz w:val="20"/>
                <w:szCs w:val="20"/>
              </w:rPr>
              <w:t>Manner of administration and form</w:t>
            </w:r>
          </w:p>
        </w:tc>
        <w:tc>
          <w:tcPr>
            <w:tcW w:w="308" w:type="pct"/>
            <w:tcBorders>
              <w:bottom w:val="single" w:sz="4" w:space="0" w:color="auto"/>
            </w:tcBorders>
          </w:tcPr>
          <w:p w:rsidR="00997D1C" w:rsidRDefault="00B67CB3">
            <w:pPr>
              <w:keepNext/>
              <w:ind w:left="-108"/>
              <w:jc w:val="both"/>
              <w:rPr>
                <w:rFonts w:ascii="Arial Narrow" w:hAnsi="Arial Narrow" w:cs="Arial"/>
                <w:sz w:val="20"/>
                <w:szCs w:val="20"/>
              </w:rPr>
            </w:pPr>
            <w:r>
              <w:rPr>
                <w:rFonts w:ascii="Arial Narrow" w:hAnsi="Arial Narrow" w:cs="Arial"/>
                <w:sz w:val="20"/>
                <w:szCs w:val="20"/>
              </w:rPr>
              <w:t>Max.</w:t>
            </w:r>
          </w:p>
          <w:p w:rsidR="00997D1C" w:rsidRDefault="00B67CB3">
            <w:pPr>
              <w:keepNext/>
              <w:ind w:left="-108"/>
              <w:jc w:val="both"/>
              <w:rPr>
                <w:rFonts w:ascii="Arial Narrow" w:hAnsi="Arial Narrow" w:cs="Arial"/>
                <w:sz w:val="20"/>
                <w:szCs w:val="20"/>
              </w:rPr>
            </w:pPr>
            <w:r>
              <w:rPr>
                <w:rFonts w:ascii="Arial Narrow" w:hAnsi="Arial Narrow" w:cs="Arial"/>
                <w:sz w:val="20"/>
                <w:szCs w:val="20"/>
              </w:rPr>
              <w:t>Qty</w:t>
            </w:r>
          </w:p>
        </w:tc>
        <w:tc>
          <w:tcPr>
            <w:tcW w:w="461" w:type="pct"/>
            <w:tcBorders>
              <w:bottom w:val="single" w:sz="4" w:space="0" w:color="auto"/>
            </w:tcBorders>
          </w:tcPr>
          <w:p w:rsidR="00997D1C" w:rsidRDefault="00B67CB3">
            <w:pPr>
              <w:keepNext/>
              <w:ind w:left="-108"/>
              <w:jc w:val="both"/>
              <w:rPr>
                <w:rFonts w:ascii="Arial Narrow" w:hAnsi="Arial Narrow" w:cs="Arial"/>
                <w:sz w:val="20"/>
                <w:szCs w:val="20"/>
              </w:rPr>
            </w:pPr>
            <w:r>
              <w:rPr>
                <w:rFonts w:ascii="Arial Narrow" w:hAnsi="Arial Narrow" w:cs="Arial"/>
                <w:sz w:val="20"/>
                <w:szCs w:val="20"/>
              </w:rPr>
              <w:t>№.of</w:t>
            </w:r>
          </w:p>
          <w:p w:rsidR="00997D1C" w:rsidRDefault="00B67CB3">
            <w:pPr>
              <w:keepNext/>
              <w:ind w:left="-108"/>
              <w:jc w:val="both"/>
              <w:rPr>
                <w:rFonts w:ascii="Arial Narrow" w:hAnsi="Arial Narrow" w:cs="Arial"/>
                <w:sz w:val="20"/>
                <w:szCs w:val="20"/>
              </w:rPr>
            </w:pPr>
            <w:r>
              <w:rPr>
                <w:rFonts w:ascii="Arial Narrow" w:hAnsi="Arial Narrow" w:cs="Arial"/>
                <w:sz w:val="20"/>
                <w:szCs w:val="20"/>
              </w:rPr>
              <w:t>Rpts</w:t>
            </w:r>
          </w:p>
        </w:tc>
        <w:tc>
          <w:tcPr>
            <w:tcW w:w="923" w:type="pct"/>
            <w:tcBorders>
              <w:bottom w:val="single" w:sz="4" w:space="0" w:color="auto"/>
            </w:tcBorders>
          </w:tcPr>
          <w:p w:rsidR="00997D1C" w:rsidRDefault="00B67CB3">
            <w:pPr>
              <w:keepNext/>
              <w:ind w:left="-108"/>
              <w:jc w:val="both"/>
              <w:rPr>
                <w:rFonts w:ascii="Arial Narrow" w:hAnsi="Arial Narrow" w:cs="Arial"/>
                <w:sz w:val="20"/>
                <w:szCs w:val="20"/>
              </w:rPr>
            </w:pPr>
            <w:r>
              <w:rPr>
                <w:rFonts w:ascii="Arial Narrow" w:hAnsi="Arial Narrow" w:cs="Arial"/>
                <w:sz w:val="20"/>
                <w:szCs w:val="20"/>
              </w:rPr>
              <w:t>Dispensed Price for Max. Qty</w:t>
            </w:r>
          </w:p>
        </w:tc>
        <w:tc>
          <w:tcPr>
            <w:tcW w:w="1538" w:type="pct"/>
            <w:gridSpan w:val="2"/>
            <w:tcBorders>
              <w:bottom w:val="single" w:sz="4" w:space="0" w:color="auto"/>
            </w:tcBorders>
          </w:tcPr>
          <w:p w:rsidR="00997D1C" w:rsidRDefault="00B67CB3">
            <w:pPr>
              <w:keepNext/>
              <w:jc w:val="both"/>
              <w:rPr>
                <w:rFonts w:ascii="Arial Narrow" w:hAnsi="Arial Narrow" w:cs="Arial"/>
                <w:sz w:val="20"/>
                <w:szCs w:val="20"/>
              </w:rPr>
            </w:pPr>
            <w:r>
              <w:rPr>
                <w:rFonts w:ascii="Arial Narrow" w:hAnsi="Arial Narrow" w:cs="Arial"/>
                <w:sz w:val="20"/>
                <w:szCs w:val="20"/>
              </w:rPr>
              <w:t>Proprietary Name and Manufacturer</w:t>
            </w:r>
          </w:p>
        </w:tc>
      </w:tr>
      <w:tr w:rsidR="00997D1C">
        <w:trPr>
          <w:cantSplit/>
          <w:trHeight w:val="577"/>
        </w:trPr>
        <w:tc>
          <w:tcPr>
            <w:tcW w:w="1770" w:type="pct"/>
            <w:gridSpan w:val="2"/>
          </w:tcPr>
          <w:p w:rsidR="00997D1C" w:rsidRDefault="00B67CB3">
            <w:pPr>
              <w:keepNext/>
              <w:ind w:left="-108"/>
              <w:jc w:val="both"/>
              <w:rPr>
                <w:rFonts w:ascii="Arial Narrow" w:hAnsi="Arial Narrow" w:cs="Arial"/>
                <w:smallCaps/>
                <w:sz w:val="20"/>
                <w:szCs w:val="20"/>
              </w:rPr>
            </w:pPr>
            <w:r>
              <w:rPr>
                <w:rFonts w:ascii="Arial Narrow" w:hAnsi="Arial Narrow" w:cs="Arial"/>
                <w:smallCaps/>
                <w:sz w:val="20"/>
                <w:szCs w:val="20"/>
              </w:rPr>
              <w:t>FERRIC DERISOMALTOSE</w:t>
            </w:r>
          </w:p>
          <w:p w:rsidR="00997D1C" w:rsidRDefault="00B67CB3">
            <w:pPr>
              <w:keepNext/>
              <w:ind w:left="-108"/>
              <w:jc w:val="both"/>
              <w:rPr>
                <w:rFonts w:ascii="Arial Narrow" w:hAnsi="Arial Narrow" w:cs="Arial"/>
                <w:color w:val="FF0000"/>
                <w:sz w:val="20"/>
                <w:szCs w:val="20"/>
              </w:rPr>
            </w:pPr>
            <w:r>
              <w:rPr>
                <w:rFonts w:ascii="Arial Narrow" w:hAnsi="Arial Narrow" w:cs="Arial"/>
                <w:smallCaps/>
                <w:sz w:val="20"/>
                <w:szCs w:val="20"/>
              </w:rPr>
              <w:t xml:space="preserve">iron (as ferric </w:t>
            </w:r>
            <w:proofErr w:type="spellStart"/>
            <w:r>
              <w:rPr>
                <w:rFonts w:ascii="Arial Narrow" w:hAnsi="Arial Narrow" w:cs="Arial"/>
                <w:smallCaps/>
                <w:sz w:val="20"/>
                <w:szCs w:val="20"/>
              </w:rPr>
              <w:t>derisomaltose</w:t>
            </w:r>
            <w:proofErr w:type="spellEnd"/>
            <w:r>
              <w:rPr>
                <w:rFonts w:ascii="Arial Narrow" w:hAnsi="Arial Narrow" w:cs="Arial"/>
                <w:smallCaps/>
                <w:sz w:val="20"/>
                <w:szCs w:val="20"/>
              </w:rPr>
              <w:t>) 500 mg/5 mL injection, 5 mL vial</w:t>
            </w:r>
          </w:p>
        </w:tc>
        <w:tc>
          <w:tcPr>
            <w:tcW w:w="308" w:type="pct"/>
          </w:tcPr>
          <w:p w:rsidR="00997D1C" w:rsidRDefault="00997D1C">
            <w:pPr>
              <w:keepNext/>
              <w:ind w:left="-108"/>
              <w:jc w:val="both"/>
              <w:rPr>
                <w:rFonts w:ascii="Arial Narrow" w:hAnsi="Arial Narrow" w:cs="Arial"/>
                <w:b/>
                <w:sz w:val="20"/>
                <w:szCs w:val="20"/>
              </w:rPr>
            </w:pPr>
          </w:p>
          <w:p w:rsidR="00997D1C" w:rsidRDefault="00B67CB3">
            <w:pPr>
              <w:keepNext/>
              <w:ind w:left="-108"/>
              <w:jc w:val="both"/>
              <w:rPr>
                <w:rFonts w:ascii="Arial Narrow" w:hAnsi="Arial Narrow" w:cs="Arial"/>
                <w:b/>
                <w:strike/>
                <w:sz w:val="20"/>
                <w:szCs w:val="20"/>
              </w:rPr>
            </w:pPr>
            <w:r>
              <w:rPr>
                <w:rFonts w:ascii="Arial Narrow" w:hAnsi="Arial Narrow" w:cs="Arial"/>
                <w:b/>
                <w:strike/>
                <w:sz w:val="20"/>
                <w:szCs w:val="20"/>
              </w:rPr>
              <w:t>2</w:t>
            </w:r>
            <w:r>
              <w:rPr>
                <w:rFonts w:ascii="Arial Narrow" w:hAnsi="Arial Narrow" w:cs="Arial"/>
                <w:b/>
                <w:sz w:val="20"/>
                <w:szCs w:val="20"/>
              </w:rPr>
              <w:t xml:space="preserve"> 3</w:t>
            </w:r>
          </w:p>
        </w:tc>
        <w:tc>
          <w:tcPr>
            <w:tcW w:w="461" w:type="pct"/>
          </w:tcPr>
          <w:p w:rsidR="00997D1C" w:rsidRDefault="00997D1C">
            <w:pPr>
              <w:keepNext/>
              <w:ind w:left="-108"/>
              <w:jc w:val="both"/>
              <w:rPr>
                <w:rFonts w:ascii="Arial Narrow" w:hAnsi="Arial Narrow" w:cs="Arial"/>
                <w:b/>
                <w:sz w:val="20"/>
                <w:szCs w:val="20"/>
              </w:rPr>
            </w:pPr>
          </w:p>
          <w:p w:rsidR="00997D1C" w:rsidRDefault="00B67CB3">
            <w:pPr>
              <w:keepNext/>
              <w:ind w:left="-108"/>
              <w:jc w:val="both"/>
              <w:rPr>
                <w:rFonts w:ascii="Arial Narrow" w:hAnsi="Arial Narrow" w:cs="Arial"/>
                <w:b/>
                <w:strike/>
                <w:sz w:val="20"/>
                <w:szCs w:val="20"/>
              </w:rPr>
            </w:pPr>
            <w:r>
              <w:rPr>
                <w:rFonts w:ascii="Arial Narrow" w:hAnsi="Arial Narrow" w:cs="Arial"/>
                <w:b/>
                <w:strike/>
                <w:sz w:val="20"/>
                <w:szCs w:val="20"/>
              </w:rPr>
              <w:t>1</w:t>
            </w:r>
            <w:r>
              <w:rPr>
                <w:rFonts w:ascii="Arial Narrow" w:hAnsi="Arial Narrow" w:cs="Arial"/>
                <w:b/>
                <w:sz w:val="20"/>
                <w:szCs w:val="20"/>
              </w:rPr>
              <w:t xml:space="preserve"> 0</w:t>
            </w:r>
          </w:p>
        </w:tc>
        <w:tc>
          <w:tcPr>
            <w:tcW w:w="923" w:type="pct"/>
          </w:tcPr>
          <w:p w:rsidR="00997D1C" w:rsidRDefault="00B67CB3">
            <w:pPr>
              <w:keepNext/>
              <w:ind w:left="-108"/>
              <w:jc w:val="both"/>
              <w:rPr>
                <w:rFonts w:ascii="Arial Narrow" w:hAnsi="Arial Narrow" w:cs="Arial"/>
                <w:sz w:val="20"/>
                <w:szCs w:val="20"/>
              </w:rPr>
            </w:pPr>
            <w:r>
              <w:rPr>
                <w:rFonts w:ascii="Arial Narrow" w:hAnsi="Arial Narrow" w:cs="Arial"/>
                <w:sz w:val="20"/>
                <w:szCs w:val="20"/>
              </w:rPr>
              <w:t>Published: $459.06</w:t>
            </w:r>
          </w:p>
          <w:p w:rsidR="00997D1C" w:rsidRDefault="00997D1C">
            <w:pPr>
              <w:keepNext/>
              <w:ind w:left="-108"/>
              <w:jc w:val="both"/>
              <w:rPr>
                <w:rFonts w:ascii="Arial Narrow" w:hAnsi="Arial Narrow" w:cs="Arial"/>
                <w:i/>
                <w:sz w:val="20"/>
                <w:szCs w:val="20"/>
              </w:rPr>
            </w:pPr>
          </w:p>
        </w:tc>
        <w:tc>
          <w:tcPr>
            <w:tcW w:w="846" w:type="pct"/>
          </w:tcPr>
          <w:p w:rsidR="00997D1C" w:rsidRDefault="00B67CB3">
            <w:pPr>
              <w:keepNext/>
              <w:jc w:val="both"/>
              <w:rPr>
                <w:rFonts w:ascii="Arial Narrow" w:hAnsi="Arial Narrow" w:cs="Arial"/>
                <w:sz w:val="20"/>
                <w:szCs w:val="20"/>
              </w:rPr>
            </w:pPr>
            <w:proofErr w:type="spellStart"/>
            <w:r>
              <w:rPr>
                <w:rFonts w:ascii="Arial Narrow" w:hAnsi="Arial Narrow" w:cs="Arial"/>
                <w:sz w:val="20"/>
                <w:szCs w:val="20"/>
              </w:rPr>
              <w:t>Monofer</w:t>
            </w:r>
            <w:proofErr w:type="spellEnd"/>
            <w:r>
              <w:rPr>
                <w:rFonts w:ascii="Arial Narrow" w:hAnsi="Arial Narrow" w:cs="Arial"/>
                <w:sz w:val="20"/>
                <w:szCs w:val="20"/>
              </w:rPr>
              <w:t>®</w:t>
            </w:r>
          </w:p>
        </w:tc>
        <w:tc>
          <w:tcPr>
            <w:tcW w:w="692" w:type="pct"/>
          </w:tcPr>
          <w:p w:rsidR="00997D1C" w:rsidRDefault="00B67CB3">
            <w:pPr>
              <w:keepNext/>
              <w:jc w:val="both"/>
              <w:rPr>
                <w:rFonts w:ascii="Arial Narrow" w:hAnsi="Arial Narrow" w:cs="Arial"/>
                <w:sz w:val="20"/>
                <w:szCs w:val="20"/>
              </w:rPr>
            </w:pPr>
            <w:r>
              <w:rPr>
                <w:rFonts w:ascii="Arial Narrow" w:hAnsi="Arial Narrow" w:cs="Arial"/>
                <w:sz w:val="20"/>
                <w:szCs w:val="20"/>
              </w:rPr>
              <w:t>Pfizer Australia Pty Ltd</w:t>
            </w:r>
          </w:p>
        </w:tc>
      </w:tr>
      <w:tr w:rsidR="00997D1C">
        <w:trPr>
          <w:cantSplit/>
          <w:trHeight w:val="360"/>
        </w:trPr>
        <w:tc>
          <w:tcPr>
            <w:tcW w:w="5000" w:type="pct"/>
            <w:gridSpan w:val="7"/>
            <w:tcBorders>
              <w:bottom w:val="single" w:sz="4" w:space="0" w:color="auto"/>
            </w:tcBorders>
          </w:tcPr>
          <w:p w:rsidR="00997D1C" w:rsidRDefault="00997D1C">
            <w:pPr>
              <w:jc w:val="both"/>
              <w:rPr>
                <w:rFonts w:ascii="Arial Narrow" w:hAnsi="Arial Narrow" w:cs="Arial"/>
                <w:sz w:val="20"/>
                <w:szCs w:val="20"/>
              </w:rPr>
            </w:pPr>
          </w:p>
        </w:tc>
      </w:tr>
      <w:tr w:rsidR="00997D1C">
        <w:trPr>
          <w:cantSplit/>
          <w:trHeight w:val="360"/>
        </w:trPr>
        <w:tc>
          <w:tcPr>
            <w:tcW w:w="1538" w:type="pct"/>
            <w:tcBorders>
              <w:top w:val="single" w:sz="4" w:space="0" w:color="auto"/>
              <w:left w:val="single" w:sz="4" w:space="0" w:color="auto"/>
              <w:bottom w:val="single" w:sz="4" w:space="0" w:color="auto"/>
              <w:right w:val="single" w:sz="4" w:space="0" w:color="auto"/>
            </w:tcBorders>
          </w:tcPr>
          <w:p w:rsidR="00997D1C" w:rsidRDefault="00B67CB3">
            <w:pPr>
              <w:jc w:val="both"/>
              <w:rPr>
                <w:rFonts w:ascii="Arial Narrow" w:hAnsi="Arial Narrow" w:cs="Arial"/>
                <w:b/>
                <w:sz w:val="20"/>
                <w:szCs w:val="20"/>
              </w:rPr>
            </w:pPr>
            <w:r>
              <w:rPr>
                <w:rFonts w:ascii="Arial Narrow" w:hAnsi="Arial Narrow" w:cs="Arial"/>
                <w:b/>
                <w:sz w:val="20"/>
                <w:szCs w:val="20"/>
              </w:rPr>
              <w:t>Category / Program:</w:t>
            </w:r>
          </w:p>
        </w:tc>
        <w:tc>
          <w:tcPr>
            <w:tcW w:w="3462" w:type="pct"/>
            <w:gridSpan w:val="6"/>
            <w:tcBorders>
              <w:top w:val="single" w:sz="4" w:space="0" w:color="auto"/>
              <w:left w:val="single" w:sz="4" w:space="0" w:color="auto"/>
              <w:bottom w:val="single" w:sz="4" w:space="0" w:color="auto"/>
              <w:right w:val="single" w:sz="4" w:space="0" w:color="auto"/>
            </w:tcBorders>
          </w:tcPr>
          <w:p w:rsidR="00997D1C" w:rsidRDefault="00B67CB3">
            <w:pPr>
              <w:rPr>
                <w:rFonts w:ascii="Arial Narrow" w:hAnsi="Arial Narrow" w:cs="Arial"/>
                <w:sz w:val="20"/>
                <w:szCs w:val="20"/>
              </w:rPr>
            </w:pPr>
            <w:r>
              <w:rPr>
                <w:rFonts w:ascii="Arial Narrow" w:hAnsi="Arial Narrow" w:cs="Arial"/>
                <w:sz w:val="20"/>
                <w:szCs w:val="20"/>
              </w:rPr>
              <w:t>GENERAL – General Schedule (Code GE)</w:t>
            </w:r>
          </w:p>
        </w:tc>
      </w:tr>
      <w:tr w:rsidR="00997D1C">
        <w:trPr>
          <w:cantSplit/>
          <w:trHeight w:val="360"/>
        </w:trPr>
        <w:tc>
          <w:tcPr>
            <w:tcW w:w="1538" w:type="pct"/>
            <w:tcBorders>
              <w:top w:val="single" w:sz="4" w:space="0" w:color="auto"/>
              <w:left w:val="single" w:sz="4" w:space="0" w:color="auto"/>
              <w:bottom w:val="single" w:sz="4" w:space="0" w:color="auto"/>
              <w:right w:val="single" w:sz="4" w:space="0" w:color="auto"/>
            </w:tcBorders>
          </w:tcPr>
          <w:p w:rsidR="00997D1C" w:rsidRDefault="00B67CB3">
            <w:pPr>
              <w:jc w:val="both"/>
              <w:rPr>
                <w:rFonts w:ascii="Arial Narrow" w:hAnsi="Arial Narrow" w:cs="Arial"/>
                <w:b/>
                <w:sz w:val="20"/>
                <w:szCs w:val="20"/>
              </w:rPr>
            </w:pPr>
            <w:r>
              <w:rPr>
                <w:rFonts w:ascii="Arial Narrow" w:hAnsi="Arial Narrow" w:cs="Arial"/>
                <w:b/>
                <w:sz w:val="20"/>
                <w:szCs w:val="20"/>
              </w:rPr>
              <w:t>Prescriber type:</w:t>
            </w:r>
          </w:p>
          <w:p w:rsidR="00997D1C" w:rsidRDefault="00997D1C">
            <w:pPr>
              <w:jc w:val="both"/>
              <w:rPr>
                <w:rFonts w:ascii="Arial Narrow" w:hAnsi="Arial Narrow" w:cs="Arial"/>
                <w:b/>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997D1C" w:rsidRDefault="00B67CB3">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AC280A">
              <w:rPr>
                <w:rFonts w:ascii="Arial Narrow" w:hAnsi="Arial Narrow" w:cs="Arial"/>
                <w:sz w:val="20"/>
                <w:szCs w:val="20"/>
              </w:rPr>
            </w:r>
            <w:r w:rsidR="00AC280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C280A">
              <w:rPr>
                <w:rFonts w:ascii="Arial Narrow" w:hAnsi="Arial Narrow" w:cs="Arial"/>
                <w:sz w:val="20"/>
                <w:szCs w:val="20"/>
              </w:rPr>
            </w:r>
            <w:r w:rsidR="00AC280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AC280A">
              <w:rPr>
                <w:rFonts w:ascii="Arial Narrow" w:hAnsi="Arial Narrow" w:cs="Arial"/>
                <w:sz w:val="20"/>
                <w:szCs w:val="20"/>
              </w:rPr>
            </w:r>
            <w:r w:rsidR="00AC280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C280A">
              <w:rPr>
                <w:rFonts w:ascii="Arial Narrow" w:hAnsi="Arial Narrow" w:cs="Arial"/>
                <w:sz w:val="20"/>
                <w:szCs w:val="20"/>
              </w:rPr>
            </w:r>
            <w:r w:rsidR="00AC280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997D1C" w:rsidRDefault="00B67CB3">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AC280A">
              <w:rPr>
                <w:rFonts w:ascii="Arial Narrow" w:hAnsi="Arial Narrow" w:cs="Arial"/>
                <w:sz w:val="20"/>
                <w:szCs w:val="20"/>
              </w:rPr>
            </w:r>
            <w:r w:rsidR="00AC280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997D1C">
        <w:trPr>
          <w:cantSplit/>
          <w:trHeight w:val="360"/>
        </w:trPr>
        <w:tc>
          <w:tcPr>
            <w:tcW w:w="1538" w:type="pct"/>
            <w:tcBorders>
              <w:top w:val="single" w:sz="4" w:space="0" w:color="auto"/>
              <w:left w:val="single" w:sz="4" w:space="0" w:color="auto"/>
              <w:bottom w:val="single" w:sz="4" w:space="0" w:color="auto"/>
              <w:right w:val="single" w:sz="4" w:space="0" w:color="auto"/>
            </w:tcBorders>
          </w:tcPr>
          <w:p w:rsidR="00997D1C" w:rsidRDefault="00B67CB3">
            <w:pPr>
              <w:jc w:val="both"/>
              <w:rPr>
                <w:rFonts w:ascii="Arial Narrow" w:hAnsi="Arial Narrow" w:cs="Arial"/>
                <w:b/>
                <w:sz w:val="20"/>
                <w:szCs w:val="20"/>
              </w:rPr>
            </w:pPr>
            <w:r>
              <w:rPr>
                <w:rFonts w:ascii="Arial Narrow" w:hAnsi="Arial Narrow" w:cs="Arial"/>
                <w:b/>
                <w:sz w:val="20"/>
                <w:szCs w:val="20"/>
              </w:rPr>
              <w:t>Administrative Advice</w:t>
            </w:r>
          </w:p>
        </w:tc>
        <w:tc>
          <w:tcPr>
            <w:tcW w:w="3462" w:type="pct"/>
            <w:gridSpan w:val="6"/>
            <w:tcBorders>
              <w:top w:val="single" w:sz="4" w:space="0" w:color="auto"/>
              <w:left w:val="single" w:sz="4" w:space="0" w:color="auto"/>
              <w:bottom w:val="single" w:sz="4" w:space="0" w:color="auto"/>
              <w:right w:val="single" w:sz="4" w:space="0" w:color="auto"/>
            </w:tcBorders>
          </w:tcPr>
          <w:p w:rsidR="00997D1C" w:rsidRDefault="00B67CB3">
            <w:pPr>
              <w:rPr>
                <w:rFonts w:ascii="Arial Narrow" w:hAnsi="Arial Narrow" w:cs="Arial"/>
                <w:sz w:val="20"/>
                <w:szCs w:val="20"/>
              </w:rPr>
            </w:pPr>
            <w:r>
              <w:rPr>
                <w:rFonts w:ascii="Arial Narrow" w:hAnsi="Arial Narrow" w:cs="Arial"/>
                <w:sz w:val="20"/>
                <w:szCs w:val="20"/>
              </w:rPr>
              <w:t>Special Pricing Arrangements apply.</w:t>
            </w:r>
          </w:p>
        </w:tc>
      </w:tr>
    </w:tbl>
    <w:p w:rsidR="00997D1C" w:rsidRDefault="00B67CB3">
      <w:pPr>
        <w:pStyle w:val="3Bodytext"/>
        <w:numPr>
          <w:ilvl w:val="0"/>
          <w:numId w:val="0"/>
        </w:numPr>
        <w:rPr>
          <w:rFonts w:ascii="Arial Narrow" w:hAnsi="Arial Narrow"/>
          <w:sz w:val="20"/>
          <w:szCs w:val="20"/>
        </w:rPr>
      </w:pPr>
      <w:r>
        <w:rPr>
          <w:rFonts w:ascii="Arial Narrow" w:hAnsi="Arial Narrow"/>
          <w:sz w:val="20"/>
          <w:szCs w:val="20"/>
        </w:rPr>
        <w:t xml:space="preserve"> </w:t>
      </w:r>
    </w:p>
    <w:p w:rsidR="00997D1C" w:rsidRDefault="00B67CB3">
      <w:pPr>
        <w:pStyle w:val="3Bodytext"/>
      </w:pPr>
      <w:r>
        <w:t xml:space="preserve">The submission requested to list a new strength of ferric </w:t>
      </w:r>
      <w:proofErr w:type="spellStart"/>
      <w:r>
        <w:t>derisomaltose</w:t>
      </w:r>
      <w:proofErr w:type="spellEnd"/>
      <w:r>
        <w:t>, 1000 mg/10 mL solution for injection, to accommodate patients requiring a dose of 1000 mg. The submission requested a maximum quantity and maximum repeat of 1. The request for 1 repeat was to allow a maximum iron dose of 2000 mg to be administered as two doses, as the maximum permissible dose that can be administered in a single infusion is 1500 mg per week. This dose in line with the simplified dosing table (Table 1).</w:t>
      </w:r>
    </w:p>
    <w:p w:rsidR="00D71E17" w:rsidRDefault="00D71E17" w:rsidP="00D71E17">
      <w:pPr>
        <w:pStyle w:val="Tabletitles"/>
      </w:pPr>
      <w:r>
        <w:t xml:space="preserve">Table </w:t>
      </w:r>
      <w:fldSimple w:instr=" SEQ Table \* ARABIC ">
        <w:r w:rsidR="00AC280A">
          <w:rPr>
            <w:noProof/>
          </w:rPr>
          <w:t>1</w:t>
        </w:r>
      </w:fldSimple>
      <w:r w:rsidRPr="001020AB">
        <w:t xml:space="preserve">: The cumulative iron need using the simplified dosing table for ferric </w:t>
      </w:r>
      <w:proofErr w:type="spellStart"/>
      <w:r w:rsidRPr="001020AB">
        <w:t>derisomaltose</w:t>
      </w:r>
      <w:proofErr w:type="spellEnd"/>
    </w:p>
    <w:tbl>
      <w:tblPr>
        <w:tblStyle w:val="TableGrid"/>
        <w:tblW w:w="0" w:type="auto"/>
        <w:tblLook w:val="04A0" w:firstRow="1" w:lastRow="0" w:firstColumn="1" w:lastColumn="0" w:noHBand="0" w:noVBand="1"/>
        <w:tblCaption w:val="Table 1: The cumulative iron need using the simplified dosing table for ferric derisomaltose"/>
      </w:tblPr>
      <w:tblGrid>
        <w:gridCol w:w="1696"/>
        <w:gridCol w:w="3660"/>
        <w:gridCol w:w="3660"/>
      </w:tblGrid>
      <w:tr w:rsidR="00997D1C" w:rsidTr="00264AA7">
        <w:trPr>
          <w:tblHeader/>
        </w:trPr>
        <w:tc>
          <w:tcPr>
            <w:tcW w:w="1696" w:type="dxa"/>
          </w:tcPr>
          <w:p w:rsidR="00997D1C" w:rsidRDefault="00B67CB3">
            <w:pPr>
              <w:pStyle w:val="3Bodytext"/>
              <w:numPr>
                <w:ilvl w:val="0"/>
                <w:numId w:val="0"/>
              </w:numPr>
              <w:rPr>
                <w:rFonts w:ascii="Arial Narrow" w:hAnsi="Arial Narrow" w:cstheme="minorHAnsi"/>
                <w:color w:val="000000" w:themeColor="text1"/>
                <w:sz w:val="20"/>
                <w:szCs w:val="20"/>
              </w:rPr>
            </w:pPr>
            <w:proofErr w:type="spellStart"/>
            <w:r>
              <w:rPr>
                <w:rFonts w:ascii="Arial Narrow" w:hAnsi="Arial Narrow" w:cstheme="minorHAnsi"/>
                <w:color w:val="000000" w:themeColor="text1"/>
                <w:sz w:val="20"/>
                <w:szCs w:val="20"/>
              </w:rPr>
              <w:t>Hb</w:t>
            </w:r>
            <w:proofErr w:type="spellEnd"/>
            <w:r>
              <w:rPr>
                <w:rFonts w:ascii="Arial Narrow" w:hAnsi="Arial Narrow" w:cstheme="minorHAnsi"/>
                <w:color w:val="000000" w:themeColor="text1"/>
                <w:sz w:val="20"/>
                <w:szCs w:val="20"/>
              </w:rPr>
              <w:t xml:space="preserve"> (g/L)</w:t>
            </w:r>
          </w:p>
        </w:tc>
        <w:tc>
          <w:tcPr>
            <w:tcW w:w="3660" w:type="dxa"/>
          </w:tcPr>
          <w:p w:rsidR="00997D1C" w:rsidRDefault="00B67CB3">
            <w:pPr>
              <w:pStyle w:val="3Bodytext"/>
              <w:numPr>
                <w:ilvl w:val="0"/>
                <w:numId w:val="0"/>
              </w:numPr>
              <w:rPr>
                <w:rFonts w:ascii="Arial Narrow" w:hAnsi="Arial Narrow" w:cstheme="minorHAnsi"/>
                <w:color w:val="000000" w:themeColor="text1"/>
                <w:sz w:val="20"/>
                <w:szCs w:val="20"/>
              </w:rPr>
            </w:pPr>
            <w:r>
              <w:rPr>
                <w:rFonts w:ascii="Arial Narrow" w:hAnsi="Arial Narrow" w:cstheme="minorHAnsi"/>
                <w:color w:val="000000" w:themeColor="text1"/>
                <w:sz w:val="20"/>
                <w:szCs w:val="20"/>
              </w:rPr>
              <w:t>Patients with a bodyweight 50kg to &lt;70kg</w:t>
            </w:r>
          </w:p>
        </w:tc>
        <w:tc>
          <w:tcPr>
            <w:tcW w:w="3660" w:type="dxa"/>
          </w:tcPr>
          <w:p w:rsidR="00997D1C" w:rsidRDefault="00B67CB3">
            <w:pPr>
              <w:pStyle w:val="3Bodytext"/>
              <w:numPr>
                <w:ilvl w:val="0"/>
                <w:numId w:val="0"/>
              </w:numPr>
              <w:rPr>
                <w:rFonts w:ascii="Arial Narrow" w:hAnsi="Arial Narrow" w:cstheme="minorHAnsi"/>
                <w:color w:val="000000" w:themeColor="text1"/>
                <w:sz w:val="20"/>
                <w:szCs w:val="20"/>
              </w:rPr>
            </w:pPr>
            <w:r>
              <w:rPr>
                <w:rFonts w:ascii="Arial Narrow" w:hAnsi="Arial Narrow" w:cstheme="minorHAnsi"/>
                <w:color w:val="000000" w:themeColor="text1"/>
                <w:sz w:val="20"/>
                <w:szCs w:val="20"/>
              </w:rPr>
              <w:t>Patients with body weight ≥ 70 kg</w:t>
            </w:r>
          </w:p>
        </w:tc>
      </w:tr>
      <w:tr w:rsidR="00997D1C">
        <w:tc>
          <w:tcPr>
            <w:tcW w:w="1696" w:type="dxa"/>
          </w:tcPr>
          <w:p w:rsidR="00997D1C" w:rsidRDefault="00B67CB3">
            <w:pPr>
              <w:pStyle w:val="3Bodytext"/>
              <w:numPr>
                <w:ilvl w:val="0"/>
                <w:numId w:val="0"/>
              </w:numPr>
              <w:rPr>
                <w:rFonts w:ascii="Arial Narrow" w:hAnsi="Arial Narrow" w:cstheme="minorHAnsi"/>
                <w:color w:val="000000" w:themeColor="text1"/>
                <w:sz w:val="20"/>
                <w:szCs w:val="20"/>
              </w:rPr>
            </w:pPr>
            <w:r>
              <w:rPr>
                <w:rFonts w:ascii="Arial Narrow" w:hAnsi="Arial Narrow" w:cstheme="minorHAnsi"/>
                <w:color w:val="000000" w:themeColor="text1"/>
                <w:sz w:val="20"/>
                <w:szCs w:val="20"/>
              </w:rPr>
              <w:t>≥ 100</w:t>
            </w:r>
          </w:p>
        </w:tc>
        <w:tc>
          <w:tcPr>
            <w:tcW w:w="3660" w:type="dxa"/>
          </w:tcPr>
          <w:p w:rsidR="00997D1C" w:rsidRDefault="00B67CB3">
            <w:pPr>
              <w:pStyle w:val="3Bodytext"/>
              <w:numPr>
                <w:ilvl w:val="0"/>
                <w:numId w:val="0"/>
              </w:numPr>
              <w:rPr>
                <w:rFonts w:ascii="Arial Narrow" w:hAnsi="Arial Narrow" w:cstheme="minorHAnsi"/>
                <w:color w:val="000000" w:themeColor="text1"/>
                <w:sz w:val="20"/>
                <w:szCs w:val="20"/>
              </w:rPr>
            </w:pPr>
            <w:r>
              <w:rPr>
                <w:rFonts w:ascii="Arial Narrow" w:hAnsi="Arial Narrow" w:cstheme="minorHAnsi"/>
                <w:color w:val="000000" w:themeColor="text1"/>
                <w:sz w:val="20"/>
                <w:szCs w:val="20"/>
              </w:rPr>
              <w:t>1000 mg</w:t>
            </w:r>
          </w:p>
        </w:tc>
        <w:tc>
          <w:tcPr>
            <w:tcW w:w="3660" w:type="dxa"/>
          </w:tcPr>
          <w:p w:rsidR="00997D1C" w:rsidRDefault="00B67CB3">
            <w:pPr>
              <w:pStyle w:val="3Bodytext"/>
              <w:numPr>
                <w:ilvl w:val="0"/>
                <w:numId w:val="0"/>
              </w:numPr>
              <w:rPr>
                <w:rFonts w:ascii="Arial Narrow" w:hAnsi="Arial Narrow" w:cstheme="minorHAnsi"/>
                <w:color w:val="000000" w:themeColor="text1"/>
                <w:sz w:val="20"/>
                <w:szCs w:val="20"/>
              </w:rPr>
            </w:pPr>
            <w:r>
              <w:rPr>
                <w:rFonts w:ascii="Arial Narrow" w:hAnsi="Arial Narrow" w:cstheme="minorHAnsi"/>
                <w:color w:val="000000" w:themeColor="text1"/>
                <w:sz w:val="20"/>
                <w:szCs w:val="20"/>
              </w:rPr>
              <w:t>1500 mg</w:t>
            </w:r>
          </w:p>
        </w:tc>
      </w:tr>
      <w:tr w:rsidR="00997D1C">
        <w:tc>
          <w:tcPr>
            <w:tcW w:w="1696" w:type="dxa"/>
          </w:tcPr>
          <w:p w:rsidR="00997D1C" w:rsidRDefault="00B67CB3">
            <w:pPr>
              <w:pStyle w:val="3Bodytext"/>
              <w:numPr>
                <w:ilvl w:val="0"/>
                <w:numId w:val="0"/>
              </w:numPr>
              <w:rPr>
                <w:rFonts w:ascii="Arial Narrow" w:hAnsi="Arial Narrow" w:cstheme="minorHAnsi"/>
                <w:color w:val="000000" w:themeColor="text1"/>
                <w:sz w:val="20"/>
                <w:szCs w:val="20"/>
              </w:rPr>
            </w:pPr>
            <w:r>
              <w:rPr>
                <w:rFonts w:ascii="Arial Narrow" w:hAnsi="Arial Narrow" w:cstheme="minorHAnsi"/>
                <w:color w:val="000000" w:themeColor="text1"/>
                <w:sz w:val="20"/>
                <w:szCs w:val="20"/>
              </w:rPr>
              <w:t>&lt; 100</w:t>
            </w:r>
          </w:p>
        </w:tc>
        <w:tc>
          <w:tcPr>
            <w:tcW w:w="3660" w:type="dxa"/>
          </w:tcPr>
          <w:p w:rsidR="00997D1C" w:rsidRDefault="00B67CB3">
            <w:pPr>
              <w:pStyle w:val="3Bodytext"/>
              <w:numPr>
                <w:ilvl w:val="0"/>
                <w:numId w:val="0"/>
              </w:numPr>
              <w:rPr>
                <w:rFonts w:ascii="Arial Narrow" w:hAnsi="Arial Narrow" w:cstheme="minorHAnsi"/>
                <w:color w:val="000000" w:themeColor="text1"/>
                <w:sz w:val="20"/>
                <w:szCs w:val="20"/>
              </w:rPr>
            </w:pPr>
            <w:r>
              <w:rPr>
                <w:rFonts w:ascii="Arial Narrow" w:hAnsi="Arial Narrow" w:cstheme="minorHAnsi"/>
                <w:color w:val="000000" w:themeColor="text1"/>
                <w:sz w:val="20"/>
                <w:szCs w:val="20"/>
              </w:rPr>
              <w:t>1500 mg</w:t>
            </w:r>
          </w:p>
        </w:tc>
        <w:tc>
          <w:tcPr>
            <w:tcW w:w="3660" w:type="dxa"/>
          </w:tcPr>
          <w:p w:rsidR="00997D1C" w:rsidRDefault="00B67CB3">
            <w:pPr>
              <w:pStyle w:val="3Bodytext"/>
              <w:numPr>
                <w:ilvl w:val="0"/>
                <w:numId w:val="0"/>
              </w:numPr>
              <w:rPr>
                <w:rFonts w:ascii="Arial Narrow" w:hAnsi="Arial Narrow" w:cstheme="minorHAnsi"/>
                <w:color w:val="000000" w:themeColor="text1"/>
                <w:sz w:val="20"/>
                <w:szCs w:val="20"/>
              </w:rPr>
            </w:pPr>
            <w:r>
              <w:rPr>
                <w:rFonts w:ascii="Arial Narrow" w:hAnsi="Arial Narrow" w:cstheme="minorHAnsi"/>
                <w:color w:val="000000" w:themeColor="text1"/>
                <w:sz w:val="20"/>
                <w:szCs w:val="20"/>
              </w:rPr>
              <w:t>2000 mg</w:t>
            </w:r>
          </w:p>
        </w:tc>
      </w:tr>
    </w:tbl>
    <w:p w:rsidR="00997D1C" w:rsidRDefault="00B67CB3">
      <w:pPr>
        <w:pStyle w:val="3Bodytext"/>
        <w:numPr>
          <w:ilvl w:val="0"/>
          <w:numId w:val="0"/>
        </w:numPr>
        <w:rPr>
          <w:rFonts w:ascii="Arial Narrow" w:hAnsi="Arial Narrow"/>
          <w:color w:val="000000" w:themeColor="text1"/>
          <w:sz w:val="20"/>
          <w:szCs w:val="20"/>
        </w:rPr>
      </w:pPr>
      <w:r>
        <w:rPr>
          <w:rFonts w:ascii="Arial Narrow" w:hAnsi="Arial Narrow"/>
          <w:color w:val="000000" w:themeColor="text1"/>
          <w:sz w:val="20"/>
          <w:szCs w:val="20"/>
        </w:rPr>
        <w:t xml:space="preserve">Source: TGA approved product information for ferric </w:t>
      </w:r>
      <w:proofErr w:type="spellStart"/>
      <w:r>
        <w:rPr>
          <w:rFonts w:ascii="Arial Narrow" w:hAnsi="Arial Narrow"/>
          <w:color w:val="000000" w:themeColor="text1"/>
          <w:sz w:val="20"/>
          <w:szCs w:val="20"/>
        </w:rPr>
        <w:t>derisomaltose</w:t>
      </w:r>
      <w:proofErr w:type="spellEnd"/>
      <w:r>
        <w:rPr>
          <w:rFonts w:ascii="Arial Narrow" w:hAnsi="Arial Narrow"/>
          <w:color w:val="000000" w:themeColor="text1"/>
          <w:sz w:val="20"/>
          <w:szCs w:val="20"/>
        </w:rPr>
        <w:t xml:space="preserve"> (p2). Abbreviations: </w:t>
      </w:r>
      <w:proofErr w:type="spellStart"/>
      <w:r>
        <w:rPr>
          <w:rFonts w:ascii="Arial Narrow" w:hAnsi="Arial Narrow"/>
          <w:color w:val="000000" w:themeColor="text1"/>
          <w:sz w:val="20"/>
          <w:szCs w:val="20"/>
        </w:rPr>
        <w:t>Hb</w:t>
      </w:r>
      <w:proofErr w:type="spellEnd"/>
      <w:r>
        <w:rPr>
          <w:rFonts w:ascii="Arial Narrow" w:hAnsi="Arial Narrow"/>
          <w:color w:val="000000" w:themeColor="text1"/>
          <w:sz w:val="20"/>
          <w:szCs w:val="20"/>
        </w:rPr>
        <w:t xml:space="preserve"> = haemoglobin</w:t>
      </w:r>
    </w:p>
    <w:p w:rsidR="00997D1C" w:rsidRDefault="00B67CB3">
      <w:pPr>
        <w:pStyle w:val="3Bodytext"/>
      </w:pPr>
      <w:r>
        <w:t xml:space="preserve">The submission also requested a revision of the current listing of ferric </w:t>
      </w:r>
      <w:proofErr w:type="spellStart"/>
      <w:r>
        <w:t>derisomaltose</w:t>
      </w:r>
      <w:proofErr w:type="spellEnd"/>
      <w:r>
        <w:t xml:space="preserve"> 500 mg/5 mL vial (PBS Item 11615H) to provide a quantity that is consistent with the maximum permissible dose of 1500 mg that can be administered in a single infusion (i.e. 500 mg x 3 vials). The submission requested an increase to the maximum quantity from 2 to 3; and a reduction in the number of repeats from 1 to 0. This amendment would allow patients to receive the maximum quantity of 1500 mg per prescription. The submission noted that prescribers can currently apply for an authority to prescribe greater quantities than the current listing. However, the submission argued that amending the current listing to allow for the greater quantity would reduce the administrative burden and allow faster access for patients who require an iron dose of more than 1000 mg. The submission also claimed that ferric </w:t>
      </w:r>
      <w:proofErr w:type="spellStart"/>
      <w:r>
        <w:t>derisomaltose</w:t>
      </w:r>
      <w:proofErr w:type="spellEnd"/>
      <w:r>
        <w:t xml:space="preserve"> has the potential to reduce the number of intravenous infusions required, wastage, and number of doctor visits, because it can be administered at a higher dose in a single infusion (maximum dose of 1500 mg per week) when compared to ferric </w:t>
      </w:r>
      <w:proofErr w:type="spellStart"/>
      <w:r>
        <w:t>carboxymaltose</w:t>
      </w:r>
      <w:proofErr w:type="spellEnd"/>
      <w:r>
        <w:t xml:space="preserve"> (maximum dose of 1000 mg per week).</w:t>
      </w:r>
    </w:p>
    <w:p w:rsidR="00997D1C" w:rsidRDefault="00B67CB3">
      <w:pPr>
        <w:rPr>
          <w:rFonts w:asciiTheme="minorHAnsi" w:hAnsiTheme="minorHAnsi" w:cs="Arial"/>
          <w:b/>
          <w:snapToGrid w:val="0"/>
          <w:sz w:val="32"/>
          <w:szCs w:val="32"/>
          <w:lang w:eastAsia="en-US"/>
        </w:rPr>
      </w:pPr>
      <w:r>
        <w:br w:type="page"/>
      </w:r>
    </w:p>
    <w:p w:rsidR="00997D1C" w:rsidRDefault="00B67CB3">
      <w:pPr>
        <w:pStyle w:val="2Sections"/>
      </w:pPr>
      <w:r>
        <w:lastRenderedPageBreak/>
        <w:t>Background</w:t>
      </w:r>
    </w:p>
    <w:p w:rsidR="00997D1C" w:rsidRDefault="00B67CB3">
      <w:pPr>
        <w:pStyle w:val="3Bodytext"/>
        <w:rPr>
          <w:rFonts w:cstheme="minorHAnsi"/>
        </w:rPr>
      </w:pPr>
      <w:r>
        <w:t xml:space="preserve">Ferric </w:t>
      </w:r>
      <w:proofErr w:type="spellStart"/>
      <w:r>
        <w:t>derisomaltose</w:t>
      </w:r>
      <w:proofErr w:type="spellEnd"/>
      <w:r>
        <w:t xml:space="preserve"> is an intravenous (IV) iron, suitable for fast infusion and administration in primary care and other non-hospital settings.</w:t>
      </w:r>
    </w:p>
    <w:p w:rsidR="00997D1C" w:rsidRDefault="00B67CB3">
      <w:pPr>
        <w:pStyle w:val="3Bodytext"/>
        <w:rPr>
          <w:rFonts w:cstheme="minorHAnsi"/>
        </w:rPr>
      </w:pPr>
      <w:r>
        <w:t xml:space="preserve">The ferric </w:t>
      </w:r>
      <w:proofErr w:type="spellStart"/>
      <w:r>
        <w:t>derisomaltose</w:t>
      </w:r>
      <w:proofErr w:type="spellEnd"/>
      <w:r>
        <w:t xml:space="preserve"> 500 mg/5mL vial was TGA registered on 4 December 2017 and the 1000 mg/10 mL vial was registered on 13 November 2018. The TGA indication for both presentations is for </w:t>
      </w:r>
      <w:r>
        <w:rPr>
          <w:rFonts w:cstheme="minorHAnsi"/>
        </w:rPr>
        <w:t>the treatment of iron deficiency in adults, under the following conditions:</w:t>
      </w:r>
    </w:p>
    <w:p w:rsidR="00997D1C" w:rsidRDefault="00B67CB3">
      <w:pPr>
        <w:pStyle w:val="ListParagraph"/>
        <w:numPr>
          <w:ilvl w:val="0"/>
          <w:numId w:val="25"/>
        </w:numPr>
        <w:spacing w:after="120"/>
        <w:ind w:left="1559" w:hanging="357"/>
        <w:contextualSpacing w:val="0"/>
        <w:rPr>
          <w:rFonts w:asciiTheme="minorHAnsi" w:hAnsiTheme="minorHAnsi" w:cstheme="minorHAnsi"/>
          <w:sz w:val="24"/>
          <w:szCs w:val="24"/>
        </w:rPr>
      </w:pPr>
      <w:r>
        <w:rPr>
          <w:rFonts w:asciiTheme="minorHAnsi" w:hAnsiTheme="minorHAnsi" w:cstheme="minorHAnsi"/>
          <w:sz w:val="24"/>
          <w:szCs w:val="24"/>
        </w:rPr>
        <w:t>When oral iron preparations are ineffective or cannot be used; or</w:t>
      </w:r>
    </w:p>
    <w:p w:rsidR="00997D1C" w:rsidRDefault="00B67CB3">
      <w:pPr>
        <w:pStyle w:val="ListParagraph"/>
        <w:numPr>
          <w:ilvl w:val="0"/>
          <w:numId w:val="25"/>
        </w:numPr>
        <w:spacing w:after="120"/>
        <w:ind w:left="1559" w:hanging="357"/>
        <w:contextualSpacing w:val="0"/>
        <w:rPr>
          <w:rFonts w:asciiTheme="minorHAnsi" w:hAnsiTheme="minorHAnsi" w:cstheme="minorHAnsi"/>
          <w:sz w:val="24"/>
          <w:szCs w:val="24"/>
        </w:rPr>
      </w:pPr>
      <w:r>
        <w:rPr>
          <w:rFonts w:asciiTheme="minorHAnsi" w:hAnsiTheme="minorHAnsi" w:cstheme="minorHAnsi"/>
          <w:sz w:val="24"/>
          <w:szCs w:val="24"/>
        </w:rPr>
        <w:t>Where there is a clinical need to deliver iron rapidly.</w:t>
      </w:r>
    </w:p>
    <w:p w:rsidR="00997D1C" w:rsidRDefault="00B67CB3">
      <w:pPr>
        <w:spacing w:after="120"/>
        <w:ind w:firstLine="720"/>
        <w:rPr>
          <w:rFonts w:asciiTheme="minorHAnsi" w:hAnsiTheme="minorHAnsi" w:cstheme="minorHAnsi"/>
        </w:rPr>
      </w:pPr>
      <w:r>
        <w:rPr>
          <w:rFonts w:asciiTheme="minorHAnsi" w:hAnsiTheme="minorHAnsi" w:cstheme="minorHAnsi"/>
        </w:rPr>
        <w:t>The diagnosis must be based on laboratory tests.</w:t>
      </w:r>
    </w:p>
    <w:p w:rsidR="00997D1C" w:rsidRDefault="00B67CB3">
      <w:pPr>
        <w:pStyle w:val="3Bodytext"/>
      </w:pPr>
      <w:r>
        <w:t xml:space="preserve">At its July 2018 meeting, the PBAC recommended the listing of ferric </w:t>
      </w:r>
      <w:proofErr w:type="spellStart"/>
      <w:r>
        <w:t>derisomaltose</w:t>
      </w:r>
      <w:proofErr w:type="spellEnd"/>
      <w:r>
        <w:t xml:space="preserve"> 500 mg/5mL vial as a Section 85 General Schedule, Unrestricted listing. </w:t>
      </w:r>
      <w:r>
        <w:rPr>
          <w:bCs/>
        </w:rPr>
        <w:t xml:space="preserve">The PBAC recommended the listing on a cost-minimisation basis with ferric </w:t>
      </w:r>
      <w:proofErr w:type="spellStart"/>
      <w:r>
        <w:rPr>
          <w:bCs/>
        </w:rPr>
        <w:t>carboxymaltose</w:t>
      </w:r>
      <w:proofErr w:type="spellEnd"/>
      <w:r>
        <w:rPr>
          <w:bCs/>
        </w:rPr>
        <w:t xml:space="preserve"> </w:t>
      </w:r>
      <w:r>
        <w:rPr>
          <w:bCs/>
          <w:color w:val="000000" w:themeColor="text1"/>
        </w:rPr>
        <w:t xml:space="preserve">(paragraph 7.1, </w:t>
      </w:r>
      <w:r>
        <w:rPr>
          <w:color w:val="000000" w:themeColor="text1"/>
        </w:rPr>
        <w:t xml:space="preserve">ferric </w:t>
      </w:r>
      <w:proofErr w:type="spellStart"/>
      <w:r>
        <w:rPr>
          <w:color w:val="000000" w:themeColor="text1"/>
        </w:rPr>
        <w:t>derisomaltose</w:t>
      </w:r>
      <w:proofErr w:type="spellEnd"/>
      <w:r>
        <w:rPr>
          <w:color w:val="000000" w:themeColor="text1"/>
        </w:rPr>
        <w:t xml:space="preserve"> Public Summary Document (PSD), July 2018)</w:t>
      </w:r>
      <w:r>
        <w:rPr>
          <w:bCs/>
          <w:color w:val="000000" w:themeColor="text1"/>
        </w:rPr>
        <w:t xml:space="preserve">. </w:t>
      </w:r>
      <w:r>
        <w:t xml:space="preserve">Ferric </w:t>
      </w:r>
      <w:proofErr w:type="spellStart"/>
      <w:r>
        <w:t>derisomaltose</w:t>
      </w:r>
      <w:proofErr w:type="spellEnd"/>
      <w:r>
        <w:t xml:space="preserve"> was listed on the PBS in February 2019. </w:t>
      </w:r>
    </w:p>
    <w:p w:rsidR="00997D1C" w:rsidRDefault="00B67CB3">
      <w:pPr>
        <w:pStyle w:val="3Bodytext"/>
      </w:pPr>
      <w:r>
        <w:t xml:space="preserve">There are three other PBS listed IV iron formulations: iron </w:t>
      </w:r>
      <w:proofErr w:type="spellStart"/>
      <w:r>
        <w:t>polymaltose</w:t>
      </w:r>
      <w:proofErr w:type="spellEnd"/>
      <w:r>
        <w:t xml:space="preserve">, iron sucrose and ferric </w:t>
      </w:r>
      <w:proofErr w:type="spellStart"/>
      <w:r>
        <w:t>carboxymaltose</w:t>
      </w:r>
      <w:proofErr w:type="spellEnd"/>
      <w:r>
        <w:t xml:space="preserve">. Iron </w:t>
      </w:r>
      <w:proofErr w:type="spellStart"/>
      <w:r>
        <w:t>polymaltose</w:t>
      </w:r>
      <w:proofErr w:type="spellEnd"/>
      <w:r>
        <w:t xml:space="preserve"> is required to be infused over a five hour period and would therefore not be suitable for administration in a non-hospital settings. However, patients treated with iron </w:t>
      </w:r>
      <w:proofErr w:type="spellStart"/>
      <w:r>
        <w:t>polymaltose</w:t>
      </w:r>
      <w:proofErr w:type="spellEnd"/>
      <w:r>
        <w:t xml:space="preserve"> may receive up to 2500 mg of iron in a single infusion. Iron sucrose is administered during dialysis and is TGA registered for use in patients undergoing haemodialysis and receiving erythropoietin stimulating agents. In comparison, ferric </w:t>
      </w:r>
      <w:proofErr w:type="spellStart"/>
      <w:r>
        <w:t>carboxymaltose</w:t>
      </w:r>
      <w:proofErr w:type="spellEnd"/>
      <w:r>
        <w:t xml:space="preserve"> is a fast-infusion iron formulation that can be administered in a single infusion up to 1000 mg in 20 minutes once a week, and would therefore be suitable for administration in non-hospital settings </w:t>
      </w:r>
      <w:r>
        <w:rPr>
          <w:bCs/>
        </w:rPr>
        <w:t xml:space="preserve">(paragraph 5.2, </w:t>
      </w:r>
      <w:r>
        <w:t xml:space="preserve">ferric </w:t>
      </w:r>
      <w:proofErr w:type="spellStart"/>
      <w:r>
        <w:t>derisomaltose</w:t>
      </w:r>
      <w:proofErr w:type="spellEnd"/>
      <w:r>
        <w:t xml:space="preserve"> PSD, July 2018).</w:t>
      </w:r>
    </w:p>
    <w:p w:rsidR="00997D1C" w:rsidRDefault="00B67CB3">
      <w:pPr>
        <w:pStyle w:val="3Bodytext"/>
        <w:numPr>
          <w:ilvl w:val="0"/>
          <w:numId w:val="0"/>
        </w:numPr>
        <w:rPr>
          <w:i/>
        </w:rPr>
      </w:pPr>
      <w:r>
        <w:rPr>
          <w:i/>
        </w:rPr>
        <w:t>For more detail on PBAC’s view, see section 5 PBAC outcome.</w:t>
      </w:r>
    </w:p>
    <w:p w:rsidR="00997D1C" w:rsidRDefault="00B67CB3">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Consideration of the evidence</w:t>
      </w:r>
    </w:p>
    <w:p w:rsidR="00997D1C" w:rsidRDefault="00B67CB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Sponsor hearing </w:t>
      </w:r>
    </w:p>
    <w:p w:rsidR="00997D1C" w:rsidRDefault="00B67CB3">
      <w:pPr>
        <w:pStyle w:val="3Bodytext"/>
      </w:pPr>
      <w:r>
        <w:t>There was no hearing for this item as it was a minor submission.</w:t>
      </w:r>
    </w:p>
    <w:p w:rsidR="00997D1C" w:rsidRDefault="00B67CB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Consumer comments </w:t>
      </w:r>
    </w:p>
    <w:p w:rsidR="00997D1C" w:rsidRDefault="00B67CB3">
      <w:pPr>
        <w:pStyle w:val="3Bodytext"/>
      </w:pPr>
      <w:r>
        <w:rPr>
          <w:rFonts w:cs="Arial"/>
          <w:bCs/>
          <w:snapToGrid w:val="0"/>
        </w:rPr>
        <w:t>The PBAC noted that no consumer comments were received for this item.</w:t>
      </w:r>
    </w:p>
    <w:p w:rsidR="00997D1C" w:rsidRDefault="00B67CB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Clinical trials </w:t>
      </w:r>
    </w:p>
    <w:p w:rsidR="00997D1C" w:rsidRDefault="00B67CB3">
      <w:pPr>
        <w:pStyle w:val="3Bodytext"/>
      </w:pPr>
      <w:r>
        <w:t>As a minor submission, no clinical trials were presented in the submission.</w:t>
      </w:r>
    </w:p>
    <w:p w:rsidR="00997D1C" w:rsidRDefault="00B67CB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lastRenderedPageBreak/>
        <w:t>Economic analysis</w:t>
      </w:r>
    </w:p>
    <w:p w:rsidR="00997D1C" w:rsidRDefault="00B67CB3">
      <w:pPr>
        <w:pStyle w:val="ListParagraph"/>
        <w:widowControl/>
        <w:numPr>
          <w:ilvl w:val="1"/>
          <w:numId w:val="14"/>
        </w:numPr>
        <w:spacing w:after="120"/>
        <w:contextualSpacing w:val="0"/>
        <w:rPr>
          <w:rFonts w:asciiTheme="minorHAnsi" w:hAnsiTheme="minorHAnsi" w:cstheme="minorHAnsi"/>
          <w:sz w:val="24"/>
          <w:szCs w:val="24"/>
        </w:rPr>
      </w:pPr>
      <w:r>
        <w:rPr>
          <w:rFonts w:asciiTheme="minorHAnsi" w:hAnsiTheme="minorHAnsi" w:cstheme="minorHAnsi"/>
          <w:sz w:val="24"/>
          <w:szCs w:val="24"/>
        </w:rPr>
        <w:t>As a minor submission, no economic comparison was presented in the submission.</w:t>
      </w:r>
    </w:p>
    <w:p w:rsidR="00997D1C" w:rsidRDefault="00B67CB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Drug cost/patient/course </w:t>
      </w:r>
    </w:p>
    <w:p w:rsidR="00997D1C" w:rsidRDefault="00B67CB3">
      <w:pPr>
        <w:pStyle w:val="3Bodytext"/>
      </w:pPr>
      <w:r>
        <w:t xml:space="preserve">The submission proposed an equivalent price per milligram for the 1000 mg/10 mL vial relative to the 500 mg/5 mL vial. This is consistent with the July 2018 consideration of ferric </w:t>
      </w:r>
      <w:proofErr w:type="spellStart"/>
      <w:r>
        <w:t>derisomaltose</w:t>
      </w:r>
      <w:proofErr w:type="spellEnd"/>
      <w:r>
        <w:t xml:space="preserve">, where </w:t>
      </w:r>
      <w:r>
        <w:rPr>
          <w:szCs w:val="24"/>
        </w:rPr>
        <w:t xml:space="preserve">ferric </w:t>
      </w:r>
      <w:proofErr w:type="spellStart"/>
      <w:r>
        <w:rPr>
          <w:szCs w:val="24"/>
        </w:rPr>
        <w:t>derisomaltose</w:t>
      </w:r>
      <w:proofErr w:type="spellEnd"/>
      <w:r>
        <w:rPr>
          <w:szCs w:val="24"/>
        </w:rPr>
        <w:t xml:space="preserve"> was recommended to have the same overall cost of treatment as ferric </w:t>
      </w:r>
      <w:proofErr w:type="spellStart"/>
      <w:r>
        <w:rPr>
          <w:szCs w:val="24"/>
        </w:rPr>
        <w:t>carboxymaltose</w:t>
      </w:r>
      <w:proofErr w:type="spellEnd"/>
      <w:r>
        <w:rPr>
          <w:szCs w:val="24"/>
        </w:rPr>
        <w:t xml:space="preserve">, with a published approved ex-manufacture price (AEMP) of $272 per 1000 mg, assuming an </w:t>
      </w:r>
      <w:proofErr w:type="spellStart"/>
      <w:r>
        <w:rPr>
          <w:szCs w:val="24"/>
        </w:rPr>
        <w:t>equi</w:t>
      </w:r>
      <w:proofErr w:type="spellEnd"/>
      <w:r>
        <w:rPr>
          <w:szCs w:val="24"/>
        </w:rPr>
        <w:t xml:space="preserve">-effective dose of 1 mg (ferric </w:t>
      </w:r>
      <w:proofErr w:type="spellStart"/>
      <w:r>
        <w:rPr>
          <w:szCs w:val="24"/>
        </w:rPr>
        <w:t>derisomaltose</w:t>
      </w:r>
      <w:proofErr w:type="spellEnd"/>
      <w:r>
        <w:rPr>
          <w:szCs w:val="24"/>
        </w:rPr>
        <w:t xml:space="preserve">): 1 mg (ferric </w:t>
      </w:r>
      <w:proofErr w:type="spellStart"/>
      <w:r>
        <w:rPr>
          <w:szCs w:val="24"/>
        </w:rPr>
        <w:t>carboxymaltose</w:t>
      </w:r>
      <w:proofErr w:type="spellEnd"/>
      <w:r>
        <w:rPr>
          <w:szCs w:val="24"/>
        </w:rPr>
        <w:t xml:space="preserve">) </w:t>
      </w:r>
      <w:r>
        <w:rPr>
          <w:color w:val="000000" w:themeColor="text1"/>
          <w:szCs w:val="24"/>
        </w:rPr>
        <w:t xml:space="preserve">(paragraph 6.38, </w:t>
      </w:r>
      <w:r>
        <w:rPr>
          <w:color w:val="000000" w:themeColor="text1"/>
        </w:rPr>
        <w:t xml:space="preserve">ferric </w:t>
      </w:r>
      <w:proofErr w:type="spellStart"/>
      <w:r>
        <w:rPr>
          <w:color w:val="000000" w:themeColor="text1"/>
        </w:rPr>
        <w:t>derisomaltose</w:t>
      </w:r>
      <w:proofErr w:type="spellEnd"/>
      <w:r>
        <w:rPr>
          <w:color w:val="000000" w:themeColor="text1"/>
        </w:rPr>
        <w:t xml:space="preserve"> PSD, July 2018</w:t>
      </w:r>
      <w:r>
        <w:rPr>
          <w:color w:val="000000" w:themeColor="text1"/>
          <w:szCs w:val="24"/>
        </w:rPr>
        <w:t>).</w:t>
      </w:r>
    </w:p>
    <w:p w:rsidR="00997D1C" w:rsidRDefault="00B67CB3">
      <w:pPr>
        <w:pStyle w:val="3Bodytext"/>
        <w:rPr>
          <w:rFonts w:cstheme="minorHAnsi"/>
          <w:szCs w:val="24"/>
        </w:rPr>
      </w:pPr>
      <w:r>
        <w:rPr>
          <w:rFonts w:eastAsia="Times New Roman" w:cstheme="minorHAnsi"/>
          <w:snapToGrid w:val="0"/>
          <w:szCs w:val="24"/>
        </w:rPr>
        <w:t xml:space="preserve">Based on the proposed published Dispensed Price for Maximum Quantity (DPMQ) of $307.73 for 1000 mg/10 mL vial (maximum quantity of 1 vial) and $459.06 for 500 mg/5 mL (maximum quantity of 3 vials) of ferric </w:t>
      </w:r>
      <w:proofErr w:type="spellStart"/>
      <w:r>
        <w:rPr>
          <w:rFonts w:eastAsia="Times New Roman" w:cstheme="minorHAnsi"/>
          <w:snapToGrid w:val="0"/>
          <w:szCs w:val="24"/>
        </w:rPr>
        <w:t>derisomaltose</w:t>
      </w:r>
      <w:proofErr w:type="spellEnd"/>
      <w:r>
        <w:rPr>
          <w:rFonts w:eastAsia="Times New Roman" w:cstheme="minorHAnsi"/>
          <w:snapToGrid w:val="0"/>
          <w:szCs w:val="24"/>
        </w:rPr>
        <w:t xml:space="preserve">, the cost per patient per course of treatment with ferric </w:t>
      </w:r>
      <w:proofErr w:type="spellStart"/>
      <w:r>
        <w:rPr>
          <w:rFonts w:eastAsia="Times New Roman" w:cstheme="minorHAnsi"/>
          <w:snapToGrid w:val="0"/>
          <w:szCs w:val="24"/>
        </w:rPr>
        <w:t>derisomaltose</w:t>
      </w:r>
      <w:proofErr w:type="spellEnd"/>
      <w:r>
        <w:rPr>
          <w:rFonts w:eastAsia="Times New Roman" w:cstheme="minorHAnsi"/>
          <w:snapToGrid w:val="0"/>
          <w:szCs w:val="24"/>
        </w:rPr>
        <w:t xml:space="preserve"> for the following doses is:</w:t>
      </w:r>
    </w:p>
    <w:p w:rsidR="00997D1C" w:rsidRDefault="00B67CB3">
      <w:pPr>
        <w:pStyle w:val="ListParagraph"/>
        <w:numPr>
          <w:ilvl w:val="0"/>
          <w:numId w:val="25"/>
        </w:numPr>
        <w:spacing w:after="120"/>
        <w:ind w:left="1559" w:hanging="357"/>
        <w:contextualSpacing w:val="0"/>
        <w:rPr>
          <w:rFonts w:asciiTheme="minorHAnsi" w:hAnsiTheme="minorHAnsi" w:cstheme="minorHAnsi"/>
          <w:sz w:val="24"/>
          <w:szCs w:val="24"/>
        </w:rPr>
      </w:pPr>
      <w:r>
        <w:rPr>
          <w:rFonts w:asciiTheme="minorHAnsi" w:hAnsiTheme="minorHAnsi" w:cstheme="minorHAnsi"/>
          <w:sz w:val="24"/>
          <w:szCs w:val="24"/>
        </w:rPr>
        <w:t xml:space="preserve">1000 mg dose (the most commonly prescribed dose based on the 2017 DUSC utilisation review) = $307.73; </w:t>
      </w:r>
    </w:p>
    <w:p w:rsidR="00997D1C" w:rsidRDefault="00B67CB3">
      <w:pPr>
        <w:pStyle w:val="ListParagraph"/>
        <w:numPr>
          <w:ilvl w:val="0"/>
          <w:numId w:val="25"/>
        </w:numPr>
        <w:spacing w:after="120"/>
        <w:ind w:left="1559" w:hanging="357"/>
        <w:contextualSpacing w:val="0"/>
        <w:rPr>
          <w:rFonts w:asciiTheme="minorHAnsi" w:hAnsiTheme="minorHAnsi" w:cstheme="minorHAnsi"/>
          <w:sz w:val="24"/>
          <w:szCs w:val="24"/>
        </w:rPr>
      </w:pPr>
      <w:r>
        <w:rPr>
          <w:rFonts w:asciiTheme="minorHAnsi" w:hAnsiTheme="minorHAnsi" w:cstheme="minorHAnsi"/>
          <w:sz w:val="24"/>
          <w:szCs w:val="24"/>
        </w:rPr>
        <w:t>1500 mg dose = $459.06 (based on 3 vials of the 500 mg/mL); and</w:t>
      </w:r>
    </w:p>
    <w:p w:rsidR="00997D1C" w:rsidRDefault="00B67CB3">
      <w:pPr>
        <w:pStyle w:val="ListParagraph"/>
        <w:numPr>
          <w:ilvl w:val="0"/>
          <w:numId w:val="25"/>
        </w:numPr>
        <w:spacing w:after="120"/>
        <w:ind w:left="1559" w:hanging="357"/>
        <w:contextualSpacing w:val="0"/>
        <w:rPr>
          <w:rFonts w:asciiTheme="minorHAnsi" w:hAnsiTheme="minorHAnsi" w:cstheme="minorHAnsi"/>
          <w:sz w:val="24"/>
          <w:szCs w:val="24"/>
        </w:rPr>
      </w:pPr>
      <w:r>
        <w:rPr>
          <w:rFonts w:asciiTheme="minorHAnsi" w:hAnsiTheme="minorHAnsi" w:cstheme="minorHAnsi"/>
          <w:sz w:val="24"/>
          <w:szCs w:val="24"/>
        </w:rPr>
        <w:t>2000 mg dose = $615.26 (based on 2 vials of 1000 mg/10 mL).</w:t>
      </w:r>
    </w:p>
    <w:p w:rsidR="00997D1C" w:rsidRDefault="00B67CB3">
      <w:pPr>
        <w:pStyle w:val="3Bodytext"/>
        <w:spacing w:before="120"/>
        <w:rPr>
          <w:szCs w:val="24"/>
        </w:rPr>
      </w:pPr>
      <w:r>
        <w:t xml:space="preserve">Based on the proposed effective </w:t>
      </w:r>
      <w:r>
        <w:rPr>
          <w:rFonts w:eastAsia="Times New Roman" w:cstheme="minorHAnsi"/>
          <w:snapToGrid w:val="0"/>
          <w:szCs w:val="24"/>
        </w:rPr>
        <w:t>DPMQ of $</w:t>
      </w:r>
      <w:r w:rsidR="00CE64A9">
        <w:rPr>
          <w:rFonts w:eastAsia="Times New Roman" w:cstheme="minorHAnsi"/>
          <w:noProof/>
          <w:snapToGrid w:val="0"/>
          <w:color w:val="000000"/>
          <w:szCs w:val="24"/>
          <w:highlight w:val="black"/>
        </w:rPr>
        <w:t>''''''''''''</w:t>
      </w:r>
      <w:r>
        <w:rPr>
          <w:rFonts w:eastAsia="Times New Roman" w:cstheme="minorHAnsi"/>
          <w:snapToGrid w:val="0"/>
          <w:szCs w:val="24"/>
        </w:rPr>
        <w:t xml:space="preserve"> for 1000 mg/10 mL vial (maximum quantity of 1 vial) and $</w:t>
      </w:r>
      <w:r w:rsidR="00CE64A9">
        <w:rPr>
          <w:rFonts w:eastAsia="Times New Roman" w:cstheme="minorHAnsi"/>
          <w:noProof/>
          <w:snapToGrid w:val="0"/>
          <w:color w:val="000000"/>
          <w:szCs w:val="24"/>
          <w:highlight w:val="black"/>
        </w:rPr>
        <w:t>'''''''''''''</w:t>
      </w:r>
      <w:r>
        <w:rPr>
          <w:rFonts w:eastAsia="Times New Roman" w:cstheme="minorHAnsi"/>
          <w:snapToGrid w:val="0"/>
          <w:szCs w:val="24"/>
        </w:rPr>
        <w:t xml:space="preserve"> for 500 mg/5 mL (maximum quantity of 3 vials) </w:t>
      </w:r>
      <w:r>
        <w:t xml:space="preserve">of ferric </w:t>
      </w:r>
      <w:proofErr w:type="spellStart"/>
      <w:r>
        <w:t>derisomaltose</w:t>
      </w:r>
      <w:proofErr w:type="spellEnd"/>
      <w:r>
        <w:t xml:space="preserve">, the effective cost per patient per course of treatment with ferric </w:t>
      </w:r>
      <w:proofErr w:type="spellStart"/>
      <w:r>
        <w:t>derisomaltose</w:t>
      </w:r>
      <w:proofErr w:type="spellEnd"/>
      <w:r>
        <w:t xml:space="preserve"> for the following doses is:</w:t>
      </w:r>
    </w:p>
    <w:p w:rsidR="00997D1C" w:rsidRDefault="00B67CB3">
      <w:pPr>
        <w:pStyle w:val="ListParagraph"/>
        <w:numPr>
          <w:ilvl w:val="0"/>
          <w:numId w:val="25"/>
        </w:numPr>
        <w:spacing w:after="120"/>
        <w:ind w:left="1559" w:hanging="357"/>
        <w:contextualSpacing w:val="0"/>
        <w:rPr>
          <w:rFonts w:asciiTheme="minorHAnsi" w:hAnsiTheme="minorHAnsi" w:cstheme="minorHAnsi"/>
          <w:sz w:val="24"/>
          <w:szCs w:val="24"/>
        </w:rPr>
      </w:pPr>
      <w:r>
        <w:rPr>
          <w:rFonts w:asciiTheme="minorHAnsi" w:hAnsiTheme="minorHAnsi" w:cstheme="minorHAnsi"/>
          <w:sz w:val="24"/>
          <w:szCs w:val="24"/>
        </w:rPr>
        <w:t>1000 mg dose (the most commonly prescribed dose based on the 2017 DUSC utilisation review) = $</w:t>
      </w:r>
      <w:r w:rsidR="00CE64A9">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w:t>
      </w:r>
    </w:p>
    <w:p w:rsidR="00997D1C" w:rsidRDefault="00B67CB3">
      <w:pPr>
        <w:pStyle w:val="ListParagraph"/>
        <w:numPr>
          <w:ilvl w:val="0"/>
          <w:numId w:val="25"/>
        </w:numPr>
        <w:spacing w:after="120"/>
        <w:ind w:left="1559" w:hanging="357"/>
        <w:contextualSpacing w:val="0"/>
        <w:rPr>
          <w:rFonts w:asciiTheme="minorHAnsi" w:hAnsiTheme="minorHAnsi" w:cstheme="minorHAnsi"/>
          <w:sz w:val="24"/>
          <w:szCs w:val="24"/>
        </w:rPr>
      </w:pPr>
      <w:r>
        <w:rPr>
          <w:rFonts w:asciiTheme="minorHAnsi" w:hAnsiTheme="minorHAnsi" w:cstheme="minorHAnsi"/>
          <w:sz w:val="24"/>
          <w:szCs w:val="24"/>
        </w:rPr>
        <w:t>1500 mg dose = $</w:t>
      </w:r>
      <w:r w:rsidR="00CE64A9">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(based on 3 vials of 500 mg/5 mL);</w:t>
      </w:r>
    </w:p>
    <w:p w:rsidR="00997D1C" w:rsidRDefault="00B67CB3">
      <w:pPr>
        <w:pStyle w:val="ListParagraph"/>
        <w:numPr>
          <w:ilvl w:val="0"/>
          <w:numId w:val="25"/>
        </w:numPr>
        <w:spacing w:after="120"/>
        <w:ind w:left="1559" w:hanging="357"/>
        <w:contextualSpacing w:val="0"/>
        <w:rPr>
          <w:rFonts w:asciiTheme="minorHAnsi" w:hAnsiTheme="minorHAnsi" w:cstheme="minorHAnsi"/>
          <w:sz w:val="24"/>
          <w:szCs w:val="24"/>
        </w:rPr>
      </w:pPr>
      <w:r>
        <w:rPr>
          <w:rFonts w:asciiTheme="minorHAnsi" w:hAnsiTheme="minorHAnsi" w:cstheme="minorHAnsi"/>
          <w:sz w:val="24"/>
          <w:szCs w:val="24"/>
        </w:rPr>
        <w:t>2000 mg dose = $</w:t>
      </w:r>
      <w:r w:rsidR="00CE64A9">
        <w:rPr>
          <w:rFonts w:asciiTheme="minorHAnsi" w:hAnsiTheme="minorHAnsi" w:cstheme="minorHAnsi"/>
          <w:noProof/>
          <w:color w:val="000000"/>
          <w:sz w:val="24"/>
          <w:szCs w:val="24"/>
          <w:highlight w:val="black"/>
        </w:rPr>
        <w:t>''''''''''''''</w:t>
      </w:r>
      <w:r>
        <w:rPr>
          <w:rFonts w:asciiTheme="minorHAnsi" w:hAnsiTheme="minorHAnsi" w:cstheme="minorHAnsi"/>
          <w:sz w:val="24"/>
          <w:szCs w:val="24"/>
        </w:rPr>
        <w:t xml:space="preserve"> (based on 2 vials of 1000 mg/10 mL).</w:t>
      </w:r>
    </w:p>
    <w:p w:rsidR="00997D1C" w:rsidRDefault="00B67CB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Estimated PBS usage &amp; financial implications</w:t>
      </w:r>
    </w:p>
    <w:p w:rsidR="00997D1C" w:rsidRDefault="00B67CB3">
      <w:pPr>
        <w:pStyle w:val="3Bodytext"/>
      </w:pPr>
      <w:r>
        <w:t xml:space="preserve">Table 2 presents PBS data for the number of vials of ferric </w:t>
      </w:r>
      <w:proofErr w:type="spellStart"/>
      <w:r>
        <w:t>derisomaltose</w:t>
      </w:r>
      <w:proofErr w:type="spellEnd"/>
      <w:r>
        <w:t xml:space="preserve"> </w:t>
      </w:r>
      <w:r>
        <w:br/>
        <w:t xml:space="preserve">500 mg/5 mL supplied per dispensing since listing on 1 February 2019. Based on three months of data, the majority of patients (87%) required a dose of 1000 mg of ferric </w:t>
      </w:r>
      <w:proofErr w:type="spellStart"/>
      <w:r>
        <w:t>derisomaltose</w:t>
      </w:r>
      <w:proofErr w:type="spellEnd"/>
      <w:r>
        <w:t xml:space="preserve"> (2 vials of 500 mg/5 mL). Around 9% of patients required a single vial dose of 500 mg, and 4% required a dose of 1500 mg (3 vials of 500 mg/5 mL). As there was a small number of patients requiring an iron dose of 1500 mg, the submission’s claim that there will be reduced wastage as a result of the amendment to the </w:t>
      </w:r>
      <w:r>
        <w:br/>
        <w:t>500 mg/5 mL listing will likely be minimal.</w:t>
      </w:r>
    </w:p>
    <w:p w:rsidR="00DB2A4A" w:rsidRDefault="00DB2A4A">
      <w:pPr>
        <w:rPr>
          <w:rFonts w:ascii="Arial Narrow" w:hAnsi="Arial Narrow"/>
          <w:b/>
          <w:sz w:val="20"/>
          <w:szCs w:val="22"/>
        </w:rPr>
      </w:pPr>
      <w:r>
        <w:br w:type="page"/>
      </w:r>
    </w:p>
    <w:p w:rsidR="00D71E17" w:rsidRDefault="00D71E17" w:rsidP="00D71E17">
      <w:pPr>
        <w:pStyle w:val="Tabletitles"/>
      </w:pPr>
      <w:r>
        <w:lastRenderedPageBreak/>
        <w:t xml:space="preserve">Table </w:t>
      </w:r>
      <w:fldSimple w:instr=" SEQ Table \* ARABIC ">
        <w:r w:rsidR="00AC280A">
          <w:rPr>
            <w:noProof/>
          </w:rPr>
          <w:t>2</w:t>
        </w:r>
      </w:fldSimple>
      <w:r w:rsidRPr="00E54E70">
        <w:t xml:space="preserve">: Number of ferric </w:t>
      </w:r>
      <w:proofErr w:type="spellStart"/>
      <w:r w:rsidRPr="00E54E70">
        <w:t>derisomaltose</w:t>
      </w:r>
      <w:proofErr w:type="spellEnd"/>
      <w:r w:rsidRPr="00E54E70">
        <w:t xml:space="preserve"> 500 mg/5 mL vials supplied per dispensing</w:t>
      </w:r>
    </w:p>
    <w:tbl>
      <w:tblPr>
        <w:tblW w:w="5000" w:type="pct"/>
        <w:tblCellMar>
          <w:left w:w="0" w:type="dxa"/>
          <w:right w:w="0" w:type="dxa"/>
        </w:tblCellMar>
        <w:tblLook w:val="04A0" w:firstRow="1" w:lastRow="0" w:firstColumn="1" w:lastColumn="0" w:noHBand="0" w:noVBand="1"/>
        <w:tblCaption w:val="Table 2: Number of ferric derisomaltose 500 mg/5 mL vials supplied per dispensing"/>
      </w:tblPr>
      <w:tblGrid>
        <w:gridCol w:w="3676"/>
        <w:gridCol w:w="5330"/>
      </w:tblGrid>
      <w:tr w:rsidR="00997D1C" w:rsidTr="00264AA7">
        <w:trPr>
          <w:trHeight w:val="296"/>
          <w:tblHeader/>
        </w:trPr>
        <w:tc>
          <w:tcPr>
            <w:tcW w:w="20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No. of vials supplied at dispensing</w:t>
            </w:r>
          </w:p>
        </w:tc>
        <w:tc>
          <w:tcPr>
            <w:tcW w:w="29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Proportion of patients#</w:t>
            </w:r>
          </w:p>
        </w:tc>
      </w:tr>
      <w:tr w:rsidR="00997D1C">
        <w:trPr>
          <w:trHeight w:val="296"/>
        </w:trPr>
        <w:tc>
          <w:tcPr>
            <w:tcW w:w="20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1</w:t>
            </w:r>
          </w:p>
        </w:tc>
        <w:tc>
          <w:tcPr>
            <w:tcW w:w="2959" w:type="pct"/>
            <w:tcBorders>
              <w:top w:val="nil"/>
              <w:left w:val="nil"/>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9.2%</w:t>
            </w:r>
          </w:p>
        </w:tc>
      </w:tr>
      <w:tr w:rsidR="00997D1C">
        <w:trPr>
          <w:trHeight w:val="296"/>
        </w:trPr>
        <w:tc>
          <w:tcPr>
            <w:tcW w:w="20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2</w:t>
            </w:r>
          </w:p>
        </w:tc>
        <w:tc>
          <w:tcPr>
            <w:tcW w:w="2959" w:type="pct"/>
            <w:tcBorders>
              <w:top w:val="nil"/>
              <w:left w:val="nil"/>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86.8%</w:t>
            </w:r>
          </w:p>
        </w:tc>
      </w:tr>
      <w:tr w:rsidR="00997D1C">
        <w:trPr>
          <w:trHeight w:val="296"/>
        </w:trPr>
        <w:tc>
          <w:tcPr>
            <w:tcW w:w="20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3</w:t>
            </w:r>
          </w:p>
        </w:tc>
        <w:tc>
          <w:tcPr>
            <w:tcW w:w="2959" w:type="pct"/>
            <w:tcBorders>
              <w:top w:val="nil"/>
              <w:left w:val="nil"/>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4.0%</w:t>
            </w:r>
          </w:p>
        </w:tc>
      </w:tr>
    </w:tbl>
    <w:p w:rsidR="00997D1C" w:rsidRDefault="00B67CB3">
      <w:pPr>
        <w:rPr>
          <w:rFonts w:ascii="Arial Narrow" w:eastAsiaTheme="minorHAnsi" w:hAnsi="Arial Narrow"/>
          <w:sz w:val="20"/>
          <w:szCs w:val="20"/>
        </w:rPr>
      </w:pPr>
      <w:r>
        <w:rPr>
          <w:rFonts w:ascii="Arial Narrow" w:hAnsi="Arial Narrow"/>
          <w:sz w:val="20"/>
          <w:szCs w:val="20"/>
        </w:rPr>
        <w:t>#Department of Human Services (DHS) Prescription database for the period from 1 February 2019 to 30 April 2019 inclusive, based on the date that the prescription was supplied.</w:t>
      </w:r>
    </w:p>
    <w:p w:rsidR="00997D1C" w:rsidRDefault="00B67CB3">
      <w:pPr>
        <w:pStyle w:val="3Bodytext"/>
        <w:spacing w:before="120"/>
      </w:pPr>
      <w:r>
        <w:t xml:space="preserve">Table 3 presents the number of ferric </w:t>
      </w:r>
      <w:proofErr w:type="spellStart"/>
      <w:r>
        <w:t>derisomaltose</w:t>
      </w:r>
      <w:proofErr w:type="spellEnd"/>
      <w:r>
        <w:t xml:space="preserve"> vials supplied per month since listing on 1 February 2019. Table 4 presents the market share of PBS-listed parenteral iron preparations based on number of prescriptions. The data shows that although the ferric </w:t>
      </w:r>
      <w:proofErr w:type="spellStart"/>
      <w:r>
        <w:t>derisomaltose</w:t>
      </w:r>
      <w:proofErr w:type="spellEnd"/>
      <w:r>
        <w:t xml:space="preserve"> market is small, it has been growing since being listed from 1 February 2019. </w:t>
      </w:r>
    </w:p>
    <w:p w:rsidR="00D71E17" w:rsidRDefault="00D71E17" w:rsidP="00D71E17">
      <w:pPr>
        <w:pStyle w:val="Tabletitles"/>
      </w:pPr>
      <w:r>
        <w:t xml:space="preserve">Table </w:t>
      </w:r>
      <w:fldSimple w:instr=" SEQ Table \* ARABIC ">
        <w:r w:rsidR="00AC280A">
          <w:rPr>
            <w:noProof/>
          </w:rPr>
          <w:t>3</w:t>
        </w:r>
      </w:fldSimple>
      <w:r w:rsidRPr="00B8304C">
        <w:t xml:space="preserve">: Number of ferric </w:t>
      </w:r>
      <w:proofErr w:type="spellStart"/>
      <w:r w:rsidRPr="00B8304C">
        <w:t>derisomaltose</w:t>
      </w:r>
      <w:proofErr w:type="spellEnd"/>
      <w:r w:rsidRPr="00B8304C">
        <w:t xml:space="preserve"> 500 mg/5 mL prescriptions supplied per month</w:t>
      </w:r>
    </w:p>
    <w:tbl>
      <w:tblPr>
        <w:tblW w:w="5000" w:type="pct"/>
        <w:tblCellMar>
          <w:left w:w="0" w:type="dxa"/>
          <w:right w:w="0" w:type="dxa"/>
        </w:tblCellMar>
        <w:tblLook w:val="04A0" w:firstRow="1" w:lastRow="0" w:firstColumn="1" w:lastColumn="0" w:noHBand="0" w:noVBand="1"/>
        <w:tblCaption w:val="Table 3: Number of ferric derisomaltose 500 mg/5 mL prescriptions supplied per month"/>
      </w:tblPr>
      <w:tblGrid>
        <w:gridCol w:w="3601"/>
        <w:gridCol w:w="5405"/>
      </w:tblGrid>
      <w:tr w:rsidR="00997D1C" w:rsidTr="00264AA7">
        <w:trPr>
          <w:trHeight w:val="344"/>
          <w:tblHeader/>
        </w:trPr>
        <w:tc>
          <w:tcPr>
            <w:tcW w:w="19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Month of Supply</w:t>
            </w:r>
          </w:p>
        </w:tc>
        <w:tc>
          <w:tcPr>
            <w:tcW w:w="30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Total no. of prescriptions#</w:t>
            </w:r>
          </w:p>
        </w:tc>
      </w:tr>
      <w:tr w:rsidR="00997D1C">
        <w:trPr>
          <w:trHeight w:val="344"/>
        </w:trPr>
        <w:tc>
          <w:tcPr>
            <w:tcW w:w="19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February 2019</w:t>
            </w:r>
          </w:p>
        </w:tc>
        <w:tc>
          <w:tcPr>
            <w:tcW w:w="3001" w:type="pct"/>
            <w:tcBorders>
              <w:top w:val="nil"/>
              <w:left w:val="nil"/>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10</w:t>
            </w:r>
          </w:p>
        </w:tc>
      </w:tr>
      <w:tr w:rsidR="00997D1C">
        <w:trPr>
          <w:trHeight w:val="344"/>
        </w:trPr>
        <w:tc>
          <w:tcPr>
            <w:tcW w:w="19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March 2019</w:t>
            </w:r>
          </w:p>
        </w:tc>
        <w:tc>
          <w:tcPr>
            <w:tcW w:w="3001" w:type="pct"/>
            <w:tcBorders>
              <w:top w:val="nil"/>
              <w:left w:val="nil"/>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29</w:t>
            </w:r>
          </w:p>
        </w:tc>
      </w:tr>
      <w:tr w:rsidR="00997D1C">
        <w:trPr>
          <w:trHeight w:val="344"/>
        </w:trPr>
        <w:tc>
          <w:tcPr>
            <w:tcW w:w="19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April 2019</w:t>
            </w:r>
          </w:p>
        </w:tc>
        <w:tc>
          <w:tcPr>
            <w:tcW w:w="3001" w:type="pct"/>
            <w:tcBorders>
              <w:top w:val="nil"/>
              <w:left w:val="nil"/>
              <w:bottom w:val="single" w:sz="8" w:space="0" w:color="auto"/>
              <w:right w:val="single" w:sz="8" w:space="0" w:color="auto"/>
            </w:tcBorders>
            <w:tcMar>
              <w:top w:w="0" w:type="dxa"/>
              <w:left w:w="108" w:type="dxa"/>
              <w:bottom w:w="0" w:type="dxa"/>
              <w:right w:w="108" w:type="dxa"/>
            </w:tcMar>
            <w:hideMark/>
          </w:tcPr>
          <w:p w:rsidR="00997D1C" w:rsidRDefault="00B67CB3">
            <w:pPr>
              <w:rPr>
                <w:rFonts w:ascii="Arial Narrow" w:hAnsi="Arial Narrow"/>
                <w:sz w:val="20"/>
                <w:szCs w:val="20"/>
              </w:rPr>
            </w:pPr>
            <w:r>
              <w:rPr>
                <w:rFonts w:ascii="Arial Narrow" w:hAnsi="Arial Narrow"/>
                <w:sz w:val="20"/>
                <w:szCs w:val="20"/>
              </w:rPr>
              <w:t>37</w:t>
            </w:r>
          </w:p>
        </w:tc>
      </w:tr>
    </w:tbl>
    <w:p w:rsidR="00997D1C" w:rsidRDefault="00B67CB3" w:rsidP="00DB2A4A">
      <w:pPr>
        <w:rPr>
          <w:rFonts w:ascii="Arial Narrow" w:hAnsi="Arial Narrow"/>
          <w:sz w:val="20"/>
          <w:szCs w:val="20"/>
        </w:rPr>
      </w:pPr>
      <w:r>
        <w:rPr>
          <w:rFonts w:ascii="Arial Narrow" w:hAnsi="Arial Narrow"/>
          <w:sz w:val="20"/>
          <w:szCs w:val="20"/>
        </w:rPr>
        <w:t>#Department of Human Services (DHS) Prescription database for the period from 1 February 2019 to 30 April 2019 inclusive, based on the date that the prescription was supplied.</w:t>
      </w:r>
    </w:p>
    <w:p w:rsidR="00DB2A4A" w:rsidRPr="00DB2A4A" w:rsidRDefault="00DB2A4A" w:rsidP="00DB2A4A">
      <w:pPr>
        <w:rPr>
          <w:rFonts w:ascii="Arial Narrow" w:eastAsiaTheme="minorHAnsi" w:hAnsi="Arial Narrow"/>
          <w:sz w:val="20"/>
          <w:szCs w:val="20"/>
        </w:rPr>
      </w:pPr>
    </w:p>
    <w:p w:rsidR="00D71E17" w:rsidRDefault="00D71E17" w:rsidP="00D71E17">
      <w:pPr>
        <w:pStyle w:val="Tabletitles"/>
      </w:pPr>
      <w:r>
        <w:t xml:space="preserve">Table </w:t>
      </w:r>
      <w:fldSimple w:instr=" SEQ Table \* ARABIC ">
        <w:r w:rsidR="00AC280A">
          <w:rPr>
            <w:noProof/>
          </w:rPr>
          <w:t>4</w:t>
        </w:r>
      </w:fldSimple>
      <w:r w:rsidRPr="00324D54">
        <w:t>: Market share of PBS-listed parenteral iron preparations based on number of prescriptions</w:t>
      </w:r>
    </w:p>
    <w:tbl>
      <w:tblPr>
        <w:tblW w:w="5000" w:type="pct"/>
        <w:tblCellMar>
          <w:left w:w="0" w:type="dxa"/>
          <w:right w:w="0" w:type="dxa"/>
        </w:tblCellMar>
        <w:tblLook w:val="04A0" w:firstRow="1" w:lastRow="0" w:firstColumn="1" w:lastColumn="0" w:noHBand="0" w:noVBand="1"/>
        <w:tblCaption w:val="Table 4: Market share of PBS-listed parenteral iron preparations based on number of prescriptions"/>
      </w:tblPr>
      <w:tblGrid>
        <w:gridCol w:w="3534"/>
        <w:gridCol w:w="5472"/>
      </w:tblGrid>
      <w:tr w:rsidR="00997D1C" w:rsidTr="00264AA7">
        <w:trPr>
          <w:trHeight w:val="412"/>
          <w:tblHeader/>
        </w:trPr>
        <w:tc>
          <w:tcPr>
            <w:tcW w:w="19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keepNext/>
              <w:rPr>
                <w:rFonts w:ascii="Arial Narrow" w:hAnsi="Arial Narrow"/>
                <w:sz w:val="20"/>
                <w:szCs w:val="20"/>
              </w:rPr>
            </w:pPr>
            <w:r>
              <w:rPr>
                <w:rFonts w:ascii="Arial Narrow" w:hAnsi="Arial Narrow"/>
                <w:sz w:val="20"/>
                <w:szCs w:val="20"/>
              </w:rPr>
              <w:t>Drug</w:t>
            </w:r>
          </w:p>
        </w:tc>
        <w:tc>
          <w:tcPr>
            <w:tcW w:w="3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7D1C" w:rsidRDefault="00B67CB3">
            <w:pPr>
              <w:keepNext/>
              <w:rPr>
                <w:rFonts w:ascii="Arial Narrow" w:hAnsi="Arial Narrow"/>
                <w:sz w:val="20"/>
                <w:szCs w:val="20"/>
              </w:rPr>
            </w:pPr>
            <w:r>
              <w:rPr>
                <w:rFonts w:ascii="Arial Narrow" w:hAnsi="Arial Narrow"/>
                <w:sz w:val="20"/>
                <w:szCs w:val="20"/>
              </w:rPr>
              <w:t>Total no. prescriptions (% of total)</w:t>
            </w:r>
            <w:r>
              <w:rPr>
                <w:rFonts w:ascii="Arial Narrow" w:hAnsi="Arial Narrow"/>
                <w:sz w:val="20"/>
                <w:szCs w:val="20"/>
                <w:vertAlign w:val="superscript"/>
              </w:rPr>
              <w:t>#</w:t>
            </w:r>
          </w:p>
        </w:tc>
      </w:tr>
      <w:tr w:rsidR="00997D1C">
        <w:trPr>
          <w:trHeight w:val="412"/>
        </w:trPr>
        <w:tc>
          <w:tcPr>
            <w:tcW w:w="19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keepNext/>
              <w:rPr>
                <w:rFonts w:ascii="Arial Narrow" w:hAnsi="Arial Narrow"/>
                <w:sz w:val="20"/>
                <w:szCs w:val="20"/>
              </w:rPr>
            </w:pPr>
            <w:r>
              <w:rPr>
                <w:rFonts w:ascii="Arial Narrow" w:hAnsi="Arial Narrow"/>
                <w:sz w:val="20"/>
                <w:szCs w:val="20"/>
              </w:rPr>
              <w:t xml:space="preserve">Ferric </w:t>
            </w:r>
            <w:proofErr w:type="spellStart"/>
            <w:r>
              <w:rPr>
                <w:rFonts w:ascii="Arial Narrow" w:hAnsi="Arial Narrow"/>
                <w:sz w:val="20"/>
                <w:szCs w:val="20"/>
              </w:rPr>
              <w:t>carboxymaltose</w:t>
            </w:r>
            <w:proofErr w:type="spellEnd"/>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997D1C" w:rsidRDefault="00B67CB3">
            <w:pPr>
              <w:keepNext/>
              <w:rPr>
                <w:rFonts w:ascii="Arial Narrow" w:hAnsi="Arial Narrow"/>
                <w:sz w:val="20"/>
                <w:szCs w:val="20"/>
              </w:rPr>
            </w:pPr>
            <w:r>
              <w:rPr>
                <w:rFonts w:ascii="Arial Narrow" w:hAnsi="Arial Narrow"/>
                <w:sz w:val="20"/>
                <w:szCs w:val="20"/>
              </w:rPr>
              <w:t>285,052 (92%)</w:t>
            </w:r>
          </w:p>
        </w:tc>
      </w:tr>
      <w:tr w:rsidR="00997D1C">
        <w:trPr>
          <w:trHeight w:val="412"/>
        </w:trPr>
        <w:tc>
          <w:tcPr>
            <w:tcW w:w="19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keepNext/>
              <w:rPr>
                <w:rFonts w:ascii="Arial Narrow" w:hAnsi="Arial Narrow"/>
                <w:sz w:val="20"/>
                <w:szCs w:val="20"/>
              </w:rPr>
            </w:pPr>
            <w:r>
              <w:rPr>
                <w:rFonts w:ascii="Arial Narrow" w:hAnsi="Arial Narrow"/>
                <w:sz w:val="20"/>
                <w:szCs w:val="20"/>
              </w:rPr>
              <w:t xml:space="preserve">Iron </w:t>
            </w:r>
            <w:proofErr w:type="spellStart"/>
            <w:r>
              <w:rPr>
                <w:rFonts w:ascii="Arial Narrow" w:hAnsi="Arial Narrow"/>
                <w:sz w:val="20"/>
                <w:szCs w:val="20"/>
              </w:rPr>
              <w:t>polymaltose</w:t>
            </w:r>
            <w:proofErr w:type="spellEnd"/>
            <w:r>
              <w:rPr>
                <w:rFonts w:ascii="Arial Narrow" w:hAnsi="Arial Narrow"/>
                <w:sz w:val="20"/>
                <w:szCs w:val="20"/>
              </w:rPr>
              <w:t xml:space="preserve"> complex</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997D1C" w:rsidRDefault="00B67CB3">
            <w:pPr>
              <w:keepNext/>
              <w:rPr>
                <w:rFonts w:ascii="Arial Narrow" w:hAnsi="Arial Narrow"/>
                <w:sz w:val="20"/>
                <w:szCs w:val="20"/>
              </w:rPr>
            </w:pPr>
            <w:r>
              <w:rPr>
                <w:rFonts w:ascii="Arial Narrow" w:hAnsi="Arial Narrow"/>
                <w:sz w:val="20"/>
                <w:szCs w:val="20"/>
              </w:rPr>
              <w:t>21,685 (7%)</w:t>
            </w:r>
          </w:p>
        </w:tc>
      </w:tr>
      <w:tr w:rsidR="00997D1C">
        <w:trPr>
          <w:trHeight w:val="412"/>
        </w:trPr>
        <w:tc>
          <w:tcPr>
            <w:tcW w:w="19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keepNext/>
              <w:rPr>
                <w:rFonts w:ascii="Arial Narrow" w:hAnsi="Arial Narrow"/>
                <w:sz w:val="20"/>
                <w:szCs w:val="20"/>
              </w:rPr>
            </w:pPr>
            <w:r>
              <w:rPr>
                <w:rFonts w:ascii="Arial Narrow" w:hAnsi="Arial Narrow"/>
                <w:sz w:val="20"/>
                <w:szCs w:val="20"/>
              </w:rPr>
              <w:t>Iron sucrose</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997D1C" w:rsidRDefault="00B67CB3">
            <w:pPr>
              <w:keepNext/>
              <w:rPr>
                <w:rFonts w:ascii="Arial Narrow" w:hAnsi="Arial Narrow"/>
                <w:sz w:val="20"/>
                <w:szCs w:val="20"/>
              </w:rPr>
            </w:pPr>
            <w:r>
              <w:rPr>
                <w:rFonts w:ascii="Arial Narrow" w:hAnsi="Arial Narrow"/>
                <w:sz w:val="20"/>
                <w:szCs w:val="20"/>
              </w:rPr>
              <w:t>3,457 (1%)</w:t>
            </w:r>
          </w:p>
        </w:tc>
      </w:tr>
      <w:tr w:rsidR="00997D1C">
        <w:trPr>
          <w:trHeight w:val="412"/>
        </w:trPr>
        <w:tc>
          <w:tcPr>
            <w:tcW w:w="19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7D1C" w:rsidRDefault="00B67CB3">
            <w:pPr>
              <w:keepNext/>
              <w:rPr>
                <w:rFonts w:ascii="Arial Narrow" w:hAnsi="Arial Narrow"/>
                <w:sz w:val="20"/>
                <w:szCs w:val="20"/>
              </w:rPr>
            </w:pPr>
            <w:r>
              <w:rPr>
                <w:rFonts w:ascii="Arial Narrow" w:hAnsi="Arial Narrow"/>
                <w:sz w:val="20"/>
                <w:szCs w:val="20"/>
              </w:rPr>
              <w:t xml:space="preserve">Ferric </w:t>
            </w:r>
            <w:proofErr w:type="spellStart"/>
            <w:r>
              <w:rPr>
                <w:rFonts w:ascii="Arial Narrow" w:hAnsi="Arial Narrow"/>
                <w:sz w:val="20"/>
                <w:szCs w:val="20"/>
              </w:rPr>
              <w:t>derisomaltose</w:t>
            </w:r>
            <w:proofErr w:type="spellEnd"/>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997D1C" w:rsidRDefault="00B67CB3">
            <w:pPr>
              <w:keepNext/>
              <w:rPr>
                <w:rFonts w:ascii="Arial Narrow" w:hAnsi="Arial Narrow"/>
                <w:sz w:val="20"/>
                <w:szCs w:val="20"/>
              </w:rPr>
            </w:pPr>
            <w:r>
              <w:rPr>
                <w:rFonts w:ascii="Arial Narrow" w:hAnsi="Arial Narrow"/>
                <w:sz w:val="20"/>
                <w:szCs w:val="20"/>
              </w:rPr>
              <w:t>76 (&lt;1%)*</w:t>
            </w:r>
          </w:p>
        </w:tc>
      </w:tr>
    </w:tbl>
    <w:p w:rsidR="00997D1C" w:rsidRDefault="00B67CB3">
      <w:pPr>
        <w:keepNext/>
        <w:rPr>
          <w:rFonts w:ascii="Arial Narrow" w:eastAsiaTheme="minorHAnsi" w:hAnsi="Arial Narrow"/>
          <w:sz w:val="20"/>
          <w:szCs w:val="20"/>
          <w:lang w:eastAsia="en-US"/>
        </w:rPr>
      </w:pPr>
      <w:r>
        <w:rPr>
          <w:rFonts w:ascii="Arial Narrow" w:hAnsi="Arial Narrow"/>
          <w:sz w:val="20"/>
          <w:szCs w:val="20"/>
        </w:rPr>
        <w:t xml:space="preserve">#Department of Human Services (DHS) Prescription database for the period from 1 May 2018 to 30 April 2019 inclusive, based on the date that the prescription was supplied. </w:t>
      </w:r>
    </w:p>
    <w:p w:rsidR="00997D1C" w:rsidRDefault="00B67CB3">
      <w:pPr>
        <w:keepNext/>
        <w:spacing w:after="120"/>
        <w:rPr>
          <w:rFonts w:ascii="Arial Narrow" w:hAnsi="Arial Narrow"/>
          <w:sz w:val="20"/>
          <w:szCs w:val="20"/>
        </w:rPr>
      </w:pPr>
      <w:r>
        <w:rPr>
          <w:rFonts w:ascii="Arial Narrow" w:hAnsi="Arial Narrow"/>
          <w:sz w:val="20"/>
          <w:szCs w:val="20"/>
        </w:rPr>
        <w:t xml:space="preserve">*Ferric </w:t>
      </w:r>
      <w:proofErr w:type="spellStart"/>
      <w:r>
        <w:rPr>
          <w:rFonts w:ascii="Arial Narrow" w:hAnsi="Arial Narrow"/>
          <w:sz w:val="20"/>
          <w:szCs w:val="20"/>
        </w:rPr>
        <w:t>derisomaltose</w:t>
      </w:r>
      <w:proofErr w:type="spellEnd"/>
      <w:r>
        <w:rPr>
          <w:rFonts w:ascii="Arial Narrow" w:hAnsi="Arial Narrow"/>
          <w:sz w:val="20"/>
          <w:szCs w:val="20"/>
        </w:rPr>
        <w:t xml:space="preserve"> listed on 1 February 2019.</w:t>
      </w:r>
    </w:p>
    <w:p w:rsidR="00997D1C" w:rsidRDefault="00B67CB3">
      <w:pPr>
        <w:pStyle w:val="3Bodytext"/>
      </w:pPr>
      <w:r>
        <w:t xml:space="preserve">The submission claimed that, according to an audit conducted in the United Kingdom (Kearns et al, 2018), 18% of patients received less iron (ferric </w:t>
      </w:r>
      <w:proofErr w:type="spellStart"/>
      <w:r>
        <w:t>derisomaltose</w:t>
      </w:r>
      <w:proofErr w:type="spellEnd"/>
      <w:r>
        <w:t xml:space="preserve">) than the amount stated in the simplified dosing table. The submission attributed the under-dosage to the ‘habit’ of prescribing the maximum permissible dose of 1000 mg ferric </w:t>
      </w:r>
      <w:proofErr w:type="spellStart"/>
      <w:r>
        <w:t>carboxymaltose</w:t>
      </w:r>
      <w:proofErr w:type="spellEnd"/>
      <w:r>
        <w:t xml:space="preserve"> per infusion because prescribers were not aware of the maximum dosage of 1500 mg for ferric </w:t>
      </w:r>
      <w:proofErr w:type="spellStart"/>
      <w:r>
        <w:t>derisomaltose</w:t>
      </w:r>
      <w:proofErr w:type="spellEnd"/>
      <w:r>
        <w:t xml:space="preserve">. The submission stated that there is currently a prescriber education program around the appropriate dosing with ferric </w:t>
      </w:r>
      <w:proofErr w:type="spellStart"/>
      <w:r>
        <w:t>derisomaltose</w:t>
      </w:r>
      <w:proofErr w:type="spellEnd"/>
      <w:r>
        <w:t xml:space="preserve"> using the simplified dosing table. The pre-PBAC </w:t>
      </w:r>
      <w:r>
        <w:rPr>
          <w:color w:val="000000" w:themeColor="text1"/>
        </w:rPr>
        <w:t xml:space="preserve">response </w:t>
      </w:r>
      <w:r>
        <w:t xml:space="preserve">clarified the prescriber education program consists of various activities to increase awareness of the dosing regimen for ferric </w:t>
      </w:r>
      <w:proofErr w:type="spellStart"/>
      <w:r>
        <w:t>derisomaltose</w:t>
      </w:r>
      <w:proofErr w:type="spellEnd"/>
      <w:r>
        <w:t xml:space="preserve"> with the aim to change prescribing habits. </w:t>
      </w:r>
    </w:p>
    <w:p w:rsidR="00997D1C" w:rsidRDefault="00B67CB3">
      <w:pPr>
        <w:pStyle w:val="3Bodytext"/>
        <w:rPr>
          <w:szCs w:val="24"/>
        </w:rPr>
      </w:pPr>
      <w:r>
        <w:rPr>
          <w:szCs w:val="24"/>
        </w:rPr>
        <w:lastRenderedPageBreak/>
        <w:t xml:space="preserve">The submission did not present financial data. The submission stated that it did not anticipate that the change to the current listing or the listing of a new strength of ferric </w:t>
      </w:r>
      <w:proofErr w:type="spellStart"/>
      <w:r>
        <w:rPr>
          <w:szCs w:val="24"/>
        </w:rPr>
        <w:t>derisomaltose</w:t>
      </w:r>
      <w:proofErr w:type="spellEnd"/>
      <w:r>
        <w:rPr>
          <w:szCs w:val="24"/>
        </w:rPr>
        <w:t xml:space="preserve"> would significantly change the overall usage of ferric </w:t>
      </w:r>
      <w:proofErr w:type="spellStart"/>
      <w:r>
        <w:rPr>
          <w:szCs w:val="24"/>
        </w:rPr>
        <w:t>derisomaltose</w:t>
      </w:r>
      <w:proofErr w:type="spellEnd"/>
      <w:r>
        <w:rPr>
          <w:szCs w:val="24"/>
        </w:rPr>
        <w:t xml:space="preserve"> on the PBS. </w:t>
      </w:r>
    </w:p>
    <w:p w:rsidR="00997D1C" w:rsidRDefault="00B67CB3">
      <w:pPr>
        <w:pStyle w:val="Heading2"/>
        <w:spacing w:before="240" w:after="120"/>
        <w:rPr>
          <w:rFonts w:asciiTheme="minorHAnsi" w:eastAsiaTheme="majorEastAsia" w:hAnsiTheme="minorHAnsi" w:cstheme="minorHAnsi"/>
          <w:sz w:val="24"/>
        </w:rPr>
      </w:pPr>
      <w:r>
        <w:rPr>
          <w:rFonts w:asciiTheme="minorHAnsi" w:eastAsiaTheme="majorEastAsia" w:hAnsiTheme="minorHAnsi" w:cstheme="minorHAnsi"/>
          <w:sz w:val="28"/>
        </w:rPr>
        <w:t>Financial management – Risk Share Arrangements and Special Pricing Arrangements</w:t>
      </w:r>
    </w:p>
    <w:p w:rsidR="00997D1C" w:rsidRDefault="00B67CB3">
      <w:pPr>
        <w:pStyle w:val="3Bodytext"/>
      </w:pPr>
      <w:r>
        <w:t xml:space="preserve">The submission noted that ferric </w:t>
      </w:r>
      <w:proofErr w:type="spellStart"/>
      <w:r>
        <w:t>derisomaltose</w:t>
      </w:r>
      <w:proofErr w:type="spellEnd"/>
      <w:r>
        <w:t xml:space="preserve"> is subject to a Deed of Agreement (the Deed) for IDA; ferric </w:t>
      </w:r>
      <w:proofErr w:type="spellStart"/>
      <w:r>
        <w:t>carboxymaltose</w:t>
      </w:r>
      <w:proofErr w:type="spellEnd"/>
      <w:r>
        <w:t xml:space="preserve"> is also subject to this Deed. The Deed encompassed a Special Pricing Arrangement (SPA) rebate and subsidisation cap arrangement. At the time of PBAC consideration, the nominal term of the Deed had expired. </w:t>
      </w:r>
    </w:p>
    <w:p w:rsidR="00997D1C" w:rsidRDefault="00B67CB3">
      <w:pPr>
        <w:pStyle w:val="3Bodytext"/>
        <w:rPr>
          <w:rFonts w:cstheme="minorHAnsi"/>
          <w:szCs w:val="24"/>
        </w:rPr>
      </w:pPr>
      <w:r>
        <w:rPr>
          <w:rFonts w:cstheme="minorHAnsi"/>
          <w:szCs w:val="24"/>
        </w:rPr>
        <w:t xml:space="preserve">In March 2017, the PBAC considered the February 2017 DUSC report on ferric </w:t>
      </w:r>
      <w:proofErr w:type="spellStart"/>
      <w:r>
        <w:rPr>
          <w:rFonts w:cstheme="minorHAnsi"/>
          <w:szCs w:val="24"/>
        </w:rPr>
        <w:t>carboxymaltose</w:t>
      </w:r>
      <w:proofErr w:type="spellEnd"/>
      <w:r>
        <w:rPr>
          <w:rFonts w:cstheme="minorHAnsi"/>
          <w:szCs w:val="24"/>
        </w:rPr>
        <w:t xml:space="preserve"> and noted that the predicted versus actual use of ferric </w:t>
      </w:r>
      <w:proofErr w:type="spellStart"/>
      <w:r>
        <w:rPr>
          <w:rFonts w:cstheme="minorHAnsi"/>
          <w:szCs w:val="24"/>
        </w:rPr>
        <w:t>carboxymaltose</w:t>
      </w:r>
      <w:proofErr w:type="spellEnd"/>
      <w:r>
        <w:rPr>
          <w:rFonts w:cstheme="minorHAnsi"/>
          <w:szCs w:val="24"/>
        </w:rPr>
        <w:t xml:space="preserve"> was substantially higher in the first 24 months since its PBS listing on 1 June 2014 (Consideration of DUSC Report web outcome, PBAC March 2017 meeting). The PBAC also noted that: </w:t>
      </w:r>
    </w:p>
    <w:p w:rsidR="00997D1C" w:rsidRDefault="00B67CB3">
      <w:pPr>
        <w:pStyle w:val="3Bodytext"/>
        <w:numPr>
          <w:ilvl w:val="0"/>
          <w:numId w:val="38"/>
        </w:numPr>
        <w:rPr>
          <w:rFonts w:cstheme="minorHAnsi"/>
          <w:szCs w:val="24"/>
        </w:rPr>
      </w:pPr>
      <w:r>
        <w:rPr>
          <w:rFonts w:cstheme="minorHAnsi"/>
          <w:szCs w:val="24"/>
        </w:rPr>
        <w:t xml:space="preserve">ferric </w:t>
      </w:r>
      <w:proofErr w:type="spellStart"/>
      <w:r>
        <w:rPr>
          <w:rFonts w:cstheme="minorHAnsi"/>
          <w:szCs w:val="24"/>
        </w:rPr>
        <w:t>carboxymaltose</w:t>
      </w:r>
      <w:proofErr w:type="spellEnd"/>
      <w:r>
        <w:rPr>
          <w:rFonts w:cstheme="minorHAnsi"/>
          <w:szCs w:val="24"/>
        </w:rPr>
        <w:t xml:space="preserve"> received a higher market share than anticipated but its listing also led to substantial growth in the injectable iron market; </w:t>
      </w:r>
    </w:p>
    <w:p w:rsidR="00997D1C" w:rsidRDefault="00B67CB3">
      <w:pPr>
        <w:pStyle w:val="3Bodytext"/>
        <w:numPr>
          <w:ilvl w:val="0"/>
          <w:numId w:val="38"/>
        </w:numPr>
        <w:rPr>
          <w:rFonts w:cstheme="minorHAnsi"/>
          <w:szCs w:val="24"/>
        </w:rPr>
      </w:pPr>
      <w:r>
        <w:rPr>
          <w:rFonts w:cstheme="minorHAnsi"/>
          <w:szCs w:val="24"/>
        </w:rPr>
        <w:t xml:space="preserve">available data were currently insufficient to assess the extent of any shift from oral iron to ferric </w:t>
      </w:r>
      <w:proofErr w:type="spellStart"/>
      <w:r>
        <w:rPr>
          <w:rFonts w:cstheme="minorHAnsi"/>
          <w:szCs w:val="24"/>
        </w:rPr>
        <w:t>carboxymaltose</w:t>
      </w:r>
      <w:proofErr w:type="spellEnd"/>
      <w:r>
        <w:rPr>
          <w:rFonts w:cstheme="minorHAnsi"/>
          <w:szCs w:val="24"/>
        </w:rPr>
        <w:t xml:space="preserve"> on the basis of preference, but considered that use in this setting has not been assessed for cost-effectiveness;</w:t>
      </w:r>
    </w:p>
    <w:p w:rsidR="00997D1C" w:rsidRDefault="00B67CB3">
      <w:pPr>
        <w:pStyle w:val="3Bodytext"/>
        <w:numPr>
          <w:ilvl w:val="0"/>
          <w:numId w:val="38"/>
        </w:numPr>
        <w:rPr>
          <w:rFonts w:cstheme="minorHAnsi"/>
          <w:szCs w:val="24"/>
        </w:rPr>
      </w:pPr>
      <w:r>
        <w:rPr>
          <w:rFonts w:cstheme="minorHAnsi"/>
          <w:szCs w:val="24"/>
        </w:rPr>
        <w:t>management of iron levels prior to surgery has been promoted to reduce the use of blood transfusions;</w:t>
      </w:r>
    </w:p>
    <w:p w:rsidR="00997D1C" w:rsidRDefault="00B67CB3">
      <w:pPr>
        <w:pStyle w:val="3Bodytext"/>
        <w:numPr>
          <w:ilvl w:val="0"/>
          <w:numId w:val="38"/>
        </w:numPr>
        <w:rPr>
          <w:rFonts w:cstheme="minorHAnsi"/>
          <w:szCs w:val="24"/>
        </w:rPr>
      </w:pPr>
      <w:r>
        <w:rPr>
          <w:rFonts w:cstheme="minorHAnsi"/>
          <w:szCs w:val="24"/>
        </w:rPr>
        <w:t>use in the dialysis population does not seem to be a concern at present and could be reassessed in any subsequent review; and</w:t>
      </w:r>
    </w:p>
    <w:p w:rsidR="00997D1C" w:rsidRDefault="00B67CB3">
      <w:pPr>
        <w:pStyle w:val="3Bodytext"/>
        <w:numPr>
          <w:ilvl w:val="0"/>
          <w:numId w:val="38"/>
        </w:numPr>
        <w:rPr>
          <w:rFonts w:cstheme="minorHAnsi"/>
          <w:szCs w:val="24"/>
        </w:rPr>
      </w:pPr>
      <w:proofErr w:type="gramStart"/>
      <w:r>
        <w:rPr>
          <w:rFonts w:cstheme="minorHAnsi"/>
          <w:szCs w:val="24"/>
        </w:rPr>
        <w:t>variation</w:t>
      </w:r>
      <w:proofErr w:type="gramEnd"/>
      <w:r>
        <w:rPr>
          <w:rFonts w:cstheme="minorHAnsi"/>
          <w:szCs w:val="24"/>
        </w:rPr>
        <w:t xml:space="preserve"> in the use of ferric </w:t>
      </w:r>
      <w:proofErr w:type="spellStart"/>
      <w:r>
        <w:rPr>
          <w:rFonts w:cstheme="minorHAnsi"/>
          <w:szCs w:val="24"/>
        </w:rPr>
        <w:t>carboxymaltose</w:t>
      </w:r>
      <w:proofErr w:type="spellEnd"/>
      <w:r>
        <w:rPr>
          <w:rFonts w:cstheme="minorHAnsi"/>
          <w:szCs w:val="24"/>
        </w:rPr>
        <w:t xml:space="preserve"> across Australia may reflect educational activities and infusion programs or clinics in those areas with more use.</w:t>
      </w:r>
    </w:p>
    <w:p w:rsidR="00997D1C" w:rsidRDefault="00B67CB3">
      <w:pPr>
        <w:pStyle w:val="3Bodytext"/>
        <w:rPr>
          <w:szCs w:val="24"/>
        </w:rPr>
      </w:pPr>
      <w:r>
        <w:rPr>
          <w:szCs w:val="24"/>
        </w:rPr>
        <w:t xml:space="preserve">In </w:t>
      </w:r>
      <w:r>
        <w:t xml:space="preserve">July 2018, the PBAC considered that the listing of ferric </w:t>
      </w:r>
      <w:proofErr w:type="spellStart"/>
      <w:r>
        <w:t>derisomaltose</w:t>
      </w:r>
      <w:proofErr w:type="spellEnd"/>
      <w:r>
        <w:t xml:space="preserve"> was not likely to expand the IV iron market in terms of patient numbers beyond that estimated in the July 2018 submission. However, the PBAC noted that the maximum dose per IV infusion for ferric </w:t>
      </w:r>
      <w:proofErr w:type="spellStart"/>
      <w:r>
        <w:t>derisomaltose</w:t>
      </w:r>
      <w:proofErr w:type="spellEnd"/>
      <w:r>
        <w:t xml:space="preserve"> (1500 mg) is higher than that of ferric </w:t>
      </w:r>
      <w:proofErr w:type="spellStart"/>
      <w:r>
        <w:t>carboxymaltose</w:t>
      </w:r>
      <w:proofErr w:type="spellEnd"/>
      <w:r>
        <w:t xml:space="preserve"> (1000 mg). The PBAC considered that listing may result in a rise in the most commonly prescribed dose from the 1000 mg reported in the 2017 DUSC utilisation review, as clinicians are likely to use the simplified dosing regimen. The PBAC considered that this might lead to higher than expected use of ferric </w:t>
      </w:r>
      <w:proofErr w:type="spellStart"/>
      <w:r>
        <w:t>derisomaltose</w:t>
      </w:r>
      <w:proofErr w:type="spellEnd"/>
      <w:r>
        <w:t xml:space="preserve">, and recommended that DUSC undertake a review of utilisation after an appropriate period post listing </w:t>
      </w:r>
      <w:r>
        <w:rPr>
          <w:bCs/>
          <w:color w:val="000000" w:themeColor="text1"/>
        </w:rPr>
        <w:t xml:space="preserve">(paragraph 7.6, </w:t>
      </w:r>
      <w:r>
        <w:rPr>
          <w:color w:val="000000" w:themeColor="text1"/>
        </w:rPr>
        <w:t xml:space="preserve">ferric </w:t>
      </w:r>
      <w:proofErr w:type="spellStart"/>
      <w:r>
        <w:rPr>
          <w:color w:val="000000" w:themeColor="text1"/>
        </w:rPr>
        <w:t>derisomaltose</w:t>
      </w:r>
      <w:proofErr w:type="spellEnd"/>
      <w:r>
        <w:rPr>
          <w:color w:val="000000" w:themeColor="text1"/>
        </w:rPr>
        <w:t xml:space="preserve"> PSD, July 2018). </w:t>
      </w:r>
    </w:p>
    <w:p w:rsidR="00997D1C" w:rsidRDefault="00B67CB3">
      <w:pPr>
        <w:pStyle w:val="3Bodytext"/>
        <w:rPr>
          <w:szCs w:val="24"/>
        </w:rPr>
      </w:pPr>
      <w:r>
        <w:lastRenderedPageBreak/>
        <w:t xml:space="preserve">As the Deed for IDA is expired, the new term will need to be renegotiated between the Department and the sponsors of ferric </w:t>
      </w:r>
      <w:proofErr w:type="spellStart"/>
      <w:r>
        <w:t>carboxymaltose</w:t>
      </w:r>
      <w:proofErr w:type="spellEnd"/>
      <w:r>
        <w:t xml:space="preserve"> and ferric </w:t>
      </w:r>
      <w:proofErr w:type="spellStart"/>
      <w:r>
        <w:t>derisomaltose</w:t>
      </w:r>
      <w:proofErr w:type="spellEnd"/>
      <w:r>
        <w:t xml:space="preserve">. The PBAC considered that a Risk Sharing Arrangement (RSA) continued to be necessary as any shift from oral iron preparations to ferric </w:t>
      </w:r>
      <w:proofErr w:type="spellStart"/>
      <w:r>
        <w:t>derisomaltose</w:t>
      </w:r>
      <w:proofErr w:type="spellEnd"/>
      <w:r>
        <w:t xml:space="preserve"> and ferric </w:t>
      </w:r>
      <w:proofErr w:type="spellStart"/>
      <w:r>
        <w:t>carboxymaltose</w:t>
      </w:r>
      <w:proofErr w:type="spellEnd"/>
      <w:r>
        <w:t xml:space="preserve"> due to patient preference has not been considered as cost-effective. The PBAC further considered that it would be appropriate for a new RSA to be implemented based on the same forward estimates projections and similar derivation of the RSA Caps as the original RSA. Once such an RSA is implemented, the ferric </w:t>
      </w:r>
      <w:proofErr w:type="spellStart"/>
      <w:r>
        <w:t>derisomaltose</w:t>
      </w:r>
      <w:proofErr w:type="spellEnd"/>
      <w:r>
        <w:t xml:space="preserve"> 1000 mg/10 mL could be included under the arrangement and would need to be cost neutral to the health system overall to be considered cost effective.</w:t>
      </w:r>
    </w:p>
    <w:p w:rsidR="00997D1C" w:rsidRDefault="00B67CB3">
      <w:pPr>
        <w:pStyle w:val="3Bodytext"/>
      </w:pPr>
      <w:r>
        <w:t xml:space="preserve">At the time of the original recommendation of ferric </w:t>
      </w:r>
      <w:proofErr w:type="spellStart"/>
      <w:r>
        <w:t>derisomaltose</w:t>
      </w:r>
      <w:proofErr w:type="spellEnd"/>
      <w:r>
        <w:t xml:space="preserve"> in July 2018, the PBAC noted that the sponsor was willing to adopt a SPA equivalent to that of the main comparator, ferric </w:t>
      </w:r>
      <w:proofErr w:type="spellStart"/>
      <w:r>
        <w:t>carboxymaltose</w:t>
      </w:r>
      <w:proofErr w:type="spellEnd"/>
      <w:r>
        <w:t xml:space="preserve">, to ensure the cost-minimisation framework was </w:t>
      </w:r>
      <w:r>
        <w:rPr>
          <w:color w:val="000000" w:themeColor="text1"/>
        </w:rPr>
        <w:t xml:space="preserve">maintained </w:t>
      </w:r>
      <w:r>
        <w:rPr>
          <w:bCs/>
          <w:color w:val="000000" w:themeColor="text1"/>
        </w:rPr>
        <w:t xml:space="preserve">(paragraph 7.8, </w:t>
      </w:r>
      <w:r>
        <w:rPr>
          <w:color w:val="000000" w:themeColor="text1"/>
        </w:rPr>
        <w:t xml:space="preserve">ferric </w:t>
      </w:r>
      <w:proofErr w:type="spellStart"/>
      <w:r>
        <w:rPr>
          <w:color w:val="000000" w:themeColor="text1"/>
        </w:rPr>
        <w:t>derisomaltose</w:t>
      </w:r>
      <w:proofErr w:type="spellEnd"/>
      <w:r>
        <w:rPr>
          <w:color w:val="000000" w:themeColor="text1"/>
        </w:rPr>
        <w:t xml:space="preserve"> PSD, July 2018). The </w:t>
      </w:r>
      <w:r>
        <w:t xml:space="preserve">submission acknowledged that the 1000 mg/10 mL vial would also be subject to this agreement. </w:t>
      </w:r>
    </w:p>
    <w:p w:rsidR="00997D1C" w:rsidRDefault="00B67CB3">
      <w:pPr>
        <w:pStyle w:val="3Bodytext"/>
        <w:numPr>
          <w:ilvl w:val="0"/>
          <w:numId w:val="0"/>
        </w:numPr>
        <w:rPr>
          <w:i/>
        </w:rPr>
      </w:pPr>
      <w:r>
        <w:rPr>
          <w:i/>
        </w:rPr>
        <w:t>For more detail on PBAC’s view, see section 5 PBAC outcome.</w:t>
      </w:r>
    </w:p>
    <w:p w:rsidR="00997D1C" w:rsidRDefault="00B67CB3">
      <w:pPr>
        <w:pStyle w:val="2Sections"/>
        <w:rPr>
          <w:rFonts w:eastAsiaTheme="minorHAnsi"/>
        </w:rPr>
      </w:pPr>
      <w:r>
        <w:rPr>
          <w:rFonts w:eastAsiaTheme="minorHAnsi"/>
        </w:rPr>
        <w:t>PBAC Outcome</w:t>
      </w:r>
    </w:p>
    <w:p w:rsidR="00997D1C" w:rsidRDefault="00B67CB3">
      <w:pPr>
        <w:pStyle w:val="3Bodytext"/>
      </w:pPr>
      <w:r>
        <w:t xml:space="preserve">The PBAC deferred making a recommendation on the unrestricted Section 85 listing for ferric </w:t>
      </w:r>
      <w:proofErr w:type="spellStart"/>
      <w:r>
        <w:t>derisomaltose</w:t>
      </w:r>
      <w:proofErr w:type="spellEnd"/>
      <w:r>
        <w:t xml:space="preserve"> 1000 mg/10 mL and the change to maximum quantity and repeats for ferric </w:t>
      </w:r>
      <w:proofErr w:type="spellStart"/>
      <w:r>
        <w:t>derisomaltose</w:t>
      </w:r>
      <w:proofErr w:type="spellEnd"/>
      <w:r>
        <w:t xml:space="preserve"> 500 mg/10 </w:t>
      </w:r>
      <w:proofErr w:type="spellStart"/>
      <w:r>
        <w:t>mL.</w:t>
      </w:r>
      <w:proofErr w:type="spellEnd"/>
      <w:r>
        <w:t xml:space="preserve"> However, the PBAC was of the mind to recommend the request for a new strength of ferric </w:t>
      </w:r>
      <w:proofErr w:type="spellStart"/>
      <w:r>
        <w:t>derisomaltose</w:t>
      </w:r>
      <w:proofErr w:type="spellEnd"/>
      <w:r>
        <w:t xml:space="preserve">, 1000 mg/10 mL solution for injection and the requested changes to the maximum quantity and repeats for the current listing of the 500 mg/5 mL vial of ferric </w:t>
      </w:r>
      <w:proofErr w:type="spellStart"/>
      <w:r>
        <w:t>derisomaltose</w:t>
      </w:r>
      <w:proofErr w:type="spellEnd"/>
      <w:r>
        <w:t xml:space="preserve">. The PBAC deferred making a decision pending the outcomes from the renegotiation of a new term for the Deed of Agreement for iron deficient anaemia (IDA), which applies to ferric </w:t>
      </w:r>
      <w:proofErr w:type="spellStart"/>
      <w:r>
        <w:t>carboxymaltose</w:t>
      </w:r>
      <w:proofErr w:type="spellEnd"/>
      <w:r>
        <w:t xml:space="preserve"> and ferric </w:t>
      </w:r>
      <w:proofErr w:type="spellStart"/>
      <w:r>
        <w:t>derisomaltose</w:t>
      </w:r>
      <w:proofErr w:type="spellEnd"/>
      <w:r>
        <w:t>.</w:t>
      </w:r>
    </w:p>
    <w:p w:rsidR="00997D1C" w:rsidRDefault="00B67CB3">
      <w:pPr>
        <w:pStyle w:val="3Bodytext"/>
      </w:pPr>
      <w:r>
        <w:t xml:space="preserve">The PBAC maintained its view that the clinical place for ferric </w:t>
      </w:r>
      <w:proofErr w:type="spellStart"/>
      <w:r>
        <w:t>derisomaltose</w:t>
      </w:r>
      <w:proofErr w:type="spellEnd"/>
      <w:r>
        <w:t xml:space="preserve"> would remain as an alternative IV iron formulation for the treatment of iron deficiency anaemia when treatment with oral iron is </w:t>
      </w:r>
      <w:r>
        <w:rPr>
          <w:color w:val="000000" w:themeColor="text1"/>
        </w:rPr>
        <w:t xml:space="preserve">ineffective or not tolerated (paragraph 7.2, ferric </w:t>
      </w:r>
      <w:proofErr w:type="spellStart"/>
      <w:r>
        <w:rPr>
          <w:color w:val="000000" w:themeColor="text1"/>
        </w:rPr>
        <w:t>derisomaltose</w:t>
      </w:r>
      <w:proofErr w:type="spellEnd"/>
      <w:r>
        <w:rPr>
          <w:color w:val="000000" w:themeColor="text1"/>
        </w:rPr>
        <w:t xml:space="preserve"> PSD, July 2018).</w:t>
      </w:r>
    </w:p>
    <w:p w:rsidR="00997D1C" w:rsidRDefault="00B67CB3">
      <w:pPr>
        <w:pStyle w:val="3Bodytext"/>
      </w:pPr>
      <w:r>
        <w:t xml:space="preserve">The PBAC noted that the additional strength and change to the current listing of ferric </w:t>
      </w:r>
      <w:proofErr w:type="spellStart"/>
      <w:r>
        <w:t>derisomaltose</w:t>
      </w:r>
      <w:proofErr w:type="spellEnd"/>
      <w:r>
        <w:t xml:space="preserve"> aligned with the TGA registration.</w:t>
      </w:r>
    </w:p>
    <w:p w:rsidR="00997D1C" w:rsidRDefault="00B67CB3">
      <w:pPr>
        <w:pStyle w:val="3Bodytext"/>
      </w:pPr>
      <w:r>
        <w:t>The PBAC considered that the requested maximum quantity and maximum repeats for the 1000 mg vial strength to be appropriate. The PBAC noted that this would allow for the maximum iron dose of 2000 mg (administered as two doses as the maximum permissible dose is 1500 mg per week) to be prescribed in accordance with the simplified dosing table.</w:t>
      </w:r>
    </w:p>
    <w:p w:rsidR="00997D1C" w:rsidRDefault="00B67CB3">
      <w:pPr>
        <w:pStyle w:val="3Bodytext"/>
      </w:pPr>
      <w:r>
        <w:t xml:space="preserve">The PBAC considered the requested changes to the current listing of the 500 mg vial strength of ferric </w:t>
      </w:r>
      <w:proofErr w:type="spellStart"/>
      <w:r>
        <w:t>derisomaltose</w:t>
      </w:r>
      <w:proofErr w:type="spellEnd"/>
      <w:r>
        <w:t xml:space="preserve">, including an increase of the maximum quantity to 3 </w:t>
      </w:r>
      <w:r>
        <w:lastRenderedPageBreak/>
        <w:t>and a reduction in the number of repeats to 0, were appropriate. The PBAC noted that this change would allow for a maximum iron dose of 1500 mg dose to be prescribed.</w:t>
      </w:r>
    </w:p>
    <w:p w:rsidR="00997D1C" w:rsidRDefault="00B67CB3">
      <w:pPr>
        <w:pStyle w:val="3Bodytext"/>
      </w:pPr>
      <w:r>
        <w:t xml:space="preserve">The PBAC accepted an equivalent price per milligram for the 1000 mg/10 mL vial relative to the 500 mg/5 mL vial. This was consistent with the July 2018 consideration of ferric </w:t>
      </w:r>
      <w:proofErr w:type="spellStart"/>
      <w:r>
        <w:t>derisomaltose</w:t>
      </w:r>
      <w:proofErr w:type="spellEnd"/>
      <w:r>
        <w:t xml:space="preserve"> where ferric </w:t>
      </w:r>
      <w:proofErr w:type="spellStart"/>
      <w:r>
        <w:t>derisomaltose</w:t>
      </w:r>
      <w:proofErr w:type="spellEnd"/>
      <w:r>
        <w:t xml:space="preserve"> was recommended to have the same overall cost of treatment as ferric </w:t>
      </w:r>
      <w:proofErr w:type="spellStart"/>
      <w:r>
        <w:t>carboxymaltose</w:t>
      </w:r>
      <w:proofErr w:type="spellEnd"/>
      <w:r>
        <w:t xml:space="preserve"> with a published approved ex-manufacture price (AEMP) of $272 per 1000 mg, assuming an </w:t>
      </w:r>
      <w:proofErr w:type="spellStart"/>
      <w:r>
        <w:t>equi</w:t>
      </w:r>
      <w:proofErr w:type="spellEnd"/>
      <w:r>
        <w:t xml:space="preserve">-effective dose of 1 mg (ferric </w:t>
      </w:r>
      <w:proofErr w:type="spellStart"/>
      <w:r>
        <w:t>derisomaltose</w:t>
      </w:r>
      <w:proofErr w:type="spellEnd"/>
      <w:r>
        <w:t xml:space="preserve">): 1 mg (ferric </w:t>
      </w:r>
      <w:proofErr w:type="spellStart"/>
      <w:r>
        <w:rPr>
          <w:color w:val="000000" w:themeColor="text1"/>
        </w:rPr>
        <w:t>carboxymaltose</w:t>
      </w:r>
      <w:proofErr w:type="spellEnd"/>
      <w:r>
        <w:rPr>
          <w:color w:val="000000" w:themeColor="text1"/>
        </w:rPr>
        <w:t xml:space="preserve">) (paragraph 6.38, ferric </w:t>
      </w:r>
      <w:proofErr w:type="spellStart"/>
      <w:r>
        <w:rPr>
          <w:color w:val="000000" w:themeColor="text1"/>
        </w:rPr>
        <w:t>derisomaltose</w:t>
      </w:r>
      <w:proofErr w:type="spellEnd"/>
      <w:r>
        <w:rPr>
          <w:color w:val="000000" w:themeColor="text1"/>
        </w:rPr>
        <w:t xml:space="preserve"> PSD, July 2018).</w:t>
      </w:r>
    </w:p>
    <w:p w:rsidR="00997D1C" w:rsidRDefault="00B67CB3">
      <w:pPr>
        <w:pStyle w:val="3Bodytext"/>
      </w:pPr>
      <w:r>
        <w:t xml:space="preserve">The PBAC noted that there was currently limited PBS data for ferric </w:t>
      </w:r>
      <w:proofErr w:type="spellStart"/>
      <w:r>
        <w:t>derisomaltose</w:t>
      </w:r>
      <w:proofErr w:type="spellEnd"/>
      <w:r>
        <w:t xml:space="preserve"> as it was listed in early 2019. However, the PBAC considered that the ferric </w:t>
      </w:r>
      <w:proofErr w:type="spellStart"/>
      <w:r>
        <w:t>derisomaltose</w:t>
      </w:r>
      <w:proofErr w:type="spellEnd"/>
      <w:r>
        <w:t xml:space="preserve"> market is growing despite the current small market share. </w:t>
      </w:r>
    </w:p>
    <w:p w:rsidR="00997D1C" w:rsidRDefault="00B67CB3">
      <w:pPr>
        <w:pStyle w:val="3Bodytext"/>
      </w:pPr>
      <w:r>
        <w:t xml:space="preserve">The PBAC noted that the sponsor is implementing a prescriber education program around the appropriate dosing of ferric </w:t>
      </w:r>
      <w:proofErr w:type="spellStart"/>
      <w:r>
        <w:t>derisomaltose</w:t>
      </w:r>
      <w:proofErr w:type="spellEnd"/>
      <w:r>
        <w:t xml:space="preserve"> using the simplified dosing table. The aim of the program is to raise awareness of the recommended iron doses for ferric </w:t>
      </w:r>
      <w:proofErr w:type="spellStart"/>
      <w:r>
        <w:t>derisomaltose</w:t>
      </w:r>
      <w:proofErr w:type="spellEnd"/>
      <w:r>
        <w:t xml:space="preserve"> using the simplified dosing table, which ranges from 1000 mg – 2000 mg and is based on patient body weight and haemoglobin (</w:t>
      </w:r>
      <w:proofErr w:type="spellStart"/>
      <w:r>
        <w:t>Hb</w:t>
      </w:r>
      <w:proofErr w:type="spellEnd"/>
      <w:r>
        <w:t xml:space="preserve">) targets. The PBAC considered that iron doses of 1000 mg may still be sufficient for many patients. However, the education program would change the prescribing behaviour and increase the use of the 1500 mg dose of ferric </w:t>
      </w:r>
      <w:proofErr w:type="spellStart"/>
      <w:r>
        <w:t>derisomaltose</w:t>
      </w:r>
      <w:proofErr w:type="spellEnd"/>
      <w:r>
        <w:t xml:space="preserve">. The PBAC considered that this change will grow the overall market for infusible iron. The PBAC reiterated its recommendation from July 2018 that DUSC undertake a review of ferric </w:t>
      </w:r>
      <w:proofErr w:type="spellStart"/>
      <w:r>
        <w:t>derisomaltose</w:t>
      </w:r>
      <w:proofErr w:type="spellEnd"/>
      <w:r>
        <w:t xml:space="preserve"> utilisation after an appropriate period post listing.</w:t>
      </w:r>
    </w:p>
    <w:p w:rsidR="00997D1C" w:rsidRDefault="00B67CB3">
      <w:pPr>
        <w:pStyle w:val="3Bodytext"/>
      </w:pPr>
      <w:r>
        <w:t xml:space="preserve">The PBAC noted that ferric </w:t>
      </w:r>
      <w:proofErr w:type="spellStart"/>
      <w:r>
        <w:t>carboxymaltose</w:t>
      </w:r>
      <w:proofErr w:type="spellEnd"/>
      <w:r>
        <w:t xml:space="preserve"> and ferric </w:t>
      </w:r>
      <w:proofErr w:type="spellStart"/>
      <w:r>
        <w:t>derisomaltose</w:t>
      </w:r>
      <w:proofErr w:type="spellEnd"/>
      <w:r>
        <w:t xml:space="preserve"> were subject to a Risk Sharing Arrangement (RSA) for IDA. The PBAC noted that the nominal term for this Deed had expired. The PBAC considered that the subsidisation caps should be renegotiated to manage any ongoing risk of use outside the population for which both ferric </w:t>
      </w:r>
      <w:proofErr w:type="spellStart"/>
      <w:r>
        <w:t>carboxymaltose</w:t>
      </w:r>
      <w:proofErr w:type="spellEnd"/>
      <w:r>
        <w:t xml:space="preserve"> and ferric </w:t>
      </w:r>
      <w:proofErr w:type="spellStart"/>
      <w:r>
        <w:t>derisomaltose</w:t>
      </w:r>
      <w:proofErr w:type="spellEnd"/>
      <w:r>
        <w:t xml:space="preserve"> have been considered cost effective. The PBAC noted that </w:t>
      </w:r>
      <w:r>
        <w:rPr>
          <w:rFonts w:cstheme="minorHAnsi"/>
          <w:szCs w:val="24"/>
        </w:rPr>
        <w:t xml:space="preserve">the subsidisation caps for the Deed had been consistently exceeded from Year 2 given </w:t>
      </w:r>
      <w:r>
        <w:t xml:space="preserve">ferric </w:t>
      </w:r>
      <w:proofErr w:type="spellStart"/>
      <w:r>
        <w:t>carboxymaltose</w:t>
      </w:r>
      <w:proofErr w:type="spellEnd"/>
      <w:r>
        <w:t xml:space="preserve"> use </w:t>
      </w:r>
      <w:r>
        <w:rPr>
          <w:rFonts w:cstheme="minorHAnsi"/>
          <w:szCs w:val="24"/>
        </w:rPr>
        <w:t>was substantially higher in the first 24 months since its PBS listing on 1 June 2014. T</w:t>
      </w:r>
      <w:r>
        <w:t xml:space="preserve">he PBAC considered the implementation of the prescriber education would likely contribute to higher than expected use of ferric </w:t>
      </w:r>
      <w:proofErr w:type="spellStart"/>
      <w:r>
        <w:t>derisomaltose</w:t>
      </w:r>
      <w:proofErr w:type="spellEnd"/>
      <w:r>
        <w:t xml:space="preserve">, and would subsequently result in an overall growth of the infusible iron market. Additionally,  the PBAC noted that there was currently insufficient data to assess the extent of any shift from oral iron to infusible iron on the basis of patient preference, and considered that use in this setting had not been assessed for cost-effectiveness. Therefore, in making its decision to defer, the PBAC considered that it would be appropriate for a new RSA to be implemented based on the same forward estimates projections and similar derivation of the RSA Caps as in the original RSA, and that the new agreement should capture both ferric </w:t>
      </w:r>
      <w:proofErr w:type="spellStart"/>
      <w:r>
        <w:t>carboxymaltose</w:t>
      </w:r>
      <w:proofErr w:type="spellEnd"/>
      <w:r>
        <w:t xml:space="preserve"> and ferric </w:t>
      </w:r>
      <w:proofErr w:type="spellStart"/>
      <w:r>
        <w:t>derisomaltose</w:t>
      </w:r>
      <w:proofErr w:type="spellEnd"/>
      <w:r>
        <w:t xml:space="preserve"> use. Once such an RSA is implemented, the ferric </w:t>
      </w:r>
      <w:proofErr w:type="spellStart"/>
      <w:r>
        <w:t>derisomaltose</w:t>
      </w:r>
      <w:proofErr w:type="spellEnd"/>
      <w:r>
        <w:t xml:space="preserve"> 1000 mg/10 mL could be included under the arrangement and </w:t>
      </w:r>
      <w:r>
        <w:lastRenderedPageBreak/>
        <w:t xml:space="preserve">would need to be cost neutral to the health system overall to be considered cost effective.  The PBAC noted that it would be open to the sponsors of these medicines to put forward an alternative proposal that addresses cost-effectiveness in patients who might move from oral iron to these agents due to preference, but that it had no basis to consider this broader use as cost-effective at this time. The PBAC considered the outcomes of the Deed negotiation would need to be resolved before making a recommendation for the ferric </w:t>
      </w:r>
      <w:proofErr w:type="spellStart"/>
      <w:r>
        <w:t>derisomaltose</w:t>
      </w:r>
      <w:proofErr w:type="spellEnd"/>
      <w:r>
        <w:t xml:space="preserve"> listing.</w:t>
      </w:r>
    </w:p>
    <w:p w:rsidR="00997D1C" w:rsidRDefault="00B67CB3">
      <w:pPr>
        <w:spacing w:before="240"/>
        <w:jc w:val="both"/>
        <w:rPr>
          <w:rFonts w:asciiTheme="minorHAnsi" w:hAnsiTheme="minorHAnsi" w:cs="Arial"/>
          <w:b/>
          <w:bCs/>
          <w:snapToGrid w:val="0"/>
        </w:rPr>
      </w:pPr>
      <w:r>
        <w:rPr>
          <w:rFonts w:asciiTheme="minorHAnsi" w:hAnsiTheme="minorHAnsi" w:cs="Arial"/>
          <w:b/>
          <w:bCs/>
          <w:snapToGrid w:val="0"/>
        </w:rPr>
        <w:t>Outcome:</w:t>
      </w:r>
    </w:p>
    <w:p w:rsidR="00997D1C" w:rsidRDefault="00B67CB3">
      <w:pPr>
        <w:jc w:val="both"/>
        <w:rPr>
          <w:rFonts w:asciiTheme="minorHAnsi" w:hAnsiTheme="minorHAnsi" w:cs="Arial"/>
          <w:bCs/>
          <w:snapToGrid w:val="0"/>
        </w:rPr>
      </w:pPr>
      <w:r>
        <w:rPr>
          <w:rFonts w:asciiTheme="minorHAnsi" w:hAnsiTheme="minorHAnsi" w:cs="Arial"/>
          <w:bCs/>
          <w:snapToGrid w:val="0"/>
        </w:rPr>
        <w:t>Deferred</w:t>
      </w:r>
    </w:p>
    <w:p w:rsidR="00997D1C" w:rsidRDefault="00B67CB3">
      <w:pPr>
        <w:pStyle w:val="2Sections"/>
        <w:rPr>
          <w:rFonts w:eastAsiaTheme="minorHAnsi"/>
        </w:rPr>
      </w:pPr>
      <w:r>
        <w:rPr>
          <w:rFonts w:eastAsiaTheme="minorHAnsi"/>
        </w:rPr>
        <w:t>Context for Decision</w:t>
      </w:r>
    </w:p>
    <w:p w:rsidR="00997D1C" w:rsidRPr="00DB2A4A" w:rsidRDefault="00B67CB3" w:rsidP="00DB2A4A">
      <w:pPr>
        <w:spacing w:line="276" w:lineRule="auto"/>
        <w:jc w:val="both"/>
        <w:rPr>
          <w:rFonts w:asciiTheme="minorHAnsi" w:eastAsiaTheme="minorHAnsi" w:hAnsiTheme="minorHAnsi" w:cs="Arial"/>
          <w:szCs w:val="22"/>
          <w:lang w:eastAsia="en-US"/>
        </w:rPr>
      </w:pPr>
      <w:r>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97D1C" w:rsidRDefault="00B67CB3">
      <w:pPr>
        <w:pStyle w:val="2Sections"/>
        <w:rPr>
          <w:rFonts w:eastAsiaTheme="minorHAnsi"/>
        </w:rPr>
      </w:pPr>
      <w:r>
        <w:rPr>
          <w:rFonts w:eastAsiaTheme="minorHAnsi"/>
        </w:rPr>
        <w:t>Sponsor’s Comment</w:t>
      </w:r>
    </w:p>
    <w:p w:rsidR="00997D1C" w:rsidRDefault="00B67CB3">
      <w:pPr>
        <w:spacing w:after="120" w:line="276" w:lineRule="auto"/>
        <w:jc w:val="both"/>
        <w:rPr>
          <w:rFonts w:asciiTheme="minorHAnsi" w:eastAsiaTheme="minorHAnsi" w:hAnsiTheme="minorHAnsi" w:cs="Arial"/>
          <w:bCs/>
          <w:szCs w:val="22"/>
          <w:lang w:eastAsia="en-US"/>
        </w:rPr>
      </w:pPr>
      <w:r>
        <w:rPr>
          <w:rFonts w:asciiTheme="minorHAnsi" w:eastAsiaTheme="minorHAnsi" w:hAnsiTheme="minorHAnsi" w:cs="Arial"/>
          <w:bCs/>
          <w:szCs w:val="22"/>
          <w:lang w:eastAsia="en-US"/>
        </w:rPr>
        <w:t>The sponsor had no comment.</w:t>
      </w:r>
    </w:p>
    <w:p w:rsidR="001B4B4A" w:rsidRDefault="001B4B4A">
      <w:pPr>
        <w:spacing w:after="120" w:line="276" w:lineRule="auto"/>
        <w:jc w:val="both"/>
        <w:rPr>
          <w:rFonts w:asciiTheme="minorHAnsi" w:eastAsiaTheme="minorHAnsi" w:hAnsiTheme="minorHAnsi" w:cs="Arial"/>
          <w:bCs/>
          <w:szCs w:val="22"/>
          <w:lang w:eastAsia="en-US"/>
        </w:rPr>
      </w:pPr>
    </w:p>
    <w:p w:rsidR="0038038F" w:rsidRPr="007F4356" w:rsidRDefault="0038038F" w:rsidP="0038038F">
      <w:pPr>
        <w:pStyle w:val="PBACHeading1"/>
        <w:rPr>
          <w:rFonts w:asciiTheme="minorHAnsi" w:hAnsiTheme="minorHAnsi" w:cstheme="minorHAnsi"/>
          <w:sz w:val="32"/>
          <w:szCs w:val="32"/>
        </w:rPr>
      </w:pPr>
      <w:r w:rsidRPr="007F4356">
        <w:rPr>
          <w:rFonts w:asciiTheme="minorHAnsi" w:hAnsiTheme="minorHAnsi" w:cstheme="minorHAnsi"/>
          <w:sz w:val="32"/>
          <w:szCs w:val="32"/>
        </w:rPr>
        <w:t>A</w:t>
      </w:r>
      <w:r w:rsidR="00110A50">
        <w:rPr>
          <w:rFonts w:asciiTheme="minorHAnsi" w:hAnsiTheme="minorHAnsi" w:cstheme="minorHAnsi"/>
          <w:sz w:val="32"/>
          <w:szCs w:val="32"/>
        </w:rPr>
        <w:t>ugust 2019 a</w:t>
      </w:r>
      <w:r w:rsidRPr="007F4356">
        <w:rPr>
          <w:rFonts w:asciiTheme="minorHAnsi" w:hAnsiTheme="minorHAnsi" w:cstheme="minorHAnsi"/>
          <w:sz w:val="32"/>
          <w:szCs w:val="32"/>
        </w:rPr>
        <w:t xml:space="preserve">ddendum to the </w:t>
      </w:r>
      <w:r>
        <w:rPr>
          <w:rFonts w:asciiTheme="minorHAnsi" w:hAnsiTheme="minorHAnsi" w:cstheme="minorHAnsi"/>
          <w:sz w:val="32"/>
          <w:szCs w:val="32"/>
        </w:rPr>
        <w:t>July</w:t>
      </w:r>
      <w:r w:rsidRPr="007F4356">
        <w:rPr>
          <w:rFonts w:asciiTheme="minorHAnsi" w:hAnsiTheme="minorHAnsi" w:cstheme="minorHAnsi"/>
          <w:sz w:val="32"/>
          <w:szCs w:val="32"/>
        </w:rPr>
        <w:t xml:space="preserve"> 2019 PBAC Minutes</w:t>
      </w:r>
      <w:r>
        <w:rPr>
          <w:rFonts w:asciiTheme="minorHAnsi" w:hAnsiTheme="minorHAnsi" w:cstheme="minorHAnsi"/>
          <w:sz w:val="32"/>
          <w:szCs w:val="32"/>
        </w:rPr>
        <w:t>:</w:t>
      </w:r>
    </w:p>
    <w:p w:rsidR="0038038F" w:rsidRPr="00826A0D" w:rsidRDefault="0038038F" w:rsidP="0038038F">
      <w:pPr>
        <w:pStyle w:val="2Sections"/>
        <w:keepNext/>
        <w:numPr>
          <w:ilvl w:val="0"/>
          <w:numId w:val="5"/>
        </w:numPr>
      </w:pPr>
      <w:r w:rsidRPr="00826A0D">
        <w:t>Purpose of Application</w:t>
      </w:r>
    </w:p>
    <w:p w:rsidR="0038038F" w:rsidRPr="008773CE" w:rsidRDefault="0038038F" w:rsidP="0038038F">
      <w:pPr>
        <w:pStyle w:val="3Bodytext"/>
        <w:numPr>
          <w:ilvl w:val="1"/>
          <w:numId w:val="5"/>
        </w:numPr>
        <w:rPr>
          <w:szCs w:val="24"/>
        </w:rPr>
      </w:pPr>
      <w:r w:rsidRPr="008773CE">
        <w:rPr>
          <w:szCs w:val="24"/>
        </w:rPr>
        <w:t xml:space="preserve">At its July 2019 meeting, the PBAC deferred making a recommendation regarding the listing of ferric </w:t>
      </w:r>
      <w:proofErr w:type="spellStart"/>
      <w:r w:rsidRPr="008773CE">
        <w:rPr>
          <w:szCs w:val="24"/>
        </w:rPr>
        <w:t>derisomaltose</w:t>
      </w:r>
      <w:proofErr w:type="spellEnd"/>
      <w:r w:rsidRPr="008773CE">
        <w:rPr>
          <w:szCs w:val="24"/>
        </w:rPr>
        <w:t xml:space="preserve"> pending the outcomes from the renegotiation of a new term for the Deed of Agreement (the Deed) for iron deficient anaemia.</w:t>
      </w:r>
    </w:p>
    <w:p w:rsidR="0038038F" w:rsidRPr="008773CE" w:rsidRDefault="0038038F" w:rsidP="0038038F">
      <w:pPr>
        <w:pStyle w:val="3Bodytext"/>
        <w:numPr>
          <w:ilvl w:val="1"/>
          <w:numId w:val="5"/>
        </w:numPr>
        <w:rPr>
          <w:szCs w:val="24"/>
        </w:rPr>
      </w:pPr>
      <w:r w:rsidRPr="008773CE">
        <w:rPr>
          <w:szCs w:val="24"/>
        </w:rPr>
        <w:t xml:space="preserve">Since the meeting, the Department clarified that the existing Deed for ferric </w:t>
      </w:r>
      <w:proofErr w:type="spellStart"/>
      <w:r w:rsidRPr="008773CE">
        <w:rPr>
          <w:szCs w:val="24"/>
        </w:rPr>
        <w:t>derisomaltose</w:t>
      </w:r>
      <w:proofErr w:type="spellEnd"/>
      <w:r w:rsidRPr="008773CE">
        <w:rPr>
          <w:szCs w:val="24"/>
        </w:rPr>
        <w:t xml:space="preserve"> does not specify the form of the drug, and if PBS-listed, would be subject to the existing arrangements under the Deed. Accordingly, utilisation of the new form of ferric </w:t>
      </w:r>
      <w:proofErr w:type="spellStart"/>
      <w:r w:rsidRPr="008773CE">
        <w:rPr>
          <w:szCs w:val="24"/>
        </w:rPr>
        <w:t>derisomaltose</w:t>
      </w:r>
      <w:proofErr w:type="spellEnd"/>
      <w:r w:rsidRPr="008773CE">
        <w:rPr>
          <w:szCs w:val="24"/>
        </w:rPr>
        <w:t>, 1000 mg/10 mL would be included under the subsidisation caps under the existing Deed.</w:t>
      </w:r>
    </w:p>
    <w:p w:rsidR="0038038F" w:rsidRPr="00826A0D" w:rsidRDefault="0038038F" w:rsidP="0038038F">
      <w:pPr>
        <w:pStyle w:val="2Sections"/>
        <w:keepNext/>
        <w:numPr>
          <w:ilvl w:val="0"/>
          <w:numId w:val="5"/>
        </w:numPr>
      </w:pPr>
      <w:r w:rsidRPr="00826A0D">
        <w:t>PBAC Outcome</w:t>
      </w:r>
    </w:p>
    <w:p w:rsidR="0038038F" w:rsidRPr="008773CE" w:rsidRDefault="0038038F" w:rsidP="0038038F">
      <w:pPr>
        <w:pStyle w:val="3Bodytext"/>
        <w:numPr>
          <w:ilvl w:val="1"/>
          <w:numId w:val="5"/>
        </w:numPr>
        <w:rPr>
          <w:snapToGrid w:val="0"/>
          <w:szCs w:val="24"/>
        </w:rPr>
      </w:pPr>
      <w:r w:rsidRPr="008773CE">
        <w:rPr>
          <w:snapToGrid w:val="0"/>
          <w:szCs w:val="24"/>
        </w:rPr>
        <w:t xml:space="preserve">The PBAC recommended the </w:t>
      </w:r>
      <w:r w:rsidRPr="008773CE">
        <w:rPr>
          <w:rFonts w:cstheme="minorHAnsi"/>
          <w:szCs w:val="24"/>
        </w:rPr>
        <w:t>unrestricted listing</w:t>
      </w:r>
      <w:r w:rsidRPr="008773CE">
        <w:rPr>
          <w:snapToGrid w:val="0"/>
          <w:szCs w:val="24"/>
        </w:rPr>
        <w:t xml:space="preserve"> of a new form of </w:t>
      </w:r>
      <w:r w:rsidRPr="008773CE">
        <w:rPr>
          <w:rFonts w:cstheme="minorHAnsi"/>
          <w:szCs w:val="24"/>
        </w:rPr>
        <w:t xml:space="preserve">ferric </w:t>
      </w:r>
      <w:proofErr w:type="spellStart"/>
      <w:r w:rsidRPr="008773CE">
        <w:rPr>
          <w:rFonts w:cstheme="minorHAnsi"/>
          <w:szCs w:val="24"/>
        </w:rPr>
        <w:t>derisomaltose</w:t>
      </w:r>
      <w:proofErr w:type="spellEnd"/>
      <w:r w:rsidRPr="008773CE">
        <w:rPr>
          <w:rFonts w:cstheme="minorHAnsi"/>
          <w:szCs w:val="24"/>
        </w:rPr>
        <w:t xml:space="preserve">, 1000 mg/10 mL solution for injection. </w:t>
      </w:r>
      <w:r w:rsidRPr="008773CE">
        <w:rPr>
          <w:szCs w:val="24"/>
        </w:rPr>
        <w:t>The PBAC also recommended an increase of the maximum quantity to 3 and a reduction in the number of repeats to 0</w:t>
      </w:r>
      <w:r w:rsidRPr="008773CE">
        <w:rPr>
          <w:rFonts w:cstheme="minorHAnsi"/>
          <w:szCs w:val="24"/>
        </w:rPr>
        <w:t xml:space="preserve"> for the current listing for ferric </w:t>
      </w:r>
      <w:proofErr w:type="spellStart"/>
      <w:r w:rsidRPr="008773CE">
        <w:rPr>
          <w:rFonts w:cstheme="minorHAnsi"/>
          <w:szCs w:val="24"/>
        </w:rPr>
        <w:t>derisomaltose</w:t>
      </w:r>
      <w:proofErr w:type="spellEnd"/>
      <w:r w:rsidRPr="008773CE">
        <w:rPr>
          <w:rFonts w:cstheme="minorHAnsi"/>
          <w:szCs w:val="24"/>
        </w:rPr>
        <w:t xml:space="preserve"> 500 mg/10 mL solution for injection.</w:t>
      </w:r>
    </w:p>
    <w:p w:rsidR="0038038F" w:rsidRPr="008773CE" w:rsidRDefault="0038038F" w:rsidP="0038038F">
      <w:pPr>
        <w:pStyle w:val="3Bodytext"/>
        <w:numPr>
          <w:ilvl w:val="1"/>
          <w:numId w:val="5"/>
        </w:numPr>
        <w:rPr>
          <w:snapToGrid w:val="0"/>
          <w:szCs w:val="24"/>
        </w:rPr>
      </w:pPr>
      <w:r w:rsidRPr="008773CE">
        <w:rPr>
          <w:rFonts w:cstheme="minorHAnsi"/>
          <w:szCs w:val="24"/>
        </w:rPr>
        <w:lastRenderedPageBreak/>
        <w:t xml:space="preserve">The PBAC noted advice from the Department that while the nominal term for the existing Deed had expired, the Deed was not form specific and would remain in place, subject to the conditions of the last Year of the Deed, until it is replaced or terminated. Accordingly, the subsidisation caps under the existing Deed would apply to the new form of ferric </w:t>
      </w:r>
      <w:proofErr w:type="spellStart"/>
      <w:r w:rsidRPr="008773CE">
        <w:rPr>
          <w:rFonts w:cstheme="minorHAnsi"/>
          <w:szCs w:val="24"/>
        </w:rPr>
        <w:t>derisomaltose</w:t>
      </w:r>
      <w:proofErr w:type="spellEnd"/>
      <w:r w:rsidRPr="008773CE">
        <w:rPr>
          <w:rFonts w:cstheme="minorHAnsi"/>
          <w:szCs w:val="24"/>
        </w:rPr>
        <w:t>, 1000 mg/10 mL, and the listing would result in no additional cost to Government.</w:t>
      </w:r>
    </w:p>
    <w:p w:rsidR="0038038F" w:rsidRPr="008773CE" w:rsidRDefault="0038038F" w:rsidP="0038038F">
      <w:pPr>
        <w:pStyle w:val="3Bodytext"/>
        <w:numPr>
          <w:ilvl w:val="1"/>
          <w:numId w:val="5"/>
        </w:numPr>
        <w:rPr>
          <w:snapToGrid w:val="0"/>
          <w:szCs w:val="24"/>
        </w:rPr>
      </w:pPr>
      <w:r w:rsidRPr="008773CE">
        <w:rPr>
          <w:snapToGrid w:val="0"/>
          <w:szCs w:val="24"/>
        </w:rPr>
        <w:t xml:space="preserve">The PBAC considered that ferric </w:t>
      </w:r>
      <w:proofErr w:type="spellStart"/>
      <w:r w:rsidRPr="008773CE">
        <w:rPr>
          <w:snapToGrid w:val="0"/>
          <w:szCs w:val="24"/>
        </w:rPr>
        <w:t>derisomaltose</w:t>
      </w:r>
      <w:proofErr w:type="spellEnd"/>
      <w:r w:rsidRPr="008773CE">
        <w:rPr>
          <w:snapToGrid w:val="0"/>
          <w:szCs w:val="24"/>
        </w:rPr>
        <w:t xml:space="preserve"> should not be treated as interchangeable with any other drugs.</w:t>
      </w:r>
    </w:p>
    <w:p w:rsidR="0038038F" w:rsidRPr="008773CE" w:rsidRDefault="0038038F" w:rsidP="0038038F">
      <w:pPr>
        <w:pStyle w:val="3Bodytext"/>
        <w:numPr>
          <w:ilvl w:val="1"/>
          <w:numId w:val="5"/>
        </w:numPr>
        <w:rPr>
          <w:snapToGrid w:val="0"/>
          <w:szCs w:val="24"/>
        </w:rPr>
      </w:pPr>
      <w:r w:rsidRPr="008773CE">
        <w:rPr>
          <w:snapToGrid w:val="0"/>
          <w:szCs w:val="24"/>
        </w:rPr>
        <w:t xml:space="preserve">The PBAC considered that ferric </w:t>
      </w:r>
      <w:proofErr w:type="spellStart"/>
      <w:r w:rsidRPr="008773CE">
        <w:rPr>
          <w:snapToGrid w:val="0"/>
          <w:szCs w:val="24"/>
        </w:rPr>
        <w:t>derisomaltose</w:t>
      </w:r>
      <w:proofErr w:type="spellEnd"/>
      <w:r w:rsidRPr="008773CE">
        <w:rPr>
          <w:snapToGrid w:val="0"/>
          <w:szCs w:val="24"/>
        </w:rPr>
        <w:t xml:space="preserve"> is suitable for prescribing by nurse practitioners.</w:t>
      </w:r>
    </w:p>
    <w:p w:rsidR="0038038F" w:rsidRPr="008773CE" w:rsidRDefault="0038038F" w:rsidP="0038038F">
      <w:pPr>
        <w:pStyle w:val="3Bodytext"/>
        <w:numPr>
          <w:ilvl w:val="1"/>
          <w:numId w:val="5"/>
        </w:numPr>
        <w:rPr>
          <w:snapToGrid w:val="0"/>
          <w:szCs w:val="24"/>
        </w:rPr>
      </w:pPr>
      <w:r w:rsidRPr="008773CE">
        <w:rPr>
          <w:snapToGrid w:val="0"/>
          <w:szCs w:val="24"/>
        </w:rPr>
        <w:t>The PBAC considered that the Early Supply Rule should not apply.</w:t>
      </w:r>
    </w:p>
    <w:p w:rsidR="0038038F" w:rsidRPr="008773CE" w:rsidRDefault="0038038F" w:rsidP="0038038F">
      <w:pPr>
        <w:pStyle w:val="3Bodytext"/>
        <w:numPr>
          <w:ilvl w:val="1"/>
          <w:numId w:val="5"/>
        </w:numPr>
        <w:rPr>
          <w:snapToGrid w:val="0"/>
          <w:szCs w:val="24"/>
        </w:rPr>
      </w:pPr>
      <w:r w:rsidRPr="008773CE">
        <w:rPr>
          <w:snapToGrid w:val="0"/>
          <w:szCs w:val="24"/>
        </w:rPr>
        <w:t>The PBAC noted that this submission was not eligible for Independent Review as it received a positive recommendation.</w:t>
      </w:r>
    </w:p>
    <w:p w:rsidR="0038038F" w:rsidRPr="00826A0D" w:rsidRDefault="0038038F" w:rsidP="0038038F">
      <w:pPr>
        <w:rPr>
          <w:rFonts w:asciiTheme="minorHAnsi" w:hAnsiTheme="minorHAnsi" w:cstheme="minorHAnsi"/>
          <w:b/>
        </w:rPr>
      </w:pPr>
      <w:r w:rsidRPr="00826A0D">
        <w:rPr>
          <w:rFonts w:asciiTheme="minorHAnsi" w:hAnsiTheme="minorHAnsi" w:cstheme="minorHAnsi"/>
          <w:b/>
        </w:rPr>
        <w:t>Outcome:</w:t>
      </w:r>
    </w:p>
    <w:p w:rsidR="0038038F" w:rsidRPr="00826A0D" w:rsidRDefault="0038038F" w:rsidP="0038038F">
      <w:pPr>
        <w:rPr>
          <w:rFonts w:asciiTheme="minorHAnsi" w:hAnsiTheme="minorHAnsi" w:cstheme="minorHAnsi"/>
        </w:rPr>
      </w:pPr>
      <w:r w:rsidRPr="00826A0D">
        <w:rPr>
          <w:rFonts w:asciiTheme="minorHAnsi" w:hAnsiTheme="minorHAnsi" w:cstheme="minorHAnsi"/>
        </w:rPr>
        <w:t>Recommended</w:t>
      </w:r>
    </w:p>
    <w:p w:rsidR="0038038F" w:rsidRPr="00826A0D" w:rsidRDefault="0038038F" w:rsidP="0038038F">
      <w:pPr>
        <w:pStyle w:val="2Sections"/>
        <w:keepNext/>
        <w:numPr>
          <w:ilvl w:val="0"/>
          <w:numId w:val="5"/>
        </w:numPr>
      </w:pPr>
      <w:r w:rsidRPr="00826A0D">
        <w:t>Recommended listing</w:t>
      </w:r>
    </w:p>
    <w:p w:rsidR="0038038F" w:rsidRPr="00826A0D" w:rsidRDefault="0038038F" w:rsidP="0038038F">
      <w:pPr>
        <w:pStyle w:val="3Bodytext"/>
        <w:numPr>
          <w:ilvl w:val="1"/>
          <w:numId w:val="5"/>
        </w:numPr>
        <w:rPr>
          <w:snapToGrid w:val="0"/>
        </w:rPr>
      </w:pPr>
      <w:r w:rsidRPr="00826A0D">
        <w:rPr>
          <w:snapToGrid w:val="0"/>
        </w:rPr>
        <w:t>Add new item:</w:t>
      </w:r>
    </w:p>
    <w:tbl>
      <w:tblPr>
        <w:tblW w:w="5000" w:type="pct"/>
        <w:tblLook w:val="0000" w:firstRow="0" w:lastRow="0" w:firstColumn="0" w:lastColumn="0" w:noHBand="0" w:noVBand="0"/>
      </w:tblPr>
      <w:tblGrid>
        <w:gridCol w:w="2777"/>
        <w:gridCol w:w="419"/>
        <w:gridCol w:w="556"/>
        <w:gridCol w:w="832"/>
        <w:gridCol w:w="1666"/>
        <w:gridCol w:w="1527"/>
        <w:gridCol w:w="1249"/>
      </w:tblGrid>
      <w:tr w:rsidR="0038038F" w:rsidRPr="00826A0D" w:rsidTr="00956010">
        <w:trPr>
          <w:cantSplit/>
          <w:trHeight w:val="471"/>
        </w:trPr>
        <w:tc>
          <w:tcPr>
            <w:tcW w:w="1770" w:type="pct"/>
            <w:gridSpan w:val="2"/>
            <w:tcBorders>
              <w:bottom w:val="single" w:sz="4" w:space="0" w:color="auto"/>
            </w:tcBorders>
          </w:tcPr>
          <w:p w:rsidR="0038038F" w:rsidRPr="00826A0D" w:rsidRDefault="0038038F" w:rsidP="00956010">
            <w:pPr>
              <w:keepNext/>
              <w:ind w:left="-108"/>
              <w:jc w:val="both"/>
              <w:rPr>
                <w:rFonts w:ascii="Arial Narrow" w:hAnsi="Arial Narrow" w:cs="Arial"/>
                <w:sz w:val="20"/>
                <w:szCs w:val="20"/>
              </w:rPr>
            </w:pPr>
            <w:r w:rsidRPr="00826A0D">
              <w:rPr>
                <w:rFonts w:ascii="Arial Narrow" w:hAnsi="Arial Narrow" w:cs="Arial"/>
                <w:sz w:val="20"/>
                <w:szCs w:val="20"/>
              </w:rPr>
              <w:t>Name, Restriction,</w:t>
            </w:r>
          </w:p>
          <w:p w:rsidR="0038038F" w:rsidRPr="00826A0D" w:rsidRDefault="0038038F" w:rsidP="00956010">
            <w:pPr>
              <w:keepNext/>
              <w:ind w:left="-108"/>
              <w:jc w:val="both"/>
              <w:rPr>
                <w:rFonts w:ascii="Arial Narrow" w:hAnsi="Arial Narrow" w:cs="Arial"/>
                <w:sz w:val="20"/>
                <w:szCs w:val="20"/>
              </w:rPr>
            </w:pPr>
            <w:r w:rsidRPr="00826A0D">
              <w:rPr>
                <w:rFonts w:ascii="Arial Narrow" w:hAnsi="Arial Narrow" w:cs="Arial"/>
                <w:sz w:val="20"/>
                <w:szCs w:val="20"/>
              </w:rPr>
              <w:t>Manner of administration and form</w:t>
            </w:r>
          </w:p>
        </w:tc>
        <w:tc>
          <w:tcPr>
            <w:tcW w:w="308" w:type="pct"/>
            <w:tcBorders>
              <w:bottom w:val="single" w:sz="4" w:space="0" w:color="auto"/>
            </w:tcBorders>
          </w:tcPr>
          <w:p w:rsidR="0038038F" w:rsidRPr="00826A0D" w:rsidRDefault="0038038F" w:rsidP="00956010">
            <w:pPr>
              <w:keepNext/>
              <w:ind w:left="-108"/>
              <w:jc w:val="both"/>
              <w:rPr>
                <w:rFonts w:ascii="Arial Narrow" w:hAnsi="Arial Narrow" w:cs="Arial"/>
                <w:sz w:val="20"/>
                <w:szCs w:val="20"/>
              </w:rPr>
            </w:pPr>
            <w:r w:rsidRPr="00826A0D">
              <w:rPr>
                <w:rFonts w:ascii="Arial Narrow" w:hAnsi="Arial Narrow" w:cs="Arial"/>
                <w:sz w:val="20"/>
                <w:szCs w:val="20"/>
              </w:rPr>
              <w:t>Max.</w:t>
            </w:r>
          </w:p>
          <w:p w:rsidR="0038038F" w:rsidRPr="00826A0D" w:rsidRDefault="0038038F" w:rsidP="00956010">
            <w:pPr>
              <w:keepNext/>
              <w:ind w:left="-108"/>
              <w:jc w:val="both"/>
              <w:rPr>
                <w:rFonts w:ascii="Arial Narrow" w:hAnsi="Arial Narrow" w:cs="Arial"/>
                <w:sz w:val="20"/>
                <w:szCs w:val="20"/>
              </w:rPr>
            </w:pPr>
            <w:r w:rsidRPr="00826A0D">
              <w:rPr>
                <w:rFonts w:ascii="Arial Narrow" w:hAnsi="Arial Narrow" w:cs="Arial"/>
                <w:sz w:val="20"/>
                <w:szCs w:val="20"/>
              </w:rPr>
              <w:t>Qty</w:t>
            </w:r>
          </w:p>
        </w:tc>
        <w:tc>
          <w:tcPr>
            <w:tcW w:w="461" w:type="pct"/>
            <w:tcBorders>
              <w:bottom w:val="single" w:sz="4" w:space="0" w:color="auto"/>
            </w:tcBorders>
          </w:tcPr>
          <w:p w:rsidR="0038038F" w:rsidRPr="00826A0D" w:rsidRDefault="0038038F" w:rsidP="00956010">
            <w:pPr>
              <w:keepNext/>
              <w:ind w:left="-108"/>
              <w:jc w:val="both"/>
              <w:rPr>
                <w:rFonts w:ascii="Arial Narrow" w:hAnsi="Arial Narrow" w:cs="Arial"/>
                <w:sz w:val="20"/>
                <w:szCs w:val="20"/>
              </w:rPr>
            </w:pPr>
            <w:r w:rsidRPr="00826A0D">
              <w:rPr>
                <w:rFonts w:ascii="Arial Narrow" w:hAnsi="Arial Narrow" w:cs="Arial"/>
                <w:sz w:val="20"/>
                <w:szCs w:val="20"/>
              </w:rPr>
              <w:t>№.of</w:t>
            </w:r>
          </w:p>
          <w:p w:rsidR="0038038F" w:rsidRPr="00826A0D" w:rsidRDefault="0038038F" w:rsidP="00956010">
            <w:pPr>
              <w:keepNext/>
              <w:ind w:left="-108"/>
              <w:jc w:val="both"/>
              <w:rPr>
                <w:rFonts w:ascii="Arial Narrow" w:hAnsi="Arial Narrow" w:cs="Arial"/>
                <w:sz w:val="20"/>
                <w:szCs w:val="20"/>
              </w:rPr>
            </w:pPr>
            <w:r w:rsidRPr="00826A0D">
              <w:rPr>
                <w:rFonts w:ascii="Arial Narrow" w:hAnsi="Arial Narrow" w:cs="Arial"/>
                <w:sz w:val="20"/>
                <w:szCs w:val="20"/>
              </w:rPr>
              <w:t>Rpts</w:t>
            </w:r>
          </w:p>
        </w:tc>
        <w:tc>
          <w:tcPr>
            <w:tcW w:w="923" w:type="pct"/>
            <w:tcBorders>
              <w:bottom w:val="single" w:sz="4" w:space="0" w:color="auto"/>
            </w:tcBorders>
          </w:tcPr>
          <w:p w:rsidR="0038038F" w:rsidRPr="00826A0D" w:rsidRDefault="0038038F" w:rsidP="00956010">
            <w:pPr>
              <w:keepNext/>
              <w:ind w:left="-108"/>
              <w:jc w:val="both"/>
              <w:rPr>
                <w:rFonts w:ascii="Arial Narrow" w:hAnsi="Arial Narrow" w:cs="Arial"/>
                <w:sz w:val="20"/>
                <w:szCs w:val="20"/>
              </w:rPr>
            </w:pPr>
          </w:p>
        </w:tc>
        <w:tc>
          <w:tcPr>
            <w:tcW w:w="1538" w:type="pct"/>
            <w:gridSpan w:val="2"/>
            <w:tcBorders>
              <w:bottom w:val="single" w:sz="4" w:space="0" w:color="auto"/>
            </w:tcBorders>
          </w:tcPr>
          <w:p w:rsidR="0038038F" w:rsidRPr="00826A0D" w:rsidRDefault="0038038F" w:rsidP="00956010">
            <w:pPr>
              <w:keepNext/>
              <w:jc w:val="both"/>
              <w:rPr>
                <w:rFonts w:ascii="Arial Narrow" w:hAnsi="Arial Narrow" w:cs="Arial"/>
                <w:sz w:val="20"/>
                <w:szCs w:val="20"/>
              </w:rPr>
            </w:pPr>
            <w:r w:rsidRPr="00826A0D">
              <w:rPr>
                <w:rFonts w:ascii="Arial Narrow" w:hAnsi="Arial Narrow" w:cs="Arial"/>
                <w:sz w:val="20"/>
                <w:szCs w:val="20"/>
              </w:rPr>
              <w:t>Proprietary Name and Manufacturer</w:t>
            </w:r>
          </w:p>
        </w:tc>
      </w:tr>
      <w:tr w:rsidR="0038038F" w:rsidRPr="00826A0D" w:rsidTr="00956010">
        <w:trPr>
          <w:cantSplit/>
          <w:trHeight w:val="577"/>
        </w:trPr>
        <w:tc>
          <w:tcPr>
            <w:tcW w:w="1770" w:type="pct"/>
            <w:gridSpan w:val="2"/>
          </w:tcPr>
          <w:p w:rsidR="0038038F" w:rsidRPr="00826A0D" w:rsidRDefault="0038038F" w:rsidP="00956010">
            <w:pPr>
              <w:keepNext/>
              <w:ind w:left="-108"/>
              <w:jc w:val="both"/>
              <w:rPr>
                <w:rFonts w:ascii="Arial Narrow" w:hAnsi="Arial Narrow" w:cs="Arial"/>
                <w:smallCaps/>
                <w:sz w:val="20"/>
                <w:szCs w:val="20"/>
              </w:rPr>
            </w:pPr>
            <w:r w:rsidRPr="00826A0D">
              <w:rPr>
                <w:rFonts w:ascii="Arial Narrow" w:hAnsi="Arial Narrow" w:cs="Arial"/>
                <w:smallCaps/>
                <w:sz w:val="20"/>
                <w:szCs w:val="20"/>
              </w:rPr>
              <w:t>FERRIC DERISOMALTOSE</w:t>
            </w:r>
          </w:p>
          <w:p w:rsidR="0038038F" w:rsidRPr="00826A0D" w:rsidRDefault="0038038F" w:rsidP="00956010">
            <w:pPr>
              <w:keepNext/>
              <w:ind w:left="-108"/>
              <w:jc w:val="both"/>
              <w:rPr>
                <w:rFonts w:ascii="Arial Narrow" w:hAnsi="Arial Narrow" w:cs="Arial"/>
                <w:color w:val="FF0000"/>
                <w:sz w:val="20"/>
                <w:szCs w:val="20"/>
              </w:rPr>
            </w:pPr>
            <w:r w:rsidRPr="00826A0D">
              <w:rPr>
                <w:rFonts w:ascii="Arial Narrow" w:hAnsi="Arial Narrow" w:cs="Arial"/>
                <w:smallCaps/>
                <w:sz w:val="20"/>
                <w:szCs w:val="20"/>
              </w:rPr>
              <w:t xml:space="preserve">iron (as ferric </w:t>
            </w:r>
            <w:proofErr w:type="spellStart"/>
            <w:r w:rsidRPr="00826A0D">
              <w:rPr>
                <w:rFonts w:ascii="Arial Narrow" w:hAnsi="Arial Narrow" w:cs="Arial"/>
                <w:smallCaps/>
                <w:sz w:val="20"/>
                <w:szCs w:val="20"/>
              </w:rPr>
              <w:t>derisomaltose</w:t>
            </w:r>
            <w:proofErr w:type="spellEnd"/>
            <w:r w:rsidRPr="00826A0D">
              <w:rPr>
                <w:rFonts w:ascii="Arial Narrow" w:hAnsi="Arial Narrow" w:cs="Arial"/>
                <w:smallCaps/>
                <w:sz w:val="20"/>
                <w:szCs w:val="20"/>
              </w:rPr>
              <w:t>) 1000 mg/10 mL injection, 10 mL vial</w:t>
            </w:r>
          </w:p>
        </w:tc>
        <w:tc>
          <w:tcPr>
            <w:tcW w:w="308" w:type="pct"/>
          </w:tcPr>
          <w:p w:rsidR="0038038F" w:rsidRPr="00826A0D" w:rsidRDefault="0038038F" w:rsidP="00956010">
            <w:pPr>
              <w:keepNext/>
              <w:ind w:left="-108"/>
              <w:jc w:val="both"/>
              <w:rPr>
                <w:rFonts w:ascii="Arial Narrow" w:hAnsi="Arial Narrow" w:cs="Arial"/>
                <w:sz w:val="20"/>
                <w:szCs w:val="20"/>
              </w:rPr>
            </w:pPr>
          </w:p>
          <w:p w:rsidR="0038038F" w:rsidRPr="00826A0D" w:rsidRDefault="0038038F" w:rsidP="00956010">
            <w:pPr>
              <w:keepNext/>
              <w:ind w:left="-108"/>
              <w:jc w:val="both"/>
              <w:rPr>
                <w:rFonts w:ascii="Arial Narrow" w:hAnsi="Arial Narrow" w:cs="Arial"/>
                <w:sz w:val="20"/>
                <w:szCs w:val="20"/>
              </w:rPr>
            </w:pPr>
            <w:r w:rsidRPr="00826A0D">
              <w:rPr>
                <w:rFonts w:ascii="Arial Narrow" w:hAnsi="Arial Narrow" w:cs="Arial"/>
                <w:sz w:val="20"/>
                <w:szCs w:val="20"/>
              </w:rPr>
              <w:t>1</w:t>
            </w:r>
          </w:p>
        </w:tc>
        <w:tc>
          <w:tcPr>
            <w:tcW w:w="461" w:type="pct"/>
          </w:tcPr>
          <w:p w:rsidR="0038038F" w:rsidRPr="00826A0D" w:rsidRDefault="0038038F" w:rsidP="00956010">
            <w:pPr>
              <w:keepNext/>
              <w:ind w:left="-108"/>
              <w:jc w:val="both"/>
              <w:rPr>
                <w:rFonts w:ascii="Arial Narrow" w:hAnsi="Arial Narrow" w:cs="Arial"/>
                <w:sz w:val="20"/>
                <w:szCs w:val="20"/>
              </w:rPr>
            </w:pPr>
          </w:p>
          <w:p w:rsidR="0038038F" w:rsidRPr="00826A0D" w:rsidRDefault="0038038F" w:rsidP="00956010">
            <w:pPr>
              <w:keepNext/>
              <w:ind w:left="-108"/>
              <w:jc w:val="both"/>
              <w:rPr>
                <w:rFonts w:ascii="Arial Narrow" w:hAnsi="Arial Narrow" w:cs="Arial"/>
                <w:sz w:val="20"/>
                <w:szCs w:val="20"/>
              </w:rPr>
            </w:pPr>
            <w:r w:rsidRPr="00826A0D">
              <w:rPr>
                <w:rFonts w:ascii="Arial Narrow" w:hAnsi="Arial Narrow" w:cs="Arial"/>
                <w:sz w:val="20"/>
                <w:szCs w:val="20"/>
              </w:rPr>
              <w:t>1</w:t>
            </w:r>
          </w:p>
        </w:tc>
        <w:tc>
          <w:tcPr>
            <w:tcW w:w="923" w:type="pct"/>
          </w:tcPr>
          <w:p w:rsidR="0038038F" w:rsidRPr="00826A0D" w:rsidRDefault="0038038F" w:rsidP="00956010">
            <w:pPr>
              <w:keepNext/>
              <w:ind w:left="-108"/>
              <w:jc w:val="both"/>
              <w:rPr>
                <w:rFonts w:ascii="Arial Narrow" w:hAnsi="Arial Narrow" w:cs="Arial"/>
                <w:sz w:val="20"/>
                <w:szCs w:val="20"/>
              </w:rPr>
            </w:pPr>
          </w:p>
        </w:tc>
        <w:tc>
          <w:tcPr>
            <w:tcW w:w="846" w:type="pct"/>
          </w:tcPr>
          <w:p w:rsidR="0038038F" w:rsidRPr="00826A0D" w:rsidRDefault="0038038F" w:rsidP="00956010">
            <w:pPr>
              <w:keepNext/>
              <w:jc w:val="both"/>
              <w:rPr>
                <w:rFonts w:ascii="Arial Narrow" w:hAnsi="Arial Narrow" w:cs="Arial"/>
                <w:sz w:val="20"/>
                <w:szCs w:val="20"/>
              </w:rPr>
            </w:pPr>
            <w:proofErr w:type="spellStart"/>
            <w:r w:rsidRPr="00826A0D">
              <w:rPr>
                <w:rFonts w:ascii="Arial Narrow" w:hAnsi="Arial Narrow" w:cs="Arial"/>
                <w:sz w:val="20"/>
                <w:szCs w:val="20"/>
              </w:rPr>
              <w:t>Monofer</w:t>
            </w:r>
            <w:proofErr w:type="spellEnd"/>
            <w:r w:rsidRPr="00826A0D">
              <w:rPr>
                <w:rFonts w:ascii="Arial Narrow" w:hAnsi="Arial Narrow" w:cs="Arial"/>
                <w:sz w:val="20"/>
                <w:szCs w:val="20"/>
              </w:rPr>
              <w:t>®</w:t>
            </w:r>
          </w:p>
        </w:tc>
        <w:tc>
          <w:tcPr>
            <w:tcW w:w="692" w:type="pct"/>
          </w:tcPr>
          <w:p w:rsidR="0038038F" w:rsidRPr="00826A0D" w:rsidRDefault="0038038F" w:rsidP="00956010">
            <w:pPr>
              <w:keepNext/>
              <w:jc w:val="both"/>
              <w:rPr>
                <w:rFonts w:ascii="Arial Narrow" w:hAnsi="Arial Narrow" w:cs="Arial"/>
                <w:sz w:val="20"/>
                <w:szCs w:val="20"/>
              </w:rPr>
            </w:pPr>
            <w:r w:rsidRPr="00826A0D">
              <w:rPr>
                <w:rFonts w:ascii="Arial Narrow" w:hAnsi="Arial Narrow" w:cs="Arial"/>
                <w:sz w:val="20"/>
                <w:szCs w:val="20"/>
              </w:rPr>
              <w:t>Pfizer Australia Pty Ltd</w:t>
            </w:r>
          </w:p>
        </w:tc>
      </w:tr>
      <w:tr w:rsidR="0038038F" w:rsidRPr="00826A0D" w:rsidTr="00956010">
        <w:trPr>
          <w:cantSplit/>
          <w:trHeight w:val="360"/>
        </w:trPr>
        <w:tc>
          <w:tcPr>
            <w:tcW w:w="1538" w:type="pct"/>
            <w:tcBorders>
              <w:top w:val="single" w:sz="4" w:space="0" w:color="auto"/>
              <w:left w:val="single" w:sz="4" w:space="0" w:color="auto"/>
              <w:bottom w:val="single" w:sz="4" w:space="0" w:color="auto"/>
              <w:right w:val="single" w:sz="4" w:space="0" w:color="auto"/>
            </w:tcBorders>
          </w:tcPr>
          <w:p w:rsidR="0038038F" w:rsidRPr="00826A0D" w:rsidRDefault="0038038F" w:rsidP="00956010">
            <w:pPr>
              <w:jc w:val="both"/>
              <w:rPr>
                <w:rFonts w:ascii="Arial Narrow" w:hAnsi="Arial Narrow" w:cs="Arial"/>
                <w:b/>
                <w:sz w:val="20"/>
                <w:szCs w:val="20"/>
              </w:rPr>
            </w:pPr>
            <w:r w:rsidRPr="00826A0D">
              <w:rPr>
                <w:rFonts w:ascii="Arial Narrow" w:hAnsi="Arial Narrow" w:cs="Arial"/>
                <w:b/>
                <w:sz w:val="20"/>
                <w:szCs w:val="20"/>
              </w:rPr>
              <w:t>Category / Program:</w:t>
            </w:r>
          </w:p>
        </w:tc>
        <w:tc>
          <w:tcPr>
            <w:tcW w:w="3462" w:type="pct"/>
            <w:gridSpan w:val="6"/>
            <w:tcBorders>
              <w:top w:val="single" w:sz="4" w:space="0" w:color="auto"/>
              <w:left w:val="single" w:sz="4" w:space="0" w:color="auto"/>
              <w:bottom w:val="single" w:sz="4" w:space="0" w:color="auto"/>
              <w:right w:val="single" w:sz="4" w:space="0" w:color="auto"/>
            </w:tcBorders>
          </w:tcPr>
          <w:p w:rsidR="0038038F" w:rsidRPr="00826A0D" w:rsidRDefault="0038038F" w:rsidP="00956010">
            <w:pPr>
              <w:rPr>
                <w:rFonts w:ascii="Arial Narrow" w:hAnsi="Arial Narrow" w:cs="Arial"/>
                <w:sz w:val="20"/>
                <w:szCs w:val="20"/>
              </w:rPr>
            </w:pPr>
            <w:r w:rsidRPr="00826A0D">
              <w:rPr>
                <w:rFonts w:ascii="Arial Narrow" w:hAnsi="Arial Narrow" w:cs="Arial"/>
                <w:sz w:val="20"/>
                <w:szCs w:val="20"/>
              </w:rPr>
              <w:t>GENERAL – General Schedule (Code GE)</w:t>
            </w:r>
          </w:p>
        </w:tc>
      </w:tr>
      <w:tr w:rsidR="0038038F" w:rsidRPr="00826A0D" w:rsidTr="00956010">
        <w:trPr>
          <w:cantSplit/>
          <w:trHeight w:val="360"/>
        </w:trPr>
        <w:tc>
          <w:tcPr>
            <w:tcW w:w="1538" w:type="pct"/>
            <w:tcBorders>
              <w:top w:val="single" w:sz="4" w:space="0" w:color="auto"/>
              <w:left w:val="single" w:sz="4" w:space="0" w:color="auto"/>
              <w:bottom w:val="single" w:sz="4" w:space="0" w:color="auto"/>
              <w:right w:val="single" w:sz="4" w:space="0" w:color="auto"/>
            </w:tcBorders>
          </w:tcPr>
          <w:p w:rsidR="0038038F" w:rsidRPr="00826A0D" w:rsidRDefault="0038038F" w:rsidP="00956010">
            <w:pPr>
              <w:jc w:val="both"/>
              <w:rPr>
                <w:rFonts w:ascii="Arial Narrow" w:hAnsi="Arial Narrow" w:cs="Arial"/>
                <w:b/>
                <w:sz w:val="20"/>
                <w:szCs w:val="20"/>
              </w:rPr>
            </w:pPr>
            <w:r w:rsidRPr="00826A0D">
              <w:rPr>
                <w:rFonts w:ascii="Arial Narrow" w:hAnsi="Arial Narrow" w:cs="Arial"/>
                <w:b/>
                <w:sz w:val="20"/>
                <w:szCs w:val="20"/>
              </w:rPr>
              <w:t>Prescriber type:</w:t>
            </w:r>
          </w:p>
          <w:p w:rsidR="0038038F" w:rsidRPr="00826A0D" w:rsidRDefault="0038038F" w:rsidP="00956010">
            <w:pPr>
              <w:jc w:val="both"/>
              <w:rPr>
                <w:rFonts w:ascii="Arial Narrow" w:hAnsi="Arial Narrow" w:cs="Arial"/>
                <w:b/>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38038F" w:rsidRPr="00826A0D" w:rsidRDefault="0038038F" w:rsidP="00956010">
            <w:pPr>
              <w:rPr>
                <w:rFonts w:ascii="Arial Narrow" w:hAnsi="Arial Narrow" w:cs="Arial"/>
                <w:sz w:val="20"/>
                <w:szCs w:val="20"/>
              </w:rPr>
            </w:pPr>
            <w:r w:rsidRPr="00E6086D">
              <w:rPr>
                <w:rFonts w:ascii="Arial Narrow" w:hAnsi="Arial Narrow" w:cs="Arial"/>
                <w:sz w:val="20"/>
                <w:szCs w:val="20"/>
              </w:rPr>
              <w:fldChar w:fldCharType="begin">
                <w:ffData>
                  <w:name w:val="Check1"/>
                  <w:enabled/>
                  <w:calcOnExit w:val="0"/>
                  <w:checkBox>
                    <w:sizeAuto/>
                    <w:default w:val="0"/>
                  </w:checkBox>
                </w:ffData>
              </w:fldChar>
            </w:r>
            <w:r w:rsidRPr="00826A0D">
              <w:rPr>
                <w:rFonts w:ascii="Arial Narrow" w:hAnsi="Arial Narrow" w:cs="Arial"/>
                <w:sz w:val="20"/>
                <w:szCs w:val="20"/>
              </w:rPr>
              <w:instrText xml:space="preserve"> FORMCHECKBOX </w:instrText>
            </w:r>
            <w:r w:rsidR="00AC280A">
              <w:rPr>
                <w:rFonts w:ascii="Arial Narrow" w:hAnsi="Arial Narrow" w:cs="Arial"/>
                <w:sz w:val="20"/>
                <w:szCs w:val="20"/>
              </w:rPr>
            </w:r>
            <w:r w:rsidR="00AC280A">
              <w:rPr>
                <w:rFonts w:ascii="Arial Narrow" w:hAnsi="Arial Narrow" w:cs="Arial"/>
                <w:sz w:val="20"/>
                <w:szCs w:val="20"/>
              </w:rPr>
              <w:fldChar w:fldCharType="separate"/>
            </w:r>
            <w:r w:rsidRPr="00E6086D">
              <w:rPr>
                <w:rFonts w:ascii="Arial Narrow" w:hAnsi="Arial Narrow" w:cs="Arial"/>
                <w:sz w:val="20"/>
                <w:szCs w:val="20"/>
              </w:rPr>
              <w:fldChar w:fldCharType="end"/>
            </w:r>
            <w:r w:rsidRPr="00826A0D">
              <w:rPr>
                <w:rFonts w:ascii="Arial Narrow" w:hAnsi="Arial Narrow" w:cs="Arial"/>
                <w:sz w:val="20"/>
                <w:szCs w:val="20"/>
              </w:rPr>
              <w:t xml:space="preserve">Dental  </w:t>
            </w:r>
            <w:r w:rsidRPr="00E6086D">
              <w:rPr>
                <w:rFonts w:ascii="Arial Narrow" w:hAnsi="Arial Narrow" w:cs="Arial"/>
                <w:sz w:val="20"/>
                <w:szCs w:val="20"/>
              </w:rPr>
              <w:fldChar w:fldCharType="begin">
                <w:ffData>
                  <w:name w:val=""/>
                  <w:enabled/>
                  <w:calcOnExit w:val="0"/>
                  <w:checkBox>
                    <w:sizeAuto/>
                    <w:default w:val="1"/>
                  </w:checkBox>
                </w:ffData>
              </w:fldChar>
            </w:r>
            <w:r w:rsidRPr="00826A0D">
              <w:rPr>
                <w:rFonts w:ascii="Arial Narrow" w:hAnsi="Arial Narrow" w:cs="Arial"/>
                <w:sz w:val="20"/>
                <w:szCs w:val="20"/>
              </w:rPr>
              <w:instrText xml:space="preserve"> FORMCHECKBOX </w:instrText>
            </w:r>
            <w:r w:rsidR="00AC280A">
              <w:rPr>
                <w:rFonts w:ascii="Arial Narrow" w:hAnsi="Arial Narrow" w:cs="Arial"/>
                <w:sz w:val="20"/>
                <w:szCs w:val="20"/>
              </w:rPr>
            </w:r>
            <w:r w:rsidR="00AC280A">
              <w:rPr>
                <w:rFonts w:ascii="Arial Narrow" w:hAnsi="Arial Narrow" w:cs="Arial"/>
                <w:sz w:val="20"/>
                <w:szCs w:val="20"/>
              </w:rPr>
              <w:fldChar w:fldCharType="separate"/>
            </w:r>
            <w:r w:rsidRPr="00E6086D">
              <w:rPr>
                <w:rFonts w:ascii="Arial Narrow" w:hAnsi="Arial Narrow" w:cs="Arial"/>
                <w:sz w:val="20"/>
                <w:szCs w:val="20"/>
              </w:rPr>
              <w:fldChar w:fldCharType="end"/>
            </w:r>
            <w:r w:rsidRPr="00826A0D">
              <w:rPr>
                <w:rFonts w:ascii="Arial Narrow" w:hAnsi="Arial Narrow" w:cs="Arial"/>
                <w:sz w:val="20"/>
                <w:szCs w:val="20"/>
              </w:rPr>
              <w:t xml:space="preserve">Medical Practitioners  </w:t>
            </w:r>
            <w:r w:rsidRPr="00E6086D">
              <w:rPr>
                <w:rFonts w:ascii="Arial Narrow" w:hAnsi="Arial Narrow" w:cs="Arial"/>
                <w:sz w:val="20"/>
                <w:szCs w:val="20"/>
              </w:rPr>
              <w:fldChar w:fldCharType="begin">
                <w:ffData>
                  <w:name w:val="Check3"/>
                  <w:enabled/>
                  <w:calcOnExit w:val="0"/>
                  <w:checkBox>
                    <w:sizeAuto/>
                    <w:default w:val="1"/>
                  </w:checkBox>
                </w:ffData>
              </w:fldChar>
            </w:r>
            <w:r w:rsidRPr="00826A0D">
              <w:rPr>
                <w:rFonts w:ascii="Arial Narrow" w:hAnsi="Arial Narrow" w:cs="Arial"/>
                <w:sz w:val="20"/>
                <w:szCs w:val="20"/>
              </w:rPr>
              <w:instrText xml:space="preserve"> FORMCHECKBOX </w:instrText>
            </w:r>
            <w:r w:rsidR="00AC280A">
              <w:rPr>
                <w:rFonts w:ascii="Arial Narrow" w:hAnsi="Arial Narrow" w:cs="Arial"/>
                <w:sz w:val="20"/>
                <w:szCs w:val="20"/>
              </w:rPr>
            </w:r>
            <w:r w:rsidR="00AC280A">
              <w:rPr>
                <w:rFonts w:ascii="Arial Narrow" w:hAnsi="Arial Narrow" w:cs="Arial"/>
                <w:sz w:val="20"/>
                <w:szCs w:val="20"/>
              </w:rPr>
              <w:fldChar w:fldCharType="separate"/>
            </w:r>
            <w:r w:rsidRPr="00E6086D">
              <w:rPr>
                <w:rFonts w:ascii="Arial Narrow" w:hAnsi="Arial Narrow" w:cs="Arial"/>
                <w:sz w:val="20"/>
                <w:szCs w:val="20"/>
              </w:rPr>
              <w:fldChar w:fldCharType="end"/>
            </w:r>
            <w:r w:rsidRPr="00826A0D">
              <w:rPr>
                <w:rFonts w:ascii="Arial Narrow" w:hAnsi="Arial Narrow" w:cs="Arial"/>
                <w:sz w:val="20"/>
                <w:szCs w:val="20"/>
              </w:rPr>
              <w:t xml:space="preserve">Nurse practitioners  </w:t>
            </w:r>
            <w:r w:rsidRPr="00E6086D">
              <w:rPr>
                <w:rFonts w:ascii="Arial Narrow" w:hAnsi="Arial Narrow" w:cs="Arial"/>
                <w:sz w:val="20"/>
                <w:szCs w:val="20"/>
              </w:rPr>
              <w:fldChar w:fldCharType="begin">
                <w:ffData>
                  <w:name w:val=""/>
                  <w:enabled/>
                  <w:calcOnExit w:val="0"/>
                  <w:checkBox>
                    <w:sizeAuto/>
                    <w:default w:val="0"/>
                  </w:checkBox>
                </w:ffData>
              </w:fldChar>
            </w:r>
            <w:r w:rsidRPr="00826A0D">
              <w:rPr>
                <w:rFonts w:ascii="Arial Narrow" w:hAnsi="Arial Narrow" w:cs="Arial"/>
                <w:sz w:val="20"/>
                <w:szCs w:val="20"/>
              </w:rPr>
              <w:instrText xml:space="preserve"> FORMCHECKBOX </w:instrText>
            </w:r>
            <w:r w:rsidR="00AC280A">
              <w:rPr>
                <w:rFonts w:ascii="Arial Narrow" w:hAnsi="Arial Narrow" w:cs="Arial"/>
                <w:sz w:val="20"/>
                <w:szCs w:val="20"/>
              </w:rPr>
            </w:r>
            <w:r w:rsidR="00AC280A">
              <w:rPr>
                <w:rFonts w:ascii="Arial Narrow" w:hAnsi="Arial Narrow" w:cs="Arial"/>
                <w:sz w:val="20"/>
                <w:szCs w:val="20"/>
              </w:rPr>
              <w:fldChar w:fldCharType="separate"/>
            </w:r>
            <w:r w:rsidRPr="00E6086D">
              <w:rPr>
                <w:rFonts w:ascii="Arial Narrow" w:hAnsi="Arial Narrow" w:cs="Arial"/>
                <w:sz w:val="20"/>
                <w:szCs w:val="20"/>
              </w:rPr>
              <w:fldChar w:fldCharType="end"/>
            </w:r>
            <w:r w:rsidRPr="00826A0D">
              <w:rPr>
                <w:rFonts w:ascii="Arial Narrow" w:hAnsi="Arial Narrow" w:cs="Arial"/>
                <w:sz w:val="20"/>
                <w:szCs w:val="20"/>
              </w:rPr>
              <w:t>Optometrists</w:t>
            </w:r>
          </w:p>
          <w:p w:rsidR="0038038F" w:rsidRPr="00826A0D" w:rsidRDefault="0038038F" w:rsidP="00956010">
            <w:pPr>
              <w:rPr>
                <w:rFonts w:ascii="Arial Narrow" w:hAnsi="Arial Narrow" w:cs="Arial"/>
                <w:sz w:val="20"/>
                <w:szCs w:val="20"/>
              </w:rPr>
            </w:pPr>
            <w:r w:rsidRPr="00E6086D">
              <w:rPr>
                <w:rFonts w:ascii="Arial Narrow" w:hAnsi="Arial Narrow" w:cs="Arial"/>
                <w:sz w:val="20"/>
                <w:szCs w:val="20"/>
              </w:rPr>
              <w:fldChar w:fldCharType="begin">
                <w:ffData>
                  <w:name w:val="Check5"/>
                  <w:enabled/>
                  <w:calcOnExit w:val="0"/>
                  <w:checkBox>
                    <w:sizeAuto/>
                    <w:default w:val="0"/>
                  </w:checkBox>
                </w:ffData>
              </w:fldChar>
            </w:r>
            <w:r w:rsidRPr="00826A0D">
              <w:rPr>
                <w:rFonts w:ascii="Arial Narrow" w:hAnsi="Arial Narrow" w:cs="Arial"/>
                <w:sz w:val="20"/>
                <w:szCs w:val="20"/>
              </w:rPr>
              <w:instrText xml:space="preserve"> FORMCHECKBOX </w:instrText>
            </w:r>
            <w:r w:rsidR="00AC280A">
              <w:rPr>
                <w:rFonts w:ascii="Arial Narrow" w:hAnsi="Arial Narrow" w:cs="Arial"/>
                <w:sz w:val="20"/>
                <w:szCs w:val="20"/>
              </w:rPr>
            </w:r>
            <w:r w:rsidR="00AC280A">
              <w:rPr>
                <w:rFonts w:ascii="Arial Narrow" w:hAnsi="Arial Narrow" w:cs="Arial"/>
                <w:sz w:val="20"/>
                <w:szCs w:val="20"/>
              </w:rPr>
              <w:fldChar w:fldCharType="separate"/>
            </w:r>
            <w:r w:rsidRPr="00E6086D">
              <w:rPr>
                <w:rFonts w:ascii="Arial Narrow" w:hAnsi="Arial Narrow" w:cs="Arial"/>
                <w:sz w:val="20"/>
                <w:szCs w:val="20"/>
              </w:rPr>
              <w:fldChar w:fldCharType="end"/>
            </w:r>
            <w:r w:rsidRPr="00826A0D">
              <w:rPr>
                <w:rFonts w:ascii="Arial Narrow" w:hAnsi="Arial Narrow" w:cs="Arial"/>
                <w:sz w:val="20"/>
                <w:szCs w:val="20"/>
              </w:rPr>
              <w:t>Midwives</w:t>
            </w:r>
          </w:p>
        </w:tc>
      </w:tr>
      <w:tr w:rsidR="0038038F" w:rsidRPr="00826A0D" w:rsidTr="00956010">
        <w:trPr>
          <w:cantSplit/>
          <w:trHeight w:val="360"/>
        </w:trPr>
        <w:tc>
          <w:tcPr>
            <w:tcW w:w="1538" w:type="pct"/>
            <w:tcBorders>
              <w:top w:val="single" w:sz="4" w:space="0" w:color="auto"/>
              <w:left w:val="single" w:sz="4" w:space="0" w:color="auto"/>
              <w:bottom w:val="single" w:sz="4" w:space="0" w:color="auto"/>
              <w:right w:val="single" w:sz="4" w:space="0" w:color="auto"/>
            </w:tcBorders>
          </w:tcPr>
          <w:p w:rsidR="0038038F" w:rsidRPr="00826A0D" w:rsidRDefault="0038038F" w:rsidP="00956010">
            <w:pPr>
              <w:jc w:val="both"/>
              <w:rPr>
                <w:rFonts w:ascii="Arial Narrow" w:hAnsi="Arial Narrow" w:cs="Arial"/>
                <w:b/>
                <w:sz w:val="20"/>
                <w:szCs w:val="20"/>
              </w:rPr>
            </w:pPr>
            <w:r w:rsidRPr="00826A0D">
              <w:rPr>
                <w:rFonts w:ascii="Arial Narrow" w:hAnsi="Arial Narrow" w:cs="Arial"/>
                <w:b/>
                <w:sz w:val="20"/>
                <w:szCs w:val="20"/>
              </w:rPr>
              <w:t>Administrative Advice</w:t>
            </w:r>
          </w:p>
        </w:tc>
        <w:tc>
          <w:tcPr>
            <w:tcW w:w="3462" w:type="pct"/>
            <w:gridSpan w:val="6"/>
            <w:tcBorders>
              <w:top w:val="single" w:sz="4" w:space="0" w:color="auto"/>
              <w:left w:val="single" w:sz="4" w:space="0" w:color="auto"/>
              <w:bottom w:val="single" w:sz="4" w:space="0" w:color="auto"/>
              <w:right w:val="single" w:sz="4" w:space="0" w:color="auto"/>
            </w:tcBorders>
          </w:tcPr>
          <w:p w:rsidR="0038038F" w:rsidRPr="00826A0D" w:rsidRDefault="0038038F" w:rsidP="00956010">
            <w:pPr>
              <w:rPr>
                <w:rFonts w:ascii="Arial Narrow" w:hAnsi="Arial Narrow" w:cs="Arial"/>
                <w:sz w:val="20"/>
                <w:szCs w:val="20"/>
              </w:rPr>
            </w:pPr>
            <w:r w:rsidRPr="00826A0D">
              <w:rPr>
                <w:rFonts w:ascii="Arial Narrow" w:hAnsi="Arial Narrow" w:cs="Arial"/>
                <w:sz w:val="20"/>
                <w:szCs w:val="20"/>
              </w:rPr>
              <w:t>Special Pricing Arrangements apply.</w:t>
            </w:r>
          </w:p>
        </w:tc>
      </w:tr>
    </w:tbl>
    <w:p w:rsidR="007317C4" w:rsidRPr="00826A0D" w:rsidRDefault="007317C4" w:rsidP="0038038F">
      <w:pPr>
        <w:pStyle w:val="3Bodytext"/>
        <w:numPr>
          <w:ilvl w:val="0"/>
          <w:numId w:val="0"/>
        </w:numPr>
        <w:rPr>
          <w:rFonts w:ascii="Arial Narrow" w:hAnsi="Arial Narrow"/>
          <w:sz w:val="20"/>
          <w:szCs w:val="20"/>
        </w:rPr>
      </w:pPr>
    </w:p>
    <w:p w:rsidR="0038038F" w:rsidRDefault="0038038F" w:rsidP="0038038F">
      <w:pPr>
        <w:pStyle w:val="3Bodytext"/>
        <w:numPr>
          <w:ilvl w:val="1"/>
          <w:numId w:val="5"/>
        </w:numPr>
        <w:rPr>
          <w:snapToGrid w:val="0"/>
        </w:rPr>
      </w:pPr>
      <w:r w:rsidRPr="00826A0D">
        <w:rPr>
          <w:snapToGrid w:val="0"/>
        </w:rPr>
        <w:t>Make the following changes to PBS Item 11615H:</w:t>
      </w:r>
    </w:p>
    <w:tbl>
      <w:tblPr>
        <w:tblW w:w="5000" w:type="pct"/>
        <w:tblLook w:val="0000" w:firstRow="0" w:lastRow="0" w:firstColumn="0" w:lastColumn="0" w:noHBand="0" w:noVBand="0"/>
      </w:tblPr>
      <w:tblGrid>
        <w:gridCol w:w="2777"/>
        <w:gridCol w:w="419"/>
        <w:gridCol w:w="556"/>
        <w:gridCol w:w="832"/>
        <w:gridCol w:w="1666"/>
        <w:gridCol w:w="1527"/>
        <w:gridCol w:w="1249"/>
      </w:tblGrid>
      <w:tr w:rsidR="0038038F" w:rsidRPr="00826A0D" w:rsidTr="00956010">
        <w:trPr>
          <w:cantSplit/>
          <w:trHeight w:val="471"/>
        </w:trPr>
        <w:tc>
          <w:tcPr>
            <w:tcW w:w="1770" w:type="pct"/>
            <w:gridSpan w:val="2"/>
            <w:tcBorders>
              <w:bottom w:val="single" w:sz="4" w:space="0" w:color="auto"/>
            </w:tcBorders>
          </w:tcPr>
          <w:p w:rsidR="0038038F" w:rsidRPr="00826A0D" w:rsidRDefault="0038038F" w:rsidP="00956010">
            <w:pPr>
              <w:keepNext/>
              <w:ind w:left="-108"/>
              <w:jc w:val="both"/>
              <w:rPr>
                <w:rFonts w:ascii="Arial Narrow" w:hAnsi="Arial Narrow" w:cs="Arial"/>
                <w:sz w:val="20"/>
                <w:szCs w:val="20"/>
              </w:rPr>
            </w:pPr>
            <w:r w:rsidRPr="00826A0D">
              <w:rPr>
                <w:rFonts w:ascii="Arial Narrow" w:hAnsi="Arial Narrow" w:cs="Arial"/>
                <w:sz w:val="20"/>
                <w:szCs w:val="20"/>
              </w:rPr>
              <w:t>Name, Restriction,</w:t>
            </w:r>
          </w:p>
          <w:p w:rsidR="0038038F" w:rsidRPr="00826A0D" w:rsidRDefault="0038038F" w:rsidP="00956010">
            <w:pPr>
              <w:keepNext/>
              <w:ind w:left="-108"/>
              <w:jc w:val="both"/>
              <w:rPr>
                <w:rFonts w:ascii="Arial Narrow" w:hAnsi="Arial Narrow" w:cs="Arial"/>
                <w:sz w:val="20"/>
                <w:szCs w:val="20"/>
              </w:rPr>
            </w:pPr>
            <w:r w:rsidRPr="00826A0D">
              <w:rPr>
                <w:rFonts w:ascii="Arial Narrow" w:hAnsi="Arial Narrow" w:cs="Arial"/>
                <w:sz w:val="20"/>
                <w:szCs w:val="20"/>
              </w:rPr>
              <w:t>Manner of administration and form</w:t>
            </w:r>
          </w:p>
        </w:tc>
        <w:tc>
          <w:tcPr>
            <w:tcW w:w="308" w:type="pct"/>
            <w:tcBorders>
              <w:bottom w:val="single" w:sz="4" w:space="0" w:color="auto"/>
            </w:tcBorders>
          </w:tcPr>
          <w:p w:rsidR="0038038F" w:rsidRPr="00826A0D" w:rsidRDefault="0038038F" w:rsidP="00956010">
            <w:pPr>
              <w:keepNext/>
              <w:ind w:left="-108"/>
              <w:jc w:val="both"/>
              <w:rPr>
                <w:rFonts w:ascii="Arial Narrow" w:hAnsi="Arial Narrow" w:cs="Arial"/>
                <w:sz w:val="20"/>
                <w:szCs w:val="20"/>
              </w:rPr>
            </w:pPr>
            <w:r w:rsidRPr="00826A0D">
              <w:rPr>
                <w:rFonts w:ascii="Arial Narrow" w:hAnsi="Arial Narrow" w:cs="Arial"/>
                <w:sz w:val="20"/>
                <w:szCs w:val="20"/>
              </w:rPr>
              <w:t>Max.</w:t>
            </w:r>
          </w:p>
          <w:p w:rsidR="0038038F" w:rsidRPr="00826A0D" w:rsidRDefault="0038038F" w:rsidP="00956010">
            <w:pPr>
              <w:keepNext/>
              <w:ind w:left="-108"/>
              <w:jc w:val="both"/>
              <w:rPr>
                <w:rFonts w:ascii="Arial Narrow" w:hAnsi="Arial Narrow" w:cs="Arial"/>
                <w:sz w:val="20"/>
                <w:szCs w:val="20"/>
              </w:rPr>
            </w:pPr>
            <w:r w:rsidRPr="00826A0D">
              <w:rPr>
                <w:rFonts w:ascii="Arial Narrow" w:hAnsi="Arial Narrow" w:cs="Arial"/>
                <w:sz w:val="20"/>
                <w:szCs w:val="20"/>
              </w:rPr>
              <w:t>Qty</w:t>
            </w:r>
          </w:p>
        </w:tc>
        <w:tc>
          <w:tcPr>
            <w:tcW w:w="461" w:type="pct"/>
            <w:tcBorders>
              <w:bottom w:val="single" w:sz="4" w:space="0" w:color="auto"/>
            </w:tcBorders>
          </w:tcPr>
          <w:p w:rsidR="0038038F" w:rsidRPr="00826A0D" w:rsidRDefault="0038038F" w:rsidP="00956010">
            <w:pPr>
              <w:keepNext/>
              <w:ind w:left="-108"/>
              <w:jc w:val="both"/>
              <w:rPr>
                <w:rFonts w:ascii="Arial Narrow" w:hAnsi="Arial Narrow" w:cs="Arial"/>
                <w:sz w:val="20"/>
                <w:szCs w:val="20"/>
              </w:rPr>
            </w:pPr>
            <w:r w:rsidRPr="00826A0D">
              <w:rPr>
                <w:rFonts w:ascii="Arial Narrow" w:hAnsi="Arial Narrow" w:cs="Arial"/>
                <w:sz w:val="20"/>
                <w:szCs w:val="20"/>
              </w:rPr>
              <w:t>№.of</w:t>
            </w:r>
          </w:p>
          <w:p w:rsidR="0038038F" w:rsidRPr="00826A0D" w:rsidRDefault="0038038F" w:rsidP="00956010">
            <w:pPr>
              <w:keepNext/>
              <w:ind w:left="-108"/>
              <w:jc w:val="both"/>
              <w:rPr>
                <w:rFonts w:ascii="Arial Narrow" w:hAnsi="Arial Narrow" w:cs="Arial"/>
                <w:sz w:val="20"/>
                <w:szCs w:val="20"/>
              </w:rPr>
            </w:pPr>
            <w:r w:rsidRPr="00826A0D">
              <w:rPr>
                <w:rFonts w:ascii="Arial Narrow" w:hAnsi="Arial Narrow" w:cs="Arial"/>
                <w:sz w:val="20"/>
                <w:szCs w:val="20"/>
              </w:rPr>
              <w:t>Rpts</w:t>
            </w:r>
          </w:p>
        </w:tc>
        <w:tc>
          <w:tcPr>
            <w:tcW w:w="923" w:type="pct"/>
            <w:tcBorders>
              <w:bottom w:val="single" w:sz="4" w:space="0" w:color="auto"/>
            </w:tcBorders>
          </w:tcPr>
          <w:p w:rsidR="0038038F" w:rsidRPr="00826A0D" w:rsidRDefault="0038038F" w:rsidP="00956010">
            <w:pPr>
              <w:keepNext/>
              <w:ind w:left="-108"/>
              <w:jc w:val="both"/>
              <w:rPr>
                <w:rFonts w:ascii="Arial Narrow" w:hAnsi="Arial Narrow" w:cs="Arial"/>
                <w:sz w:val="20"/>
                <w:szCs w:val="20"/>
              </w:rPr>
            </w:pPr>
          </w:p>
        </w:tc>
        <w:tc>
          <w:tcPr>
            <w:tcW w:w="1538" w:type="pct"/>
            <w:gridSpan w:val="2"/>
            <w:tcBorders>
              <w:bottom w:val="single" w:sz="4" w:space="0" w:color="auto"/>
            </w:tcBorders>
          </w:tcPr>
          <w:p w:rsidR="0038038F" w:rsidRPr="00826A0D" w:rsidRDefault="0038038F" w:rsidP="00956010">
            <w:pPr>
              <w:keepNext/>
              <w:jc w:val="both"/>
              <w:rPr>
                <w:rFonts w:ascii="Arial Narrow" w:hAnsi="Arial Narrow" w:cs="Arial"/>
                <w:sz w:val="20"/>
                <w:szCs w:val="20"/>
              </w:rPr>
            </w:pPr>
            <w:r w:rsidRPr="00826A0D">
              <w:rPr>
                <w:rFonts w:ascii="Arial Narrow" w:hAnsi="Arial Narrow" w:cs="Arial"/>
                <w:sz w:val="20"/>
                <w:szCs w:val="20"/>
              </w:rPr>
              <w:t>Proprietary Name and Manufacturer</w:t>
            </w:r>
          </w:p>
        </w:tc>
      </w:tr>
      <w:tr w:rsidR="0038038F" w:rsidRPr="00826A0D" w:rsidTr="00956010">
        <w:trPr>
          <w:cantSplit/>
          <w:trHeight w:val="577"/>
        </w:trPr>
        <w:tc>
          <w:tcPr>
            <w:tcW w:w="1770" w:type="pct"/>
            <w:gridSpan w:val="2"/>
          </w:tcPr>
          <w:p w:rsidR="0038038F" w:rsidRPr="00826A0D" w:rsidRDefault="0038038F" w:rsidP="00956010">
            <w:pPr>
              <w:keepNext/>
              <w:ind w:left="-108"/>
              <w:jc w:val="both"/>
              <w:rPr>
                <w:rFonts w:ascii="Arial Narrow" w:hAnsi="Arial Narrow" w:cs="Arial"/>
                <w:smallCaps/>
                <w:sz w:val="20"/>
                <w:szCs w:val="20"/>
              </w:rPr>
            </w:pPr>
            <w:r w:rsidRPr="00826A0D">
              <w:rPr>
                <w:rFonts w:ascii="Arial Narrow" w:hAnsi="Arial Narrow" w:cs="Arial"/>
                <w:smallCaps/>
                <w:sz w:val="20"/>
                <w:szCs w:val="20"/>
              </w:rPr>
              <w:t>FERRIC DERISOMALTOSE</w:t>
            </w:r>
          </w:p>
          <w:p w:rsidR="0038038F" w:rsidRPr="00826A0D" w:rsidRDefault="0038038F" w:rsidP="00956010">
            <w:pPr>
              <w:keepNext/>
              <w:ind w:left="-108"/>
              <w:jc w:val="both"/>
              <w:rPr>
                <w:rFonts w:ascii="Arial Narrow" w:hAnsi="Arial Narrow" w:cs="Arial"/>
                <w:color w:val="FF0000"/>
                <w:sz w:val="20"/>
                <w:szCs w:val="20"/>
              </w:rPr>
            </w:pPr>
            <w:r w:rsidRPr="00826A0D">
              <w:rPr>
                <w:rFonts w:ascii="Arial Narrow" w:hAnsi="Arial Narrow" w:cs="Arial"/>
                <w:smallCaps/>
                <w:sz w:val="20"/>
                <w:szCs w:val="20"/>
              </w:rPr>
              <w:t xml:space="preserve">iron (as ferric </w:t>
            </w:r>
            <w:proofErr w:type="spellStart"/>
            <w:r w:rsidRPr="00826A0D">
              <w:rPr>
                <w:rFonts w:ascii="Arial Narrow" w:hAnsi="Arial Narrow" w:cs="Arial"/>
                <w:smallCaps/>
                <w:sz w:val="20"/>
                <w:szCs w:val="20"/>
              </w:rPr>
              <w:t>derisomaltose</w:t>
            </w:r>
            <w:proofErr w:type="spellEnd"/>
            <w:r w:rsidRPr="00826A0D">
              <w:rPr>
                <w:rFonts w:ascii="Arial Narrow" w:hAnsi="Arial Narrow" w:cs="Arial"/>
                <w:smallCaps/>
                <w:sz w:val="20"/>
                <w:szCs w:val="20"/>
              </w:rPr>
              <w:t>) 500 mg/5 mL injection, 5 mL vial</w:t>
            </w:r>
          </w:p>
        </w:tc>
        <w:tc>
          <w:tcPr>
            <w:tcW w:w="308" w:type="pct"/>
          </w:tcPr>
          <w:p w:rsidR="0038038F" w:rsidRPr="00826A0D" w:rsidRDefault="0038038F" w:rsidP="00956010">
            <w:pPr>
              <w:keepNext/>
              <w:ind w:left="-108"/>
              <w:jc w:val="both"/>
              <w:rPr>
                <w:rFonts w:ascii="Arial Narrow" w:hAnsi="Arial Narrow" w:cs="Arial"/>
                <w:sz w:val="20"/>
                <w:szCs w:val="20"/>
              </w:rPr>
            </w:pPr>
          </w:p>
          <w:p w:rsidR="0038038F" w:rsidRPr="00826A0D" w:rsidRDefault="0038038F" w:rsidP="00956010">
            <w:pPr>
              <w:keepNext/>
              <w:ind w:left="-108"/>
              <w:jc w:val="both"/>
              <w:rPr>
                <w:rFonts w:ascii="Arial Narrow" w:hAnsi="Arial Narrow" w:cs="Arial"/>
                <w:strike/>
                <w:sz w:val="20"/>
                <w:szCs w:val="20"/>
              </w:rPr>
            </w:pPr>
            <w:r w:rsidRPr="00826A0D">
              <w:rPr>
                <w:rFonts w:ascii="Arial Narrow" w:hAnsi="Arial Narrow" w:cs="Arial"/>
                <w:strike/>
                <w:sz w:val="20"/>
                <w:szCs w:val="20"/>
              </w:rPr>
              <w:t>2</w:t>
            </w:r>
            <w:r w:rsidRPr="00826A0D">
              <w:rPr>
                <w:rFonts w:ascii="Arial Narrow" w:hAnsi="Arial Narrow" w:cs="Arial"/>
                <w:sz w:val="20"/>
                <w:szCs w:val="20"/>
              </w:rPr>
              <w:t xml:space="preserve"> </w:t>
            </w:r>
            <w:r w:rsidRPr="00826A0D">
              <w:rPr>
                <w:rFonts w:ascii="Arial Narrow" w:hAnsi="Arial Narrow" w:cs="Arial"/>
                <w:i/>
                <w:sz w:val="20"/>
                <w:szCs w:val="20"/>
              </w:rPr>
              <w:t>3</w:t>
            </w:r>
          </w:p>
        </w:tc>
        <w:tc>
          <w:tcPr>
            <w:tcW w:w="461" w:type="pct"/>
          </w:tcPr>
          <w:p w:rsidR="0038038F" w:rsidRPr="00826A0D" w:rsidRDefault="0038038F" w:rsidP="00956010">
            <w:pPr>
              <w:keepNext/>
              <w:ind w:left="-108"/>
              <w:jc w:val="both"/>
              <w:rPr>
                <w:rFonts w:ascii="Arial Narrow" w:hAnsi="Arial Narrow" w:cs="Arial"/>
                <w:sz w:val="20"/>
                <w:szCs w:val="20"/>
              </w:rPr>
            </w:pPr>
          </w:p>
          <w:p w:rsidR="0038038F" w:rsidRPr="00826A0D" w:rsidRDefault="0038038F" w:rsidP="00956010">
            <w:pPr>
              <w:keepNext/>
              <w:ind w:left="-108"/>
              <w:jc w:val="both"/>
              <w:rPr>
                <w:rFonts w:ascii="Arial Narrow" w:hAnsi="Arial Narrow" w:cs="Arial"/>
                <w:strike/>
                <w:sz w:val="20"/>
                <w:szCs w:val="20"/>
              </w:rPr>
            </w:pPr>
            <w:r w:rsidRPr="00826A0D">
              <w:rPr>
                <w:rFonts w:ascii="Arial Narrow" w:hAnsi="Arial Narrow" w:cs="Arial"/>
                <w:strike/>
                <w:sz w:val="20"/>
                <w:szCs w:val="20"/>
              </w:rPr>
              <w:t>1</w:t>
            </w:r>
            <w:r w:rsidRPr="00826A0D">
              <w:rPr>
                <w:rFonts w:ascii="Arial Narrow" w:hAnsi="Arial Narrow" w:cs="Arial"/>
                <w:sz w:val="20"/>
                <w:szCs w:val="20"/>
              </w:rPr>
              <w:t xml:space="preserve"> </w:t>
            </w:r>
            <w:r w:rsidRPr="00826A0D">
              <w:rPr>
                <w:rFonts w:ascii="Arial Narrow" w:hAnsi="Arial Narrow" w:cs="Arial"/>
                <w:i/>
                <w:sz w:val="20"/>
                <w:szCs w:val="20"/>
              </w:rPr>
              <w:t>0</w:t>
            </w:r>
          </w:p>
        </w:tc>
        <w:tc>
          <w:tcPr>
            <w:tcW w:w="923" w:type="pct"/>
          </w:tcPr>
          <w:p w:rsidR="0038038F" w:rsidRPr="00826A0D" w:rsidRDefault="0038038F" w:rsidP="00956010">
            <w:pPr>
              <w:keepNext/>
              <w:ind w:left="-108"/>
              <w:jc w:val="both"/>
              <w:rPr>
                <w:rFonts w:ascii="Arial Narrow" w:hAnsi="Arial Narrow" w:cs="Arial"/>
                <w:i/>
                <w:sz w:val="20"/>
                <w:szCs w:val="20"/>
              </w:rPr>
            </w:pPr>
          </w:p>
        </w:tc>
        <w:tc>
          <w:tcPr>
            <w:tcW w:w="846" w:type="pct"/>
          </w:tcPr>
          <w:p w:rsidR="0038038F" w:rsidRPr="00826A0D" w:rsidRDefault="0038038F" w:rsidP="00956010">
            <w:pPr>
              <w:keepNext/>
              <w:jc w:val="both"/>
              <w:rPr>
                <w:rFonts w:ascii="Arial Narrow" w:hAnsi="Arial Narrow" w:cs="Arial"/>
                <w:sz w:val="20"/>
                <w:szCs w:val="20"/>
              </w:rPr>
            </w:pPr>
            <w:proofErr w:type="spellStart"/>
            <w:r w:rsidRPr="00826A0D">
              <w:rPr>
                <w:rFonts w:ascii="Arial Narrow" w:hAnsi="Arial Narrow" w:cs="Arial"/>
                <w:sz w:val="20"/>
                <w:szCs w:val="20"/>
              </w:rPr>
              <w:t>Monofer</w:t>
            </w:r>
            <w:proofErr w:type="spellEnd"/>
            <w:r w:rsidRPr="00826A0D">
              <w:rPr>
                <w:rFonts w:ascii="Arial Narrow" w:hAnsi="Arial Narrow" w:cs="Arial"/>
                <w:sz w:val="20"/>
                <w:szCs w:val="20"/>
              </w:rPr>
              <w:t>®</w:t>
            </w:r>
          </w:p>
        </w:tc>
        <w:tc>
          <w:tcPr>
            <w:tcW w:w="692" w:type="pct"/>
          </w:tcPr>
          <w:p w:rsidR="0038038F" w:rsidRPr="00826A0D" w:rsidRDefault="0038038F" w:rsidP="00956010">
            <w:pPr>
              <w:keepNext/>
              <w:jc w:val="both"/>
              <w:rPr>
                <w:rFonts w:ascii="Arial Narrow" w:hAnsi="Arial Narrow" w:cs="Arial"/>
                <w:sz w:val="20"/>
                <w:szCs w:val="20"/>
              </w:rPr>
            </w:pPr>
            <w:r w:rsidRPr="00826A0D">
              <w:rPr>
                <w:rFonts w:ascii="Arial Narrow" w:hAnsi="Arial Narrow" w:cs="Arial"/>
                <w:sz w:val="20"/>
                <w:szCs w:val="20"/>
              </w:rPr>
              <w:t>Pfizer Australia Pty Ltd</w:t>
            </w:r>
          </w:p>
        </w:tc>
      </w:tr>
      <w:tr w:rsidR="0038038F" w:rsidRPr="00826A0D" w:rsidTr="00956010">
        <w:trPr>
          <w:cantSplit/>
          <w:trHeight w:val="360"/>
        </w:trPr>
        <w:tc>
          <w:tcPr>
            <w:tcW w:w="1538" w:type="pct"/>
            <w:tcBorders>
              <w:top w:val="single" w:sz="4" w:space="0" w:color="auto"/>
              <w:left w:val="single" w:sz="4" w:space="0" w:color="auto"/>
              <w:bottom w:val="single" w:sz="4" w:space="0" w:color="auto"/>
              <w:right w:val="single" w:sz="4" w:space="0" w:color="auto"/>
            </w:tcBorders>
          </w:tcPr>
          <w:p w:rsidR="0038038F" w:rsidRPr="00826A0D" w:rsidRDefault="0038038F" w:rsidP="00956010">
            <w:pPr>
              <w:jc w:val="both"/>
              <w:rPr>
                <w:rFonts w:ascii="Arial Narrow" w:hAnsi="Arial Narrow" w:cs="Arial"/>
                <w:b/>
                <w:sz w:val="20"/>
                <w:szCs w:val="20"/>
              </w:rPr>
            </w:pPr>
            <w:r w:rsidRPr="00826A0D">
              <w:rPr>
                <w:rFonts w:ascii="Arial Narrow" w:hAnsi="Arial Narrow" w:cs="Arial"/>
                <w:b/>
                <w:sz w:val="20"/>
                <w:szCs w:val="20"/>
              </w:rPr>
              <w:t>Category / Program:</w:t>
            </w:r>
          </w:p>
        </w:tc>
        <w:tc>
          <w:tcPr>
            <w:tcW w:w="3462" w:type="pct"/>
            <w:gridSpan w:val="6"/>
            <w:tcBorders>
              <w:top w:val="single" w:sz="4" w:space="0" w:color="auto"/>
              <w:left w:val="single" w:sz="4" w:space="0" w:color="auto"/>
              <w:bottom w:val="single" w:sz="4" w:space="0" w:color="auto"/>
              <w:right w:val="single" w:sz="4" w:space="0" w:color="auto"/>
            </w:tcBorders>
          </w:tcPr>
          <w:p w:rsidR="0038038F" w:rsidRPr="00826A0D" w:rsidRDefault="0038038F" w:rsidP="00956010">
            <w:pPr>
              <w:rPr>
                <w:rFonts w:ascii="Arial Narrow" w:hAnsi="Arial Narrow" w:cs="Arial"/>
                <w:sz w:val="20"/>
                <w:szCs w:val="20"/>
              </w:rPr>
            </w:pPr>
            <w:r w:rsidRPr="00826A0D">
              <w:rPr>
                <w:rFonts w:ascii="Arial Narrow" w:hAnsi="Arial Narrow" w:cs="Arial"/>
                <w:sz w:val="20"/>
                <w:szCs w:val="20"/>
              </w:rPr>
              <w:t>GENERAL – General Schedule (Code GE)</w:t>
            </w:r>
          </w:p>
        </w:tc>
      </w:tr>
      <w:tr w:rsidR="0038038F" w:rsidRPr="00826A0D" w:rsidTr="00956010">
        <w:trPr>
          <w:cantSplit/>
          <w:trHeight w:val="360"/>
        </w:trPr>
        <w:tc>
          <w:tcPr>
            <w:tcW w:w="1538" w:type="pct"/>
            <w:tcBorders>
              <w:top w:val="single" w:sz="4" w:space="0" w:color="auto"/>
              <w:left w:val="single" w:sz="4" w:space="0" w:color="auto"/>
              <w:bottom w:val="single" w:sz="4" w:space="0" w:color="auto"/>
              <w:right w:val="single" w:sz="4" w:space="0" w:color="auto"/>
            </w:tcBorders>
          </w:tcPr>
          <w:p w:rsidR="0038038F" w:rsidRPr="00826A0D" w:rsidRDefault="0038038F" w:rsidP="00956010">
            <w:pPr>
              <w:jc w:val="both"/>
              <w:rPr>
                <w:rFonts w:ascii="Arial Narrow" w:hAnsi="Arial Narrow" w:cs="Arial"/>
                <w:b/>
                <w:sz w:val="20"/>
                <w:szCs w:val="20"/>
              </w:rPr>
            </w:pPr>
            <w:r w:rsidRPr="00826A0D">
              <w:rPr>
                <w:rFonts w:ascii="Arial Narrow" w:hAnsi="Arial Narrow" w:cs="Arial"/>
                <w:b/>
                <w:sz w:val="20"/>
                <w:szCs w:val="20"/>
              </w:rPr>
              <w:t>Prescriber type:</w:t>
            </w:r>
          </w:p>
          <w:p w:rsidR="0038038F" w:rsidRPr="00826A0D" w:rsidRDefault="0038038F" w:rsidP="00956010">
            <w:pPr>
              <w:jc w:val="both"/>
              <w:rPr>
                <w:rFonts w:ascii="Arial Narrow" w:hAnsi="Arial Narrow" w:cs="Arial"/>
                <w:b/>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38038F" w:rsidRPr="00826A0D" w:rsidRDefault="0038038F" w:rsidP="00956010">
            <w:pPr>
              <w:rPr>
                <w:rFonts w:ascii="Arial Narrow" w:hAnsi="Arial Narrow" w:cs="Arial"/>
                <w:sz w:val="20"/>
                <w:szCs w:val="20"/>
              </w:rPr>
            </w:pPr>
            <w:r w:rsidRPr="00E6086D">
              <w:rPr>
                <w:rFonts w:ascii="Arial Narrow" w:hAnsi="Arial Narrow" w:cs="Arial"/>
                <w:sz w:val="20"/>
                <w:szCs w:val="20"/>
              </w:rPr>
              <w:fldChar w:fldCharType="begin">
                <w:ffData>
                  <w:name w:val="Check1"/>
                  <w:enabled/>
                  <w:calcOnExit w:val="0"/>
                  <w:checkBox>
                    <w:sizeAuto/>
                    <w:default w:val="0"/>
                  </w:checkBox>
                </w:ffData>
              </w:fldChar>
            </w:r>
            <w:r w:rsidRPr="00826A0D">
              <w:rPr>
                <w:rFonts w:ascii="Arial Narrow" w:hAnsi="Arial Narrow" w:cs="Arial"/>
                <w:sz w:val="20"/>
                <w:szCs w:val="20"/>
              </w:rPr>
              <w:instrText xml:space="preserve"> FORMCHECKBOX </w:instrText>
            </w:r>
            <w:r w:rsidR="00AC280A">
              <w:rPr>
                <w:rFonts w:ascii="Arial Narrow" w:hAnsi="Arial Narrow" w:cs="Arial"/>
                <w:sz w:val="20"/>
                <w:szCs w:val="20"/>
              </w:rPr>
            </w:r>
            <w:r w:rsidR="00AC280A">
              <w:rPr>
                <w:rFonts w:ascii="Arial Narrow" w:hAnsi="Arial Narrow" w:cs="Arial"/>
                <w:sz w:val="20"/>
                <w:szCs w:val="20"/>
              </w:rPr>
              <w:fldChar w:fldCharType="separate"/>
            </w:r>
            <w:r w:rsidRPr="00E6086D">
              <w:rPr>
                <w:rFonts w:ascii="Arial Narrow" w:hAnsi="Arial Narrow" w:cs="Arial"/>
                <w:sz w:val="20"/>
                <w:szCs w:val="20"/>
              </w:rPr>
              <w:fldChar w:fldCharType="end"/>
            </w:r>
            <w:r w:rsidRPr="00826A0D">
              <w:rPr>
                <w:rFonts w:ascii="Arial Narrow" w:hAnsi="Arial Narrow" w:cs="Arial"/>
                <w:sz w:val="20"/>
                <w:szCs w:val="20"/>
              </w:rPr>
              <w:t xml:space="preserve">Dental  </w:t>
            </w:r>
            <w:r w:rsidRPr="00E6086D">
              <w:rPr>
                <w:rFonts w:ascii="Arial Narrow" w:hAnsi="Arial Narrow" w:cs="Arial"/>
                <w:sz w:val="20"/>
                <w:szCs w:val="20"/>
              </w:rPr>
              <w:fldChar w:fldCharType="begin">
                <w:ffData>
                  <w:name w:val=""/>
                  <w:enabled/>
                  <w:calcOnExit w:val="0"/>
                  <w:checkBox>
                    <w:sizeAuto/>
                    <w:default w:val="1"/>
                  </w:checkBox>
                </w:ffData>
              </w:fldChar>
            </w:r>
            <w:r w:rsidRPr="00826A0D">
              <w:rPr>
                <w:rFonts w:ascii="Arial Narrow" w:hAnsi="Arial Narrow" w:cs="Arial"/>
                <w:sz w:val="20"/>
                <w:szCs w:val="20"/>
              </w:rPr>
              <w:instrText xml:space="preserve"> FORMCHECKBOX </w:instrText>
            </w:r>
            <w:r w:rsidR="00AC280A">
              <w:rPr>
                <w:rFonts w:ascii="Arial Narrow" w:hAnsi="Arial Narrow" w:cs="Arial"/>
                <w:sz w:val="20"/>
                <w:szCs w:val="20"/>
              </w:rPr>
            </w:r>
            <w:r w:rsidR="00AC280A">
              <w:rPr>
                <w:rFonts w:ascii="Arial Narrow" w:hAnsi="Arial Narrow" w:cs="Arial"/>
                <w:sz w:val="20"/>
                <w:szCs w:val="20"/>
              </w:rPr>
              <w:fldChar w:fldCharType="separate"/>
            </w:r>
            <w:r w:rsidRPr="00E6086D">
              <w:rPr>
                <w:rFonts w:ascii="Arial Narrow" w:hAnsi="Arial Narrow" w:cs="Arial"/>
                <w:sz w:val="20"/>
                <w:szCs w:val="20"/>
              </w:rPr>
              <w:fldChar w:fldCharType="end"/>
            </w:r>
            <w:r w:rsidRPr="00826A0D">
              <w:rPr>
                <w:rFonts w:ascii="Arial Narrow" w:hAnsi="Arial Narrow" w:cs="Arial"/>
                <w:sz w:val="20"/>
                <w:szCs w:val="20"/>
              </w:rPr>
              <w:t xml:space="preserve">Medical Practitioners  </w:t>
            </w:r>
            <w:r w:rsidRPr="00E6086D">
              <w:rPr>
                <w:rFonts w:ascii="Arial Narrow" w:hAnsi="Arial Narrow" w:cs="Arial"/>
                <w:sz w:val="20"/>
                <w:szCs w:val="20"/>
              </w:rPr>
              <w:fldChar w:fldCharType="begin">
                <w:ffData>
                  <w:name w:val="Check3"/>
                  <w:enabled/>
                  <w:calcOnExit w:val="0"/>
                  <w:checkBox>
                    <w:sizeAuto/>
                    <w:default w:val="1"/>
                  </w:checkBox>
                </w:ffData>
              </w:fldChar>
            </w:r>
            <w:r w:rsidRPr="00826A0D">
              <w:rPr>
                <w:rFonts w:ascii="Arial Narrow" w:hAnsi="Arial Narrow" w:cs="Arial"/>
                <w:sz w:val="20"/>
                <w:szCs w:val="20"/>
              </w:rPr>
              <w:instrText xml:space="preserve"> FORMCHECKBOX </w:instrText>
            </w:r>
            <w:r w:rsidR="00AC280A">
              <w:rPr>
                <w:rFonts w:ascii="Arial Narrow" w:hAnsi="Arial Narrow" w:cs="Arial"/>
                <w:sz w:val="20"/>
                <w:szCs w:val="20"/>
              </w:rPr>
            </w:r>
            <w:r w:rsidR="00AC280A">
              <w:rPr>
                <w:rFonts w:ascii="Arial Narrow" w:hAnsi="Arial Narrow" w:cs="Arial"/>
                <w:sz w:val="20"/>
                <w:szCs w:val="20"/>
              </w:rPr>
              <w:fldChar w:fldCharType="separate"/>
            </w:r>
            <w:r w:rsidRPr="00E6086D">
              <w:rPr>
                <w:rFonts w:ascii="Arial Narrow" w:hAnsi="Arial Narrow" w:cs="Arial"/>
                <w:sz w:val="20"/>
                <w:szCs w:val="20"/>
              </w:rPr>
              <w:fldChar w:fldCharType="end"/>
            </w:r>
            <w:r w:rsidRPr="00826A0D">
              <w:rPr>
                <w:rFonts w:ascii="Arial Narrow" w:hAnsi="Arial Narrow" w:cs="Arial"/>
                <w:sz w:val="20"/>
                <w:szCs w:val="20"/>
              </w:rPr>
              <w:t xml:space="preserve">Nurse practitioners  </w:t>
            </w:r>
            <w:r w:rsidRPr="00E6086D">
              <w:rPr>
                <w:rFonts w:ascii="Arial Narrow" w:hAnsi="Arial Narrow" w:cs="Arial"/>
                <w:sz w:val="20"/>
                <w:szCs w:val="20"/>
              </w:rPr>
              <w:fldChar w:fldCharType="begin">
                <w:ffData>
                  <w:name w:val=""/>
                  <w:enabled/>
                  <w:calcOnExit w:val="0"/>
                  <w:checkBox>
                    <w:sizeAuto/>
                    <w:default w:val="0"/>
                  </w:checkBox>
                </w:ffData>
              </w:fldChar>
            </w:r>
            <w:r w:rsidRPr="00826A0D">
              <w:rPr>
                <w:rFonts w:ascii="Arial Narrow" w:hAnsi="Arial Narrow" w:cs="Arial"/>
                <w:sz w:val="20"/>
                <w:szCs w:val="20"/>
              </w:rPr>
              <w:instrText xml:space="preserve"> FORMCHECKBOX </w:instrText>
            </w:r>
            <w:r w:rsidR="00AC280A">
              <w:rPr>
                <w:rFonts w:ascii="Arial Narrow" w:hAnsi="Arial Narrow" w:cs="Arial"/>
                <w:sz w:val="20"/>
                <w:szCs w:val="20"/>
              </w:rPr>
            </w:r>
            <w:r w:rsidR="00AC280A">
              <w:rPr>
                <w:rFonts w:ascii="Arial Narrow" w:hAnsi="Arial Narrow" w:cs="Arial"/>
                <w:sz w:val="20"/>
                <w:szCs w:val="20"/>
              </w:rPr>
              <w:fldChar w:fldCharType="separate"/>
            </w:r>
            <w:r w:rsidRPr="00E6086D">
              <w:rPr>
                <w:rFonts w:ascii="Arial Narrow" w:hAnsi="Arial Narrow" w:cs="Arial"/>
                <w:sz w:val="20"/>
                <w:szCs w:val="20"/>
              </w:rPr>
              <w:fldChar w:fldCharType="end"/>
            </w:r>
            <w:r w:rsidRPr="00826A0D">
              <w:rPr>
                <w:rFonts w:ascii="Arial Narrow" w:hAnsi="Arial Narrow" w:cs="Arial"/>
                <w:sz w:val="20"/>
                <w:szCs w:val="20"/>
              </w:rPr>
              <w:t>Optometrists</w:t>
            </w:r>
          </w:p>
          <w:p w:rsidR="0038038F" w:rsidRPr="00826A0D" w:rsidRDefault="0038038F" w:rsidP="00956010">
            <w:pPr>
              <w:rPr>
                <w:rFonts w:ascii="Arial Narrow" w:hAnsi="Arial Narrow" w:cs="Arial"/>
                <w:sz w:val="20"/>
                <w:szCs w:val="20"/>
              </w:rPr>
            </w:pPr>
            <w:r w:rsidRPr="00E6086D">
              <w:rPr>
                <w:rFonts w:ascii="Arial Narrow" w:hAnsi="Arial Narrow" w:cs="Arial"/>
                <w:sz w:val="20"/>
                <w:szCs w:val="20"/>
              </w:rPr>
              <w:fldChar w:fldCharType="begin">
                <w:ffData>
                  <w:name w:val="Check5"/>
                  <w:enabled/>
                  <w:calcOnExit w:val="0"/>
                  <w:checkBox>
                    <w:sizeAuto/>
                    <w:default w:val="0"/>
                  </w:checkBox>
                </w:ffData>
              </w:fldChar>
            </w:r>
            <w:r w:rsidRPr="00826A0D">
              <w:rPr>
                <w:rFonts w:ascii="Arial Narrow" w:hAnsi="Arial Narrow" w:cs="Arial"/>
                <w:sz w:val="20"/>
                <w:szCs w:val="20"/>
              </w:rPr>
              <w:instrText xml:space="preserve"> FORMCHECKBOX </w:instrText>
            </w:r>
            <w:r w:rsidR="00AC280A">
              <w:rPr>
                <w:rFonts w:ascii="Arial Narrow" w:hAnsi="Arial Narrow" w:cs="Arial"/>
                <w:sz w:val="20"/>
                <w:szCs w:val="20"/>
              </w:rPr>
            </w:r>
            <w:r w:rsidR="00AC280A">
              <w:rPr>
                <w:rFonts w:ascii="Arial Narrow" w:hAnsi="Arial Narrow" w:cs="Arial"/>
                <w:sz w:val="20"/>
                <w:szCs w:val="20"/>
              </w:rPr>
              <w:fldChar w:fldCharType="separate"/>
            </w:r>
            <w:r w:rsidRPr="00E6086D">
              <w:rPr>
                <w:rFonts w:ascii="Arial Narrow" w:hAnsi="Arial Narrow" w:cs="Arial"/>
                <w:sz w:val="20"/>
                <w:szCs w:val="20"/>
              </w:rPr>
              <w:fldChar w:fldCharType="end"/>
            </w:r>
            <w:r w:rsidRPr="00826A0D">
              <w:rPr>
                <w:rFonts w:ascii="Arial Narrow" w:hAnsi="Arial Narrow" w:cs="Arial"/>
                <w:sz w:val="20"/>
                <w:szCs w:val="20"/>
              </w:rPr>
              <w:t>Midwives</w:t>
            </w:r>
          </w:p>
        </w:tc>
      </w:tr>
      <w:tr w:rsidR="0038038F" w:rsidRPr="00826A0D" w:rsidTr="00956010">
        <w:trPr>
          <w:cantSplit/>
          <w:trHeight w:val="360"/>
        </w:trPr>
        <w:tc>
          <w:tcPr>
            <w:tcW w:w="1538" w:type="pct"/>
            <w:tcBorders>
              <w:top w:val="single" w:sz="4" w:space="0" w:color="auto"/>
              <w:left w:val="single" w:sz="4" w:space="0" w:color="auto"/>
              <w:bottom w:val="single" w:sz="4" w:space="0" w:color="auto"/>
              <w:right w:val="single" w:sz="4" w:space="0" w:color="auto"/>
            </w:tcBorders>
          </w:tcPr>
          <w:p w:rsidR="0038038F" w:rsidRPr="00826A0D" w:rsidRDefault="0038038F" w:rsidP="00956010">
            <w:pPr>
              <w:jc w:val="both"/>
              <w:rPr>
                <w:rFonts w:ascii="Arial Narrow" w:hAnsi="Arial Narrow" w:cs="Arial"/>
                <w:b/>
                <w:sz w:val="20"/>
                <w:szCs w:val="20"/>
              </w:rPr>
            </w:pPr>
            <w:r w:rsidRPr="00826A0D">
              <w:rPr>
                <w:rFonts w:ascii="Arial Narrow" w:hAnsi="Arial Narrow" w:cs="Arial"/>
                <w:b/>
                <w:sz w:val="20"/>
                <w:szCs w:val="20"/>
              </w:rPr>
              <w:t>Administrative Advice</w:t>
            </w:r>
          </w:p>
        </w:tc>
        <w:tc>
          <w:tcPr>
            <w:tcW w:w="3462" w:type="pct"/>
            <w:gridSpan w:val="6"/>
            <w:tcBorders>
              <w:top w:val="single" w:sz="4" w:space="0" w:color="auto"/>
              <w:left w:val="single" w:sz="4" w:space="0" w:color="auto"/>
              <w:bottom w:val="single" w:sz="4" w:space="0" w:color="auto"/>
              <w:right w:val="single" w:sz="4" w:space="0" w:color="auto"/>
            </w:tcBorders>
          </w:tcPr>
          <w:p w:rsidR="0038038F" w:rsidRPr="00826A0D" w:rsidRDefault="0038038F" w:rsidP="00956010">
            <w:pPr>
              <w:rPr>
                <w:rFonts w:ascii="Arial Narrow" w:hAnsi="Arial Narrow" w:cs="Arial"/>
                <w:sz w:val="20"/>
                <w:szCs w:val="20"/>
              </w:rPr>
            </w:pPr>
            <w:r w:rsidRPr="00826A0D">
              <w:rPr>
                <w:rFonts w:ascii="Arial Narrow" w:hAnsi="Arial Narrow" w:cs="Arial"/>
                <w:sz w:val="20"/>
                <w:szCs w:val="20"/>
              </w:rPr>
              <w:t>Special Pricing Arrangements apply.</w:t>
            </w:r>
          </w:p>
        </w:tc>
      </w:tr>
    </w:tbl>
    <w:p w:rsidR="0038038F" w:rsidRPr="00826A0D" w:rsidRDefault="0038038F" w:rsidP="0038038F">
      <w:pPr>
        <w:pStyle w:val="3Bodytext"/>
        <w:numPr>
          <w:ilvl w:val="0"/>
          <w:numId w:val="0"/>
        </w:numPr>
        <w:rPr>
          <w:snapToGrid w:val="0"/>
        </w:rPr>
      </w:pPr>
    </w:p>
    <w:p w:rsidR="0038038F" w:rsidRDefault="0038038F" w:rsidP="0038038F"/>
    <w:p w:rsidR="007317C4" w:rsidRPr="00C07617" w:rsidRDefault="007317C4" w:rsidP="007317C4">
      <w:pPr>
        <w:pStyle w:val="2Sections"/>
        <w:keepNext/>
        <w:numPr>
          <w:ilvl w:val="0"/>
          <w:numId w:val="5"/>
        </w:numPr>
        <w:rPr>
          <w:b w:val="0"/>
        </w:rPr>
      </w:pPr>
      <w:r w:rsidRPr="00C07617">
        <w:lastRenderedPageBreak/>
        <w:t>Context for Decision</w:t>
      </w:r>
    </w:p>
    <w:p w:rsidR="007317C4" w:rsidRPr="00C07617" w:rsidRDefault="007317C4" w:rsidP="007317C4">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317C4" w:rsidRDefault="007317C4" w:rsidP="007317C4">
      <w:pPr>
        <w:ind w:left="426"/>
        <w:jc w:val="both"/>
        <w:rPr>
          <w:rFonts w:ascii="Arial" w:hAnsi="Arial" w:cs="Arial"/>
          <w:sz w:val="22"/>
        </w:rPr>
      </w:pPr>
    </w:p>
    <w:p w:rsidR="007317C4" w:rsidRPr="00C07617" w:rsidRDefault="007317C4" w:rsidP="007317C4">
      <w:pPr>
        <w:pStyle w:val="2Sections"/>
        <w:keepNext/>
        <w:numPr>
          <w:ilvl w:val="0"/>
          <w:numId w:val="5"/>
        </w:numPr>
        <w:rPr>
          <w:b w:val="0"/>
        </w:rPr>
      </w:pPr>
      <w:r>
        <w:t>Sponsor’s Comment</w:t>
      </w:r>
    </w:p>
    <w:p w:rsidR="007317C4" w:rsidRPr="00C07617" w:rsidRDefault="007317C4" w:rsidP="007317C4">
      <w:pPr>
        <w:spacing w:after="120"/>
        <w:jc w:val="both"/>
        <w:rPr>
          <w:rFonts w:asciiTheme="minorHAnsi" w:hAnsiTheme="minorHAnsi" w:cs="Arial"/>
          <w:bCs/>
        </w:rPr>
      </w:pPr>
      <w:r w:rsidRPr="00C07617">
        <w:rPr>
          <w:rFonts w:asciiTheme="minorHAnsi" w:hAnsiTheme="minorHAnsi" w:cs="Arial"/>
          <w:bCs/>
        </w:rPr>
        <w:t>The sponsor had no comment.</w:t>
      </w:r>
    </w:p>
    <w:p w:rsidR="00997D1C" w:rsidRDefault="00997D1C">
      <w:pPr>
        <w:jc w:val="both"/>
        <w:rPr>
          <w:rFonts w:asciiTheme="minorHAnsi" w:hAnsiTheme="minorHAnsi" w:cs="Arial"/>
          <w:bCs/>
          <w:snapToGrid w:val="0"/>
        </w:rPr>
      </w:pPr>
    </w:p>
    <w:sectPr w:rsidR="00997D1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4A9" w:rsidRDefault="00CE64A9">
      <w:r>
        <w:separator/>
      </w:r>
    </w:p>
    <w:p w:rsidR="00CE64A9" w:rsidRDefault="00CE64A9"/>
  </w:endnote>
  <w:endnote w:type="continuationSeparator" w:id="0">
    <w:p w:rsidR="00CE64A9" w:rsidRDefault="00CE64A9">
      <w:r>
        <w:continuationSeparator/>
      </w:r>
    </w:p>
    <w:p w:rsidR="00CE64A9" w:rsidRDefault="00CE6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97D1C">
      <w:trPr>
        <w:trHeight w:val="151"/>
      </w:trPr>
      <w:tc>
        <w:tcPr>
          <w:tcW w:w="2250" w:type="pct"/>
          <w:tcBorders>
            <w:top w:val="nil"/>
            <w:left w:val="nil"/>
            <w:bottom w:val="single" w:sz="4" w:space="0" w:color="4F81BD"/>
            <w:right w:val="nil"/>
          </w:tcBorders>
        </w:tcPr>
        <w:p w:rsidR="00997D1C" w:rsidRDefault="00997D1C">
          <w:pPr>
            <w:pStyle w:val="Header"/>
            <w:spacing w:line="276" w:lineRule="auto"/>
            <w:rPr>
              <w:rFonts w:ascii="Calibri" w:eastAsia="MS Gothic" w:hAnsi="Calibri"/>
              <w:b/>
              <w:bCs/>
              <w:color w:val="4F81BD"/>
            </w:rPr>
          </w:pPr>
        </w:p>
      </w:tc>
      <w:tc>
        <w:tcPr>
          <w:tcW w:w="500" w:type="pct"/>
          <w:vMerge w:val="restart"/>
          <w:noWrap/>
          <w:vAlign w:val="center"/>
          <w:hideMark/>
        </w:tcPr>
        <w:p w:rsidR="00997D1C" w:rsidRDefault="00B67CB3">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997D1C" w:rsidRDefault="00997D1C">
          <w:pPr>
            <w:pStyle w:val="Header"/>
            <w:spacing w:line="276" w:lineRule="auto"/>
            <w:rPr>
              <w:rFonts w:ascii="Calibri" w:eastAsia="MS Gothic" w:hAnsi="Calibri"/>
              <w:b/>
              <w:bCs/>
              <w:color w:val="4F81BD"/>
            </w:rPr>
          </w:pPr>
        </w:p>
      </w:tc>
    </w:tr>
    <w:tr w:rsidR="00997D1C">
      <w:trPr>
        <w:trHeight w:val="150"/>
      </w:trPr>
      <w:tc>
        <w:tcPr>
          <w:tcW w:w="2250" w:type="pct"/>
          <w:tcBorders>
            <w:top w:val="single" w:sz="4" w:space="0" w:color="4F81BD"/>
            <w:left w:val="nil"/>
            <w:bottom w:val="nil"/>
            <w:right w:val="nil"/>
          </w:tcBorders>
        </w:tcPr>
        <w:p w:rsidR="00997D1C" w:rsidRDefault="00997D1C">
          <w:pPr>
            <w:pStyle w:val="Header"/>
            <w:spacing w:line="276" w:lineRule="auto"/>
            <w:rPr>
              <w:rFonts w:ascii="Calibri" w:eastAsia="MS Gothic" w:hAnsi="Calibri"/>
              <w:b/>
              <w:bCs/>
              <w:color w:val="4F81BD"/>
            </w:rPr>
          </w:pPr>
        </w:p>
      </w:tc>
      <w:tc>
        <w:tcPr>
          <w:tcW w:w="0" w:type="auto"/>
          <w:vMerge/>
          <w:vAlign w:val="center"/>
          <w:hideMark/>
        </w:tcPr>
        <w:p w:rsidR="00997D1C" w:rsidRDefault="00997D1C">
          <w:pPr>
            <w:rPr>
              <w:rFonts w:ascii="Calibri" w:hAnsi="Calibri"/>
              <w:color w:val="365F91"/>
              <w:sz w:val="22"/>
              <w:szCs w:val="22"/>
            </w:rPr>
          </w:pPr>
        </w:p>
      </w:tc>
      <w:tc>
        <w:tcPr>
          <w:tcW w:w="2250" w:type="pct"/>
          <w:tcBorders>
            <w:top w:val="single" w:sz="4" w:space="0" w:color="4F81BD"/>
            <w:left w:val="nil"/>
            <w:bottom w:val="nil"/>
            <w:right w:val="nil"/>
          </w:tcBorders>
        </w:tcPr>
        <w:p w:rsidR="00997D1C" w:rsidRDefault="00997D1C">
          <w:pPr>
            <w:pStyle w:val="Header"/>
            <w:spacing w:line="276" w:lineRule="auto"/>
            <w:rPr>
              <w:rFonts w:ascii="Calibri" w:eastAsia="MS Gothic" w:hAnsi="Calibri"/>
              <w:b/>
              <w:bCs/>
              <w:color w:val="4F81BD"/>
            </w:rPr>
          </w:pPr>
        </w:p>
      </w:tc>
    </w:tr>
  </w:tbl>
  <w:p w:rsidR="00997D1C" w:rsidRDefault="00B67C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7D1C" w:rsidRDefault="00997D1C">
    <w:pPr>
      <w:pStyle w:val="Footer"/>
    </w:pPr>
  </w:p>
  <w:p w:rsidR="00997D1C" w:rsidRDefault="00997D1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D1C" w:rsidRDefault="00997D1C">
    <w:pPr>
      <w:pStyle w:val="Footer"/>
      <w:jc w:val="center"/>
      <w:rPr>
        <w:rFonts w:ascii="Arial" w:hAnsi="Arial" w:cs="Arial"/>
        <w:b/>
        <w:sz w:val="22"/>
      </w:rPr>
    </w:pPr>
  </w:p>
  <w:p w:rsidR="00997D1C" w:rsidRDefault="00AC280A">
    <w:pPr>
      <w:pStyle w:val="Footer"/>
      <w:jc w:val="center"/>
      <w:rPr>
        <w:rFonts w:ascii="Arial" w:hAnsi="Arial" w:cs="Arial"/>
        <w:b/>
        <w:sz w:val="22"/>
      </w:rPr>
    </w:pPr>
    <w:sdt>
      <w:sdtPr>
        <w:rPr>
          <w:rFonts w:ascii="Arial" w:hAnsi="Arial" w:cs="Arial"/>
          <w:b/>
          <w:sz w:val="22"/>
        </w:rPr>
        <w:id w:val="-41830195"/>
        <w:docPartObj>
          <w:docPartGallery w:val="Page Numbers (Bottom of Page)"/>
          <w:docPartUnique/>
        </w:docPartObj>
      </w:sdtPr>
      <w:sdtEndPr>
        <w:rPr>
          <w:noProof/>
        </w:rPr>
      </w:sdtEndPr>
      <w:sdtContent>
        <w:r w:rsidR="00B67CB3">
          <w:rPr>
            <w:rFonts w:ascii="Arial" w:hAnsi="Arial" w:cs="Arial"/>
            <w:b/>
            <w:sz w:val="22"/>
          </w:rPr>
          <w:fldChar w:fldCharType="begin"/>
        </w:r>
        <w:r w:rsidR="00B67CB3">
          <w:rPr>
            <w:rFonts w:ascii="Arial" w:hAnsi="Arial" w:cs="Arial"/>
            <w:b/>
            <w:sz w:val="22"/>
          </w:rPr>
          <w:instrText xml:space="preserve"> PAGE   \* MERGEFORMAT </w:instrText>
        </w:r>
        <w:r w:rsidR="00B67CB3">
          <w:rPr>
            <w:rFonts w:ascii="Arial" w:hAnsi="Arial" w:cs="Arial"/>
            <w:b/>
            <w:sz w:val="22"/>
          </w:rPr>
          <w:fldChar w:fldCharType="separate"/>
        </w:r>
        <w:r>
          <w:rPr>
            <w:rFonts w:ascii="Arial" w:hAnsi="Arial" w:cs="Arial"/>
            <w:b/>
            <w:noProof/>
            <w:sz w:val="22"/>
          </w:rPr>
          <w:t>1</w:t>
        </w:r>
        <w:r w:rsidR="00B67CB3">
          <w:rPr>
            <w:rFonts w:ascii="Arial" w:hAnsi="Arial" w:cs="Arial"/>
            <w:b/>
            <w:noProof/>
            <w:sz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997D1C">
      <w:trPr>
        <w:trHeight w:val="151"/>
      </w:trPr>
      <w:tc>
        <w:tcPr>
          <w:tcW w:w="2250" w:type="pct"/>
          <w:tcBorders>
            <w:top w:val="nil"/>
            <w:left w:val="nil"/>
            <w:bottom w:val="single" w:sz="4" w:space="0" w:color="4F81BD"/>
            <w:right w:val="nil"/>
          </w:tcBorders>
        </w:tcPr>
        <w:p w:rsidR="00997D1C" w:rsidRDefault="00997D1C">
          <w:pPr>
            <w:pStyle w:val="Header"/>
            <w:spacing w:line="276" w:lineRule="auto"/>
            <w:rPr>
              <w:rFonts w:ascii="Calibri" w:eastAsia="MS Gothic" w:hAnsi="Calibri"/>
              <w:b/>
              <w:bCs/>
              <w:color w:val="4F81BD"/>
            </w:rPr>
          </w:pPr>
        </w:p>
      </w:tc>
      <w:tc>
        <w:tcPr>
          <w:tcW w:w="500" w:type="pct"/>
          <w:vMerge w:val="restart"/>
          <w:noWrap/>
          <w:vAlign w:val="center"/>
          <w:hideMark/>
        </w:tcPr>
        <w:p w:rsidR="00997D1C" w:rsidRDefault="00B67CB3">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997D1C" w:rsidRDefault="00997D1C">
          <w:pPr>
            <w:pStyle w:val="Header"/>
            <w:spacing w:line="276" w:lineRule="auto"/>
            <w:rPr>
              <w:rFonts w:ascii="Calibri" w:eastAsia="MS Gothic" w:hAnsi="Calibri"/>
              <w:b/>
              <w:bCs/>
              <w:color w:val="4F81BD"/>
            </w:rPr>
          </w:pPr>
        </w:p>
      </w:tc>
    </w:tr>
    <w:tr w:rsidR="00997D1C">
      <w:trPr>
        <w:trHeight w:val="150"/>
      </w:trPr>
      <w:tc>
        <w:tcPr>
          <w:tcW w:w="2250" w:type="pct"/>
          <w:tcBorders>
            <w:top w:val="single" w:sz="4" w:space="0" w:color="4F81BD"/>
            <w:left w:val="nil"/>
            <w:bottom w:val="nil"/>
            <w:right w:val="nil"/>
          </w:tcBorders>
        </w:tcPr>
        <w:p w:rsidR="00997D1C" w:rsidRDefault="00997D1C">
          <w:pPr>
            <w:pStyle w:val="Header"/>
            <w:spacing w:line="276" w:lineRule="auto"/>
            <w:rPr>
              <w:rFonts w:ascii="Calibri" w:eastAsia="MS Gothic" w:hAnsi="Calibri"/>
              <w:b/>
              <w:bCs/>
              <w:color w:val="4F81BD"/>
            </w:rPr>
          </w:pPr>
        </w:p>
      </w:tc>
      <w:tc>
        <w:tcPr>
          <w:tcW w:w="0" w:type="auto"/>
          <w:vMerge/>
          <w:vAlign w:val="center"/>
          <w:hideMark/>
        </w:tcPr>
        <w:p w:rsidR="00997D1C" w:rsidRDefault="00997D1C">
          <w:pPr>
            <w:rPr>
              <w:rFonts w:ascii="Calibri" w:hAnsi="Calibri"/>
              <w:color w:val="365F91"/>
              <w:sz w:val="22"/>
              <w:szCs w:val="22"/>
            </w:rPr>
          </w:pPr>
        </w:p>
      </w:tc>
      <w:tc>
        <w:tcPr>
          <w:tcW w:w="2250" w:type="pct"/>
          <w:tcBorders>
            <w:top w:val="single" w:sz="4" w:space="0" w:color="4F81BD"/>
            <w:left w:val="nil"/>
            <w:bottom w:val="nil"/>
            <w:right w:val="nil"/>
          </w:tcBorders>
        </w:tcPr>
        <w:p w:rsidR="00997D1C" w:rsidRDefault="00997D1C">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97D1C">
      <w:trPr>
        <w:trHeight w:val="151"/>
      </w:trPr>
      <w:tc>
        <w:tcPr>
          <w:tcW w:w="2250" w:type="pct"/>
          <w:tcBorders>
            <w:top w:val="nil"/>
            <w:left w:val="nil"/>
            <w:bottom w:val="single" w:sz="4" w:space="0" w:color="4F81BD"/>
            <w:right w:val="nil"/>
          </w:tcBorders>
        </w:tcPr>
        <w:p w:rsidR="00997D1C" w:rsidRDefault="00997D1C">
          <w:pPr>
            <w:pStyle w:val="Header"/>
            <w:spacing w:line="276" w:lineRule="auto"/>
            <w:rPr>
              <w:rFonts w:ascii="Calibri" w:eastAsia="MS Gothic" w:hAnsi="Calibri"/>
              <w:b/>
              <w:bCs/>
              <w:color w:val="4F81BD"/>
            </w:rPr>
          </w:pPr>
        </w:p>
      </w:tc>
      <w:tc>
        <w:tcPr>
          <w:tcW w:w="500" w:type="pct"/>
          <w:vMerge w:val="restart"/>
          <w:noWrap/>
          <w:vAlign w:val="center"/>
          <w:hideMark/>
        </w:tcPr>
        <w:p w:rsidR="00997D1C" w:rsidRDefault="00B67CB3">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997D1C" w:rsidRDefault="00997D1C">
          <w:pPr>
            <w:pStyle w:val="Header"/>
            <w:spacing w:line="276" w:lineRule="auto"/>
            <w:rPr>
              <w:rFonts w:ascii="Calibri" w:eastAsia="MS Gothic" w:hAnsi="Calibri"/>
              <w:b/>
              <w:bCs/>
              <w:color w:val="4F81BD"/>
            </w:rPr>
          </w:pPr>
        </w:p>
      </w:tc>
    </w:tr>
    <w:tr w:rsidR="00997D1C">
      <w:trPr>
        <w:trHeight w:val="150"/>
      </w:trPr>
      <w:tc>
        <w:tcPr>
          <w:tcW w:w="2250" w:type="pct"/>
          <w:tcBorders>
            <w:top w:val="single" w:sz="4" w:space="0" w:color="4F81BD"/>
            <w:left w:val="nil"/>
            <w:bottom w:val="nil"/>
            <w:right w:val="nil"/>
          </w:tcBorders>
        </w:tcPr>
        <w:p w:rsidR="00997D1C" w:rsidRDefault="00997D1C">
          <w:pPr>
            <w:pStyle w:val="Header"/>
            <w:spacing w:line="276" w:lineRule="auto"/>
            <w:rPr>
              <w:rFonts w:ascii="Calibri" w:eastAsia="MS Gothic" w:hAnsi="Calibri"/>
              <w:b/>
              <w:bCs/>
              <w:color w:val="4F81BD"/>
            </w:rPr>
          </w:pPr>
        </w:p>
      </w:tc>
      <w:tc>
        <w:tcPr>
          <w:tcW w:w="0" w:type="auto"/>
          <w:vMerge/>
          <w:vAlign w:val="center"/>
          <w:hideMark/>
        </w:tcPr>
        <w:p w:rsidR="00997D1C" w:rsidRDefault="00997D1C">
          <w:pPr>
            <w:rPr>
              <w:rFonts w:ascii="Calibri" w:hAnsi="Calibri"/>
              <w:color w:val="365F91"/>
              <w:sz w:val="22"/>
              <w:szCs w:val="22"/>
            </w:rPr>
          </w:pPr>
        </w:p>
      </w:tc>
      <w:tc>
        <w:tcPr>
          <w:tcW w:w="2250" w:type="pct"/>
          <w:tcBorders>
            <w:top w:val="single" w:sz="4" w:space="0" w:color="4F81BD"/>
            <w:left w:val="nil"/>
            <w:bottom w:val="nil"/>
            <w:right w:val="nil"/>
          </w:tcBorders>
        </w:tcPr>
        <w:p w:rsidR="00997D1C" w:rsidRDefault="00997D1C">
          <w:pPr>
            <w:pStyle w:val="Header"/>
            <w:spacing w:line="276" w:lineRule="auto"/>
            <w:rPr>
              <w:rFonts w:ascii="Calibri" w:eastAsia="MS Gothic" w:hAnsi="Calibri"/>
              <w:b/>
              <w:bCs/>
              <w:color w:val="4F81BD"/>
            </w:rPr>
          </w:pPr>
        </w:p>
      </w:tc>
    </w:tr>
  </w:tbl>
  <w:p w:rsidR="00997D1C" w:rsidRDefault="00B67CB3">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rsidR="00997D1C" w:rsidRDefault="00B67CB3">
    <w:pPr>
      <w:pStyle w:val="Footer"/>
      <w:jc w:val="center"/>
      <w:rPr>
        <w:b/>
        <w:i/>
        <w:sz w:val="20"/>
        <w:szCs w:val="20"/>
      </w:rPr>
    </w:pPr>
    <w:r>
      <w:rPr>
        <w:b/>
        <w:i/>
        <w:sz w:val="20"/>
        <w:szCs w:val="20"/>
      </w:rPr>
      <w:t>Commercial-in-Confidence</w:t>
    </w:r>
  </w:p>
  <w:p w:rsidR="00997D1C" w:rsidRDefault="00997D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4A9" w:rsidRDefault="00CE64A9">
      <w:r>
        <w:separator/>
      </w:r>
    </w:p>
    <w:p w:rsidR="00CE64A9" w:rsidRDefault="00CE64A9"/>
  </w:footnote>
  <w:footnote w:type="continuationSeparator" w:id="0">
    <w:p w:rsidR="00CE64A9" w:rsidRDefault="00CE64A9">
      <w:r>
        <w:continuationSeparator/>
      </w:r>
    </w:p>
    <w:p w:rsidR="00CE64A9" w:rsidRDefault="00CE64A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97D1C">
      <w:trPr>
        <w:trHeight w:val="151"/>
      </w:trPr>
      <w:tc>
        <w:tcPr>
          <w:tcW w:w="2389" w:type="pct"/>
          <w:tcBorders>
            <w:top w:val="nil"/>
            <w:left w:val="nil"/>
            <w:bottom w:val="single" w:sz="4" w:space="0" w:color="4F81BD"/>
            <w:right w:val="nil"/>
          </w:tcBorders>
        </w:tcPr>
        <w:p w:rsidR="00997D1C" w:rsidRDefault="00997D1C">
          <w:pPr>
            <w:pStyle w:val="Header"/>
            <w:spacing w:line="276" w:lineRule="auto"/>
            <w:rPr>
              <w:rFonts w:ascii="Cambria" w:eastAsia="MS Gothic" w:hAnsi="Cambria"/>
              <w:b/>
              <w:bCs/>
              <w:color w:val="4F81BD"/>
            </w:rPr>
          </w:pPr>
        </w:p>
      </w:tc>
      <w:tc>
        <w:tcPr>
          <w:tcW w:w="333" w:type="pct"/>
          <w:vMerge w:val="restart"/>
          <w:noWrap/>
          <w:vAlign w:val="center"/>
          <w:hideMark/>
        </w:tcPr>
        <w:p w:rsidR="00997D1C" w:rsidRDefault="00B67CB3">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997D1C" w:rsidRDefault="00997D1C">
          <w:pPr>
            <w:pStyle w:val="Header"/>
            <w:spacing w:line="276" w:lineRule="auto"/>
            <w:rPr>
              <w:rFonts w:ascii="Cambria" w:eastAsia="MS Gothic" w:hAnsi="Cambria"/>
              <w:b/>
              <w:bCs/>
              <w:color w:val="4F81BD"/>
            </w:rPr>
          </w:pPr>
        </w:p>
      </w:tc>
    </w:tr>
    <w:tr w:rsidR="00997D1C">
      <w:trPr>
        <w:trHeight w:val="150"/>
      </w:trPr>
      <w:tc>
        <w:tcPr>
          <w:tcW w:w="2389" w:type="pct"/>
          <w:tcBorders>
            <w:top w:val="single" w:sz="4" w:space="0" w:color="4F81BD"/>
            <w:left w:val="nil"/>
            <w:bottom w:val="nil"/>
            <w:right w:val="nil"/>
          </w:tcBorders>
        </w:tcPr>
        <w:p w:rsidR="00997D1C" w:rsidRDefault="00997D1C">
          <w:pPr>
            <w:pStyle w:val="Header"/>
            <w:spacing w:line="276" w:lineRule="auto"/>
            <w:rPr>
              <w:rFonts w:ascii="Cambria" w:eastAsia="MS Gothic" w:hAnsi="Cambria"/>
              <w:b/>
              <w:bCs/>
              <w:color w:val="4F81BD"/>
            </w:rPr>
          </w:pPr>
        </w:p>
      </w:tc>
      <w:tc>
        <w:tcPr>
          <w:tcW w:w="0" w:type="auto"/>
          <w:vMerge/>
          <w:vAlign w:val="center"/>
          <w:hideMark/>
        </w:tcPr>
        <w:p w:rsidR="00997D1C" w:rsidRDefault="00997D1C">
          <w:pPr>
            <w:rPr>
              <w:rFonts w:ascii="Cambria" w:hAnsi="Cambria"/>
              <w:color w:val="4F81BD"/>
              <w:sz w:val="22"/>
              <w:szCs w:val="22"/>
            </w:rPr>
          </w:pPr>
        </w:p>
      </w:tc>
      <w:tc>
        <w:tcPr>
          <w:tcW w:w="2278" w:type="pct"/>
          <w:tcBorders>
            <w:top w:val="single" w:sz="4" w:space="0" w:color="4F81BD"/>
            <w:left w:val="nil"/>
            <w:bottom w:val="nil"/>
            <w:right w:val="nil"/>
          </w:tcBorders>
        </w:tcPr>
        <w:p w:rsidR="00997D1C" w:rsidRDefault="00997D1C">
          <w:pPr>
            <w:pStyle w:val="Header"/>
            <w:spacing w:line="276" w:lineRule="auto"/>
            <w:rPr>
              <w:rFonts w:ascii="Cambria" w:eastAsia="MS Gothic" w:hAnsi="Cambria"/>
              <w:b/>
              <w:bCs/>
              <w:color w:val="4F81BD"/>
            </w:rPr>
          </w:pPr>
        </w:p>
      </w:tc>
    </w:tr>
  </w:tbl>
  <w:p w:rsidR="00997D1C" w:rsidRDefault="00997D1C">
    <w:pPr>
      <w:pStyle w:val="Header"/>
    </w:pPr>
  </w:p>
  <w:p w:rsidR="00997D1C" w:rsidRDefault="00997D1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D1C" w:rsidRDefault="00B67CB3">
    <w:pPr>
      <w:pStyle w:val="MinorOVRHeader"/>
      <w:jc w:val="center"/>
      <w:rPr>
        <w:i/>
      </w:rPr>
    </w:pPr>
    <w:r>
      <w:rPr>
        <w:i/>
      </w:rPr>
      <w:t>Public Summary Document – July 2019 PBAC Meeting</w:t>
    </w:r>
    <w:r w:rsidR="0038038F">
      <w:rPr>
        <w:i/>
      </w:rPr>
      <w:t xml:space="preserve"> with August 2019 Meeting Addendum</w:t>
    </w:r>
  </w:p>
  <w:p w:rsidR="00997D1C" w:rsidRDefault="00997D1C">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4A" w:rsidRDefault="001B4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95F2C16"/>
    <w:multiLevelType w:val="hybridMultilevel"/>
    <w:tmpl w:val="1F6022A0"/>
    <w:lvl w:ilvl="0" w:tplc="6ABAD06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D86CB9"/>
    <w:multiLevelType w:val="hybridMultilevel"/>
    <w:tmpl w:val="77685CE0"/>
    <w:lvl w:ilvl="0" w:tplc="0C090001">
      <w:start w:val="1"/>
      <w:numFmt w:val="bullet"/>
      <w:lvlText w:val=""/>
      <w:lvlJc w:val="left"/>
      <w:pPr>
        <w:ind w:left="2220" w:hanging="360"/>
      </w:pPr>
      <w:rPr>
        <w:rFonts w:ascii="Symbol" w:hAnsi="Symbol"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E55AA"/>
    <w:multiLevelType w:val="hybridMultilevel"/>
    <w:tmpl w:val="5DA4C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0D12B7"/>
    <w:multiLevelType w:val="multilevel"/>
    <w:tmpl w:val="42EA899E"/>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1C04A5"/>
    <w:multiLevelType w:val="hybridMultilevel"/>
    <w:tmpl w:val="EC92654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810577"/>
    <w:multiLevelType w:val="hybridMultilevel"/>
    <w:tmpl w:val="CED09B5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17E2FA5"/>
    <w:multiLevelType w:val="hybridMultilevel"/>
    <w:tmpl w:val="EF92733E"/>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359FF"/>
    <w:multiLevelType w:val="hybridMultilevel"/>
    <w:tmpl w:val="C42092E6"/>
    <w:lvl w:ilvl="0" w:tplc="222424EA">
      <w:start w:val="1"/>
      <w:numFmt w:val="bullet"/>
      <w:lvlText w:val="–"/>
      <w:lvlJc w:val="left"/>
      <w:pPr>
        <w:tabs>
          <w:tab w:val="num" w:pos="720"/>
        </w:tabs>
        <w:ind w:left="720" w:hanging="360"/>
      </w:pPr>
      <w:rPr>
        <w:rFonts w:ascii="Arial" w:hAnsi="Arial" w:hint="default"/>
      </w:rPr>
    </w:lvl>
    <w:lvl w:ilvl="1" w:tplc="A5BCC4C2">
      <w:start w:val="1"/>
      <w:numFmt w:val="bullet"/>
      <w:lvlText w:val="–"/>
      <w:lvlJc w:val="left"/>
      <w:pPr>
        <w:tabs>
          <w:tab w:val="num" w:pos="1440"/>
        </w:tabs>
        <w:ind w:left="1440" w:hanging="360"/>
      </w:pPr>
      <w:rPr>
        <w:rFonts w:ascii="Arial" w:hAnsi="Arial" w:hint="default"/>
      </w:rPr>
    </w:lvl>
    <w:lvl w:ilvl="2" w:tplc="BE34590A" w:tentative="1">
      <w:start w:val="1"/>
      <w:numFmt w:val="bullet"/>
      <w:lvlText w:val="–"/>
      <w:lvlJc w:val="left"/>
      <w:pPr>
        <w:tabs>
          <w:tab w:val="num" w:pos="2160"/>
        </w:tabs>
        <w:ind w:left="2160" w:hanging="360"/>
      </w:pPr>
      <w:rPr>
        <w:rFonts w:ascii="Arial" w:hAnsi="Arial" w:hint="default"/>
      </w:rPr>
    </w:lvl>
    <w:lvl w:ilvl="3" w:tplc="3D1840DC" w:tentative="1">
      <w:start w:val="1"/>
      <w:numFmt w:val="bullet"/>
      <w:lvlText w:val="–"/>
      <w:lvlJc w:val="left"/>
      <w:pPr>
        <w:tabs>
          <w:tab w:val="num" w:pos="2880"/>
        </w:tabs>
        <w:ind w:left="2880" w:hanging="360"/>
      </w:pPr>
      <w:rPr>
        <w:rFonts w:ascii="Arial" w:hAnsi="Arial" w:hint="default"/>
      </w:rPr>
    </w:lvl>
    <w:lvl w:ilvl="4" w:tplc="CA62875E" w:tentative="1">
      <w:start w:val="1"/>
      <w:numFmt w:val="bullet"/>
      <w:lvlText w:val="–"/>
      <w:lvlJc w:val="left"/>
      <w:pPr>
        <w:tabs>
          <w:tab w:val="num" w:pos="3600"/>
        </w:tabs>
        <w:ind w:left="3600" w:hanging="360"/>
      </w:pPr>
      <w:rPr>
        <w:rFonts w:ascii="Arial" w:hAnsi="Arial" w:hint="default"/>
      </w:rPr>
    </w:lvl>
    <w:lvl w:ilvl="5" w:tplc="B46283C4" w:tentative="1">
      <w:start w:val="1"/>
      <w:numFmt w:val="bullet"/>
      <w:lvlText w:val="–"/>
      <w:lvlJc w:val="left"/>
      <w:pPr>
        <w:tabs>
          <w:tab w:val="num" w:pos="4320"/>
        </w:tabs>
        <w:ind w:left="4320" w:hanging="360"/>
      </w:pPr>
      <w:rPr>
        <w:rFonts w:ascii="Arial" w:hAnsi="Arial" w:hint="default"/>
      </w:rPr>
    </w:lvl>
    <w:lvl w:ilvl="6" w:tplc="89A0451C" w:tentative="1">
      <w:start w:val="1"/>
      <w:numFmt w:val="bullet"/>
      <w:lvlText w:val="–"/>
      <w:lvlJc w:val="left"/>
      <w:pPr>
        <w:tabs>
          <w:tab w:val="num" w:pos="5040"/>
        </w:tabs>
        <w:ind w:left="5040" w:hanging="360"/>
      </w:pPr>
      <w:rPr>
        <w:rFonts w:ascii="Arial" w:hAnsi="Arial" w:hint="default"/>
      </w:rPr>
    </w:lvl>
    <w:lvl w:ilvl="7" w:tplc="C9F434E6" w:tentative="1">
      <w:start w:val="1"/>
      <w:numFmt w:val="bullet"/>
      <w:lvlText w:val="–"/>
      <w:lvlJc w:val="left"/>
      <w:pPr>
        <w:tabs>
          <w:tab w:val="num" w:pos="5760"/>
        </w:tabs>
        <w:ind w:left="5760" w:hanging="360"/>
      </w:pPr>
      <w:rPr>
        <w:rFonts w:ascii="Arial" w:hAnsi="Arial" w:hint="default"/>
      </w:rPr>
    </w:lvl>
    <w:lvl w:ilvl="8" w:tplc="D63448F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9F6487"/>
    <w:multiLevelType w:val="hybridMultilevel"/>
    <w:tmpl w:val="C7521A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46D6777"/>
    <w:multiLevelType w:val="hybridMultilevel"/>
    <w:tmpl w:val="00B4747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7" w15:restartNumberingAfterBreak="0">
    <w:nsid w:val="784D033C"/>
    <w:multiLevelType w:val="multilevel"/>
    <w:tmpl w:val="1ED88B7A"/>
    <w:lvl w:ilvl="0">
      <w:start w:val="1"/>
      <w:numFmt w:val="decimal"/>
      <w:pStyle w:val="2Sections"/>
      <w:lvlText w:val="%1"/>
      <w:lvlJc w:val="left"/>
      <w:pPr>
        <w:ind w:left="720" w:hanging="720"/>
      </w:pPr>
      <w:rPr>
        <w:rFonts w:hint="default"/>
        <w:b/>
      </w:rPr>
    </w:lvl>
    <w:lvl w:ilvl="1">
      <w:start w:val="1"/>
      <w:numFmt w:val="decimal"/>
      <w:pStyle w:val="3Bodytext"/>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500591"/>
    <w:multiLevelType w:val="hybridMultilevel"/>
    <w:tmpl w:val="6E4485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A40E18"/>
    <w:multiLevelType w:val="hybridMultilevel"/>
    <w:tmpl w:val="79BEE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21"/>
  </w:num>
  <w:num w:numId="5">
    <w:abstractNumId w:val="27"/>
  </w:num>
  <w:num w:numId="6">
    <w:abstractNumId w:val="7"/>
  </w:num>
  <w:num w:numId="7">
    <w:abstractNumId w:val="14"/>
  </w:num>
  <w:num w:numId="8">
    <w:abstractNumId w:val="3"/>
  </w:num>
  <w:num w:numId="9">
    <w:abstractNumId w:val="13"/>
  </w:num>
  <w:num w:numId="10">
    <w:abstractNumId w:val="10"/>
  </w:num>
  <w:num w:numId="11">
    <w:abstractNumId w:val="9"/>
  </w:num>
  <w:num w:numId="12">
    <w:abstractNumId w:val="1"/>
  </w:num>
  <w:num w:numId="13">
    <w:abstractNumId w:val="0"/>
  </w:num>
  <w:num w:numId="14">
    <w:abstractNumId w:val="27"/>
  </w:num>
  <w:num w:numId="15">
    <w:abstractNumId w:val="27"/>
  </w:num>
  <w:num w:numId="16">
    <w:abstractNumId w:val="27"/>
  </w:num>
  <w:num w:numId="17">
    <w:abstractNumId w:val="25"/>
  </w:num>
  <w:num w:numId="18">
    <w:abstractNumId w:val="27"/>
  </w:num>
  <w:num w:numId="19">
    <w:abstractNumId w:val="19"/>
  </w:num>
  <w:num w:numId="20">
    <w:abstractNumId w:val="11"/>
  </w:num>
  <w:num w:numId="21">
    <w:abstractNumId w:val="27"/>
  </w:num>
  <w:num w:numId="22">
    <w:abstractNumId w:val="29"/>
  </w:num>
  <w:num w:numId="23">
    <w:abstractNumId w:val="28"/>
  </w:num>
  <w:num w:numId="24">
    <w:abstractNumId w:val="22"/>
  </w:num>
  <w:num w:numId="25">
    <w:abstractNumId w:val="26"/>
  </w:num>
  <w:num w:numId="26">
    <w:abstractNumId w:val="18"/>
  </w:num>
  <w:num w:numId="27">
    <w:abstractNumId w:val="27"/>
  </w:num>
  <w:num w:numId="28">
    <w:abstractNumId w:val="27"/>
  </w:num>
  <w:num w:numId="29">
    <w:abstractNumId w:val="12"/>
  </w:num>
  <w:num w:numId="30">
    <w:abstractNumId w:val="27"/>
  </w:num>
  <w:num w:numId="31">
    <w:abstractNumId w:val="15"/>
  </w:num>
  <w:num w:numId="32">
    <w:abstractNumId w:val="16"/>
  </w:num>
  <w:num w:numId="33">
    <w:abstractNumId w:val="4"/>
  </w:num>
  <w:num w:numId="34">
    <w:abstractNumId w:val="24"/>
  </w:num>
  <w:num w:numId="35">
    <w:abstractNumId w:val="23"/>
  </w:num>
  <w:num w:numId="36">
    <w:abstractNumId w:val="20"/>
  </w:num>
  <w:num w:numId="37">
    <w:abstractNumId w:val="27"/>
  </w:num>
  <w:num w:numId="38">
    <w:abstractNumId w:val="17"/>
  </w:num>
  <w:num w:numId="39">
    <w:abstractNumId w:val="5"/>
  </w:num>
  <w:num w:numId="40">
    <w:abstractNumId w:val="27"/>
  </w:num>
  <w:num w:numId="41">
    <w:abstractNumId w:val="27"/>
  </w:num>
  <w:num w:numId="42">
    <w:abstractNumId w:val="27"/>
  </w:num>
  <w:num w:numId="43">
    <w:abstractNumId w:val="27"/>
  </w:num>
  <w:num w:numId="44">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D1C"/>
    <w:rsid w:val="00055E94"/>
    <w:rsid w:val="00110A50"/>
    <w:rsid w:val="00122C83"/>
    <w:rsid w:val="001B4B4A"/>
    <w:rsid w:val="00264AA7"/>
    <w:rsid w:val="0038038F"/>
    <w:rsid w:val="005B2F3B"/>
    <w:rsid w:val="00652553"/>
    <w:rsid w:val="006A62A2"/>
    <w:rsid w:val="007317C4"/>
    <w:rsid w:val="00860103"/>
    <w:rsid w:val="00987E91"/>
    <w:rsid w:val="00997D1C"/>
    <w:rsid w:val="00A646B1"/>
    <w:rsid w:val="00AC280A"/>
    <w:rsid w:val="00B02AE4"/>
    <w:rsid w:val="00B67CB3"/>
    <w:rsid w:val="00CE58F5"/>
    <w:rsid w:val="00CE64A9"/>
    <w:rsid w:val="00D71E17"/>
    <w:rsid w:val="00DA2D64"/>
    <w:rsid w:val="00DB2A4A"/>
    <w:rsid w:val="00EA630E"/>
    <w:rsid w:val="00F84BC6"/>
    <w:rsid w:val="00F95273"/>
    <w:rsid w:val="00FF0D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V5.0 Exec bullet List 1,Styl moj,Akapit z listą11,Footnote,Bullet point,List Paragraph1,List Paragraph11,Recommendation,ES Paragraph,PBAC ES Paragraph,PBAC normal points,Bullet List"/>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99"/>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1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V5.0 Exec bullet List 1 Char,Styl moj Char,Akapit z listą11 Char,Footnote Char,Bullet point Char,List Paragraph1 Char,List Paragraph11 Char,Recommendation Char,ES Paragraph Char,Bullet List Char"/>
    <w:basedOn w:val="DefaultParagraphFont"/>
    <w:link w:val="ListParagraph"/>
    <w:uiPriority w:val="34"/>
    <w:qFormat/>
    <w:rPr>
      <w:rFonts w:ascii="Arial" w:hAnsi="Arial" w:cs="Arial"/>
      <w:snapToGrid w:val="0"/>
      <w:sz w:val="22"/>
      <w:lang w:eastAsia="en-US"/>
    </w:rPr>
  </w:style>
  <w:style w:type="paragraph" w:customStyle="1" w:styleId="2Sections">
    <w:name w:val="2. Sections"/>
    <w:qFormat/>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Pr>
      <w:rFonts w:ascii="Arial Narrow" w:hAnsi="Arial Narrow"/>
      <w:sz w:val="20"/>
    </w:rPr>
  </w:style>
  <w:style w:type="paragraph" w:customStyle="1" w:styleId="Lists">
    <w:name w:val="Lists"/>
    <w:basedOn w:val="3Bodytext"/>
    <w:link w:val="ListsChar"/>
    <w:qFormat/>
    <w:pPr>
      <w:numPr>
        <w:ilvl w:val="0"/>
        <w:numId w:val="17"/>
      </w:numPr>
    </w:pPr>
  </w:style>
  <w:style w:type="character" w:customStyle="1" w:styleId="TableTextChar0">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pPr>
      <w:numPr>
        <w:numId w:val="19"/>
      </w:numPr>
      <w:ind w:left="425" w:hanging="425"/>
      <w:contextualSpacing w:val="0"/>
    </w:pPr>
    <w:rPr>
      <w:rFonts w:ascii="Calibri" w:hAnsi="Calibri"/>
      <w:sz w:val="24"/>
      <w:szCs w:val="24"/>
    </w:rPr>
  </w:style>
  <w:style w:type="paragraph" w:customStyle="1" w:styleId="TableFooter">
    <w:name w:val="Table Footer"/>
    <w:basedOn w:val="Normal"/>
    <w:link w:val="TableFooterChar"/>
    <w:qFormat/>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Pr>
      <w:rFonts w:ascii="Arial Narrow" w:hAnsi="Arial Narrow" w:cs="Arial"/>
      <w:snapToGrid w:val="0"/>
      <w:sz w:val="18"/>
      <w:szCs w:val="22"/>
      <w:lang w:eastAsia="en-US"/>
    </w:rPr>
  </w:style>
  <w:style w:type="character" w:customStyle="1" w:styleId="TabletextChar">
    <w:name w:val="Table text Char"/>
    <w:link w:val="Tabletext"/>
    <w:uiPriority w:val="2"/>
    <w:rPr>
      <w:rFonts w:ascii="Arial" w:hAnsi="Arial"/>
      <w:lang w:eastAsia="en-U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 w:type="paragraph" w:customStyle="1" w:styleId="Default">
    <w:name w:val="Default"/>
    <w:pPr>
      <w:autoSpaceDE w:val="0"/>
      <w:autoSpaceDN w:val="0"/>
      <w:adjustRightInd w:val="0"/>
    </w:pPr>
    <w:rPr>
      <w:color w:val="000000"/>
      <w:sz w:val="24"/>
      <w:szCs w:val="24"/>
    </w:rPr>
  </w:style>
  <w:style w:type="paragraph" w:styleId="Revision">
    <w:name w:val="Revision"/>
    <w:hidden/>
    <w:uiPriority w:val="71"/>
    <w:semiHidden/>
    <w:rPr>
      <w:sz w:val="24"/>
      <w:szCs w:val="24"/>
    </w:rPr>
  </w:style>
  <w:style w:type="paragraph" w:styleId="Caption">
    <w:name w:val="caption"/>
    <w:basedOn w:val="Normal"/>
    <w:next w:val="Normal"/>
    <w:unhideWhenUsed/>
    <w:qFormat/>
    <w:rsid w:val="00DB2A4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96413546">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454518987">
      <w:bodyDiv w:val="1"/>
      <w:marLeft w:val="0"/>
      <w:marRight w:val="0"/>
      <w:marTop w:val="0"/>
      <w:marBottom w:val="0"/>
      <w:divBdr>
        <w:top w:val="none" w:sz="0" w:space="0" w:color="auto"/>
        <w:left w:val="none" w:sz="0" w:space="0" w:color="auto"/>
        <w:bottom w:val="none" w:sz="0" w:space="0" w:color="auto"/>
        <w:right w:val="none" w:sz="0" w:space="0" w:color="auto"/>
      </w:divBdr>
      <w:divsChild>
        <w:div w:id="788226">
          <w:marLeft w:val="1166"/>
          <w:marRight w:val="0"/>
          <w:marTop w:val="134"/>
          <w:marBottom w:val="0"/>
          <w:divBdr>
            <w:top w:val="none" w:sz="0" w:space="0" w:color="auto"/>
            <w:left w:val="none" w:sz="0" w:space="0" w:color="auto"/>
            <w:bottom w:val="none" w:sz="0" w:space="0" w:color="auto"/>
            <w:right w:val="none" w:sz="0" w:space="0" w:color="auto"/>
          </w:divBdr>
        </w:div>
      </w:divsChild>
    </w:div>
    <w:div w:id="157754898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77275-1AFB-45B7-A173-1778CC1E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3842</Words>
  <Characters>20537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2019-12-20T01:19:00Z</dcterms:created>
  <dcterms:modified xsi:type="dcterms:W3CDTF">2020-01-23T03:46:00Z</dcterms:modified>
</cp:coreProperties>
</file>