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4F" w:rsidRDefault="0010584F" w:rsidP="0010584F">
      <w:pPr>
        <w:rPr>
          <w:rFonts w:cs="Calibri"/>
          <w:color w:val="FF0000"/>
        </w:rPr>
      </w:pPr>
      <w:bookmarkStart w:id="0" w:name="_Toc341702043"/>
      <w:bookmarkStart w:id="1" w:name="_Toc380742621"/>
      <w:bookmarkStart w:id="2" w:name="_Toc380746188"/>
      <w:bookmarkStart w:id="3" w:name="_Toc380746314"/>
      <w:bookmarkStart w:id="4" w:name="_Toc380746595"/>
      <w:bookmarkStart w:id="5" w:name="_GoBack"/>
      <w:bookmarkEnd w:id="5"/>
      <w:r w:rsidRPr="0038038F">
        <w:rPr>
          <w:rFonts w:cs="Calibri"/>
          <w:color w:val="FF0000"/>
        </w:rPr>
        <w:t>Addend</w:t>
      </w:r>
      <w:r w:rsidR="008E2272">
        <w:rPr>
          <w:rFonts w:cs="Calibri"/>
          <w:color w:val="FF0000"/>
        </w:rPr>
        <w:t>a</w:t>
      </w:r>
      <w:r w:rsidRPr="0038038F">
        <w:rPr>
          <w:rFonts w:cs="Calibri"/>
          <w:color w:val="FF0000"/>
        </w:rPr>
        <w:t xml:space="preserve"> to this minute ha</w:t>
      </w:r>
      <w:r w:rsidR="008E2272">
        <w:rPr>
          <w:rFonts w:cs="Calibri"/>
          <w:color w:val="FF0000"/>
        </w:rPr>
        <w:t>ve</w:t>
      </w:r>
      <w:r w:rsidRPr="0038038F">
        <w:rPr>
          <w:rFonts w:cs="Calibri"/>
          <w:color w:val="FF0000"/>
        </w:rPr>
        <w:t xml:space="preserve"> been included at the end of the document.</w:t>
      </w:r>
    </w:p>
    <w:p w:rsidR="0010584F" w:rsidRPr="007F4356" w:rsidRDefault="0010584F" w:rsidP="0010584F">
      <w:pPr>
        <w:rPr>
          <w:rFonts w:cs="Calibri"/>
        </w:rPr>
      </w:pPr>
    </w:p>
    <w:p w:rsidR="000F6F40" w:rsidRPr="001D3234" w:rsidRDefault="00541DC0" w:rsidP="00923CC5">
      <w:pPr>
        <w:pStyle w:val="Title"/>
        <w:ind w:left="720" w:hanging="720"/>
        <w:jc w:val="left"/>
      </w:pPr>
      <w:r w:rsidRPr="001D3234">
        <w:t>5.01</w:t>
      </w:r>
      <w:r w:rsidR="000F6F40" w:rsidRPr="001D3234">
        <w:tab/>
      </w:r>
      <w:r w:rsidR="00D53FEA" w:rsidRPr="001D3234">
        <w:t xml:space="preserve">DOLUTEGRAVIR with </w:t>
      </w:r>
      <w:r w:rsidR="000F6F40" w:rsidRPr="001D3234">
        <w:t xml:space="preserve">LAMIVUDINE, </w:t>
      </w:r>
      <w:r w:rsidR="00876226" w:rsidRPr="001D3234">
        <w:br/>
        <w:t>T</w:t>
      </w:r>
      <w:r w:rsidR="000F6F40" w:rsidRPr="001D3234">
        <w:t>ablet</w:t>
      </w:r>
      <w:r w:rsidR="00D53FEA" w:rsidRPr="001D3234">
        <w:t xml:space="preserve"> containing</w:t>
      </w:r>
      <w:r w:rsidR="000F6F40" w:rsidRPr="001D3234">
        <w:t xml:space="preserve"> </w:t>
      </w:r>
      <w:r w:rsidR="00D53FEA" w:rsidRPr="001D3234">
        <w:t xml:space="preserve">dolutegravir </w:t>
      </w:r>
      <w:r w:rsidR="000F6F40" w:rsidRPr="001D3234">
        <w:t>50</w:t>
      </w:r>
      <w:r w:rsidR="00876226" w:rsidRPr="001D3234">
        <w:t xml:space="preserve"> </w:t>
      </w:r>
      <w:r w:rsidR="000F6F40" w:rsidRPr="001D3234">
        <w:t>mg</w:t>
      </w:r>
      <w:r w:rsidR="00D53FEA" w:rsidRPr="001D3234">
        <w:t xml:space="preserve"> (as sodium) with lamivudine </w:t>
      </w:r>
      <w:r w:rsidR="000F6F40" w:rsidRPr="001D3234">
        <w:t>300</w:t>
      </w:r>
      <w:r w:rsidR="00876226" w:rsidRPr="001D3234">
        <w:t xml:space="preserve"> </w:t>
      </w:r>
      <w:r w:rsidR="000F6F40" w:rsidRPr="001D3234">
        <w:t>mg,</w:t>
      </w:r>
      <w:r w:rsidR="00876226" w:rsidRPr="001D3234">
        <w:br/>
      </w:r>
      <w:r w:rsidRPr="001D3234">
        <w:t>Dovato</w:t>
      </w:r>
      <w:r w:rsidR="000F6F40" w:rsidRPr="001D3234">
        <w:t xml:space="preserve">®, </w:t>
      </w:r>
      <w:r w:rsidR="00876226" w:rsidRPr="001D3234">
        <w:br/>
      </w:r>
      <w:r w:rsidR="000F6F40" w:rsidRPr="001D3234">
        <w:t>ViiV Health Care Pty Ltd.</w:t>
      </w:r>
    </w:p>
    <w:p w:rsidR="00755C5D" w:rsidRPr="001D3234" w:rsidRDefault="00755C5D" w:rsidP="000F6F40"/>
    <w:p w:rsidR="00755C5D" w:rsidRPr="001D3234" w:rsidRDefault="00755C5D" w:rsidP="009917A4">
      <w:pPr>
        <w:widowControl/>
        <w:spacing w:after="120"/>
      </w:pPr>
      <w:r w:rsidRPr="001D3234">
        <w:t>For improved readability,</w:t>
      </w:r>
      <w:r w:rsidR="00220CDF" w:rsidRPr="001D3234">
        <w:t xml:space="preserve"> </w:t>
      </w:r>
      <w:r w:rsidR="00A1307E" w:rsidRPr="001D3234">
        <w:t>th</w:t>
      </w:r>
      <w:r w:rsidR="003479A8">
        <w:t>is Public Summary Document (PSD)</w:t>
      </w:r>
      <w:r w:rsidR="00A1307E" w:rsidRPr="001D3234">
        <w:t xml:space="preserve"> use</w:t>
      </w:r>
      <w:r w:rsidR="00613737">
        <w:t>s</w:t>
      </w:r>
      <w:r w:rsidRPr="001D3234">
        <w:t xml:space="preserve"> tradenames for fixed dose combination (FDC) therapies for the treatment of human immunodeficiency virus (HIV). </w:t>
      </w:r>
      <w:r w:rsidR="003E39FF" w:rsidRPr="001D3234">
        <w:t>Table 1</w:t>
      </w:r>
      <w:r w:rsidR="00541DC0" w:rsidRPr="001D3234">
        <w:t xml:space="preserve"> </w:t>
      </w:r>
      <w:r w:rsidRPr="001D3234">
        <w:t>presents a summary of the FDCs, indicating their components, abbreviations for each drug and their associated tradenames.</w:t>
      </w:r>
      <w:r w:rsidR="008A20F9" w:rsidRPr="001D3234">
        <w:t xml:space="preserve"> Use of the term “DTG + 3TC” in this document refers to use of a concomitant regimen of dolutegravir and lamivudine, as used in the key effectiveness trials (GEMINI-1/GEMINI-2).</w:t>
      </w:r>
    </w:p>
    <w:p w:rsidR="00755C5D" w:rsidRPr="001D3234" w:rsidRDefault="00104195" w:rsidP="00755C5D">
      <w:pPr>
        <w:rPr>
          <w:rFonts w:ascii="Arial Narrow" w:hAnsi="Arial Narrow"/>
          <w:b/>
          <w:sz w:val="20"/>
        </w:rPr>
      </w:pPr>
      <w:bookmarkStart w:id="6" w:name="_Ref8656624"/>
      <w:r w:rsidRPr="001D3234">
        <w:rPr>
          <w:rFonts w:ascii="Arial Narrow" w:hAnsi="Arial Narrow"/>
          <w:b/>
          <w:sz w:val="20"/>
        </w:rPr>
        <w:t xml:space="preserve">Table </w:t>
      </w:r>
      <w:r w:rsidR="003E39FF" w:rsidRPr="001D3234">
        <w:rPr>
          <w:rFonts w:ascii="Arial Narrow" w:hAnsi="Arial Narrow"/>
          <w:b/>
          <w:sz w:val="20"/>
        </w:rPr>
        <w:t>1</w:t>
      </w:r>
      <w:bookmarkEnd w:id="6"/>
      <w:r w:rsidRPr="001D3234">
        <w:rPr>
          <w:rFonts w:ascii="Arial Narrow" w:hAnsi="Arial Narrow"/>
          <w:b/>
          <w:sz w:val="20"/>
        </w:rPr>
        <w:t xml:space="preserve">: </w:t>
      </w:r>
      <w:r w:rsidR="00755C5D" w:rsidRPr="001D3234">
        <w:rPr>
          <w:rFonts w:ascii="Arial Narrow" w:hAnsi="Arial Narrow"/>
          <w:b/>
          <w:sz w:val="20"/>
        </w:rPr>
        <w:t>Summary of fixed dose combinations (their components, abbreviations for each drug and their associated tradenames)</w:t>
      </w:r>
    </w:p>
    <w:tbl>
      <w:tblPr>
        <w:tblStyle w:val="TableGrid"/>
        <w:tblW w:w="0" w:type="auto"/>
        <w:tblCellMar>
          <w:left w:w="28" w:type="dxa"/>
          <w:right w:w="28" w:type="dxa"/>
        </w:tblCellMar>
        <w:tblLook w:val="04A0" w:firstRow="1" w:lastRow="0" w:firstColumn="1" w:lastColumn="0" w:noHBand="0" w:noVBand="1"/>
        <w:tblCaption w:val="Table 1: Summary of fixed dose combinations (their components, abbreviations for each drug and their associated tradenames)"/>
        <w:tblDescription w:val="Table 1: Summary of fixed dose combinations (their components, abbreviations for each drug and their associated tradenames)"/>
      </w:tblPr>
      <w:tblGrid>
        <w:gridCol w:w="5382"/>
        <w:gridCol w:w="1701"/>
        <w:gridCol w:w="1934"/>
      </w:tblGrid>
      <w:tr w:rsidR="00755C5D" w:rsidRPr="001D3234" w:rsidTr="0011120B">
        <w:trPr>
          <w:tblHeader/>
        </w:trPr>
        <w:tc>
          <w:tcPr>
            <w:tcW w:w="5382" w:type="dxa"/>
          </w:tcPr>
          <w:p w:rsidR="00755C5D" w:rsidRPr="001D3234" w:rsidRDefault="00755C5D" w:rsidP="00592EBD">
            <w:pPr>
              <w:rPr>
                <w:rFonts w:ascii="Arial Narrow" w:hAnsi="Arial Narrow"/>
                <w:b/>
                <w:sz w:val="20"/>
              </w:rPr>
            </w:pPr>
            <w:r w:rsidRPr="001D3234">
              <w:rPr>
                <w:rFonts w:ascii="Arial Narrow" w:hAnsi="Arial Narrow"/>
                <w:b/>
                <w:sz w:val="20"/>
              </w:rPr>
              <w:t>Fixed dose combination (FDC) components</w:t>
            </w:r>
          </w:p>
        </w:tc>
        <w:tc>
          <w:tcPr>
            <w:tcW w:w="1701" w:type="dxa"/>
            <w:vAlign w:val="center"/>
          </w:tcPr>
          <w:p w:rsidR="00755C5D" w:rsidRPr="001D3234" w:rsidRDefault="00755C5D" w:rsidP="00592EBD">
            <w:pPr>
              <w:jc w:val="center"/>
              <w:rPr>
                <w:rFonts w:ascii="Arial Narrow" w:hAnsi="Arial Narrow"/>
                <w:b/>
                <w:sz w:val="20"/>
              </w:rPr>
            </w:pPr>
            <w:r w:rsidRPr="001D3234">
              <w:rPr>
                <w:rFonts w:ascii="Arial Narrow" w:hAnsi="Arial Narrow"/>
                <w:b/>
                <w:sz w:val="20"/>
              </w:rPr>
              <w:t>Abbreviations</w:t>
            </w:r>
          </w:p>
        </w:tc>
        <w:tc>
          <w:tcPr>
            <w:tcW w:w="1934" w:type="dxa"/>
            <w:vAlign w:val="center"/>
          </w:tcPr>
          <w:p w:rsidR="00755C5D" w:rsidRPr="001D3234" w:rsidRDefault="00755C5D" w:rsidP="00592EBD">
            <w:pPr>
              <w:jc w:val="center"/>
              <w:rPr>
                <w:rFonts w:ascii="Arial Narrow" w:hAnsi="Arial Narrow"/>
                <w:b/>
                <w:sz w:val="20"/>
              </w:rPr>
            </w:pPr>
            <w:r w:rsidRPr="001D3234">
              <w:rPr>
                <w:rFonts w:ascii="Arial Narrow" w:hAnsi="Arial Narrow"/>
                <w:b/>
                <w:sz w:val="20"/>
              </w:rPr>
              <w:t>Tradename</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Dolutegravir/lamivudine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DTG/3TC</w:t>
            </w:r>
          </w:p>
        </w:tc>
        <w:tc>
          <w:tcPr>
            <w:tcW w:w="1934" w:type="dxa"/>
            <w:vAlign w:val="center"/>
          </w:tcPr>
          <w:p w:rsidR="00755C5D" w:rsidRPr="001D3234" w:rsidRDefault="00541DC0" w:rsidP="00592EBD">
            <w:pPr>
              <w:jc w:val="center"/>
              <w:rPr>
                <w:rFonts w:ascii="Arial Narrow" w:hAnsi="Arial Narrow"/>
                <w:sz w:val="20"/>
              </w:rPr>
            </w:pPr>
            <w:r w:rsidRPr="001D3234">
              <w:rPr>
                <w:rFonts w:ascii="Arial Narrow" w:hAnsi="Arial Narrow"/>
                <w:sz w:val="20"/>
              </w:rPr>
              <w:t>Dovato</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Dolutegravir/rilpivirine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DTG/RPV</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Juluca</w:t>
            </w:r>
            <w:r w:rsidRPr="001D3234">
              <w:rPr>
                <w:rFonts w:ascii="Arial Narrow" w:hAnsi="Arial Narrow"/>
                <w:sz w:val="20"/>
                <w:vertAlign w:val="superscript"/>
              </w:rPr>
              <w:t>®</w:t>
            </w:r>
            <w:r w:rsidRPr="001D3234">
              <w:rPr>
                <w:rFonts w:ascii="Arial Narrow" w:hAnsi="Arial Narrow"/>
                <w:sz w:val="20"/>
              </w:rPr>
              <w:t xml:space="preserve"> </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Elvitegravir/cobicistat/tenofovir alafenamide/emtricitabine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ELV/c/TAF/FTC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Genvoya</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Elvitegravir/cobicistat/tenofovir disoproxil fumarate/emtricitabine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ELV/c/TDF/FTC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Stribild</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Rilpivirine/tenofovir alafenamide/emtricitabine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RPV/TAF/FTC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Odefsey</w:t>
            </w:r>
            <w:r w:rsidRPr="001D3234">
              <w:rPr>
                <w:rFonts w:ascii="Arial Narrow" w:hAnsi="Arial Narrow"/>
                <w:sz w:val="20"/>
                <w:vertAlign w:val="superscript"/>
              </w:rPr>
              <w:t>®</w:t>
            </w:r>
            <w:r w:rsidRPr="001D3234">
              <w:rPr>
                <w:rFonts w:ascii="Arial Narrow" w:hAnsi="Arial Narrow"/>
                <w:sz w:val="20"/>
              </w:rPr>
              <w:t xml:space="preserve"> </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Rilpivirine/tenofovir disoproxil fumarate/emtricitabine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RPV/TDF/FTC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Eviplera</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Dolutegravir/abacavir/lamivudine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DTG/ABC/3TC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Triumeq</w:t>
            </w:r>
            <w:r w:rsidRPr="001D3234">
              <w:rPr>
                <w:rFonts w:ascii="Arial Narrow" w:hAnsi="Arial Narrow"/>
                <w:sz w:val="20"/>
                <w:vertAlign w:val="superscript"/>
              </w:rPr>
              <w:t>®</w:t>
            </w:r>
          </w:p>
        </w:tc>
      </w:tr>
      <w:tr w:rsidR="00755C5D" w:rsidRPr="001D3234" w:rsidTr="0011120B">
        <w:trPr>
          <w:tblHeader/>
        </w:trPr>
        <w:tc>
          <w:tcPr>
            <w:tcW w:w="5382" w:type="dxa"/>
            <w:shd w:val="clear" w:color="auto" w:fill="auto"/>
          </w:tcPr>
          <w:p w:rsidR="00755C5D" w:rsidRPr="001D3234" w:rsidRDefault="00755C5D" w:rsidP="00592EBD">
            <w:pPr>
              <w:rPr>
                <w:rFonts w:ascii="Arial Narrow" w:hAnsi="Arial Narrow"/>
                <w:sz w:val="20"/>
              </w:rPr>
            </w:pPr>
            <w:r w:rsidRPr="001D3234">
              <w:rPr>
                <w:rFonts w:ascii="Arial Narrow" w:hAnsi="Arial Narrow"/>
                <w:sz w:val="20"/>
              </w:rPr>
              <w:t>Bictegravir/tenofovir alafenamide/emtricitabine</w:t>
            </w:r>
          </w:p>
        </w:tc>
        <w:tc>
          <w:tcPr>
            <w:tcW w:w="1701"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BIC/TAF/FTC</w:t>
            </w:r>
          </w:p>
        </w:tc>
        <w:tc>
          <w:tcPr>
            <w:tcW w:w="1934" w:type="dxa"/>
            <w:shd w:val="clear" w:color="auto" w:fill="auto"/>
            <w:vAlign w:val="center"/>
          </w:tcPr>
          <w:p w:rsidR="00755C5D" w:rsidRPr="001D3234" w:rsidRDefault="00755C5D" w:rsidP="00592EBD">
            <w:pPr>
              <w:jc w:val="center"/>
              <w:rPr>
                <w:rFonts w:ascii="Arial Narrow" w:hAnsi="Arial Narrow"/>
                <w:sz w:val="20"/>
              </w:rPr>
            </w:pPr>
            <w:r w:rsidRPr="001D3234">
              <w:rPr>
                <w:rFonts w:ascii="Arial Narrow" w:hAnsi="Arial Narrow"/>
                <w:sz w:val="20"/>
              </w:rPr>
              <w:t>Biktarvy</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Efavirenz/tenofovir disoproxil fumarate/emtricitabine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EFV/TDF/FTC</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Atripla</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Tenofovir disoproxil fumarate/emtricitabine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TDF/FTC</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Truvada</w:t>
            </w:r>
            <w:r w:rsidRPr="001D3234">
              <w:rPr>
                <w:rFonts w:ascii="Arial Narrow" w:hAnsi="Arial Narrow"/>
                <w:sz w:val="20"/>
                <w:vertAlign w:val="superscript"/>
              </w:rPr>
              <w:t>®</w:t>
            </w:r>
          </w:p>
        </w:tc>
      </w:tr>
      <w:tr w:rsidR="00755C5D" w:rsidRPr="001D3234" w:rsidTr="0011120B">
        <w:trPr>
          <w:tblHeader/>
        </w:trPr>
        <w:tc>
          <w:tcPr>
            <w:tcW w:w="5382" w:type="dxa"/>
          </w:tcPr>
          <w:p w:rsidR="00755C5D" w:rsidRPr="001D3234" w:rsidRDefault="00755C5D" w:rsidP="00592EBD">
            <w:pPr>
              <w:rPr>
                <w:rFonts w:ascii="Arial Narrow" w:hAnsi="Arial Narrow"/>
                <w:sz w:val="20"/>
              </w:rPr>
            </w:pPr>
            <w:r w:rsidRPr="001D3234">
              <w:rPr>
                <w:rFonts w:ascii="Arial Narrow" w:hAnsi="Arial Narrow"/>
                <w:sz w:val="20"/>
              </w:rPr>
              <w:t>Tenofovir alafenamide/emtricitabine</w:t>
            </w:r>
          </w:p>
        </w:tc>
        <w:tc>
          <w:tcPr>
            <w:tcW w:w="1701"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TAF/FTC</w:t>
            </w:r>
          </w:p>
        </w:tc>
        <w:tc>
          <w:tcPr>
            <w:tcW w:w="1934" w:type="dxa"/>
            <w:vAlign w:val="center"/>
          </w:tcPr>
          <w:p w:rsidR="00755C5D" w:rsidRPr="001D3234" w:rsidRDefault="00755C5D" w:rsidP="00592EBD">
            <w:pPr>
              <w:jc w:val="center"/>
              <w:rPr>
                <w:rFonts w:ascii="Arial Narrow" w:hAnsi="Arial Narrow"/>
                <w:sz w:val="20"/>
              </w:rPr>
            </w:pPr>
            <w:r w:rsidRPr="001D3234">
              <w:rPr>
                <w:rFonts w:ascii="Arial Narrow" w:hAnsi="Arial Narrow"/>
                <w:sz w:val="20"/>
              </w:rPr>
              <w:t>Descovy</w:t>
            </w:r>
            <w:r w:rsidRPr="001D3234">
              <w:rPr>
                <w:rFonts w:ascii="Arial Narrow" w:hAnsi="Arial Narrow"/>
                <w:sz w:val="20"/>
                <w:vertAlign w:val="superscript"/>
              </w:rPr>
              <w:t>®</w:t>
            </w:r>
          </w:p>
        </w:tc>
      </w:tr>
    </w:tbl>
    <w:p w:rsidR="000F6F40" w:rsidRPr="001D3234" w:rsidRDefault="000F6F40" w:rsidP="009917A4">
      <w:pPr>
        <w:pStyle w:val="PBACHeading1"/>
        <w:spacing w:before="120" w:after="120"/>
      </w:pPr>
      <w:bookmarkStart w:id="7" w:name="_Toc9405790"/>
      <w:r w:rsidRPr="001D3234">
        <w:t>Purpose of Application</w:t>
      </w:r>
      <w:bookmarkEnd w:id="7"/>
    </w:p>
    <w:p w:rsidR="000F6F40" w:rsidRPr="001D3234" w:rsidRDefault="00541DC0" w:rsidP="00FB4283">
      <w:pPr>
        <w:pStyle w:val="ListParagraph"/>
        <w:widowControl/>
        <w:numPr>
          <w:ilvl w:val="1"/>
          <w:numId w:val="1"/>
        </w:numPr>
      </w:pPr>
      <w:r w:rsidRPr="001D3234">
        <w:t>The submission requested a Section 100 (Highly Specialised Drugs Program – Community Access), s</w:t>
      </w:r>
      <w:r w:rsidR="000F6F40" w:rsidRPr="001D3234">
        <w:t>treamlined</w:t>
      </w:r>
      <w:r w:rsidRPr="001D3234">
        <w:t xml:space="preserve"> authority</w:t>
      </w:r>
      <w:r w:rsidR="000F6F40" w:rsidRPr="001D3234">
        <w:t xml:space="preserve"> listing for dolutegravir/lamivudine </w:t>
      </w:r>
      <w:r w:rsidR="00D9769B" w:rsidRPr="001D3234">
        <w:t>(DTG/3TC</w:t>
      </w:r>
      <w:r w:rsidRPr="001D3234">
        <w:t xml:space="preserve">, </w:t>
      </w:r>
      <w:r w:rsidRPr="001D3234">
        <w:rPr>
          <w:color w:val="000000" w:themeColor="text1"/>
        </w:rPr>
        <w:t>Dovato</w:t>
      </w:r>
      <w:r w:rsidRPr="001D3234">
        <w:t>®</w:t>
      </w:r>
      <w:r w:rsidR="00D9769B" w:rsidRPr="001D3234">
        <w:t xml:space="preserve">) </w:t>
      </w:r>
      <w:r w:rsidR="000F6F40" w:rsidRPr="001D3234">
        <w:t>fixed dose combination (FDC) tablet for the treatment of HIV in adult and adolescent patients.</w:t>
      </w:r>
    </w:p>
    <w:p w:rsidR="000F6F40" w:rsidRPr="001D3234" w:rsidRDefault="000F6F40" w:rsidP="00FB4283">
      <w:pPr>
        <w:pStyle w:val="ListParagraph"/>
        <w:widowControl/>
        <w:numPr>
          <w:ilvl w:val="1"/>
          <w:numId w:val="1"/>
        </w:numPr>
        <w:spacing w:after="120"/>
      </w:pPr>
      <w:r w:rsidRPr="001D3234">
        <w:t>The basis of</w:t>
      </w:r>
      <w:r w:rsidR="00541DC0" w:rsidRPr="001D3234">
        <w:t xml:space="preserve"> the requested</w:t>
      </w:r>
      <w:r w:rsidRPr="001D3234">
        <w:t xml:space="preserve"> listing was</w:t>
      </w:r>
      <w:r w:rsidR="00C952B2" w:rsidRPr="001D3234">
        <w:t xml:space="preserve"> on</w:t>
      </w:r>
      <w:r w:rsidRPr="001D3234">
        <w:t xml:space="preserve"> a cost-minimisation </w:t>
      </w:r>
      <w:r w:rsidR="00C952B2" w:rsidRPr="001D3234">
        <w:t xml:space="preserve">basis </w:t>
      </w:r>
      <w:r w:rsidRPr="001D3234">
        <w:t xml:space="preserve">compared </w:t>
      </w:r>
      <w:r w:rsidR="00463143" w:rsidRPr="001D3234">
        <w:t>with the</w:t>
      </w:r>
      <w:r w:rsidRPr="001D3234">
        <w:t xml:space="preserve"> individual components </w:t>
      </w:r>
      <w:r w:rsidR="00104195" w:rsidRPr="001D3234">
        <w:t>in the FDC (</w:t>
      </w:r>
      <w:r w:rsidRPr="001D3234">
        <w:t>DTG a</w:t>
      </w:r>
      <w:r w:rsidR="00316457" w:rsidRPr="001D3234">
        <w:t>nd 3TC</w:t>
      </w:r>
      <w:r w:rsidR="00104195" w:rsidRPr="001D3234">
        <w:t>)</w:t>
      </w:r>
      <w:r w:rsidR="001D3234">
        <w:t xml:space="preserve">. </w:t>
      </w:r>
    </w:p>
    <w:p w:rsidR="000F6F40" w:rsidRPr="001D3234" w:rsidRDefault="00283F15" w:rsidP="00FB4283">
      <w:pPr>
        <w:pStyle w:val="ListParagraph"/>
        <w:widowControl/>
        <w:numPr>
          <w:ilvl w:val="1"/>
          <w:numId w:val="1"/>
        </w:numPr>
        <w:spacing w:after="120"/>
      </w:pPr>
      <w:r w:rsidRPr="001D3234">
        <w:rPr>
          <w:color w:val="000000" w:themeColor="text1"/>
        </w:rPr>
        <w:t>Table 2 presents t</w:t>
      </w:r>
      <w:r w:rsidR="008D77A7" w:rsidRPr="001D3234">
        <w:rPr>
          <w:color w:val="000000" w:themeColor="text1"/>
        </w:rPr>
        <w:t>he key components of the clinical issue addressed by the submission</w:t>
      </w:r>
      <w:r w:rsidRPr="001D3234">
        <w:rPr>
          <w:color w:val="000000" w:themeColor="text1"/>
        </w:rPr>
        <w:t>.</w:t>
      </w:r>
    </w:p>
    <w:p w:rsidR="000F6F40" w:rsidRPr="001D3234" w:rsidRDefault="000F6F40" w:rsidP="00FB0E19">
      <w:pPr>
        <w:keepNext/>
        <w:rPr>
          <w:rStyle w:val="CommentReference"/>
        </w:rPr>
      </w:pPr>
      <w:bookmarkStart w:id="8" w:name="_Ref8382468"/>
      <w:r w:rsidRPr="001D3234">
        <w:rPr>
          <w:rStyle w:val="CommentReference"/>
        </w:rPr>
        <w:lastRenderedPageBreak/>
        <w:t xml:space="preserve">Table </w:t>
      </w:r>
      <w:r w:rsidR="003E39FF" w:rsidRPr="001D3234">
        <w:rPr>
          <w:rFonts w:ascii="Arial Narrow" w:hAnsi="Arial Narrow"/>
          <w:b/>
          <w:sz w:val="20"/>
          <w:szCs w:val="20"/>
        </w:rPr>
        <w:t>2</w:t>
      </w:r>
      <w:bookmarkEnd w:id="8"/>
      <w:r w:rsidRPr="001D3234">
        <w:rPr>
          <w:rStyle w:val="CommentReference"/>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components of the clinical issue addressed by the submission"/>
      </w:tblPr>
      <w:tblGrid>
        <w:gridCol w:w="1668"/>
        <w:gridCol w:w="7488"/>
      </w:tblGrid>
      <w:tr w:rsidR="000F6F40" w:rsidRPr="001D3234" w:rsidTr="00F86393">
        <w:trPr>
          <w:tblHeader/>
        </w:trPr>
        <w:tc>
          <w:tcPr>
            <w:tcW w:w="1668" w:type="dxa"/>
            <w:vAlign w:val="center"/>
          </w:tcPr>
          <w:p w:rsidR="000F6F40" w:rsidRPr="001D3234" w:rsidRDefault="000F6F40" w:rsidP="00FB0E19">
            <w:pPr>
              <w:pStyle w:val="Tabletext"/>
              <w:keepNext/>
              <w:rPr>
                <w:b/>
              </w:rPr>
            </w:pPr>
            <w:r w:rsidRPr="001D3234">
              <w:rPr>
                <w:b/>
              </w:rPr>
              <w:t>Component</w:t>
            </w:r>
          </w:p>
        </w:tc>
        <w:tc>
          <w:tcPr>
            <w:tcW w:w="7488" w:type="dxa"/>
            <w:vAlign w:val="center"/>
          </w:tcPr>
          <w:p w:rsidR="000F6F40" w:rsidRPr="001D3234" w:rsidRDefault="000F6F40" w:rsidP="00FB0E19">
            <w:pPr>
              <w:pStyle w:val="Tabletext"/>
              <w:keepNext/>
              <w:jc w:val="center"/>
              <w:rPr>
                <w:b/>
              </w:rPr>
            </w:pPr>
            <w:r w:rsidRPr="001D3234">
              <w:rPr>
                <w:b/>
              </w:rPr>
              <w:t>Description</w:t>
            </w:r>
          </w:p>
        </w:tc>
      </w:tr>
      <w:tr w:rsidR="000F6F40" w:rsidRPr="001D3234" w:rsidTr="000D5E60">
        <w:tc>
          <w:tcPr>
            <w:tcW w:w="1668" w:type="dxa"/>
            <w:vAlign w:val="center"/>
          </w:tcPr>
          <w:p w:rsidR="000F6F40" w:rsidRPr="001D3234" w:rsidRDefault="000F6F40" w:rsidP="00FB0E19">
            <w:pPr>
              <w:pStyle w:val="Tabletext"/>
              <w:keepNext/>
            </w:pPr>
            <w:r w:rsidRPr="001D3234">
              <w:t>Population</w:t>
            </w:r>
          </w:p>
        </w:tc>
        <w:tc>
          <w:tcPr>
            <w:tcW w:w="7488" w:type="dxa"/>
            <w:vAlign w:val="center"/>
          </w:tcPr>
          <w:p w:rsidR="000F6F40" w:rsidRPr="001D3234" w:rsidRDefault="000F6F40" w:rsidP="00FB0E19">
            <w:pPr>
              <w:pStyle w:val="Tabletext"/>
              <w:keepNext/>
            </w:pPr>
            <w:r w:rsidRPr="001D3234">
              <w:t xml:space="preserve">Treatment of HIV infection in adults and adolescents from 12 years of age </w:t>
            </w:r>
          </w:p>
        </w:tc>
      </w:tr>
      <w:tr w:rsidR="000F6F40" w:rsidRPr="001D3234" w:rsidTr="000D5E60">
        <w:tc>
          <w:tcPr>
            <w:tcW w:w="1668" w:type="dxa"/>
            <w:vAlign w:val="center"/>
          </w:tcPr>
          <w:p w:rsidR="000F6F40" w:rsidRPr="001D3234" w:rsidRDefault="000F6F40" w:rsidP="00FB0E19">
            <w:pPr>
              <w:pStyle w:val="Tabletext"/>
              <w:keepNext/>
            </w:pPr>
            <w:r w:rsidRPr="001D3234">
              <w:t>Intervention</w:t>
            </w:r>
          </w:p>
        </w:tc>
        <w:tc>
          <w:tcPr>
            <w:tcW w:w="7488" w:type="dxa"/>
            <w:vAlign w:val="center"/>
          </w:tcPr>
          <w:p w:rsidR="000F6F40" w:rsidRPr="001D3234" w:rsidRDefault="000F6F40" w:rsidP="00FB0E19">
            <w:pPr>
              <w:pStyle w:val="Tabletext"/>
              <w:keepNext/>
            </w:pPr>
            <w:r w:rsidRPr="001D3234">
              <w:t>Dolutegravir 50mg/lamivudine 300mg (DTG/3TC) fixed dose combination (FDC)</w:t>
            </w:r>
            <w:r w:rsidR="00BE559D" w:rsidRPr="001D3234">
              <w:t>; Dovato</w:t>
            </w:r>
            <w:r w:rsidR="00BE559D" w:rsidRPr="001D3234">
              <w:rPr>
                <w:vertAlign w:val="superscript"/>
              </w:rPr>
              <w:t>®</w:t>
            </w:r>
          </w:p>
        </w:tc>
      </w:tr>
      <w:tr w:rsidR="000F6F40" w:rsidRPr="001D3234" w:rsidTr="000D5E60">
        <w:tc>
          <w:tcPr>
            <w:tcW w:w="1668" w:type="dxa"/>
            <w:vAlign w:val="center"/>
          </w:tcPr>
          <w:p w:rsidR="000F6F40" w:rsidRPr="001D3234" w:rsidRDefault="000F6F40" w:rsidP="00FB0E19">
            <w:pPr>
              <w:pStyle w:val="Tabletext"/>
              <w:keepNext/>
            </w:pPr>
            <w:r w:rsidRPr="001D3234">
              <w:t>Comparator</w:t>
            </w:r>
          </w:p>
        </w:tc>
        <w:tc>
          <w:tcPr>
            <w:tcW w:w="7488" w:type="dxa"/>
            <w:vAlign w:val="center"/>
          </w:tcPr>
          <w:p w:rsidR="000F6F40" w:rsidRPr="001D3234" w:rsidRDefault="000F6F40" w:rsidP="00FB4283">
            <w:pPr>
              <w:pStyle w:val="Tabletext"/>
              <w:keepNext/>
              <w:numPr>
                <w:ilvl w:val="0"/>
                <w:numId w:val="3"/>
              </w:numPr>
              <w:ind w:left="346" w:hanging="284"/>
            </w:pPr>
            <w:r w:rsidRPr="001D3234">
              <w:t>Individual components (dolutegravir 50mg and lamivudine 300mg) taken concomitantly</w:t>
            </w:r>
          </w:p>
          <w:p w:rsidR="000F6F40" w:rsidRPr="001D3234" w:rsidRDefault="000F6F40" w:rsidP="00FB4283">
            <w:pPr>
              <w:pStyle w:val="Tabletext"/>
              <w:keepNext/>
              <w:numPr>
                <w:ilvl w:val="0"/>
                <w:numId w:val="3"/>
              </w:numPr>
              <w:ind w:left="346" w:hanging="284"/>
            </w:pPr>
            <w:r w:rsidRPr="001D3234">
              <w:t>Therapies prescribers would most likely replace in practice*</w:t>
            </w:r>
          </w:p>
        </w:tc>
      </w:tr>
      <w:tr w:rsidR="000F6F40" w:rsidRPr="001D3234" w:rsidTr="000D5E60">
        <w:tc>
          <w:tcPr>
            <w:tcW w:w="1668" w:type="dxa"/>
            <w:vAlign w:val="center"/>
          </w:tcPr>
          <w:p w:rsidR="000F6F40" w:rsidRPr="001D3234" w:rsidRDefault="000F6F40" w:rsidP="00FB0E19">
            <w:pPr>
              <w:pStyle w:val="Tabletext"/>
              <w:keepNext/>
            </w:pPr>
            <w:r w:rsidRPr="001D3234">
              <w:t>Outcomes</w:t>
            </w:r>
          </w:p>
        </w:tc>
        <w:tc>
          <w:tcPr>
            <w:tcW w:w="7488" w:type="dxa"/>
            <w:vAlign w:val="center"/>
          </w:tcPr>
          <w:p w:rsidR="000F6F40" w:rsidRPr="001D3234" w:rsidRDefault="000F6F40" w:rsidP="00FB0E19">
            <w:pPr>
              <w:pStyle w:val="Tabletext"/>
              <w:keepNext/>
            </w:pPr>
            <w:r w:rsidRPr="001D3234">
              <w:t>HIV-1 RNA &lt;50 copies at Week 48; FDA snapshot at 48 weeks</w:t>
            </w:r>
          </w:p>
        </w:tc>
      </w:tr>
      <w:tr w:rsidR="000F6F40" w:rsidRPr="001D3234" w:rsidTr="000D5E60">
        <w:tc>
          <w:tcPr>
            <w:tcW w:w="1668" w:type="dxa"/>
            <w:vAlign w:val="center"/>
          </w:tcPr>
          <w:p w:rsidR="000F6F40" w:rsidRPr="001D3234" w:rsidRDefault="000F6F40" w:rsidP="00FB0E19">
            <w:pPr>
              <w:pStyle w:val="Tabletext"/>
              <w:keepNext/>
            </w:pPr>
            <w:r w:rsidRPr="001D3234">
              <w:t>Clinical claim</w:t>
            </w:r>
          </w:p>
        </w:tc>
        <w:tc>
          <w:tcPr>
            <w:tcW w:w="7488" w:type="dxa"/>
            <w:vAlign w:val="center"/>
          </w:tcPr>
          <w:p w:rsidR="000F6F40" w:rsidRPr="001D3234" w:rsidRDefault="000F6F40" w:rsidP="00FB0E19">
            <w:pPr>
              <w:pStyle w:val="Tabletext"/>
              <w:keepNext/>
            </w:pPr>
            <w:r w:rsidRPr="001D3234">
              <w:rPr>
                <w:u w:val="single"/>
              </w:rPr>
              <w:t>Bioequivalence</w:t>
            </w:r>
            <w:r w:rsidRPr="001D3234">
              <w:t>:  Dolutegravir / lamivudine bilayer FDC is an acceptable pharmacokinetic bridge to co-administration of the individual components (DTG + 3TC).</w:t>
            </w:r>
          </w:p>
          <w:p w:rsidR="000F6F40" w:rsidRPr="001D3234" w:rsidRDefault="000F6F40" w:rsidP="00FB0E19">
            <w:pPr>
              <w:pStyle w:val="Tabletext"/>
              <w:keepNext/>
            </w:pPr>
            <w:r w:rsidRPr="001D3234">
              <w:rPr>
                <w:u w:val="single"/>
              </w:rPr>
              <w:t>Efficacy</w:t>
            </w:r>
            <w:r w:rsidRPr="001D3234">
              <w:t>: Dolutegravir / lamivudine is non-inferior in terms of</w:t>
            </w:r>
            <w:r w:rsidR="00C952B2" w:rsidRPr="001D3234">
              <w:t xml:space="preserve"> comparative</w:t>
            </w:r>
            <w:r w:rsidRPr="001D3234">
              <w:t xml:space="preserve"> effectiveness to Biktarvy</w:t>
            </w:r>
            <w:r w:rsidRPr="001D3234">
              <w:rPr>
                <w:vertAlign w:val="superscript"/>
              </w:rPr>
              <w:t>®</w:t>
            </w:r>
            <w:r w:rsidRPr="001D3234">
              <w:t>, Genvoya</w:t>
            </w:r>
            <w:r w:rsidRPr="001D3234">
              <w:rPr>
                <w:vertAlign w:val="superscript"/>
              </w:rPr>
              <w:t>®</w:t>
            </w:r>
            <w:r w:rsidRPr="001D3234">
              <w:t>, Stribild</w:t>
            </w:r>
            <w:r w:rsidRPr="001D3234">
              <w:rPr>
                <w:vertAlign w:val="superscript"/>
              </w:rPr>
              <w:t>®</w:t>
            </w:r>
            <w:r w:rsidRPr="001D3234">
              <w:t>, Odefsey</w:t>
            </w:r>
            <w:r w:rsidRPr="001D3234">
              <w:rPr>
                <w:vertAlign w:val="superscript"/>
              </w:rPr>
              <w:t>®</w:t>
            </w:r>
            <w:r w:rsidRPr="001D3234">
              <w:t>, Eviplera</w:t>
            </w:r>
            <w:r w:rsidRPr="001D3234">
              <w:rPr>
                <w:vertAlign w:val="superscript"/>
              </w:rPr>
              <w:t>®</w:t>
            </w:r>
            <w:r w:rsidRPr="001D3234">
              <w:t xml:space="preserve"> and Triumeq</w:t>
            </w:r>
            <w:r w:rsidRPr="001D3234">
              <w:rPr>
                <w:vertAlign w:val="superscript"/>
              </w:rPr>
              <w:t>®</w:t>
            </w:r>
            <w:r w:rsidRPr="001D3234">
              <w:t xml:space="preserve"> for the treatment of HIV infection.</w:t>
            </w:r>
            <w:r w:rsidR="00316457" w:rsidRPr="001D3234">
              <w:t xml:space="preserve"> </w:t>
            </w:r>
            <w:r w:rsidR="00316457" w:rsidRPr="001D3234">
              <w:rPr>
                <w:i/>
              </w:rPr>
              <w:t>There is no direct evidence presented in the submission to support this claim.</w:t>
            </w:r>
          </w:p>
          <w:p w:rsidR="000F6F40" w:rsidRPr="001D3234" w:rsidRDefault="000F6F40" w:rsidP="00FB0E19">
            <w:pPr>
              <w:pStyle w:val="Tabletext"/>
              <w:keepNext/>
            </w:pPr>
            <w:r w:rsidRPr="001D3234">
              <w:rPr>
                <w:u w:val="single"/>
              </w:rPr>
              <w:t>Safety</w:t>
            </w:r>
            <w:r w:rsidRPr="001D3234">
              <w:t>: TDF regimens (Stribild</w:t>
            </w:r>
            <w:r w:rsidRPr="001D3234">
              <w:rPr>
                <w:vertAlign w:val="superscript"/>
              </w:rPr>
              <w:t>®</w:t>
            </w:r>
            <w:r w:rsidRPr="001D3234">
              <w:t>, Eviplera</w:t>
            </w:r>
            <w:r w:rsidRPr="001D3234">
              <w:rPr>
                <w:vertAlign w:val="superscript"/>
              </w:rPr>
              <w:t>®</w:t>
            </w:r>
            <w:r w:rsidRPr="001D3234">
              <w:t>) are inferior in terms of safety to non-TDF regimens (</w:t>
            </w:r>
            <w:r w:rsidR="008F4139" w:rsidRPr="001D3234">
              <w:rPr>
                <w:szCs w:val="20"/>
              </w:rPr>
              <w:t>Dovato</w:t>
            </w:r>
            <w:r w:rsidR="008F4139" w:rsidRPr="001D3234">
              <w:rPr>
                <w:szCs w:val="20"/>
                <w:vertAlign w:val="superscript"/>
              </w:rPr>
              <w:t>®</w:t>
            </w:r>
            <w:r w:rsidRPr="001D3234">
              <w:t>, Triumeq</w:t>
            </w:r>
            <w:r w:rsidRPr="001D3234">
              <w:rPr>
                <w:vertAlign w:val="superscript"/>
              </w:rPr>
              <w:t>®</w:t>
            </w:r>
            <w:r w:rsidRPr="001D3234">
              <w:t>, Biktarvy</w:t>
            </w:r>
            <w:r w:rsidRPr="001D3234">
              <w:rPr>
                <w:vertAlign w:val="superscript"/>
              </w:rPr>
              <w:t>®</w:t>
            </w:r>
            <w:r w:rsidRPr="001D3234">
              <w:t>, Genvoya</w:t>
            </w:r>
            <w:r w:rsidRPr="001D3234">
              <w:rPr>
                <w:vertAlign w:val="superscript"/>
              </w:rPr>
              <w:t>®</w:t>
            </w:r>
            <w:r w:rsidRPr="001D3234">
              <w:t>, Odefsey</w:t>
            </w:r>
            <w:r w:rsidRPr="001D3234">
              <w:rPr>
                <w:vertAlign w:val="superscript"/>
              </w:rPr>
              <w:t>®</w:t>
            </w:r>
            <w:r w:rsidRPr="001D3234">
              <w:t>) for the treatment of HIV infection.</w:t>
            </w:r>
          </w:p>
        </w:tc>
      </w:tr>
    </w:tbl>
    <w:p w:rsidR="000F6F40" w:rsidRPr="001D3234" w:rsidRDefault="000F6F40" w:rsidP="000F6F40">
      <w:pPr>
        <w:pStyle w:val="TableFooter"/>
      </w:pPr>
      <w:r w:rsidRPr="001D3234">
        <w:t xml:space="preserve">Source: Table 3, p15 of the submission. </w:t>
      </w:r>
    </w:p>
    <w:p w:rsidR="000F6F40" w:rsidRPr="001D3234" w:rsidRDefault="000F6F40" w:rsidP="000F6F40">
      <w:pPr>
        <w:pStyle w:val="TableFooter"/>
      </w:pPr>
      <w:r w:rsidRPr="001D3234">
        <w:t>FDC = fixed dose combination; HIV = human immunodeficiency virus; mg = milligram</w:t>
      </w:r>
      <w:r w:rsidR="00104195" w:rsidRPr="001D3234">
        <w:t>; RNA = ribonucleic acid, TDF = tenofovir disoproxil fumarate</w:t>
      </w:r>
    </w:p>
    <w:p w:rsidR="000F6F40" w:rsidRPr="001D3234" w:rsidRDefault="000F6F40" w:rsidP="000F6F40">
      <w:pPr>
        <w:pStyle w:val="TableFooter"/>
        <w:tabs>
          <w:tab w:val="left" w:pos="284"/>
        </w:tabs>
        <w:ind w:left="284" w:hanging="284"/>
      </w:pPr>
      <w:r w:rsidRPr="001D3234">
        <w:t>*</w:t>
      </w:r>
      <w:r w:rsidRPr="001D3234">
        <w:tab/>
        <w:t>three-drug FDCs currently listed on the PBS (Biktarvy</w:t>
      </w:r>
      <w:r w:rsidRPr="001D3234">
        <w:rPr>
          <w:vertAlign w:val="superscript"/>
        </w:rPr>
        <w:t>®</w:t>
      </w:r>
      <w:r w:rsidRPr="001D3234">
        <w:t>, Genvoya</w:t>
      </w:r>
      <w:r w:rsidRPr="001D3234">
        <w:rPr>
          <w:vertAlign w:val="superscript"/>
        </w:rPr>
        <w:t>®</w:t>
      </w:r>
      <w:r w:rsidRPr="001D3234">
        <w:t>, Stribild</w:t>
      </w:r>
      <w:r w:rsidRPr="001D3234">
        <w:rPr>
          <w:vertAlign w:val="superscript"/>
        </w:rPr>
        <w:t>®</w:t>
      </w:r>
      <w:r w:rsidRPr="001D3234">
        <w:t>, Odefsey</w:t>
      </w:r>
      <w:r w:rsidRPr="001D3234">
        <w:rPr>
          <w:vertAlign w:val="superscript"/>
        </w:rPr>
        <w:t>®</w:t>
      </w:r>
      <w:r w:rsidRPr="001D3234">
        <w:t>, Eviplera</w:t>
      </w:r>
      <w:r w:rsidRPr="001D3234">
        <w:rPr>
          <w:vertAlign w:val="superscript"/>
        </w:rPr>
        <w:t>®</w:t>
      </w:r>
      <w:r w:rsidRPr="001D3234">
        <w:t xml:space="preserve"> and Triumeq</w:t>
      </w:r>
      <w:r w:rsidRPr="001D3234">
        <w:rPr>
          <w:vertAlign w:val="superscript"/>
        </w:rPr>
        <w:t>®</w:t>
      </w:r>
      <w:r w:rsidRPr="001D3234">
        <w:t>) for the treatment of treatment-naïve and -experienced patients with HIV infection</w:t>
      </w:r>
    </w:p>
    <w:p w:rsidR="000F6F40" w:rsidRPr="001D3234" w:rsidRDefault="000F6F40" w:rsidP="009917A4">
      <w:pPr>
        <w:pStyle w:val="PBACHeading1"/>
        <w:spacing w:before="120" w:after="120"/>
      </w:pPr>
      <w:bookmarkStart w:id="9" w:name="_Toc9405791"/>
      <w:r w:rsidRPr="001D3234">
        <w:t>Requested listing</w:t>
      </w:r>
      <w:bookmarkEnd w:id="9"/>
    </w:p>
    <w:tbl>
      <w:tblPr>
        <w:tblW w:w="9108"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1153"/>
        <w:gridCol w:w="974"/>
        <w:gridCol w:w="850"/>
        <w:gridCol w:w="1639"/>
        <w:gridCol w:w="2224"/>
      </w:tblGrid>
      <w:tr w:rsidR="000F6F40" w:rsidRPr="001D3234" w:rsidTr="00E11861">
        <w:tc>
          <w:tcPr>
            <w:tcW w:w="2268" w:type="dxa"/>
            <w:tcBorders>
              <w:top w:val="nil"/>
            </w:tcBorders>
          </w:tcPr>
          <w:p w:rsidR="000F6F40" w:rsidRPr="001D3234" w:rsidRDefault="000F6F40" w:rsidP="000D5E60">
            <w:pPr>
              <w:pStyle w:val="Tabletext"/>
              <w:rPr>
                <w:b/>
                <w:bCs/>
              </w:rPr>
            </w:pPr>
            <w:r w:rsidRPr="001D3234">
              <w:rPr>
                <w:b/>
              </w:rPr>
              <w:t>Name, restriction, manner of administration, form</w:t>
            </w:r>
          </w:p>
        </w:tc>
        <w:tc>
          <w:tcPr>
            <w:tcW w:w="1153" w:type="dxa"/>
            <w:tcBorders>
              <w:top w:val="nil"/>
            </w:tcBorders>
          </w:tcPr>
          <w:p w:rsidR="000F6F40" w:rsidRPr="001D3234" w:rsidRDefault="000F6F40" w:rsidP="000D5E60">
            <w:pPr>
              <w:pStyle w:val="Tabletext"/>
              <w:jc w:val="center"/>
              <w:rPr>
                <w:b/>
                <w:bCs/>
              </w:rPr>
            </w:pPr>
            <w:r w:rsidRPr="001D3234">
              <w:rPr>
                <w:b/>
              </w:rPr>
              <w:t>Maximum quantity (packs)</w:t>
            </w:r>
          </w:p>
        </w:tc>
        <w:tc>
          <w:tcPr>
            <w:tcW w:w="974" w:type="dxa"/>
            <w:tcBorders>
              <w:top w:val="nil"/>
            </w:tcBorders>
          </w:tcPr>
          <w:p w:rsidR="000F6F40" w:rsidRPr="001D3234" w:rsidRDefault="000F6F40" w:rsidP="000D5E60">
            <w:pPr>
              <w:pStyle w:val="Tabletext"/>
              <w:jc w:val="center"/>
              <w:rPr>
                <w:b/>
                <w:bCs/>
              </w:rPr>
            </w:pPr>
            <w:r w:rsidRPr="001D3234">
              <w:rPr>
                <w:b/>
              </w:rPr>
              <w:t>Maximum quantity (units)</w:t>
            </w:r>
          </w:p>
        </w:tc>
        <w:tc>
          <w:tcPr>
            <w:tcW w:w="850" w:type="dxa"/>
            <w:tcBorders>
              <w:top w:val="nil"/>
            </w:tcBorders>
          </w:tcPr>
          <w:p w:rsidR="000F6F40" w:rsidRPr="001D3234" w:rsidRDefault="000F6F40" w:rsidP="000D5E60">
            <w:pPr>
              <w:pStyle w:val="Tabletext"/>
              <w:rPr>
                <w:b/>
                <w:bCs/>
              </w:rPr>
            </w:pPr>
            <w:r w:rsidRPr="001D3234">
              <w:rPr>
                <w:b/>
              </w:rPr>
              <w:t>No. of repeats</w:t>
            </w:r>
          </w:p>
        </w:tc>
        <w:tc>
          <w:tcPr>
            <w:tcW w:w="1639" w:type="dxa"/>
            <w:tcBorders>
              <w:top w:val="nil"/>
            </w:tcBorders>
          </w:tcPr>
          <w:p w:rsidR="000F6F40" w:rsidRPr="001D3234" w:rsidRDefault="000F6F40" w:rsidP="000D5E60">
            <w:pPr>
              <w:pStyle w:val="Tabletext"/>
              <w:rPr>
                <w:b/>
                <w:bCs/>
              </w:rPr>
            </w:pPr>
            <w:r w:rsidRPr="001D3234">
              <w:rPr>
                <w:b/>
              </w:rPr>
              <w:t>Dispensed price for maximum quantity</w:t>
            </w:r>
          </w:p>
        </w:tc>
        <w:tc>
          <w:tcPr>
            <w:tcW w:w="2224" w:type="dxa"/>
            <w:tcBorders>
              <w:top w:val="nil"/>
            </w:tcBorders>
          </w:tcPr>
          <w:p w:rsidR="000F6F40" w:rsidRPr="001D3234" w:rsidRDefault="000F6F40" w:rsidP="000D5E60">
            <w:pPr>
              <w:pStyle w:val="Tabletext"/>
              <w:rPr>
                <w:b/>
                <w:bCs/>
              </w:rPr>
            </w:pPr>
            <w:r w:rsidRPr="001D3234">
              <w:rPr>
                <w:b/>
              </w:rPr>
              <w:t>Proprietary name and manufacturer</w:t>
            </w:r>
          </w:p>
        </w:tc>
      </w:tr>
      <w:tr w:rsidR="000F6F40" w:rsidRPr="001D3234" w:rsidTr="00E11861">
        <w:trPr>
          <w:trHeight w:val="845"/>
        </w:trPr>
        <w:tc>
          <w:tcPr>
            <w:tcW w:w="2268" w:type="dxa"/>
          </w:tcPr>
          <w:p w:rsidR="000F6F40" w:rsidRPr="001D3234" w:rsidRDefault="000F6F40" w:rsidP="000D5E60">
            <w:pPr>
              <w:pStyle w:val="Tabletext"/>
              <w:rPr>
                <w:i/>
              </w:rPr>
            </w:pPr>
            <w:r w:rsidRPr="001D3234">
              <w:rPr>
                <w:i/>
              </w:rPr>
              <w:t>Dolutegravir 50mg (as sodium) with lamivudine 300mg, tablets, 30</w:t>
            </w:r>
          </w:p>
        </w:tc>
        <w:tc>
          <w:tcPr>
            <w:tcW w:w="1153" w:type="dxa"/>
          </w:tcPr>
          <w:p w:rsidR="000F6F40" w:rsidRPr="001D3234" w:rsidRDefault="000F6F40" w:rsidP="000D5E60">
            <w:pPr>
              <w:pStyle w:val="Tabletext"/>
              <w:jc w:val="center"/>
              <w:rPr>
                <w:rFonts w:ascii="Times" w:hAnsi="Times"/>
                <w:i/>
              </w:rPr>
            </w:pPr>
            <w:r w:rsidRPr="001D3234">
              <w:rPr>
                <w:i/>
              </w:rPr>
              <w:t>2</w:t>
            </w:r>
          </w:p>
        </w:tc>
        <w:tc>
          <w:tcPr>
            <w:tcW w:w="974" w:type="dxa"/>
          </w:tcPr>
          <w:p w:rsidR="000F6F40" w:rsidRPr="001D3234" w:rsidRDefault="000F6F40" w:rsidP="000D5E60">
            <w:pPr>
              <w:pStyle w:val="Tabletext"/>
              <w:jc w:val="center"/>
              <w:rPr>
                <w:rFonts w:ascii="Times" w:hAnsi="Times"/>
                <w:i/>
              </w:rPr>
            </w:pPr>
            <w:r w:rsidRPr="001D3234">
              <w:rPr>
                <w:i/>
              </w:rPr>
              <w:t>60</w:t>
            </w:r>
          </w:p>
        </w:tc>
        <w:tc>
          <w:tcPr>
            <w:tcW w:w="850" w:type="dxa"/>
          </w:tcPr>
          <w:p w:rsidR="000F6F40" w:rsidRPr="001D3234" w:rsidRDefault="000F6F40" w:rsidP="000D5E60">
            <w:pPr>
              <w:pStyle w:val="Tabletext"/>
              <w:jc w:val="center"/>
              <w:rPr>
                <w:rFonts w:ascii="Times" w:hAnsi="Times"/>
                <w:i/>
              </w:rPr>
            </w:pPr>
            <w:r w:rsidRPr="001D3234">
              <w:rPr>
                <w:i/>
              </w:rPr>
              <w:t>5</w:t>
            </w:r>
          </w:p>
        </w:tc>
        <w:tc>
          <w:tcPr>
            <w:tcW w:w="1639" w:type="dxa"/>
          </w:tcPr>
          <w:p w:rsidR="000F6F40" w:rsidRPr="001D3234" w:rsidRDefault="000F6F40" w:rsidP="008A20F9">
            <w:pPr>
              <w:pStyle w:val="Tabletext"/>
              <w:jc w:val="center"/>
              <w:rPr>
                <w:rFonts w:ascii="Times" w:hAnsi="Times"/>
                <w:i/>
              </w:rPr>
            </w:pPr>
            <w:r w:rsidRPr="001D3234">
              <w:rPr>
                <w:i/>
              </w:rPr>
              <w:t>$</w:t>
            </w:r>
            <w:r w:rsidR="00613737">
              <w:rPr>
                <w:i/>
                <w:noProof/>
                <w:color w:val="000000"/>
                <w:highlight w:val="black"/>
              </w:rPr>
              <w:t>'''''''''''''''''''</w:t>
            </w:r>
          </w:p>
        </w:tc>
        <w:tc>
          <w:tcPr>
            <w:tcW w:w="2224" w:type="dxa"/>
          </w:tcPr>
          <w:p w:rsidR="008A20F9" w:rsidRPr="001D3234" w:rsidRDefault="00C952B2" w:rsidP="008A20F9">
            <w:pPr>
              <w:pStyle w:val="Tabletext"/>
              <w:jc w:val="center"/>
              <w:rPr>
                <w:i/>
              </w:rPr>
            </w:pPr>
            <w:r w:rsidRPr="001D3234">
              <w:rPr>
                <w:i/>
              </w:rPr>
              <w:t>Dovato</w:t>
            </w:r>
            <w:r w:rsidRPr="001D3234">
              <w:rPr>
                <w:i/>
                <w:vertAlign w:val="superscript"/>
              </w:rPr>
              <w:t>®</w:t>
            </w:r>
            <w:r w:rsidRPr="001D3234">
              <w:rPr>
                <w:i/>
              </w:rPr>
              <w:t xml:space="preserve"> </w:t>
            </w:r>
            <w:r w:rsidR="000F6F40" w:rsidRPr="001D3234">
              <w:rPr>
                <w:i/>
              </w:rPr>
              <w:t xml:space="preserve">, </w:t>
            </w:r>
          </w:p>
          <w:p w:rsidR="000F6F40" w:rsidRPr="001D3234" w:rsidRDefault="000F6F40" w:rsidP="008A20F9">
            <w:pPr>
              <w:pStyle w:val="Tabletext"/>
              <w:jc w:val="center"/>
              <w:rPr>
                <w:rFonts w:ascii="Times" w:hAnsi="Times"/>
                <w:i/>
              </w:rPr>
            </w:pPr>
            <w:r w:rsidRPr="001D3234">
              <w:rPr>
                <w:i/>
              </w:rPr>
              <w:t>ViiV Health care Pty Ltd.</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Episodicity:</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 xml:space="preserve">Daily, continuous treatment </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Condition:</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HIV infection</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PBS Indication:</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HIV infection</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Treatment phase:</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Initial</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Restriction:</w:t>
            </w:r>
          </w:p>
          <w:p w:rsidR="000F6F40" w:rsidRPr="001D3234" w:rsidRDefault="000F6F40" w:rsidP="000D5E60">
            <w:pPr>
              <w:pStyle w:val="Tabletext"/>
              <w:rPr>
                <w:i/>
              </w:rPr>
            </w:pP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fldChar w:fldCharType="begin">
                <w:ffData>
                  <w:name w:val="Check1"/>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Restricted benefit</w:t>
            </w:r>
          </w:p>
          <w:p w:rsidR="000F6F40" w:rsidRPr="001D3234" w:rsidRDefault="000F6F40" w:rsidP="000D5E60">
            <w:pPr>
              <w:pStyle w:val="Tabletext"/>
            </w:pPr>
            <w:r w:rsidRPr="001D3234">
              <w:fldChar w:fldCharType="begin">
                <w:ffData>
                  <w:name w:val=""/>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In Writing</w:t>
            </w:r>
          </w:p>
          <w:p w:rsidR="000F6F40" w:rsidRPr="001D3234" w:rsidRDefault="000F6F40" w:rsidP="000D5E60">
            <w:pPr>
              <w:pStyle w:val="Tabletext"/>
            </w:pPr>
            <w:r w:rsidRPr="001D3234">
              <w:fldChar w:fldCharType="begin">
                <w:ffData>
                  <w:name w:val="Check3"/>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Telephone</w:t>
            </w:r>
          </w:p>
          <w:p w:rsidR="000F6F40" w:rsidRPr="001D3234" w:rsidRDefault="000F6F40" w:rsidP="000D5E60">
            <w:pPr>
              <w:pStyle w:val="Tabletext"/>
            </w:pPr>
            <w:r w:rsidRPr="001D3234">
              <w:fldChar w:fldCharType="begin">
                <w:ffData>
                  <w:name w:val=""/>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Emergency</w:t>
            </w:r>
          </w:p>
          <w:p w:rsidR="000F6F40" w:rsidRPr="001D3234" w:rsidRDefault="000F6F40" w:rsidP="000D5E60">
            <w:pPr>
              <w:pStyle w:val="Tabletext"/>
            </w:pPr>
            <w:r w:rsidRPr="001D3234">
              <w:fldChar w:fldCharType="begin">
                <w:ffData>
                  <w:name w:val="Check5"/>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Electronic</w:t>
            </w:r>
          </w:p>
          <w:p w:rsidR="000F6F40" w:rsidRPr="001D3234" w:rsidRDefault="000F6F40" w:rsidP="000D5E60">
            <w:pPr>
              <w:pStyle w:val="Tabletext"/>
            </w:pPr>
            <w:r w:rsidRPr="001D3234">
              <w:fldChar w:fldCharType="begin">
                <w:ffData>
                  <w:name w:val="Check5"/>
                  <w:enabled/>
                  <w:calcOnExit w:val="0"/>
                  <w:checkBox>
                    <w:sizeAuto/>
                    <w:default w:val="1"/>
                  </w:checkBox>
                </w:ffData>
              </w:fldChar>
            </w:r>
            <w:r w:rsidRPr="001D3234">
              <w:instrText xml:space="preserve"> FORMCHECKBOX </w:instrText>
            </w:r>
            <w:r w:rsidR="00032F3C">
              <w:fldChar w:fldCharType="separate"/>
            </w:r>
            <w:r w:rsidRPr="001D3234">
              <w:fldChar w:fldCharType="end"/>
            </w:r>
            <w:r w:rsidRPr="001D3234">
              <w:t>Streamlined</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Clinical criteria:</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rFonts w:cs="Arial"/>
              </w:rPr>
            </w:pPr>
            <w:r w:rsidRPr="001D3234">
              <w:t xml:space="preserve">Patient must be antiretroviral treatment naïve </w:t>
            </w:r>
          </w:p>
        </w:tc>
      </w:tr>
      <w:tr w:rsidR="000F6F40" w:rsidRPr="001D3234" w:rsidTr="00E11861">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rPr>
                <w:b/>
              </w:rPr>
            </w:pPr>
            <w:r w:rsidRPr="001D3234">
              <w:rPr>
                <w:b/>
              </w:rPr>
              <w:t>Population criteria:</w:t>
            </w:r>
          </w:p>
        </w:tc>
        <w:tc>
          <w:tcPr>
            <w:tcW w:w="6840" w:type="dxa"/>
            <w:gridSpan w:val="5"/>
            <w:tcBorders>
              <w:top w:val="single" w:sz="4" w:space="0" w:color="auto"/>
              <w:left w:val="single" w:sz="4" w:space="0" w:color="auto"/>
              <w:bottom w:val="single" w:sz="4" w:space="0" w:color="auto"/>
              <w:right w:val="single" w:sz="4" w:space="0" w:color="auto"/>
            </w:tcBorders>
          </w:tcPr>
          <w:p w:rsidR="000F6F40" w:rsidRPr="001D3234" w:rsidRDefault="000F6F40" w:rsidP="000D5E60">
            <w:pPr>
              <w:pStyle w:val="Tabletext"/>
            </w:pPr>
            <w:r w:rsidRPr="001D3234">
              <w:t>Patient must be aged 12 years or older</w:t>
            </w:r>
          </w:p>
          <w:p w:rsidR="000F6F40" w:rsidRPr="001D3234" w:rsidRDefault="000F6F40" w:rsidP="000D5E60">
            <w:pPr>
              <w:pStyle w:val="Tabletext"/>
            </w:pPr>
            <w:r w:rsidRPr="001D3234">
              <w:t>AND</w:t>
            </w:r>
          </w:p>
          <w:p w:rsidR="000F6F40" w:rsidRPr="001D3234" w:rsidRDefault="000F6F40" w:rsidP="000D5E60">
            <w:pPr>
              <w:pStyle w:val="Tabletext"/>
            </w:pPr>
            <w:r w:rsidRPr="001D3234">
              <w:t>Patient must weigh 40kg or more</w:t>
            </w:r>
          </w:p>
        </w:tc>
      </w:tr>
    </w:tbl>
    <w:p w:rsidR="00554E07" w:rsidRPr="009917A4" w:rsidRDefault="00554E07" w:rsidP="000F6F40">
      <w:pPr>
        <w:pStyle w:val="TableFooter"/>
        <w:rPr>
          <w:sz w:val="24"/>
        </w:rPr>
      </w:pPr>
    </w:p>
    <w:tbl>
      <w:tblPr>
        <w:tblW w:w="9108" w:type="dxa"/>
        <w:tblLook w:val="0000" w:firstRow="0" w:lastRow="0" w:firstColumn="0" w:lastColumn="0" w:noHBand="0" w:noVBand="0"/>
      </w:tblPr>
      <w:tblGrid>
        <w:gridCol w:w="2263"/>
        <w:gridCol w:w="6845"/>
      </w:tblGrid>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Episodicity:</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 xml:space="preserve">Daily, continuous treatment </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Condition:</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HIV infection</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PBS Indication:</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HIV infection</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Treatment phase:</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Continuing</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Restriction:</w:t>
            </w:r>
          </w:p>
          <w:p w:rsidR="00E63C9D" w:rsidRPr="001D3234" w:rsidRDefault="00E63C9D" w:rsidP="006D141C">
            <w:pPr>
              <w:pStyle w:val="Tabletext"/>
              <w:rPr>
                <w:b/>
              </w:rPr>
            </w:pP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fldChar w:fldCharType="begin">
                <w:ffData>
                  <w:name w:val="Check1"/>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Restricted benefit</w:t>
            </w:r>
          </w:p>
          <w:p w:rsidR="00E63C9D" w:rsidRPr="001D3234" w:rsidRDefault="00E63C9D" w:rsidP="006D141C">
            <w:pPr>
              <w:pStyle w:val="Tabletext"/>
            </w:pPr>
            <w:r w:rsidRPr="001D3234">
              <w:fldChar w:fldCharType="begin">
                <w:ffData>
                  <w:name w:val=""/>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In Writing</w:t>
            </w:r>
          </w:p>
          <w:p w:rsidR="00E63C9D" w:rsidRPr="001D3234" w:rsidRDefault="00E63C9D" w:rsidP="006D141C">
            <w:pPr>
              <w:pStyle w:val="Tabletext"/>
            </w:pPr>
            <w:r w:rsidRPr="001D3234">
              <w:fldChar w:fldCharType="begin">
                <w:ffData>
                  <w:name w:val="Check3"/>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Telephone</w:t>
            </w:r>
          </w:p>
          <w:p w:rsidR="00E63C9D" w:rsidRPr="001D3234" w:rsidRDefault="00E63C9D" w:rsidP="006D141C">
            <w:pPr>
              <w:pStyle w:val="Tabletext"/>
            </w:pPr>
            <w:r w:rsidRPr="001D3234">
              <w:fldChar w:fldCharType="begin">
                <w:ffData>
                  <w:name w:val=""/>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Emergency</w:t>
            </w:r>
          </w:p>
          <w:p w:rsidR="00E63C9D" w:rsidRPr="001D3234" w:rsidRDefault="00E63C9D" w:rsidP="006D141C">
            <w:pPr>
              <w:pStyle w:val="Tabletext"/>
            </w:pPr>
            <w:r w:rsidRPr="001D3234">
              <w:fldChar w:fldCharType="begin">
                <w:ffData>
                  <w:name w:val="Check5"/>
                  <w:enabled/>
                  <w:calcOnExit w:val="0"/>
                  <w:checkBox>
                    <w:sizeAuto/>
                    <w:default w:val="0"/>
                  </w:checkBox>
                </w:ffData>
              </w:fldChar>
            </w:r>
            <w:r w:rsidRPr="001D3234">
              <w:instrText xml:space="preserve"> FORMCHECKBOX </w:instrText>
            </w:r>
            <w:r w:rsidR="00032F3C">
              <w:fldChar w:fldCharType="separate"/>
            </w:r>
            <w:r w:rsidRPr="001D3234">
              <w:fldChar w:fldCharType="end"/>
            </w:r>
            <w:r w:rsidRPr="001D3234">
              <w:t>Authority Required - Electronic</w:t>
            </w:r>
          </w:p>
          <w:p w:rsidR="00E63C9D" w:rsidRPr="001D3234" w:rsidRDefault="00E63C9D" w:rsidP="006D141C">
            <w:pPr>
              <w:pStyle w:val="Tabletext"/>
            </w:pPr>
            <w:r w:rsidRPr="001D3234">
              <w:fldChar w:fldCharType="begin">
                <w:ffData>
                  <w:name w:val="Check5"/>
                  <w:enabled/>
                  <w:calcOnExit w:val="0"/>
                  <w:checkBox>
                    <w:sizeAuto/>
                    <w:default w:val="1"/>
                  </w:checkBox>
                </w:ffData>
              </w:fldChar>
            </w:r>
            <w:r w:rsidRPr="001D3234">
              <w:instrText xml:space="preserve"> FORMCHECKBOX </w:instrText>
            </w:r>
            <w:r w:rsidR="00032F3C">
              <w:fldChar w:fldCharType="separate"/>
            </w:r>
            <w:r w:rsidRPr="001D3234">
              <w:fldChar w:fldCharType="end"/>
            </w:r>
            <w:r w:rsidRPr="001D3234">
              <w:t>Streamlined</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lastRenderedPageBreak/>
              <w:t>Clinical criteria:</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 xml:space="preserve">Patient must have previously received PBS-subsidised therapy for HIV infection </w:t>
            </w:r>
          </w:p>
        </w:tc>
      </w:tr>
      <w:tr w:rsidR="00E63C9D" w:rsidRPr="001D3234" w:rsidTr="0075623E">
        <w:trPr>
          <w:cantSplit/>
        </w:trPr>
        <w:tc>
          <w:tcPr>
            <w:tcW w:w="2263"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rPr>
                <w:b/>
              </w:rPr>
            </w:pPr>
            <w:r w:rsidRPr="001D3234">
              <w:rPr>
                <w:b/>
              </w:rPr>
              <w:t>Population criteria:</w:t>
            </w:r>
          </w:p>
        </w:tc>
        <w:tc>
          <w:tcPr>
            <w:tcW w:w="6845" w:type="dxa"/>
            <w:tcBorders>
              <w:top w:val="single" w:sz="4" w:space="0" w:color="auto"/>
              <w:left w:val="single" w:sz="4" w:space="0" w:color="auto"/>
              <w:bottom w:val="single" w:sz="4" w:space="0" w:color="auto"/>
              <w:right w:val="single" w:sz="4" w:space="0" w:color="auto"/>
            </w:tcBorders>
          </w:tcPr>
          <w:p w:rsidR="00E63C9D" w:rsidRPr="001D3234" w:rsidRDefault="00E63C9D" w:rsidP="006D141C">
            <w:pPr>
              <w:pStyle w:val="Tabletext"/>
            </w:pPr>
            <w:r w:rsidRPr="001D3234">
              <w:t>Patient must be aged 12 years or older</w:t>
            </w:r>
          </w:p>
          <w:p w:rsidR="00E63C9D" w:rsidRPr="001D3234" w:rsidRDefault="00E63C9D" w:rsidP="006D141C">
            <w:pPr>
              <w:pStyle w:val="Tabletext"/>
            </w:pPr>
            <w:r w:rsidRPr="001D3234">
              <w:t>AND</w:t>
            </w:r>
          </w:p>
          <w:p w:rsidR="00E63C9D" w:rsidRPr="001D3234" w:rsidRDefault="00E63C9D" w:rsidP="006D141C">
            <w:pPr>
              <w:pStyle w:val="Tabletext"/>
            </w:pPr>
            <w:r w:rsidRPr="001D3234">
              <w:t>Patient must weigh 40kg or more</w:t>
            </w:r>
          </w:p>
        </w:tc>
      </w:tr>
    </w:tbl>
    <w:p w:rsidR="000F6F40" w:rsidRPr="001D3234" w:rsidRDefault="00316457" w:rsidP="000F6F40">
      <w:pPr>
        <w:pStyle w:val="TableFooter"/>
      </w:pPr>
      <w:r w:rsidRPr="001D3234">
        <w:t xml:space="preserve">Source: Table 21-23, pp39-40 </w:t>
      </w:r>
      <w:r w:rsidR="000F6F40" w:rsidRPr="001D3234">
        <w:t>of the submission.</w:t>
      </w:r>
    </w:p>
    <w:p w:rsidR="000F6F40" w:rsidRPr="001D3234" w:rsidRDefault="000F6F40" w:rsidP="000F6F40"/>
    <w:p w:rsidR="000F6F40" w:rsidRPr="001D3234" w:rsidRDefault="000F6F40" w:rsidP="00FB4283">
      <w:pPr>
        <w:pStyle w:val="ListParagraph"/>
        <w:widowControl/>
        <w:numPr>
          <w:ilvl w:val="1"/>
          <w:numId w:val="1"/>
        </w:numPr>
      </w:pPr>
      <w:r w:rsidRPr="001D3234">
        <w:rPr>
          <w:color w:val="000000" w:themeColor="text1"/>
        </w:rPr>
        <w:t>No details of any Special Pricing Arrangement were presented.</w:t>
      </w:r>
    </w:p>
    <w:p w:rsidR="000F6F40" w:rsidRPr="001D3234" w:rsidRDefault="000F6F40" w:rsidP="00FB4283">
      <w:pPr>
        <w:pStyle w:val="ListParagraph"/>
        <w:widowControl/>
        <w:numPr>
          <w:ilvl w:val="1"/>
          <w:numId w:val="1"/>
        </w:numPr>
      </w:pPr>
      <w:r w:rsidRPr="001D3234">
        <w:t>The</w:t>
      </w:r>
      <w:r w:rsidR="00316457" w:rsidRPr="001D3234">
        <w:t xml:space="preserve"> restriction included treatment-</w:t>
      </w:r>
      <w:r w:rsidRPr="001D3234">
        <w:t xml:space="preserve">experienced patients, which was inconsistent with the </w:t>
      </w:r>
      <w:r w:rsidR="00316457" w:rsidRPr="001D3234">
        <w:t xml:space="preserve">population in the GEMINI trials and the </w:t>
      </w:r>
      <w:r w:rsidRPr="001D3234">
        <w:t>indication recommended by the TGA evaluator (round 1</w:t>
      </w:r>
      <w:r w:rsidR="00463143" w:rsidRPr="001D3234">
        <w:t xml:space="preserve"> and round 2</w:t>
      </w:r>
      <w:r w:rsidRPr="001D3234">
        <w:t xml:space="preserve">). </w:t>
      </w:r>
    </w:p>
    <w:p w:rsidR="000F6F40" w:rsidRPr="001D3234" w:rsidRDefault="000F6F40" w:rsidP="000F6F40">
      <w:pPr>
        <w:pStyle w:val="PBACHeading1"/>
      </w:pPr>
      <w:bookmarkStart w:id="10" w:name="_Toc9405792"/>
      <w:r w:rsidRPr="001D3234">
        <w:t>Background</w:t>
      </w:r>
      <w:bookmarkEnd w:id="10"/>
    </w:p>
    <w:p w:rsidR="000F6F40" w:rsidRPr="001D3234" w:rsidRDefault="000F6F40" w:rsidP="009917A4">
      <w:pPr>
        <w:spacing w:before="120" w:after="120"/>
        <w:rPr>
          <w:b/>
          <w:i/>
          <w:sz w:val="28"/>
          <w:szCs w:val="28"/>
        </w:rPr>
      </w:pPr>
      <w:r w:rsidRPr="001D3234">
        <w:rPr>
          <w:b/>
          <w:i/>
          <w:sz w:val="28"/>
          <w:szCs w:val="28"/>
        </w:rPr>
        <w:t>Registration status</w:t>
      </w:r>
    </w:p>
    <w:p w:rsidR="000F6F40" w:rsidRDefault="000F6F40" w:rsidP="00F57461">
      <w:pPr>
        <w:pStyle w:val="ListParagraph"/>
        <w:widowControl/>
        <w:numPr>
          <w:ilvl w:val="1"/>
          <w:numId w:val="1"/>
        </w:numPr>
        <w:spacing w:after="0"/>
      </w:pPr>
      <w:r w:rsidRPr="001D3234">
        <w:t xml:space="preserve">The submission was made under TGA/PBAC Parallel Process. </w:t>
      </w:r>
      <w:r w:rsidR="005248B8" w:rsidRPr="001D3234">
        <w:t xml:space="preserve">TGA status at time of </w:t>
      </w:r>
      <w:r w:rsidR="001F430B" w:rsidRPr="001D3234">
        <w:t>PBAC consideration</w:t>
      </w:r>
      <w:r w:rsidR="005248B8" w:rsidRPr="001D3234">
        <w:t xml:space="preserve">: </w:t>
      </w:r>
      <w:r w:rsidR="00D96308" w:rsidRPr="001D3234">
        <w:t xml:space="preserve">The </w:t>
      </w:r>
      <w:r w:rsidR="001F430B" w:rsidRPr="001D3234">
        <w:t>Delegate’s Request for ACM Advice</w:t>
      </w:r>
      <w:r w:rsidR="00283F15" w:rsidRPr="001D3234">
        <w:t xml:space="preserve"> became available prior</w:t>
      </w:r>
      <w:r w:rsidR="00A1307E" w:rsidRPr="001D3234">
        <w:t xml:space="preserve"> to consideration</w:t>
      </w:r>
      <w:r w:rsidR="003052F5" w:rsidRPr="001D3234">
        <w:t xml:space="preserve">. The </w:t>
      </w:r>
      <w:r w:rsidR="001F430B" w:rsidRPr="001D3234">
        <w:t>Delegate remained of the view the risk-benefit profile of Dovato was positive in the treatment-naïve population and requested the ACM provide advice on whether registration should include the treatment-experienced population.</w:t>
      </w:r>
      <w:r w:rsidR="00D96308" w:rsidRPr="001D3234">
        <w:t xml:space="preserve"> </w:t>
      </w:r>
    </w:p>
    <w:p w:rsidR="000F6F40" w:rsidRPr="001D3234" w:rsidRDefault="000F6F40" w:rsidP="009917A4">
      <w:pPr>
        <w:pStyle w:val="PBACHeading1"/>
        <w:spacing w:before="120" w:after="120"/>
      </w:pPr>
      <w:bookmarkStart w:id="11" w:name="_Toc9405793"/>
      <w:r w:rsidRPr="001D3234">
        <w:t>Population and disease</w:t>
      </w:r>
      <w:bookmarkEnd w:id="11"/>
    </w:p>
    <w:p w:rsidR="000F6F40" w:rsidRPr="001D3234" w:rsidRDefault="000F6F40" w:rsidP="00F57461">
      <w:pPr>
        <w:pStyle w:val="ListParagraph"/>
        <w:widowControl/>
        <w:numPr>
          <w:ilvl w:val="1"/>
          <w:numId w:val="1"/>
        </w:numPr>
        <w:spacing w:after="120"/>
        <w:rPr>
          <w:color w:val="000000" w:themeColor="text1"/>
        </w:rPr>
      </w:pPr>
      <w:r w:rsidRPr="001D3234">
        <w:rPr>
          <w:color w:val="000000" w:themeColor="text1"/>
        </w:rPr>
        <w:t xml:space="preserve">The proposed place in therapy of </w:t>
      </w:r>
      <w:r w:rsidR="005B3582" w:rsidRPr="001D3234">
        <w:rPr>
          <w:color w:val="000000" w:themeColor="text1"/>
        </w:rPr>
        <w:t>Dovato®</w:t>
      </w:r>
      <w:r w:rsidR="00316457" w:rsidRPr="001D3234">
        <w:rPr>
          <w:color w:val="000000" w:themeColor="text1"/>
        </w:rPr>
        <w:t xml:space="preserve"> </w:t>
      </w:r>
      <w:r w:rsidR="004D0D48" w:rsidRPr="001D3234">
        <w:rPr>
          <w:color w:val="000000" w:themeColor="text1"/>
        </w:rPr>
        <w:t>is</w:t>
      </w:r>
      <w:r w:rsidRPr="001D3234">
        <w:rPr>
          <w:color w:val="000000" w:themeColor="text1"/>
        </w:rPr>
        <w:t xml:space="preserve"> in treatment</w:t>
      </w:r>
      <w:r w:rsidR="00316457" w:rsidRPr="001D3234">
        <w:rPr>
          <w:color w:val="000000" w:themeColor="text1"/>
        </w:rPr>
        <w:t>-</w:t>
      </w:r>
      <w:r w:rsidRPr="001D3234">
        <w:rPr>
          <w:color w:val="000000" w:themeColor="text1"/>
        </w:rPr>
        <w:t>naïve and tre</w:t>
      </w:r>
      <w:r w:rsidR="00316457" w:rsidRPr="001D3234">
        <w:rPr>
          <w:color w:val="000000" w:themeColor="text1"/>
        </w:rPr>
        <w:t>atment-</w:t>
      </w:r>
      <w:r w:rsidRPr="001D3234">
        <w:rPr>
          <w:color w:val="000000" w:themeColor="text1"/>
        </w:rPr>
        <w:t xml:space="preserve">experienced HIV-1 patients. </w:t>
      </w:r>
      <w:r w:rsidRPr="001D3234">
        <w:t>The proposed population includes treatment-naïve individuals as well as patients who would switch treatment (treatment-experienced), while the pivotal GEMINI trials only included treatment-naïve patients. The</w:t>
      </w:r>
      <w:r w:rsidR="004D0D48" w:rsidRPr="001D3234">
        <w:t xml:space="preserve"> </w:t>
      </w:r>
      <w:r w:rsidRPr="001D3234">
        <w:t xml:space="preserve">TGA clinical </w:t>
      </w:r>
      <w:r w:rsidR="001D3234" w:rsidRPr="001D3234">
        <w:t>evaluator’s</w:t>
      </w:r>
      <w:r w:rsidRPr="001D3234">
        <w:t xml:space="preserve"> report</w:t>
      </w:r>
      <w:r w:rsidR="00463143" w:rsidRPr="001D3234">
        <w:t>s</w:t>
      </w:r>
      <w:r w:rsidR="00A1307E" w:rsidRPr="001D3234">
        <w:t xml:space="preserve"> and Delegate’s Overview</w:t>
      </w:r>
      <w:r w:rsidRPr="001D3234">
        <w:t xml:space="preserve"> recommended an indication for only treatment-naïve patients, though the sponsor</w:t>
      </w:r>
      <w:r w:rsidR="00463143" w:rsidRPr="001D3234">
        <w:t xml:space="preserve"> </w:t>
      </w:r>
      <w:r w:rsidRPr="001D3234">
        <w:t>pre</w:t>
      </w:r>
      <w:r w:rsidR="00104195" w:rsidRPr="001D3234">
        <w:t>sented several arguments for</w:t>
      </w:r>
      <w:r w:rsidRPr="001D3234">
        <w:t xml:space="preserve"> </w:t>
      </w:r>
      <w:r w:rsidR="00104195" w:rsidRPr="001D3234">
        <w:t>including treatment-experienced patients</w:t>
      </w:r>
      <w:r w:rsidRPr="001D3234">
        <w:t>.</w:t>
      </w:r>
    </w:p>
    <w:p w:rsidR="000F6F40" w:rsidRPr="001D3234" w:rsidRDefault="000F6F40" w:rsidP="00F57461">
      <w:pPr>
        <w:pStyle w:val="ListParagraph"/>
        <w:widowControl/>
        <w:numPr>
          <w:ilvl w:val="1"/>
          <w:numId w:val="1"/>
        </w:numPr>
        <w:spacing w:after="120"/>
        <w:rPr>
          <w:color w:val="000000" w:themeColor="text1"/>
        </w:rPr>
      </w:pPr>
      <w:r w:rsidRPr="001D3234">
        <w:t xml:space="preserve">HIV is an enveloped single-stranded RNA retrovirus that attaches to CD4 receptors expressed on the surface of lymphocytes, destroying or impairing the function of the immune system. </w:t>
      </w:r>
    </w:p>
    <w:p w:rsidR="000F6F40" w:rsidRPr="001D3234" w:rsidRDefault="000F6F40" w:rsidP="00F57461">
      <w:pPr>
        <w:pStyle w:val="ListParagraph"/>
        <w:widowControl/>
        <w:numPr>
          <w:ilvl w:val="1"/>
          <w:numId w:val="1"/>
        </w:numPr>
        <w:spacing w:after="120"/>
        <w:rPr>
          <w:color w:val="000000" w:themeColor="text1"/>
        </w:rPr>
      </w:pPr>
      <w:r w:rsidRPr="001D3234">
        <w:t>If left untreated, patients experience a gradual decline in CD4 cell count, with a median loss of 80 cells/mm</w:t>
      </w:r>
      <w:r w:rsidRPr="001D3234">
        <w:rPr>
          <w:vertAlign w:val="superscript"/>
        </w:rPr>
        <w:t>3</w:t>
      </w:r>
      <w:r w:rsidRPr="001D3234">
        <w:t xml:space="preserve"> per year. Progression to Acquired Immunodeficiency Syndrome (AIDS), marked by the development of opportunistic infections or specific malignancies, occurs a median of 10 years after initial infection with HIV. At this time, CD4 cell count usually falls below 200 cells/mm</w:t>
      </w:r>
      <w:r w:rsidRPr="001D3234">
        <w:rPr>
          <w:vertAlign w:val="superscript"/>
        </w:rPr>
        <w:t>3</w:t>
      </w:r>
      <w:r w:rsidRPr="001D3234">
        <w:t xml:space="preserve"> and patients are severely immunocompromised (ASHM 2015).</w:t>
      </w:r>
    </w:p>
    <w:p w:rsidR="000F6F40" w:rsidRPr="001D3234" w:rsidRDefault="00B72D09" w:rsidP="00F57461">
      <w:pPr>
        <w:pStyle w:val="ListParagraph"/>
        <w:widowControl/>
        <w:numPr>
          <w:ilvl w:val="1"/>
          <w:numId w:val="1"/>
        </w:numPr>
        <w:spacing w:after="120"/>
        <w:rPr>
          <w:color w:val="000000" w:themeColor="text1"/>
        </w:rPr>
      </w:pPr>
      <w:r w:rsidRPr="001D3234">
        <w:t>T</w:t>
      </w:r>
      <w:r w:rsidR="000F6F40" w:rsidRPr="001D3234">
        <w:t>he proportion of patients</w:t>
      </w:r>
      <w:r w:rsidRPr="001D3234">
        <w:t xml:space="preserve"> living with diagnosed HIV</w:t>
      </w:r>
      <w:r w:rsidR="000F6F40" w:rsidRPr="001D3234">
        <w:t xml:space="preserve"> aged over 50 years has increased </w:t>
      </w:r>
      <w:r w:rsidR="00316457" w:rsidRPr="001D3234">
        <w:t>(44% in 2015 to 46% in 2017)</w:t>
      </w:r>
      <w:r w:rsidR="000F6F40" w:rsidRPr="001D3234">
        <w:t>, correlating with the improved survival through the availability of</w:t>
      </w:r>
      <w:r w:rsidRPr="001D3234">
        <w:t xml:space="preserve"> anti-retroviral therapy</w:t>
      </w:r>
      <w:r w:rsidR="000F6F40" w:rsidRPr="001D3234">
        <w:t xml:space="preserve"> </w:t>
      </w:r>
      <w:r w:rsidRPr="001D3234">
        <w:t>(</w:t>
      </w:r>
      <w:r w:rsidR="000F6F40" w:rsidRPr="001D3234">
        <w:t>ART</w:t>
      </w:r>
      <w:r w:rsidRPr="001D3234">
        <w:t>)</w:t>
      </w:r>
      <w:r w:rsidR="000F6F40" w:rsidRPr="001D3234">
        <w:t xml:space="preserve"> and a reduction in AIDS-related complications.</w:t>
      </w:r>
    </w:p>
    <w:p w:rsidR="00AD56F1" w:rsidRPr="001D3234" w:rsidRDefault="00AD56F1" w:rsidP="00AD56F1">
      <w:pPr>
        <w:pStyle w:val="ListParagraph"/>
        <w:ind w:left="709"/>
        <w:rPr>
          <w:rFonts w:asciiTheme="minorHAnsi" w:hAnsiTheme="minorHAnsi"/>
          <w:i/>
        </w:rPr>
      </w:pPr>
      <w:r w:rsidRPr="001D3234">
        <w:rPr>
          <w:rFonts w:asciiTheme="minorHAnsi" w:hAnsiTheme="minorHAnsi"/>
          <w:i/>
        </w:rPr>
        <w:lastRenderedPageBreak/>
        <w:t>For more detail on PBAC’s view, see section 7 PBAC outcome.</w:t>
      </w:r>
    </w:p>
    <w:p w:rsidR="00AD56F1" w:rsidRPr="001D3234" w:rsidRDefault="00AD56F1" w:rsidP="00AD56F1">
      <w:pPr>
        <w:pStyle w:val="ListParagraph"/>
        <w:widowControl/>
        <w:rPr>
          <w:color w:val="000000" w:themeColor="text1"/>
        </w:rPr>
      </w:pPr>
    </w:p>
    <w:p w:rsidR="000F6F40" w:rsidRPr="001D3234" w:rsidRDefault="000F6F40" w:rsidP="009917A4">
      <w:pPr>
        <w:pStyle w:val="PBACHeading1"/>
        <w:spacing w:before="120" w:after="120"/>
      </w:pPr>
      <w:bookmarkStart w:id="12" w:name="_Toc9405794"/>
      <w:r w:rsidRPr="001D3234">
        <w:t>Comparator</w:t>
      </w:r>
      <w:bookmarkEnd w:id="12"/>
    </w:p>
    <w:p w:rsidR="000F6F40" w:rsidRPr="001D3234" w:rsidRDefault="000F6F40" w:rsidP="00F57461">
      <w:pPr>
        <w:pStyle w:val="ListParagraph"/>
        <w:widowControl/>
        <w:numPr>
          <w:ilvl w:val="1"/>
          <w:numId w:val="1"/>
        </w:numPr>
        <w:spacing w:after="120"/>
        <w:rPr>
          <w:color w:val="000000" w:themeColor="text1"/>
        </w:rPr>
      </w:pPr>
      <w:r w:rsidRPr="001D3234">
        <w:t>The submission nominated the component products dolutegravir 50mg and lamivudine 300mg, taken concomitantly</w:t>
      </w:r>
      <w:r w:rsidR="005B3582" w:rsidRPr="001D3234">
        <w:t xml:space="preserve"> (DTG + 3TC)</w:t>
      </w:r>
      <w:r w:rsidRPr="001D3234">
        <w:t xml:space="preserve">, as a comparator. The main arguments provided in support of this nomination were recommendations from the PBAC guidelines (Version 5, Section P1.1.1, p126). The submission noted that pricing based on the individual components was utilised in the cost-minimisation analyses to determine the lowest cost iteration of </w:t>
      </w:r>
      <w:r w:rsidR="00B72D09" w:rsidRPr="001D3234">
        <w:rPr>
          <w:color w:val="000000" w:themeColor="text1"/>
        </w:rPr>
        <w:t>Dovato</w:t>
      </w:r>
      <w:r w:rsidR="00B72D09" w:rsidRPr="001D3234">
        <w:t>®</w:t>
      </w:r>
      <w:r w:rsidRPr="001D3234">
        <w:t>.</w:t>
      </w:r>
      <w:r w:rsidR="00316457" w:rsidRPr="001D3234">
        <w:t xml:space="preserve"> </w:t>
      </w:r>
      <w:r w:rsidR="001D3234">
        <w:t>A bioequivalence study supported t</w:t>
      </w:r>
      <w:r w:rsidR="001D3234" w:rsidRPr="001D3234">
        <w:t xml:space="preserve">his </w:t>
      </w:r>
      <w:r w:rsidR="00316457" w:rsidRPr="001D3234">
        <w:t>cost-minimisation approach.</w:t>
      </w:r>
    </w:p>
    <w:p w:rsidR="000F6F40" w:rsidRPr="001D3234" w:rsidRDefault="000F6F40" w:rsidP="00F57461">
      <w:pPr>
        <w:pStyle w:val="ListParagraph"/>
        <w:widowControl/>
        <w:numPr>
          <w:ilvl w:val="1"/>
          <w:numId w:val="1"/>
        </w:numPr>
        <w:spacing w:after="120"/>
        <w:rPr>
          <w:color w:val="000000" w:themeColor="text1"/>
        </w:rPr>
      </w:pPr>
      <w:r w:rsidRPr="001D3234">
        <w:t xml:space="preserve">The submission also nominated several single tablet </w:t>
      </w:r>
      <w:r w:rsidR="00316457" w:rsidRPr="001D3234">
        <w:t xml:space="preserve">three-drug </w:t>
      </w:r>
      <w:r w:rsidRPr="001D3234">
        <w:t xml:space="preserve">regimens that prescribers would most replace in practice if use were expected to vary from the current concomitant use of the individual components: Genvoya®, Stribild®, Odefsey®, Eviplera®, Triumeq®, and Biktarvy®, addressing the requirement to consider therapies that would most likely be replaced in practice. Single tablet regimens excluded as comparators by the submission included Atripla® and Juluca®. </w:t>
      </w:r>
      <w:r w:rsidR="007379BB" w:rsidRPr="001D3234">
        <w:t>The PBAC previously advised it was of the view that therapies containing efavirenz (i.e. Atripla) are of inferior safety to non-efavirenz containing therapies for the treatment of HIV infection (dolutegravir/rilpivirine Public Summary Document July 2018, paragraph 7.8).</w:t>
      </w:r>
    </w:p>
    <w:p w:rsidR="006B293E" w:rsidRPr="001D3234" w:rsidRDefault="000F6F40" w:rsidP="00F57461">
      <w:pPr>
        <w:pStyle w:val="ListParagraph"/>
        <w:widowControl/>
        <w:numPr>
          <w:ilvl w:val="1"/>
          <w:numId w:val="1"/>
        </w:numPr>
        <w:spacing w:after="120"/>
        <w:rPr>
          <w:color w:val="000000" w:themeColor="text1"/>
        </w:rPr>
      </w:pPr>
      <w:r w:rsidRPr="001D3234">
        <w:t xml:space="preserve">The PBAC guidelines do not limit the consideration of most replaced therapies in practice to other single tablet fixed dose combination regimens and could include multi-tablet regimens. Notably, the comparator in the pivotal GEMINI trials was a multi-drug regimen of </w:t>
      </w:r>
      <w:r w:rsidR="00CC2E4E" w:rsidRPr="001D3234">
        <w:t>dolutegravir (DTG) + a tenofovir disoproxil fumarate/ emtricitabine FDC (</w:t>
      </w:r>
      <w:r w:rsidRPr="001D3234">
        <w:t>Truvada®</w:t>
      </w:r>
      <w:r w:rsidR="00CC2E4E" w:rsidRPr="001D3234">
        <w:t>)</w:t>
      </w:r>
      <w:r w:rsidRPr="001D3234">
        <w:t xml:space="preserve">. </w:t>
      </w:r>
      <w:r w:rsidR="00316457" w:rsidRPr="001D3234">
        <w:t>This drug combination was not included in the cost-minimisation and the submission did not explicitly address the relativities of the comparator in the GEMINI trials to the nominated single tablet three-drug FDC comparators in its clinical claim.</w:t>
      </w:r>
      <w:r w:rsidR="00E35569" w:rsidRPr="001D3234">
        <w:t xml:space="preserve"> DTG + Truvada® is also more costly than the requested price for Dovato®.</w:t>
      </w:r>
    </w:p>
    <w:p w:rsidR="000F6F40" w:rsidRPr="001D3234" w:rsidRDefault="00316457" w:rsidP="00F57461">
      <w:pPr>
        <w:pStyle w:val="ListParagraph"/>
        <w:widowControl/>
        <w:numPr>
          <w:ilvl w:val="1"/>
          <w:numId w:val="1"/>
        </w:numPr>
        <w:spacing w:after="120"/>
        <w:rPr>
          <w:color w:val="000000" w:themeColor="text1"/>
        </w:rPr>
      </w:pPr>
      <w:r w:rsidRPr="001D3234">
        <w:rPr>
          <w:rFonts w:cs="Calibri"/>
          <w:iCs/>
          <w:snapToGrid/>
          <w:szCs w:val="24"/>
          <w:lang w:eastAsia="en-AU"/>
        </w:rPr>
        <w:t xml:space="preserve">For the requested population, and among the therapies nominated as relevant comparators by the submission, </w:t>
      </w:r>
      <w:r w:rsidRPr="001D3234">
        <w:t xml:space="preserve">none of the alternative therapies are less costly than the requested price for </w:t>
      </w:r>
      <w:r w:rsidR="00B72D09" w:rsidRPr="001D3234">
        <w:rPr>
          <w:color w:val="000000" w:themeColor="text1"/>
        </w:rPr>
        <w:t>Dovato</w:t>
      </w:r>
      <w:r w:rsidR="00B72D09" w:rsidRPr="001D3234">
        <w:t>®</w:t>
      </w:r>
      <w:r w:rsidRPr="001D3234">
        <w:t>, based on PBS prices current in May 2019</w:t>
      </w:r>
      <w:r w:rsidR="00220CDF" w:rsidRPr="001D3234">
        <w:t>.</w:t>
      </w:r>
      <w:r w:rsidRPr="001D3234">
        <w:t xml:space="preserve"> </w:t>
      </w:r>
      <w:r w:rsidRPr="001D3234">
        <w:rPr>
          <w:rFonts w:cs="Calibri"/>
          <w:iCs/>
          <w:snapToGrid/>
          <w:szCs w:val="24"/>
          <w:lang w:eastAsia="en-AU"/>
        </w:rPr>
        <w:t xml:space="preserve">Other multi-drug treatment combinations for the treatment of HIV infection that </w:t>
      </w:r>
      <w:r w:rsidR="003052F5" w:rsidRPr="001D3234">
        <w:rPr>
          <w:rFonts w:cs="Calibri"/>
          <w:iCs/>
          <w:snapToGrid/>
          <w:szCs w:val="24"/>
          <w:lang w:eastAsia="en-AU"/>
        </w:rPr>
        <w:t xml:space="preserve">could </w:t>
      </w:r>
      <w:r w:rsidRPr="001D3234">
        <w:rPr>
          <w:rFonts w:cs="Calibri"/>
          <w:iCs/>
          <w:snapToGrid/>
          <w:szCs w:val="24"/>
          <w:lang w:eastAsia="en-AU"/>
        </w:rPr>
        <w:t xml:space="preserve">be considered as alternatives could be less costly than </w:t>
      </w:r>
      <w:r w:rsidR="00B72D09" w:rsidRPr="001D3234">
        <w:rPr>
          <w:color w:val="000000" w:themeColor="text1"/>
        </w:rPr>
        <w:t>Dovato</w:t>
      </w:r>
      <w:r w:rsidR="00B72D09" w:rsidRPr="001D3234">
        <w:t>®</w:t>
      </w:r>
      <w:r w:rsidRPr="001D3234">
        <w:rPr>
          <w:rFonts w:cs="Calibri"/>
          <w:iCs/>
          <w:snapToGrid/>
          <w:szCs w:val="24"/>
          <w:lang w:eastAsia="en-AU"/>
        </w:rPr>
        <w:t xml:space="preserve">. If treatment with </w:t>
      </w:r>
      <w:r w:rsidR="00B72D09" w:rsidRPr="001D3234">
        <w:rPr>
          <w:color w:val="000000" w:themeColor="text1"/>
        </w:rPr>
        <w:t>Dovato</w:t>
      </w:r>
      <w:r w:rsidR="00B72D09" w:rsidRPr="001D3234">
        <w:t>®</w:t>
      </w:r>
      <w:r w:rsidR="00CC2E4E" w:rsidRPr="001D3234">
        <w:t xml:space="preserve"> </w:t>
      </w:r>
      <w:r w:rsidRPr="001D3234">
        <w:rPr>
          <w:rFonts w:cs="Calibri"/>
          <w:iCs/>
          <w:snapToGrid/>
          <w:szCs w:val="24"/>
          <w:lang w:eastAsia="en-AU"/>
        </w:rPr>
        <w:t xml:space="preserve">is substantially more costly than an alternative therapy or alternative therapies, the PBAC could only recommend listing of </w:t>
      </w:r>
      <w:r w:rsidR="00B72D09" w:rsidRPr="001D3234">
        <w:rPr>
          <w:color w:val="000000" w:themeColor="text1"/>
        </w:rPr>
        <w:t>Dovato</w:t>
      </w:r>
      <w:r w:rsidR="00B72D09" w:rsidRPr="001D3234">
        <w:t>®</w:t>
      </w:r>
      <w:r w:rsidR="00CC2E4E" w:rsidRPr="001D3234">
        <w:t xml:space="preserve"> </w:t>
      </w:r>
      <w:r w:rsidRPr="001D3234">
        <w:rPr>
          <w:rFonts w:cs="Calibri"/>
          <w:iCs/>
          <w:snapToGrid/>
          <w:szCs w:val="24"/>
          <w:lang w:eastAsia="en-AU"/>
        </w:rPr>
        <w:t>if it is satisfied the FDC provides, for some patients, a significant improvement in efficacy or reduction of toxicity over the alternative therapy or therapies (</w:t>
      </w:r>
      <w:r w:rsidRPr="001D3234">
        <w:rPr>
          <w:rFonts w:cs="Calibri"/>
          <w:i/>
          <w:iCs/>
          <w:snapToGrid/>
          <w:szCs w:val="24"/>
          <w:lang w:eastAsia="en-AU"/>
        </w:rPr>
        <w:t>National Health Act 1953</w:t>
      </w:r>
      <w:r w:rsidRPr="001D3234">
        <w:rPr>
          <w:rFonts w:cs="Calibri"/>
          <w:iCs/>
          <w:snapToGrid/>
          <w:szCs w:val="24"/>
          <w:lang w:eastAsia="en-AU"/>
        </w:rPr>
        <w:t>, Section 101(3B)).</w:t>
      </w:r>
    </w:p>
    <w:p w:rsidR="000F6F40" w:rsidRPr="001D3234" w:rsidRDefault="000F6F40" w:rsidP="00F57461">
      <w:pPr>
        <w:pStyle w:val="ListParagraph"/>
        <w:widowControl/>
        <w:numPr>
          <w:ilvl w:val="1"/>
          <w:numId w:val="1"/>
        </w:numPr>
        <w:spacing w:after="120"/>
        <w:rPr>
          <w:color w:val="000000" w:themeColor="text1"/>
        </w:rPr>
      </w:pPr>
      <w:r w:rsidRPr="001D3234">
        <w:lastRenderedPageBreak/>
        <w:t xml:space="preserve">Technically, </w:t>
      </w:r>
      <w:r w:rsidR="00B72D09" w:rsidRPr="001D3234">
        <w:rPr>
          <w:color w:val="000000" w:themeColor="text1"/>
        </w:rPr>
        <w:t>Dovato</w:t>
      </w:r>
      <w:r w:rsidR="00B72D09" w:rsidRPr="001D3234">
        <w:t>®</w:t>
      </w:r>
      <w:r w:rsidR="00463143" w:rsidRPr="001D3234">
        <w:t>,</w:t>
      </w:r>
      <w:r w:rsidRPr="001D3234">
        <w:t xml:space="preserve"> as two-drug regimen</w:t>
      </w:r>
      <w:r w:rsidR="00104195" w:rsidRPr="001D3234">
        <w:t xml:space="preserve"> and a departure from established three-drug regimens</w:t>
      </w:r>
      <w:r w:rsidRPr="001D3234">
        <w:t xml:space="preserve">, </w:t>
      </w:r>
      <w:r w:rsidR="00032D2A" w:rsidRPr="001D3234">
        <w:t>may</w:t>
      </w:r>
      <w:r w:rsidRPr="001D3234">
        <w:t xml:space="preserve"> not constitute a recommended regimen for most patients initiating HIV treatment. </w:t>
      </w:r>
      <w:r w:rsidR="003052F5" w:rsidRPr="001D3234">
        <w:t>The ESC considered the introduction of two-drug regimens as standard therapy might</w:t>
      </w:r>
      <w:r w:rsidR="00570B56" w:rsidRPr="001D3234">
        <w:t xml:space="preserve"> represent a substantial change</w:t>
      </w:r>
      <w:r w:rsidR="003052F5" w:rsidRPr="001D3234">
        <w:t xml:space="preserve"> in</w:t>
      </w:r>
      <w:r w:rsidR="00570B56" w:rsidRPr="001D3234">
        <w:t xml:space="preserve"> approach to</w:t>
      </w:r>
      <w:r w:rsidR="003052F5" w:rsidRPr="001D3234">
        <w:t xml:space="preserve"> the treatment of HIV infection. Such a shift may have acceptability issues in the Australian context</w:t>
      </w:r>
      <w:r w:rsidR="00380E0E" w:rsidRPr="001D3234">
        <w:t xml:space="preserve"> given a</w:t>
      </w:r>
      <w:r w:rsidR="003052F5" w:rsidRPr="001D3234">
        <w:t xml:space="preserve"> substantial number of people living with HIV are older and have liv</w:t>
      </w:r>
      <w:r w:rsidR="00380E0E" w:rsidRPr="001D3234">
        <w:t>ed with HIV for long</w:t>
      </w:r>
      <w:r w:rsidR="003052F5" w:rsidRPr="001D3234">
        <w:t xml:space="preserve"> periods </w:t>
      </w:r>
      <w:r w:rsidR="00380E0E" w:rsidRPr="001D3234">
        <w:t>following the introduction of ARTs.</w:t>
      </w:r>
    </w:p>
    <w:p w:rsidR="00AD56F1" w:rsidRPr="001D3234" w:rsidRDefault="00AD56F1" w:rsidP="009917A4">
      <w:pPr>
        <w:pStyle w:val="ListParagraph"/>
        <w:spacing w:after="120"/>
        <w:ind w:left="709"/>
        <w:rPr>
          <w:rFonts w:asciiTheme="minorHAnsi" w:hAnsiTheme="minorHAnsi"/>
          <w:i/>
        </w:rPr>
      </w:pPr>
      <w:r w:rsidRPr="001D3234">
        <w:rPr>
          <w:rFonts w:asciiTheme="minorHAnsi" w:hAnsiTheme="minorHAnsi"/>
          <w:i/>
        </w:rPr>
        <w:t>For more detail on PBAC’s view, see section 7 PBAC outcome.</w:t>
      </w:r>
    </w:p>
    <w:p w:rsidR="000F6F40" w:rsidRPr="001D3234" w:rsidRDefault="000F6F40" w:rsidP="009917A4">
      <w:pPr>
        <w:pStyle w:val="PBACHeading1"/>
        <w:spacing w:before="240" w:after="120"/>
      </w:pPr>
      <w:bookmarkStart w:id="13" w:name="_Toc9405795"/>
      <w:r w:rsidRPr="001D3234">
        <w:t>Consideration of the evidence</w:t>
      </w:r>
      <w:bookmarkEnd w:id="13"/>
    </w:p>
    <w:p w:rsidR="00AD56F1" w:rsidRPr="001D3234" w:rsidRDefault="00AD56F1" w:rsidP="00C21D67">
      <w:pPr>
        <w:pStyle w:val="Heading2"/>
        <w:spacing w:before="240" w:after="120"/>
      </w:pPr>
      <w:bookmarkStart w:id="14" w:name="_Toc9405796"/>
      <w:r w:rsidRPr="001D3234">
        <w:t>Sponsor hearing</w:t>
      </w:r>
    </w:p>
    <w:p w:rsidR="00AD56F1" w:rsidRPr="001D3234" w:rsidRDefault="00AD56F1" w:rsidP="00FB4283">
      <w:pPr>
        <w:numPr>
          <w:ilvl w:val="1"/>
          <w:numId w:val="1"/>
        </w:numPr>
        <w:spacing w:after="120"/>
        <w:rPr>
          <w:rFonts w:asciiTheme="minorHAnsi" w:hAnsiTheme="minorHAnsi"/>
          <w:bCs/>
        </w:rPr>
      </w:pPr>
      <w:r w:rsidRPr="001D3234">
        <w:rPr>
          <w:rFonts w:asciiTheme="minorHAnsi" w:hAnsiTheme="minorHAnsi"/>
          <w:bCs/>
        </w:rPr>
        <w:t>The sponsor requested a hearing for this</w:t>
      </w:r>
      <w:r w:rsidR="00DB4DB2" w:rsidRPr="001D3234">
        <w:rPr>
          <w:rFonts w:asciiTheme="minorHAnsi" w:hAnsiTheme="minorHAnsi"/>
          <w:bCs/>
        </w:rPr>
        <w:t xml:space="preserve"> item</w:t>
      </w:r>
      <w:r w:rsidR="001D3234">
        <w:rPr>
          <w:rFonts w:asciiTheme="minorHAnsi" w:hAnsiTheme="minorHAnsi"/>
          <w:bCs/>
        </w:rPr>
        <w:t xml:space="preserve">. </w:t>
      </w:r>
      <w:r w:rsidR="00DB4DB2" w:rsidRPr="001D3234">
        <w:rPr>
          <w:rFonts w:asciiTheme="minorHAnsi" w:hAnsiTheme="minorHAnsi"/>
          <w:bCs/>
        </w:rPr>
        <w:t>The</w:t>
      </w:r>
      <w:r w:rsidR="00A1307E" w:rsidRPr="001D3234">
        <w:rPr>
          <w:rFonts w:asciiTheme="minorHAnsi" w:hAnsiTheme="minorHAnsi"/>
          <w:bCs/>
        </w:rPr>
        <w:t xml:space="preserve"> presenting</w:t>
      </w:r>
      <w:r w:rsidR="00DB4DB2" w:rsidRPr="001D3234">
        <w:rPr>
          <w:rFonts w:asciiTheme="minorHAnsi" w:hAnsiTheme="minorHAnsi"/>
          <w:bCs/>
        </w:rPr>
        <w:t xml:space="preserve"> clinician highlighted that management of HIV is now a relatively straightforward and established process in </w:t>
      </w:r>
      <w:r w:rsidR="00434D84" w:rsidRPr="001D3234">
        <w:rPr>
          <w:rFonts w:asciiTheme="minorHAnsi" w:hAnsiTheme="minorHAnsi"/>
          <w:bCs/>
        </w:rPr>
        <w:t>clinical practice and while three drug regimens (3DR) are the current standard, evidence for effective two drug regimens (2DR) is emerging, such as dolutegravir/rilpivirine (Juluca</w:t>
      </w:r>
      <w:r w:rsidR="00434D84" w:rsidRPr="001D3234">
        <w:rPr>
          <w:rFonts w:asciiTheme="minorHAnsi" w:hAnsiTheme="minorHAnsi" w:cstheme="minorHAnsi"/>
          <w:bCs/>
          <w:vertAlign w:val="superscript"/>
        </w:rPr>
        <w:t>®</w:t>
      </w:r>
      <w:r w:rsidR="00434D84" w:rsidRPr="001D3234">
        <w:rPr>
          <w:rFonts w:asciiTheme="minorHAnsi" w:hAnsiTheme="minorHAnsi"/>
          <w:bCs/>
        </w:rPr>
        <w:t>) for virologically-suppressed treatment experienced patients and in Europe, boosted protease inhibitor-only regimens. The clinician highlighted that as the prevalent HIV population continues to age, new medical challenges ar</w:t>
      </w:r>
      <w:r w:rsidR="001F430B" w:rsidRPr="001D3234">
        <w:rPr>
          <w:rFonts w:asciiTheme="minorHAnsi" w:hAnsiTheme="minorHAnsi"/>
          <w:bCs/>
        </w:rPr>
        <w:t>e starting to emerge such as co</w:t>
      </w:r>
      <w:r w:rsidR="000F483A" w:rsidRPr="001D3234">
        <w:rPr>
          <w:rFonts w:asciiTheme="minorHAnsi" w:hAnsiTheme="minorHAnsi"/>
          <w:bCs/>
        </w:rPr>
        <w:t>morbidities and drug</w:t>
      </w:r>
      <w:r w:rsidR="00434D84" w:rsidRPr="001D3234">
        <w:rPr>
          <w:rFonts w:asciiTheme="minorHAnsi" w:hAnsiTheme="minorHAnsi"/>
          <w:bCs/>
        </w:rPr>
        <w:t xml:space="preserve"> interactions from polypharmacy, which may </w:t>
      </w:r>
      <w:r w:rsidR="001F430B" w:rsidRPr="001D3234">
        <w:rPr>
          <w:rFonts w:asciiTheme="minorHAnsi" w:hAnsiTheme="minorHAnsi"/>
          <w:bCs/>
        </w:rPr>
        <w:t>make effective 2DRs more desirable and acceptable</w:t>
      </w:r>
      <w:r w:rsidR="00434D84" w:rsidRPr="001D3234">
        <w:rPr>
          <w:rFonts w:asciiTheme="minorHAnsi" w:hAnsiTheme="minorHAnsi"/>
          <w:bCs/>
        </w:rPr>
        <w:t xml:space="preserve"> for</w:t>
      </w:r>
      <w:r w:rsidR="001F430B" w:rsidRPr="001D3234">
        <w:rPr>
          <w:rFonts w:asciiTheme="minorHAnsi" w:hAnsiTheme="minorHAnsi"/>
          <w:bCs/>
        </w:rPr>
        <w:t xml:space="preserve"> some</w:t>
      </w:r>
      <w:r w:rsidR="00434D84" w:rsidRPr="001D3234">
        <w:rPr>
          <w:rFonts w:asciiTheme="minorHAnsi" w:hAnsiTheme="minorHAnsi"/>
          <w:bCs/>
        </w:rPr>
        <w:t xml:space="preserve"> </w:t>
      </w:r>
      <w:r w:rsidR="00C55DB2" w:rsidRPr="001D3234">
        <w:rPr>
          <w:rFonts w:asciiTheme="minorHAnsi" w:hAnsiTheme="minorHAnsi"/>
          <w:bCs/>
        </w:rPr>
        <w:t>virologically suppressed patients</w:t>
      </w:r>
      <w:r w:rsidR="00434D84" w:rsidRPr="001D3234">
        <w:rPr>
          <w:rFonts w:asciiTheme="minorHAnsi" w:hAnsiTheme="minorHAnsi"/>
          <w:bCs/>
        </w:rPr>
        <w:t xml:space="preserve">. </w:t>
      </w:r>
    </w:p>
    <w:p w:rsidR="00AD56F1" w:rsidRPr="001D3234" w:rsidRDefault="00AD56F1" w:rsidP="00C21D67">
      <w:pPr>
        <w:pStyle w:val="Heading2"/>
        <w:spacing w:before="240" w:after="120"/>
      </w:pPr>
      <w:r w:rsidRPr="001D3234">
        <w:t>Consumer comments</w:t>
      </w:r>
    </w:p>
    <w:p w:rsidR="00AD56F1" w:rsidRPr="001D3234" w:rsidRDefault="00AD56F1" w:rsidP="00FB4283">
      <w:pPr>
        <w:numPr>
          <w:ilvl w:val="1"/>
          <w:numId w:val="1"/>
        </w:numPr>
        <w:spacing w:after="120"/>
        <w:rPr>
          <w:rFonts w:asciiTheme="minorHAnsi" w:hAnsiTheme="minorHAnsi"/>
          <w:bCs/>
        </w:rPr>
      </w:pPr>
      <w:r w:rsidRPr="001D3234">
        <w:rPr>
          <w:rFonts w:asciiTheme="minorHAnsi" w:hAnsiTheme="minorHAnsi"/>
          <w:bCs/>
        </w:rPr>
        <w:t xml:space="preserve">The PBAC noted the advice from Positive Life NSW, which supported the listing of a </w:t>
      </w:r>
      <w:r w:rsidR="001D3234" w:rsidRPr="001D3234">
        <w:rPr>
          <w:rFonts w:asciiTheme="minorHAnsi" w:hAnsiTheme="minorHAnsi"/>
          <w:bCs/>
        </w:rPr>
        <w:t>two-drug</w:t>
      </w:r>
      <w:r w:rsidRPr="001D3234">
        <w:rPr>
          <w:rFonts w:asciiTheme="minorHAnsi" w:hAnsiTheme="minorHAnsi"/>
          <w:bCs/>
        </w:rPr>
        <w:t xml:space="preserve"> regimen as it may improve medication management and adherence for some people living with HIV, especially those who are managing multiple health conditions.</w:t>
      </w:r>
    </w:p>
    <w:p w:rsidR="000F6F40" w:rsidRPr="001D3234" w:rsidRDefault="000F6F40" w:rsidP="00C21D67">
      <w:pPr>
        <w:pStyle w:val="Heading2"/>
        <w:spacing w:before="240" w:after="120"/>
      </w:pPr>
      <w:r w:rsidRPr="001D3234">
        <w:t>Clinical trials</w:t>
      </w:r>
      <w:bookmarkEnd w:id="14"/>
    </w:p>
    <w:p w:rsidR="000F6F40" w:rsidRPr="001D3234" w:rsidRDefault="000F6F40" w:rsidP="00F57461">
      <w:pPr>
        <w:pStyle w:val="ListParagraph"/>
        <w:widowControl/>
        <w:numPr>
          <w:ilvl w:val="1"/>
          <w:numId w:val="1"/>
        </w:numPr>
        <w:spacing w:after="120"/>
      </w:pPr>
      <w:r w:rsidRPr="001D3234">
        <w:rPr>
          <w:rFonts w:cs="Calibri"/>
          <w:snapToGrid/>
          <w:color w:val="000000" w:themeColor="text1"/>
          <w:szCs w:val="24"/>
          <w:lang w:eastAsia="en-AU"/>
        </w:rPr>
        <w:t xml:space="preserve">The </w:t>
      </w:r>
      <w:r w:rsidRPr="001D3234">
        <w:t xml:space="preserve">submission was based on: </w:t>
      </w:r>
    </w:p>
    <w:p w:rsidR="000F6F40" w:rsidRPr="001D3234" w:rsidRDefault="000F6F40" w:rsidP="00F57461">
      <w:pPr>
        <w:pStyle w:val="ListParagraph"/>
        <w:numPr>
          <w:ilvl w:val="0"/>
          <w:numId w:val="7"/>
        </w:numPr>
        <w:spacing w:after="120"/>
        <w:ind w:left="994" w:hanging="288"/>
      </w:pPr>
      <w:r w:rsidRPr="001D3234">
        <w:t xml:space="preserve">two identical randomised trials (GEMINI-1: N=719; GEMINI-2: N=722) comparing concomitant dolutegravir + lamivudine (DTG + 3TC) to dolutegravir + tenofovir disoproxil fumarate/emtricitabine FDC (DTG + TDF/FTC or DTG + Truvada®) in </w:t>
      </w:r>
      <w:r w:rsidR="00B72D09" w:rsidRPr="001D3234">
        <w:t xml:space="preserve">treatment-naïve </w:t>
      </w:r>
      <w:r w:rsidRPr="001D3234">
        <w:t>patients with HIV-1 infection;</w:t>
      </w:r>
    </w:p>
    <w:p w:rsidR="001F430B" w:rsidRPr="001D3234" w:rsidRDefault="000F6F40" w:rsidP="00F57461">
      <w:pPr>
        <w:pStyle w:val="ListParagraph"/>
        <w:numPr>
          <w:ilvl w:val="0"/>
          <w:numId w:val="7"/>
        </w:numPr>
        <w:spacing w:after="120"/>
        <w:ind w:left="994" w:hanging="288"/>
      </w:pPr>
      <w:r w:rsidRPr="001D3234">
        <w:t>one open-label, single dose, randomised, two-part, pivotal bioequivalence crossover study (Study 204994: Part 1 N=78; Part 2 N=76) of two formulations of a fixe</w:t>
      </w:r>
      <w:r w:rsidR="0021603A" w:rsidRPr="001D3234">
        <w:t>d dose combination of DTG/3TC (P</w:t>
      </w:r>
      <w:r w:rsidRPr="001D3234">
        <w:t xml:space="preserve">art 1: monolayer tablet formulation; </w:t>
      </w:r>
      <w:r w:rsidR="0021603A" w:rsidRPr="001D3234">
        <w:t>P</w:t>
      </w:r>
      <w:r w:rsidRPr="001D3234">
        <w:t xml:space="preserve">art 2: bilayer tablet formulation) relative to the co-administration of the single entity products (DTG + 3TC) in healthy adult subjects aged 18-55 years; and </w:t>
      </w:r>
    </w:p>
    <w:p w:rsidR="000F6F40" w:rsidRPr="001D3234" w:rsidRDefault="000F6F40" w:rsidP="009917A4">
      <w:pPr>
        <w:pStyle w:val="ListParagraph"/>
        <w:numPr>
          <w:ilvl w:val="0"/>
          <w:numId w:val="7"/>
        </w:numPr>
        <w:spacing w:after="120"/>
        <w:ind w:left="994" w:hanging="288"/>
      </w:pPr>
      <w:r w:rsidRPr="001D3234">
        <w:lastRenderedPageBreak/>
        <w:t xml:space="preserve">several supplementary non-randomised studies investigating the effectiveness or safety of DTG + 3TC taken concomitantly. </w:t>
      </w:r>
    </w:p>
    <w:p w:rsidR="000F6F40" w:rsidRPr="001D3234" w:rsidRDefault="000F6F40" w:rsidP="00F57461">
      <w:pPr>
        <w:pStyle w:val="ListParagraph"/>
        <w:widowControl/>
        <w:numPr>
          <w:ilvl w:val="1"/>
          <w:numId w:val="1"/>
        </w:numPr>
        <w:spacing w:after="120"/>
      </w:pPr>
      <w:r w:rsidRPr="001D3234">
        <w:t xml:space="preserve">The submission also presented interim results (24 weeks) of the TANGO trial (N=743) comparing </w:t>
      </w:r>
      <w:r w:rsidR="00B72D09" w:rsidRPr="001D3234">
        <w:rPr>
          <w:color w:val="000000" w:themeColor="text1"/>
        </w:rPr>
        <w:t>Dovato</w:t>
      </w:r>
      <w:r w:rsidR="00B72D09" w:rsidRPr="001D3234">
        <w:t>®</w:t>
      </w:r>
      <w:r w:rsidR="00FE04B2" w:rsidRPr="001D3234">
        <w:t xml:space="preserve"> </w:t>
      </w:r>
      <w:r w:rsidRPr="001D3234">
        <w:t xml:space="preserve">to continuation of a </w:t>
      </w:r>
      <w:r w:rsidR="0015458A" w:rsidRPr="001D3234">
        <w:t>tenofovir alafenamide (</w:t>
      </w:r>
      <w:r w:rsidRPr="001D3234">
        <w:t>TAF</w:t>
      </w:r>
      <w:r w:rsidR="0015458A" w:rsidRPr="001D3234">
        <w:t>)</w:t>
      </w:r>
      <w:r w:rsidRPr="001D3234">
        <w:t xml:space="preserve"> based regimen in virologically suppressed patients with uninterrupted TAF based regimen for at least 6 months prior to screening with no evidence or history of ART drug resistance. The submission stressed that the interim analyses have been provided in confidence and complete redaction from any publicly available documentation would be necessary</w:t>
      </w:r>
      <w:r w:rsidR="007A398C">
        <w:t xml:space="preserve"> prior to publication of the results</w:t>
      </w:r>
      <w:r w:rsidRPr="001D3234">
        <w:t>.</w:t>
      </w:r>
    </w:p>
    <w:p w:rsidR="000F6F40" w:rsidRPr="001D3234" w:rsidRDefault="000F6F40" w:rsidP="00F57461">
      <w:pPr>
        <w:pStyle w:val="ListParagraph"/>
        <w:widowControl/>
        <w:numPr>
          <w:ilvl w:val="1"/>
          <w:numId w:val="1"/>
        </w:numPr>
        <w:spacing w:after="120"/>
      </w:pPr>
      <w:r w:rsidRPr="001D3234">
        <w:t xml:space="preserve">Details of the trials </w:t>
      </w:r>
      <w:r w:rsidR="006C327B" w:rsidRPr="001D3234">
        <w:t xml:space="preserve">and studies </w:t>
      </w:r>
      <w:r w:rsidRPr="001D3234">
        <w:t xml:space="preserve">presented in the submission are provided in </w:t>
      </w:r>
      <w:r w:rsidR="003E39FF" w:rsidRPr="001D3234">
        <w:t>Table 3</w:t>
      </w:r>
      <w:r w:rsidR="008D77A7" w:rsidRPr="001D3234">
        <w:t>.</w:t>
      </w:r>
    </w:p>
    <w:p w:rsidR="000F6F40" w:rsidRPr="001D3234" w:rsidRDefault="000F6F40" w:rsidP="000F6F40">
      <w:pPr>
        <w:rPr>
          <w:rStyle w:val="CommentReference"/>
        </w:rPr>
      </w:pPr>
      <w:bookmarkStart w:id="15" w:name="_Ref8382591"/>
      <w:r w:rsidRPr="001D3234">
        <w:rPr>
          <w:rStyle w:val="CommentReference"/>
        </w:rPr>
        <w:t xml:space="preserve">Table </w:t>
      </w:r>
      <w:r w:rsidR="003E39FF" w:rsidRPr="001D3234">
        <w:rPr>
          <w:rFonts w:ascii="Arial Narrow" w:hAnsi="Arial Narrow"/>
          <w:b/>
          <w:sz w:val="20"/>
          <w:szCs w:val="20"/>
        </w:rPr>
        <w:t>3</w:t>
      </w:r>
      <w:bookmarkEnd w:id="15"/>
      <w:r w:rsidR="008D77A7" w:rsidRPr="001D3234">
        <w:rPr>
          <w:rFonts w:ascii="Arial Narrow" w:hAnsi="Arial Narrow"/>
          <w:b/>
          <w:sz w:val="20"/>
          <w:szCs w:val="20"/>
        </w:rPr>
        <w:t>:</w:t>
      </w:r>
      <w:r w:rsidRPr="001D3234">
        <w:rPr>
          <w:rStyle w:val="CommentReference"/>
        </w:rPr>
        <w:t xml:space="preserve">  Trials</w:t>
      </w:r>
      <w:r w:rsidR="006C327B" w:rsidRPr="001D3234">
        <w:rPr>
          <w:rStyle w:val="CommentReference"/>
        </w:rPr>
        <w:t xml:space="preserve"> and studies</w:t>
      </w:r>
      <w:r w:rsidRPr="001D3234">
        <w:rPr>
          <w:rStyle w:val="CommentReference"/>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studies and associated reports presented in the submission"/>
      </w:tblPr>
      <w:tblGrid>
        <w:gridCol w:w="1435"/>
        <w:gridCol w:w="5459"/>
        <w:gridCol w:w="2123"/>
      </w:tblGrid>
      <w:tr w:rsidR="000F6F40" w:rsidRPr="001D3234" w:rsidTr="0021603A">
        <w:trPr>
          <w:tblHeader/>
        </w:trPr>
        <w:tc>
          <w:tcPr>
            <w:tcW w:w="796" w:type="pct"/>
          </w:tcPr>
          <w:p w:rsidR="000F6F40" w:rsidRPr="001D3234" w:rsidRDefault="000F6F40" w:rsidP="0021603A">
            <w:pPr>
              <w:pStyle w:val="Tabletext"/>
              <w:rPr>
                <w:b/>
              </w:rPr>
            </w:pPr>
            <w:r w:rsidRPr="001D3234">
              <w:rPr>
                <w:b/>
              </w:rPr>
              <w:t>Trial ID</w:t>
            </w:r>
          </w:p>
        </w:tc>
        <w:tc>
          <w:tcPr>
            <w:tcW w:w="3027" w:type="pct"/>
            <w:vAlign w:val="center"/>
          </w:tcPr>
          <w:p w:rsidR="000F6F40" w:rsidRPr="001D3234" w:rsidRDefault="000F6F40" w:rsidP="000D5E60">
            <w:pPr>
              <w:pStyle w:val="Tabletext"/>
              <w:jc w:val="center"/>
              <w:rPr>
                <w:b/>
              </w:rPr>
            </w:pPr>
            <w:r w:rsidRPr="001D3234">
              <w:rPr>
                <w:b/>
              </w:rPr>
              <w:t>Protocol title/ Publication title</w:t>
            </w:r>
          </w:p>
        </w:tc>
        <w:tc>
          <w:tcPr>
            <w:tcW w:w="1177" w:type="pct"/>
            <w:vAlign w:val="center"/>
          </w:tcPr>
          <w:p w:rsidR="000F6F40" w:rsidRPr="001D3234" w:rsidRDefault="000F6F40" w:rsidP="000D5E60">
            <w:pPr>
              <w:pStyle w:val="Tabletext"/>
              <w:jc w:val="center"/>
              <w:rPr>
                <w:b/>
              </w:rPr>
            </w:pPr>
            <w:r w:rsidRPr="001D3234">
              <w:rPr>
                <w:b/>
              </w:rPr>
              <w:t>Publication citation</w:t>
            </w:r>
          </w:p>
        </w:tc>
      </w:tr>
      <w:tr w:rsidR="000F6F40" w:rsidRPr="001D3234" w:rsidTr="00E11861">
        <w:tc>
          <w:tcPr>
            <w:tcW w:w="796" w:type="pct"/>
            <w:vMerge w:val="restart"/>
          </w:tcPr>
          <w:p w:rsidR="000F6F40" w:rsidRPr="001D3234" w:rsidRDefault="000F6F40" w:rsidP="0021603A">
            <w:pPr>
              <w:pStyle w:val="Tabletext"/>
              <w:rPr>
                <w:rFonts w:ascii="Times" w:hAnsi="Times"/>
              </w:rPr>
            </w:pPr>
            <w:r w:rsidRPr="001D3234">
              <w:t>GEMINI-1 / GEMINI-2</w:t>
            </w:r>
          </w:p>
        </w:tc>
        <w:tc>
          <w:tcPr>
            <w:tcW w:w="3027" w:type="pct"/>
            <w:tcBorders>
              <w:bottom w:val="nil"/>
            </w:tcBorders>
          </w:tcPr>
          <w:p w:rsidR="000F6F40" w:rsidRPr="001D3234" w:rsidRDefault="000F6F40" w:rsidP="00E11861">
            <w:pPr>
              <w:pStyle w:val="Tabletext"/>
              <w:spacing w:after="40"/>
              <w:rPr>
                <w:szCs w:val="18"/>
              </w:rPr>
            </w:pPr>
            <w:r w:rsidRPr="001D3234">
              <w:rPr>
                <w:rFonts w:eastAsiaTheme="minorHAnsi" w:cstheme="minorBidi"/>
                <w:szCs w:val="20"/>
              </w:rPr>
              <w:t xml:space="preserve">Study 204861 (GEMINI-1): A Phase III, randomized, double-blind, multicentre, parallel-group, non-inferiority study evaluating the efficacy, safety, and tolerability of dolutegravir plus lamivudine compared to dolutegravir plus tenofovir/emtricitabine in HIV-1 infected treatment naïve adults – Week 48. </w:t>
            </w:r>
          </w:p>
        </w:tc>
        <w:tc>
          <w:tcPr>
            <w:tcW w:w="1177" w:type="pct"/>
            <w:tcBorders>
              <w:bottom w:val="nil"/>
            </w:tcBorders>
          </w:tcPr>
          <w:p w:rsidR="000F6F40" w:rsidRPr="001D3234" w:rsidRDefault="000F6F40" w:rsidP="00E11861">
            <w:pPr>
              <w:pStyle w:val="Tabletext"/>
              <w:rPr>
                <w:rFonts w:ascii="Times" w:hAnsi="Times"/>
              </w:rPr>
            </w:pPr>
            <w:r w:rsidRPr="001D3234">
              <w:t>CSR. 05 September 2018</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spacing w:after="40"/>
              <w:rPr>
                <w:szCs w:val="18"/>
                <w:lang w:eastAsia="en-AU"/>
              </w:rPr>
            </w:pPr>
            <w:r w:rsidRPr="001D3234">
              <w:rPr>
                <w:rFonts w:eastAsiaTheme="minorHAnsi" w:cstheme="minorBidi"/>
                <w:szCs w:val="20"/>
              </w:rPr>
              <w:t>Study 205543 (GEMINI-2): A Phase III, randomized, double-blind, multicentre, parallel-group, non-inferiority study evaluating the efficacy, safety, and tolerability of dolutegravir plus lamivudine compared to dolutegravir plus tenofovir/emtricitabine in HIV-1 infected treatment-naïve adults – Week 48</w:t>
            </w:r>
          </w:p>
        </w:tc>
        <w:tc>
          <w:tcPr>
            <w:tcW w:w="1177" w:type="pct"/>
            <w:tcBorders>
              <w:top w:val="nil"/>
              <w:bottom w:val="nil"/>
            </w:tcBorders>
          </w:tcPr>
          <w:p w:rsidR="000F6F40" w:rsidRPr="001D3234" w:rsidRDefault="000F6F40" w:rsidP="00E11861">
            <w:pPr>
              <w:pStyle w:val="Tabletext"/>
              <w:rPr>
                <w:szCs w:val="18"/>
                <w:lang w:eastAsia="en-AU"/>
              </w:rPr>
            </w:pPr>
            <w:r w:rsidRPr="001D3234">
              <w:rPr>
                <w:szCs w:val="18"/>
                <w:lang w:eastAsia="en-AU"/>
              </w:rPr>
              <w:t xml:space="preserve"> CSR. 05 September 2018</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spacing w:after="40"/>
              <w:rPr>
                <w:szCs w:val="18"/>
                <w:lang w:eastAsia="en-AU"/>
              </w:rPr>
            </w:pPr>
            <w:r w:rsidRPr="001D3234">
              <w:rPr>
                <w:rFonts w:eastAsiaTheme="minorHAnsi" w:cstheme="minorBidi"/>
                <w:szCs w:val="20"/>
              </w:rPr>
              <w:t>Module 5.3.5.3: Integrated Summary of Efficacy, Integrated Summary of Safety. 2018</w:t>
            </w:r>
          </w:p>
        </w:tc>
        <w:tc>
          <w:tcPr>
            <w:tcW w:w="1177" w:type="pct"/>
            <w:tcBorders>
              <w:top w:val="nil"/>
              <w:bottom w:val="nil"/>
            </w:tcBorders>
          </w:tcPr>
          <w:p w:rsidR="000F6F40" w:rsidRPr="001D3234" w:rsidRDefault="000F6F40" w:rsidP="00E11861">
            <w:pPr>
              <w:pStyle w:val="Tabletext"/>
              <w:rPr>
                <w:szCs w:val="18"/>
                <w:lang w:eastAsia="en-AU"/>
              </w:rPr>
            </w:pPr>
            <w:r w:rsidRPr="001D3234">
              <w:rPr>
                <w:szCs w:val="18"/>
                <w:lang w:eastAsia="en-AU"/>
              </w:rPr>
              <w:t>2018. Internal Report</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spacing w:after="40"/>
              <w:rPr>
                <w:szCs w:val="18"/>
                <w:lang w:eastAsia="en-AU"/>
              </w:rPr>
            </w:pPr>
            <w:r w:rsidRPr="001D3234">
              <w:rPr>
                <w:rFonts w:eastAsiaTheme="minorHAnsi" w:cstheme="minorBidi"/>
                <w:szCs w:val="20"/>
              </w:rPr>
              <w:t xml:space="preserve">Cahn P, Sierra Madero J, Arribas JR, et al. Dolutegravir plus lamivudine versus dolutegravir plus tenofovir disoproxil fumarate and emtricitabine in antiretroviral-naive adults with HIV-1 infection (GEMINI-1 and GEMINI-2): week 48 results from two multicentre, double-blind, randomised, non-inferiority, phase 3 trials. </w:t>
            </w:r>
          </w:p>
        </w:tc>
        <w:tc>
          <w:tcPr>
            <w:tcW w:w="1177" w:type="pct"/>
            <w:tcBorders>
              <w:top w:val="nil"/>
              <w:bottom w:val="nil"/>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Lancet 2018; Published online: November 9, 2018.</w:t>
            </w:r>
            <w:r w:rsidRPr="001D3234">
              <w:t xml:space="preserve"> </w:t>
            </w:r>
          </w:p>
          <w:p w:rsidR="000F6F40" w:rsidRPr="001D3234" w:rsidRDefault="000F6F40" w:rsidP="00E11861">
            <w:pPr>
              <w:pStyle w:val="Tabletext"/>
              <w:rPr>
                <w:rFonts w:eastAsiaTheme="minorHAnsi" w:cstheme="minorBidi"/>
                <w:szCs w:val="20"/>
              </w:rPr>
            </w:pPr>
            <w:r w:rsidRPr="001D3234">
              <w:rPr>
                <w:rFonts w:eastAsiaTheme="minorHAnsi" w:cstheme="minorBidi"/>
                <w:szCs w:val="20"/>
              </w:rPr>
              <w:t>http://dx.doi.org/10.1016/</w:t>
            </w:r>
          </w:p>
          <w:p w:rsidR="000F6F40" w:rsidRPr="001D3234" w:rsidRDefault="000F6F40" w:rsidP="00E11861">
            <w:pPr>
              <w:pStyle w:val="Tabletext"/>
              <w:rPr>
                <w:szCs w:val="18"/>
                <w:lang w:eastAsia="en-AU"/>
              </w:rPr>
            </w:pPr>
            <w:r w:rsidRPr="001D3234">
              <w:rPr>
                <w:rFonts w:eastAsiaTheme="minorHAnsi" w:cstheme="minorBidi"/>
                <w:szCs w:val="20"/>
              </w:rPr>
              <w:t>S0140-6736(18)32462-0</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 xml:space="preserve">Cahn, P., Sierra Madero, J., Arribas, J., et al. Non-inferior efficacy of dolutegravir (DTG) plus lamivudine (3TC) vs DTG plus tenofovir/emtricitabine (TDF/FTC) fixed-dose combination in antiretroviral treatment–naive adults with HIV-1 infection—Week 48 results from the GEMINI studies. </w:t>
            </w:r>
          </w:p>
        </w:tc>
        <w:tc>
          <w:tcPr>
            <w:tcW w:w="1177" w:type="pct"/>
            <w:tcBorders>
              <w:top w:val="nil"/>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22nd International AIDS Conference; 2018</w:t>
            </w:r>
          </w:p>
        </w:tc>
      </w:tr>
      <w:tr w:rsidR="000F6F40" w:rsidRPr="001D3234" w:rsidTr="00E11861">
        <w:tc>
          <w:tcPr>
            <w:tcW w:w="796" w:type="pct"/>
            <w:tcBorders>
              <w:bottom w:val="single" w:sz="4" w:space="0" w:color="auto"/>
            </w:tcBorders>
          </w:tcPr>
          <w:p w:rsidR="000F6F40" w:rsidRPr="001D3234" w:rsidRDefault="000F6F40" w:rsidP="0021603A">
            <w:pPr>
              <w:pStyle w:val="Tabletext"/>
            </w:pPr>
            <w:r w:rsidRPr="001D3234">
              <w:t>TANGO</w:t>
            </w:r>
          </w:p>
        </w:tc>
        <w:tc>
          <w:tcPr>
            <w:tcW w:w="3027" w:type="pct"/>
            <w:tcBorders>
              <w:top w:val="nil"/>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A Phase III, randomized, multicenter, parallel-group, noninferiority study evaluating the efficacy, safety, and tolerability of switching to dolutegravir plus lamivudine in HIV 1 infected adults who are virologically suppressed</w:t>
            </w:r>
          </w:p>
        </w:tc>
        <w:tc>
          <w:tcPr>
            <w:tcW w:w="1177" w:type="pct"/>
            <w:tcBorders>
              <w:top w:val="nil"/>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Protocol: 29 August 2018</w:t>
            </w:r>
          </w:p>
        </w:tc>
      </w:tr>
      <w:tr w:rsidR="000F6F40" w:rsidRPr="001D3234" w:rsidTr="0021603A">
        <w:tc>
          <w:tcPr>
            <w:tcW w:w="5000" w:type="pct"/>
            <w:gridSpan w:val="3"/>
            <w:tcBorders>
              <w:top w:val="single" w:sz="4" w:space="0" w:color="auto"/>
              <w:bottom w:val="single" w:sz="4" w:space="0" w:color="auto"/>
            </w:tcBorders>
          </w:tcPr>
          <w:p w:rsidR="000F6F40" w:rsidRPr="001D3234" w:rsidRDefault="000F6F40" w:rsidP="0021603A">
            <w:pPr>
              <w:pStyle w:val="Tabletext"/>
              <w:rPr>
                <w:szCs w:val="18"/>
                <w:lang w:eastAsia="en-AU"/>
              </w:rPr>
            </w:pPr>
            <w:r w:rsidRPr="001D3234">
              <w:rPr>
                <w:szCs w:val="18"/>
                <w:lang w:eastAsia="en-AU"/>
              </w:rPr>
              <w:t>Bioequivalence Study</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t>Study 204994</w:t>
            </w:r>
          </w:p>
        </w:tc>
        <w:tc>
          <w:tcPr>
            <w:tcW w:w="3027" w:type="pct"/>
            <w:tcBorders>
              <w:top w:val="single" w:sz="4" w:space="0" w:color="auto"/>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 xml:space="preserve">An Open-Label, Randomized, Single dose, Crossover, Pivotal Bioequivalence Study of Fixed-dose Combination Tablet(s) of Dolutegravir and Lamivudine versus Dolutegravir and Lamivudine single entities and Food Effect Assessment in Healthy Volunteers.24 </w:t>
            </w:r>
          </w:p>
        </w:tc>
        <w:tc>
          <w:tcPr>
            <w:tcW w:w="1177" w:type="pct"/>
            <w:tcBorders>
              <w:top w:val="single" w:sz="4" w:space="0" w:color="auto"/>
              <w:bottom w:val="single" w:sz="4" w:space="0" w:color="auto"/>
            </w:tcBorders>
          </w:tcPr>
          <w:p w:rsidR="000F6F40" w:rsidRPr="001D3234" w:rsidRDefault="000F6F40" w:rsidP="00E11861">
            <w:pPr>
              <w:pStyle w:val="Tabletext"/>
              <w:rPr>
                <w:szCs w:val="18"/>
                <w:lang w:eastAsia="en-AU"/>
              </w:rPr>
            </w:pPr>
            <w:r w:rsidRPr="001D3234">
              <w:rPr>
                <w:rFonts w:eastAsiaTheme="minorHAnsi" w:cstheme="minorBidi"/>
                <w:szCs w:val="20"/>
              </w:rPr>
              <w:t>CSR May 2018</w:t>
            </w:r>
          </w:p>
        </w:tc>
      </w:tr>
      <w:tr w:rsidR="000F6F40" w:rsidRPr="001D3234" w:rsidTr="00F57461">
        <w:tc>
          <w:tcPr>
            <w:tcW w:w="5000" w:type="pct"/>
            <w:gridSpan w:val="3"/>
            <w:tcBorders>
              <w:top w:val="single" w:sz="4" w:space="0" w:color="auto"/>
              <w:bottom w:val="single" w:sz="4" w:space="0" w:color="auto"/>
            </w:tcBorders>
          </w:tcPr>
          <w:p w:rsidR="000F6F40" w:rsidRPr="001D3234" w:rsidRDefault="000F6F40" w:rsidP="0021603A">
            <w:pPr>
              <w:pStyle w:val="Tabletext"/>
              <w:rPr>
                <w:szCs w:val="18"/>
                <w:lang w:eastAsia="en-AU"/>
              </w:rPr>
            </w:pPr>
            <w:r w:rsidRPr="001D3234">
              <w:rPr>
                <w:szCs w:val="18"/>
                <w:lang w:eastAsia="en-AU"/>
              </w:rPr>
              <w:t>Supportive evidence: additional prospective and observational studies</w:t>
            </w:r>
          </w:p>
        </w:tc>
      </w:tr>
      <w:tr w:rsidR="000F6F40" w:rsidRPr="001D3234" w:rsidTr="00F57461">
        <w:tc>
          <w:tcPr>
            <w:tcW w:w="796" w:type="pct"/>
            <w:vMerge w:val="restart"/>
            <w:tcBorders>
              <w:bottom w:val="single" w:sz="4" w:space="0" w:color="auto"/>
            </w:tcBorders>
          </w:tcPr>
          <w:p w:rsidR="000F6F40" w:rsidRPr="001D3234" w:rsidRDefault="000F6F40" w:rsidP="0021603A">
            <w:pPr>
              <w:pStyle w:val="Tabletext"/>
              <w:rPr>
                <w:rFonts w:ascii="Times" w:hAnsi="Times"/>
              </w:rPr>
            </w:pPr>
            <w:r w:rsidRPr="001D3234">
              <w:t>PADDLE</w:t>
            </w:r>
          </w:p>
        </w:tc>
        <w:tc>
          <w:tcPr>
            <w:tcW w:w="3027" w:type="pct"/>
            <w:tcBorders>
              <w:bottom w:val="single" w:sz="4" w:space="0" w:color="auto"/>
            </w:tcBorders>
          </w:tcPr>
          <w:p w:rsidR="000F6F40" w:rsidRPr="001D3234" w:rsidRDefault="000F6F40" w:rsidP="00E11861">
            <w:pPr>
              <w:pStyle w:val="Tabletext"/>
              <w:spacing w:after="40"/>
              <w:rPr>
                <w:rFonts w:ascii="Times" w:hAnsi="Times"/>
              </w:rPr>
            </w:pPr>
            <w:r w:rsidRPr="001D3234">
              <w:rPr>
                <w:rFonts w:eastAsiaTheme="minorHAnsi" w:cstheme="minorBidi"/>
                <w:szCs w:val="20"/>
              </w:rPr>
              <w:t xml:space="preserve">Cahn P, Rolon MJ, Figueroa MI, et al. Dolutegravir-lamivudine as initial therapy in HIV-1 infected, ARV-naive patients, 48-week results of the PADDLE (Pilot Antiretroviral Design with Dolutegravir Lamivudine) study. </w:t>
            </w:r>
          </w:p>
        </w:tc>
        <w:tc>
          <w:tcPr>
            <w:tcW w:w="1177" w:type="pct"/>
            <w:tcBorders>
              <w:bottom w:val="single" w:sz="4" w:space="0" w:color="auto"/>
            </w:tcBorders>
          </w:tcPr>
          <w:p w:rsidR="000F6F40" w:rsidRPr="001D3234" w:rsidRDefault="000F6F40" w:rsidP="00E11861">
            <w:pPr>
              <w:pStyle w:val="Tabletext"/>
            </w:pPr>
            <w:r w:rsidRPr="001D3234">
              <w:rPr>
                <w:rFonts w:eastAsiaTheme="minorHAnsi" w:cstheme="minorBidi"/>
                <w:szCs w:val="20"/>
              </w:rPr>
              <w:t>Journal of the International AIDS Society 2017; 20(1):21678</w:t>
            </w:r>
          </w:p>
        </w:tc>
      </w:tr>
      <w:tr w:rsidR="000F6F40" w:rsidRPr="001D3234" w:rsidTr="00F57461">
        <w:tc>
          <w:tcPr>
            <w:tcW w:w="796" w:type="pct"/>
            <w:vMerge/>
            <w:tcBorders>
              <w:top w:val="single" w:sz="4" w:space="0" w:color="auto"/>
            </w:tcBorders>
          </w:tcPr>
          <w:p w:rsidR="000F6F40" w:rsidRPr="001D3234" w:rsidRDefault="000F6F40" w:rsidP="0021603A">
            <w:pPr>
              <w:pStyle w:val="Tabletext"/>
            </w:pPr>
          </w:p>
        </w:tc>
        <w:tc>
          <w:tcPr>
            <w:tcW w:w="3027" w:type="pct"/>
            <w:tcBorders>
              <w:top w:val="single" w:sz="4" w:space="0" w:color="auto"/>
              <w:bottom w:val="single" w:sz="4" w:space="0" w:color="auto"/>
            </w:tcBorders>
          </w:tcPr>
          <w:p w:rsidR="000F6F40" w:rsidRPr="001D3234" w:rsidRDefault="000F6F40" w:rsidP="00E11861">
            <w:pPr>
              <w:pStyle w:val="Tabletext"/>
              <w:spacing w:after="40"/>
              <w:rPr>
                <w:szCs w:val="18"/>
              </w:rPr>
            </w:pPr>
            <w:r w:rsidRPr="001D3234">
              <w:rPr>
                <w:rFonts w:eastAsiaTheme="minorHAnsi" w:cstheme="minorBidi"/>
                <w:szCs w:val="20"/>
              </w:rPr>
              <w:t xml:space="preserve">Cahn P, Rolon MJ, Figueroa MI, et al. Dolutegravir-lamivudine as initial therapy in HIV-infected, ARV naive patients: 48 week results of the PADDLE trial. </w:t>
            </w:r>
          </w:p>
        </w:tc>
        <w:tc>
          <w:tcPr>
            <w:tcW w:w="1177" w:type="pct"/>
            <w:tcBorders>
              <w:top w:val="single" w:sz="4" w:space="0" w:color="auto"/>
              <w:bottom w:val="single" w:sz="4" w:space="0" w:color="auto"/>
            </w:tcBorders>
          </w:tcPr>
          <w:p w:rsidR="000F6F40" w:rsidRPr="001D3234" w:rsidRDefault="000F6F40" w:rsidP="00E11861">
            <w:pPr>
              <w:pStyle w:val="Tabletext"/>
            </w:pPr>
            <w:r w:rsidRPr="001D3234">
              <w:rPr>
                <w:rFonts w:eastAsiaTheme="minorHAnsi" w:cstheme="minorBidi"/>
                <w:szCs w:val="20"/>
              </w:rPr>
              <w:t xml:space="preserve">21st International AIDS Conferences; 2016 </w:t>
            </w:r>
          </w:p>
        </w:tc>
      </w:tr>
      <w:tr w:rsidR="000F6F40" w:rsidRPr="001D3234" w:rsidTr="00F57461">
        <w:tc>
          <w:tcPr>
            <w:tcW w:w="796" w:type="pct"/>
            <w:vMerge/>
            <w:tcBorders>
              <w:bottom w:val="single" w:sz="4" w:space="0" w:color="auto"/>
            </w:tcBorders>
          </w:tcPr>
          <w:p w:rsidR="000F6F40" w:rsidRPr="001D3234" w:rsidRDefault="000F6F40" w:rsidP="0021603A">
            <w:pPr>
              <w:pStyle w:val="Tabletext"/>
            </w:pP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Figueroa, M. I. Dolutegravir-Lamivudine as initial therapy in HIV-1 infected, ARV-naive patients: 96 week results of the PADDLE trial. </w:t>
            </w:r>
          </w:p>
        </w:tc>
        <w:tc>
          <w:tcPr>
            <w:tcW w:w="1177" w:type="pct"/>
            <w:tcBorders>
              <w:top w:val="single" w:sz="4" w:space="0" w:color="auto"/>
              <w:bottom w:val="single" w:sz="4" w:space="0" w:color="auto"/>
            </w:tcBorders>
          </w:tcPr>
          <w:p w:rsidR="000F6F40" w:rsidRPr="001D3234" w:rsidRDefault="000F6F40" w:rsidP="00E11861">
            <w:pPr>
              <w:pStyle w:val="Tabletext"/>
              <w:rPr>
                <w:rFonts w:ascii="Times" w:hAnsi="Times"/>
              </w:rPr>
            </w:pPr>
            <w:r w:rsidRPr="001D3234">
              <w:rPr>
                <w:rFonts w:eastAsiaTheme="minorHAnsi" w:cstheme="minorBidi"/>
                <w:szCs w:val="20"/>
              </w:rPr>
              <w:t xml:space="preserve">9th IAS Conference on HIV Science; 2017 </w:t>
            </w:r>
          </w:p>
        </w:tc>
      </w:tr>
      <w:tr w:rsidR="000F6F40" w:rsidRPr="001D3234" w:rsidTr="00F57461">
        <w:tc>
          <w:tcPr>
            <w:tcW w:w="796" w:type="pct"/>
            <w:vMerge w:val="restart"/>
            <w:tcBorders>
              <w:top w:val="single" w:sz="4" w:space="0" w:color="auto"/>
            </w:tcBorders>
          </w:tcPr>
          <w:p w:rsidR="000F6F40" w:rsidRPr="001D3234" w:rsidRDefault="000F6F40" w:rsidP="0021603A">
            <w:pPr>
              <w:pStyle w:val="Tabletext"/>
            </w:pPr>
            <w:r w:rsidRPr="001D3234">
              <w:t>ACTGA5353</w:t>
            </w:r>
          </w:p>
        </w:tc>
        <w:tc>
          <w:tcPr>
            <w:tcW w:w="3027" w:type="pct"/>
            <w:tcBorders>
              <w:top w:val="single" w:sz="4" w:space="0" w:color="auto"/>
              <w:bottom w:val="nil"/>
            </w:tcBorders>
          </w:tcPr>
          <w:p w:rsidR="000F6F40" w:rsidRPr="001D3234" w:rsidRDefault="000F6F40" w:rsidP="00E11861">
            <w:pPr>
              <w:pStyle w:val="Tabletext"/>
              <w:spacing w:after="40"/>
              <w:rPr>
                <w:rFonts w:ascii="Times" w:hAnsi="Times"/>
              </w:rPr>
            </w:pPr>
            <w:r w:rsidRPr="001D3234">
              <w:rPr>
                <w:rFonts w:eastAsiaTheme="minorHAnsi" w:cstheme="minorBidi"/>
                <w:szCs w:val="20"/>
              </w:rPr>
              <w:t xml:space="preserve">Taiwo BO, Zheng L, Stefanescu A, et al. ACTG A5353: A pilot study of dolutegravir plus lamivudine for initial treatment of HIV-1-infected participants with HIV-1 RNA &lt; 500,000 copies/mL </w:t>
            </w:r>
          </w:p>
        </w:tc>
        <w:tc>
          <w:tcPr>
            <w:tcW w:w="1177" w:type="pct"/>
            <w:tcBorders>
              <w:top w:val="single" w:sz="4" w:space="0" w:color="auto"/>
              <w:bottom w:val="nil"/>
            </w:tcBorders>
          </w:tcPr>
          <w:p w:rsidR="000F6F40" w:rsidRPr="001D3234" w:rsidRDefault="000F6F40" w:rsidP="00E11861">
            <w:pPr>
              <w:pStyle w:val="Tabletext"/>
              <w:rPr>
                <w:rFonts w:ascii="Times" w:hAnsi="Times"/>
              </w:rPr>
            </w:pPr>
            <w:r w:rsidRPr="001D3234">
              <w:rPr>
                <w:rFonts w:eastAsiaTheme="minorHAnsi" w:cstheme="minorBidi"/>
                <w:szCs w:val="20"/>
              </w:rPr>
              <w:t>Clinical Infectious Diseases. 2018; 66(11):1689-97. </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Taiwo BO, Zheng, L, Nyaku AN, et al. ACTG A5353: A pilot study of dolutegravir (DTG) + lamivudine (3TC) for initial treatment of HIV-1-infected participants with HIV-1 RNA &lt; 500,000 copies/mL.</w:t>
            </w:r>
          </w:p>
        </w:tc>
        <w:tc>
          <w:tcPr>
            <w:tcW w:w="1177" w:type="pct"/>
            <w:tcBorders>
              <w:top w:val="nil"/>
              <w:bottom w:val="single" w:sz="4" w:space="0" w:color="auto"/>
            </w:tcBorders>
          </w:tcPr>
          <w:p w:rsidR="000F6F40" w:rsidRPr="001D3234" w:rsidRDefault="000F6F40" w:rsidP="00E11861">
            <w:pPr>
              <w:pStyle w:val="Tabletext"/>
            </w:pPr>
            <w:r w:rsidRPr="001D3234">
              <w:rPr>
                <w:rFonts w:eastAsiaTheme="minorHAnsi" w:cstheme="minorBidi"/>
                <w:szCs w:val="20"/>
              </w:rPr>
              <w:t>9th IAS Conference on HIV Science; 2017</w:t>
            </w:r>
          </w:p>
        </w:tc>
      </w:tr>
      <w:tr w:rsidR="000F6F40" w:rsidRPr="001D3234" w:rsidTr="00E11861">
        <w:tc>
          <w:tcPr>
            <w:tcW w:w="796" w:type="pct"/>
            <w:vMerge w:val="restart"/>
            <w:tcBorders>
              <w:top w:val="single" w:sz="4" w:space="0" w:color="auto"/>
            </w:tcBorders>
          </w:tcPr>
          <w:p w:rsidR="000F6F40" w:rsidRPr="001D3234" w:rsidRDefault="000F6F40" w:rsidP="0021603A">
            <w:pPr>
              <w:pStyle w:val="Tabletext"/>
            </w:pPr>
            <w:r w:rsidRPr="001D3234">
              <w:t>ASPIRE</w:t>
            </w:r>
          </w:p>
        </w:tc>
        <w:tc>
          <w:tcPr>
            <w:tcW w:w="3027" w:type="pct"/>
            <w:tcBorders>
              <w:top w:val="single" w:sz="4" w:space="0" w:color="auto"/>
              <w:bottom w:val="nil"/>
            </w:tcBorders>
          </w:tcPr>
          <w:p w:rsidR="000F6F40" w:rsidRPr="001D3234" w:rsidRDefault="000F6F40" w:rsidP="00E11861">
            <w:pPr>
              <w:pStyle w:val="Tabletext"/>
              <w:spacing w:after="40"/>
              <w:rPr>
                <w:szCs w:val="18"/>
              </w:rPr>
            </w:pPr>
            <w:r w:rsidRPr="001D3234">
              <w:rPr>
                <w:rFonts w:eastAsiaTheme="minorHAnsi" w:cstheme="minorBidi"/>
                <w:szCs w:val="20"/>
              </w:rPr>
              <w:t xml:space="preserve">Taiwo BO, Marconi VC, Berzins B, et al. Dolutegravir plus lamivudine maintain HIV-1 suppression through week 48 in a pilot randomized trial. </w:t>
            </w:r>
          </w:p>
        </w:tc>
        <w:tc>
          <w:tcPr>
            <w:tcW w:w="1177" w:type="pct"/>
            <w:tcBorders>
              <w:top w:val="single" w:sz="4" w:space="0" w:color="auto"/>
              <w:bottom w:val="nil"/>
            </w:tcBorders>
          </w:tcPr>
          <w:p w:rsidR="000F6F40" w:rsidRPr="001D3234" w:rsidRDefault="000F6F40" w:rsidP="00E11861">
            <w:pPr>
              <w:pStyle w:val="Tabletext"/>
              <w:rPr>
                <w:szCs w:val="18"/>
              </w:rPr>
            </w:pPr>
            <w:r w:rsidRPr="001D3234">
              <w:rPr>
                <w:rFonts w:eastAsiaTheme="minorHAnsi" w:cstheme="minorBidi"/>
                <w:szCs w:val="20"/>
              </w:rPr>
              <w:t>Clinical Infection Diseases. 2018b; 66(11):1794-1797</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Taiwo BO, Marconi V, Berzins B, et al. Dolutegravir plus lamivudine maintains HIV-1 suppression in plasma and genital secretions through week 24 in a pilot randomized trial. </w:t>
            </w:r>
          </w:p>
        </w:tc>
        <w:tc>
          <w:tcPr>
            <w:tcW w:w="1177" w:type="pct"/>
            <w:tcBorders>
              <w:top w:val="nil"/>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 xml:space="preserve">9th IAS Conference on HIV Science; 2017; </w:t>
            </w:r>
          </w:p>
        </w:tc>
      </w:tr>
      <w:tr w:rsidR="000F6F40" w:rsidRPr="001D3234" w:rsidTr="00E11861">
        <w:trPr>
          <w:trHeight w:val="443"/>
        </w:trPr>
        <w:tc>
          <w:tcPr>
            <w:tcW w:w="796" w:type="pct"/>
            <w:vMerge w:val="restart"/>
            <w:tcBorders>
              <w:top w:val="single" w:sz="4" w:space="0" w:color="auto"/>
            </w:tcBorders>
          </w:tcPr>
          <w:p w:rsidR="000F6F40" w:rsidRPr="001D3234" w:rsidRDefault="000F6F40" w:rsidP="0021603A">
            <w:pPr>
              <w:pStyle w:val="Tabletext"/>
            </w:pPr>
            <w:r w:rsidRPr="001D3234">
              <w:t>LAMIDOL</w:t>
            </w:r>
          </w:p>
        </w:tc>
        <w:tc>
          <w:tcPr>
            <w:tcW w:w="3027" w:type="pct"/>
            <w:tcBorders>
              <w:top w:val="single" w:sz="4" w:space="0" w:color="auto"/>
              <w:bottom w:val="nil"/>
            </w:tcBorders>
          </w:tcPr>
          <w:p w:rsidR="000F6F40" w:rsidRPr="001D3234" w:rsidRDefault="000F6F40" w:rsidP="00E11861">
            <w:pPr>
              <w:pStyle w:val="Tabletext"/>
              <w:rPr>
                <w:szCs w:val="18"/>
              </w:rPr>
            </w:pPr>
            <w:r w:rsidRPr="001D3234">
              <w:rPr>
                <w:rFonts w:eastAsiaTheme="minorHAnsi" w:cstheme="minorBidi"/>
                <w:szCs w:val="20"/>
              </w:rPr>
              <w:t xml:space="preserve">Joly V, Burdet C, Landman R, et al. Dolutegravir and lamivudine maintenance therapy in HIV-1 virologically suppressed patients: results of the ANRS 167 trial (LAMIDOL). </w:t>
            </w:r>
          </w:p>
        </w:tc>
        <w:tc>
          <w:tcPr>
            <w:tcW w:w="1177" w:type="pct"/>
            <w:tcBorders>
              <w:top w:val="single" w:sz="4" w:space="0" w:color="auto"/>
              <w:bottom w:val="nil"/>
            </w:tcBorders>
          </w:tcPr>
          <w:p w:rsidR="000F6F40" w:rsidRPr="001D3234" w:rsidRDefault="000F6F40" w:rsidP="00E11861">
            <w:pPr>
              <w:pStyle w:val="Tabletext"/>
              <w:spacing w:after="40"/>
              <w:rPr>
                <w:i/>
                <w:szCs w:val="18"/>
              </w:rPr>
            </w:pPr>
            <w:r w:rsidRPr="001D3234">
              <w:rPr>
                <w:rFonts w:eastAsiaTheme="minorHAnsi" w:cstheme="minorBidi"/>
                <w:szCs w:val="20"/>
              </w:rPr>
              <w:t>The Journal of Antimicrobial Chemotherapy. 2018; Nov 23. doi: 10.1093/jac/dky467</w:t>
            </w:r>
          </w:p>
        </w:tc>
      </w:tr>
      <w:tr w:rsidR="000F6F40" w:rsidRPr="001D3234" w:rsidTr="00E11861">
        <w:tc>
          <w:tcPr>
            <w:tcW w:w="796" w:type="pct"/>
            <w:vMerge/>
          </w:tcPr>
          <w:p w:rsidR="000F6F40" w:rsidRPr="001D3234" w:rsidRDefault="000F6F40" w:rsidP="0021603A">
            <w:pPr>
              <w:pStyle w:val="Tabletext"/>
            </w:pPr>
          </w:p>
        </w:tc>
        <w:tc>
          <w:tcPr>
            <w:tcW w:w="3027" w:type="pct"/>
            <w:tcBorders>
              <w:top w:val="nil"/>
              <w:bottom w:val="nil"/>
            </w:tcBorders>
          </w:tcPr>
          <w:p w:rsidR="000F6F40" w:rsidRPr="001D3234" w:rsidRDefault="000F6F40" w:rsidP="00E11861">
            <w:pPr>
              <w:pStyle w:val="Tabletext"/>
              <w:rPr>
                <w:szCs w:val="18"/>
              </w:rPr>
            </w:pPr>
            <w:r w:rsidRPr="001D3234">
              <w:rPr>
                <w:rFonts w:eastAsiaTheme="minorHAnsi" w:cstheme="minorBidi"/>
                <w:szCs w:val="20"/>
              </w:rPr>
              <w:t>Joly V, Burdet C, Landman R, et al. Promising results of lamivudine + dolutegravir maintenance therapy in ANRS 167 Lamidol trial.</w:t>
            </w:r>
          </w:p>
        </w:tc>
        <w:tc>
          <w:tcPr>
            <w:tcW w:w="1177" w:type="pct"/>
            <w:tcBorders>
              <w:top w:val="nil"/>
              <w:bottom w:val="nil"/>
            </w:tcBorders>
          </w:tcPr>
          <w:p w:rsidR="000F6F40" w:rsidRPr="001D3234" w:rsidRDefault="000F6F40" w:rsidP="00E11861">
            <w:pPr>
              <w:pStyle w:val="Tabletext"/>
              <w:spacing w:after="40"/>
              <w:rPr>
                <w:i/>
                <w:szCs w:val="18"/>
              </w:rPr>
            </w:pPr>
            <w:r w:rsidRPr="001D3234">
              <w:rPr>
                <w:rFonts w:eastAsiaTheme="minorHAnsi" w:cstheme="minorBidi"/>
                <w:szCs w:val="20"/>
              </w:rPr>
              <w:t>Conference on Retroviruses and Opportunistic Infections (CROI) 2017; 2017</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Joly V, Burdet C, Raffi F, et al. Promising results of dolutegravir + lamivudine maintenance in ANRS167 LAMIDOL trial. </w:t>
            </w:r>
          </w:p>
        </w:tc>
        <w:tc>
          <w:tcPr>
            <w:tcW w:w="1177" w:type="pct"/>
            <w:tcBorders>
              <w:top w:val="nil"/>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16th European AIDS Conference;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Borghetti 2016</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Borghetti A, Baldin G, Ciccullo A, et al. Virological control and metabolic improvement in HIV-infected, virologically suppressed patients switching to lamivudine/dolutegravir dual therapy.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The Journal of Antimicrobial Chemotherapy. 2016;71(8):2359-2361</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Baldin 2016</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Baldin G, Borghetti A, Capetti A, et al. Efficacy and safety of lamivudine-dolutegravir in a multicenter cohort of HIV-infected, virologically suppressed patients.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Italian Conference on AIDS and Antiviral Research (ICAR) 2016;</w:t>
            </w:r>
          </w:p>
        </w:tc>
      </w:tr>
      <w:tr w:rsidR="000F6F40" w:rsidRPr="001D3234" w:rsidTr="00E11861">
        <w:tc>
          <w:tcPr>
            <w:tcW w:w="796" w:type="pct"/>
            <w:vMerge w:val="restart"/>
            <w:tcBorders>
              <w:top w:val="single" w:sz="4" w:space="0" w:color="auto"/>
            </w:tcBorders>
          </w:tcPr>
          <w:p w:rsidR="000F6F40" w:rsidRPr="001D3234" w:rsidRDefault="000F6F40" w:rsidP="0021603A">
            <w:pPr>
              <w:pStyle w:val="Tabletext"/>
              <w:rPr>
                <w:rFonts w:eastAsiaTheme="minorHAnsi" w:cstheme="minorBidi"/>
                <w:szCs w:val="20"/>
              </w:rPr>
            </w:pPr>
            <w:r w:rsidRPr="001D3234">
              <w:rPr>
                <w:rFonts w:eastAsiaTheme="minorHAnsi" w:cstheme="minorBidi"/>
                <w:szCs w:val="20"/>
              </w:rPr>
              <w:t xml:space="preserve">Borghetti 2017 </w:t>
            </w:r>
          </w:p>
        </w:tc>
        <w:tc>
          <w:tcPr>
            <w:tcW w:w="302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 xml:space="preserve">Borghetti A, Moschese D, Baldin G, et al. Efficacy and tolerability of lamivudine plus dolutegravir compared with lamivudine plus boosted PLS in HIV-positive, virologically-suppressed individuals from the clinical practice. </w:t>
            </w:r>
          </w:p>
        </w:tc>
        <w:tc>
          <w:tcPr>
            <w:tcW w:w="117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16th European AIDS Conference; 2017</w:t>
            </w:r>
          </w:p>
        </w:tc>
      </w:tr>
      <w:tr w:rsidR="000F6F40" w:rsidRPr="001D3234" w:rsidTr="00E11861">
        <w:tc>
          <w:tcPr>
            <w:tcW w:w="796" w:type="pct"/>
            <w:vMerge/>
            <w:tcBorders>
              <w:bottom w:val="single" w:sz="4" w:space="0" w:color="auto"/>
            </w:tcBorders>
          </w:tcPr>
          <w:p w:rsidR="000F6F40" w:rsidRPr="001D3234" w:rsidRDefault="000F6F40" w:rsidP="0021603A">
            <w:pPr>
              <w:pStyle w:val="Tabletext"/>
              <w:rPr>
                <w:rFonts w:eastAsiaTheme="minorHAnsi" w:cstheme="minorBidi"/>
                <w:szCs w:val="20"/>
              </w:rPr>
            </w:pPr>
          </w:p>
        </w:tc>
        <w:tc>
          <w:tcPr>
            <w:tcW w:w="302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 xml:space="preserve">Borghetti A, Moschese D, Baldin G, et al. A 48 week comparison of immunological, metabolic and renal function changes in a cohort of HIV+, virologically suppressed patients switching to lamivudine plus either darunavir/ritonavir, atazanavir/ritonavir or dolutegravir. </w:t>
            </w:r>
          </w:p>
        </w:tc>
        <w:tc>
          <w:tcPr>
            <w:tcW w:w="1177" w:type="pct"/>
            <w:tcBorders>
              <w:top w:val="single" w:sz="4" w:space="0" w:color="auto"/>
              <w:bottom w:val="single" w:sz="4" w:space="0" w:color="auto"/>
            </w:tcBorders>
          </w:tcPr>
          <w:p w:rsidR="000F6F40" w:rsidRPr="001D3234" w:rsidRDefault="000F6F40" w:rsidP="00E11861">
            <w:pPr>
              <w:pStyle w:val="Tabletext"/>
              <w:rPr>
                <w:rFonts w:eastAsiaTheme="minorHAnsi" w:cstheme="minorBidi"/>
                <w:szCs w:val="20"/>
              </w:rPr>
            </w:pPr>
            <w:r w:rsidRPr="001D3234">
              <w:rPr>
                <w:rFonts w:eastAsiaTheme="minorHAnsi" w:cstheme="minorBidi"/>
                <w:szCs w:val="20"/>
              </w:rPr>
              <w:t>16th European AIDS Conference;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Ciccullo 2018</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Ciccullo A, Baldin G, Capetti A., et al. A comparison between two dolutegravir-based two-drug regimens as switch strategies in a multicentre cohort of HIV-1-infected patients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Antiviral Therapy. 2018</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Cucchetto 2016</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Cucchetto G, Lanzafame M, Nicole S, et al. Integrase inhibitors with lamivudine, as maintenance-dual therapy, in a real-life clinical setting.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Italian Conference on AIDS and Antiviral Research (ICAR) 2016</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Hidalgo-Tenorio 2017</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Hidalgo-Tenorio C, De Jesus SE, Santos J, et al. Multicenter study of the effectiveness and safety of a dual therapy with dolutegravir plus lamivudine in treatment-experienced HIV patients.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16th European AIDS Conference;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 xml:space="preserve">Yagci Caglayik 2017 </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Yagci Caglayik, D., Gokengin, D., Inan, A., et al. Real life experience of dolutegravir and lamivudine dual therapy as a switching regimen in HIV-TR Cohort.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16th European AIDS Conference; 2017</w:t>
            </w:r>
          </w:p>
        </w:tc>
      </w:tr>
      <w:tr w:rsidR="000F6F40" w:rsidRPr="001D3234" w:rsidTr="0021603A">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lastRenderedPageBreak/>
              <w:t>Borghetti 2018</w:t>
            </w:r>
          </w:p>
        </w:tc>
        <w:tc>
          <w:tcPr>
            <w:tcW w:w="3027" w:type="pct"/>
            <w:tcBorders>
              <w:top w:val="single" w:sz="4" w:space="0" w:color="auto"/>
              <w:bottom w:val="single" w:sz="4" w:space="0" w:color="auto"/>
            </w:tcBorders>
            <w:vAlign w:val="center"/>
          </w:tcPr>
          <w:p w:rsidR="000F6F40" w:rsidRPr="001D3234" w:rsidRDefault="000F6F40" w:rsidP="000D5E60">
            <w:pPr>
              <w:pStyle w:val="Tabletext"/>
              <w:rPr>
                <w:szCs w:val="18"/>
              </w:rPr>
            </w:pPr>
            <w:r w:rsidRPr="001D3234">
              <w:rPr>
                <w:rFonts w:eastAsiaTheme="minorHAnsi" w:cstheme="minorBidi"/>
                <w:szCs w:val="20"/>
              </w:rPr>
              <w:t xml:space="preserve">Borghetti A, Baldin G, Lombardi F, et al. Efficacy and tolerability of lamivudine plus dolutegravir as a switch strategy in a multicentre cohort of patients with suppressed HIV-1 replication.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i/>
                <w:szCs w:val="18"/>
              </w:rPr>
            </w:pPr>
            <w:r w:rsidRPr="001D3234">
              <w:rPr>
                <w:rFonts w:eastAsiaTheme="minorHAnsi" w:cstheme="minorBidi"/>
                <w:szCs w:val="20"/>
              </w:rPr>
              <w:t>HIV Medicine. 2018;19 (7) 452-454</w:t>
            </w:r>
          </w:p>
        </w:tc>
      </w:tr>
      <w:tr w:rsidR="000F6F40" w:rsidRPr="001D3234" w:rsidTr="0021603A">
        <w:tc>
          <w:tcPr>
            <w:tcW w:w="796" w:type="pct"/>
            <w:vMerge w:val="restart"/>
            <w:tcBorders>
              <w:top w:val="single" w:sz="4" w:space="0" w:color="auto"/>
            </w:tcBorders>
          </w:tcPr>
          <w:p w:rsidR="000F6F40" w:rsidRPr="001D3234" w:rsidRDefault="000F6F40" w:rsidP="0021603A">
            <w:pPr>
              <w:pStyle w:val="Tabletext"/>
              <w:rPr>
                <w:rFonts w:eastAsiaTheme="minorHAnsi" w:cstheme="minorBidi"/>
                <w:szCs w:val="20"/>
              </w:rPr>
            </w:pPr>
            <w:r w:rsidRPr="001D3234">
              <w:rPr>
                <w:rFonts w:eastAsiaTheme="minorHAnsi" w:cstheme="minorBidi"/>
                <w:szCs w:val="20"/>
              </w:rPr>
              <w:t>Maggiolo 2017</w:t>
            </w:r>
          </w:p>
        </w:tc>
        <w:tc>
          <w:tcPr>
            <w:tcW w:w="302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 xml:space="preserve">Maggiolo F, Gulminetti R, Pagnucco L, et al. Lamivudine/dolutegravir dual therapy in HIV-infected, virologically suppressed patients.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BMC Infectious Diseases. 2017a;17(1):215</w:t>
            </w:r>
          </w:p>
        </w:tc>
      </w:tr>
      <w:tr w:rsidR="000F6F40" w:rsidRPr="001D3234" w:rsidTr="0021603A">
        <w:tc>
          <w:tcPr>
            <w:tcW w:w="796" w:type="pct"/>
            <w:vMerge/>
          </w:tcPr>
          <w:p w:rsidR="000F6F40" w:rsidRPr="001D3234" w:rsidRDefault="000F6F40" w:rsidP="0021603A">
            <w:pPr>
              <w:pStyle w:val="Tabletext"/>
              <w:rPr>
                <w:rFonts w:eastAsiaTheme="minorHAnsi" w:cstheme="minorBidi"/>
                <w:szCs w:val="20"/>
              </w:rPr>
            </w:pPr>
          </w:p>
        </w:tc>
        <w:tc>
          <w:tcPr>
            <w:tcW w:w="302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 xml:space="preserve">Maggiolo F, Gulminetti R, Pagnucco L, et al. Durability of dolutegravir + lamivudine as simplification cART in patients with suppressed HIV-RNA.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Presented at: 16th European AIDS Conference; October 25-27, 2017b; Milan, Italy.</w:t>
            </w:r>
          </w:p>
        </w:tc>
      </w:tr>
      <w:tr w:rsidR="000F6F40" w:rsidRPr="001D3234" w:rsidTr="0021603A">
        <w:tc>
          <w:tcPr>
            <w:tcW w:w="796" w:type="pct"/>
            <w:vMerge/>
            <w:tcBorders>
              <w:bottom w:val="single" w:sz="4" w:space="0" w:color="auto"/>
            </w:tcBorders>
          </w:tcPr>
          <w:p w:rsidR="000F6F40" w:rsidRPr="001D3234" w:rsidRDefault="000F6F40" w:rsidP="0021603A">
            <w:pPr>
              <w:pStyle w:val="Tabletext"/>
              <w:rPr>
                <w:rFonts w:eastAsiaTheme="minorHAnsi" w:cstheme="minorBidi"/>
                <w:szCs w:val="20"/>
              </w:rPr>
            </w:pPr>
          </w:p>
        </w:tc>
        <w:tc>
          <w:tcPr>
            <w:tcW w:w="302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Maggiolo F, Gulminetti R, Pagnucco L, Lamivudine+dolutegravir as simplification strategy in patients with suppressed HIV RNA.</w:t>
            </w:r>
          </w:p>
        </w:tc>
        <w:tc>
          <w:tcPr>
            <w:tcW w:w="1177" w:type="pct"/>
            <w:tcBorders>
              <w:top w:val="single" w:sz="4" w:space="0" w:color="auto"/>
              <w:bottom w:val="single" w:sz="4" w:space="0" w:color="auto"/>
            </w:tcBorders>
            <w:vAlign w:val="center"/>
          </w:tcPr>
          <w:p w:rsidR="000F6F40" w:rsidRPr="001D3234" w:rsidRDefault="000F6F40" w:rsidP="000D5E60">
            <w:pPr>
              <w:pStyle w:val="Tabletext"/>
              <w:rPr>
                <w:rFonts w:eastAsiaTheme="minorHAnsi" w:cstheme="minorBidi"/>
                <w:szCs w:val="20"/>
              </w:rPr>
            </w:pPr>
            <w:r w:rsidRPr="001D3234">
              <w:rPr>
                <w:rFonts w:eastAsiaTheme="minorHAnsi" w:cstheme="minorBidi"/>
                <w:szCs w:val="20"/>
              </w:rPr>
              <w:t>Journal of the International AIDS Society,2016</w:t>
            </w:r>
          </w:p>
        </w:tc>
      </w:tr>
      <w:tr w:rsidR="000F6F40" w:rsidRPr="001D3234" w:rsidTr="0021603A">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Tan 2018</w:t>
            </w:r>
          </w:p>
        </w:tc>
        <w:tc>
          <w:tcPr>
            <w:tcW w:w="3027" w:type="pct"/>
            <w:tcBorders>
              <w:top w:val="single" w:sz="4" w:space="0" w:color="auto"/>
              <w:bottom w:val="single" w:sz="4" w:space="0" w:color="auto"/>
            </w:tcBorders>
            <w:vAlign w:val="center"/>
          </w:tcPr>
          <w:p w:rsidR="000F6F40" w:rsidRPr="001D3234" w:rsidRDefault="000F6F40" w:rsidP="000D5E60">
            <w:pPr>
              <w:pStyle w:val="Tabletext"/>
              <w:rPr>
                <w:szCs w:val="18"/>
              </w:rPr>
            </w:pPr>
            <w:r w:rsidRPr="001D3234">
              <w:rPr>
                <w:rFonts w:eastAsiaTheme="minorHAnsi" w:cstheme="minorBidi"/>
                <w:szCs w:val="20"/>
              </w:rPr>
              <w:t xml:space="preserve">Tan M, Johnston S, Nicholls J, et al. Dual therapy with dolutegravir and renally adjusted lamivudine in HIV infection: A treatment strategy to manage comorbidity and toxicity in older patients. </w:t>
            </w:r>
          </w:p>
        </w:tc>
        <w:tc>
          <w:tcPr>
            <w:tcW w:w="1177" w:type="pct"/>
            <w:tcBorders>
              <w:top w:val="single" w:sz="4" w:space="0" w:color="auto"/>
              <w:bottom w:val="single" w:sz="4" w:space="0" w:color="auto"/>
            </w:tcBorders>
            <w:vAlign w:val="center"/>
          </w:tcPr>
          <w:p w:rsidR="000F6F40" w:rsidRPr="001D3234" w:rsidRDefault="000F6F40" w:rsidP="000D5E60">
            <w:pPr>
              <w:pStyle w:val="Tabletext"/>
              <w:rPr>
                <w:i/>
                <w:szCs w:val="18"/>
              </w:rPr>
            </w:pPr>
            <w:r w:rsidRPr="001D3234">
              <w:rPr>
                <w:rFonts w:eastAsiaTheme="minorHAnsi" w:cstheme="minorBidi"/>
                <w:szCs w:val="20"/>
              </w:rPr>
              <w:t>HIV Medicine, 2018; 19, S24.</w:t>
            </w:r>
          </w:p>
        </w:tc>
      </w:tr>
      <w:tr w:rsidR="000F6F40" w:rsidRPr="001D3234" w:rsidTr="0021603A">
        <w:tc>
          <w:tcPr>
            <w:tcW w:w="796" w:type="pct"/>
            <w:vMerge w:val="restart"/>
            <w:tcBorders>
              <w:top w:val="single" w:sz="4" w:space="0" w:color="auto"/>
            </w:tcBorders>
          </w:tcPr>
          <w:p w:rsidR="000F6F40" w:rsidRPr="001D3234" w:rsidRDefault="000F6F40" w:rsidP="0021603A">
            <w:pPr>
              <w:pStyle w:val="Tabletext"/>
            </w:pPr>
            <w:r w:rsidRPr="001D3234">
              <w:rPr>
                <w:rFonts w:eastAsiaTheme="minorHAnsi" w:cstheme="minorBidi"/>
                <w:szCs w:val="20"/>
              </w:rPr>
              <w:t>DOLULAM</w:t>
            </w:r>
          </w:p>
        </w:tc>
        <w:tc>
          <w:tcPr>
            <w:tcW w:w="3027" w:type="pct"/>
            <w:tcBorders>
              <w:top w:val="single" w:sz="4" w:space="0" w:color="auto"/>
              <w:bottom w:val="nil"/>
            </w:tcBorders>
            <w:vAlign w:val="center"/>
          </w:tcPr>
          <w:p w:rsidR="000F6F40" w:rsidRPr="001D3234" w:rsidRDefault="000F6F40" w:rsidP="000D5E60">
            <w:pPr>
              <w:pStyle w:val="Tabletext"/>
              <w:spacing w:after="40"/>
              <w:rPr>
                <w:szCs w:val="18"/>
              </w:rPr>
            </w:pPr>
            <w:r w:rsidRPr="001D3234">
              <w:rPr>
                <w:rFonts w:eastAsiaTheme="minorHAnsi" w:cstheme="minorBidi"/>
                <w:szCs w:val="20"/>
              </w:rPr>
              <w:t xml:space="preserve">Reynes J, Meftah N, Montes B. Dual regimen with dolutegravir and lamivudine maintains virologic suppression even in heavily treatment-experienced HIV-infected patients: 48-week results from a pilot study (DOLULAM). </w:t>
            </w:r>
          </w:p>
        </w:tc>
        <w:tc>
          <w:tcPr>
            <w:tcW w:w="1177" w:type="pct"/>
            <w:tcBorders>
              <w:top w:val="single" w:sz="4" w:space="0" w:color="auto"/>
              <w:bottom w:val="nil"/>
            </w:tcBorders>
          </w:tcPr>
          <w:p w:rsidR="000F6F40" w:rsidRPr="001D3234" w:rsidRDefault="000F6F40" w:rsidP="000D5E60">
            <w:pPr>
              <w:pStyle w:val="Tabletext"/>
              <w:rPr>
                <w:i/>
                <w:szCs w:val="18"/>
              </w:rPr>
            </w:pPr>
            <w:r w:rsidRPr="001D3234">
              <w:rPr>
                <w:rFonts w:eastAsiaTheme="minorHAnsi" w:cstheme="minorBidi"/>
                <w:szCs w:val="20"/>
              </w:rPr>
              <w:t>Journal of the International AIDS Society. 2016;19(Suppl 7):68-69.</w:t>
            </w:r>
          </w:p>
        </w:tc>
      </w:tr>
      <w:tr w:rsidR="000F6F40" w:rsidRPr="001D3234" w:rsidTr="00E11861">
        <w:tc>
          <w:tcPr>
            <w:tcW w:w="796" w:type="pct"/>
            <w:vMerge/>
            <w:tcBorders>
              <w:bottom w:val="single" w:sz="4" w:space="0" w:color="auto"/>
            </w:tcBorders>
          </w:tcPr>
          <w:p w:rsidR="000F6F40" w:rsidRPr="001D3234" w:rsidRDefault="000F6F40" w:rsidP="0021603A">
            <w:pPr>
              <w:pStyle w:val="Tabletext"/>
            </w:pPr>
          </w:p>
        </w:tc>
        <w:tc>
          <w:tcPr>
            <w:tcW w:w="3027" w:type="pct"/>
            <w:tcBorders>
              <w:top w:val="nil"/>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Reynes J, Meftah N, Tuaillon E, et al. Dual regimen with dolutegravir and lamivudine maintains virologic suppression even in heavily treatment experienced HIV-infected patients: 96 weeks results from maintenance DOLULAM study. </w:t>
            </w:r>
          </w:p>
        </w:tc>
        <w:tc>
          <w:tcPr>
            <w:tcW w:w="1177" w:type="pct"/>
            <w:tcBorders>
              <w:top w:val="nil"/>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9th IAS Conference on HIV Science (IAS 2017)</w:t>
            </w:r>
          </w:p>
        </w:tc>
      </w:tr>
      <w:tr w:rsidR="000F6F40" w:rsidRPr="001D3234" w:rsidTr="00E11861">
        <w:tc>
          <w:tcPr>
            <w:tcW w:w="796" w:type="pct"/>
            <w:tcBorders>
              <w:top w:val="single" w:sz="4" w:space="0" w:color="auto"/>
              <w:bottom w:val="single" w:sz="4" w:space="0" w:color="auto"/>
            </w:tcBorders>
          </w:tcPr>
          <w:p w:rsidR="000F6F40" w:rsidRPr="001D3234" w:rsidRDefault="000F6F40" w:rsidP="0021603A">
            <w:pPr>
              <w:pStyle w:val="Tabletext"/>
            </w:pPr>
            <w:r w:rsidRPr="001D3234">
              <w:rPr>
                <w:rFonts w:eastAsiaTheme="minorHAnsi" w:cstheme="minorBidi"/>
                <w:szCs w:val="20"/>
              </w:rPr>
              <w:t>DOLAM</w:t>
            </w:r>
          </w:p>
        </w:tc>
        <w:tc>
          <w:tcPr>
            <w:tcW w:w="3027" w:type="pct"/>
            <w:tcBorders>
              <w:top w:val="single" w:sz="4" w:space="0" w:color="auto"/>
              <w:bottom w:val="single" w:sz="4" w:space="0" w:color="auto"/>
            </w:tcBorders>
          </w:tcPr>
          <w:p w:rsidR="000F6F40" w:rsidRPr="001D3234" w:rsidRDefault="000F6F40" w:rsidP="00E11861">
            <w:pPr>
              <w:pStyle w:val="Tabletext"/>
              <w:rPr>
                <w:szCs w:val="18"/>
              </w:rPr>
            </w:pPr>
            <w:r w:rsidRPr="001D3234">
              <w:rPr>
                <w:rFonts w:eastAsiaTheme="minorHAnsi" w:cstheme="minorBidi"/>
                <w:szCs w:val="20"/>
              </w:rPr>
              <w:t xml:space="preserve">Blanco JL, Rojas J, Paredes R, et al. Dolutegravir-based maintenance monotherapy versus dual therapy with lamivudine: A planned 24 week analysis of the DOLAM randomized clinical trial. </w:t>
            </w:r>
          </w:p>
        </w:tc>
        <w:tc>
          <w:tcPr>
            <w:tcW w:w="1177" w:type="pct"/>
            <w:tcBorders>
              <w:top w:val="single" w:sz="4" w:space="0" w:color="auto"/>
              <w:bottom w:val="single" w:sz="4" w:space="0" w:color="auto"/>
            </w:tcBorders>
          </w:tcPr>
          <w:p w:rsidR="000F6F40" w:rsidRPr="001D3234" w:rsidRDefault="000F6F40" w:rsidP="00E11861">
            <w:pPr>
              <w:pStyle w:val="Tabletext"/>
              <w:rPr>
                <w:i/>
                <w:szCs w:val="18"/>
              </w:rPr>
            </w:pPr>
            <w:r w:rsidRPr="001D3234">
              <w:rPr>
                <w:rFonts w:eastAsiaTheme="minorHAnsi" w:cstheme="minorBidi"/>
                <w:szCs w:val="20"/>
              </w:rPr>
              <w:t>Journal of Antimicrobial Chemotherapy, 2018; 73, 1965-1971.</w:t>
            </w:r>
          </w:p>
        </w:tc>
      </w:tr>
    </w:tbl>
    <w:p w:rsidR="000F6F40" w:rsidRPr="001D3234" w:rsidRDefault="000F6F40" w:rsidP="000F6F40">
      <w:pPr>
        <w:pStyle w:val="TableFooter"/>
        <w:rPr>
          <w:sz w:val="20"/>
        </w:rPr>
      </w:pPr>
      <w:r w:rsidRPr="001D3234">
        <w:t>Source: Table 27, pp45-57 of the submission.</w:t>
      </w:r>
    </w:p>
    <w:p w:rsidR="000F6F40" w:rsidRPr="001D3234" w:rsidRDefault="000F6F40" w:rsidP="001A0D42">
      <w:pPr>
        <w:pStyle w:val="ListParagraph"/>
        <w:widowControl/>
        <w:numPr>
          <w:ilvl w:val="1"/>
          <w:numId w:val="1"/>
        </w:numPr>
        <w:spacing w:before="120"/>
      </w:pPr>
      <w:r w:rsidRPr="001D3234">
        <w:t>The key features</w:t>
      </w:r>
      <w:r w:rsidR="00351904" w:rsidRPr="001D3234">
        <w:t xml:space="preserve"> of the direct randomised trial</w:t>
      </w:r>
      <w:r w:rsidRPr="001D3234">
        <w:t>s are summarised in</w:t>
      </w:r>
      <w:r w:rsidR="008D77A7" w:rsidRPr="001D3234">
        <w:rPr>
          <w:b/>
        </w:rPr>
        <w:t xml:space="preserve"> </w:t>
      </w:r>
      <w:r w:rsidR="003E39FF" w:rsidRPr="001D3234">
        <w:rPr>
          <w:rStyle w:val="CommentReference"/>
          <w:rFonts w:asciiTheme="minorHAnsi" w:hAnsiTheme="minorHAnsi" w:cstheme="minorHAnsi"/>
          <w:b w:val="0"/>
          <w:sz w:val="24"/>
          <w:szCs w:val="24"/>
        </w:rPr>
        <w:t>Table</w:t>
      </w:r>
      <w:r w:rsidR="003E39FF" w:rsidRPr="001D3234">
        <w:rPr>
          <w:rStyle w:val="CommentReference"/>
          <w:rFonts w:asciiTheme="minorHAnsi" w:hAnsiTheme="minorHAnsi" w:cstheme="minorHAnsi"/>
          <w:sz w:val="24"/>
          <w:szCs w:val="24"/>
        </w:rPr>
        <w:t xml:space="preserve"> </w:t>
      </w:r>
      <w:r w:rsidR="003E39FF" w:rsidRPr="001D3234">
        <w:rPr>
          <w:rFonts w:asciiTheme="minorHAnsi" w:hAnsiTheme="minorHAnsi" w:cstheme="minorHAnsi"/>
          <w:szCs w:val="24"/>
        </w:rPr>
        <w:t>4</w:t>
      </w:r>
      <w:r w:rsidR="001D3234">
        <w:rPr>
          <w:rFonts w:asciiTheme="minorHAnsi" w:hAnsiTheme="minorHAnsi" w:cstheme="minorHAnsi"/>
          <w:szCs w:val="24"/>
        </w:rPr>
        <w:t xml:space="preserve">. </w:t>
      </w:r>
    </w:p>
    <w:p w:rsidR="000F6F40" w:rsidRPr="001D3234" w:rsidRDefault="000F6F40" w:rsidP="000F6F40">
      <w:pPr>
        <w:rPr>
          <w:rStyle w:val="CommentReference"/>
        </w:rPr>
      </w:pPr>
      <w:bookmarkStart w:id="16" w:name="_Ref8382634"/>
      <w:r w:rsidRPr="001D3234">
        <w:rPr>
          <w:rStyle w:val="CommentReference"/>
        </w:rPr>
        <w:t xml:space="preserve">Table </w:t>
      </w:r>
      <w:r w:rsidR="003E39FF" w:rsidRPr="001D3234">
        <w:rPr>
          <w:rFonts w:ascii="Arial Narrow" w:hAnsi="Arial Narrow"/>
          <w:b/>
          <w:sz w:val="20"/>
          <w:szCs w:val="20"/>
        </w:rPr>
        <w:t>4</w:t>
      </w:r>
      <w:bookmarkEnd w:id="16"/>
      <w:r w:rsidR="008D77A7" w:rsidRPr="001D3234">
        <w:rPr>
          <w:rFonts w:ascii="Arial Narrow" w:hAnsi="Arial Narrow"/>
          <w:b/>
          <w:sz w:val="20"/>
          <w:szCs w:val="20"/>
        </w:rPr>
        <w:t>:</w:t>
      </w:r>
      <w:r w:rsidRPr="001D3234">
        <w:rPr>
          <w:rStyle w:val="CommentReference"/>
        </w:rPr>
        <w:t xml:space="preserve"> Key features of the included evidence</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88"/>
        <w:gridCol w:w="1135"/>
        <w:gridCol w:w="1560"/>
        <w:gridCol w:w="851"/>
        <w:gridCol w:w="1699"/>
        <w:gridCol w:w="2730"/>
      </w:tblGrid>
      <w:tr w:rsidR="000F6F40" w:rsidRPr="001D3234" w:rsidTr="00E11861">
        <w:trPr>
          <w:tblHeader/>
        </w:trPr>
        <w:tc>
          <w:tcPr>
            <w:tcW w:w="551" w:type="pct"/>
            <w:shd w:val="clear" w:color="auto" w:fill="auto"/>
            <w:vAlign w:val="center"/>
          </w:tcPr>
          <w:p w:rsidR="000F6F40" w:rsidRPr="001D3234" w:rsidRDefault="000F6F40" w:rsidP="000D5E60">
            <w:pPr>
              <w:pStyle w:val="Tabletext"/>
              <w:rPr>
                <w:b/>
              </w:rPr>
            </w:pPr>
            <w:r w:rsidRPr="001D3234">
              <w:rPr>
                <w:b/>
              </w:rPr>
              <w:t>Trial</w:t>
            </w:r>
          </w:p>
        </w:tc>
        <w:tc>
          <w:tcPr>
            <w:tcW w:w="633" w:type="pct"/>
            <w:shd w:val="clear" w:color="auto" w:fill="auto"/>
            <w:vAlign w:val="center"/>
          </w:tcPr>
          <w:p w:rsidR="000F6F40" w:rsidRPr="001D3234" w:rsidRDefault="000F6F40" w:rsidP="000D5E60">
            <w:pPr>
              <w:pStyle w:val="Tabletext"/>
              <w:jc w:val="center"/>
              <w:rPr>
                <w:b/>
              </w:rPr>
            </w:pPr>
            <w:r w:rsidRPr="001D3234">
              <w:rPr>
                <w:b/>
              </w:rPr>
              <w:t>N</w:t>
            </w:r>
          </w:p>
        </w:tc>
        <w:tc>
          <w:tcPr>
            <w:tcW w:w="870" w:type="pct"/>
            <w:shd w:val="clear" w:color="auto" w:fill="auto"/>
            <w:vAlign w:val="center"/>
          </w:tcPr>
          <w:p w:rsidR="000F6F40" w:rsidRPr="001D3234" w:rsidRDefault="000F6F40" w:rsidP="000D5E60">
            <w:pPr>
              <w:pStyle w:val="Tabletext"/>
              <w:jc w:val="center"/>
              <w:rPr>
                <w:b/>
              </w:rPr>
            </w:pPr>
            <w:r w:rsidRPr="001D3234">
              <w:rPr>
                <w:b/>
              </w:rPr>
              <w:t xml:space="preserve">Design/ </w:t>
            </w:r>
            <w:r w:rsidR="00E11861" w:rsidRPr="001D3234">
              <w:rPr>
                <w:b/>
              </w:rPr>
              <w:br/>
            </w:r>
            <w:r w:rsidRPr="001D3234">
              <w:rPr>
                <w:b/>
              </w:rPr>
              <w:t>duration</w:t>
            </w:r>
          </w:p>
        </w:tc>
        <w:tc>
          <w:tcPr>
            <w:tcW w:w="475" w:type="pct"/>
            <w:shd w:val="clear" w:color="auto" w:fill="auto"/>
            <w:vAlign w:val="center"/>
          </w:tcPr>
          <w:p w:rsidR="000F6F40" w:rsidRPr="001D3234" w:rsidRDefault="000F6F40" w:rsidP="000D5E60">
            <w:pPr>
              <w:pStyle w:val="Tabletext"/>
              <w:jc w:val="center"/>
              <w:rPr>
                <w:b/>
              </w:rPr>
            </w:pPr>
            <w:r w:rsidRPr="001D3234">
              <w:rPr>
                <w:b/>
              </w:rPr>
              <w:t>Risk of bias</w:t>
            </w:r>
          </w:p>
        </w:tc>
        <w:tc>
          <w:tcPr>
            <w:tcW w:w="948" w:type="pct"/>
            <w:shd w:val="clear" w:color="auto" w:fill="auto"/>
            <w:vAlign w:val="center"/>
          </w:tcPr>
          <w:p w:rsidR="000F6F40" w:rsidRPr="001D3234" w:rsidRDefault="000F6F40" w:rsidP="000D5E60">
            <w:pPr>
              <w:pStyle w:val="Tabletext"/>
              <w:jc w:val="center"/>
              <w:rPr>
                <w:b/>
              </w:rPr>
            </w:pPr>
            <w:r w:rsidRPr="001D3234">
              <w:rPr>
                <w:b/>
              </w:rPr>
              <w:t>Patient population</w:t>
            </w:r>
          </w:p>
        </w:tc>
        <w:tc>
          <w:tcPr>
            <w:tcW w:w="1523" w:type="pct"/>
            <w:shd w:val="clear" w:color="auto" w:fill="auto"/>
            <w:vAlign w:val="center"/>
          </w:tcPr>
          <w:p w:rsidR="000F6F40" w:rsidRPr="001D3234" w:rsidRDefault="000F6F40" w:rsidP="000D5E60">
            <w:pPr>
              <w:pStyle w:val="Tabletext"/>
              <w:jc w:val="center"/>
              <w:rPr>
                <w:b/>
              </w:rPr>
            </w:pPr>
            <w:r w:rsidRPr="001D3234">
              <w:rPr>
                <w:b/>
              </w:rPr>
              <w:t>Outcome(s)</w:t>
            </w:r>
          </w:p>
        </w:tc>
      </w:tr>
      <w:tr w:rsidR="000F6F40" w:rsidRPr="001D3234" w:rsidTr="000D5E60">
        <w:tc>
          <w:tcPr>
            <w:tcW w:w="5000" w:type="pct"/>
            <w:gridSpan w:val="6"/>
            <w:shd w:val="clear" w:color="auto" w:fill="auto"/>
            <w:vAlign w:val="center"/>
          </w:tcPr>
          <w:p w:rsidR="000F6F40" w:rsidRPr="001D3234" w:rsidRDefault="000F6F40" w:rsidP="000D5E60">
            <w:pPr>
              <w:pStyle w:val="Tabletext"/>
              <w:rPr>
                <w:b/>
              </w:rPr>
            </w:pPr>
            <w:r w:rsidRPr="001D3234">
              <w:rPr>
                <w:b/>
              </w:rPr>
              <w:t>DTG +  3TC versus DTG + Truvada</w:t>
            </w:r>
            <w:r w:rsidRPr="001D3234">
              <w:rPr>
                <w:b/>
                <w:vertAlign w:val="superscript"/>
              </w:rPr>
              <w:t>®</w:t>
            </w:r>
          </w:p>
        </w:tc>
      </w:tr>
      <w:tr w:rsidR="000F6F40" w:rsidRPr="001D3234" w:rsidTr="00E11861">
        <w:tc>
          <w:tcPr>
            <w:tcW w:w="551" w:type="pct"/>
            <w:shd w:val="clear" w:color="auto" w:fill="auto"/>
            <w:vAlign w:val="center"/>
          </w:tcPr>
          <w:p w:rsidR="000F6F40" w:rsidRPr="001D3234" w:rsidRDefault="000F6F40" w:rsidP="000D5E60">
            <w:pPr>
              <w:pStyle w:val="Tabletext"/>
            </w:pPr>
            <w:r w:rsidRPr="001D3234">
              <w:t>GEMINI 1</w:t>
            </w:r>
          </w:p>
        </w:tc>
        <w:tc>
          <w:tcPr>
            <w:tcW w:w="633" w:type="pct"/>
            <w:shd w:val="clear" w:color="auto" w:fill="auto"/>
            <w:vAlign w:val="center"/>
          </w:tcPr>
          <w:p w:rsidR="000F6F40" w:rsidRPr="001D3234" w:rsidRDefault="000F6F40" w:rsidP="000D5E60">
            <w:pPr>
              <w:pStyle w:val="Tabletext"/>
              <w:jc w:val="center"/>
            </w:pPr>
            <w:r w:rsidRPr="001D3234">
              <w:t>719</w:t>
            </w:r>
          </w:p>
        </w:tc>
        <w:tc>
          <w:tcPr>
            <w:tcW w:w="870" w:type="pct"/>
            <w:vMerge w:val="restart"/>
            <w:shd w:val="clear" w:color="auto" w:fill="auto"/>
            <w:vAlign w:val="center"/>
          </w:tcPr>
          <w:p w:rsidR="000F6F40" w:rsidRPr="001D3234" w:rsidRDefault="000F6F40" w:rsidP="000D5E60">
            <w:pPr>
              <w:pStyle w:val="Tabletext"/>
              <w:jc w:val="center"/>
            </w:pPr>
            <w:r w:rsidRPr="001D3234">
              <w:t>R, DB</w:t>
            </w:r>
          </w:p>
          <w:p w:rsidR="000F6F40" w:rsidRPr="001D3234" w:rsidRDefault="000F6F40" w:rsidP="000D5E60">
            <w:pPr>
              <w:pStyle w:val="Tabletext"/>
              <w:jc w:val="center"/>
            </w:pPr>
            <w:r w:rsidRPr="001D3234">
              <w:t>48 weeks*</w:t>
            </w:r>
          </w:p>
        </w:tc>
        <w:tc>
          <w:tcPr>
            <w:tcW w:w="475" w:type="pct"/>
            <w:vMerge w:val="restart"/>
            <w:shd w:val="clear" w:color="auto" w:fill="auto"/>
            <w:vAlign w:val="center"/>
          </w:tcPr>
          <w:p w:rsidR="000F6F40" w:rsidRPr="001D3234" w:rsidRDefault="000F6F40" w:rsidP="000D5E60">
            <w:pPr>
              <w:pStyle w:val="Tabletext"/>
              <w:jc w:val="center"/>
            </w:pPr>
            <w:r w:rsidRPr="001D3234">
              <w:t>Low</w:t>
            </w:r>
          </w:p>
        </w:tc>
        <w:tc>
          <w:tcPr>
            <w:tcW w:w="948" w:type="pct"/>
            <w:vMerge w:val="restart"/>
            <w:shd w:val="clear" w:color="auto" w:fill="auto"/>
            <w:vAlign w:val="center"/>
          </w:tcPr>
          <w:p w:rsidR="000F6F40" w:rsidRPr="001D3234" w:rsidRDefault="000F6F40" w:rsidP="000D5E60">
            <w:pPr>
              <w:pStyle w:val="Tabletext"/>
              <w:jc w:val="center"/>
            </w:pPr>
            <w:r w:rsidRPr="001D3234">
              <w:t>Treatment naïve</w:t>
            </w:r>
          </w:p>
        </w:tc>
        <w:tc>
          <w:tcPr>
            <w:tcW w:w="1523" w:type="pct"/>
            <w:vMerge w:val="restart"/>
            <w:shd w:val="clear" w:color="auto" w:fill="auto"/>
            <w:vAlign w:val="center"/>
          </w:tcPr>
          <w:p w:rsidR="000F6F40" w:rsidRPr="001D3234" w:rsidRDefault="000F6F40" w:rsidP="000D5E60">
            <w:pPr>
              <w:pStyle w:val="Tabletext"/>
              <w:jc w:val="center"/>
            </w:pPr>
            <w:r w:rsidRPr="001D3234">
              <w:t xml:space="preserve">HIV-1 RNA &lt;50 copies at Week 48; </w:t>
            </w:r>
            <w:r w:rsidR="00E11861" w:rsidRPr="001D3234">
              <w:br/>
            </w:r>
            <w:r w:rsidRPr="001D3234">
              <w:t>FDA snapshot at 48 weeks</w:t>
            </w:r>
          </w:p>
        </w:tc>
      </w:tr>
      <w:tr w:rsidR="000F6F40" w:rsidRPr="001D3234" w:rsidTr="00E11861">
        <w:tc>
          <w:tcPr>
            <w:tcW w:w="551" w:type="pct"/>
            <w:shd w:val="clear" w:color="auto" w:fill="auto"/>
            <w:vAlign w:val="center"/>
          </w:tcPr>
          <w:p w:rsidR="000F6F40" w:rsidRPr="001D3234" w:rsidRDefault="000F6F40" w:rsidP="000D5E60">
            <w:pPr>
              <w:pStyle w:val="Tabletext"/>
            </w:pPr>
            <w:r w:rsidRPr="001D3234">
              <w:t>GEMINI 2</w:t>
            </w:r>
          </w:p>
        </w:tc>
        <w:tc>
          <w:tcPr>
            <w:tcW w:w="633" w:type="pct"/>
            <w:shd w:val="clear" w:color="auto" w:fill="auto"/>
            <w:vAlign w:val="center"/>
          </w:tcPr>
          <w:p w:rsidR="000F6F40" w:rsidRPr="001D3234" w:rsidRDefault="000F6F40" w:rsidP="000D5E60">
            <w:pPr>
              <w:pStyle w:val="Tabletext"/>
              <w:jc w:val="center"/>
            </w:pPr>
            <w:r w:rsidRPr="001D3234">
              <w:t>722</w:t>
            </w:r>
          </w:p>
        </w:tc>
        <w:tc>
          <w:tcPr>
            <w:tcW w:w="870" w:type="pct"/>
            <w:vMerge/>
            <w:shd w:val="clear" w:color="auto" w:fill="auto"/>
            <w:vAlign w:val="center"/>
          </w:tcPr>
          <w:p w:rsidR="000F6F40" w:rsidRPr="001D3234" w:rsidRDefault="000F6F40" w:rsidP="000D5E60">
            <w:pPr>
              <w:pStyle w:val="Tabletext"/>
              <w:jc w:val="center"/>
            </w:pPr>
          </w:p>
        </w:tc>
        <w:tc>
          <w:tcPr>
            <w:tcW w:w="475" w:type="pct"/>
            <w:vMerge/>
            <w:shd w:val="clear" w:color="auto" w:fill="auto"/>
            <w:vAlign w:val="center"/>
          </w:tcPr>
          <w:p w:rsidR="000F6F40" w:rsidRPr="001D3234" w:rsidRDefault="000F6F40" w:rsidP="000D5E60">
            <w:pPr>
              <w:pStyle w:val="Tabletext"/>
              <w:jc w:val="center"/>
            </w:pPr>
          </w:p>
        </w:tc>
        <w:tc>
          <w:tcPr>
            <w:tcW w:w="948" w:type="pct"/>
            <w:vMerge/>
            <w:shd w:val="clear" w:color="auto" w:fill="auto"/>
            <w:vAlign w:val="center"/>
          </w:tcPr>
          <w:p w:rsidR="000F6F40" w:rsidRPr="001D3234" w:rsidRDefault="000F6F40" w:rsidP="000D5E60">
            <w:pPr>
              <w:pStyle w:val="Tabletext"/>
              <w:jc w:val="center"/>
            </w:pPr>
          </w:p>
        </w:tc>
        <w:tc>
          <w:tcPr>
            <w:tcW w:w="1523" w:type="pct"/>
            <w:vMerge/>
            <w:shd w:val="clear" w:color="auto" w:fill="auto"/>
            <w:vAlign w:val="center"/>
          </w:tcPr>
          <w:p w:rsidR="000F6F40" w:rsidRPr="001D3234" w:rsidRDefault="000F6F40" w:rsidP="000D5E60">
            <w:pPr>
              <w:pStyle w:val="Tabletext"/>
              <w:jc w:val="center"/>
            </w:pPr>
          </w:p>
        </w:tc>
      </w:tr>
      <w:tr w:rsidR="000F6F40" w:rsidRPr="001D3234" w:rsidTr="000D5E60">
        <w:tc>
          <w:tcPr>
            <w:tcW w:w="5000" w:type="pct"/>
            <w:gridSpan w:val="6"/>
            <w:shd w:val="clear" w:color="auto" w:fill="auto"/>
            <w:vAlign w:val="center"/>
          </w:tcPr>
          <w:p w:rsidR="000F6F40" w:rsidRPr="001D3234" w:rsidRDefault="008F4139" w:rsidP="000D5E60">
            <w:pPr>
              <w:pStyle w:val="Tabletext"/>
              <w:rPr>
                <w:b/>
              </w:rPr>
            </w:pPr>
            <w:r w:rsidRPr="001D3234">
              <w:rPr>
                <w:b/>
                <w:szCs w:val="20"/>
              </w:rPr>
              <w:t>Dovato</w:t>
            </w:r>
            <w:r w:rsidRPr="001D3234">
              <w:rPr>
                <w:b/>
                <w:szCs w:val="20"/>
                <w:vertAlign w:val="superscript"/>
              </w:rPr>
              <w:t>®</w:t>
            </w:r>
            <w:r w:rsidRPr="001D3234">
              <w:rPr>
                <w:szCs w:val="20"/>
                <w:vertAlign w:val="superscript"/>
              </w:rPr>
              <w:t xml:space="preserve"> </w:t>
            </w:r>
            <w:r w:rsidR="000F6F40" w:rsidRPr="001D3234">
              <w:rPr>
                <w:b/>
              </w:rPr>
              <w:t xml:space="preserve">versus </w:t>
            </w:r>
            <w:r w:rsidR="0021603A" w:rsidRPr="001D3234">
              <w:rPr>
                <w:b/>
              </w:rPr>
              <w:t>tenofovir alafenamide based regimen (</w:t>
            </w:r>
            <w:r w:rsidR="000F6F40" w:rsidRPr="001D3234">
              <w:rPr>
                <w:b/>
              </w:rPr>
              <w:t>TBR</w:t>
            </w:r>
            <w:r w:rsidR="0021603A" w:rsidRPr="001D3234">
              <w:rPr>
                <w:b/>
              </w:rPr>
              <w:t>)</w:t>
            </w:r>
          </w:p>
        </w:tc>
      </w:tr>
      <w:tr w:rsidR="000F6F40" w:rsidRPr="001D3234" w:rsidTr="00E11861">
        <w:tc>
          <w:tcPr>
            <w:tcW w:w="551" w:type="pct"/>
            <w:shd w:val="clear" w:color="auto" w:fill="auto"/>
            <w:vAlign w:val="center"/>
          </w:tcPr>
          <w:p w:rsidR="000F6F40" w:rsidRPr="001D3234" w:rsidRDefault="000F6F40" w:rsidP="000D5E60">
            <w:pPr>
              <w:pStyle w:val="Tabletext"/>
            </w:pPr>
            <w:r w:rsidRPr="001D3234">
              <w:t>TANGO</w:t>
            </w:r>
          </w:p>
        </w:tc>
        <w:tc>
          <w:tcPr>
            <w:tcW w:w="633" w:type="pct"/>
            <w:shd w:val="clear" w:color="auto" w:fill="auto"/>
            <w:vAlign w:val="center"/>
          </w:tcPr>
          <w:p w:rsidR="000F6F40" w:rsidRPr="001D3234" w:rsidRDefault="000F6F40" w:rsidP="000D5E60">
            <w:pPr>
              <w:pStyle w:val="Tabletext"/>
              <w:jc w:val="center"/>
            </w:pPr>
            <w:r w:rsidRPr="001D3234">
              <w:t>743</w:t>
            </w:r>
          </w:p>
        </w:tc>
        <w:tc>
          <w:tcPr>
            <w:tcW w:w="870" w:type="pct"/>
            <w:shd w:val="clear" w:color="auto" w:fill="auto"/>
            <w:vAlign w:val="center"/>
          </w:tcPr>
          <w:p w:rsidR="000F6F40" w:rsidRPr="001D3234" w:rsidRDefault="000F6F40" w:rsidP="000D5E60">
            <w:pPr>
              <w:pStyle w:val="Tabletext"/>
              <w:jc w:val="center"/>
            </w:pPr>
            <w:r w:rsidRPr="001D3234">
              <w:t>R, OL</w:t>
            </w:r>
          </w:p>
          <w:p w:rsidR="000F6F40" w:rsidRPr="001D3234" w:rsidRDefault="000F6F40" w:rsidP="000D5E60">
            <w:pPr>
              <w:pStyle w:val="Tabletext"/>
              <w:jc w:val="center"/>
            </w:pPr>
            <w:r w:rsidRPr="001D3234">
              <w:t>24 weeks*</w:t>
            </w:r>
          </w:p>
        </w:tc>
        <w:tc>
          <w:tcPr>
            <w:tcW w:w="475" w:type="pct"/>
            <w:shd w:val="clear" w:color="auto" w:fill="auto"/>
            <w:vAlign w:val="center"/>
          </w:tcPr>
          <w:p w:rsidR="004E4A1E" w:rsidRPr="001D3234" w:rsidRDefault="000F6F40" w:rsidP="000D5E60">
            <w:pPr>
              <w:pStyle w:val="Tabletext"/>
              <w:jc w:val="center"/>
            </w:pPr>
            <w:r w:rsidRPr="001D3234">
              <w:t>Unknown</w:t>
            </w:r>
          </w:p>
          <w:p w:rsidR="000F6F40" w:rsidRPr="001D3234" w:rsidRDefault="000F6F40" w:rsidP="000D5E60">
            <w:pPr>
              <w:pStyle w:val="Tabletext"/>
              <w:jc w:val="center"/>
            </w:pPr>
            <w:r w:rsidRPr="001D3234">
              <w:t>/high</w:t>
            </w:r>
          </w:p>
        </w:tc>
        <w:tc>
          <w:tcPr>
            <w:tcW w:w="948" w:type="pct"/>
            <w:shd w:val="clear" w:color="auto" w:fill="auto"/>
            <w:vAlign w:val="center"/>
          </w:tcPr>
          <w:p w:rsidR="000F6F40" w:rsidRPr="001D3234" w:rsidRDefault="000F6F40" w:rsidP="000D5E60">
            <w:pPr>
              <w:pStyle w:val="Tabletext"/>
              <w:jc w:val="center"/>
            </w:pPr>
            <w:r w:rsidRPr="001D3234">
              <w:t>Treatment experienced</w:t>
            </w:r>
          </w:p>
        </w:tc>
        <w:tc>
          <w:tcPr>
            <w:tcW w:w="1523" w:type="pct"/>
            <w:shd w:val="clear" w:color="auto" w:fill="auto"/>
            <w:vAlign w:val="center"/>
          </w:tcPr>
          <w:p w:rsidR="000F6F40" w:rsidRPr="001D3234" w:rsidRDefault="000F6F40" w:rsidP="000D5E60">
            <w:pPr>
              <w:pStyle w:val="Tabletext"/>
              <w:jc w:val="center"/>
            </w:pPr>
            <w:r w:rsidRPr="001D3234">
              <w:t xml:space="preserve">HIV-1 RNA &lt;50 copies at Week 24; </w:t>
            </w:r>
            <w:r w:rsidR="00E11861" w:rsidRPr="001D3234">
              <w:br/>
            </w:r>
            <w:r w:rsidRPr="001D3234">
              <w:t>FDA snapshot at 24 weeks</w:t>
            </w:r>
          </w:p>
        </w:tc>
      </w:tr>
      <w:tr w:rsidR="000F6F40" w:rsidRPr="001D3234" w:rsidTr="000D5E60">
        <w:tc>
          <w:tcPr>
            <w:tcW w:w="5000" w:type="pct"/>
            <w:gridSpan w:val="6"/>
            <w:shd w:val="clear" w:color="auto" w:fill="auto"/>
            <w:vAlign w:val="center"/>
          </w:tcPr>
          <w:p w:rsidR="000F6F40" w:rsidRPr="001D3234" w:rsidRDefault="008F4139" w:rsidP="000D5E60">
            <w:pPr>
              <w:pStyle w:val="Tabletext"/>
              <w:rPr>
                <w:b/>
              </w:rPr>
            </w:pPr>
            <w:r w:rsidRPr="001D3234">
              <w:rPr>
                <w:b/>
                <w:szCs w:val="20"/>
              </w:rPr>
              <w:t>Dovato</w:t>
            </w:r>
            <w:r w:rsidRPr="001D3234">
              <w:rPr>
                <w:b/>
                <w:szCs w:val="20"/>
                <w:vertAlign w:val="superscript"/>
              </w:rPr>
              <w:t>®</w:t>
            </w:r>
            <w:r w:rsidRPr="001D3234">
              <w:rPr>
                <w:szCs w:val="20"/>
                <w:vertAlign w:val="superscript"/>
              </w:rPr>
              <w:t xml:space="preserve"> </w:t>
            </w:r>
            <w:r w:rsidR="000F6F40" w:rsidRPr="001D3234">
              <w:rPr>
                <w:b/>
              </w:rPr>
              <w:t>versus DTG + 3TC</w:t>
            </w:r>
          </w:p>
        </w:tc>
      </w:tr>
      <w:tr w:rsidR="000F6F40" w:rsidRPr="001D3234" w:rsidTr="00E11861">
        <w:trPr>
          <w:trHeight w:val="454"/>
        </w:trPr>
        <w:tc>
          <w:tcPr>
            <w:tcW w:w="551" w:type="pct"/>
            <w:vMerge w:val="restart"/>
            <w:shd w:val="clear" w:color="auto" w:fill="auto"/>
            <w:vAlign w:val="center"/>
          </w:tcPr>
          <w:p w:rsidR="000F6F40" w:rsidRPr="001D3234" w:rsidRDefault="000F6F40" w:rsidP="000D5E60">
            <w:pPr>
              <w:pStyle w:val="Tabletext"/>
            </w:pPr>
            <w:r w:rsidRPr="001D3234">
              <w:rPr>
                <w:rFonts w:cs="Calibri"/>
                <w:color w:val="000000" w:themeColor="text1"/>
                <w:szCs w:val="24"/>
                <w:lang w:eastAsia="en-AU"/>
              </w:rPr>
              <w:t>Study 204994</w:t>
            </w:r>
          </w:p>
        </w:tc>
        <w:tc>
          <w:tcPr>
            <w:tcW w:w="633" w:type="pct"/>
            <w:shd w:val="clear" w:color="auto" w:fill="auto"/>
            <w:vAlign w:val="center"/>
          </w:tcPr>
          <w:p w:rsidR="000F6F40" w:rsidRPr="001D3234" w:rsidRDefault="0021603A" w:rsidP="0021603A">
            <w:pPr>
              <w:pStyle w:val="Tabletext"/>
              <w:rPr>
                <w:rFonts w:cs="Calibri"/>
                <w:color w:val="000000" w:themeColor="text1"/>
                <w:szCs w:val="24"/>
                <w:lang w:eastAsia="en-AU"/>
              </w:rPr>
            </w:pPr>
            <w:r w:rsidRPr="001D3234">
              <w:rPr>
                <w:rFonts w:cs="Calibri"/>
                <w:color w:val="000000" w:themeColor="text1"/>
                <w:szCs w:val="24"/>
                <w:lang w:eastAsia="en-AU"/>
              </w:rPr>
              <w:t>Pa</w:t>
            </w:r>
            <w:r w:rsidR="000F6F40" w:rsidRPr="001D3234">
              <w:rPr>
                <w:rFonts w:cs="Calibri"/>
                <w:color w:val="000000" w:themeColor="text1"/>
                <w:szCs w:val="24"/>
                <w:lang w:eastAsia="en-AU"/>
              </w:rPr>
              <w:t>rt 1</w:t>
            </w:r>
            <w:r w:rsidRPr="001D3234">
              <w:rPr>
                <w:rFonts w:cs="Calibri"/>
                <w:color w:val="000000" w:themeColor="text1"/>
                <w:szCs w:val="24"/>
                <w:lang w:eastAsia="en-AU"/>
              </w:rPr>
              <w:t>,</w:t>
            </w:r>
            <w:r w:rsidR="000F6F40" w:rsidRPr="001D3234">
              <w:rPr>
                <w:rFonts w:cs="Calibri"/>
                <w:color w:val="000000" w:themeColor="text1"/>
                <w:szCs w:val="24"/>
                <w:lang w:eastAsia="en-AU"/>
              </w:rPr>
              <w:t xml:space="preserve"> n=</w:t>
            </w:r>
            <w:r w:rsidRPr="001D3234">
              <w:rPr>
                <w:rFonts w:cs="Calibri"/>
                <w:color w:val="000000" w:themeColor="text1"/>
                <w:szCs w:val="24"/>
                <w:lang w:eastAsia="en-AU"/>
              </w:rPr>
              <w:t>78</w:t>
            </w:r>
            <w:r w:rsidR="000F6F40" w:rsidRPr="001D3234">
              <w:rPr>
                <w:rFonts w:cs="Calibri"/>
                <w:color w:val="000000" w:themeColor="text1"/>
                <w:szCs w:val="24"/>
                <w:lang w:eastAsia="en-AU"/>
              </w:rPr>
              <w:t xml:space="preserve"> </w:t>
            </w:r>
          </w:p>
        </w:tc>
        <w:tc>
          <w:tcPr>
            <w:tcW w:w="870" w:type="pct"/>
            <w:vMerge w:val="restart"/>
            <w:shd w:val="clear" w:color="auto" w:fill="auto"/>
            <w:vAlign w:val="center"/>
          </w:tcPr>
          <w:p w:rsidR="000F6F40" w:rsidRPr="001D3234" w:rsidRDefault="000F6F40" w:rsidP="000D5E60">
            <w:pPr>
              <w:pStyle w:val="Tabletext"/>
              <w:jc w:val="center"/>
            </w:pPr>
            <w:r w:rsidRPr="001D3234">
              <w:t>SC, OL, R SD, C/O</w:t>
            </w:r>
          </w:p>
        </w:tc>
        <w:tc>
          <w:tcPr>
            <w:tcW w:w="475" w:type="pct"/>
            <w:vMerge w:val="restart"/>
            <w:shd w:val="clear" w:color="auto" w:fill="auto"/>
            <w:vAlign w:val="center"/>
          </w:tcPr>
          <w:p w:rsidR="000F6F40" w:rsidRPr="001D3234" w:rsidRDefault="000F6F40" w:rsidP="000D5E60">
            <w:pPr>
              <w:pStyle w:val="Tabletext"/>
              <w:jc w:val="center"/>
            </w:pPr>
            <w:r w:rsidRPr="001D3234">
              <w:t>Low</w:t>
            </w:r>
          </w:p>
        </w:tc>
        <w:tc>
          <w:tcPr>
            <w:tcW w:w="948" w:type="pct"/>
            <w:vMerge w:val="restart"/>
            <w:shd w:val="clear" w:color="auto" w:fill="auto"/>
            <w:vAlign w:val="center"/>
          </w:tcPr>
          <w:p w:rsidR="000F6F40" w:rsidRPr="001D3234" w:rsidRDefault="000F6F40" w:rsidP="000D5E60">
            <w:pPr>
              <w:pStyle w:val="Tabletext"/>
              <w:jc w:val="center"/>
            </w:pPr>
            <w:r w:rsidRPr="001D3234">
              <w:rPr>
                <w:rStyle w:val="TableText0"/>
              </w:rPr>
              <w:t xml:space="preserve">Healthy subjects; </w:t>
            </w:r>
            <w:r w:rsidR="00E11861" w:rsidRPr="001D3234">
              <w:rPr>
                <w:rStyle w:val="TableText0"/>
              </w:rPr>
              <w:br/>
            </w:r>
            <w:r w:rsidRPr="001D3234">
              <w:rPr>
                <w:rStyle w:val="TableText0"/>
              </w:rPr>
              <w:t xml:space="preserve">18-55 years; </w:t>
            </w:r>
            <w:r w:rsidR="00E11861" w:rsidRPr="001D3234">
              <w:rPr>
                <w:rStyle w:val="TableText0"/>
              </w:rPr>
              <w:br/>
            </w:r>
            <w:r w:rsidRPr="001D3234">
              <w:rPr>
                <w:rStyle w:val="TableText0"/>
              </w:rPr>
              <w:t xml:space="preserve">≥50kg (men) or </w:t>
            </w:r>
            <w:r w:rsidR="00E11861" w:rsidRPr="001D3234">
              <w:rPr>
                <w:rStyle w:val="TableText0"/>
              </w:rPr>
              <w:br/>
            </w:r>
            <w:r w:rsidRPr="001D3234">
              <w:rPr>
                <w:rStyle w:val="TableText0"/>
              </w:rPr>
              <w:t xml:space="preserve">≥45kg (women); </w:t>
            </w:r>
            <w:r w:rsidR="00E11861" w:rsidRPr="001D3234">
              <w:rPr>
                <w:rStyle w:val="TableText0"/>
              </w:rPr>
              <w:br/>
            </w:r>
            <w:r w:rsidRPr="001D3234">
              <w:rPr>
                <w:rStyle w:val="TableText0"/>
              </w:rPr>
              <w:t>BMI: 18-31.0 kg/m</w:t>
            </w:r>
            <w:r w:rsidRPr="001D3234">
              <w:rPr>
                <w:rStyle w:val="TableText0"/>
                <w:vertAlign w:val="superscript"/>
              </w:rPr>
              <w:t>2</w:t>
            </w:r>
          </w:p>
        </w:tc>
        <w:tc>
          <w:tcPr>
            <w:tcW w:w="1523" w:type="pct"/>
            <w:vMerge w:val="restart"/>
            <w:shd w:val="clear" w:color="auto" w:fill="auto"/>
            <w:vAlign w:val="center"/>
          </w:tcPr>
          <w:p w:rsidR="000F6F40" w:rsidRPr="001D3234" w:rsidRDefault="000D3391" w:rsidP="000D5E60">
            <w:pPr>
              <w:pStyle w:val="Tabletext"/>
              <w:jc w:val="center"/>
            </w:pPr>
            <w:r w:rsidRPr="001D3234">
              <w:t>Demonstration of bioequivalence</w:t>
            </w:r>
          </w:p>
        </w:tc>
      </w:tr>
      <w:tr w:rsidR="000F6F40" w:rsidRPr="001D3234" w:rsidTr="00E11861">
        <w:trPr>
          <w:trHeight w:val="454"/>
        </w:trPr>
        <w:tc>
          <w:tcPr>
            <w:tcW w:w="551" w:type="pct"/>
            <w:vMerge/>
            <w:shd w:val="clear" w:color="auto" w:fill="auto"/>
            <w:vAlign w:val="center"/>
          </w:tcPr>
          <w:p w:rsidR="000F6F40" w:rsidRPr="001D3234" w:rsidRDefault="000F6F40" w:rsidP="000D5E60">
            <w:pPr>
              <w:pStyle w:val="Tabletext"/>
            </w:pPr>
          </w:p>
        </w:tc>
        <w:tc>
          <w:tcPr>
            <w:tcW w:w="633" w:type="pct"/>
            <w:shd w:val="clear" w:color="auto" w:fill="auto"/>
            <w:vAlign w:val="center"/>
          </w:tcPr>
          <w:p w:rsidR="000F6F40" w:rsidRPr="001D3234" w:rsidRDefault="0021603A" w:rsidP="0021603A">
            <w:pPr>
              <w:pStyle w:val="Tabletext"/>
            </w:pPr>
            <w:r w:rsidRPr="001D3234">
              <w:rPr>
                <w:rFonts w:cs="Calibri"/>
                <w:color w:val="000000" w:themeColor="text1"/>
                <w:szCs w:val="24"/>
                <w:lang w:eastAsia="en-AU"/>
              </w:rPr>
              <w:t>P</w:t>
            </w:r>
            <w:r w:rsidR="000F6F40" w:rsidRPr="001D3234">
              <w:rPr>
                <w:rFonts w:cs="Calibri"/>
                <w:color w:val="000000" w:themeColor="text1"/>
                <w:szCs w:val="24"/>
                <w:lang w:eastAsia="en-AU"/>
              </w:rPr>
              <w:t>art 2</w:t>
            </w:r>
            <w:r w:rsidRPr="001D3234">
              <w:rPr>
                <w:rFonts w:cs="Calibri"/>
                <w:color w:val="000000" w:themeColor="text1"/>
                <w:szCs w:val="24"/>
                <w:lang w:eastAsia="en-AU"/>
              </w:rPr>
              <w:t>,</w:t>
            </w:r>
            <w:r w:rsidR="000F6F40" w:rsidRPr="001D3234">
              <w:rPr>
                <w:rFonts w:cs="Calibri"/>
                <w:color w:val="000000" w:themeColor="text1"/>
                <w:szCs w:val="24"/>
                <w:lang w:eastAsia="en-AU"/>
              </w:rPr>
              <w:t xml:space="preserve"> n=76</w:t>
            </w:r>
          </w:p>
        </w:tc>
        <w:tc>
          <w:tcPr>
            <w:tcW w:w="870" w:type="pct"/>
            <w:vMerge/>
            <w:shd w:val="clear" w:color="auto" w:fill="auto"/>
            <w:vAlign w:val="center"/>
          </w:tcPr>
          <w:p w:rsidR="000F6F40" w:rsidRPr="001D3234" w:rsidRDefault="000F6F40" w:rsidP="000D5E60">
            <w:pPr>
              <w:pStyle w:val="Tabletext"/>
              <w:jc w:val="center"/>
            </w:pPr>
          </w:p>
        </w:tc>
        <w:tc>
          <w:tcPr>
            <w:tcW w:w="475" w:type="pct"/>
            <w:vMerge/>
            <w:shd w:val="clear" w:color="auto" w:fill="auto"/>
            <w:vAlign w:val="center"/>
          </w:tcPr>
          <w:p w:rsidR="000F6F40" w:rsidRPr="001D3234" w:rsidRDefault="000F6F40" w:rsidP="000D5E60">
            <w:pPr>
              <w:pStyle w:val="Tabletext"/>
              <w:jc w:val="center"/>
            </w:pPr>
          </w:p>
        </w:tc>
        <w:tc>
          <w:tcPr>
            <w:tcW w:w="948" w:type="pct"/>
            <w:vMerge/>
            <w:shd w:val="clear" w:color="auto" w:fill="auto"/>
            <w:vAlign w:val="center"/>
          </w:tcPr>
          <w:p w:rsidR="000F6F40" w:rsidRPr="001D3234" w:rsidRDefault="000F6F40" w:rsidP="000D5E60">
            <w:pPr>
              <w:pStyle w:val="Tabletext"/>
              <w:jc w:val="center"/>
            </w:pPr>
          </w:p>
        </w:tc>
        <w:tc>
          <w:tcPr>
            <w:tcW w:w="1523" w:type="pct"/>
            <w:vMerge/>
            <w:shd w:val="clear" w:color="auto" w:fill="auto"/>
            <w:vAlign w:val="center"/>
          </w:tcPr>
          <w:p w:rsidR="000F6F40" w:rsidRPr="001D3234" w:rsidRDefault="000F6F40" w:rsidP="000D5E60">
            <w:pPr>
              <w:pStyle w:val="Tabletext"/>
              <w:jc w:val="center"/>
            </w:pPr>
          </w:p>
        </w:tc>
      </w:tr>
    </w:tbl>
    <w:p w:rsidR="000F6F40" w:rsidRPr="001D3234" w:rsidRDefault="000F6F40" w:rsidP="000F6F40">
      <w:pPr>
        <w:pStyle w:val="TableFooter"/>
      </w:pPr>
      <w:r w:rsidRPr="001D3234">
        <w:t>Source: Table 29, p48, Table 58, p83, and pp147-151 of the submission.</w:t>
      </w:r>
    </w:p>
    <w:p w:rsidR="000F6F40" w:rsidRPr="001D3234" w:rsidRDefault="000F6F40" w:rsidP="000F6F40">
      <w:pPr>
        <w:pStyle w:val="TableFooter"/>
      </w:pPr>
      <w:r w:rsidRPr="001D3234">
        <w:t xml:space="preserve">C/O = crossover; DB=double blind; MC=multi-centre; NA = not applicable; OL=open </w:t>
      </w:r>
      <w:r w:rsidR="0021603A" w:rsidRPr="001D3234">
        <w:t>label;</w:t>
      </w:r>
      <w:r w:rsidRPr="001D3234">
        <w:t xml:space="preserve"> R=randomised.SC = si</w:t>
      </w:r>
      <w:r w:rsidR="0021603A" w:rsidRPr="001D3234">
        <w:t>ngle centre; SD = single dose</w:t>
      </w:r>
    </w:p>
    <w:p w:rsidR="000F6F40" w:rsidRPr="001D3234" w:rsidRDefault="00351904" w:rsidP="001A0D42">
      <w:pPr>
        <w:pStyle w:val="ListParagraph"/>
        <w:widowControl/>
        <w:numPr>
          <w:ilvl w:val="1"/>
          <w:numId w:val="1"/>
        </w:numPr>
        <w:spacing w:before="120" w:after="120"/>
      </w:pPr>
      <w:r w:rsidRPr="001D3234">
        <w:t xml:space="preserve">The GEMINI trials and Study 204994 were considered to be of low risk of bias. </w:t>
      </w:r>
      <w:r w:rsidR="000F6F40" w:rsidRPr="001D3234">
        <w:t>The TANGO trial appeared to have generally unknown or high risk of bias</w:t>
      </w:r>
      <w:r w:rsidR="00FE04B2" w:rsidRPr="001D3234">
        <w:t>.</w:t>
      </w:r>
      <w:r w:rsidR="000D3391" w:rsidRPr="001D3234">
        <w:t xml:space="preserve"> </w:t>
      </w:r>
      <w:r w:rsidR="000F6F40" w:rsidRPr="001D3234">
        <w:t>Though the randomisation appears to have been adequately carried out, the trial was open</w:t>
      </w:r>
      <w:r w:rsidRPr="001D3234">
        <w:t>-</w:t>
      </w:r>
      <w:r w:rsidR="000F6F40" w:rsidRPr="001D3234">
        <w:t>label</w:t>
      </w:r>
      <w:r w:rsidR="000D3391" w:rsidRPr="001D3234">
        <w:t xml:space="preserve"> and no information could be found to assess attrition or other biases</w:t>
      </w:r>
      <w:r w:rsidR="000F6F40" w:rsidRPr="001D3234">
        <w:t xml:space="preserve">. No CSR was </w:t>
      </w:r>
      <w:r w:rsidR="000F6F40" w:rsidRPr="001D3234">
        <w:lastRenderedPageBreak/>
        <w:t xml:space="preserve">available which increases the risk of reporting bias. </w:t>
      </w:r>
      <w:r w:rsidR="00B714A8" w:rsidRPr="001D3234">
        <w:t>O</w:t>
      </w:r>
      <w:r w:rsidR="000F6F40" w:rsidRPr="001D3234">
        <w:t xml:space="preserve">n clinicaltrials.gov, the primary </w:t>
      </w:r>
      <w:r w:rsidR="00266D7D">
        <w:t>completion date</w:t>
      </w:r>
      <w:r w:rsidR="00517443">
        <w:t xml:space="preserve"> for the TANGO</w:t>
      </w:r>
      <w:r w:rsidR="00266D7D">
        <w:t xml:space="preserve"> </w:t>
      </w:r>
      <w:r w:rsidR="00517443">
        <w:t xml:space="preserve">trial </w:t>
      </w:r>
      <w:r w:rsidR="00266D7D">
        <w:t>was</w:t>
      </w:r>
      <w:r w:rsidR="000F6F40" w:rsidRPr="001D3234">
        <w:t xml:space="preserve"> June 2019.</w:t>
      </w:r>
    </w:p>
    <w:p w:rsidR="0075623E" w:rsidRDefault="000F6F40" w:rsidP="00F57461">
      <w:pPr>
        <w:pStyle w:val="ListParagraph"/>
        <w:widowControl/>
        <w:numPr>
          <w:ilvl w:val="1"/>
          <w:numId w:val="1"/>
        </w:numPr>
        <w:spacing w:after="120"/>
      </w:pPr>
      <w:r w:rsidRPr="001D3234">
        <w:rPr>
          <w:color w:val="000000" w:themeColor="text1"/>
        </w:rPr>
        <w:t xml:space="preserve">The safety claim that </w:t>
      </w:r>
      <w:r w:rsidRPr="001D3234">
        <w:t>TDF regimens (Stribild®, Eviplera®) are inferior in terms of safety to non-TDF regimens (</w:t>
      </w:r>
      <w:r w:rsidR="000D3391" w:rsidRPr="001D3234">
        <w:rPr>
          <w:color w:val="000000" w:themeColor="text1"/>
        </w:rPr>
        <w:t>Dovato</w:t>
      </w:r>
      <w:r w:rsidR="000D3391" w:rsidRPr="001D3234">
        <w:t>®</w:t>
      </w:r>
      <w:r w:rsidRPr="001D3234">
        <w:t>, Triumeq®, Biktarvy®, Genvoya®, Odefsey®) for the treatment of HIV infection, was primarily based on several observational studies. The quality of the evidence and process by which the claim of inferior safety associated with TDF regimens presented in the submission is not as robust as what is typically presented in superior safety claims (i</w:t>
      </w:r>
      <w:r w:rsidR="009F79E9" w:rsidRPr="001D3234">
        <w:t>.</w:t>
      </w:r>
      <w:r w:rsidRPr="001D3234">
        <w:t>e</w:t>
      </w:r>
      <w:r w:rsidR="009F79E9" w:rsidRPr="001D3234">
        <w:t>.</w:t>
      </w:r>
      <w:r w:rsidRPr="001D3234">
        <w:t xml:space="preserve"> direct trial evidence or indirect comparisons).</w:t>
      </w:r>
    </w:p>
    <w:p w:rsidR="0075623E" w:rsidRPr="001D3234" w:rsidRDefault="0075623E" w:rsidP="0075623E">
      <w:pPr>
        <w:pStyle w:val="ListParagraph"/>
        <w:widowControl/>
        <w:spacing w:after="0"/>
      </w:pPr>
    </w:p>
    <w:p w:rsidR="000F6F40" w:rsidRPr="001A0D42" w:rsidRDefault="000F6F40" w:rsidP="001A0D42">
      <w:pPr>
        <w:pStyle w:val="Heading2"/>
        <w:keepNext/>
        <w:spacing w:before="120" w:after="120"/>
      </w:pPr>
      <w:bookmarkStart w:id="17" w:name="_Toc9405797"/>
      <w:r w:rsidRPr="001A0D42">
        <w:t>Comparative effectiveness</w:t>
      </w:r>
      <w:bookmarkEnd w:id="17"/>
    </w:p>
    <w:p w:rsidR="000F6F40" w:rsidRPr="001D3234" w:rsidRDefault="000F6F40" w:rsidP="00F57461">
      <w:pPr>
        <w:pStyle w:val="ListParagraph"/>
        <w:keepNext/>
        <w:widowControl/>
        <w:numPr>
          <w:ilvl w:val="1"/>
          <w:numId w:val="1"/>
        </w:numPr>
        <w:spacing w:after="120"/>
        <w:rPr>
          <w:color w:val="000000" w:themeColor="text1"/>
        </w:rPr>
      </w:pPr>
      <w:r w:rsidRPr="001D3234">
        <w:rPr>
          <w:color w:val="000000" w:themeColor="text1"/>
        </w:rPr>
        <w:t>Overall, similar rates of virological response were observed across the treatment arms, as were similar proportions of patients meeting confirmed virological withdrawal criteria.</w:t>
      </w:r>
    </w:p>
    <w:p w:rsidR="000F6F40" w:rsidRPr="001D3234" w:rsidRDefault="003E39FF" w:rsidP="00F57461">
      <w:pPr>
        <w:pStyle w:val="ListParagraph"/>
        <w:widowControl/>
        <w:numPr>
          <w:ilvl w:val="1"/>
          <w:numId w:val="1"/>
        </w:numPr>
        <w:spacing w:after="120"/>
      </w:pPr>
      <w:r w:rsidRPr="001D3234">
        <w:rPr>
          <w:rStyle w:val="CommentReference"/>
          <w:rFonts w:ascii="Calibri" w:hAnsi="Calibri" w:cs="Calibri"/>
          <w:b w:val="0"/>
          <w:sz w:val="24"/>
          <w:szCs w:val="24"/>
        </w:rPr>
        <w:t>Table</w:t>
      </w:r>
      <w:r w:rsidRPr="001D3234">
        <w:rPr>
          <w:rStyle w:val="CommentReference"/>
          <w:rFonts w:ascii="Calibri" w:hAnsi="Calibri" w:cs="Calibri"/>
          <w:sz w:val="24"/>
          <w:szCs w:val="24"/>
        </w:rPr>
        <w:t xml:space="preserve"> </w:t>
      </w:r>
      <w:r w:rsidRPr="001D3234">
        <w:rPr>
          <w:rFonts w:cs="Calibri"/>
          <w:szCs w:val="24"/>
        </w:rPr>
        <w:t>5</w:t>
      </w:r>
      <w:r w:rsidR="008D77A7" w:rsidRPr="001D3234">
        <w:rPr>
          <w:color w:val="000000" w:themeColor="text1"/>
        </w:rPr>
        <w:t xml:space="preserve"> </w:t>
      </w:r>
      <w:r w:rsidR="000F6F40" w:rsidRPr="001D3234">
        <w:t>presents results of</w:t>
      </w:r>
      <w:r w:rsidR="00CE7A0D" w:rsidRPr="001D3234">
        <w:t xml:space="preserve"> the comparison of HIV -1 RNA &lt;</w:t>
      </w:r>
      <w:r w:rsidR="000F6F40" w:rsidRPr="001D3234">
        <w:t>50 copies at Week 48 in the GEMINI 1 and 2 trials</w:t>
      </w:r>
      <w:r w:rsidR="00CE7A0D" w:rsidRPr="001D3234">
        <w:t>.</w:t>
      </w:r>
    </w:p>
    <w:p w:rsidR="000F6F40" w:rsidRPr="001D3234" w:rsidRDefault="000F6F40" w:rsidP="000F6F40">
      <w:pPr>
        <w:keepNext/>
        <w:keepLines/>
        <w:rPr>
          <w:rStyle w:val="CommentReference"/>
        </w:rPr>
      </w:pPr>
      <w:bookmarkStart w:id="18" w:name="_Ref8382705"/>
      <w:r w:rsidRPr="001D3234">
        <w:rPr>
          <w:rStyle w:val="CommentReference"/>
        </w:rPr>
        <w:t xml:space="preserve">Table </w:t>
      </w:r>
      <w:r w:rsidR="003E39FF" w:rsidRPr="001D3234">
        <w:rPr>
          <w:rFonts w:ascii="Arial Narrow" w:hAnsi="Arial Narrow"/>
          <w:b/>
          <w:sz w:val="20"/>
          <w:szCs w:val="20"/>
        </w:rPr>
        <w:t>5</w:t>
      </w:r>
      <w:bookmarkEnd w:id="18"/>
      <w:r w:rsidR="008D77A7" w:rsidRPr="001D3234">
        <w:rPr>
          <w:rFonts w:ascii="Arial Narrow" w:hAnsi="Arial Narrow"/>
          <w:b/>
          <w:sz w:val="20"/>
          <w:szCs w:val="20"/>
        </w:rPr>
        <w:t>:</w:t>
      </w:r>
      <w:r w:rsidRPr="001D3234">
        <w:rPr>
          <w:rStyle w:val="CommentReference"/>
        </w:rPr>
        <w:t xml:space="preserve"> Proportion of subjects with plasma HIV-1 RNA &lt;50 copies/mL at Week 48 – snapshot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5: Proportion of subjects with plasma HIV-1 RNA &lt;50 copies/mL at Week 48 – snapshot analyses"/>
      </w:tblPr>
      <w:tblGrid>
        <w:gridCol w:w="1328"/>
        <w:gridCol w:w="1922"/>
        <w:gridCol w:w="1924"/>
        <w:gridCol w:w="1922"/>
        <w:gridCol w:w="1921"/>
      </w:tblGrid>
      <w:tr w:rsidR="000F6F40" w:rsidRPr="001D3234" w:rsidTr="000D5E60">
        <w:trPr>
          <w:tblHeader/>
        </w:trPr>
        <w:tc>
          <w:tcPr>
            <w:tcW w:w="736" w:type="pct"/>
            <w:vMerge w:val="restart"/>
            <w:shd w:val="clear" w:color="auto" w:fill="auto"/>
          </w:tcPr>
          <w:p w:rsidR="000F6F40" w:rsidRPr="001D3234" w:rsidRDefault="000F6F40" w:rsidP="000D5E60">
            <w:pPr>
              <w:pStyle w:val="TableHeading"/>
              <w:spacing w:before="0" w:after="0"/>
              <w:rPr>
                <w:rStyle w:val="TableText0"/>
                <w:szCs w:val="20"/>
              </w:rPr>
            </w:pPr>
            <w:r w:rsidRPr="001D3234">
              <w:rPr>
                <w:rStyle w:val="TableText0"/>
                <w:szCs w:val="20"/>
              </w:rPr>
              <w:t>Trial</w:t>
            </w:r>
          </w:p>
        </w:tc>
        <w:tc>
          <w:tcPr>
            <w:tcW w:w="2133" w:type="pct"/>
            <w:gridSpan w:val="2"/>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n/N (%)</w:t>
            </w:r>
          </w:p>
        </w:tc>
        <w:tc>
          <w:tcPr>
            <w:tcW w:w="2131" w:type="pct"/>
            <w:gridSpan w:val="2"/>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RD, % (95% CI)</w:t>
            </w:r>
          </w:p>
        </w:tc>
      </w:tr>
      <w:tr w:rsidR="000F6F40" w:rsidRPr="001D3234" w:rsidTr="000D5E60">
        <w:trPr>
          <w:tblHeader/>
        </w:trPr>
        <w:tc>
          <w:tcPr>
            <w:tcW w:w="736" w:type="pct"/>
            <w:vMerge/>
            <w:shd w:val="clear" w:color="auto" w:fill="auto"/>
          </w:tcPr>
          <w:p w:rsidR="000F6F40" w:rsidRPr="001D3234" w:rsidRDefault="000F6F40" w:rsidP="000D5E60">
            <w:pPr>
              <w:pStyle w:val="TableHeading"/>
              <w:spacing w:before="0" w:after="0"/>
              <w:rPr>
                <w:rStyle w:val="TableText0"/>
                <w:szCs w:val="20"/>
              </w:rPr>
            </w:pPr>
          </w:p>
        </w:tc>
        <w:tc>
          <w:tcPr>
            <w:tcW w:w="1066" w:type="pct"/>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DTG + 3TC</w:t>
            </w:r>
          </w:p>
        </w:tc>
        <w:tc>
          <w:tcPr>
            <w:tcW w:w="1067" w:type="pct"/>
            <w:shd w:val="clear" w:color="auto" w:fill="auto"/>
          </w:tcPr>
          <w:p w:rsidR="000F6F40" w:rsidRPr="001D3234" w:rsidRDefault="000F6F40" w:rsidP="00DF35C1">
            <w:pPr>
              <w:pStyle w:val="TableHeading"/>
              <w:spacing w:before="0" w:after="0"/>
              <w:jc w:val="center"/>
              <w:rPr>
                <w:rStyle w:val="TableText0"/>
                <w:szCs w:val="20"/>
              </w:rPr>
            </w:pPr>
            <w:r w:rsidRPr="001D3234">
              <w:rPr>
                <w:rStyle w:val="TableText0"/>
                <w:szCs w:val="20"/>
              </w:rPr>
              <w:t xml:space="preserve">DTG + </w:t>
            </w:r>
            <w:r w:rsidR="00DF35C1" w:rsidRPr="001D3234">
              <w:rPr>
                <w:rStyle w:val="TableText0"/>
                <w:szCs w:val="20"/>
              </w:rPr>
              <w:t>Truvada</w:t>
            </w:r>
            <w:r w:rsidR="00DF35C1" w:rsidRPr="001D3234">
              <w:rPr>
                <w:rStyle w:val="TableText0"/>
                <w:szCs w:val="20"/>
                <w:vertAlign w:val="superscript"/>
              </w:rPr>
              <w:t>®</w:t>
            </w:r>
          </w:p>
        </w:tc>
        <w:tc>
          <w:tcPr>
            <w:tcW w:w="1066" w:type="pct"/>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Unadjusted^</w:t>
            </w:r>
          </w:p>
        </w:tc>
        <w:tc>
          <w:tcPr>
            <w:tcW w:w="1065" w:type="pct"/>
            <w:shd w:val="clear" w:color="auto" w:fill="auto"/>
          </w:tcPr>
          <w:p w:rsidR="000F6F40" w:rsidRPr="001D3234" w:rsidRDefault="000F6F40" w:rsidP="000D5E60">
            <w:pPr>
              <w:pStyle w:val="TableHeading"/>
              <w:spacing w:before="0" w:after="0"/>
              <w:jc w:val="center"/>
              <w:rPr>
                <w:rStyle w:val="TableText0"/>
                <w:szCs w:val="20"/>
              </w:rPr>
            </w:pPr>
            <w:r w:rsidRPr="001D3234">
              <w:rPr>
                <w:rStyle w:val="TableText0"/>
                <w:szCs w:val="20"/>
              </w:rPr>
              <w:t>Adjusted*</w:t>
            </w:r>
          </w:p>
        </w:tc>
      </w:tr>
      <w:tr w:rsidR="000F6F40" w:rsidRPr="001D3234" w:rsidTr="000D5E60">
        <w:trPr>
          <w:tblHeader/>
        </w:trPr>
        <w:tc>
          <w:tcPr>
            <w:tcW w:w="5000" w:type="pct"/>
            <w:gridSpan w:val="5"/>
            <w:shd w:val="clear" w:color="auto" w:fill="auto"/>
          </w:tcPr>
          <w:p w:rsidR="000F6F40" w:rsidRPr="001D3234" w:rsidRDefault="000F6F40" w:rsidP="000D5E60">
            <w:pPr>
              <w:pStyle w:val="TableHeading"/>
              <w:spacing w:before="0" w:after="0"/>
              <w:rPr>
                <w:rStyle w:val="TableText0"/>
                <w:b w:val="0"/>
                <w:szCs w:val="20"/>
              </w:rPr>
            </w:pPr>
            <w:r w:rsidRPr="001D3234">
              <w:rPr>
                <w:rStyle w:val="TableText0"/>
                <w:b w:val="0"/>
                <w:szCs w:val="20"/>
              </w:rPr>
              <w:t>ITT-E population: Primary dataset</w:t>
            </w:r>
          </w:p>
        </w:tc>
      </w:tr>
      <w:tr w:rsidR="000F6F40" w:rsidRPr="001D3234" w:rsidTr="000D5E60">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GEMINI-1</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320/356 (89.9)</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332/358 (92.7)</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-2.8 (-7.0, 1.3)</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-2.6 (-6.7, 1.5)</w:t>
            </w:r>
          </w:p>
        </w:tc>
      </w:tr>
      <w:tr w:rsidR="000F6F40" w:rsidRPr="001D3234" w:rsidTr="000D5E60">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335/360 (93.1)</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337/359 (93.9)</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-0.8 (-4.4, 2.8)</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-0.7 (-4.3, 2.9)</w:t>
            </w:r>
          </w:p>
        </w:tc>
      </w:tr>
      <w:tr w:rsidR="000F6F40" w:rsidRPr="001D3234" w:rsidTr="000D5E60">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Pooled</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655/716 (91.5)</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669/717 (93.3)</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-1.8 (-4.6, 0.9)</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-1.7 (-4.4, 1.1)</w:t>
            </w:r>
          </w:p>
        </w:tc>
      </w:tr>
      <w:tr w:rsidR="000F6F40" w:rsidRPr="001D3234" w:rsidTr="000D5E60">
        <w:trPr>
          <w:tblHeader/>
        </w:trPr>
        <w:tc>
          <w:tcPr>
            <w:tcW w:w="5000" w:type="pct"/>
            <w:gridSpan w:val="5"/>
            <w:shd w:val="clear" w:color="auto" w:fill="auto"/>
          </w:tcPr>
          <w:p w:rsidR="000F6F40" w:rsidRPr="001D3234" w:rsidRDefault="000F6F40" w:rsidP="000D5E60">
            <w:pPr>
              <w:pStyle w:val="TableHeading"/>
              <w:spacing w:before="0" w:after="0"/>
              <w:rPr>
                <w:rStyle w:val="TableText0"/>
                <w:b w:val="0"/>
                <w:szCs w:val="20"/>
              </w:rPr>
            </w:pPr>
            <w:r w:rsidRPr="001D3234">
              <w:rPr>
                <w:rStyle w:val="TableText0"/>
                <w:b w:val="0"/>
                <w:szCs w:val="20"/>
              </w:rPr>
              <w:t>PP population</w:t>
            </w:r>
          </w:p>
        </w:tc>
      </w:tr>
      <w:tr w:rsidR="000F6F40" w:rsidRPr="001D3234" w:rsidTr="00B81D1F">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GEMINI-1</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317/345 (91.9)</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325/346 (93.9)</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-2.0 (-5.9, 1.8)</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-1.9 (-5.7, 1.9)</w:t>
            </w:r>
          </w:p>
        </w:tc>
      </w:tr>
      <w:tr w:rsidR="000F6F40" w:rsidRPr="001D3234" w:rsidTr="00B81D1F">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328/349 (94.0)</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329/347 (94.8)</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-0.8 (-4.2, 2.6)</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-0.7 (-4.1, 2.7)</w:t>
            </w:r>
          </w:p>
        </w:tc>
      </w:tr>
      <w:tr w:rsidR="000F6F40" w:rsidRPr="001D3234" w:rsidTr="00B81D1F">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Pooled</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645/694 (92.9)</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654/693 (94.4)</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-1.4 (-4.0, 1.1)</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-1.3 (-3.9, 1.2)</w:t>
            </w:r>
          </w:p>
        </w:tc>
      </w:tr>
      <w:tr w:rsidR="000F6F40" w:rsidRPr="001D3234" w:rsidTr="000D5E60">
        <w:trPr>
          <w:tblHeader/>
        </w:trPr>
        <w:tc>
          <w:tcPr>
            <w:tcW w:w="5000" w:type="pct"/>
            <w:gridSpan w:val="5"/>
            <w:shd w:val="clear" w:color="auto" w:fill="auto"/>
          </w:tcPr>
          <w:p w:rsidR="000F6F40" w:rsidRPr="001D3234" w:rsidRDefault="000F6F40" w:rsidP="000D5E60">
            <w:pPr>
              <w:pStyle w:val="TableHeading"/>
              <w:spacing w:before="0" w:after="0"/>
              <w:rPr>
                <w:rStyle w:val="TableText0"/>
                <w:b w:val="0"/>
                <w:szCs w:val="20"/>
              </w:rPr>
            </w:pPr>
            <w:r w:rsidRPr="001D3234">
              <w:rPr>
                <w:rStyle w:val="TableText0"/>
                <w:b w:val="0"/>
                <w:szCs w:val="20"/>
              </w:rPr>
              <w:t>ITT population</w:t>
            </w:r>
          </w:p>
        </w:tc>
      </w:tr>
      <w:tr w:rsidR="000F6F40" w:rsidRPr="001D3234" w:rsidTr="00E15606">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GEMINI-1</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320/359 (89.1)</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332/360 (92.2)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-3.1 (-7.3, 1.2)</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-2.9 (-7.1, 1.3)</w:t>
            </w:r>
          </w:p>
        </w:tc>
      </w:tr>
      <w:tr w:rsidR="000F6F40" w:rsidRPr="001D3234" w:rsidTr="00E15606">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GEMINI-2</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335/360 (93.0)</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337/362 (93.0)</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0.0 (-3.7, 3.7)</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0.1 (-3.6, 3.8)</w:t>
            </w:r>
          </w:p>
        </w:tc>
      </w:tr>
      <w:tr w:rsidR="000F6F40" w:rsidRPr="001D3234" w:rsidTr="00E15606">
        <w:tc>
          <w:tcPr>
            <w:tcW w:w="736" w:type="pct"/>
            <w:shd w:val="clear" w:color="auto" w:fill="auto"/>
          </w:tcPr>
          <w:p w:rsidR="000F6F40" w:rsidRPr="001D3234" w:rsidRDefault="000F6F40" w:rsidP="000D5E60">
            <w:pPr>
              <w:keepNext/>
              <w:jc w:val="left"/>
              <w:rPr>
                <w:rStyle w:val="TableText0"/>
                <w:szCs w:val="20"/>
              </w:rPr>
            </w:pPr>
            <w:r w:rsidRPr="001D3234">
              <w:rPr>
                <w:rStyle w:val="TableText0"/>
                <w:szCs w:val="20"/>
              </w:rPr>
              <w:t>Pooled</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655/719 (91.0)</w:t>
            </w:r>
          </w:p>
        </w:tc>
        <w:tc>
          <w:tcPr>
            <w:tcW w:w="1067" w:type="pct"/>
            <w:shd w:val="clear" w:color="auto" w:fill="auto"/>
          </w:tcPr>
          <w:p w:rsidR="000F6F40" w:rsidRPr="001D3234" w:rsidRDefault="000F6F40" w:rsidP="000D5E60">
            <w:pPr>
              <w:keepNext/>
              <w:jc w:val="center"/>
              <w:rPr>
                <w:rStyle w:val="TableText0"/>
                <w:szCs w:val="20"/>
              </w:rPr>
            </w:pPr>
            <w:r w:rsidRPr="001D3234">
              <w:rPr>
                <w:rStyle w:val="TableText0"/>
                <w:szCs w:val="20"/>
              </w:rPr>
              <w:t>669/722 (92.6)</w:t>
            </w:r>
          </w:p>
        </w:tc>
        <w:tc>
          <w:tcPr>
            <w:tcW w:w="1066" w:type="pct"/>
            <w:shd w:val="clear" w:color="auto" w:fill="auto"/>
          </w:tcPr>
          <w:p w:rsidR="000F6F40" w:rsidRPr="001D3234" w:rsidRDefault="000F6F40" w:rsidP="000D5E60">
            <w:pPr>
              <w:keepNext/>
              <w:jc w:val="center"/>
              <w:rPr>
                <w:rStyle w:val="TableText0"/>
                <w:szCs w:val="20"/>
              </w:rPr>
            </w:pPr>
            <w:r w:rsidRPr="001D3234">
              <w:rPr>
                <w:rStyle w:val="TableText0"/>
                <w:szCs w:val="20"/>
              </w:rPr>
              <w:t>-1.6 (-4.4, 1.3)</w:t>
            </w:r>
          </w:p>
        </w:tc>
        <w:tc>
          <w:tcPr>
            <w:tcW w:w="1065" w:type="pct"/>
            <w:shd w:val="clear" w:color="auto" w:fill="auto"/>
          </w:tcPr>
          <w:p w:rsidR="000F6F40" w:rsidRPr="001D3234" w:rsidRDefault="000F6F40" w:rsidP="000D5E60">
            <w:pPr>
              <w:keepNext/>
              <w:jc w:val="center"/>
              <w:rPr>
                <w:rStyle w:val="TableText0"/>
                <w:szCs w:val="20"/>
              </w:rPr>
            </w:pPr>
            <w:r w:rsidRPr="001D3234">
              <w:rPr>
                <w:rStyle w:val="TableText0"/>
                <w:szCs w:val="20"/>
              </w:rPr>
              <w:t>-1.4 (-4.2, 1.4)</w:t>
            </w:r>
          </w:p>
        </w:tc>
      </w:tr>
    </w:tbl>
    <w:p w:rsidR="00104776" w:rsidRPr="001D3234" w:rsidRDefault="000F6F40" w:rsidP="000F6F40">
      <w:pPr>
        <w:pStyle w:val="TableFooter"/>
      </w:pPr>
      <w:r w:rsidRPr="001D3234">
        <w:t>Source: Table 38, p61 of the submission</w:t>
      </w:r>
      <w:r w:rsidR="001D3234">
        <w:t xml:space="preserve">. </w:t>
      </w:r>
    </w:p>
    <w:p w:rsidR="000F6F40" w:rsidRPr="001D3234" w:rsidRDefault="000F6F40" w:rsidP="000F6F40">
      <w:pPr>
        <w:pStyle w:val="TableFooter"/>
      </w:pPr>
      <w:r w:rsidRPr="001D3234">
        <w:t>3TC = lamivudine; CI = confidence interval; DTG = dolutegravir; ITT = intent to treat; ITT-E = intent to treat exposed; PP = per protocol; RD = risk difference</w:t>
      </w:r>
      <w:r w:rsidR="001D3234">
        <w:t xml:space="preserve">. </w:t>
      </w:r>
    </w:p>
    <w:p w:rsidR="000F6F40" w:rsidRPr="001D3234" w:rsidRDefault="000F6F40" w:rsidP="00CE7A0D">
      <w:pPr>
        <w:pStyle w:val="TableFooter"/>
        <w:tabs>
          <w:tab w:val="left" w:pos="284"/>
        </w:tabs>
        <w:ind w:left="284" w:hanging="284"/>
      </w:pPr>
      <w:r w:rsidRPr="001D3234">
        <w:t>^</w:t>
      </w:r>
      <w:r w:rsidR="00CE7A0D" w:rsidRPr="001D3234">
        <w:tab/>
      </w:r>
      <w:r w:rsidRPr="001D3234">
        <w:t xml:space="preserve">Difference: Proportion for DTG + 3TC – Proportion for DTG + </w:t>
      </w:r>
      <w:r w:rsidR="00DF35C1" w:rsidRPr="001D3234">
        <w:t>Truvada</w:t>
      </w:r>
      <w:r w:rsidR="00DF35C1" w:rsidRPr="001D3234">
        <w:rPr>
          <w:vertAlign w:val="superscript"/>
        </w:rPr>
        <w:t>®</w:t>
      </w:r>
    </w:p>
    <w:p w:rsidR="000F6F40" w:rsidRPr="001D3234" w:rsidRDefault="000F6F40" w:rsidP="00CE7A0D">
      <w:pPr>
        <w:pStyle w:val="TableFooter"/>
        <w:tabs>
          <w:tab w:val="left" w:pos="284"/>
        </w:tabs>
        <w:ind w:left="284" w:hanging="284"/>
      </w:pPr>
      <w:r w:rsidRPr="001D3234">
        <w:t xml:space="preserve">* </w:t>
      </w:r>
      <w:r w:rsidR="00CE7A0D" w:rsidRPr="001D3234">
        <w:tab/>
      </w:r>
      <w:r w:rsidRPr="001D3234">
        <w:t>Adjusted: Based on CMH-stratified analysis adjusted for the following baseline stratification factors: Plasma HIV-1 RNA (≤100,000 copies/mL vs &gt;100,000 copies/mL and CD4+ count (≤200 cells/mm</w:t>
      </w:r>
      <w:r w:rsidRPr="001D3234">
        <w:rPr>
          <w:vertAlign w:val="superscript"/>
        </w:rPr>
        <w:t>3</w:t>
      </w:r>
      <w:r w:rsidRPr="001D3234">
        <w:t xml:space="preserve"> vs &gt;200 cells/mm</w:t>
      </w:r>
      <w:r w:rsidRPr="001D3234">
        <w:rPr>
          <w:vertAlign w:val="superscript"/>
        </w:rPr>
        <w:t>3</w:t>
      </w:r>
      <w:r w:rsidRPr="001D3234">
        <w:t>)</w:t>
      </w:r>
      <w:r w:rsidR="001D3234">
        <w:t xml:space="preserve">. </w:t>
      </w:r>
      <w:r w:rsidRPr="001D3234">
        <w:t>Pooled analysis also stratified by study (GEMINI-1, GEMINI-2)</w:t>
      </w:r>
    </w:p>
    <w:p w:rsidR="000F6F40" w:rsidRPr="001D3234" w:rsidRDefault="000F6F40" w:rsidP="000F6F40">
      <w:pPr>
        <w:widowControl/>
        <w:rPr>
          <w:sz w:val="16"/>
          <w:szCs w:val="16"/>
        </w:rPr>
      </w:pPr>
      <w:r w:rsidRPr="001D3234">
        <w:rPr>
          <w:rFonts w:cs="Calibri"/>
          <w:snapToGrid/>
          <w:szCs w:val="24"/>
          <w:lang w:eastAsia="en-AU"/>
        </w:rPr>
        <w:t xml:space="preserve"> </w:t>
      </w:r>
    </w:p>
    <w:p w:rsidR="000F6F40" w:rsidRPr="001D3234" w:rsidRDefault="000F6F40" w:rsidP="00F57461">
      <w:pPr>
        <w:pStyle w:val="ListParagraph"/>
        <w:widowControl/>
        <w:numPr>
          <w:ilvl w:val="1"/>
          <w:numId w:val="1"/>
        </w:numPr>
        <w:spacing w:after="120"/>
      </w:pPr>
      <w:r w:rsidRPr="001D3234">
        <w:t>The results fell within the nominated non-inferiority margin of -10%.</w:t>
      </w:r>
    </w:p>
    <w:p w:rsidR="000F6F40" w:rsidRPr="001D3234" w:rsidRDefault="003E39FF" w:rsidP="00F57461">
      <w:pPr>
        <w:pStyle w:val="ListParagraph"/>
        <w:widowControl/>
        <w:numPr>
          <w:ilvl w:val="1"/>
          <w:numId w:val="1"/>
        </w:numPr>
        <w:spacing w:after="120"/>
      </w:pPr>
      <w:r w:rsidRPr="001D3234">
        <w:rPr>
          <w:rFonts w:cs="Calibri"/>
          <w:szCs w:val="24"/>
        </w:rPr>
        <w:t>Table 6</w:t>
      </w:r>
      <w:r w:rsidR="008D77A7" w:rsidRPr="001D3234">
        <w:t xml:space="preserve"> </w:t>
      </w:r>
      <w:r w:rsidR="000F6F40" w:rsidRPr="001D3234">
        <w:t>presents the FDA snapshot analysis at 48 weeks of the GEMINI 1 and 2 trials.</w:t>
      </w:r>
    </w:p>
    <w:p w:rsidR="000F6F40" w:rsidRPr="001D3234" w:rsidRDefault="000F6F40" w:rsidP="000F6F40">
      <w:pPr>
        <w:keepNext/>
      </w:pPr>
      <w:bookmarkStart w:id="19" w:name="_Ref8382755"/>
      <w:r w:rsidRPr="001D3234">
        <w:rPr>
          <w:rFonts w:ascii="Arial Narrow" w:hAnsi="Arial Narrow"/>
          <w:b/>
          <w:sz w:val="20"/>
          <w:szCs w:val="16"/>
        </w:rPr>
        <w:lastRenderedPageBreak/>
        <w:t xml:space="preserve">Table </w:t>
      </w:r>
      <w:r w:rsidR="003E39FF" w:rsidRPr="001D3234">
        <w:rPr>
          <w:rFonts w:ascii="Arial Narrow" w:hAnsi="Arial Narrow"/>
          <w:b/>
          <w:sz w:val="20"/>
          <w:szCs w:val="20"/>
        </w:rPr>
        <w:t>6</w:t>
      </w:r>
      <w:bookmarkEnd w:id="19"/>
      <w:r w:rsidRPr="001D3234">
        <w:rPr>
          <w:rFonts w:ascii="Arial Narrow" w:hAnsi="Arial Narrow"/>
          <w:b/>
          <w:sz w:val="20"/>
          <w:szCs w:val="16"/>
        </w:rPr>
        <w:t xml:space="preserve">: </w:t>
      </w:r>
      <w:r w:rsidRPr="001D3234">
        <w:rPr>
          <w:rStyle w:val="CommentReference"/>
        </w:rPr>
        <w:t>Snapshot analysis at 48 weeks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6: Snapshot analysis at 48 weeks (ITT-E Population)"/>
      </w:tblPr>
      <w:tblGrid>
        <w:gridCol w:w="3195"/>
        <w:gridCol w:w="970"/>
        <w:gridCol w:w="970"/>
        <w:gridCol w:w="970"/>
        <w:gridCol w:w="972"/>
        <w:gridCol w:w="970"/>
        <w:gridCol w:w="970"/>
      </w:tblGrid>
      <w:tr w:rsidR="000F6F40" w:rsidRPr="001D3234" w:rsidTr="00F86393">
        <w:trPr>
          <w:trHeight w:val="229"/>
          <w:tblHeader/>
        </w:trPr>
        <w:tc>
          <w:tcPr>
            <w:tcW w:w="1771" w:type="pct"/>
            <w:vMerge w:val="restart"/>
            <w:shd w:val="clear" w:color="auto" w:fill="auto"/>
            <w:vAlign w:val="center"/>
          </w:tcPr>
          <w:p w:rsidR="000F6F40" w:rsidRPr="001D3234" w:rsidRDefault="000F6F40" w:rsidP="000D5E60">
            <w:pPr>
              <w:keepNext/>
              <w:jc w:val="left"/>
              <w:rPr>
                <w:rStyle w:val="TableText0"/>
                <w:b/>
                <w:szCs w:val="20"/>
              </w:rPr>
            </w:pPr>
            <w:r w:rsidRPr="001D3234">
              <w:rPr>
                <w:rStyle w:val="TableText0"/>
                <w:b/>
                <w:szCs w:val="20"/>
              </w:rPr>
              <w:t>n (%)</w:t>
            </w:r>
          </w:p>
        </w:tc>
        <w:tc>
          <w:tcPr>
            <w:tcW w:w="1076" w:type="pct"/>
            <w:gridSpan w:val="2"/>
            <w:shd w:val="clear" w:color="auto" w:fill="auto"/>
            <w:vAlign w:val="center"/>
          </w:tcPr>
          <w:p w:rsidR="000F6F40" w:rsidRPr="001D3234" w:rsidRDefault="000F6F40" w:rsidP="000D5E60">
            <w:pPr>
              <w:keepNext/>
              <w:jc w:val="center"/>
              <w:rPr>
                <w:rStyle w:val="TableText0"/>
                <w:b/>
                <w:szCs w:val="20"/>
              </w:rPr>
            </w:pPr>
            <w:r w:rsidRPr="001D3234">
              <w:rPr>
                <w:rStyle w:val="TableText0"/>
                <w:b/>
                <w:szCs w:val="20"/>
              </w:rPr>
              <w:t>GEMINI-1</w:t>
            </w:r>
          </w:p>
        </w:tc>
        <w:tc>
          <w:tcPr>
            <w:tcW w:w="1077"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GEMINI-2</w:t>
            </w:r>
          </w:p>
        </w:tc>
        <w:tc>
          <w:tcPr>
            <w:tcW w:w="1077"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Pooled</w:t>
            </w:r>
          </w:p>
        </w:tc>
      </w:tr>
      <w:tr w:rsidR="00DF35C1" w:rsidRPr="001D3234" w:rsidTr="00F86393">
        <w:trPr>
          <w:trHeight w:val="229"/>
          <w:tblHeader/>
        </w:trPr>
        <w:tc>
          <w:tcPr>
            <w:tcW w:w="1771" w:type="pct"/>
            <w:vMerge/>
            <w:shd w:val="clear" w:color="auto" w:fill="auto"/>
            <w:vAlign w:val="center"/>
          </w:tcPr>
          <w:p w:rsidR="00DF35C1" w:rsidRPr="001D3234" w:rsidRDefault="00DF35C1" w:rsidP="00DF35C1">
            <w:pPr>
              <w:keepNext/>
              <w:jc w:val="left"/>
              <w:rPr>
                <w:rStyle w:val="TableText0"/>
                <w:b/>
                <w:szCs w:val="20"/>
              </w:rPr>
            </w:pPr>
          </w:p>
        </w:tc>
        <w:tc>
          <w:tcPr>
            <w:tcW w:w="538"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tc>
        <w:tc>
          <w:tcPr>
            <w:tcW w:w="538"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DTG +</w:t>
            </w:r>
          </w:p>
          <w:p w:rsidR="00DF35C1" w:rsidRPr="001D3234" w:rsidRDefault="00DF35C1" w:rsidP="00DF35C1">
            <w:pPr>
              <w:pStyle w:val="TableHeading"/>
              <w:spacing w:after="0"/>
              <w:jc w:val="center"/>
              <w:rPr>
                <w:rStyle w:val="TableText0"/>
                <w:szCs w:val="20"/>
              </w:rPr>
            </w:pPr>
            <w:r w:rsidRPr="001D3234">
              <w:t>Truvada</w:t>
            </w:r>
            <w:r w:rsidRPr="001D3234">
              <w:rPr>
                <w:vertAlign w:val="superscript"/>
              </w:rPr>
              <w:t>®</w:t>
            </w:r>
          </w:p>
        </w:tc>
        <w:tc>
          <w:tcPr>
            <w:tcW w:w="538"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tc>
        <w:tc>
          <w:tcPr>
            <w:tcW w:w="539"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DTG +</w:t>
            </w:r>
          </w:p>
          <w:p w:rsidR="00DF35C1" w:rsidRPr="001D3234" w:rsidRDefault="00DF35C1" w:rsidP="00DF35C1">
            <w:pPr>
              <w:pStyle w:val="TableHeading"/>
              <w:spacing w:after="0"/>
              <w:jc w:val="center"/>
              <w:rPr>
                <w:rStyle w:val="TableText0"/>
                <w:szCs w:val="20"/>
              </w:rPr>
            </w:pPr>
            <w:r w:rsidRPr="001D3234">
              <w:t>Truvada</w:t>
            </w:r>
            <w:r w:rsidRPr="001D3234">
              <w:rPr>
                <w:vertAlign w:val="superscript"/>
              </w:rPr>
              <w:t>®</w:t>
            </w:r>
          </w:p>
        </w:tc>
        <w:tc>
          <w:tcPr>
            <w:tcW w:w="538"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tc>
        <w:tc>
          <w:tcPr>
            <w:tcW w:w="539"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tc>
      </w:tr>
      <w:tr w:rsidR="000F6F40" w:rsidRPr="001D3234" w:rsidTr="00F86393">
        <w:trPr>
          <w:trHeight w:val="229"/>
          <w:tblHeader/>
        </w:trPr>
        <w:tc>
          <w:tcPr>
            <w:tcW w:w="1771" w:type="pct"/>
            <w:vMerge/>
            <w:shd w:val="clear" w:color="auto" w:fill="auto"/>
            <w:vAlign w:val="center"/>
          </w:tcPr>
          <w:p w:rsidR="000F6F40" w:rsidRPr="001D3234" w:rsidRDefault="000F6F40" w:rsidP="000D5E60">
            <w:pPr>
              <w:keepNext/>
              <w:jc w:val="left"/>
              <w:rPr>
                <w:rStyle w:val="TableText0"/>
                <w:b/>
                <w:szCs w:val="20"/>
              </w:rPr>
            </w:pPr>
          </w:p>
        </w:tc>
        <w:tc>
          <w:tcPr>
            <w:tcW w:w="538" w:type="pct"/>
            <w:shd w:val="clear" w:color="auto" w:fill="auto"/>
            <w:vAlign w:val="center"/>
          </w:tcPr>
          <w:p w:rsidR="000F6F40" w:rsidRPr="001D3234" w:rsidRDefault="000F6F40" w:rsidP="000D5E60">
            <w:pPr>
              <w:pStyle w:val="TableHeading"/>
              <w:spacing w:after="0"/>
              <w:jc w:val="center"/>
              <w:rPr>
                <w:rStyle w:val="TableText0"/>
                <w:szCs w:val="20"/>
              </w:rPr>
            </w:pPr>
            <w:r w:rsidRPr="001D3234">
              <w:rPr>
                <w:rStyle w:val="TableText0"/>
                <w:szCs w:val="20"/>
              </w:rPr>
              <w:t>(N=356)</w:t>
            </w:r>
          </w:p>
        </w:tc>
        <w:tc>
          <w:tcPr>
            <w:tcW w:w="538" w:type="pct"/>
            <w:shd w:val="clear" w:color="auto" w:fill="auto"/>
          </w:tcPr>
          <w:p w:rsidR="000F6F40" w:rsidRPr="001D3234" w:rsidRDefault="000F6F40" w:rsidP="000D5E60">
            <w:pPr>
              <w:pStyle w:val="TableHeading"/>
              <w:spacing w:after="0"/>
              <w:jc w:val="center"/>
              <w:rPr>
                <w:rStyle w:val="TableText0"/>
                <w:szCs w:val="20"/>
              </w:rPr>
            </w:pPr>
            <w:r w:rsidRPr="001D3234">
              <w:rPr>
                <w:rStyle w:val="TableText0"/>
                <w:szCs w:val="20"/>
              </w:rPr>
              <w:t>(N=358)</w:t>
            </w:r>
          </w:p>
        </w:tc>
        <w:tc>
          <w:tcPr>
            <w:tcW w:w="538" w:type="pct"/>
            <w:shd w:val="clear" w:color="auto" w:fill="auto"/>
            <w:vAlign w:val="center"/>
          </w:tcPr>
          <w:p w:rsidR="000F6F40" w:rsidRPr="001D3234" w:rsidRDefault="000F6F40" w:rsidP="000D5E60">
            <w:pPr>
              <w:pStyle w:val="TableHeading"/>
              <w:spacing w:after="0"/>
              <w:jc w:val="center"/>
              <w:rPr>
                <w:rStyle w:val="TableText0"/>
                <w:szCs w:val="20"/>
              </w:rPr>
            </w:pPr>
            <w:r w:rsidRPr="001D3234">
              <w:rPr>
                <w:rStyle w:val="TableText0"/>
                <w:szCs w:val="20"/>
              </w:rPr>
              <w:t>(N=360)</w:t>
            </w:r>
          </w:p>
        </w:tc>
        <w:tc>
          <w:tcPr>
            <w:tcW w:w="539" w:type="pct"/>
            <w:shd w:val="clear" w:color="auto" w:fill="auto"/>
          </w:tcPr>
          <w:p w:rsidR="000F6F40" w:rsidRPr="001D3234" w:rsidRDefault="000F6F40" w:rsidP="000D5E60">
            <w:pPr>
              <w:pStyle w:val="TableHeading"/>
              <w:spacing w:after="0"/>
              <w:jc w:val="center"/>
              <w:rPr>
                <w:rStyle w:val="TableText0"/>
                <w:szCs w:val="20"/>
              </w:rPr>
            </w:pPr>
            <w:r w:rsidRPr="001D3234">
              <w:rPr>
                <w:rStyle w:val="TableText0"/>
                <w:szCs w:val="20"/>
              </w:rPr>
              <w:t>(N=359)</w:t>
            </w:r>
          </w:p>
        </w:tc>
        <w:tc>
          <w:tcPr>
            <w:tcW w:w="538" w:type="pct"/>
            <w:shd w:val="clear" w:color="auto" w:fill="auto"/>
            <w:vAlign w:val="center"/>
          </w:tcPr>
          <w:p w:rsidR="000F6F40" w:rsidRPr="001D3234" w:rsidRDefault="000F6F40" w:rsidP="000D5E60">
            <w:pPr>
              <w:pStyle w:val="TableHeading"/>
              <w:spacing w:after="0"/>
              <w:jc w:val="center"/>
              <w:rPr>
                <w:rStyle w:val="TableText0"/>
                <w:szCs w:val="20"/>
              </w:rPr>
            </w:pPr>
            <w:r w:rsidRPr="001D3234">
              <w:rPr>
                <w:rStyle w:val="TableText0"/>
                <w:szCs w:val="20"/>
              </w:rPr>
              <w:t>(N=716)</w:t>
            </w:r>
          </w:p>
        </w:tc>
        <w:tc>
          <w:tcPr>
            <w:tcW w:w="539" w:type="pct"/>
            <w:shd w:val="clear" w:color="auto" w:fill="auto"/>
          </w:tcPr>
          <w:p w:rsidR="000F6F40" w:rsidRPr="001D3234" w:rsidRDefault="000F6F40" w:rsidP="000D5E60">
            <w:pPr>
              <w:pStyle w:val="TableHeading"/>
              <w:spacing w:after="0"/>
              <w:jc w:val="center"/>
              <w:rPr>
                <w:rStyle w:val="TableText0"/>
                <w:szCs w:val="20"/>
              </w:rPr>
            </w:pPr>
            <w:r w:rsidRPr="001D3234">
              <w:rPr>
                <w:rStyle w:val="TableText0"/>
                <w:szCs w:val="20"/>
              </w:rPr>
              <w:t>(N=717)</w:t>
            </w:r>
          </w:p>
        </w:tc>
      </w:tr>
      <w:tr w:rsidR="000F6F40" w:rsidRPr="001D3234" w:rsidTr="00104776">
        <w:trPr>
          <w:trHeight w:val="229"/>
        </w:trPr>
        <w:tc>
          <w:tcPr>
            <w:tcW w:w="1771" w:type="pct"/>
            <w:tcBorders>
              <w:bottom w:val="double" w:sz="4" w:space="0" w:color="auto"/>
            </w:tcBorders>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HIV-1 RNA &lt;50 c/mL</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320 (89.9)</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332 (92.7)</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335 (93.1)</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337 (93.9)</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655 (91.5)</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669 (93.3)</w:t>
            </w:r>
          </w:p>
        </w:tc>
      </w:tr>
      <w:tr w:rsidR="000F6F40" w:rsidRPr="001D3234" w:rsidTr="00104776">
        <w:trPr>
          <w:trHeight w:val="229"/>
        </w:trPr>
        <w:tc>
          <w:tcPr>
            <w:tcW w:w="1771" w:type="pct"/>
            <w:tcBorders>
              <w:top w:val="double" w:sz="4" w:space="0" w:color="auto"/>
            </w:tcBorders>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HIV-1 RNA ≥50 c/mL</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13 (3.7)</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 (1.7)</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7 (1.9)</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7 (1.9)</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20 (2.8)</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13 (1.8)</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Data in window &amp; HIV-1 RNA ≥50c/mL</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6 (1.7)</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8 (1.1)</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lack of efficacy</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(0.3)</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other reason &amp; HIV-1 RNA &gt;50c/mL</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(0.6)</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 (0.8)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(0.7)</w:t>
            </w:r>
          </w:p>
        </w:tc>
      </w:tr>
      <w:tr w:rsidR="000F6F40" w:rsidRPr="001D3234" w:rsidTr="00104776">
        <w:trPr>
          <w:trHeight w:val="229"/>
        </w:trPr>
        <w:tc>
          <w:tcPr>
            <w:tcW w:w="1771" w:type="pct"/>
            <w:tcBorders>
              <w:bottom w:val="double" w:sz="4" w:space="0" w:color="auto"/>
            </w:tcBorders>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Change in ART</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(0.3)</w:t>
            </w:r>
          </w:p>
        </w:tc>
        <w:tc>
          <w:tcPr>
            <w:tcW w:w="539" w:type="pct"/>
            <w:tcBorders>
              <w:bottom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(0.1)</w:t>
            </w:r>
          </w:p>
        </w:tc>
      </w:tr>
      <w:tr w:rsidR="000F6F40" w:rsidRPr="001D3234" w:rsidTr="00104776">
        <w:trPr>
          <w:trHeight w:val="229"/>
        </w:trPr>
        <w:tc>
          <w:tcPr>
            <w:tcW w:w="1771" w:type="pct"/>
            <w:tcBorders>
              <w:top w:val="double" w:sz="4" w:space="0" w:color="auto"/>
            </w:tcBorders>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No virological data at Week 48</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23 (6.5)</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20 (5.6)</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18 (5.0)</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15 (4.2)</w:t>
            </w:r>
          </w:p>
        </w:tc>
        <w:tc>
          <w:tcPr>
            <w:tcW w:w="538"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41 (5.7)</w:t>
            </w:r>
          </w:p>
        </w:tc>
        <w:tc>
          <w:tcPr>
            <w:tcW w:w="539" w:type="pct"/>
            <w:tcBorders>
              <w:top w:val="double" w:sz="4" w:space="0" w:color="auto"/>
            </w:tcBorders>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35 (4.9)</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trial due to AE/Death</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(1.4)</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9 (2.5)</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5 (1.4)</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4 (1.1)</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10 (1.4)</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13 (1.8)</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Disc trial for other reasons</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17 (4.8)</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11 (3.1)</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12 (3.3)</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11 (3.1)</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29 (4.1)</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22 (3.1)</w:t>
            </w:r>
          </w:p>
        </w:tc>
      </w:tr>
      <w:tr w:rsidR="000F6F40" w:rsidRPr="001D3234" w:rsidTr="00104776">
        <w:trPr>
          <w:trHeight w:val="229"/>
        </w:trPr>
        <w:tc>
          <w:tcPr>
            <w:tcW w:w="1771" w:type="pct"/>
            <w:shd w:val="clear" w:color="auto" w:fill="auto"/>
            <w:vAlign w:val="center"/>
          </w:tcPr>
          <w:p w:rsidR="000F6F40" w:rsidRPr="001D3234" w:rsidRDefault="000F6F40" w:rsidP="000D5E60">
            <w:pPr>
              <w:keepNext/>
              <w:ind w:left="249"/>
              <w:jc w:val="left"/>
              <w:rPr>
                <w:rStyle w:val="TableText0"/>
                <w:szCs w:val="20"/>
              </w:rPr>
            </w:pPr>
            <w:r w:rsidRPr="001D3234">
              <w:rPr>
                <w:rStyle w:val="TableText0"/>
                <w:szCs w:val="20"/>
              </w:rPr>
              <w:t>On trial but missing data in window</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1 (0.3)</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c>
          <w:tcPr>
            <w:tcW w:w="538"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2 (0.3)</w:t>
            </w:r>
          </w:p>
        </w:tc>
        <w:tc>
          <w:tcPr>
            <w:tcW w:w="539" w:type="pct"/>
            <w:shd w:val="clear" w:color="auto" w:fill="auto"/>
            <w:vAlign w:val="center"/>
          </w:tcPr>
          <w:p w:rsidR="000F6F40" w:rsidRPr="001D3234" w:rsidRDefault="000F6F40" w:rsidP="00104776">
            <w:pPr>
              <w:keepNext/>
              <w:jc w:val="center"/>
              <w:rPr>
                <w:rStyle w:val="TableText0"/>
                <w:szCs w:val="20"/>
              </w:rPr>
            </w:pPr>
            <w:r w:rsidRPr="001D3234">
              <w:rPr>
                <w:rStyle w:val="TableText0"/>
                <w:szCs w:val="20"/>
              </w:rPr>
              <w:t>0</w:t>
            </w:r>
          </w:p>
        </w:tc>
      </w:tr>
    </w:tbl>
    <w:p w:rsidR="00104776" w:rsidRPr="001D3234" w:rsidRDefault="000F6F40" w:rsidP="000F6F40">
      <w:pPr>
        <w:pStyle w:val="TableFooter"/>
      </w:pPr>
      <w:r w:rsidRPr="001D3234">
        <w:t xml:space="preserve">Source: Table 39, p62 of the submission. </w:t>
      </w:r>
    </w:p>
    <w:p w:rsidR="000F6F40" w:rsidRPr="001D3234" w:rsidRDefault="000F6F40" w:rsidP="000F6F40">
      <w:pPr>
        <w:pStyle w:val="TableFooter"/>
      </w:pPr>
      <w:r w:rsidRPr="001D3234">
        <w:t>3TC = lamivudine; AE = adverse event; ART = antiretroviral treatment; Disc = discontinued; DTG = dolutegravir; HIV = human immunodeficiency virus; RNA = ribonucleic acid;</w:t>
      </w:r>
      <w:r w:rsidR="00104776" w:rsidRPr="001D3234">
        <w:t xml:space="preserve"> </w:t>
      </w:r>
      <w:r w:rsidRPr="001D3234">
        <w:t>CI = confidence interval; n = number of participants reporting data; N = total participants in group</w:t>
      </w:r>
    </w:p>
    <w:p w:rsidR="000F6F40" w:rsidRPr="001D3234" w:rsidRDefault="000F6F40" w:rsidP="00F57461">
      <w:pPr>
        <w:pStyle w:val="ListParagraph"/>
        <w:widowControl/>
        <w:numPr>
          <w:ilvl w:val="1"/>
          <w:numId w:val="1"/>
        </w:numPr>
        <w:spacing w:after="120"/>
        <w:rPr>
          <w:rFonts w:cs="Calibri"/>
          <w:snapToGrid/>
          <w:color w:val="000000" w:themeColor="text1"/>
          <w:szCs w:val="24"/>
          <w:lang w:eastAsia="en-AU"/>
        </w:rPr>
      </w:pPr>
      <w:r w:rsidRPr="001D3234">
        <w:t>A slightly smaller proportion of patients in the pooled DTG</w:t>
      </w:r>
      <w:r w:rsidR="006C327B" w:rsidRPr="001D3234">
        <w:t xml:space="preserve"> </w:t>
      </w:r>
      <w:r w:rsidRPr="001D3234">
        <w:t>+</w:t>
      </w:r>
      <w:r w:rsidR="006C327B" w:rsidRPr="001D3234">
        <w:t xml:space="preserve"> </w:t>
      </w:r>
      <w:r w:rsidRPr="001D3234">
        <w:t>3TC arm had HIV-1 RNA &lt;50 copies/mL than in the DTG + Truvada® arm. Otherwise, the snapshot analysis indicated similarity across the two pooled treatment arms</w:t>
      </w:r>
      <w:r w:rsidR="00104776" w:rsidRPr="001D3234">
        <w:t>.</w:t>
      </w:r>
    </w:p>
    <w:p w:rsidR="000F6F40" w:rsidRPr="001D3234" w:rsidRDefault="000F6F40" w:rsidP="00F57461">
      <w:pPr>
        <w:pStyle w:val="ListParagraph"/>
        <w:widowControl/>
        <w:numPr>
          <w:ilvl w:val="1"/>
          <w:numId w:val="1"/>
        </w:numPr>
        <w:spacing w:after="120"/>
        <w:rPr>
          <w:rFonts w:cs="Calibri"/>
          <w:snapToGrid/>
          <w:color w:val="000000" w:themeColor="text1"/>
          <w:szCs w:val="24"/>
          <w:lang w:eastAsia="en-AU"/>
        </w:rPr>
      </w:pPr>
      <w:r w:rsidRPr="001D3234">
        <w:rPr>
          <w:rFonts w:cs="Calibri"/>
          <w:snapToGrid/>
          <w:color w:val="000000" w:themeColor="text1"/>
          <w:szCs w:val="24"/>
          <w:lang w:eastAsia="en-AU"/>
        </w:rPr>
        <w:t xml:space="preserve">Confirmed Virologic Withdrawal (CVW) </w:t>
      </w:r>
      <w:r w:rsidR="00104776" w:rsidRPr="001D3234">
        <w:rPr>
          <w:rFonts w:cs="Calibri"/>
          <w:snapToGrid/>
          <w:color w:val="000000" w:themeColor="text1"/>
          <w:szCs w:val="24"/>
          <w:lang w:eastAsia="en-AU"/>
        </w:rPr>
        <w:t xml:space="preserve">in the GEMINI trials is presented in </w:t>
      </w:r>
      <w:r w:rsidR="003E39FF" w:rsidRPr="001D3234">
        <w:rPr>
          <w:rFonts w:cs="Calibri"/>
          <w:snapToGrid/>
          <w:color w:val="000000" w:themeColor="text1"/>
          <w:szCs w:val="24"/>
          <w:lang w:eastAsia="en-AU"/>
        </w:rPr>
        <w:t>Table 7</w:t>
      </w:r>
      <w:r w:rsidR="00104776" w:rsidRPr="001D3234">
        <w:rPr>
          <w:rFonts w:cs="Calibri"/>
          <w:snapToGrid/>
          <w:color w:val="000000" w:themeColor="text1"/>
          <w:szCs w:val="24"/>
          <w:lang w:eastAsia="en-AU"/>
        </w:rPr>
        <w:t xml:space="preserve">. The CVW </w:t>
      </w:r>
      <w:r w:rsidRPr="001D3234">
        <w:rPr>
          <w:rFonts w:cs="Calibri"/>
          <w:snapToGrid/>
          <w:color w:val="000000" w:themeColor="text1"/>
          <w:szCs w:val="24"/>
          <w:lang w:eastAsia="en-AU"/>
        </w:rPr>
        <w:t>criteria were as follows: A second and consecutive HIV-1 RNA value (two to four weeks after initial measurement) meeting virologic non-response or rebound:</w:t>
      </w:r>
    </w:p>
    <w:p w:rsidR="000F6F40" w:rsidRPr="001D3234" w:rsidRDefault="000F6F40" w:rsidP="00F57461">
      <w:pPr>
        <w:pStyle w:val="ListParagraph"/>
        <w:widowControl/>
        <w:numPr>
          <w:ilvl w:val="0"/>
          <w:numId w:val="9"/>
        </w:numPr>
        <w:spacing w:after="120"/>
        <w:ind w:left="993" w:hanging="284"/>
        <w:rPr>
          <w:rFonts w:cs="Calibri"/>
          <w:snapToGrid/>
          <w:color w:val="000000" w:themeColor="text1"/>
          <w:szCs w:val="24"/>
          <w:lang w:eastAsia="en-AU"/>
        </w:rPr>
      </w:pPr>
      <w:r w:rsidRPr="001D3234">
        <w:rPr>
          <w:rFonts w:cs="Calibri"/>
          <w:snapToGrid/>
          <w:color w:val="000000" w:themeColor="text1"/>
          <w:szCs w:val="24"/>
          <w:lang w:eastAsia="en-AU"/>
        </w:rPr>
        <w:t>Virologic non-response: a decrease in plasma HIV-1 RNA of less than 1 log</w:t>
      </w:r>
      <w:r w:rsidRPr="001D3234">
        <w:rPr>
          <w:rFonts w:cs="Calibri"/>
          <w:snapToGrid/>
          <w:color w:val="000000" w:themeColor="text1"/>
          <w:szCs w:val="24"/>
          <w:vertAlign w:val="subscript"/>
          <w:lang w:eastAsia="en-AU"/>
        </w:rPr>
        <w:t>10</w:t>
      </w:r>
      <w:r w:rsidR="00104776" w:rsidRPr="001D3234">
        <w:rPr>
          <w:rFonts w:cs="Calibri"/>
          <w:snapToGrid/>
          <w:color w:val="000000" w:themeColor="text1"/>
          <w:szCs w:val="24"/>
          <w:lang w:eastAsia="en-AU"/>
        </w:rPr>
        <w:t xml:space="preserve"> </w:t>
      </w:r>
      <w:r w:rsidRPr="001D3234">
        <w:rPr>
          <w:rFonts w:cs="Calibri"/>
          <w:snapToGrid/>
          <w:color w:val="000000" w:themeColor="text1"/>
          <w:szCs w:val="24"/>
          <w:lang w:eastAsia="en-AU"/>
        </w:rPr>
        <w:t>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by week 12, unless plasma HIV-1 RNA is &lt;200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or confirmed plasma HIV-1 RNA levels ≥200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on or after week 24</w:t>
      </w:r>
      <w:r w:rsidR="001D3234">
        <w:rPr>
          <w:rFonts w:cs="Calibri"/>
          <w:snapToGrid/>
          <w:color w:val="000000" w:themeColor="text1"/>
          <w:szCs w:val="24"/>
          <w:lang w:eastAsia="en-AU"/>
        </w:rPr>
        <w:t xml:space="preserve">. </w:t>
      </w:r>
    </w:p>
    <w:p w:rsidR="000F6F40" w:rsidRPr="001D3234" w:rsidRDefault="000F6F40" w:rsidP="00F57461">
      <w:pPr>
        <w:pStyle w:val="ListParagraph"/>
        <w:widowControl/>
        <w:numPr>
          <w:ilvl w:val="0"/>
          <w:numId w:val="9"/>
        </w:numPr>
        <w:spacing w:after="120"/>
        <w:ind w:left="993" w:hanging="284"/>
        <w:rPr>
          <w:rFonts w:cs="Calibri"/>
          <w:snapToGrid/>
          <w:color w:val="000000" w:themeColor="text1"/>
          <w:szCs w:val="24"/>
          <w:lang w:eastAsia="en-AU"/>
        </w:rPr>
      </w:pPr>
      <w:r w:rsidRPr="001D3234">
        <w:rPr>
          <w:rFonts w:cs="Calibri"/>
          <w:snapToGrid/>
          <w:color w:val="000000" w:themeColor="text1"/>
          <w:szCs w:val="24"/>
          <w:lang w:eastAsia="en-AU"/>
        </w:rPr>
        <w:t>Virological rebound: confirmed rebound in plasma HIV-1 RNA levels to ≥200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 after prior confirmed suppression to &lt;200 c</w:t>
      </w:r>
      <w:r w:rsidR="00104776" w:rsidRPr="001D3234">
        <w:rPr>
          <w:rFonts w:cs="Calibri"/>
          <w:snapToGrid/>
          <w:color w:val="000000" w:themeColor="text1"/>
          <w:szCs w:val="24"/>
          <w:lang w:eastAsia="en-AU"/>
        </w:rPr>
        <w:t>opies</w:t>
      </w:r>
      <w:r w:rsidRPr="001D3234">
        <w:rPr>
          <w:rFonts w:cs="Calibri"/>
          <w:snapToGrid/>
          <w:color w:val="000000" w:themeColor="text1"/>
          <w:szCs w:val="24"/>
          <w:lang w:eastAsia="en-AU"/>
        </w:rPr>
        <w:t>/ml</w:t>
      </w:r>
      <w:r w:rsidR="001D3234">
        <w:rPr>
          <w:rFonts w:cs="Calibri"/>
          <w:snapToGrid/>
          <w:color w:val="000000" w:themeColor="text1"/>
          <w:szCs w:val="24"/>
          <w:lang w:eastAsia="en-AU"/>
        </w:rPr>
        <w:t xml:space="preserve">. </w:t>
      </w:r>
    </w:p>
    <w:p w:rsidR="000F6F40" w:rsidRPr="001D3234" w:rsidRDefault="000F6F40" w:rsidP="008D77A7">
      <w:pPr>
        <w:keepNext/>
        <w:keepLines/>
      </w:pPr>
      <w:bookmarkStart w:id="20" w:name="_Ref8382798"/>
      <w:r w:rsidRPr="001D3234">
        <w:rPr>
          <w:rFonts w:ascii="Arial Narrow" w:hAnsi="Arial Narrow"/>
          <w:b/>
          <w:sz w:val="20"/>
          <w:szCs w:val="16"/>
        </w:rPr>
        <w:t xml:space="preserve">Table </w:t>
      </w:r>
      <w:r w:rsidR="003E39FF" w:rsidRPr="001D3234">
        <w:rPr>
          <w:rFonts w:ascii="Arial Narrow" w:hAnsi="Arial Narrow"/>
          <w:b/>
          <w:sz w:val="20"/>
          <w:szCs w:val="20"/>
        </w:rPr>
        <w:t>7</w:t>
      </w:r>
      <w:bookmarkEnd w:id="20"/>
      <w:r w:rsidRPr="001D3234">
        <w:rPr>
          <w:rFonts w:ascii="Arial Narrow" w:hAnsi="Arial Narrow"/>
          <w:b/>
          <w:sz w:val="20"/>
          <w:szCs w:val="16"/>
        </w:rPr>
        <w:t xml:space="preserve">: </w:t>
      </w:r>
      <w:r w:rsidRPr="001D3234">
        <w:rPr>
          <w:rStyle w:val="CommentReference"/>
        </w:rPr>
        <w:t>Confirmed virologic withdrawal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7: Confirmed virologic withdrawal (ITT-E population)"/>
      </w:tblPr>
      <w:tblGrid>
        <w:gridCol w:w="989"/>
        <w:gridCol w:w="1338"/>
        <w:gridCol w:w="1338"/>
        <w:gridCol w:w="1338"/>
        <w:gridCol w:w="1338"/>
        <w:gridCol w:w="1338"/>
        <w:gridCol w:w="1338"/>
      </w:tblGrid>
      <w:tr w:rsidR="000F6F40" w:rsidRPr="001D3234" w:rsidTr="00F86393">
        <w:trPr>
          <w:trHeight w:val="229"/>
          <w:tblHeader/>
        </w:trPr>
        <w:tc>
          <w:tcPr>
            <w:tcW w:w="548" w:type="pct"/>
            <w:vMerge w:val="restart"/>
            <w:shd w:val="clear" w:color="auto" w:fill="auto"/>
            <w:vAlign w:val="center"/>
          </w:tcPr>
          <w:p w:rsidR="000F6F40" w:rsidRPr="001D3234" w:rsidRDefault="000F6F40" w:rsidP="000D5E60">
            <w:pPr>
              <w:keepNext/>
              <w:jc w:val="left"/>
              <w:rPr>
                <w:rStyle w:val="TableText0"/>
                <w:b/>
                <w:szCs w:val="20"/>
              </w:rPr>
            </w:pPr>
            <w:r w:rsidRPr="001D3234">
              <w:rPr>
                <w:rStyle w:val="TableText0"/>
                <w:b/>
                <w:szCs w:val="20"/>
              </w:rPr>
              <w:t>Time point; n (%)</w:t>
            </w:r>
          </w:p>
        </w:tc>
        <w:tc>
          <w:tcPr>
            <w:tcW w:w="1484" w:type="pct"/>
            <w:gridSpan w:val="2"/>
            <w:shd w:val="clear" w:color="auto" w:fill="auto"/>
            <w:vAlign w:val="center"/>
          </w:tcPr>
          <w:p w:rsidR="000F6F40" w:rsidRPr="001D3234" w:rsidRDefault="000F6F40" w:rsidP="000D5E60">
            <w:pPr>
              <w:keepNext/>
              <w:jc w:val="center"/>
              <w:rPr>
                <w:rStyle w:val="TableText0"/>
                <w:b/>
                <w:szCs w:val="20"/>
              </w:rPr>
            </w:pPr>
            <w:r w:rsidRPr="001D3234">
              <w:rPr>
                <w:rStyle w:val="TableText0"/>
                <w:b/>
                <w:szCs w:val="20"/>
              </w:rPr>
              <w:t>GEMINI-1</w:t>
            </w:r>
          </w:p>
        </w:tc>
        <w:tc>
          <w:tcPr>
            <w:tcW w:w="1484"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GEMINI-2</w:t>
            </w:r>
          </w:p>
        </w:tc>
        <w:tc>
          <w:tcPr>
            <w:tcW w:w="1484" w:type="pct"/>
            <w:gridSpan w:val="2"/>
            <w:shd w:val="clear" w:color="auto" w:fill="auto"/>
          </w:tcPr>
          <w:p w:rsidR="000F6F40" w:rsidRPr="001D3234" w:rsidRDefault="000F6F40" w:rsidP="000D5E60">
            <w:pPr>
              <w:keepNext/>
              <w:jc w:val="center"/>
              <w:rPr>
                <w:rStyle w:val="TableText0"/>
                <w:b/>
                <w:szCs w:val="20"/>
              </w:rPr>
            </w:pPr>
            <w:r w:rsidRPr="001D3234">
              <w:rPr>
                <w:rStyle w:val="TableText0"/>
                <w:b/>
                <w:szCs w:val="20"/>
              </w:rPr>
              <w:t>Pooled</w:t>
            </w:r>
          </w:p>
        </w:tc>
      </w:tr>
      <w:tr w:rsidR="00DF35C1" w:rsidRPr="001D3234" w:rsidTr="00F86393">
        <w:trPr>
          <w:trHeight w:val="229"/>
          <w:tblHeader/>
        </w:trPr>
        <w:tc>
          <w:tcPr>
            <w:tcW w:w="548" w:type="pct"/>
            <w:vMerge/>
            <w:shd w:val="clear" w:color="auto" w:fill="auto"/>
            <w:vAlign w:val="center"/>
          </w:tcPr>
          <w:p w:rsidR="00DF35C1" w:rsidRPr="001D3234" w:rsidRDefault="00DF35C1" w:rsidP="00DF35C1">
            <w:pPr>
              <w:keepNext/>
              <w:jc w:val="left"/>
              <w:rPr>
                <w:rStyle w:val="TableText0"/>
                <w:b/>
                <w:szCs w:val="20"/>
              </w:rPr>
            </w:pPr>
          </w:p>
        </w:tc>
        <w:tc>
          <w:tcPr>
            <w:tcW w:w="742"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p w:rsidR="00DF35C1" w:rsidRPr="001D3234" w:rsidRDefault="00DF35C1" w:rsidP="00DF35C1">
            <w:pPr>
              <w:pStyle w:val="TableHeading"/>
              <w:spacing w:after="0"/>
              <w:jc w:val="center"/>
              <w:rPr>
                <w:rStyle w:val="TableText0"/>
                <w:szCs w:val="20"/>
              </w:rPr>
            </w:pPr>
            <w:r w:rsidRPr="001D3234">
              <w:rPr>
                <w:rStyle w:val="TableText0"/>
                <w:szCs w:val="20"/>
              </w:rPr>
              <w:t>(N=356)</w:t>
            </w:r>
          </w:p>
        </w:tc>
        <w:tc>
          <w:tcPr>
            <w:tcW w:w="742"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p w:rsidR="00DF35C1" w:rsidRPr="001D3234" w:rsidRDefault="00DF35C1" w:rsidP="00DF35C1">
            <w:pPr>
              <w:pStyle w:val="TableHeading"/>
              <w:spacing w:after="0"/>
              <w:jc w:val="center"/>
              <w:rPr>
                <w:rStyle w:val="TableText0"/>
                <w:szCs w:val="20"/>
              </w:rPr>
            </w:pPr>
            <w:r w:rsidRPr="001D3234">
              <w:rPr>
                <w:rStyle w:val="TableText0"/>
                <w:szCs w:val="20"/>
              </w:rPr>
              <w:t>(N=358)</w:t>
            </w:r>
          </w:p>
        </w:tc>
        <w:tc>
          <w:tcPr>
            <w:tcW w:w="742"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p w:rsidR="00DF35C1" w:rsidRPr="001D3234" w:rsidRDefault="00DF35C1" w:rsidP="00DF35C1">
            <w:pPr>
              <w:pStyle w:val="TableHeading"/>
              <w:spacing w:after="0"/>
              <w:jc w:val="center"/>
              <w:rPr>
                <w:rStyle w:val="TableText0"/>
                <w:szCs w:val="20"/>
              </w:rPr>
            </w:pPr>
            <w:r w:rsidRPr="001D3234">
              <w:rPr>
                <w:rStyle w:val="TableText0"/>
                <w:szCs w:val="20"/>
              </w:rPr>
              <w:t>(N=360)</w:t>
            </w:r>
          </w:p>
        </w:tc>
        <w:tc>
          <w:tcPr>
            <w:tcW w:w="742"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p w:rsidR="00DF35C1" w:rsidRPr="001D3234" w:rsidRDefault="00DF35C1" w:rsidP="00DF35C1">
            <w:pPr>
              <w:pStyle w:val="TableHeading"/>
              <w:spacing w:after="0"/>
              <w:jc w:val="center"/>
              <w:rPr>
                <w:rStyle w:val="TableText0"/>
                <w:szCs w:val="20"/>
              </w:rPr>
            </w:pPr>
            <w:r w:rsidRPr="001D3234">
              <w:rPr>
                <w:rStyle w:val="TableText0"/>
                <w:szCs w:val="20"/>
              </w:rPr>
              <w:t>(N=359)</w:t>
            </w:r>
          </w:p>
        </w:tc>
        <w:tc>
          <w:tcPr>
            <w:tcW w:w="742" w:type="pct"/>
            <w:shd w:val="clear" w:color="auto" w:fill="auto"/>
            <w:vAlign w:val="center"/>
          </w:tcPr>
          <w:p w:rsidR="00DF35C1" w:rsidRPr="001D3234" w:rsidRDefault="00DF35C1" w:rsidP="00DF35C1">
            <w:pPr>
              <w:pStyle w:val="TableHeading"/>
              <w:spacing w:after="0"/>
              <w:jc w:val="center"/>
              <w:rPr>
                <w:rStyle w:val="TableText0"/>
                <w:szCs w:val="20"/>
              </w:rPr>
            </w:pPr>
            <w:r w:rsidRPr="001D3234">
              <w:rPr>
                <w:rStyle w:val="TableText0"/>
                <w:szCs w:val="20"/>
              </w:rPr>
              <w:t>DTG + 3TC</w:t>
            </w:r>
          </w:p>
          <w:p w:rsidR="00DF35C1" w:rsidRPr="001D3234" w:rsidRDefault="00DF35C1" w:rsidP="00DF35C1">
            <w:pPr>
              <w:pStyle w:val="TableHeading"/>
              <w:spacing w:after="0"/>
              <w:jc w:val="center"/>
              <w:rPr>
                <w:rStyle w:val="TableText0"/>
                <w:szCs w:val="20"/>
              </w:rPr>
            </w:pPr>
            <w:r w:rsidRPr="001D3234">
              <w:rPr>
                <w:rStyle w:val="TableText0"/>
                <w:szCs w:val="20"/>
              </w:rPr>
              <w:t>(N=716)</w:t>
            </w:r>
          </w:p>
        </w:tc>
        <w:tc>
          <w:tcPr>
            <w:tcW w:w="742" w:type="pct"/>
            <w:shd w:val="clear" w:color="auto" w:fill="auto"/>
          </w:tcPr>
          <w:p w:rsidR="00DF35C1" w:rsidRPr="001D3234" w:rsidRDefault="00DF35C1" w:rsidP="00DF35C1">
            <w:pPr>
              <w:pStyle w:val="TableHeading"/>
              <w:spacing w:after="0"/>
              <w:jc w:val="center"/>
              <w:rPr>
                <w:rStyle w:val="TableText0"/>
                <w:szCs w:val="20"/>
              </w:rPr>
            </w:pPr>
            <w:r w:rsidRPr="001D3234">
              <w:rPr>
                <w:rStyle w:val="TableText0"/>
                <w:szCs w:val="20"/>
              </w:rPr>
              <w:t xml:space="preserve">DTG + </w:t>
            </w:r>
            <w:r w:rsidRPr="001D3234">
              <w:t>Truvada</w:t>
            </w:r>
            <w:r w:rsidRPr="001D3234">
              <w:rPr>
                <w:vertAlign w:val="superscript"/>
              </w:rPr>
              <w:t>®</w:t>
            </w:r>
          </w:p>
          <w:p w:rsidR="00DF35C1" w:rsidRPr="001D3234" w:rsidRDefault="00DF35C1" w:rsidP="00DF35C1">
            <w:pPr>
              <w:pStyle w:val="TableHeading"/>
              <w:spacing w:after="0"/>
              <w:jc w:val="center"/>
              <w:rPr>
                <w:rStyle w:val="TableText0"/>
                <w:szCs w:val="20"/>
              </w:rPr>
            </w:pPr>
            <w:r w:rsidRPr="001D3234">
              <w:rPr>
                <w:rStyle w:val="TableText0"/>
                <w:szCs w:val="20"/>
              </w:rPr>
              <w:t>(N=717)</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16</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1 (0.3)</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1 (0.1)</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0</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24</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3 (0.8)</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1 (0.3)</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5 (0.7)</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3 (0.4)</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36</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3 (0.8)</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1 (0.3)</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5 (0.7)</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3 (0.4)</w:t>
            </w:r>
          </w:p>
        </w:tc>
      </w:tr>
      <w:tr w:rsidR="000F6F40" w:rsidRPr="001D3234" w:rsidTr="00DF35C1">
        <w:trPr>
          <w:trHeight w:val="229"/>
        </w:trPr>
        <w:tc>
          <w:tcPr>
            <w:tcW w:w="548" w:type="pct"/>
            <w:shd w:val="clear" w:color="auto" w:fill="auto"/>
            <w:vAlign w:val="center"/>
          </w:tcPr>
          <w:p w:rsidR="000F6F40" w:rsidRPr="001D3234" w:rsidRDefault="000F6F40" w:rsidP="000D5E60">
            <w:pPr>
              <w:keepNext/>
              <w:jc w:val="left"/>
              <w:rPr>
                <w:rStyle w:val="TableText0"/>
                <w:szCs w:val="20"/>
              </w:rPr>
            </w:pPr>
            <w:r w:rsidRPr="001D3234">
              <w:rPr>
                <w:rStyle w:val="TableText0"/>
                <w:szCs w:val="20"/>
              </w:rPr>
              <w:t>Week 48</w:t>
            </w:r>
          </w:p>
        </w:tc>
        <w:tc>
          <w:tcPr>
            <w:tcW w:w="742" w:type="pct"/>
            <w:shd w:val="clear" w:color="auto" w:fill="auto"/>
            <w:vAlign w:val="center"/>
          </w:tcPr>
          <w:p w:rsidR="000F6F40" w:rsidRPr="001D3234" w:rsidRDefault="000F6F40" w:rsidP="000D5E60">
            <w:pPr>
              <w:keepNext/>
              <w:jc w:val="center"/>
              <w:rPr>
                <w:rStyle w:val="TableText0"/>
                <w:szCs w:val="20"/>
              </w:rPr>
            </w:pPr>
            <w:r w:rsidRPr="001D3234">
              <w:rPr>
                <w:rStyle w:val="TableText0"/>
                <w:szCs w:val="20"/>
              </w:rPr>
              <w:t>4 (1.1)</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2 (0.6)</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6 (0.8)</w:t>
            </w:r>
          </w:p>
        </w:tc>
        <w:tc>
          <w:tcPr>
            <w:tcW w:w="742" w:type="pct"/>
            <w:shd w:val="clear" w:color="auto" w:fill="auto"/>
          </w:tcPr>
          <w:p w:rsidR="000F6F40" w:rsidRPr="001D3234" w:rsidRDefault="000F6F40" w:rsidP="000D5E60">
            <w:pPr>
              <w:keepNext/>
              <w:jc w:val="center"/>
              <w:rPr>
                <w:rStyle w:val="TableText0"/>
                <w:szCs w:val="20"/>
              </w:rPr>
            </w:pPr>
            <w:r w:rsidRPr="001D3234">
              <w:rPr>
                <w:rStyle w:val="TableText0"/>
                <w:szCs w:val="20"/>
              </w:rPr>
              <w:t>4 (0.6)</w:t>
            </w:r>
          </w:p>
        </w:tc>
      </w:tr>
    </w:tbl>
    <w:p w:rsidR="000F6F40" w:rsidRPr="001D3234" w:rsidRDefault="000F6F40" w:rsidP="000F6F40">
      <w:pPr>
        <w:pStyle w:val="TableFooter"/>
      </w:pPr>
      <w:r w:rsidRPr="001D3234">
        <w:t>Source: Table 40, p62 of the submission. 3TC = lamivudine; DTG = dolutegravir; FTC = emtricitabine; TDF = tenofovir disoproxil fumarate</w:t>
      </w:r>
      <w:r w:rsidR="001D3234">
        <w:t xml:space="preserve">. </w:t>
      </w:r>
    </w:p>
    <w:p w:rsidR="00E03172" w:rsidRPr="001D3234" w:rsidRDefault="000F6F40" w:rsidP="001A0D42">
      <w:pPr>
        <w:pStyle w:val="ListParagraph"/>
        <w:widowControl/>
        <w:numPr>
          <w:ilvl w:val="1"/>
          <w:numId w:val="1"/>
        </w:numPr>
        <w:spacing w:before="120" w:after="120"/>
      </w:pPr>
      <w:r w:rsidRPr="001D3234">
        <w:rPr>
          <w:rFonts w:cs="Calibri"/>
          <w:snapToGrid/>
          <w:color w:val="000000" w:themeColor="text1"/>
          <w:szCs w:val="24"/>
          <w:lang w:eastAsia="en-AU"/>
        </w:rPr>
        <w:t>Though no apparent differences were observed in patients with CVW between the treatment arms, it should be noted that results of this outcome were only availabl</w:t>
      </w:r>
      <w:r w:rsidR="00613AD0" w:rsidRPr="001D3234">
        <w:rPr>
          <w:rFonts w:cs="Calibri"/>
          <w:snapToGrid/>
          <w:color w:val="000000" w:themeColor="text1"/>
          <w:szCs w:val="24"/>
          <w:lang w:eastAsia="en-AU"/>
        </w:rPr>
        <w:t xml:space="preserve">e </w:t>
      </w:r>
      <w:r w:rsidR="00613AD0" w:rsidRPr="001D3234">
        <w:rPr>
          <w:rFonts w:cs="Calibri"/>
          <w:snapToGrid/>
          <w:color w:val="000000" w:themeColor="text1"/>
          <w:szCs w:val="24"/>
          <w:lang w:eastAsia="en-AU"/>
        </w:rPr>
        <w:lastRenderedPageBreak/>
        <w:t>up to 48 weeks. Given the two-</w:t>
      </w:r>
      <w:r w:rsidRPr="001D3234">
        <w:rPr>
          <w:rFonts w:cs="Calibri"/>
          <w:snapToGrid/>
          <w:color w:val="000000" w:themeColor="text1"/>
          <w:szCs w:val="24"/>
          <w:lang w:eastAsia="en-AU"/>
        </w:rPr>
        <w:t xml:space="preserve">drug nature of the proposed regimen is a substantial departure from </w:t>
      </w:r>
      <w:r w:rsidR="00613AD0" w:rsidRPr="001D3234">
        <w:rPr>
          <w:rFonts w:cs="Calibri"/>
          <w:snapToGrid/>
          <w:color w:val="000000" w:themeColor="text1"/>
          <w:szCs w:val="24"/>
          <w:lang w:eastAsia="en-AU"/>
        </w:rPr>
        <w:t xml:space="preserve">established </w:t>
      </w:r>
      <w:r w:rsidRPr="001D3234">
        <w:rPr>
          <w:rFonts w:cs="Calibri"/>
          <w:snapToGrid/>
          <w:color w:val="000000" w:themeColor="text1"/>
          <w:szCs w:val="24"/>
          <w:lang w:eastAsia="en-AU"/>
        </w:rPr>
        <w:t>three</w:t>
      </w:r>
      <w:r w:rsidR="00613AD0" w:rsidRPr="001D3234">
        <w:rPr>
          <w:rFonts w:cs="Calibri"/>
          <w:snapToGrid/>
          <w:color w:val="000000" w:themeColor="text1"/>
          <w:szCs w:val="24"/>
          <w:lang w:eastAsia="en-AU"/>
        </w:rPr>
        <w:t>-</w:t>
      </w:r>
      <w:r w:rsidRPr="001D3234">
        <w:rPr>
          <w:rFonts w:cs="Calibri"/>
          <w:snapToGrid/>
          <w:color w:val="000000" w:themeColor="text1"/>
          <w:szCs w:val="24"/>
          <w:lang w:eastAsia="en-AU"/>
        </w:rPr>
        <w:t>drug treatment, results f</w:t>
      </w:r>
      <w:r w:rsidR="00613AD0" w:rsidRPr="001D3234">
        <w:rPr>
          <w:rFonts w:cs="Calibri"/>
          <w:snapToGrid/>
          <w:color w:val="000000" w:themeColor="text1"/>
          <w:szCs w:val="24"/>
          <w:lang w:eastAsia="en-AU"/>
        </w:rPr>
        <w:t>rom a longer duration of follow-</w:t>
      </w:r>
      <w:r w:rsidRPr="001D3234">
        <w:rPr>
          <w:rFonts w:cs="Calibri"/>
          <w:snapToGrid/>
          <w:color w:val="000000" w:themeColor="text1"/>
          <w:szCs w:val="24"/>
          <w:lang w:eastAsia="en-AU"/>
        </w:rPr>
        <w:t>up would be highly informative</w:t>
      </w:r>
      <w:r w:rsidRPr="001D3234">
        <w:rPr>
          <w:rFonts w:cs="Calibri"/>
          <w:snapToGrid/>
          <w:szCs w:val="24"/>
          <w:lang w:eastAsia="en-AU"/>
        </w:rPr>
        <w:t>.</w:t>
      </w:r>
      <w:r w:rsidR="00760E68" w:rsidRPr="001D3234">
        <w:rPr>
          <w:rFonts w:cs="Calibri"/>
          <w:snapToGrid/>
          <w:szCs w:val="24"/>
          <w:lang w:eastAsia="en-AU"/>
        </w:rPr>
        <w:t xml:space="preserve"> The ESC considered the introduction of 2-drug regimens as standard therapy represented a </w:t>
      </w:r>
      <w:r w:rsidR="00570B56" w:rsidRPr="001D3234">
        <w:rPr>
          <w:rFonts w:cs="Calibri"/>
          <w:snapToGrid/>
          <w:szCs w:val="24"/>
          <w:lang w:eastAsia="en-AU"/>
        </w:rPr>
        <w:t>potential change</w:t>
      </w:r>
      <w:r w:rsidR="00760E68" w:rsidRPr="001D3234">
        <w:rPr>
          <w:rFonts w:cs="Calibri"/>
          <w:snapToGrid/>
          <w:szCs w:val="24"/>
          <w:lang w:eastAsia="en-AU"/>
        </w:rPr>
        <w:t xml:space="preserve"> from longstanding treatment </w:t>
      </w:r>
      <w:r w:rsidR="00220CDF" w:rsidRPr="001D3234">
        <w:rPr>
          <w:rFonts w:cs="Calibri"/>
          <w:snapToGrid/>
          <w:szCs w:val="24"/>
          <w:lang w:eastAsia="en-AU"/>
        </w:rPr>
        <w:t>practice</w:t>
      </w:r>
      <w:r w:rsidR="00760E68" w:rsidRPr="001D3234">
        <w:rPr>
          <w:rFonts w:cs="Calibri"/>
          <w:snapToGrid/>
          <w:szCs w:val="24"/>
          <w:lang w:eastAsia="en-AU"/>
        </w:rPr>
        <w:t>, and that longer-term data on effectiveness and safety would be informative.</w:t>
      </w:r>
    </w:p>
    <w:p w:rsidR="000F6F40" w:rsidRPr="001D3234" w:rsidRDefault="000F6F40" w:rsidP="00F57461">
      <w:pPr>
        <w:pStyle w:val="ListParagraph"/>
        <w:widowControl/>
        <w:numPr>
          <w:ilvl w:val="1"/>
          <w:numId w:val="1"/>
        </w:numPr>
        <w:spacing w:after="120"/>
      </w:pPr>
      <w:r w:rsidRPr="001D3234">
        <w:t xml:space="preserve">No meaningful differences in change in EQ-5D </w:t>
      </w:r>
      <w:r w:rsidR="00220CDF" w:rsidRPr="001D3234">
        <w:t>were</w:t>
      </w:r>
      <w:r w:rsidRPr="001D3234">
        <w:t xml:space="preserve"> observed between the </w:t>
      </w:r>
      <w:r w:rsidR="0071412B" w:rsidRPr="001D3234">
        <w:t>DTG</w:t>
      </w:r>
      <w:r w:rsidR="006C327B" w:rsidRPr="001D3234">
        <w:t xml:space="preserve"> + </w:t>
      </w:r>
      <w:r w:rsidR="0071412B" w:rsidRPr="001D3234">
        <w:t>3TC and DTG + Truvada® in the GEMINI trials</w:t>
      </w:r>
      <w:r w:rsidR="00104195" w:rsidRPr="001D3234">
        <w:t xml:space="preserve"> at 48 weeks</w:t>
      </w:r>
      <w:r w:rsidRPr="001D3234">
        <w:t>.</w:t>
      </w:r>
    </w:p>
    <w:p w:rsidR="000F6F40" w:rsidRPr="001D3234" w:rsidRDefault="001903FA" w:rsidP="00F57461">
      <w:pPr>
        <w:pStyle w:val="ListParagraph"/>
        <w:widowControl/>
        <w:numPr>
          <w:ilvl w:val="1"/>
          <w:numId w:val="1"/>
        </w:numPr>
        <w:spacing w:after="120"/>
      </w:pPr>
      <w:r w:rsidRPr="001D3234">
        <w:t xml:space="preserve">Tables 8 and 9 </w:t>
      </w:r>
      <w:r w:rsidR="000F6F40" w:rsidRPr="001D3234">
        <w:t>present preliminary results of the TANGO trial</w:t>
      </w:r>
      <w:r w:rsidR="0071412B" w:rsidRPr="001D3234">
        <w:t>.</w:t>
      </w:r>
    </w:p>
    <w:p w:rsidR="000F6F40" w:rsidRPr="001D3234" w:rsidRDefault="000F6F40" w:rsidP="000F6F40">
      <w:pPr>
        <w:pStyle w:val="Caption"/>
        <w:spacing w:after="0"/>
        <w:rPr>
          <w:rStyle w:val="CommentReference"/>
          <w:b/>
          <w:color w:val="000000" w:themeColor="text1"/>
        </w:rPr>
      </w:pPr>
      <w:bookmarkStart w:id="21" w:name="_Ref8382888"/>
      <w:r w:rsidRPr="001D3234">
        <w:rPr>
          <w:rStyle w:val="CommentReference"/>
          <w:b/>
          <w:color w:val="000000" w:themeColor="text1"/>
        </w:rPr>
        <w:t xml:space="preserve">Table </w:t>
      </w:r>
      <w:r w:rsidR="003E39FF" w:rsidRPr="001D3234">
        <w:rPr>
          <w:rFonts w:ascii="Arial Narrow" w:hAnsi="Arial Narrow"/>
          <w:color w:val="000000" w:themeColor="text1"/>
          <w:sz w:val="20"/>
          <w:szCs w:val="20"/>
        </w:rPr>
        <w:t>8</w:t>
      </w:r>
      <w:bookmarkEnd w:id="21"/>
      <w:r w:rsidRPr="001D3234">
        <w:rPr>
          <w:rStyle w:val="CommentReference"/>
          <w:b/>
          <w:color w:val="000000" w:themeColor="text1"/>
        </w:rPr>
        <w:t>: Results for proportion of subjects with HIV-1 RNA &lt;50 copies/mL at week 24, TANGO (ITT-E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8: Results for proportion of subjects with HIV-1 RNA &lt;50 copies/mL at week 24, TANGO (ITT-E population)"/>
      </w:tblPr>
      <w:tblGrid>
        <w:gridCol w:w="3539"/>
        <w:gridCol w:w="1593"/>
        <w:gridCol w:w="1943"/>
        <w:gridCol w:w="1942"/>
      </w:tblGrid>
      <w:tr w:rsidR="000F6F40" w:rsidRPr="001D3234" w:rsidTr="00F86393">
        <w:trPr>
          <w:trHeight w:val="229"/>
          <w:tblHeader/>
        </w:trPr>
        <w:tc>
          <w:tcPr>
            <w:tcW w:w="1962" w:type="pct"/>
            <w:vMerge w:val="restart"/>
            <w:shd w:val="clear" w:color="auto" w:fill="auto"/>
            <w:vAlign w:val="center"/>
          </w:tcPr>
          <w:p w:rsidR="000F6F40" w:rsidRPr="001D3234" w:rsidRDefault="000F6F40" w:rsidP="000D5E60">
            <w:pPr>
              <w:keepNext/>
              <w:jc w:val="left"/>
              <w:rPr>
                <w:rStyle w:val="TableText0"/>
                <w:b/>
              </w:rPr>
            </w:pPr>
            <w:r w:rsidRPr="001D3234">
              <w:rPr>
                <w:rStyle w:val="TableText0"/>
                <w:b/>
              </w:rPr>
              <w:t>Treatment arm</w:t>
            </w:r>
          </w:p>
        </w:tc>
        <w:tc>
          <w:tcPr>
            <w:tcW w:w="883" w:type="pct"/>
            <w:vMerge w:val="restart"/>
            <w:shd w:val="clear" w:color="auto" w:fill="auto"/>
            <w:vAlign w:val="center"/>
          </w:tcPr>
          <w:p w:rsidR="000F6F40" w:rsidRPr="001D3234" w:rsidRDefault="000F6F40" w:rsidP="000D5E60">
            <w:pPr>
              <w:keepNext/>
              <w:jc w:val="center"/>
              <w:rPr>
                <w:rStyle w:val="TableText0"/>
                <w:b/>
              </w:rPr>
            </w:pPr>
            <w:r w:rsidRPr="001D3234">
              <w:rPr>
                <w:rStyle w:val="TableText0"/>
                <w:b/>
              </w:rPr>
              <w:t>Events,-n/N (%)</w:t>
            </w:r>
          </w:p>
        </w:tc>
        <w:tc>
          <w:tcPr>
            <w:tcW w:w="2154" w:type="pct"/>
            <w:gridSpan w:val="2"/>
            <w:shd w:val="clear" w:color="auto" w:fill="auto"/>
            <w:vAlign w:val="center"/>
          </w:tcPr>
          <w:p w:rsidR="000F6F40" w:rsidRPr="001D3234" w:rsidRDefault="000F6F40" w:rsidP="000D5E60">
            <w:pPr>
              <w:keepNext/>
              <w:jc w:val="center"/>
              <w:rPr>
                <w:rStyle w:val="TableText0"/>
                <w:b/>
              </w:rPr>
            </w:pPr>
            <w:r w:rsidRPr="001D3234">
              <w:rPr>
                <w:rStyle w:val="TableText0"/>
                <w:b/>
              </w:rPr>
              <w:t>RD% (95% CI)</w:t>
            </w:r>
          </w:p>
        </w:tc>
      </w:tr>
      <w:tr w:rsidR="000F6F40" w:rsidRPr="001D3234" w:rsidTr="00F86393">
        <w:trPr>
          <w:trHeight w:val="229"/>
          <w:tblHeader/>
        </w:trPr>
        <w:tc>
          <w:tcPr>
            <w:tcW w:w="1962" w:type="pct"/>
            <w:vMerge/>
            <w:shd w:val="clear" w:color="auto" w:fill="auto"/>
            <w:vAlign w:val="center"/>
          </w:tcPr>
          <w:p w:rsidR="000F6F40" w:rsidRPr="001D3234" w:rsidRDefault="000F6F40" w:rsidP="000D5E60">
            <w:pPr>
              <w:keepNext/>
              <w:jc w:val="left"/>
              <w:rPr>
                <w:rStyle w:val="TableText0"/>
                <w:b/>
              </w:rPr>
            </w:pPr>
          </w:p>
        </w:tc>
        <w:tc>
          <w:tcPr>
            <w:tcW w:w="883" w:type="pct"/>
            <w:vMerge/>
            <w:shd w:val="clear" w:color="auto" w:fill="auto"/>
            <w:vAlign w:val="center"/>
          </w:tcPr>
          <w:p w:rsidR="000F6F40" w:rsidRPr="001D3234" w:rsidRDefault="000F6F40" w:rsidP="000D5E60">
            <w:pPr>
              <w:keepNext/>
              <w:jc w:val="center"/>
              <w:rPr>
                <w:rStyle w:val="TableText0"/>
                <w:b/>
              </w:rPr>
            </w:pPr>
          </w:p>
        </w:tc>
        <w:tc>
          <w:tcPr>
            <w:tcW w:w="1077" w:type="pct"/>
            <w:shd w:val="clear" w:color="auto" w:fill="auto"/>
            <w:vAlign w:val="center"/>
          </w:tcPr>
          <w:p w:rsidR="000F6F40" w:rsidRPr="001D3234" w:rsidRDefault="000F6F40" w:rsidP="000D5E60">
            <w:pPr>
              <w:keepNext/>
              <w:jc w:val="center"/>
              <w:rPr>
                <w:rStyle w:val="TableText0"/>
                <w:b/>
              </w:rPr>
            </w:pPr>
            <w:r w:rsidRPr="001D3234">
              <w:rPr>
                <w:rStyle w:val="TableText0"/>
                <w:b/>
              </w:rPr>
              <w:t xml:space="preserve">Unadjusted </w:t>
            </w:r>
          </w:p>
        </w:tc>
        <w:tc>
          <w:tcPr>
            <w:tcW w:w="1077" w:type="pct"/>
            <w:shd w:val="clear" w:color="auto" w:fill="auto"/>
            <w:vAlign w:val="center"/>
          </w:tcPr>
          <w:p w:rsidR="000F6F40" w:rsidRPr="001D3234" w:rsidRDefault="000F6F40" w:rsidP="000D5E60">
            <w:pPr>
              <w:keepNext/>
              <w:jc w:val="center"/>
              <w:rPr>
                <w:rStyle w:val="TableText0"/>
                <w:b/>
              </w:rPr>
            </w:pPr>
            <w:r w:rsidRPr="001D3234">
              <w:rPr>
                <w:rStyle w:val="TableText0"/>
                <w:b/>
              </w:rPr>
              <w:t>Adjusted*</w:t>
            </w:r>
          </w:p>
        </w:tc>
      </w:tr>
      <w:tr w:rsidR="000F6F40" w:rsidRPr="001D3234" w:rsidTr="00314D38">
        <w:trPr>
          <w:trHeight w:val="229"/>
        </w:trPr>
        <w:tc>
          <w:tcPr>
            <w:tcW w:w="1962" w:type="pct"/>
            <w:shd w:val="clear" w:color="auto" w:fill="auto"/>
            <w:vAlign w:val="center"/>
          </w:tcPr>
          <w:p w:rsidR="000F6F40" w:rsidRPr="001D3234" w:rsidRDefault="006C327B" w:rsidP="000D5E60">
            <w:pPr>
              <w:keepNext/>
              <w:jc w:val="left"/>
              <w:rPr>
                <w:rStyle w:val="TableText0"/>
              </w:rPr>
            </w:pPr>
            <w:r w:rsidRPr="001D3234">
              <w:rPr>
                <w:rStyle w:val="TableText0"/>
              </w:rPr>
              <w:t>Dovato</w:t>
            </w:r>
            <w:r w:rsidRPr="001D3234">
              <w:rPr>
                <w:rStyle w:val="TableText0"/>
                <w:vertAlign w:val="superscript"/>
              </w:rPr>
              <w:t>®</w:t>
            </w:r>
          </w:p>
        </w:tc>
        <w:tc>
          <w:tcPr>
            <w:tcW w:w="883" w:type="pct"/>
            <w:shd w:val="clear" w:color="auto" w:fill="auto"/>
            <w:vAlign w:val="center"/>
          </w:tcPr>
          <w:p w:rsidR="000F6F40" w:rsidRPr="001D3234" w:rsidRDefault="000F6F40" w:rsidP="000D5E60">
            <w:pPr>
              <w:keepNext/>
              <w:jc w:val="center"/>
              <w:rPr>
                <w:rStyle w:val="TableText0"/>
              </w:rPr>
            </w:pPr>
            <w:r w:rsidRPr="001D3234">
              <w:rPr>
                <w:rStyle w:val="TableText0"/>
              </w:rPr>
              <w:t>350/369 (95%)</w:t>
            </w:r>
          </w:p>
        </w:tc>
        <w:tc>
          <w:tcPr>
            <w:tcW w:w="1077" w:type="pct"/>
            <w:vMerge w:val="restar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 ''''''''''</w:t>
            </w:r>
          </w:p>
        </w:tc>
        <w:tc>
          <w:tcPr>
            <w:tcW w:w="1077" w:type="pct"/>
            <w:vMerge w:val="restart"/>
            <w:shd w:val="clear" w:color="auto" w:fill="auto"/>
            <w:vAlign w:val="center"/>
          </w:tcPr>
          <w:p w:rsidR="000F6F40" w:rsidRPr="001D3234" w:rsidRDefault="000F6F40" w:rsidP="000D5E60">
            <w:pPr>
              <w:keepNext/>
              <w:jc w:val="center"/>
              <w:rPr>
                <w:rStyle w:val="TableText0"/>
              </w:rPr>
            </w:pPr>
            <w:r w:rsidRPr="001D3234">
              <w:rPr>
                <w:rStyle w:val="TableText0"/>
              </w:rPr>
              <w:t>-1.4 (-4.4, 1.6)</w:t>
            </w:r>
          </w:p>
        </w:tc>
      </w:tr>
      <w:tr w:rsidR="000F6F40" w:rsidRPr="001D3234" w:rsidTr="00314D38">
        <w:trPr>
          <w:trHeight w:val="229"/>
        </w:trPr>
        <w:tc>
          <w:tcPr>
            <w:tcW w:w="1962" w:type="pct"/>
            <w:shd w:val="clear" w:color="auto" w:fill="auto"/>
            <w:vAlign w:val="center"/>
          </w:tcPr>
          <w:p w:rsidR="000F6F40" w:rsidRPr="001D3234" w:rsidRDefault="000B4392" w:rsidP="000D5E60">
            <w:pPr>
              <w:keepNext/>
              <w:jc w:val="left"/>
              <w:rPr>
                <w:rStyle w:val="TableText0"/>
              </w:rPr>
            </w:pPr>
            <w:r w:rsidRPr="001D3234">
              <w:rPr>
                <w:rStyle w:val="TableText0"/>
              </w:rPr>
              <w:t>Tenofovir alafenamide based regimen (TBR)</w:t>
            </w:r>
          </w:p>
        </w:tc>
        <w:tc>
          <w:tcPr>
            <w:tcW w:w="883" w:type="pct"/>
            <w:shd w:val="clear" w:color="auto" w:fill="auto"/>
            <w:vAlign w:val="center"/>
          </w:tcPr>
          <w:p w:rsidR="000F6F40" w:rsidRPr="001D3234" w:rsidRDefault="000F6F40" w:rsidP="000D5E60">
            <w:pPr>
              <w:keepNext/>
              <w:jc w:val="center"/>
              <w:rPr>
                <w:rStyle w:val="TableText0"/>
              </w:rPr>
            </w:pPr>
            <w:r w:rsidRPr="001D3234">
              <w:rPr>
                <w:rStyle w:val="TableText0"/>
              </w:rPr>
              <w:t>358/372 (96%)</w:t>
            </w:r>
          </w:p>
        </w:tc>
        <w:tc>
          <w:tcPr>
            <w:tcW w:w="1077" w:type="pct"/>
            <w:vMerge/>
            <w:shd w:val="clear" w:color="auto" w:fill="auto"/>
            <w:vAlign w:val="center"/>
          </w:tcPr>
          <w:p w:rsidR="000F6F40" w:rsidRPr="001D3234" w:rsidRDefault="000F6F40" w:rsidP="000D5E60">
            <w:pPr>
              <w:keepNext/>
              <w:jc w:val="center"/>
              <w:rPr>
                <w:rStyle w:val="TableText0"/>
              </w:rPr>
            </w:pPr>
          </w:p>
        </w:tc>
        <w:tc>
          <w:tcPr>
            <w:tcW w:w="1077" w:type="pct"/>
            <w:vMerge/>
            <w:shd w:val="clear" w:color="auto" w:fill="auto"/>
            <w:vAlign w:val="center"/>
          </w:tcPr>
          <w:p w:rsidR="000F6F40" w:rsidRPr="001D3234" w:rsidRDefault="000F6F40" w:rsidP="000D5E60">
            <w:pPr>
              <w:keepNext/>
              <w:jc w:val="center"/>
              <w:rPr>
                <w:rStyle w:val="TableText0"/>
                <w:u w:val="single"/>
              </w:rPr>
            </w:pPr>
          </w:p>
        </w:tc>
      </w:tr>
    </w:tbl>
    <w:p w:rsidR="0071412B" w:rsidRPr="001D3234" w:rsidRDefault="000F6F40" w:rsidP="000F6F40">
      <w:pPr>
        <w:pStyle w:val="TableFooter"/>
      </w:pPr>
      <w:r w:rsidRPr="001D3234">
        <w:t xml:space="preserve">Source: Table 115, p151 of the submission. </w:t>
      </w:r>
    </w:p>
    <w:p w:rsidR="000F6F40" w:rsidRPr="001D3234" w:rsidRDefault="000F6F40" w:rsidP="000F6F40">
      <w:pPr>
        <w:pStyle w:val="TableFooter"/>
      </w:pPr>
      <w:r w:rsidRPr="001D3234">
        <w:t>RD = risk difference; TBR = tenofovir alafenamide based regimen</w:t>
      </w:r>
    </w:p>
    <w:p w:rsidR="00E35569" w:rsidRPr="001D3234" w:rsidRDefault="000F6F40" w:rsidP="00F86088">
      <w:pPr>
        <w:pStyle w:val="TableFooter"/>
        <w:tabs>
          <w:tab w:val="left" w:pos="284"/>
        </w:tabs>
      </w:pPr>
      <w:r w:rsidRPr="001D3234">
        <w:t>*</w:t>
      </w:r>
      <w:r w:rsidR="0071412B" w:rsidRPr="001D3234">
        <w:tab/>
      </w:r>
      <w:r w:rsidRPr="001D3234">
        <w:t>Adjusted: based on Cochran-Mantel Haenszel test stratified by baseline third agent class (PI, INI, or NNRTI)</w:t>
      </w:r>
      <w:bookmarkStart w:id="22" w:name="_Ref8382903"/>
    </w:p>
    <w:p w:rsidR="001F430B" w:rsidRPr="001D3234" w:rsidRDefault="001F430B">
      <w:pPr>
        <w:widowControl/>
        <w:jc w:val="left"/>
        <w:rPr>
          <w:rFonts w:ascii="Arial Narrow" w:hAnsi="Arial Narrow"/>
          <w:b/>
          <w:sz w:val="20"/>
          <w:szCs w:val="16"/>
        </w:rPr>
      </w:pPr>
    </w:p>
    <w:p w:rsidR="000F6F40" w:rsidRPr="001D3234" w:rsidRDefault="000F6F40" w:rsidP="000F6F40">
      <w:pPr>
        <w:rPr>
          <w:rStyle w:val="CommentReference"/>
        </w:rPr>
      </w:pPr>
      <w:r w:rsidRPr="001D3234">
        <w:rPr>
          <w:rFonts w:ascii="Arial Narrow" w:hAnsi="Arial Narrow"/>
          <w:b/>
          <w:sz w:val="20"/>
          <w:szCs w:val="16"/>
        </w:rPr>
        <w:t xml:space="preserve">Table </w:t>
      </w:r>
      <w:r w:rsidR="003E39FF" w:rsidRPr="001D3234">
        <w:rPr>
          <w:rFonts w:ascii="Arial Narrow" w:hAnsi="Arial Narrow"/>
          <w:b/>
          <w:color w:val="000000" w:themeColor="text1"/>
          <w:sz w:val="20"/>
          <w:szCs w:val="20"/>
        </w:rPr>
        <w:t>9</w:t>
      </w:r>
      <w:bookmarkEnd w:id="22"/>
      <w:r w:rsidR="008D77A7" w:rsidRPr="001D3234">
        <w:rPr>
          <w:rStyle w:val="CommentReference"/>
          <w:b w:val="0"/>
          <w:color w:val="000000" w:themeColor="text1"/>
        </w:rPr>
        <w:t xml:space="preserve">: </w:t>
      </w:r>
      <w:r w:rsidRPr="001D3234">
        <w:rPr>
          <w:rStyle w:val="CommentReference"/>
        </w:rPr>
        <w:t>Snapshot analysis at 24 weeks TANGO (ITT-E)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9: Snapshot analysis at 24 weeks TANGO (ITT-E)"/>
      </w:tblPr>
      <w:tblGrid>
        <w:gridCol w:w="5609"/>
        <w:gridCol w:w="1704"/>
        <w:gridCol w:w="1704"/>
      </w:tblGrid>
      <w:tr w:rsidR="000F6F40" w:rsidRPr="001D3234" w:rsidTr="00F86393">
        <w:trPr>
          <w:trHeight w:val="42"/>
          <w:tblHeader/>
        </w:trPr>
        <w:tc>
          <w:tcPr>
            <w:tcW w:w="3110" w:type="pct"/>
            <w:vMerge w:val="restart"/>
            <w:shd w:val="clear" w:color="auto" w:fill="auto"/>
            <w:vAlign w:val="center"/>
          </w:tcPr>
          <w:p w:rsidR="000F6F40" w:rsidRPr="001D3234" w:rsidRDefault="000F6F40" w:rsidP="000B4392">
            <w:pPr>
              <w:keepNext/>
              <w:jc w:val="left"/>
              <w:rPr>
                <w:rStyle w:val="TableText0"/>
              </w:rPr>
            </w:pPr>
          </w:p>
        </w:tc>
        <w:tc>
          <w:tcPr>
            <w:tcW w:w="945" w:type="pct"/>
            <w:shd w:val="clear" w:color="auto" w:fill="auto"/>
            <w:vAlign w:val="center"/>
          </w:tcPr>
          <w:p w:rsidR="000F6F40" w:rsidRPr="001D3234" w:rsidRDefault="006C327B" w:rsidP="000B4392">
            <w:pPr>
              <w:pStyle w:val="TableHeading"/>
              <w:spacing w:before="0" w:after="0"/>
              <w:jc w:val="center"/>
              <w:rPr>
                <w:rStyle w:val="TableText0"/>
              </w:rPr>
            </w:pPr>
            <w:r w:rsidRPr="001D3234">
              <w:rPr>
                <w:rStyle w:val="TableText0"/>
              </w:rPr>
              <w:t>Dovato</w:t>
            </w:r>
            <w:r w:rsidRPr="001D3234">
              <w:rPr>
                <w:rStyle w:val="TableText0"/>
                <w:vertAlign w:val="superscript"/>
              </w:rPr>
              <w:t>®</w:t>
            </w:r>
          </w:p>
        </w:tc>
        <w:tc>
          <w:tcPr>
            <w:tcW w:w="945" w:type="pct"/>
            <w:shd w:val="clear" w:color="auto" w:fill="auto"/>
          </w:tcPr>
          <w:p w:rsidR="000F6F40" w:rsidRPr="001D3234" w:rsidRDefault="000F6F40" w:rsidP="000B4392">
            <w:pPr>
              <w:pStyle w:val="TableHeading"/>
              <w:spacing w:before="0" w:after="0"/>
              <w:jc w:val="center"/>
              <w:rPr>
                <w:rStyle w:val="TableText0"/>
              </w:rPr>
            </w:pPr>
            <w:r w:rsidRPr="001D3234">
              <w:rPr>
                <w:rStyle w:val="TableText0"/>
              </w:rPr>
              <w:t>TBR</w:t>
            </w:r>
          </w:p>
        </w:tc>
      </w:tr>
      <w:tr w:rsidR="000F6F40" w:rsidRPr="001D3234" w:rsidTr="00F86393">
        <w:trPr>
          <w:trHeight w:val="229"/>
          <w:tblHeader/>
        </w:trPr>
        <w:tc>
          <w:tcPr>
            <w:tcW w:w="3110" w:type="pct"/>
            <w:vMerge/>
            <w:shd w:val="clear" w:color="auto" w:fill="auto"/>
            <w:vAlign w:val="center"/>
          </w:tcPr>
          <w:p w:rsidR="000F6F40" w:rsidRPr="001D3234" w:rsidRDefault="000F6F40" w:rsidP="000B4392">
            <w:pPr>
              <w:keepNext/>
              <w:jc w:val="left"/>
              <w:rPr>
                <w:rStyle w:val="TableText0"/>
              </w:rPr>
            </w:pPr>
          </w:p>
        </w:tc>
        <w:tc>
          <w:tcPr>
            <w:tcW w:w="945" w:type="pct"/>
            <w:shd w:val="clear" w:color="auto" w:fill="auto"/>
            <w:vAlign w:val="center"/>
          </w:tcPr>
          <w:p w:rsidR="000F6F40" w:rsidRPr="001D3234" w:rsidRDefault="000F6F40" w:rsidP="000B4392">
            <w:pPr>
              <w:pStyle w:val="TableHeading"/>
              <w:spacing w:before="0" w:after="0"/>
              <w:jc w:val="center"/>
              <w:rPr>
                <w:rStyle w:val="TableText0"/>
              </w:rPr>
            </w:pPr>
            <w:r w:rsidRPr="001D3234">
              <w:rPr>
                <w:rStyle w:val="TableText0"/>
              </w:rPr>
              <w:t>(N=369)</w:t>
            </w:r>
          </w:p>
        </w:tc>
        <w:tc>
          <w:tcPr>
            <w:tcW w:w="945" w:type="pct"/>
            <w:shd w:val="clear" w:color="auto" w:fill="auto"/>
          </w:tcPr>
          <w:p w:rsidR="000F6F40" w:rsidRPr="001D3234" w:rsidRDefault="000F6F40" w:rsidP="000B4392">
            <w:pPr>
              <w:pStyle w:val="TableHeading"/>
              <w:spacing w:before="0" w:after="0"/>
              <w:jc w:val="center"/>
              <w:rPr>
                <w:rStyle w:val="TableText0"/>
              </w:rPr>
            </w:pPr>
            <w:r w:rsidRPr="001D3234">
              <w:rPr>
                <w:rStyle w:val="TableText0"/>
              </w:rPr>
              <w:t>(N=372)</w:t>
            </w:r>
          </w:p>
        </w:tc>
      </w:tr>
      <w:tr w:rsidR="000F6F40" w:rsidRPr="001D3234" w:rsidTr="000D5E60">
        <w:trPr>
          <w:trHeight w:val="229"/>
        </w:trPr>
        <w:tc>
          <w:tcPr>
            <w:tcW w:w="3110" w:type="pct"/>
            <w:tcBorders>
              <w:bottom w:val="double" w:sz="4" w:space="0" w:color="auto"/>
            </w:tcBorders>
            <w:vAlign w:val="center"/>
          </w:tcPr>
          <w:p w:rsidR="000F6F40" w:rsidRPr="001D3234" w:rsidRDefault="000F6F40" w:rsidP="000B4392">
            <w:pPr>
              <w:keepNext/>
              <w:jc w:val="left"/>
              <w:rPr>
                <w:rStyle w:val="TableText0"/>
              </w:rPr>
            </w:pPr>
            <w:r w:rsidRPr="001D3234">
              <w:rPr>
                <w:rStyle w:val="TableText0"/>
              </w:rPr>
              <w:t>HIV-1 RNA &lt;50 c/mL</w:t>
            </w:r>
          </w:p>
        </w:tc>
        <w:tc>
          <w:tcPr>
            <w:tcW w:w="945" w:type="pct"/>
            <w:tcBorders>
              <w:bottom w:val="double" w:sz="4" w:space="0" w:color="auto"/>
            </w:tcBorders>
            <w:vAlign w:val="center"/>
          </w:tcPr>
          <w:p w:rsidR="000F6F40" w:rsidRPr="001D3234" w:rsidRDefault="000F6F40" w:rsidP="000B4392">
            <w:pPr>
              <w:keepNext/>
              <w:jc w:val="center"/>
              <w:rPr>
                <w:rStyle w:val="TableText0"/>
              </w:rPr>
            </w:pPr>
            <w:r w:rsidRPr="001D3234">
              <w:rPr>
                <w:rStyle w:val="TableText0"/>
              </w:rPr>
              <w:t>350 (95)</w:t>
            </w:r>
          </w:p>
        </w:tc>
        <w:tc>
          <w:tcPr>
            <w:tcW w:w="945" w:type="pct"/>
            <w:tcBorders>
              <w:bottom w:val="double" w:sz="4" w:space="0" w:color="auto"/>
            </w:tcBorders>
          </w:tcPr>
          <w:p w:rsidR="000F6F40" w:rsidRPr="001D3234" w:rsidRDefault="000F6F40" w:rsidP="000B4392">
            <w:pPr>
              <w:keepNext/>
              <w:jc w:val="center"/>
              <w:rPr>
                <w:rStyle w:val="TableText0"/>
              </w:rPr>
            </w:pPr>
            <w:r w:rsidRPr="001D3234">
              <w:rPr>
                <w:rStyle w:val="TableText0"/>
              </w:rPr>
              <w:t>358 (96)</w:t>
            </w:r>
          </w:p>
        </w:tc>
      </w:tr>
      <w:tr w:rsidR="000F6F40" w:rsidRPr="001D3234" w:rsidTr="000D5E60">
        <w:trPr>
          <w:trHeight w:val="229"/>
        </w:trPr>
        <w:tc>
          <w:tcPr>
            <w:tcW w:w="3110" w:type="pct"/>
            <w:tcBorders>
              <w:top w:val="double" w:sz="4" w:space="0" w:color="auto"/>
            </w:tcBorders>
            <w:vAlign w:val="center"/>
          </w:tcPr>
          <w:p w:rsidR="000F6F40" w:rsidRPr="001D3234" w:rsidRDefault="000F6F40" w:rsidP="000B4392">
            <w:pPr>
              <w:keepNext/>
              <w:jc w:val="left"/>
              <w:rPr>
                <w:rStyle w:val="TableText0"/>
              </w:rPr>
            </w:pPr>
            <w:r w:rsidRPr="001D3234">
              <w:rPr>
                <w:rStyle w:val="TableText0"/>
              </w:rPr>
              <w:t>HIV-1 RNA ≥50 c/mL</w:t>
            </w:r>
          </w:p>
        </w:tc>
        <w:tc>
          <w:tcPr>
            <w:tcW w:w="945" w:type="pct"/>
            <w:tcBorders>
              <w:top w:val="double" w:sz="4" w:space="0" w:color="auto"/>
            </w:tcBorders>
            <w:vAlign w:val="center"/>
          </w:tcPr>
          <w:p w:rsidR="000F6F40" w:rsidRPr="001D3234" w:rsidRDefault="000F6F40" w:rsidP="000B4392">
            <w:pPr>
              <w:keepNext/>
              <w:jc w:val="center"/>
              <w:rPr>
                <w:rStyle w:val="TableText0"/>
              </w:rPr>
            </w:pPr>
            <w:r w:rsidRPr="001D3234">
              <w:rPr>
                <w:rStyle w:val="TableText0"/>
              </w:rPr>
              <w:t>1 (&lt;1)</w:t>
            </w:r>
          </w:p>
        </w:tc>
        <w:tc>
          <w:tcPr>
            <w:tcW w:w="945" w:type="pct"/>
            <w:tcBorders>
              <w:top w:val="double" w:sz="4" w:space="0" w:color="auto"/>
            </w:tcBorders>
          </w:tcPr>
          <w:p w:rsidR="000F6F40" w:rsidRPr="001D3234" w:rsidRDefault="000F6F40" w:rsidP="000B4392">
            <w:pPr>
              <w:keepNext/>
              <w:jc w:val="center"/>
              <w:rPr>
                <w:rStyle w:val="TableText0"/>
              </w:rPr>
            </w:pPr>
            <w:r w:rsidRPr="001D3234">
              <w:rPr>
                <w:rStyle w:val="TableText0"/>
              </w:rPr>
              <w:t>3 (&lt;1)</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Data in window &amp; HIV-1 RNA ≥50c/mL</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for lack of efficacy</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for other reason and HIV-1 RNA ≥50 copies/mL</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w:t>
            </w:r>
          </w:p>
        </w:tc>
      </w:tr>
      <w:tr w:rsidR="00BE5A01" w:rsidRPr="001D3234" w:rsidTr="009737C1">
        <w:trPr>
          <w:trHeight w:val="229"/>
        </w:trPr>
        <w:tc>
          <w:tcPr>
            <w:tcW w:w="3110" w:type="pct"/>
            <w:tcBorders>
              <w:bottom w:val="double" w:sz="4" w:space="0" w:color="auto"/>
            </w:tcBorders>
            <w:vAlign w:val="center"/>
          </w:tcPr>
          <w:p w:rsidR="00BE5A01" w:rsidRPr="001D3234" w:rsidRDefault="00BE5A01" w:rsidP="00BE5A01">
            <w:pPr>
              <w:keepNext/>
              <w:ind w:left="249"/>
              <w:jc w:val="left"/>
              <w:rPr>
                <w:rStyle w:val="TableText0"/>
              </w:rPr>
            </w:pPr>
            <w:r w:rsidRPr="001D3234">
              <w:rPr>
                <w:rStyle w:val="TableText0"/>
              </w:rPr>
              <w:t>Change in ART</w:t>
            </w:r>
          </w:p>
        </w:tc>
        <w:tc>
          <w:tcPr>
            <w:tcW w:w="945" w:type="pct"/>
            <w:tcBorders>
              <w:bottom w:val="double" w:sz="4" w:space="0" w:color="auto"/>
            </w:tcBorders>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w:t>
            </w:r>
          </w:p>
        </w:tc>
        <w:tc>
          <w:tcPr>
            <w:tcW w:w="945" w:type="pct"/>
            <w:tcBorders>
              <w:bottom w:val="double" w:sz="4" w:space="0" w:color="auto"/>
            </w:tcBorders>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w:t>
            </w:r>
          </w:p>
        </w:tc>
      </w:tr>
      <w:tr w:rsidR="000F6F40" w:rsidRPr="001D3234" w:rsidTr="000D5E60">
        <w:trPr>
          <w:trHeight w:val="229"/>
        </w:trPr>
        <w:tc>
          <w:tcPr>
            <w:tcW w:w="3110" w:type="pct"/>
            <w:tcBorders>
              <w:top w:val="double" w:sz="4" w:space="0" w:color="auto"/>
            </w:tcBorders>
            <w:vAlign w:val="center"/>
          </w:tcPr>
          <w:p w:rsidR="000F6F40" w:rsidRPr="001D3234" w:rsidRDefault="000F6F40" w:rsidP="000B4392">
            <w:pPr>
              <w:keepNext/>
              <w:jc w:val="left"/>
              <w:rPr>
                <w:rStyle w:val="TableText0"/>
              </w:rPr>
            </w:pPr>
            <w:r w:rsidRPr="001D3234">
              <w:rPr>
                <w:rStyle w:val="TableText0"/>
              </w:rPr>
              <w:t>No virological data at Week 48</w:t>
            </w:r>
          </w:p>
        </w:tc>
        <w:tc>
          <w:tcPr>
            <w:tcW w:w="945" w:type="pct"/>
            <w:tcBorders>
              <w:top w:val="double" w:sz="4" w:space="0" w:color="auto"/>
            </w:tcBorders>
            <w:vAlign w:val="center"/>
          </w:tcPr>
          <w:p w:rsidR="000F6F40" w:rsidRPr="001D3234" w:rsidRDefault="000F6F40" w:rsidP="000B4392">
            <w:pPr>
              <w:keepNext/>
              <w:jc w:val="center"/>
              <w:rPr>
                <w:rStyle w:val="TableText0"/>
              </w:rPr>
            </w:pPr>
            <w:r w:rsidRPr="001D3234">
              <w:rPr>
                <w:rStyle w:val="TableText0"/>
              </w:rPr>
              <w:t>18 (5)</w:t>
            </w:r>
          </w:p>
        </w:tc>
        <w:tc>
          <w:tcPr>
            <w:tcW w:w="945" w:type="pct"/>
            <w:tcBorders>
              <w:top w:val="double" w:sz="4" w:space="0" w:color="auto"/>
            </w:tcBorders>
          </w:tcPr>
          <w:p w:rsidR="000F6F40" w:rsidRPr="001D3234" w:rsidRDefault="000F6F40" w:rsidP="000B4392">
            <w:pPr>
              <w:keepNext/>
              <w:jc w:val="center"/>
              <w:rPr>
                <w:rStyle w:val="TableText0"/>
              </w:rPr>
            </w:pPr>
            <w:r w:rsidRPr="001D3234">
              <w:rPr>
                <w:rStyle w:val="TableText0"/>
              </w:rPr>
              <w:t>11 (3)</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trial due to AE/Death</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Discontinued trial for other reasons</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 ''''''</w:t>
            </w:r>
          </w:p>
        </w:tc>
      </w:tr>
      <w:tr w:rsidR="00BE5A01" w:rsidRPr="001D3234" w:rsidTr="009737C1">
        <w:trPr>
          <w:trHeight w:val="229"/>
        </w:trPr>
        <w:tc>
          <w:tcPr>
            <w:tcW w:w="3110" w:type="pct"/>
            <w:vAlign w:val="center"/>
          </w:tcPr>
          <w:p w:rsidR="00BE5A01" w:rsidRPr="001D3234" w:rsidRDefault="00BE5A01" w:rsidP="00BE5A01">
            <w:pPr>
              <w:keepNext/>
              <w:ind w:left="249"/>
              <w:jc w:val="left"/>
              <w:rPr>
                <w:rStyle w:val="TableText0"/>
              </w:rPr>
            </w:pPr>
            <w:r w:rsidRPr="001D3234">
              <w:rPr>
                <w:rStyle w:val="TableText0"/>
              </w:rPr>
              <w:t>On trial but missing data in window</w:t>
            </w:r>
          </w:p>
        </w:tc>
        <w:tc>
          <w:tcPr>
            <w:tcW w:w="945" w:type="pct"/>
            <w:shd w:val="clear" w:color="auto" w:fill="auto"/>
            <w:vAlign w:val="center"/>
          </w:tcPr>
          <w:p w:rsidR="00BE5A01" w:rsidRPr="00613737" w:rsidRDefault="00613737" w:rsidP="00BE5A01">
            <w:pPr>
              <w:keepNext/>
              <w:jc w:val="center"/>
              <w:rPr>
                <w:rStyle w:val="TableText0"/>
                <w:highlight w:val="black"/>
              </w:rPr>
            </w:pPr>
            <w:r>
              <w:rPr>
                <w:rStyle w:val="TableText0"/>
                <w:noProof/>
                <w:color w:val="000000"/>
                <w:highlight w:val="black"/>
              </w:rPr>
              <w:t>'''' '''''''''''</w:t>
            </w:r>
          </w:p>
        </w:tc>
        <w:tc>
          <w:tcPr>
            <w:tcW w:w="945" w:type="pct"/>
            <w:shd w:val="clear" w:color="auto" w:fill="auto"/>
          </w:tcPr>
          <w:p w:rsidR="00BE5A01" w:rsidRPr="00613737" w:rsidRDefault="00613737" w:rsidP="00BE5A01">
            <w:pPr>
              <w:keepNext/>
              <w:jc w:val="center"/>
              <w:rPr>
                <w:rStyle w:val="TableText0"/>
                <w:highlight w:val="black"/>
              </w:rPr>
            </w:pPr>
            <w:r>
              <w:rPr>
                <w:rStyle w:val="TableText0"/>
                <w:noProof/>
                <w:color w:val="000000"/>
                <w:highlight w:val="black"/>
              </w:rPr>
              <w:t>'''</w:t>
            </w:r>
          </w:p>
        </w:tc>
      </w:tr>
    </w:tbl>
    <w:p w:rsidR="000B4392" w:rsidRPr="001D3234" w:rsidRDefault="000F6F40" w:rsidP="000F6F40">
      <w:pPr>
        <w:pStyle w:val="TableFooter"/>
      </w:pPr>
      <w:r w:rsidRPr="001D3234">
        <w:t>Source: Table 116, p151 of the submission</w:t>
      </w:r>
      <w:r w:rsidR="001D3234">
        <w:t xml:space="preserve">. </w:t>
      </w:r>
    </w:p>
    <w:p w:rsidR="000F6F40" w:rsidRPr="001D3234" w:rsidRDefault="000F6F40" w:rsidP="000F6F40">
      <w:pPr>
        <w:pStyle w:val="TableFooter"/>
      </w:pPr>
      <w:r w:rsidRPr="001D3234">
        <w:t xml:space="preserve">AE = adverse event; ART = antiretroviral treatment; </w:t>
      </w:r>
      <w:r w:rsidR="008F4139" w:rsidRPr="001D3234">
        <w:rPr>
          <w:szCs w:val="20"/>
        </w:rPr>
        <w:t>Dovato</w:t>
      </w:r>
      <w:r w:rsidR="008F4139" w:rsidRPr="001D3234">
        <w:rPr>
          <w:szCs w:val="20"/>
          <w:vertAlign w:val="superscript"/>
        </w:rPr>
        <w:t xml:space="preserve">® </w:t>
      </w:r>
      <w:r w:rsidRPr="001D3234">
        <w:t>= dolutegravir/ lamivudine; HIV = human immunodeficiency virus; mL = millilitre; RNA = ribonucleic acid; TBR = tenofovir alafenamide based regimen</w:t>
      </w:r>
    </w:p>
    <w:p w:rsidR="000F6F40" w:rsidRPr="001D3234" w:rsidRDefault="001D3234" w:rsidP="001A0D42">
      <w:pPr>
        <w:pStyle w:val="ListParagraph"/>
        <w:widowControl/>
        <w:numPr>
          <w:ilvl w:val="1"/>
          <w:numId w:val="1"/>
        </w:numPr>
        <w:spacing w:before="120" w:after="120"/>
      </w:pPr>
      <w:r>
        <w:rPr>
          <w:color w:val="000000" w:themeColor="text1"/>
        </w:rPr>
        <w:t xml:space="preserve">While </w:t>
      </w:r>
      <w:r w:rsidR="000F6F40" w:rsidRPr="001D3234">
        <w:rPr>
          <w:color w:val="000000" w:themeColor="text1"/>
        </w:rPr>
        <w:t>the TANGO data suggested similar virological response, the analyses at 24 weeks was a short foll</w:t>
      </w:r>
      <w:r w:rsidR="000B4392" w:rsidRPr="001D3234">
        <w:rPr>
          <w:color w:val="000000" w:themeColor="text1"/>
        </w:rPr>
        <w:t>ow-</w:t>
      </w:r>
      <w:r w:rsidR="000F6F40" w:rsidRPr="001D3234">
        <w:rPr>
          <w:color w:val="000000" w:themeColor="text1"/>
        </w:rPr>
        <w:t>up, and the TANGO trial</w:t>
      </w:r>
      <w:r w:rsidR="000B4392" w:rsidRPr="001D3234">
        <w:rPr>
          <w:color w:val="000000" w:themeColor="text1"/>
        </w:rPr>
        <w:t>,</w:t>
      </w:r>
      <w:r w:rsidR="000F6F40" w:rsidRPr="001D3234">
        <w:rPr>
          <w:color w:val="000000" w:themeColor="text1"/>
        </w:rPr>
        <w:t xml:space="preserve"> as presented</w:t>
      </w:r>
      <w:r w:rsidR="000B4392" w:rsidRPr="001D3234">
        <w:rPr>
          <w:color w:val="000000" w:themeColor="text1"/>
        </w:rPr>
        <w:t>,</w:t>
      </w:r>
      <w:r w:rsidR="000F6F40" w:rsidRPr="001D3234">
        <w:rPr>
          <w:color w:val="000000" w:themeColor="text1"/>
        </w:rPr>
        <w:t xml:space="preserve"> had </w:t>
      </w:r>
      <w:r w:rsidR="00220CDF" w:rsidRPr="001D3234">
        <w:rPr>
          <w:color w:val="000000" w:themeColor="text1"/>
        </w:rPr>
        <w:t>an uncertain risk of bias.</w:t>
      </w:r>
    </w:p>
    <w:p w:rsidR="000F6F40" w:rsidRPr="001D3234" w:rsidRDefault="000F6F40" w:rsidP="00F57461">
      <w:pPr>
        <w:pStyle w:val="ListParagraph"/>
        <w:widowControl/>
        <w:numPr>
          <w:ilvl w:val="1"/>
          <w:numId w:val="1"/>
        </w:numPr>
        <w:spacing w:after="120"/>
      </w:pPr>
      <w:r w:rsidRPr="001D3234">
        <w:t xml:space="preserve">The submission presented results of the 204994 bioequivalence study to support the claim that </w:t>
      </w:r>
      <w:r w:rsidR="00CA03CF" w:rsidRPr="001D3234">
        <w:t>Dovato</w:t>
      </w:r>
      <w:r w:rsidR="00CA03CF" w:rsidRPr="001D3234">
        <w:rPr>
          <w:rFonts w:cs="Calibri"/>
          <w:vertAlign w:val="superscript"/>
        </w:rPr>
        <w:t>®</w:t>
      </w:r>
      <w:r w:rsidR="00FE04B2" w:rsidRPr="001D3234">
        <w:rPr>
          <w:rFonts w:cs="Calibri"/>
          <w:vertAlign w:val="superscript"/>
        </w:rPr>
        <w:t xml:space="preserve"> </w:t>
      </w:r>
      <w:r w:rsidRPr="001D3234">
        <w:t xml:space="preserve">provides an acceptable pharmacokinetic bridge to co-administration of the individual components. The TGA clinical evaluator </w:t>
      </w:r>
      <w:r w:rsidR="000B4392" w:rsidRPr="001D3234">
        <w:t>(pp25-26 of CER [first round])</w:t>
      </w:r>
      <w:r w:rsidRPr="001D3234">
        <w:t xml:space="preserve"> concluded that:</w:t>
      </w:r>
    </w:p>
    <w:p w:rsidR="000F6F40" w:rsidRPr="001D3234" w:rsidRDefault="000F6F40" w:rsidP="00F57461">
      <w:pPr>
        <w:pStyle w:val="ListParagraph"/>
        <w:numPr>
          <w:ilvl w:val="0"/>
          <w:numId w:val="4"/>
        </w:numPr>
        <w:spacing w:after="120"/>
        <w:ind w:left="1134" w:hanging="425"/>
      </w:pPr>
      <w:r w:rsidRPr="001D3234">
        <w:t xml:space="preserve">“The conduct of the single study that was provided in support of the current </w:t>
      </w:r>
      <w:r w:rsidRPr="001D3234">
        <w:lastRenderedPageBreak/>
        <w:t>submission was satisfactory, the data analyses undertaken were appropriate and the analytical methods used to measure exposure levels were validated.</w:t>
      </w:r>
    </w:p>
    <w:p w:rsidR="000F6F40" w:rsidRPr="001D3234" w:rsidRDefault="000F6F40" w:rsidP="00F57461">
      <w:pPr>
        <w:pStyle w:val="ListParagraph"/>
        <w:numPr>
          <w:ilvl w:val="0"/>
          <w:numId w:val="4"/>
        </w:numPr>
        <w:spacing w:after="120"/>
        <w:ind w:left="1134" w:hanging="425"/>
      </w:pPr>
      <w:r w:rsidRPr="001D3234">
        <w:t>The proposed bilayer FDC tablet formulation and the free combination were bioequivalent under fasted conditions in regards to the AUC</w:t>
      </w:r>
      <w:r w:rsidRPr="001D3234">
        <w:rPr>
          <w:vertAlign w:val="subscript"/>
        </w:rPr>
        <w:t>0-inf</w:t>
      </w:r>
      <w:r w:rsidRPr="001D3234">
        <w:t>, AUC</w:t>
      </w:r>
      <w:r w:rsidRPr="001D3234">
        <w:rPr>
          <w:vertAlign w:val="subscript"/>
        </w:rPr>
        <w:t>0-t</w:t>
      </w:r>
      <w:r w:rsidRPr="001D3234">
        <w:t xml:space="preserve"> and Cmax of DTG and the AUC</w:t>
      </w:r>
      <w:r w:rsidRPr="001D3234">
        <w:rPr>
          <w:vertAlign w:val="subscript"/>
        </w:rPr>
        <w:t xml:space="preserve">0-inf </w:t>
      </w:r>
      <w:r w:rsidRPr="001D3234">
        <w:t>and AUC</w:t>
      </w:r>
      <w:r w:rsidRPr="001D3234">
        <w:rPr>
          <w:vertAlign w:val="subscript"/>
        </w:rPr>
        <w:t>0-t</w:t>
      </w:r>
      <w:r w:rsidR="00630135" w:rsidRPr="001D3234">
        <w:rPr>
          <w:rStyle w:val="FootnoteReference"/>
        </w:rPr>
        <w:footnoteReference w:id="1"/>
      </w:r>
      <w:r w:rsidRPr="001D3234">
        <w:t xml:space="preserve"> of 3TC. Moreover, the difference in 3TC Cmax following administration of the free combination verses the bilayer FDC is relatively modest and is unlikely to be of clinical significance.</w:t>
      </w:r>
    </w:p>
    <w:p w:rsidR="00FB4283" w:rsidRPr="001D3234" w:rsidRDefault="000F6F40" w:rsidP="00F57461">
      <w:pPr>
        <w:pStyle w:val="ListParagraph"/>
        <w:numPr>
          <w:ilvl w:val="0"/>
          <w:numId w:val="4"/>
        </w:numPr>
        <w:spacing w:after="120"/>
        <w:ind w:left="1134" w:hanging="425"/>
      </w:pPr>
      <w:r w:rsidRPr="001D3234">
        <w:t xml:space="preserve">A high fat meal </w:t>
      </w:r>
      <w:r w:rsidR="000B4392" w:rsidRPr="001D3234">
        <w:t xml:space="preserve">resulted in a modest increase (approximately </w:t>
      </w:r>
      <w:r w:rsidRPr="001D3234">
        <w:t>32%) in DTG AUC</w:t>
      </w:r>
      <w:r w:rsidRPr="001D3234">
        <w:rPr>
          <w:vertAlign w:val="subscript"/>
        </w:rPr>
        <w:t>0-inf</w:t>
      </w:r>
      <w:r w:rsidRPr="001D3234">
        <w:t xml:space="preserve"> and AUC</w:t>
      </w:r>
      <w:r w:rsidRPr="001D3234">
        <w:rPr>
          <w:vertAlign w:val="subscript"/>
        </w:rPr>
        <w:t xml:space="preserve">0-t </w:t>
      </w:r>
      <w:r w:rsidRPr="001D3234">
        <w:t xml:space="preserve">and in a </w:t>
      </w:r>
      <w:r w:rsidR="000B4392" w:rsidRPr="001D3234">
        <w:t>modest decrease in 3TC Cmax of approximately</w:t>
      </w:r>
      <w:r w:rsidRPr="001D3234">
        <w:t xml:space="preserve"> 30%.</w:t>
      </w:r>
      <w:bookmarkStart w:id="23" w:name="_Toc9405798"/>
    </w:p>
    <w:p w:rsidR="00FB4283" w:rsidRPr="001D3234" w:rsidRDefault="00FB4283" w:rsidP="001A0D42">
      <w:pPr>
        <w:pStyle w:val="ListParagraph"/>
        <w:widowControl/>
        <w:numPr>
          <w:ilvl w:val="1"/>
          <w:numId w:val="1"/>
        </w:numPr>
        <w:spacing w:after="120"/>
      </w:pPr>
      <w:r w:rsidRPr="001D3234">
        <w:rPr>
          <w:color w:val="000000" w:themeColor="text1"/>
        </w:rPr>
        <w:t xml:space="preserve">The </w:t>
      </w:r>
      <w:r w:rsidR="0001626A">
        <w:rPr>
          <w:color w:val="000000" w:themeColor="text1"/>
        </w:rPr>
        <w:t>Pre-Sub-Committee Response (</w:t>
      </w:r>
      <w:r w:rsidRPr="001D3234">
        <w:rPr>
          <w:color w:val="000000" w:themeColor="text1"/>
        </w:rPr>
        <w:t>PSCR</w:t>
      </w:r>
      <w:r w:rsidR="0001626A">
        <w:rPr>
          <w:color w:val="000000" w:themeColor="text1"/>
        </w:rPr>
        <w:t>)</w:t>
      </w:r>
      <w:r w:rsidRPr="001D3234">
        <w:rPr>
          <w:color w:val="000000" w:themeColor="text1"/>
        </w:rPr>
        <w:t xml:space="preserve"> and Pre-PBAC Response presented an FDA Snapshot analysis for the GEMINI </w:t>
      </w:r>
      <w:r w:rsidR="00A1307E" w:rsidRPr="001D3234">
        <w:rPr>
          <w:color w:val="000000" w:themeColor="text1"/>
        </w:rPr>
        <w:t>I</w:t>
      </w:r>
      <w:r w:rsidRPr="001D3234">
        <w:rPr>
          <w:color w:val="000000" w:themeColor="text1"/>
        </w:rPr>
        <w:t xml:space="preserve"> and I</w:t>
      </w:r>
      <w:r w:rsidR="00A1307E" w:rsidRPr="001D3234">
        <w:rPr>
          <w:color w:val="000000" w:themeColor="text1"/>
        </w:rPr>
        <w:t>I</w:t>
      </w:r>
      <w:r w:rsidRPr="001D3234">
        <w:rPr>
          <w:color w:val="000000" w:themeColor="text1"/>
        </w:rPr>
        <w:t xml:space="preserve"> (and pooled) results at 96 weeks and are presented in the table below. </w:t>
      </w:r>
      <w:r w:rsidR="00B43007" w:rsidRPr="001D3234">
        <w:rPr>
          <w:color w:val="000000" w:themeColor="text1"/>
        </w:rPr>
        <w:t>The updated analyses were not independently evaluated</w:t>
      </w:r>
      <w:r w:rsidRPr="001D3234">
        <w:rPr>
          <w:color w:val="000000" w:themeColor="text1"/>
        </w:rPr>
        <w:t>.</w:t>
      </w:r>
    </w:p>
    <w:p w:rsidR="00B43007" w:rsidRPr="001D3234" w:rsidRDefault="00B43007" w:rsidP="00B43007">
      <w:pPr>
        <w:pStyle w:val="TableHeading"/>
      </w:pPr>
      <w:r w:rsidRPr="001D3234">
        <w:t xml:space="preserve">Table </w:t>
      </w:r>
      <w:r w:rsidR="003E39FF" w:rsidRPr="001D3234">
        <w:t>10</w:t>
      </w:r>
      <w:r w:rsidRPr="001D3234">
        <w:t>: FDA 96-week snapshot analysis of GEMINI I, GEMINI II and pooled dataset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FDA 96-week snapshot analysis of GEMINI I, GEMINI II and pooled dataset"/>
      </w:tblPr>
      <w:tblGrid>
        <w:gridCol w:w="2929"/>
        <w:gridCol w:w="857"/>
        <w:gridCol w:w="1172"/>
        <w:gridCol w:w="905"/>
        <w:gridCol w:w="1124"/>
        <w:gridCol w:w="831"/>
        <w:gridCol w:w="1199"/>
      </w:tblGrid>
      <w:tr w:rsidR="00FB4283" w:rsidRPr="001D3234" w:rsidTr="00766E38">
        <w:trPr>
          <w:trHeight w:val="229"/>
          <w:tblHeader/>
        </w:trPr>
        <w:tc>
          <w:tcPr>
            <w:tcW w:w="1624" w:type="pct"/>
            <w:vMerge w:val="restart"/>
            <w:shd w:val="clear" w:color="auto" w:fill="D9D9D9" w:themeFill="background1" w:themeFillShade="D9"/>
            <w:vAlign w:val="center"/>
          </w:tcPr>
          <w:p w:rsidR="00FB4283" w:rsidRPr="001D3234" w:rsidRDefault="00FB4283" w:rsidP="00766E38">
            <w:pPr>
              <w:rPr>
                <w:rStyle w:val="TableText0"/>
                <w:b/>
              </w:rPr>
            </w:pPr>
            <w:r w:rsidRPr="001D3234">
              <w:rPr>
                <w:rStyle w:val="TableText0"/>
                <w:b/>
              </w:rPr>
              <w:t>96-week analyses; n (%)</w:t>
            </w:r>
          </w:p>
        </w:tc>
        <w:tc>
          <w:tcPr>
            <w:tcW w:w="1125" w:type="pct"/>
            <w:gridSpan w:val="2"/>
            <w:shd w:val="clear" w:color="auto" w:fill="D9D9D9" w:themeFill="background1" w:themeFillShade="D9"/>
            <w:vAlign w:val="center"/>
          </w:tcPr>
          <w:p w:rsidR="00FB4283" w:rsidRPr="001D3234" w:rsidRDefault="00FB4283" w:rsidP="00766E38">
            <w:pPr>
              <w:jc w:val="center"/>
              <w:rPr>
                <w:rStyle w:val="TableText0"/>
                <w:b/>
              </w:rPr>
            </w:pPr>
            <w:r w:rsidRPr="001D3234">
              <w:rPr>
                <w:rStyle w:val="TableText0"/>
                <w:b/>
              </w:rPr>
              <w:t>GEMINI-1</w:t>
            </w:r>
          </w:p>
        </w:tc>
        <w:tc>
          <w:tcPr>
            <w:tcW w:w="1125" w:type="pct"/>
            <w:gridSpan w:val="2"/>
            <w:shd w:val="clear" w:color="auto" w:fill="D9D9D9" w:themeFill="background1" w:themeFillShade="D9"/>
          </w:tcPr>
          <w:p w:rsidR="00FB4283" w:rsidRPr="001D3234" w:rsidRDefault="00FB4283" w:rsidP="00766E38">
            <w:pPr>
              <w:jc w:val="center"/>
              <w:rPr>
                <w:rStyle w:val="TableText0"/>
                <w:b/>
              </w:rPr>
            </w:pPr>
            <w:r w:rsidRPr="001D3234">
              <w:rPr>
                <w:rStyle w:val="TableText0"/>
                <w:b/>
              </w:rPr>
              <w:t>GEMINI-2</w:t>
            </w:r>
          </w:p>
        </w:tc>
        <w:tc>
          <w:tcPr>
            <w:tcW w:w="1126" w:type="pct"/>
            <w:gridSpan w:val="2"/>
            <w:shd w:val="clear" w:color="auto" w:fill="D9D9D9" w:themeFill="background1" w:themeFillShade="D9"/>
          </w:tcPr>
          <w:p w:rsidR="00FB4283" w:rsidRPr="001D3234" w:rsidRDefault="00FB4283" w:rsidP="00766E38">
            <w:pPr>
              <w:jc w:val="center"/>
              <w:rPr>
                <w:rStyle w:val="TableText0"/>
                <w:b/>
              </w:rPr>
            </w:pPr>
            <w:r w:rsidRPr="001D3234">
              <w:rPr>
                <w:rStyle w:val="TableText0"/>
                <w:b/>
              </w:rPr>
              <w:t>Pooled</w:t>
            </w:r>
          </w:p>
        </w:tc>
      </w:tr>
      <w:tr w:rsidR="00FB4283" w:rsidRPr="001D3234" w:rsidTr="00B43007">
        <w:trPr>
          <w:trHeight w:val="229"/>
          <w:tblHeader/>
        </w:trPr>
        <w:tc>
          <w:tcPr>
            <w:tcW w:w="1624" w:type="pct"/>
            <w:vMerge/>
            <w:shd w:val="clear" w:color="auto" w:fill="D9D9D9" w:themeFill="background1" w:themeFillShade="D9"/>
            <w:vAlign w:val="center"/>
          </w:tcPr>
          <w:p w:rsidR="00FB4283" w:rsidRPr="001D3234" w:rsidRDefault="00FB4283" w:rsidP="00766E38">
            <w:pPr>
              <w:rPr>
                <w:rStyle w:val="TableText0"/>
              </w:rPr>
            </w:pPr>
          </w:p>
        </w:tc>
        <w:tc>
          <w:tcPr>
            <w:tcW w:w="475"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DTG + 3TC</w:t>
            </w:r>
          </w:p>
        </w:tc>
        <w:tc>
          <w:tcPr>
            <w:tcW w:w="650"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DTG + TDF/FTC</w:t>
            </w:r>
          </w:p>
        </w:tc>
        <w:tc>
          <w:tcPr>
            <w:tcW w:w="502"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DTG + 3TC</w:t>
            </w:r>
          </w:p>
        </w:tc>
        <w:tc>
          <w:tcPr>
            <w:tcW w:w="623"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DTG + TDF/FTC</w:t>
            </w:r>
          </w:p>
        </w:tc>
        <w:tc>
          <w:tcPr>
            <w:tcW w:w="461"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DTG + 3TC</w:t>
            </w:r>
          </w:p>
        </w:tc>
        <w:tc>
          <w:tcPr>
            <w:tcW w:w="665"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DTG + TDF/FTC</w:t>
            </w:r>
          </w:p>
        </w:tc>
      </w:tr>
      <w:tr w:rsidR="00FB4283" w:rsidRPr="001D3234" w:rsidTr="00B43007">
        <w:trPr>
          <w:trHeight w:val="229"/>
          <w:tblHeader/>
        </w:trPr>
        <w:tc>
          <w:tcPr>
            <w:tcW w:w="1624" w:type="pct"/>
            <w:vMerge/>
            <w:shd w:val="clear" w:color="auto" w:fill="D9D9D9" w:themeFill="background1" w:themeFillShade="D9"/>
            <w:vAlign w:val="center"/>
          </w:tcPr>
          <w:p w:rsidR="00FB4283" w:rsidRPr="001D3234" w:rsidRDefault="00FB4283" w:rsidP="00766E38">
            <w:pPr>
              <w:rPr>
                <w:rStyle w:val="TableText0"/>
              </w:rPr>
            </w:pPr>
          </w:p>
        </w:tc>
        <w:tc>
          <w:tcPr>
            <w:tcW w:w="475"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(N=356)</w:t>
            </w:r>
          </w:p>
        </w:tc>
        <w:tc>
          <w:tcPr>
            <w:tcW w:w="650"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(N=358)</w:t>
            </w:r>
          </w:p>
        </w:tc>
        <w:tc>
          <w:tcPr>
            <w:tcW w:w="502"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(N=360)</w:t>
            </w:r>
          </w:p>
        </w:tc>
        <w:tc>
          <w:tcPr>
            <w:tcW w:w="623"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(N=359)</w:t>
            </w:r>
          </w:p>
        </w:tc>
        <w:tc>
          <w:tcPr>
            <w:tcW w:w="461" w:type="pct"/>
            <w:shd w:val="clear" w:color="auto" w:fill="D9D9D9" w:themeFill="background1" w:themeFillShade="D9"/>
            <w:vAlign w:val="center"/>
          </w:tcPr>
          <w:p w:rsidR="00FB4283" w:rsidRPr="001D3234" w:rsidRDefault="00FB4283" w:rsidP="00766E38">
            <w:pPr>
              <w:pStyle w:val="TableHeading"/>
              <w:widowControl w:val="0"/>
              <w:spacing w:after="0"/>
              <w:jc w:val="center"/>
              <w:rPr>
                <w:rStyle w:val="TableText0"/>
              </w:rPr>
            </w:pPr>
            <w:r w:rsidRPr="001D3234">
              <w:rPr>
                <w:rStyle w:val="TableText0"/>
              </w:rPr>
              <w:t>(N=716)</w:t>
            </w:r>
          </w:p>
        </w:tc>
        <w:tc>
          <w:tcPr>
            <w:tcW w:w="665" w:type="pct"/>
            <w:shd w:val="clear" w:color="auto" w:fill="D9D9D9" w:themeFill="background1" w:themeFillShade="D9"/>
          </w:tcPr>
          <w:p w:rsidR="00FB4283" w:rsidRPr="001D3234" w:rsidRDefault="00FB4283" w:rsidP="00766E38">
            <w:pPr>
              <w:pStyle w:val="TableHeading"/>
              <w:widowControl w:val="0"/>
              <w:spacing w:after="0"/>
              <w:jc w:val="center"/>
              <w:rPr>
                <w:rStyle w:val="TableText0"/>
              </w:rPr>
            </w:pPr>
            <w:r w:rsidRPr="001D3234">
              <w:rPr>
                <w:rStyle w:val="TableText0"/>
              </w:rPr>
              <w:t>(N=717)</w:t>
            </w:r>
          </w:p>
        </w:tc>
      </w:tr>
      <w:tr w:rsidR="00FB4283" w:rsidRPr="001D3234" w:rsidTr="00B43007">
        <w:trPr>
          <w:trHeight w:val="229"/>
        </w:trPr>
        <w:tc>
          <w:tcPr>
            <w:tcW w:w="1624" w:type="pct"/>
            <w:vAlign w:val="center"/>
          </w:tcPr>
          <w:p w:rsidR="00FB4283" w:rsidRPr="001D3234" w:rsidRDefault="00FB4283" w:rsidP="00766E38">
            <w:pPr>
              <w:rPr>
                <w:rStyle w:val="TableText0"/>
              </w:rPr>
            </w:pPr>
            <w:r w:rsidRPr="001D3234">
              <w:rPr>
                <w:rStyle w:val="TableText0"/>
              </w:rPr>
              <w:t>HIV-1 RNA &lt;50 c/mL</w:t>
            </w:r>
          </w:p>
        </w:tc>
        <w:tc>
          <w:tcPr>
            <w:tcW w:w="475" w:type="pct"/>
            <w:vAlign w:val="center"/>
          </w:tcPr>
          <w:p w:rsidR="00FB4283" w:rsidRPr="001D3234" w:rsidRDefault="00FB4283" w:rsidP="00766E38">
            <w:pPr>
              <w:jc w:val="center"/>
              <w:rPr>
                <w:rStyle w:val="TableText0"/>
              </w:rPr>
            </w:pPr>
            <w:r w:rsidRPr="001D3234">
              <w:rPr>
                <w:rStyle w:val="TableText0"/>
              </w:rPr>
              <w:t>300 (84.2)</w:t>
            </w:r>
          </w:p>
        </w:tc>
        <w:tc>
          <w:tcPr>
            <w:tcW w:w="650" w:type="pct"/>
          </w:tcPr>
          <w:p w:rsidR="00FB4283" w:rsidRPr="001D3234" w:rsidRDefault="00FB4283" w:rsidP="00766E38">
            <w:pPr>
              <w:jc w:val="center"/>
              <w:rPr>
                <w:rStyle w:val="TableText0"/>
              </w:rPr>
            </w:pPr>
            <w:r w:rsidRPr="001D3234">
              <w:rPr>
                <w:rStyle w:val="TableText0"/>
              </w:rPr>
              <w:t>320 (89.4)</w:t>
            </w:r>
          </w:p>
        </w:tc>
        <w:tc>
          <w:tcPr>
            <w:tcW w:w="502" w:type="pct"/>
          </w:tcPr>
          <w:p w:rsidR="00FB4283" w:rsidRPr="001D3234" w:rsidRDefault="00FB4283" w:rsidP="00766E38">
            <w:pPr>
              <w:jc w:val="center"/>
              <w:rPr>
                <w:rStyle w:val="TableText0"/>
              </w:rPr>
            </w:pPr>
            <w:r w:rsidRPr="001D3234">
              <w:rPr>
                <w:rStyle w:val="TableText0"/>
              </w:rPr>
              <w:t>316 (87.8)</w:t>
            </w:r>
          </w:p>
        </w:tc>
        <w:tc>
          <w:tcPr>
            <w:tcW w:w="623" w:type="pct"/>
          </w:tcPr>
          <w:p w:rsidR="00FB4283" w:rsidRPr="001D3234" w:rsidRDefault="00FB4283" w:rsidP="00766E38">
            <w:pPr>
              <w:jc w:val="center"/>
              <w:rPr>
                <w:rStyle w:val="TableText0"/>
              </w:rPr>
            </w:pPr>
            <w:r w:rsidRPr="001D3234">
              <w:rPr>
                <w:rStyle w:val="TableText0"/>
              </w:rPr>
              <w:t>322 (89.7)</w:t>
            </w:r>
          </w:p>
        </w:tc>
        <w:tc>
          <w:tcPr>
            <w:tcW w:w="461" w:type="pct"/>
          </w:tcPr>
          <w:p w:rsidR="00FB4283" w:rsidRPr="001D3234" w:rsidRDefault="00FB4283" w:rsidP="00766E38">
            <w:pPr>
              <w:jc w:val="center"/>
              <w:rPr>
                <w:rStyle w:val="TableText0"/>
              </w:rPr>
            </w:pPr>
            <w:r w:rsidRPr="001D3234">
              <w:rPr>
                <w:rStyle w:val="TableText0"/>
              </w:rPr>
              <w:t>616 (86.0)</w:t>
            </w:r>
          </w:p>
        </w:tc>
        <w:tc>
          <w:tcPr>
            <w:tcW w:w="665" w:type="pct"/>
          </w:tcPr>
          <w:p w:rsidR="00FB4283" w:rsidRPr="001D3234" w:rsidRDefault="00FB4283" w:rsidP="00766E38">
            <w:pPr>
              <w:jc w:val="center"/>
              <w:rPr>
                <w:rStyle w:val="TableText0"/>
              </w:rPr>
            </w:pPr>
            <w:r w:rsidRPr="001D3234">
              <w:rPr>
                <w:rStyle w:val="TableText0"/>
              </w:rPr>
              <w:t>642 (89.5)</w:t>
            </w:r>
          </w:p>
        </w:tc>
      </w:tr>
      <w:tr w:rsidR="00FB4283" w:rsidRPr="001D3234" w:rsidTr="00766E38">
        <w:trPr>
          <w:trHeight w:val="229"/>
        </w:trPr>
        <w:tc>
          <w:tcPr>
            <w:tcW w:w="1624" w:type="pct"/>
            <w:vAlign w:val="center"/>
          </w:tcPr>
          <w:p w:rsidR="00FB4283" w:rsidRPr="001D3234" w:rsidRDefault="00FB4283" w:rsidP="00766E38">
            <w:pPr>
              <w:ind w:left="249"/>
              <w:rPr>
                <w:rStyle w:val="TableText0"/>
              </w:rPr>
            </w:pPr>
            <w:r w:rsidRPr="001D3234">
              <w:rPr>
                <w:rStyle w:val="TableText0"/>
              </w:rPr>
              <w:t>Adjusted RD% (95% CI)</w:t>
            </w:r>
          </w:p>
        </w:tc>
        <w:tc>
          <w:tcPr>
            <w:tcW w:w="1125" w:type="pct"/>
            <w:gridSpan w:val="2"/>
            <w:vAlign w:val="center"/>
          </w:tcPr>
          <w:p w:rsidR="00FB4283" w:rsidRPr="001D3234" w:rsidRDefault="00FB4283" w:rsidP="00766E38">
            <w:pPr>
              <w:jc w:val="center"/>
              <w:rPr>
                <w:rStyle w:val="TableText0"/>
              </w:rPr>
            </w:pPr>
            <w:r w:rsidRPr="001D3234">
              <w:rPr>
                <w:rStyle w:val="TableText0"/>
              </w:rPr>
              <w:t>-4.9 (-9.8, 0.0)</w:t>
            </w:r>
          </w:p>
        </w:tc>
        <w:tc>
          <w:tcPr>
            <w:tcW w:w="1125" w:type="pct"/>
            <w:gridSpan w:val="2"/>
          </w:tcPr>
          <w:p w:rsidR="00FB4283" w:rsidRPr="001D3234" w:rsidRDefault="00FB4283" w:rsidP="00766E38">
            <w:pPr>
              <w:jc w:val="center"/>
              <w:rPr>
                <w:rStyle w:val="TableText0"/>
              </w:rPr>
            </w:pPr>
            <w:r w:rsidRPr="001D3234">
              <w:rPr>
                <w:rStyle w:val="TableText0"/>
              </w:rPr>
              <w:t>-1.8 (-6.4, 2.7)</w:t>
            </w:r>
          </w:p>
        </w:tc>
        <w:tc>
          <w:tcPr>
            <w:tcW w:w="1126" w:type="pct"/>
            <w:gridSpan w:val="2"/>
          </w:tcPr>
          <w:p w:rsidR="00FB4283" w:rsidRPr="001D3234" w:rsidRDefault="00FB4283" w:rsidP="00766E38">
            <w:pPr>
              <w:jc w:val="center"/>
              <w:rPr>
                <w:rStyle w:val="TableText0"/>
              </w:rPr>
            </w:pPr>
            <w:r w:rsidRPr="001D3234">
              <w:rPr>
                <w:rStyle w:val="TableText0"/>
              </w:rPr>
              <w:t>-3.4 (-6.7, 0.0)</w:t>
            </w:r>
          </w:p>
        </w:tc>
      </w:tr>
      <w:tr w:rsidR="00FB4283" w:rsidRPr="001D3234" w:rsidTr="003805E6">
        <w:trPr>
          <w:trHeight w:val="229"/>
        </w:trPr>
        <w:tc>
          <w:tcPr>
            <w:tcW w:w="1624" w:type="pct"/>
            <w:vAlign w:val="center"/>
          </w:tcPr>
          <w:p w:rsidR="00FB4283" w:rsidRPr="001D3234" w:rsidRDefault="00FB4283" w:rsidP="00766E38">
            <w:pPr>
              <w:rPr>
                <w:rStyle w:val="TableText0"/>
              </w:rPr>
            </w:pPr>
            <w:r w:rsidRPr="001D3234">
              <w:rPr>
                <w:rStyle w:val="TableText0"/>
              </w:rPr>
              <w:t>HIV-1 RNA ≥50 c/mL</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22 (3.1)</w:t>
            </w:r>
          </w:p>
        </w:tc>
        <w:tc>
          <w:tcPr>
            <w:tcW w:w="665" w:type="pct"/>
            <w:shd w:val="clear" w:color="auto" w:fill="auto"/>
          </w:tcPr>
          <w:p w:rsidR="00FB4283" w:rsidRPr="001D3234" w:rsidRDefault="00FB4283" w:rsidP="00766E38">
            <w:pPr>
              <w:jc w:val="center"/>
              <w:rPr>
                <w:rStyle w:val="TableText0"/>
              </w:rPr>
            </w:pPr>
            <w:r w:rsidRPr="001D3234">
              <w:rPr>
                <w:rStyle w:val="TableText0"/>
              </w:rPr>
              <w:t>14 (2.0)</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Data in window &amp; HIV-1 RNA ≥50c/mL</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Disc: lack of efficacy</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Disc: other reason &amp; HIV-1 RNA &gt;50c/mL</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Change in ART</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65"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r>
      <w:tr w:rsidR="00FB4283" w:rsidRPr="001D3234" w:rsidTr="003805E6">
        <w:trPr>
          <w:trHeight w:val="229"/>
        </w:trPr>
        <w:tc>
          <w:tcPr>
            <w:tcW w:w="1624" w:type="pct"/>
            <w:vAlign w:val="center"/>
          </w:tcPr>
          <w:p w:rsidR="00FB4283" w:rsidRPr="001D3234" w:rsidRDefault="00FB4283" w:rsidP="00766E38">
            <w:pPr>
              <w:rPr>
                <w:rStyle w:val="TableText0"/>
              </w:rPr>
            </w:pPr>
            <w:r w:rsidRPr="001D3234">
              <w:rPr>
                <w:rStyle w:val="TableText0"/>
              </w:rPr>
              <w:t>No virological data</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78 (10.9)</w:t>
            </w:r>
          </w:p>
        </w:tc>
        <w:tc>
          <w:tcPr>
            <w:tcW w:w="665" w:type="pct"/>
            <w:shd w:val="clear" w:color="auto" w:fill="auto"/>
          </w:tcPr>
          <w:p w:rsidR="00FB4283" w:rsidRPr="001D3234" w:rsidRDefault="00FB4283" w:rsidP="00766E38">
            <w:pPr>
              <w:jc w:val="center"/>
              <w:rPr>
                <w:rStyle w:val="TableText0"/>
              </w:rPr>
            </w:pPr>
            <w:r w:rsidRPr="001D3234">
              <w:rPr>
                <w:rStyle w:val="TableText0"/>
              </w:rPr>
              <w:t>61 (8.5)</w:t>
            </w:r>
          </w:p>
        </w:tc>
      </w:tr>
      <w:tr w:rsidR="00FB4283" w:rsidRPr="001D3234" w:rsidTr="003805E6">
        <w:trPr>
          <w:trHeight w:val="70"/>
        </w:trPr>
        <w:tc>
          <w:tcPr>
            <w:tcW w:w="1624" w:type="pct"/>
            <w:vAlign w:val="center"/>
          </w:tcPr>
          <w:p w:rsidR="00FB4283" w:rsidRPr="001D3234" w:rsidRDefault="00FB4283" w:rsidP="00766E38">
            <w:pPr>
              <w:ind w:left="249"/>
              <w:rPr>
                <w:rStyle w:val="TableText0"/>
              </w:rPr>
            </w:pPr>
            <w:r w:rsidRPr="001D3234">
              <w:rPr>
                <w:rStyle w:val="TableText0"/>
              </w:rPr>
              <w:t>Disc trial due to AE/Death</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22 (3.1)</w:t>
            </w:r>
          </w:p>
        </w:tc>
        <w:tc>
          <w:tcPr>
            <w:tcW w:w="665" w:type="pct"/>
            <w:shd w:val="clear" w:color="auto" w:fill="auto"/>
          </w:tcPr>
          <w:p w:rsidR="00FB4283" w:rsidRPr="001D3234" w:rsidRDefault="00FB4283" w:rsidP="00766E38">
            <w:pPr>
              <w:jc w:val="center"/>
              <w:rPr>
                <w:rStyle w:val="TableText0"/>
              </w:rPr>
            </w:pPr>
            <w:r w:rsidRPr="001D3234">
              <w:rPr>
                <w:rStyle w:val="TableText0"/>
              </w:rPr>
              <w:t>21 (2.9)</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Disc trial for other reasons</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 ''''''''''</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56 (7.8)</w:t>
            </w:r>
          </w:p>
        </w:tc>
        <w:tc>
          <w:tcPr>
            <w:tcW w:w="665" w:type="pct"/>
            <w:shd w:val="clear" w:color="auto" w:fill="auto"/>
          </w:tcPr>
          <w:p w:rsidR="00FB4283" w:rsidRPr="001D3234" w:rsidRDefault="00FB4283" w:rsidP="00766E38">
            <w:pPr>
              <w:jc w:val="center"/>
              <w:rPr>
                <w:rStyle w:val="TableText0"/>
              </w:rPr>
            </w:pPr>
            <w:r w:rsidRPr="001D3234">
              <w:rPr>
                <w:rStyle w:val="TableText0"/>
              </w:rPr>
              <w:t>38 (5.3)</w:t>
            </w:r>
          </w:p>
        </w:tc>
      </w:tr>
      <w:tr w:rsidR="00FB4283" w:rsidRPr="001D3234" w:rsidTr="003805E6">
        <w:trPr>
          <w:trHeight w:val="229"/>
        </w:trPr>
        <w:tc>
          <w:tcPr>
            <w:tcW w:w="1624" w:type="pct"/>
            <w:vAlign w:val="center"/>
          </w:tcPr>
          <w:p w:rsidR="00FB4283" w:rsidRPr="001D3234" w:rsidRDefault="00FB4283" w:rsidP="00766E38">
            <w:pPr>
              <w:ind w:left="249"/>
              <w:rPr>
                <w:rStyle w:val="TableText0"/>
              </w:rPr>
            </w:pPr>
            <w:r w:rsidRPr="001D3234">
              <w:rPr>
                <w:rStyle w:val="TableText0"/>
              </w:rPr>
              <w:t>On trial but missing data in window</w:t>
            </w:r>
          </w:p>
        </w:tc>
        <w:tc>
          <w:tcPr>
            <w:tcW w:w="475" w:type="pct"/>
            <w:shd w:val="clear" w:color="auto" w:fill="auto"/>
            <w:vAlign w:val="center"/>
          </w:tcPr>
          <w:p w:rsidR="00FB4283" w:rsidRPr="00613737" w:rsidRDefault="00613737" w:rsidP="00766E38">
            <w:pPr>
              <w:jc w:val="center"/>
              <w:rPr>
                <w:rStyle w:val="TableText0"/>
                <w:highlight w:val="black"/>
              </w:rPr>
            </w:pPr>
            <w:r>
              <w:rPr>
                <w:rStyle w:val="TableText0"/>
                <w:noProof/>
                <w:color w:val="000000"/>
                <w:highlight w:val="black"/>
              </w:rPr>
              <w:t>'''</w:t>
            </w:r>
          </w:p>
        </w:tc>
        <w:tc>
          <w:tcPr>
            <w:tcW w:w="650"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502"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w:t>
            </w:r>
          </w:p>
        </w:tc>
        <w:tc>
          <w:tcPr>
            <w:tcW w:w="623" w:type="pct"/>
            <w:shd w:val="clear" w:color="auto" w:fill="auto"/>
          </w:tcPr>
          <w:p w:rsidR="00FB4283" w:rsidRPr="00613737" w:rsidRDefault="00613737" w:rsidP="00766E38">
            <w:pPr>
              <w:jc w:val="center"/>
              <w:rPr>
                <w:rStyle w:val="TableText0"/>
                <w:highlight w:val="black"/>
              </w:rPr>
            </w:pPr>
            <w:r>
              <w:rPr>
                <w:rStyle w:val="TableText0"/>
                <w:noProof/>
                <w:color w:val="000000"/>
                <w:highlight w:val="black"/>
              </w:rPr>
              <w:t>''' ''''''''''</w:t>
            </w:r>
          </w:p>
        </w:tc>
        <w:tc>
          <w:tcPr>
            <w:tcW w:w="461" w:type="pct"/>
            <w:shd w:val="clear" w:color="auto" w:fill="auto"/>
          </w:tcPr>
          <w:p w:rsidR="00FB4283" w:rsidRPr="001D3234" w:rsidRDefault="00FB4283" w:rsidP="00766E38">
            <w:pPr>
              <w:jc w:val="center"/>
              <w:rPr>
                <w:rStyle w:val="TableText0"/>
              </w:rPr>
            </w:pPr>
            <w:r w:rsidRPr="001D3234">
              <w:rPr>
                <w:rStyle w:val="TableText0"/>
              </w:rPr>
              <w:t>0</w:t>
            </w:r>
          </w:p>
        </w:tc>
        <w:tc>
          <w:tcPr>
            <w:tcW w:w="665" w:type="pct"/>
            <w:shd w:val="clear" w:color="auto" w:fill="auto"/>
          </w:tcPr>
          <w:p w:rsidR="00FB4283" w:rsidRPr="001D3234" w:rsidRDefault="00FB4283" w:rsidP="00766E38">
            <w:pPr>
              <w:jc w:val="center"/>
              <w:rPr>
                <w:rStyle w:val="TableText0"/>
              </w:rPr>
            </w:pPr>
            <w:r w:rsidRPr="001D3234">
              <w:rPr>
                <w:rStyle w:val="TableText0"/>
              </w:rPr>
              <w:t>2 (0.3)</w:t>
            </w:r>
          </w:p>
        </w:tc>
      </w:tr>
      <w:tr w:rsidR="00FB4283" w:rsidRPr="001D3234" w:rsidTr="00B43007">
        <w:trPr>
          <w:trHeight w:val="229"/>
        </w:trPr>
        <w:tc>
          <w:tcPr>
            <w:tcW w:w="1624" w:type="pct"/>
            <w:vAlign w:val="center"/>
          </w:tcPr>
          <w:p w:rsidR="00FB4283" w:rsidRPr="001D3234" w:rsidRDefault="00FB4283" w:rsidP="00766E38">
            <w:pPr>
              <w:rPr>
                <w:rStyle w:val="TableText0"/>
              </w:rPr>
            </w:pPr>
            <w:r w:rsidRPr="001D3234">
              <w:rPr>
                <w:rStyle w:val="TableText0"/>
              </w:rPr>
              <w:t>CVW at week 96</w:t>
            </w:r>
          </w:p>
        </w:tc>
        <w:tc>
          <w:tcPr>
            <w:tcW w:w="475" w:type="pct"/>
            <w:vAlign w:val="center"/>
          </w:tcPr>
          <w:p w:rsidR="00FB4283" w:rsidRPr="001D3234" w:rsidRDefault="00FB4283" w:rsidP="00766E38">
            <w:pPr>
              <w:jc w:val="center"/>
              <w:rPr>
                <w:rStyle w:val="TableText0"/>
              </w:rPr>
            </w:pPr>
            <w:r w:rsidRPr="001D3234">
              <w:rPr>
                <w:rStyle w:val="TableText0"/>
              </w:rPr>
              <w:t>5 (1.4)</w:t>
            </w:r>
          </w:p>
        </w:tc>
        <w:tc>
          <w:tcPr>
            <w:tcW w:w="650" w:type="pct"/>
          </w:tcPr>
          <w:p w:rsidR="00FB4283" w:rsidRPr="001D3234" w:rsidRDefault="00FB4283" w:rsidP="00766E38">
            <w:pPr>
              <w:jc w:val="center"/>
              <w:rPr>
                <w:rStyle w:val="TableText0"/>
              </w:rPr>
            </w:pPr>
            <w:r w:rsidRPr="001D3234">
              <w:rPr>
                <w:rStyle w:val="TableText0"/>
              </w:rPr>
              <w:t>4 (1.1)</w:t>
            </w:r>
          </w:p>
        </w:tc>
        <w:tc>
          <w:tcPr>
            <w:tcW w:w="502" w:type="pct"/>
          </w:tcPr>
          <w:p w:rsidR="00FB4283" w:rsidRPr="001D3234" w:rsidRDefault="00FB4283" w:rsidP="00766E38">
            <w:pPr>
              <w:jc w:val="center"/>
              <w:rPr>
                <w:rStyle w:val="TableText0"/>
              </w:rPr>
            </w:pPr>
            <w:r w:rsidRPr="001D3234">
              <w:rPr>
                <w:rStyle w:val="TableText0"/>
              </w:rPr>
              <w:t>6 (1.7)</w:t>
            </w:r>
          </w:p>
        </w:tc>
        <w:tc>
          <w:tcPr>
            <w:tcW w:w="623" w:type="pct"/>
          </w:tcPr>
          <w:p w:rsidR="00FB4283" w:rsidRPr="001D3234" w:rsidRDefault="00FB4283" w:rsidP="00766E38">
            <w:pPr>
              <w:jc w:val="center"/>
              <w:rPr>
                <w:rStyle w:val="TableText0"/>
              </w:rPr>
            </w:pPr>
            <w:r w:rsidRPr="001D3234">
              <w:rPr>
                <w:rStyle w:val="TableText0"/>
              </w:rPr>
              <w:t>3 (0.8)</w:t>
            </w:r>
          </w:p>
        </w:tc>
        <w:tc>
          <w:tcPr>
            <w:tcW w:w="461" w:type="pct"/>
          </w:tcPr>
          <w:p w:rsidR="00FB4283" w:rsidRPr="001D3234" w:rsidRDefault="00FB4283" w:rsidP="00766E38">
            <w:pPr>
              <w:jc w:val="center"/>
              <w:rPr>
                <w:rStyle w:val="TableText0"/>
              </w:rPr>
            </w:pPr>
            <w:r w:rsidRPr="001D3234">
              <w:rPr>
                <w:rStyle w:val="TableText0"/>
              </w:rPr>
              <w:t>11 (1.5)</w:t>
            </w:r>
          </w:p>
        </w:tc>
        <w:tc>
          <w:tcPr>
            <w:tcW w:w="665" w:type="pct"/>
          </w:tcPr>
          <w:p w:rsidR="00FB4283" w:rsidRPr="001D3234" w:rsidRDefault="00FB4283" w:rsidP="00766E38">
            <w:pPr>
              <w:jc w:val="center"/>
              <w:rPr>
                <w:rStyle w:val="TableText0"/>
              </w:rPr>
            </w:pPr>
            <w:r w:rsidRPr="001D3234">
              <w:rPr>
                <w:rStyle w:val="TableText0"/>
              </w:rPr>
              <w:t>7 (1.0)</w:t>
            </w:r>
          </w:p>
        </w:tc>
      </w:tr>
    </w:tbl>
    <w:p w:rsidR="00FB4283" w:rsidRPr="001D3234" w:rsidRDefault="00B43007" w:rsidP="00FB4283">
      <w:pPr>
        <w:rPr>
          <w:rFonts w:ascii="Arial Narrow" w:hAnsi="Arial Narrow"/>
          <w:sz w:val="20"/>
          <w:szCs w:val="20"/>
        </w:rPr>
      </w:pPr>
      <w:r w:rsidRPr="001D3234">
        <w:rPr>
          <w:rFonts w:ascii="Arial Narrow" w:hAnsi="Arial Narrow"/>
          <w:sz w:val="20"/>
          <w:szCs w:val="20"/>
        </w:rPr>
        <w:t xml:space="preserve">Source: Pre-PBAC Response (Table 3). </w:t>
      </w:r>
    </w:p>
    <w:p w:rsidR="0075623E" w:rsidRPr="00F57461" w:rsidRDefault="00B43007" w:rsidP="001A0D42">
      <w:pPr>
        <w:pStyle w:val="ListParagraph"/>
        <w:widowControl/>
        <w:numPr>
          <w:ilvl w:val="1"/>
          <w:numId w:val="1"/>
        </w:numPr>
        <w:spacing w:before="120" w:after="120"/>
      </w:pPr>
      <w:r w:rsidRPr="001D3234">
        <w:rPr>
          <w:color w:val="000000" w:themeColor="text1"/>
        </w:rPr>
        <w:t>In the updated analyses, the lower bound of the 95% CI for adjusted risk difference for HIV-1 RNA of less than 50 copies per mL remained within the pre-specified non-inferiority margin of -10% for both studies and the pooled analysis.</w:t>
      </w:r>
    </w:p>
    <w:p w:rsidR="000F6F40" w:rsidRPr="001A0D42" w:rsidRDefault="000F6F40" w:rsidP="001A0D42">
      <w:pPr>
        <w:pStyle w:val="Heading2"/>
        <w:spacing w:before="120" w:after="120"/>
      </w:pPr>
      <w:r w:rsidRPr="001A0D42">
        <w:t>Comparative harms</w:t>
      </w:r>
      <w:bookmarkEnd w:id="23"/>
    </w:p>
    <w:p w:rsidR="000F6F40" w:rsidRPr="001D3234" w:rsidRDefault="003E39FF" w:rsidP="00FB4283">
      <w:pPr>
        <w:pStyle w:val="ListParagraph"/>
        <w:widowControl/>
        <w:numPr>
          <w:ilvl w:val="1"/>
          <w:numId w:val="1"/>
        </w:numPr>
      </w:pPr>
      <w:r w:rsidRPr="001D3234">
        <w:rPr>
          <w:rStyle w:val="CommentReference"/>
          <w:rFonts w:ascii="Calibri" w:hAnsi="Calibri" w:cs="Calibri"/>
          <w:b w:val="0"/>
          <w:sz w:val="24"/>
          <w:szCs w:val="24"/>
        </w:rPr>
        <w:t>Table</w:t>
      </w:r>
      <w:r w:rsidRPr="001D3234">
        <w:rPr>
          <w:rStyle w:val="CommentReference"/>
          <w:rFonts w:ascii="Calibri" w:hAnsi="Calibri" w:cs="Calibri"/>
          <w:sz w:val="24"/>
          <w:szCs w:val="24"/>
        </w:rPr>
        <w:t xml:space="preserve"> </w:t>
      </w:r>
      <w:r w:rsidRPr="001D3234">
        <w:rPr>
          <w:rFonts w:cs="Calibri"/>
          <w:color w:val="000000" w:themeColor="text1"/>
          <w:szCs w:val="24"/>
        </w:rPr>
        <w:t>11</w:t>
      </w:r>
      <w:r w:rsidR="00D64026" w:rsidRPr="001D3234">
        <w:t xml:space="preserve"> </w:t>
      </w:r>
      <w:r w:rsidR="000F6F40" w:rsidRPr="001D3234">
        <w:t>presents a summary of adverse events in the GEMINI 1 and 2 trials</w:t>
      </w:r>
      <w:r w:rsidR="000B1FC8" w:rsidRPr="001D3234">
        <w:t>.</w:t>
      </w:r>
      <w:r w:rsidR="000F6F40" w:rsidRPr="001D3234">
        <w:t xml:space="preserve"> </w:t>
      </w:r>
    </w:p>
    <w:p w:rsidR="000F6F40" w:rsidRPr="001D3234" w:rsidRDefault="000F6F40" w:rsidP="004E4A1E">
      <w:pPr>
        <w:keepNext/>
        <w:rPr>
          <w:rStyle w:val="CommentReference"/>
        </w:rPr>
      </w:pPr>
      <w:bookmarkStart w:id="24" w:name="_Ref8382979"/>
      <w:r w:rsidRPr="001D3234">
        <w:rPr>
          <w:rStyle w:val="CommentReference"/>
        </w:rPr>
        <w:lastRenderedPageBreak/>
        <w:t xml:space="preserve">Table </w:t>
      </w:r>
      <w:r w:rsidR="003E39FF" w:rsidRPr="001D3234">
        <w:rPr>
          <w:rFonts w:ascii="Arial Narrow" w:hAnsi="Arial Narrow"/>
          <w:b/>
          <w:color w:val="000000" w:themeColor="text1"/>
          <w:sz w:val="20"/>
          <w:szCs w:val="20"/>
        </w:rPr>
        <w:t>11</w:t>
      </w:r>
      <w:bookmarkEnd w:id="24"/>
      <w:r w:rsidR="008D77A7" w:rsidRPr="001D3234">
        <w:rPr>
          <w:rStyle w:val="CommentReference"/>
          <w:b w:val="0"/>
          <w:color w:val="000000" w:themeColor="text1"/>
        </w:rPr>
        <w:t xml:space="preserve">: </w:t>
      </w:r>
      <w:r w:rsidRPr="001D3234">
        <w:rPr>
          <w:rStyle w:val="CommentReference"/>
        </w:rPr>
        <w:t>Summary of AEs (safety population)</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Caption w:val="Table 11: Summary of AEs (safety population)"/>
      </w:tblPr>
      <w:tblGrid>
        <w:gridCol w:w="1152"/>
        <w:gridCol w:w="906"/>
        <w:gridCol w:w="1001"/>
        <w:gridCol w:w="944"/>
        <w:gridCol w:w="991"/>
        <w:gridCol w:w="14"/>
        <w:gridCol w:w="927"/>
        <w:gridCol w:w="1030"/>
        <w:gridCol w:w="1099"/>
        <w:gridCol w:w="991"/>
      </w:tblGrid>
      <w:tr w:rsidR="000F6F40" w:rsidRPr="001D3234" w:rsidTr="00F86393">
        <w:trPr>
          <w:trHeight w:val="229"/>
          <w:tblHeader/>
        </w:trPr>
        <w:tc>
          <w:tcPr>
            <w:tcW w:w="636" w:type="pct"/>
            <w:vMerge w:val="restart"/>
            <w:shd w:val="clear" w:color="auto" w:fill="FFFFFF" w:themeFill="background1"/>
            <w:vAlign w:val="center"/>
          </w:tcPr>
          <w:p w:rsidR="000F6F40" w:rsidRPr="001D3234" w:rsidRDefault="000F6F40" w:rsidP="000D5E60">
            <w:pPr>
              <w:keepNext/>
              <w:jc w:val="left"/>
              <w:rPr>
                <w:rStyle w:val="TableText0"/>
                <w:b/>
              </w:rPr>
            </w:pPr>
            <w:r w:rsidRPr="001D3234">
              <w:rPr>
                <w:rStyle w:val="TableText0"/>
                <w:b/>
              </w:rPr>
              <w:t>n (%)</w:t>
            </w:r>
          </w:p>
        </w:tc>
        <w:tc>
          <w:tcPr>
            <w:tcW w:w="1053" w:type="pct"/>
            <w:gridSpan w:val="2"/>
            <w:shd w:val="clear" w:color="auto" w:fill="FFFFFF" w:themeFill="background1"/>
            <w:vAlign w:val="center"/>
          </w:tcPr>
          <w:p w:rsidR="000F6F40" w:rsidRPr="001D3234" w:rsidRDefault="000F6F40" w:rsidP="000D5E60">
            <w:pPr>
              <w:keepNext/>
              <w:jc w:val="center"/>
              <w:rPr>
                <w:rStyle w:val="TableText0"/>
                <w:b/>
              </w:rPr>
            </w:pPr>
            <w:r w:rsidRPr="001D3234">
              <w:rPr>
                <w:rStyle w:val="TableText0"/>
                <w:b/>
              </w:rPr>
              <w:t>GEMINI-1</w:t>
            </w:r>
          </w:p>
        </w:tc>
        <w:tc>
          <w:tcPr>
            <w:tcW w:w="1076" w:type="pct"/>
            <w:gridSpan w:val="3"/>
            <w:shd w:val="clear" w:color="auto" w:fill="FFFFFF" w:themeFill="background1"/>
            <w:vAlign w:val="center"/>
          </w:tcPr>
          <w:p w:rsidR="000F6F40" w:rsidRPr="001D3234" w:rsidRDefault="000F6F40" w:rsidP="000D5E60">
            <w:pPr>
              <w:keepNext/>
              <w:jc w:val="center"/>
              <w:rPr>
                <w:rStyle w:val="TableText0"/>
                <w:b/>
              </w:rPr>
            </w:pPr>
            <w:r w:rsidRPr="001D3234">
              <w:rPr>
                <w:rStyle w:val="TableText0"/>
                <w:b/>
              </w:rPr>
              <w:t>GEMINI-2</w:t>
            </w:r>
          </w:p>
        </w:tc>
        <w:tc>
          <w:tcPr>
            <w:tcW w:w="2236" w:type="pct"/>
            <w:gridSpan w:val="4"/>
            <w:shd w:val="clear" w:color="auto" w:fill="FFFFFF" w:themeFill="background1"/>
            <w:vAlign w:val="center"/>
          </w:tcPr>
          <w:p w:rsidR="000F6F40" w:rsidRPr="001D3234" w:rsidRDefault="000F6F40" w:rsidP="000D5E60">
            <w:pPr>
              <w:keepNext/>
              <w:jc w:val="center"/>
              <w:rPr>
                <w:rStyle w:val="TableText0"/>
                <w:b/>
              </w:rPr>
            </w:pPr>
            <w:r w:rsidRPr="001D3234">
              <w:rPr>
                <w:rStyle w:val="TableText0"/>
                <w:b/>
              </w:rPr>
              <w:t>Pooled</w:t>
            </w:r>
          </w:p>
        </w:tc>
      </w:tr>
      <w:tr w:rsidR="000B1FC8" w:rsidRPr="001D3234" w:rsidTr="00F86393">
        <w:trPr>
          <w:trHeight w:val="229"/>
          <w:tblHeader/>
        </w:trPr>
        <w:tc>
          <w:tcPr>
            <w:tcW w:w="636" w:type="pct"/>
            <w:vMerge/>
            <w:shd w:val="clear" w:color="auto" w:fill="FFFFFF" w:themeFill="background1"/>
            <w:vAlign w:val="center"/>
          </w:tcPr>
          <w:p w:rsidR="000B1FC8" w:rsidRPr="001D3234" w:rsidRDefault="000B1FC8" w:rsidP="000B1FC8">
            <w:pPr>
              <w:keepNext/>
              <w:jc w:val="left"/>
              <w:rPr>
                <w:rStyle w:val="TableText0"/>
                <w:b/>
              </w:rPr>
            </w:pPr>
          </w:p>
        </w:tc>
        <w:tc>
          <w:tcPr>
            <w:tcW w:w="500"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+ 3TC</w:t>
            </w:r>
          </w:p>
          <w:p w:rsidR="000B1FC8" w:rsidRPr="001D3234" w:rsidRDefault="000B1FC8" w:rsidP="000B1FC8">
            <w:pPr>
              <w:pStyle w:val="TableHeading"/>
              <w:spacing w:after="0"/>
              <w:jc w:val="center"/>
              <w:rPr>
                <w:rStyle w:val="TableText0"/>
              </w:rPr>
            </w:pPr>
            <w:r w:rsidRPr="001D3234">
              <w:rPr>
                <w:rStyle w:val="TableText0"/>
              </w:rPr>
              <w:t>(N=356)</w:t>
            </w:r>
          </w:p>
        </w:tc>
        <w:tc>
          <w:tcPr>
            <w:tcW w:w="553"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Truvada</w:t>
            </w:r>
            <w:r w:rsidRPr="001D3234">
              <w:rPr>
                <w:rStyle w:val="TableText0"/>
                <w:vertAlign w:val="superscript"/>
              </w:rPr>
              <w:t>®</w:t>
            </w:r>
            <w:r w:rsidRPr="001D3234">
              <w:rPr>
                <w:rStyle w:val="TableText0"/>
              </w:rPr>
              <w:t xml:space="preserve"> (N=358)</w:t>
            </w:r>
          </w:p>
        </w:tc>
        <w:tc>
          <w:tcPr>
            <w:tcW w:w="521"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+ 3TC</w:t>
            </w:r>
          </w:p>
          <w:p w:rsidR="000B1FC8" w:rsidRPr="001D3234" w:rsidRDefault="000B1FC8" w:rsidP="000B1FC8">
            <w:pPr>
              <w:pStyle w:val="TableHeading"/>
              <w:spacing w:after="0"/>
              <w:jc w:val="center"/>
              <w:rPr>
                <w:rStyle w:val="TableText0"/>
              </w:rPr>
            </w:pPr>
            <w:r w:rsidRPr="001D3234">
              <w:rPr>
                <w:rStyle w:val="TableText0"/>
              </w:rPr>
              <w:t>(N=360)</w:t>
            </w:r>
          </w:p>
        </w:tc>
        <w:tc>
          <w:tcPr>
            <w:tcW w:w="547"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Truvada</w:t>
            </w:r>
            <w:r w:rsidRPr="001D3234">
              <w:rPr>
                <w:rStyle w:val="TableText0"/>
                <w:vertAlign w:val="superscript"/>
              </w:rPr>
              <w:t>®</w:t>
            </w:r>
            <w:r w:rsidRPr="001D3234">
              <w:rPr>
                <w:rStyle w:val="TableText0"/>
              </w:rPr>
              <w:t xml:space="preserve"> (N=359)</w:t>
            </w:r>
          </w:p>
        </w:tc>
        <w:tc>
          <w:tcPr>
            <w:tcW w:w="520" w:type="pct"/>
            <w:gridSpan w:val="2"/>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+ 3TC</w:t>
            </w:r>
          </w:p>
          <w:p w:rsidR="000B1FC8" w:rsidRPr="001D3234" w:rsidRDefault="000B1FC8" w:rsidP="000B1FC8">
            <w:pPr>
              <w:pStyle w:val="TableHeading"/>
              <w:spacing w:after="0"/>
              <w:jc w:val="center"/>
              <w:rPr>
                <w:rStyle w:val="TableText0"/>
              </w:rPr>
            </w:pPr>
            <w:r w:rsidRPr="001D3234">
              <w:rPr>
                <w:rStyle w:val="TableText0"/>
              </w:rPr>
              <w:t>(N=716)</w:t>
            </w:r>
          </w:p>
        </w:tc>
        <w:tc>
          <w:tcPr>
            <w:tcW w:w="569"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DTG + Truvada</w:t>
            </w:r>
            <w:r w:rsidRPr="001D3234">
              <w:rPr>
                <w:rStyle w:val="TableText0"/>
                <w:vertAlign w:val="superscript"/>
              </w:rPr>
              <w:t>®</w:t>
            </w:r>
            <w:r w:rsidRPr="001D3234">
              <w:rPr>
                <w:rStyle w:val="TableText0"/>
              </w:rPr>
              <w:t xml:space="preserve"> (N=717)</w:t>
            </w:r>
          </w:p>
        </w:tc>
        <w:tc>
          <w:tcPr>
            <w:tcW w:w="607"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RR</w:t>
            </w:r>
          </w:p>
          <w:p w:rsidR="000B1FC8" w:rsidRPr="001D3234" w:rsidRDefault="000B1FC8" w:rsidP="000B1FC8">
            <w:pPr>
              <w:pStyle w:val="TableHeading"/>
              <w:spacing w:after="0"/>
              <w:jc w:val="center"/>
              <w:rPr>
                <w:rStyle w:val="TableText0"/>
              </w:rPr>
            </w:pPr>
            <w:r w:rsidRPr="001D3234">
              <w:rPr>
                <w:rStyle w:val="TableText0"/>
              </w:rPr>
              <w:t>(95% CI)^</w:t>
            </w:r>
          </w:p>
        </w:tc>
        <w:tc>
          <w:tcPr>
            <w:tcW w:w="547" w:type="pct"/>
            <w:shd w:val="clear" w:color="auto" w:fill="FFFFFF" w:themeFill="background1"/>
            <w:vAlign w:val="center"/>
          </w:tcPr>
          <w:p w:rsidR="000B1FC8" w:rsidRPr="001D3234" w:rsidRDefault="000B1FC8" w:rsidP="000B1FC8">
            <w:pPr>
              <w:pStyle w:val="TableHeading"/>
              <w:spacing w:after="0"/>
              <w:jc w:val="center"/>
              <w:rPr>
                <w:rStyle w:val="TableText0"/>
              </w:rPr>
            </w:pPr>
            <w:r w:rsidRPr="001D3234">
              <w:rPr>
                <w:rStyle w:val="TableText0"/>
              </w:rPr>
              <w:t>RD%</w:t>
            </w:r>
          </w:p>
          <w:p w:rsidR="000B1FC8" w:rsidRPr="001D3234" w:rsidRDefault="000B1FC8" w:rsidP="000B1FC8">
            <w:pPr>
              <w:pStyle w:val="TableHeading"/>
              <w:spacing w:after="0"/>
              <w:jc w:val="center"/>
              <w:rPr>
                <w:rStyle w:val="TableText0"/>
              </w:rPr>
            </w:pPr>
            <w:r w:rsidRPr="001D3234">
              <w:rPr>
                <w:rStyle w:val="TableText0"/>
              </w:rPr>
              <w:t>(95% CI)^</w:t>
            </w:r>
          </w:p>
        </w:tc>
      </w:tr>
      <w:tr w:rsidR="000F6F40" w:rsidRPr="001D3234" w:rsidTr="006B236F">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Any AE</w:t>
            </w:r>
          </w:p>
        </w:tc>
        <w:tc>
          <w:tcPr>
            <w:tcW w:w="500" w:type="pct"/>
            <w:shd w:val="clear" w:color="auto" w:fill="auto"/>
            <w:vAlign w:val="center"/>
          </w:tcPr>
          <w:p w:rsidR="000F6F40" w:rsidRPr="001D3234" w:rsidRDefault="000F6F40" w:rsidP="000D5E60">
            <w:pPr>
              <w:keepNext/>
              <w:jc w:val="center"/>
              <w:rPr>
                <w:rStyle w:val="TableText0"/>
              </w:rPr>
            </w:pPr>
            <w:r w:rsidRPr="001D3234">
              <w:rPr>
                <w:rStyle w:val="TableText0"/>
              </w:rPr>
              <w:t>276 (77.5)</w:t>
            </w:r>
          </w:p>
        </w:tc>
        <w:tc>
          <w:tcPr>
            <w:tcW w:w="553" w:type="pct"/>
            <w:shd w:val="clear" w:color="auto" w:fill="auto"/>
            <w:vAlign w:val="center"/>
          </w:tcPr>
          <w:p w:rsidR="000F6F40" w:rsidRPr="001D3234" w:rsidRDefault="000F6F40" w:rsidP="000D5E60">
            <w:pPr>
              <w:keepNext/>
              <w:jc w:val="center"/>
              <w:rPr>
                <w:rStyle w:val="TableText0"/>
              </w:rPr>
            </w:pPr>
            <w:r w:rsidRPr="001D3234">
              <w:rPr>
                <w:rStyle w:val="TableText0"/>
              </w:rPr>
              <w:t>295 (82.4)</w:t>
            </w:r>
          </w:p>
        </w:tc>
        <w:tc>
          <w:tcPr>
            <w:tcW w:w="521" w:type="pct"/>
            <w:shd w:val="clear" w:color="auto" w:fill="auto"/>
            <w:vAlign w:val="center"/>
          </w:tcPr>
          <w:p w:rsidR="000F6F40" w:rsidRPr="001D3234" w:rsidRDefault="000F6F40" w:rsidP="000D5E60">
            <w:pPr>
              <w:keepNext/>
              <w:jc w:val="center"/>
              <w:rPr>
                <w:rStyle w:val="TableText0"/>
              </w:rPr>
            </w:pPr>
            <w:r w:rsidRPr="001D3234">
              <w:rPr>
                <w:rStyle w:val="TableText0"/>
              </w:rPr>
              <w:t>267 (74.2)</w:t>
            </w:r>
          </w:p>
        </w:tc>
        <w:tc>
          <w:tcPr>
            <w:tcW w:w="547" w:type="pct"/>
            <w:shd w:val="clear" w:color="auto" w:fill="auto"/>
            <w:vAlign w:val="center"/>
          </w:tcPr>
          <w:p w:rsidR="000F6F40" w:rsidRPr="001D3234" w:rsidRDefault="000F6F40" w:rsidP="000D5E60">
            <w:pPr>
              <w:keepNext/>
              <w:jc w:val="center"/>
              <w:rPr>
                <w:rStyle w:val="TableText0"/>
              </w:rPr>
            </w:pPr>
            <w:r w:rsidRPr="001D3234">
              <w:rPr>
                <w:rStyle w:val="TableText0"/>
              </w:rPr>
              <w:t>284 (79.1)</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543 (75.8)</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579 (80.8)</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sz w:val="20"/>
                <w:szCs w:val="20"/>
              </w:rPr>
              <w:t>0.94</w:t>
            </w:r>
          </w:p>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sz w:val="20"/>
                <w:szCs w:val="20"/>
              </w:rPr>
              <w:t>(0.89, 0.99)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-4.9</w:t>
            </w:r>
          </w:p>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bCs/>
                <w:sz w:val="20"/>
                <w:szCs w:val="20"/>
              </w:rPr>
              <w:t>(-9.2, -0.7)</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126 (17.6)</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169 (23.6)</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0.75</w:t>
            </w:r>
          </w:p>
          <w:p w:rsidR="000F6F40" w:rsidRPr="001D3234" w:rsidRDefault="000F6F40" w:rsidP="000D5E60">
            <w:pPr>
              <w:keepNext/>
              <w:jc w:val="center"/>
              <w:rPr>
                <w:rFonts w:ascii="Arial Narrow" w:hAnsi="Arial Narrow" w:cs="Calibri"/>
                <w:b/>
                <w:sz w:val="20"/>
                <w:szCs w:val="20"/>
              </w:rPr>
            </w:pPr>
            <w:r w:rsidRPr="001D3234">
              <w:rPr>
                <w:rFonts w:ascii="Arial Narrow" w:hAnsi="Arial Narrow" w:cs="Calibri"/>
                <w:b/>
                <w:bCs/>
                <w:sz w:val="20"/>
                <w:szCs w:val="20"/>
              </w:rPr>
              <w:t>(0.61, 0.92)</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-6.0</w:t>
            </w:r>
          </w:p>
          <w:p w:rsidR="000F6F40" w:rsidRPr="001D3234" w:rsidRDefault="000F6F40" w:rsidP="000D5E60">
            <w:pPr>
              <w:keepNext/>
              <w:jc w:val="center"/>
              <w:rPr>
                <w:rFonts w:ascii="Arial Narrow" w:hAnsi="Arial Narrow" w:cs="Calibri"/>
                <w:b/>
                <w:bCs/>
                <w:sz w:val="20"/>
                <w:szCs w:val="20"/>
              </w:rPr>
            </w:pPr>
            <w:r w:rsidRPr="001D3234">
              <w:rPr>
                <w:rFonts w:ascii="Arial Narrow" w:hAnsi="Arial Narrow" w:cs="Calibri"/>
                <w:b/>
                <w:bCs/>
                <w:sz w:val="20"/>
                <w:szCs w:val="20"/>
              </w:rPr>
              <w:t>(-10.1, -1.8)</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Grade 2-5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404 (56.4)</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425 (59.3)</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0.95</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(0.87, 1.04)</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-2.9</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(-8.0, 2.3)</w:t>
            </w:r>
          </w:p>
        </w:tc>
      </w:tr>
      <w:tr w:rsidR="000F6F40" w:rsidRPr="001D3234" w:rsidTr="006B236F">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grade 2-5 AE</w:t>
            </w:r>
          </w:p>
        </w:tc>
        <w:tc>
          <w:tcPr>
            <w:tcW w:w="500" w:type="pct"/>
            <w:shd w:val="clear" w:color="auto" w:fill="auto"/>
            <w:vAlign w:val="center"/>
          </w:tcPr>
          <w:p w:rsidR="000F6F40" w:rsidRPr="001D3234" w:rsidRDefault="000F6F40" w:rsidP="000D5E60">
            <w:pPr>
              <w:keepNext/>
              <w:jc w:val="center"/>
              <w:rPr>
                <w:rStyle w:val="TableText0"/>
              </w:rPr>
            </w:pPr>
            <w:r w:rsidRPr="001D3234">
              <w:rPr>
                <w:rStyle w:val="TableText0"/>
              </w:rPr>
              <w:t>21 (5.9)</w:t>
            </w:r>
          </w:p>
        </w:tc>
        <w:tc>
          <w:tcPr>
            <w:tcW w:w="553" w:type="pct"/>
            <w:shd w:val="clear" w:color="auto" w:fill="auto"/>
            <w:vAlign w:val="center"/>
          </w:tcPr>
          <w:p w:rsidR="000F6F40" w:rsidRPr="001D3234" w:rsidRDefault="000F6F40" w:rsidP="000D5E60">
            <w:pPr>
              <w:keepNext/>
              <w:jc w:val="center"/>
              <w:rPr>
                <w:rStyle w:val="TableText0"/>
              </w:rPr>
            </w:pPr>
            <w:r w:rsidRPr="001D3234">
              <w:rPr>
                <w:rStyle w:val="TableText0"/>
              </w:rPr>
              <w:t>25 (7.0)</w:t>
            </w:r>
          </w:p>
        </w:tc>
        <w:tc>
          <w:tcPr>
            <w:tcW w:w="521" w:type="pct"/>
            <w:shd w:val="clear" w:color="auto" w:fill="auto"/>
            <w:vAlign w:val="center"/>
          </w:tcPr>
          <w:p w:rsidR="000F6F40" w:rsidRPr="001D3234" w:rsidRDefault="000F6F40" w:rsidP="000D5E60">
            <w:pPr>
              <w:keepNext/>
              <w:jc w:val="center"/>
              <w:rPr>
                <w:rStyle w:val="TableText0"/>
              </w:rPr>
            </w:pPr>
            <w:r w:rsidRPr="001D3234">
              <w:rPr>
                <w:rStyle w:val="TableText0"/>
              </w:rPr>
              <w:t>21 (5.8)</w:t>
            </w:r>
          </w:p>
        </w:tc>
        <w:tc>
          <w:tcPr>
            <w:tcW w:w="547" w:type="pct"/>
            <w:shd w:val="clear" w:color="auto" w:fill="auto"/>
            <w:vAlign w:val="center"/>
          </w:tcPr>
          <w:p w:rsidR="000F6F40" w:rsidRPr="001D3234" w:rsidRDefault="000F6F40" w:rsidP="000D5E60">
            <w:pPr>
              <w:keepNext/>
              <w:jc w:val="center"/>
              <w:rPr>
                <w:rStyle w:val="TableText0"/>
              </w:rPr>
            </w:pPr>
            <w:r w:rsidRPr="001D3234">
              <w:rPr>
                <w:rStyle w:val="TableText0"/>
              </w:rPr>
              <w:t>22 (6.1)</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42 (5.9)</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47 (6.6)</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0.89</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(0.60, 1.34)</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-0.7</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(-3.2, 1.8)</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AE leading to withdrawal</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15 (2.1)</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16 (2.2)</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1.00</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(0.49, 2.03)</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-0.1</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(-1.6, 1.4)</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AE leading to withdrawal</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6 (0.8)</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9 (1.3)</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0.67</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(0.24, 1.87)</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-0.4</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(-1.5, 0.6)</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Any SAE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50 (7.0)</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55 (7.7)</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0.91</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(0.63, 1.32)</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-0.7</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(-3.4, 2.0)</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DR-SAE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 (0.6)</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4 (0.6)</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1.00</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(0.25, 3.99)</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 xml:space="preserve">0.0 </w:t>
            </w:r>
          </w:p>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(-0.8, 0.8)</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Fatal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 '''''''''''</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0" w:type="pct"/>
            <w:gridSpan w:val="2"/>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2 (0.3)</w:t>
            </w:r>
          </w:p>
        </w:tc>
        <w:tc>
          <w:tcPr>
            <w:tcW w:w="569" w:type="pct"/>
            <w:shd w:val="clear" w:color="auto" w:fill="FFFFFF" w:themeFill="background1"/>
            <w:vAlign w:val="center"/>
          </w:tcPr>
          <w:p w:rsidR="000F6F40" w:rsidRPr="001D3234" w:rsidRDefault="000F6F40" w:rsidP="000D5E60">
            <w:pPr>
              <w:keepNext/>
              <w:jc w:val="center"/>
              <w:rPr>
                <w:rStyle w:val="TableText0"/>
              </w:rPr>
            </w:pPr>
            <w:r w:rsidRPr="001D3234">
              <w:rPr>
                <w:rStyle w:val="TableText0"/>
              </w:rPr>
              <w:t>0</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1D3234" w:rsidRDefault="000F6F40" w:rsidP="000D5E60">
            <w:pPr>
              <w:keepNext/>
              <w:jc w:val="center"/>
              <w:rPr>
                <w:rFonts w:ascii="Arial Narrow" w:hAnsi="Arial Narrow" w:cs="Calibri"/>
                <w:sz w:val="20"/>
                <w:szCs w:val="20"/>
              </w:rPr>
            </w:pPr>
            <w:r w:rsidRPr="001D3234">
              <w:rPr>
                <w:rFonts w:ascii="Arial Narrow" w:hAnsi="Arial Narrow" w:cs="Calibri"/>
                <w:sz w:val="20"/>
                <w:szCs w:val="20"/>
              </w:rPr>
              <w:t>0.3 (-0.1, 0.7)</w:t>
            </w:r>
          </w:p>
        </w:tc>
      </w:tr>
      <w:tr w:rsidR="000F6F40" w:rsidRPr="001D3234" w:rsidTr="00FB4E07">
        <w:trPr>
          <w:trHeight w:val="229"/>
        </w:trPr>
        <w:tc>
          <w:tcPr>
            <w:tcW w:w="636" w:type="pct"/>
            <w:shd w:val="clear" w:color="auto" w:fill="FFFFFF" w:themeFill="background1"/>
            <w:vAlign w:val="center"/>
          </w:tcPr>
          <w:p w:rsidR="000F6F40" w:rsidRPr="001D3234" w:rsidRDefault="000F6F40" w:rsidP="000D5E60">
            <w:pPr>
              <w:keepNext/>
              <w:jc w:val="left"/>
              <w:rPr>
                <w:rStyle w:val="TableText0"/>
              </w:rPr>
            </w:pPr>
            <w:r w:rsidRPr="001D3234">
              <w:rPr>
                <w:rStyle w:val="TableText0"/>
              </w:rPr>
              <w:t>DR fatal AE</w:t>
            </w:r>
          </w:p>
        </w:tc>
        <w:tc>
          <w:tcPr>
            <w:tcW w:w="500"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53"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1"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47"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20" w:type="pct"/>
            <w:gridSpan w:val="2"/>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569" w:type="pct"/>
            <w:shd w:val="clear" w:color="auto" w:fill="auto"/>
            <w:vAlign w:val="center"/>
          </w:tcPr>
          <w:p w:rsidR="000F6F40" w:rsidRPr="00613737" w:rsidRDefault="00613737" w:rsidP="000D5E60">
            <w:pPr>
              <w:keepNext/>
              <w:jc w:val="center"/>
              <w:rPr>
                <w:rStyle w:val="TableText0"/>
                <w:highlight w:val="black"/>
              </w:rPr>
            </w:pPr>
            <w:r>
              <w:rPr>
                <w:rStyle w:val="TableText0"/>
                <w:noProof/>
                <w:color w:val="000000"/>
                <w:highlight w:val="black"/>
              </w:rPr>
              <w:t>'''</w:t>
            </w:r>
          </w:p>
        </w:tc>
        <w:tc>
          <w:tcPr>
            <w:tcW w:w="607" w:type="pct"/>
            <w:tcBorders>
              <w:top w:val="nil"/>
              <w:left w:val="single" w:sz="4" w:space="0" w:color="auto"/>
              <w:bottom w:val="single" w:sz="4" w:space="0" w:color="auto"/>
              <w:right w:val="single" w:sz="4" w:space="0" w:color="auto"/>
            </w:tcBorders>
            <w:shd w:val="clear" w:color="auto" w:fill="auto"/>
            <w:vAlign w:val="center"/>
          </w:tcPr>
          <w:p w:rsidR="000F6F40" w:rsidRPr="00613737" w:rsidRDefault="00613737" w:rsidP="000D5E60">
            <w:pPr>
              <w:keepNext/>
              <w:jc w:val="center"/>
              <w:rPr>
                <w:rFonts w:ascii="Arial Narrow" w:hAnsi="Arial Narrow" w:cs="Calibri"/>
                <w:sz w:val="20"/>
                <w:szCs w:val="20"/>
                <w:highlight w:val="black"/>
              </w:rPr>
            </w:pPr>
            <w:r>
              <w:rPr>
                <w:rFonts w:ascii="Arial Narrow" w:hAnsi="Arial Narrow" w:cs="Calibri"/>
                <w:bCs/>
                <w:noProof/>
                <w:color w:val="000000"/>
                <w:sz w:val="20"/>
                <w:szCs w:val="20"/>
                <w:highlight w:val="black"/>
              </w:rPr>
              <w:t>'''</w:t>
            </w:r>
          </w:p>
        </w:tc>
        <w:tc>
          <w:tcPr>
            <w:tcW w:w="547" w:type="pct"/>
            <w:tcBorders>
              <w:top w:val="nil"/>
              <w:left w:val="single" w:sz="4" w:space="0" w:color="auto"/>
              <w:bottom w:val="single" w:sz="4" w:space="0" w:color="auto"/>
              <w:right w:val="single" w:sz="4" w:space="0" w:color="auto"/>
            </w:tcBorders>
            <w:shd w:val="clear" w:color="auto" w:fill="auto"/>
            <w:vAlign w:val="center"/>
          </w:tcPr>
          <w:p w:rsidR="000F6F40" w:rsidRPr="00613737" w:rsidRDefault="00613737" w:rsidP="000D5E60">
            <w:pPr>
              <w:keepNext/>
              <w:jc w:val="center"/>
              <w:rPr>
                <w:rFonts w:ascii="Arial Narrow" w:hAnsi="Arial Narrow" w:cs="Calibri"/>
                <w:bCs/>
                <w:sz w:val="20"/>
                <w:szCs w:val="20"/>
                <w:highlight w:val="black"/>
              </w:rPr>
            </w:pPr>
            <w:r>
              <w:rPr>
                <w:rFonts w:ascii="Arial Narrow" w:hAnsi="Arial Narrow" w:cs="Calibri"/>
                <w:noProof/>
                <w:color w:val="000000"/>
                <w:sz w:val="20"/>
                <w:szCs w:val="20"/>
                <w:highlight w:val="black"/>
              </w:rPr>
              <w:t>'''''''' ''''''''''' '''''''''</w:t>
            </w:r>
          </w:p>
        </w:tc>
      </w:tr>
    </w:tbl>
    <w:p w:rsidR="000F6F40" w:rsidRPr="001D3234" w:rsidRDefault="000F6F40" w:rsidP="000F6F40">
      <w:pPr>
        <w:pStyle w:val="TableFooter"/>
      </w:pPr>
      <w:r w:rsidRPr="001D3234">
        <w:t>Source: Table 48, p71 of the submission. 3TC = lamivudine; AE = adverse events; CI = confidence interval; DR = drug related; DTG = dolutegravir; FTC = emtricitabine; RD = risk difference; RR = relative risk; SAE = serious adverse event; TDF = tenofovir disoproxil fumarate</w:t>
      </w:r>
      <w:r w:rsidR="001D3234">
        <w:t xml:space="preserve">. </w:t>
      </w:r>
      <w:r w:rsidRPr="001D3234">
        <w:t>Source: Module 5.3.5.3 – ISS: Table 3; ^Ad-hoc analyses</w:t>
      </w:r>
    </w:p>
    <w:p w:rsidR="000F6F40" w:rsidRPr="001D3234" w:rsidRDefault="000F6F40" w:rsidP="000F6F40">
      <w:pPr>
        <w:pStyle w:val="TableFooter"/>
      </w:pPr>
      <w:r w:rsidRPr="001D3234">
        <w:rPr>
          <w:b/>
        </w:rPr>
        <w:t>Bolded values</w:t>
      </w:r>
      <w:r w:rsidRPr="001D3234">
        <w:t xml:space="preserve"> denote statistically significant differences. </w:t>
      </w:r>
    </w:p>
    <w:p w:rsidR="000F6F40" w:rsidRPr="001D3234" w:rsidRDefault="000F6F40" w:rsidP="000F6F40">
      <w:pPr>
        <w:pStyle w:val="TableFooter"/>
      </w:pPr>
    </w:p>
    <w:p w:rsidR="000F6F40" w:rsidRPr="001D3234" w:rsidRDefault="000F6F40" w:rsidP="00F57461">
      <w:pPr>
        <w:pStyle w:val="ListParagraph"/>
        <w:widowControl/>
        <w:numPr>
          <w:ilvl w:val="1"/>
          <w:numId w:val="1"/>
        </w:numPr>
        <w:spacing w:after="120"/>
      </w:pPr>
      <w:r w:rsidRPr="001D3234">
        <w:t xml:space="preserve">The overall incidence of AEs was slightly lower in the DTG + 3TC compared to the DTG + </w:t>
      </w:r>
      <w:r w:rsidR="00DF35C1" w:rsidRPr="001D3234">
        <w:t>Truvada®</w:t>
      </w:r>
      <w:r w:rsidRPr="001D3234">
        <w:t xml:space="preserve"> group (76% vs 81%). The most commonly reported AEs were headache, diarrhoea, nasopharyngitis, upper respiratory tract infection (URTI), nausea, insomnia, and pharyngitis. The proportion of subjects reporting events were generally similar across the system organ classes (SOCs) with minor differences observed for some SOCs such as gastro-intestinal disorder, mainly due to higher reporting rate in the DTG + </w:t>
      </w:r>
      <w:r w:rsidR="00DF35C1" w:rsidRPr="001D3234">
        <w:t>Truvada®</w:t>
      </w:r>
      <w:r w:rsidRPr="001D3234">
        <w:t xml:space="preserve"> group of nausea and diarrhoea. Most of the AEs were Grade 1 (19% vs 21%) or Grade 2 (50% vs 51%) with a similar proportion of subjects reporting any Grade 2-5 AE in the two treatment groups.</w:t>
      </w:r>
    </w:p>
    <w:p w:rsidR="000A1EB9" w:rsidRPr="001D3234" w:rsidRDefault="000A1EB9" w:rsidP="00F57461">
      <w:pPr>
        <w:pStyle w:val="ListParagraph"/>
        <w:widowControl/>
        <w:numPr>
          <w:ilvl w:val="1"/>
          <w:numId w:val="1"/>
        </w:numPr>
        <w:spacing w:after="120"/>
      </w:pPr>
      <w:r w:rsidRPr="001D3234">
        <w:t>The TGA clinical evaluator considered the safety data from the randomised, double-blind Phase III studies comparing DTG + 3TC to a standard-of-care regimen of DTG + Truvada® was consistent with the known safety profile for the individual products (p60 of CER [round 1]).</w:t>
      </w:r>
    </w:p>
    <w:p w:rsidR="000F6F40" w:rsidRPr="001D3234" w:rsidRDefault="000F6F40" w:rsidP="00F57461">
      <w:pPr>
        <w:pStyle w:val="ListParagraph"/>
        <w:widowControl/>
        <w:numPr>
          <w:ilvl w:val="1"/>
          <w:numId w:val="1"/>
        </w:numPr>
        <w:spacing w:after="120"/>
      </w:pPr>
      <w:r w:rsidRPr="001D3234">
        <w:t xml:space="preserve">The TGA clinical evaluator noted the “exact number of patients exposed for 6 months and 12 months was not provided. The planned 96 week and 148 week analysis should </w:t>
      </w:r>
      <w:r w:rsidRPr="001D3234">
        <w:lastRenderedPageBreak/>
        <w:t>provide the necessary long-term safety data for proposed combination” (p59 of CER [round 1]).</w:t>
      </w:r>
    </w:p>
    <w:p w:rsidR="000F6F40" w:rsidRPr="001D3234" w:rsidRDefault="000F6F40" w:rsidP="00F57461">
      <w:pPr>
        <w:pStyle w:val="ListParagraph"/>
        <w:widowControl/>
        <w:numPr>
          <w:ilvl w:val="1"/>
          <w:numId w:val="1"/>
        </w:numPr>
        <w:spacing w:after="120"/>
      </w:pPr>
      <w:r w:rsidRPr="001D3234">
        <w:t>The TGA clinical evaluator also noted that patients with suicidality risk were excluded from both pivotal studies (p44 of CER). The Advisory Board Minutes included in Appendix 1 to the submission noted that in the clinical scenario of major depression, DTG was distinct from other INSTIs and that use should trend towards caution</w:t>
      </w:r>
      <w:r w:rsidR="00037980" w:rsidRPr="001D3234">
        <w:t>.</w:t>
      </w:r>
    </w:p>
    <w:p w:rsidR="000F6F40" w:rsidRPr="001D3234" w:rsidRDefault="000F6F40" w:rsidP="00F57461">
      <w:pPr>
        <w:pStyle w:val="ListParagraph"/>
        <w:widowControl/>
        <w:numPr>
          <w:ilvl w:val="1"/>
          <w:numId w:val="1"/>
        </w:numPr>
        <w:spacing w:after="120"/>
      </w:pPr>
      <w:r w:rsidRPr="001D3234">
        <w:t>The submission also presented results of renal and bone turnover biomarkers as well as lipid parameters. Briefly, the results indicated:</w:t>
      </w:r>
    </w:p>
    <w:p w:rsidR="000F6F40" w:rsidRPr="001D3234" w:rsidRDefault="000F6F40" w:rsidP="00F57461">
      <w:pPr>
        <w:pStyle w:val="ListParagraph"/>
        <w:numPr>
          <w:ilvl w:val="0"/>
          <w:numId w:val="6"/>
        </w:numPr>
        <w:spacing w:after="120"/>
        <w:ind w:left="993" w:hanging="284"/>
      </w:pPr>
      <w:r w:rsidRPr="001D3234">
        <w:t>A statistically significant greater decrease in estimated</w:t>
      </w:r>
      <w:r w:rsidR="00630135" w:rsidRPr="001D3234">
        <w:t xml:space="preserve"> glomerular filtration rate</w:t>
      </w:r>
      <w:r w:rsidRPr="001D3234">
        <w:t xml:space="preserve"> </w:t>
      </w:r>
      <w:r w:rsidR="00630135" w:rsidRPr="001D3234">
        <w:t>(</w:t>
      </w:r>
      <w:r w:rsidRPr="001D3234">
        <w:t>GFR</w:t>
      </w:r>
      <w:r w:rsidR="00630135" w:rsidRPr="001D3234">
        <w:t>)</w:t>
      </w:r>
      <w:r w:rsidRPr="001D3234">
        <w:t xml:space="preserve"> using creatinine-adjusted CKD-EPI equation in the DTG + </w:t>
      </w:r>
      <w:r w:rsidR="00DF35C1" w:rsidRPr="001D3234">
        <w:t>Truvada®</w:t>
      </w:r>
      <w:r w:rsidRPr="001D3234">
        <w:t xml:space="preserve"> group compared with the DTG + 3TC group (GFR = 3.4ml/min per 1.73m</w:t>
      </w:r>
      <w:r w:rsidRPr="001D3234">
        <w:rPr>
          <w:vertAlign w:val="superscript"/>
        </w:rPr>
        <w:t>2</w:t>
      </w:r>
      <w:r w:rsidRPr="001D3234">
        <w:t xml:space="preserve">, 95% CI: 2.2, 4.5, p&lt;0.001). For estimated GFR using cystatin C-adjusted CKD-EPI equation there was a statistically significant increase in the DTG + 3TC group compared with the DTG + </w:t>
      </w:r>
      <w:r w:rsidR="00DF35C1" w:rsidRPr="001D3234">
        <w:t>Truvada®</w:t>
      </w:r>
      <w:r w:rsidRPr="001D3234">
        <w:t xml:space="preserve"> group (GFR =2.2ml/min per 1.73m</w:t>
      </w:r>
      <w:r w:rsidRPr="001D3234">
        <w:rPr>
          <w:vertAlign w:val="superscript"/>
        </w:rPr>
        <w:t>2</w:t>
      </w:r>
      <w:r w:rsidRPr="001D3234">
        <w:t xml:space="preserve">, 95% CI: 1.0, 3.4p&lt;0.001). The submission considered that overall, changes in renal biomarkers were generally favourable for DTG + 3TC compared to DTG + </w:t>
      </w:r>
      <w:r w:rsidR="00DF35C1" w:rsidRPr="001D3234">
        <w:t>Truvada®</w:t>
      </w:r>
      <w:r w:rsidRPr="001D3234">
        <w:t>. For unadjusted serum creatinine outcomes and unadjusted serum Cystatin C outcomes across the GEMINI trials and pooled analyses, confidence intervals crossed zero for most comparisons. Overall, it was difficult to assess the clinical meaningfulness of these results, particularly over a 48 week treatment duration.</w:t>
      </w:r>
    </w:p>
    <w:p w:rsidR="000F6F40" w:rsidRPr="001D3234" w:rsidRDefault="000F6F40" w:rsidP="00F57461">
      <w:pPr>
        <w:pStyle w:val="ListParagraph"/>
        <w:numPr>
          <w:ilvl w:val="0"/>
          <w:numId w:val="6"/>
        </w:numPr>
        <w:spacing w:after="120"/>
        <w:ind w:left="993" w:hanging="284"/>
      </w:pPr>
      <w:r w:rsidRPr="001D3234">
        <w:t xml:space="preserve">At Week 48 across the pivotal trials and the pooled analysis, all markers of bone turnover assessed increased from baseline in both treatment groups. Significantly larger increases in bone turnover markers were observed in the DTG + </w:t>
      </w:r>
      <w:r w:rsidR="00DF35C1" w:rsidRPr="001D3234">
        <w:t>Truvada®</w:t>
      </w:r>
      <w:r w:rsidRPr="001D3234">
        <w:t xml:space="preserve"> arm when compared to the DTG + 3TC arm. It was unclear to</w:t>
      </w:r>
      <w:r w:rsidR="00DE338A" w:rsidRPr="001D3234">
        <w:t xml:space="preserve"> if, or to</w:t>
      </w:r>
      <w:r w:rsidRPr="001D3234">
        <w:t xml:space="preserve"> what extent</w:t>
      </w:r>
      <w:r w:rsidR="00DE338A" w:rsidRPr="001D3234">
        <w:t>,</w:t>
      </w:r>
      <w:r w:rsidRPr="001D3234">
        <w:t xml:space="preserve"> these differences could result in a significant difference in fracture risk between treatment arms.</w:t>
      </w:r>
    </w:p>
    <w:p w:rsidR="001F430B" w:rsidRPr="001D3234" w:rsidRDefault="000F6F40" w:rsidP="001A0D42">
      <w:pPr>
        <w:pStyle w:val="ListParagraph"/>
        <w:numPr>
          <w:ilvl w:val="0"/>
          <w:numId w:val="6"/>
        </w:numPr>
        <w:spacing w:after="120"/>
        <w:ind w:left="993" w:hanging="284"/>
      </w:pPr>
      <w:r w:rsidRPr="001D3234">
        <w:t>In the pooled analysis, changes in LDL, HDL and total cholesterol parameters at Week 48 compared to baseline varied across the treatment arms, with a mean increase observed in the DTG + 3TC arm (LDL: 0.17</w:t>
      </w:r>
      <w:r w:rsidR="00570B56" w:rsidRPr="001D3234">
        <w:t xml:space="preserve"> mmol/L</w:t>
      </w:r>
      <w:r w:rsidRPr="001D3234">
        <w:t>; HDL: 0.15</w:t>
      </w:r>
      <w:r w:rsidR="00570B56" w:rsidRPr="001D3234">
        <w:t xml:space="preserve"> mmol/L</w:t>
      </w:r>
      <w:r w:rsidRPr="001D3234">
        <w:t>; total cholesterol: 0.32</w:t>
      </w:r>
      <w:r w:rsidR="00570B56" w:rsidRPr="001D3234">
        <w:t xml:space="preserve"> mmol/L</w:t>
      </w:r>
      <w:r w:rsidRPr="001D3234">
        <w:t xml:space="preserve">) and a decrease or marginal differences observed in the DTG + </w:t>
      </w:r>
      <w:r w:rsidR="00DF35C1" w:rsidRPr="001D3234">
        <w:t>Truvada®</w:t>
      </w:r>
      <w:r w:rsidRPr="001D3234">
        <w:t xml:space="preserve"> arm (LDL: -0.14</w:t>
      </w:r>
      <w:r w:rsidR="00570B56" w:rsidRPr="001D3234">
        <w:t xml:space="preserve"> mmol/L</w:t>
      </w:r>
      <w:r w:rsidRPr="001D3234">
        <w:t>; HDL: 0.02</w:t>
      </w:r>
      <w:r w:rsidR="00570B56" w:rsidRPr="001D3234">
        <w:t xml:space="preserve"> mmol/L</w:t>
      </w:r>
      <w:r w:rsidRPr="001D3234">
        <w:t>; total cholesterol: -0.15</w:t>
      </w:r>
      <w:r w:rsidR="00570B56" w:rsidRPr="001D3234">
        <w:t xml:space="preserve"> mmol/L</w:t>
      </w:r>
      <w:r w:rsidRPr="001D3234">
        <w:t>)</w:t>
      </w:r>
      <w:r w:rsidR="00397AA9" w:rsidRPr="001D3234">
        <w:t>;</w:t>
      </w:r>
      <w:r w:rsidRPr="001D3234">
        <w:t xml:space="preserve"> adjusted differences between the groups were statistically significant (p&lt;0.001). For total cholesterol/HDL ratio, both treatment groups showed an overall reduction with a greater reduction observed in the DTG + </w:t>
      </w:r>
      <w:r w:rsidR="00DF35C1" w:rsidRPr="001D3234">
        <w:t>Truvada®</w:t>
      </w:r>
      <w:r w:rsidRPr="001D3234">
        <w:t xml:space="preserve"> arm compared to the DTG + 3TC arm (p=0.018).</w:t>
      </w:r>
    </w:p>
    <w:p w:rsidR="00F57461" w:rsidRPr="001D3234" w:rsidRDefault="000F6F40" w:rsidP="00F57461">
      <w:pPr>
        <w:pStyle w:val="ListParagraph"/>
        <w:widowControl/>
        <w:numPr>
          <w:ilvl w:val="1"/>
          <w:numId w:val="1"/>
        </w:numPr>
        <w:spacing w:after="0"/>
      </w:pPr>
      <w:r w:rsidRPr="001D3234">
        <w:t>The submission presented a lengthy discussion</w:t>
      </w:r>
      <w:r w:rsidR="00D53FEA" w:rsidRPr="001D3234">
        <w:t xml:space="preserve"> of safety profiles of various a</w:t>
      </w:r>
      <w:r w:rsidRPr="001D3234">
        <w:t xml:space="preserve">ntiretroviral agents, with special importance placed on the safety profile of TDF. This discussion, largely based on observational datasets was used to support a claim that TDF regimens were inferior to non-TDF regimens in terms of safety. The submission’s claims regarding bone toxicity did not seem to be supported by the overall evidence. </w:t>
      </w:r>
      <w:r w:rsidRPr="001D3234">
        <w:lastRenderedPageBreak/>
        <w:t>While it appeared that TDF was associated with long term kidney toxicity in multiple long-term observational datasets, the comparative trial of TDF versus TAF regimens presented did not consistently support this claim, nor did the GEMINI trials (versus DTG + Truvada®).</w:t>
      </w:r>
      <w:r w:rsidR="00CB7F0B" w:rsidRPr="001D3234">
        <w:t xml:space="preserve"> The ESC considered no evidence was presented that supported a</w:t>
      </w:r>
      <w:r w:rsidR="00570B56" w:rsidRPr="001D3234">
        <w:t xml:space="preserve"> difference in safety between a regimen containing TDF (DTG + Truvada) </w:t>
      </w:r>
      <w:r w:rsidR="00CB7F0B" w:rsidRPr="001D3234">
        <w:t>and concomitant dolutegravir + lamivudine (DTG + 3TC) in the GEMINI trials</w:t>
      </w:r>
      <w:r w:rsidR="001D3234">
        <w:t xml:space="preserve">. </w:t>
      </w:r>
    </w:p>
    <w:p w:rsidR="000F6F40" w:rsidRPr="001A0D42" w:rsidRDefault="000F6F40" w:rsidP="001A0D42">
      <w:pPr>
        <w:pStyle w:val="Heading2"/>
        <w:spacing w:before="120" w:after="120"/>
      </w:pPr>
      <w:bookmarkStart w:id="25" w:name="_Toc9405799"/>
      <w:r w:rsidRPr="001A0D42">
        <w:t>Clinical claim</w:t>
      </w:r>
      <w:bookmarkEnd w:id="25"/>
    </w:p>
    <w:p w:rsidR="000F6F40" w:rsidRPr="001D3234" w:rsidRDefault="000F6F40" w:rsidP="00F57461">
      <w:pPr>
        <w:pStyle w:val="ListParagraph"/>
        <w:widowControl/>
        <w:numPr>
          <w:ilvl w:val="1"/>
          <w:numId w:val="1"/>
        </w:numPr>
        <w:spacing w:after="120"/>
      </w:pPr>
      <w:r w:rsidRPr="001D3234">
        <w:t>The submission made the following clinical claims:</w:t>
      </w:r>
    </w:p>
    <w:p w:rsidR="000F6F40" w:rsidRPr="001D3234" w:rsidRDefault="00CA03CF" w:rsidP="00F57461">
      <w:pPr>
        <w:pStyle w:val="ListParagraph"/>
        <w:widowControl/>
        <w:numPr>
          <w:ilvl w:val="1"/>
          <w:numId w:val="11"/>
        </w:numPr>
        <w:spacing w:after="120"/>
        <w:ind w:left="993" w:hanging="284"/>
      </w:pPr>
      <w:r w:rsidRPr="001D3234">
        <w:t>Dovato</w:t>
      </w:r>
      <w:r w:rsidRPr="001D3234">
        <w:rPr>
          <w:rFonts w:cs="Calibri"/>
          <w:vertAlign w:val="superscript"/>
        </w:rPr>
        <w:t>®</w:t>
      </w:r>
      <w:r w:rsidR="006C327B" w:rsidRPr="001D3234">
        <w:rPr>
          <w:rFonts w:cs="Calibri"/>
          <w:vertAlign w:val="superscript"/>
        </w:rPr>
        <w:t xml:space="preserve"> </w:t>
      </w:r>
      <w:r w:rsidR="000F6F40" w:rsidRPr="001D3234">
        <w:t>is an acceptable pharmacokinetic bridge to co-administration of the individual components (DTG + 3TC). The TGA clinical evaluator (round 1) accepted this claim.</w:t>
      </w:r>
    </w:p>
    <w:p w:rsidR="000A1EB9" w:rsidRPr="001D3234" w:rsidRDefault="00CA03CF" w:rsidP="00F57461">
      <w:pPr>
        <w:pStyle w:val="ListParagraph"/>
        <w:widowControl/>
        <w:numPr>
          <w:ilvl w:val="1"/>
          <w:numId w:val="11"/>
        </w:numPr>
        <w:spacing w:after="120"/>
        <w:ind w:left="993" w:hanging="284"/>
      </w:pPr>
      <w:r w:rsidRPr="001D3234">
        <w:t>Dovato</w:t>
      </w:r>
      <w:r w:rsidRPr="001D3234">
        <w:rPr>
          <w:rFonts w:cs="Calibri"/>
          <w:vertAlign w:val="superscript"/>
        </w:rPr>
        <w:t>®</w:t>
      </w:r>
      <w:r w:rsidR="00E8037D" w:rsidRPr="001D3234">
        <w:rPr>
          <w:rFonts w:cs="Calibri"/>
          <w:vertAlign w:val="superscript"/>
        </w:rPr>
        <w:t xml:space="preserve"> </w:t>
      </w:r>
      <w:r w:rsidR="000F6F40" w:rsidRPr="001D3234">
        <w:t xml:space="preserve">is non-inferior in terms of effectiveness in comparison to Biktarvy®, Genvoya®, Stribild®, Odefsey®, Eviplera® and Triumeq® for the treatment of HIV infection. </w:t>
      </w:r>
      <w:r w:rsidR="000A1EB9" w:rsidRPr="001D3234">
        <w:t>This relies on the acceptance that the DTG + Truvada® combination assessed in the GEMINI trials could act as a proxy for other three-drug regimens. It should be noted that the included pivotal trial data is only reflective of a treatment-naïve population. The submission considered it reasonable to extrapolate this claim to a treatment switch population on the basis of:</w:t>
      </w:r>
    </w:p>
    <w:p w:rsidR="000F6F40" w:rsidRPr="001D3234" w:rsidRDefault="000F6F40" w:rsidP="00F57461">
      <w:pPr>
        <w:pStyle w:val="ListParagraph"/>
        <w:numPr>
          <w:ilvl w:val="0"/>
          <w:numId w:val="8"/>
        </w:numPr>
        <w:spacing w:after="120"/>
        <w:ind w:left="1276" w:hanging="283"/>
      </w:pPr>
      <w:r w:rsidRPr="001D3234">
        <w:t>PBAC consideration of Stribild® (Cobicistat + elvitegravir + emtricitabine + tenofovir PSD, March 2013</w:t>
      </w:r>
      <w:r w:rsidR="00956E38" w:rsidRPr="001D3234">
        <w:t>,</w:t>
      </w:r>
      <w:r w:rsidRPr="001D3234">
        <w:t xml:space="preserve"> Section 12 (p5)); </w:t>
      </w:r>
    </w:p>
    <w:p w:rsidR="000F6F40" w:rsidRPr="001D3234" w:rsidRDefault="000F6F40" w:rsidP="00F57461">
      <w:pPr>
        <w:pStyle w:val="ListParagraph"/>
        <w:numPr>
          <w:ilvl w:val="0"/>
          <w:numId w:val="8"/>
        </w:numPr>
        <w:spacing w:after="120"/>
        <w:ind w:left="1276" w:hanging="283"/>
      </w:pPr>
      <w:r w:rsidRPr="001D3234">
        <w:t xml:space="preserve">Additional observational data and headline results of the TANGO trial. </w:t>
      </w:r>
    </w:p>
    <w:p w:rsidR="000F6F40" w:rsidRPr="001D3234" w:rsidRDefault="000F6F40" w:rsidP="00F57461">
      <w:pPr>
        <w:widowControl/>
        <w:spacing w:after="120"/>
        <w:ind w:left="993"/>
      </w:pPr>
      <w:r w:rsidRPr="001D3234">
        <w:t xml:space="preserve">The TGA evaluator (round 1) considered that the evidence </w:t>
      </w:r>
      <w:r w:rsidR="006530DA">
        <w:t xml:space="preserve">presented in the TGA dossier </w:t>
      </w:r>
      <w:r w:rsidRPr="001D3234">
        <w:t>did not support an indication that included switch</w:t>
      </w:r>
      <w:r w:rsidR="00CA03CF" w:rsidRPr="001D3234">
        <w:t xml:space="preserve"> or treatment-experienced</w:t>
      </w:r>
      <w:r w:rsidRPr="001D3234">
        <w:t xml:space="preserve"> patients. </w:t>
      </w:r>
      <w:r w:rsidR="0006676B">
        <w:t>The evaluation noted that s</w:t>
      </w:r>
      <w:r w:rsidRPr="001D3234">
        <w:t xml:space="preserve">hould this be the case, there would be no grounds to include the </w:t>
      </w:r>
      <w:r w:rsidR="00CA03CF" w:rsidRPr="001D3234">
        <w:t xml:space="preserve">treatment-experienced </w:t>
      </w:r>
      <w:r w:rsidRPr="001D3234">
        <w:t>population in a PBS listing. It should also be noted that the GEMINI trials, while largely representative of the Australian population, did appear to have a lower proportion of patients with advanced HIV than the Australian population, and the GEMINI subgroup analyses did indicate a difference in comparative efficacy</w:t>
      </w:r>
      <w:r w:rsidR="00570B56" w:rsidRPr="001D3234">
        <w:t xml:space="preserve"> between treatments</w:t>
      </w:r>
      <w:r w:rsidRPr="001D3234">
        <w:t xml:space="preserve"> in advanced HIV subgroups. </w:t>
      </w:r>
    </w:p>
    <w:p w:rsidR="00184228" w:rsidRPr="001D3234" w:rsidRDefault="000F6F40" w:rsidP="00F57461">
      <w:pPr>
        <w:pStyle w:val="ListParagraph"/>
        <w:widowControl/>
        <w:numPr>
          <w:ilvl w:val="1"/>
          <w:numId w:val="11"/>
        </w:numPr>
        <w:spacing w:after="120"/>
        <w:ind w:left="993" w:hanging="284"/>
      </w:pPr>
      <w:r w:rsidRPr="001D3234">
        <w:t>TDF regimens (Stribild®, Eviplera®) are inferior in terms of safety to non-TDF regimens (</w:t>
      </w:r>
      <w:r w:rsidR="00E8037D" w:rsidRPr="001D3234">
        <w:t>Dovato®</w:t>
      </w:r>
      <w:r w:rsidRPr="001D3234">
        <w:t xml:space="preserve">, Triumeq®, Biktarvy®, Genvoya®, Odefsey®) for the treatment of HIV infection. The submission presented a lengthy discussion of observational data and limited trial data comparing TDF and TAF containing regimens. The submission’s claims regarding bone toxicity did not seem to be supported by the overall evidence. While it appeared that TDF was associated with long term kidney toxicity in multiple long-term observational datasets, the comparative trial of TDF versus TAF regimens presented did not consistently support this claim, nor did the GEMINI trials (versus DTG + Truvada®). The submission considered that </w:t>
      </w:r>
      <w:r w:rsidR="001D3234" w:rsidRPr="001D3234">
        <w:t>based on</w:t>
      </w:r>
      <w:r w:rsidRPr="001D3234">
        <w:t xml:space="preserve"> </w:t>
      </w:r>
      <w:r w:rsidRPr="001D3234">
        <w:lastRenderedPageBreak/>
        <w:t>the submission’s consideration of extended harms, a claim of inferior safety should be accepted without a trial-based comparison. Alternatively, this claim may be considered a circumvention of a superiority claim on which to base a price premium, which would be based on largely non comparative evidence.</w:t>
      </w:r>
    </w:p>
    <w:p w:rsidR="008B4AEE" w:rsidRPr="001D3234" w:rsidRDefault="008B4AEE" w:rsidP="00F57461">
      <w:pPr>
        <w:pStyle w:val="ListParagraph"/>
        <w:widowControl/>
        <w:numPr>
          <w:ilvl w:val="1"/>
          <w:numId w:val="1"/>
        </w:numPr>
        <w:spacing w:after="120"/>
        <w:rPr>
          <w:rStyle w:val="CommentReference"/>
          <w:rFonts w:ascii="Calibri" w:hAnsi="Calibri"/>
          <w:sz w:val="24"/>
          <w:szCs w:val="24"/>
        </w:rPr>
      </w:pPr>
      <w:r w:rsidRPr="001D3234">
        <w:rPr>
          <w:rStyle w:val="CommentReference"/>
          <w:rFonts w:ascii="Calibri" w:hAnsi="Calibri" w:cs="Calibri"/>
          <w:b w:val="0"/>
          <w:sz w:val="24"/>
          <w:szCs w:val="24"/>
        </w:rPr>
        <w:t>The Pre-PBAC Response argued there was adequate evidence and precedent to conclude DTG + Truvada could act as a proxy for alternative FDC therapies.</w:t>
      </w:r>
    </w:p>
    <w:p w:rsidR="00C3435D" w:rsidRPr="001D3234" w:rsidRDefault="00C3435D" w:rsidP="00F57461">
      <w:pPr>
        <w:pStyle w:val="ListParagraph"/>
        <w:widowControl/>
        <w:numPr>
          <w:ilvl w:val="1"/>
          <w:numId w:val="1"/>
        </w:numPr>
        <w:spacing w:after="120"/>
        <w:rPr>
          <w:rStyle w:val="CommentReference"/>
          <w:rFonts w:ascii="Calibri" w:hAnsi="Calibri" w:cs="Calibri"/>
          <w:b w:val="0"/>
          <w:sz w:val="24"/>
          <w:szCs w:val="24"/>
        </w:rPr>
      </w:pPr>
      <w:r w:rsidRPr="001D3234">
        <w:rPr>
          <w:rStyle w:val="CommentReference"/>
          <w:rFonts w:ascii="Calibri" w:hAnsi="Calibri" w:cs="Calibri"/>
          <w:b w:val="0"/>
          <w:sz w:val="24"/>
          <w:szCs w:val="24"/>
        </w:rPr>
        <w:t>The PBAC considered that the claim of non-inferior comparative effectiveness was reasonable</w:t>
      </w:r>
      <w:r w:rsidR="00B3509D" w:rsidRPr="001D3234">
        <w:rPr>
          <w:rStyle w:val="CommentReference"/>
          <w:rFonts w:ascii="Calibri" w:hAnsi="Calibri" w:cs="Calibri"/>
          <w:b w:val="0"/>
          <w:sz w:val="24"/>
          <w:szCs w:val="24"/>
        </w:rPr>
        <w:t xml:space="preserve"> for the treatment-naïve population and deferred consideration of the claim for the treatment-experienced population pending further clarity on the likely final conditions of TGA registration.</w:t>
      </w:r>
    </w:p>
    <w:p w:rsidR="007379BB" w:rsidRPr="001D3234" w:rsidRDefault="00C3435D" w:rsidP="00F57461">
      <w:pPr>
        <w:pStyle w:val="ListParagraph"/>
        <w:widowControl/>
        <w:numPr>
          <w:ilvl w:val="1"/>
          <w:numId w:val="1"/>
        </w:numPr>
        <w:spacing w:after="120"/>
        <w:rPr>
          <w:rStyle w:val="CommentReference"/>
          <w:rFonts w:ascii="Calibri" w:hAnsi="Calibri" w:cs="Calibri"/>
          <w:b w:val="0"/>
          <w:sz w:val="24"/>
          <w:szCs w:val="24"/>
        </w:rPr>
      </w:pPr>
      <w:r w:rsidRPr="001D3234">
        <w:rPr>
          <w:rStyle w:val="CommentReference"/>
          <w:rFonts w:ascii="Calibri" w:hAnsi="Calibri" w:cs="Calibri"/>
          <w:b w:val="0"/>
          <w:sz w:val="24"/>
          <w:szCs w:val="24"/>
        </w:rPr>
        <w:t xml:space="preserve">The PBAC considered that the claim of </w:t>
      </w:r>
      <w:r w:rsidR="00622A21" w:rsidRPr="001D3234">
        <w:rPr>
          <w:rStyle w:val="CommentReference"/>
          <w:rFonts w:ascii="Calibri" w:hAnsi="Calibri" w:cs="Calibri"/>
          <w:b w:val="0"/>
          <w:sz w:val="24"/>
          <w:szCs w:val="24"/>
        </w:rPr>
        <w:t>non-inferior</w:t>
      </w:r>
      <w:r w:rsidRPr="001D3234">
        <w:rPr>
          <w:rStyle w:val="CommentReference"/>
          <w:rFonts w:ascii="Calibri" w:hAnsi="Calibri" w:cs="Calibri"/>
          <w:b w:val="0"/>
          <w:sz w:val="24"/>
          <w:szCs w:val="24"/>
        </w:rPr>
        <w:t xml:space="preserve"> comparative safety</w:t>
      </w:r>
      <w:r w:rsidR="00622A21" w:rsidRPr="001D3234">
        <w:rPr>
          <w:rStyle w:val="CommentReference"/>
          <w:rFonts w:ascii="Calibri" w:hAnsi="Calibri" w:cs="Calibri"/>
          <w:b w:val="0"/>
          <w:sz w:val="24"/>
          <w:szCs w:val="24"/>
        </w:rPr>
        <w:t xml:space="preserve"> to non-TDF containing multi-drug regimens</w:t>
      </w:r>
      <w:r w:rsidRPr="001D3234">
        <w:rPr>
          <w:rStyle w:val="CommentReference"/>
          <w:rFonts w:ascii="Calibri" w:hAnsi="Calibri" w:cs="Calibri"/>
          <w:b w:val="0"/>
          <w:sz w:val="24"/>
          <w:szCs w:val="24"/>
        </w:rPr>
        <w:t xml:space="preserve"> was reasonable</w:t>
      </w:r>
      <w:r w:rsidR="00A1307E" w:rsidRPr="001D3234">
        <w:rPr>
          <w:rStyle w:val="CommentReference"/>
          <w:rFonts w:ascii="Calibri" w:hAnsi="Calibri" w:cs="Calibri"/>
          <w:b w:val="0"/>
          <w:sz w:val="24"/>
          <w:szCs w:val="24"/>
        </w:rPr>
        <w:t xml:space="preserve"> for the</w:t>
      </w:r>
      <w:r w:rsidR="00B3509D" w:rsidRPr="001D3234">
        <w:rPr>
          <w:rStyle w:val="CommentReference"/>
          <w:rFonts w:ascii="Calibri" w:hAnsi="Calibri" w:cs="Calibri"/>
          <w:b w:val="0"/>
          <w:sz w:val="24"/>
          <w:szCs w:val="24"/>
        </w:rPr>
        <w:t xml:space="preserve"> treatment-naïve population and deferred consideration of the claim for the treatment-experienced population pending further clarity on the likely final conditions of TGA registration.</w:t>
      </w:r>
      <w:r w:rsidR="00622A21" w:rsidRPr="001D3234">
        <w:rPr>
          <w:rStyle w:val="CommentReference"/>
          <w:rFonts w:ascii="Calibri" w:hAnsi="Calibri" w:cs="Calibri"/>
          <w:b w:val="0"/>
          <w:sz w:val="24"/>
          <w:szCs w:val="24"/>
        </w:rPr>
        <w:t xml:space="preserve"> The PBAC recalled it had previously advised that claims of ‘favourable’ comparative safety between TDF and TAF regimens had not been adequately supported (Odefsey</w:t>
      </w:r>
      <w:r w:rsidR="00622A21" w:rsidRPr="001D3234">
        <w:rPr>
          <w:rStyle w:val="CommentReference"/>
          <w:rFonts w:ascii="Calibri" w:hAnsi="Calibri" w:cs="Calibri"/>
          <w:b w:val="0"/>
          <w:sz w:val="24"/>
          <w:szCs w:val="24"/>
          <w:vertAlign w:val="superscript"/>
        </w:rPr>
        <w:t>®</w:t>
      </w:r>
      <w:r w:rsidR="00622A21" w:rsidRPr="001D3234">
        <w:rPr>
          <w:rStyle w:val="CommentReference"/>
          <w:rFonts w:ascii="Calibri" w:hAnsi="Calibri" w:cs="Calibri"/>
          <w:b w:val="0"/>
          <w:sz w:val="24"/>
          <w:szCs w:val="24"/>
        </w:rPr>
        <w:t xml:space="preserve"> and Descovy</w:t>
      </w:r>
      <w:r w:rsidR="00622A21" w:rsidRPr="001D3234">
        <w:rPr>
          <w:rStyle w:val="CommentReference"/>
          <w:rFonts w:ascii="Calibri" w:hAnsi="Calibri" w:cs="Calibri"/>
          <w:b w:val="0"/>
          <w:sz w:val="24"/>
          <w:szCs w:val="24"/>
          <w:vertAlign w:val="superscript"/>
        </w:rPr>
        <w:t>®</w:t>
      </w:r>
      <w:r w:rsidR="00622A21" w:rsidRPr="001D3234">
        <w:rPr>
          <w:rStyle w:val="CommentReference"/>
          <w:rFonts w:ascii="Calibri" w:hAnsi="Calibri" w:cs="Calibri"/>
          <w:b w:val="0"/>
          <w:sz w:val="24"/>
          <w:szCs w:val="24"/>
        </w:rPr>
        <w:t xml:space="preserve"> July 2016 Public Summary Documents)</w:t>
      </w:r>
      <w:r w:rsidR="001E3267" w:rsidRPr="001D3234">
        <w:rPr>
          <w:rStyle w:val="CommentReference"/>
          <w:rFonts w:ascii="Calibri" w:hAnsi="Calibri" w:cs="Calibri"/>
          <w:b w:val="0"/>
          <w:sz w:val="24"/>
          <w:szCs w:val="24"/>
        </w:rPr>
        <w:t xml:space="preserve"> and noted no new</w:t>
      </w:r>
      <w:r w:rsidR="00A1307E" w:rsidRPr="001D3234">
        <w:rPr>
          <w:rStyle w:val="CommentReference"/>
          <w:rFonts w:ascii="Calibri" w:hAnsi="Calibri" w:cs="Calibri"/>
          <w:b w:val="0"/>
          <w:sz w:val="24"/>
          <w:szCs w:val="24"/>
        </w:rPr>
        <w:t xml:space="preserve"> trial data was presented, and the arguments were based on largely observational evidence. The PBAC </w:t>
      </w:r>
      <w:r w:rsidR="00231653" w:rsidRPr="001D3234">
        <w:rPr>
          <w:rStyle w:val="CommentReference"/>
          <w:rFonts w:ascii="Calibri" w:hAnsi="Calibri" w:cs="Calibri"/>
          <w:b w:val="0"/>
          <w:sz w:val="24"/>
          <w:szCs w:val="24"/>
        </w:rPr>
        <w:t>remained of the view</w:t>
      </w:r>
      <w:r w:rsidR="00A1307E" w:rsidRPr="001D3234">
        <w:rPr>
          <w:rStyle w:val="CommentReference"/>
          <w:rFonts w:ascii="Calibri" w:hAnsi="Calibri" w:cs="Calibri"/>
          <w:b w:val="0"/>
          <w:sz w:val="24"/>
          <w:szCs w:val="24"/>
        </w:rPr>
        <w:t xml:space="preserve"> that it </w:t>
      </w:r>
      <w:r w:rsidR="00231653" w:rsidRPr="001D3234">
        <w:rPr>
          <w:rStyle w:val="CommentReference"/>
          <w:rFonts w:ascii="Calibri" w:hAnsi="Calibri" w:cs="Calibri"/>
          <w:b w:val="0"/>
          <w:sz w:val="24"/>
          <w:szCs w:val="24"/>
        </w:rPr>
        <w:t>was</w:t>
      </w:r>
      <w:r w:rsidR="00A1307E" w:rsidRPr="001D3234">
        <w:rPr>
          <w:rStyle w:val="CommentReference"/>
          <w:rFonts w:ascii="Calibri" w:hAnsi="Calibri" w:cs="Calibri"/>
          <w:b w:val="0"/>
          <w:sz w:val="24"/>
          <w:szCs w:val="24"/>
        </w:rPr>
        <w:t xml:space="preserve"> difficult to discern any clinically meaningful safety advantages between TDF and non-TDF regimens.</w:t>
      </w:r>
      <w:r w:rsidR="007379BB" w:rsidRPr="001D3234">
        <w:rPr>
          <w:rStyle w:val="CommentReference"/>
          <w:rFonts w:ascii="Calibri" w:hAnsi="Calibri" w:cs="Calibri"/>
          <w:b w:val="0"/>
          <w:sz w:val="24"/>
          <w:szCs w:val="24"/>
        </w:rPr>
        <w:t xml:space="preserve"> </w:t>
      </w:r>
    </w:p>
    <w:p w:rsidR="00C3435D" w:rsidRPr="001D3234" w:rsidRDefault="007379BB" w:rsidP="00F57461">
      <w:pPr>
        <w:pStyle w:val="ListParagraph"/>
        <w:widowControl/>
        <w:numPr>
          <w:ilvl w:val="1"/>
          <w:numId w:val="1"/>
        </w:numPr>
        <w:spacing w:after="120"/>
        <w:rPr>
          <w:rFonts w:cs="Calibri"/>
          <w:szCs w:val="24"/>
        </w:rPr>
      </w:pPr>
      <w:r w:rsidRPr="001D3234">
        <w:rPr>
          <w:rStyle w:val="CommentReference"/>
          <w:rFonts w:ascii="Calibri" w:hAnsi="Calibri" w:cs="Calibri"/>
          <w:b w:val="0"/>
          <w:sz w:val="24"/>
          <w:szCs w:val="24"/>
        </w:rPr>
        <w:t>The PBAC recalled when it considered appropriate comparators for Biktarvy at its November 2018 meeting that regimens that contained an unboosted INSTI</w:t>
      </w:r>
      <w:r w:rsidR="00790592" w:rsidRPr="001D3234">
        <w:rPr>
          <w:rStyle w:val="CommentReference"/>
          <w:rFonts w:ascii="Calibri" w:hAnsi="Calibri" w:cs="Calibri"/>
          <w:b w:val="0"/>
          <w:sz w:val="24"/>
          <w:szCs w:val="24"/>
        </w:rPr>
        <w:t xml:space="preserve"> (rather than a boosted INSTI or NNRTI)</w:t>
      </w:r>
      <w:r w:rsidRPr="001D3234">
        <w:rPr>
          <w:rStyle w:val="CommentReference"/>
          <w:rFonts w:ascii="Calibri" w:hAnsi="Calibri" w:cs="Calibri"/>
          <w:b w:val="0"/>
          <w:sz w:val="24"/>
          <w:szCs w:val="24"/>
        </w:rPr>
        <w:t xml:space="preserve"> were now likely to be used first line in Australian clinical practice. The PBAC recalled its view on the comparative safety profiles of TDF and TAF was not a factor in its recommendation for Biktarvy and re-affirmed its previous opinion expressed in its consideration of Odefsey and Descovy. </w:t>
      </w:r>
    </w:p>
    <w:p w:rsidR="000F6F40" w:rsidRPr="001A0D42" w:rsidRDefault="000F6F40" w:rsidP="001A0D42">
      <w:pPr>
        <w:pStyle w:val="Heading2"/>
        <w:spacing w:before="120" w:after="120"/>
      </w:pPr>
      <w:bookmarkStart w:id="26" w:name="_Toc9405800"/>
      <w:r w:rsidRPr="001A0D42">
        <w:t>Economic analysis</w:t>
      </w:r>
      <w:bookmarkEnd w:id="26"/>
      <w:r w:rsidRPr="001A0D42">
        <w:t xml:space="preserve"> </w:t>
      </w:r>
    </w:p>
    <w:p w:rsidR="001F430B" w:rsidRPr="001D3234" w:rsidRDefault="00A1307E" w:rsidP="00A1307E">
      <w:pPr>
        <w:pStyle w:val="ListParagraph"/>
        <w:widowControl/>
        <w:numPr>
          <w:ilvl w:val="1"/>
          <w:numId w:val="1"/>
        </w:numPr>
        <w:rPr>
          <w:rStyle w:val="CommentReference"/>
          <w:rFonts w:ascii="Calibri" w:hAnsi="Calibri"/>
          <w:b w:val="0"/>
          <w:sz w:val="24"/>
          <w:szCs w:val="22"/>
        </w:rPr>
      </w:pPr>
      <w:r w:rsidRPr="001D3234">
        <w:rPr>
          <w:rFonts w:cs="Calibri"/>
          <w:snapToGrid/>
          <w:color w:val="000000" w:themeColor="text1"/>
          <w:szCs w:val="24"/>
          <w:lang w:eastAsia="en-AU"/>
        </w:rPr>
        <w:t xml:space="preserve">Table 12 </w:t>
      </w:r>
      <w:r w:rsidR="000F6F40" w:rsidRPr="001D3234">
        <w:rPr>
          <w:rFonts w:cs="Calibri"/>
          <w:snapToGrid/>
          <w:color w:val="000000" w:themeColor="text1"/>
          <w:szCs w:val="24"/>
          <w:lang w:eastAsia="en-AU"/>
        </w:rPr>
        <w:t xml:space="preserve">presents the key components and </w:t>
      </w:r>
      <w:r w:rsidR="008E21B9" w:rsidRPr="001D3234">
        <w:rPr>
          <w:rFonts w:cs="Calibri"/>
          <w:snapToGrid/>
          <w:color w:val="000000" w:themeColor="text1"/>
          <w:szCs w:val="24"/>
          <w:lang w:eastAsia="en-AU"/>
        </w:rPr>
        <w:t>assumptions</w:t>
      </w:r>
      <w:r w:rsidR="000F6F40" w:rsidRPr="001D3234">
        <w:rPr>
          <w:rFonts w:cs="Calibri"/>
          <w:snapToGrid/>
          <w:color w:val="000000" w:themeColor="text1"/>
          <w:szCs w:val="24"/>
          <w:lang w:eastAsia="en-AU"/>
        </w:rPr>
        <w:t xml:space="preserve"> of the cost-minimisation analysis</w:t>
      </w:r>
      <w:r w:rsidR="00C609B1" w:rsidRPr="001D3234">
        <w:rPr>
          <w:rFonts w:cs="Calibri"/>
          <w:snapToGrid/>
          <w:color w:val="000000" w:themeColor="text1"/>
          <w:szCs w:val="24"/>
          <w:lang w:eastAsia="en-AU"/>
        </w:rPr>
        <w:t>.</w:t>
      </w:r>
      <w:bookmarkStart w:id="27" w:name="_Ref8383270"/>
    </w:p>
    <w:p w:rsidR="00A1307E" w:rsidRPr="001D3234" w:rsidRDefault="00A1307E">
      <w:pPr>
        <w:widowControl/>
        <w:jc w:val="left"/>
        <w:rPr>
          <w:rStyle w:val="CommentReference"/>
        </w:rPr>
      </w:pPr>
      <w:r w:rsidRPr="001D3234">
        <w:rPr>
          <w:rStyle w:val="CommentReference"/>
        </w:rPr>
        <w:br w:type="page"/>
      </w:r>
    </w:p>
    <w:p w:rsidR="000F6F40" w:rsidRPr="001D3234" w:rsidRDefault="000F6F40" w:rsidP="000F6F40">
      <w:pPr>
        <w:keepNext/>
        <w:rPr>
          <w:rStyle w:val="CommentReference"/>
        </w:rPr>
      </w:pPr>
      <w:r w:rsidRPr="001D3234">
        <w:rPr>
          <w:rStyle w:val="CommentReference"/>
        </w:rPr>
        <w:lastRenderedPageBreak/>
        <w:t xml:space="preserve">Table </w:t>
      </w:r>
      <w:r w:rsidR="003E39FF" w:rsidRPr="001D3234">
        <w:rPr>
          <w:rFonts w:ascii="Arial Narrow" w:hAnsi="Arial Narrow"/>
          <w:b/>
          <w:color w:val="000000" w:themeColor="text1"/>
          <w:sz w:val="20"/>
          <w:szCs w:val="20"/>
        </w:rPr>
        <w:t>12</w:t>
      </w:r>
      <w:bookmarkEnd w:id="27"/>
      <w:r w:rsidR="008D77A7" w:rsidRPr="001D3234">
        <w:rPr>
          <w:rStyle w:val="CommentReference"/>
          <w:b w:val="0"/>
          <w:color w:val="000000" w:themeColor="text1"/>
        </w:rPr>
        <w:t xml:space="preserve">: </w:t>
      </w:r>
      <w:r w:rsidRPr="001D3234">
        <w:rPr>
          <w:rStyle w:val="CommentReference"/>
        </w:rPr>
        <w:t>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Key components and assumptions of the cost-minimisation analysis"/>
      </w:tblPr>
      <w:tblGrid>
        <w:gridCol w:w="2660"/>
        <w:gridCol w:w="6520"/>
      </w:tblGrid>
      <w:tr w:rsidR="000F6F40" w:rsidRPr="001D3234" w:rsidTr="00F86393">
        <w:trPr>
          <w:tblHeader/>
        </w:trPr>
        <w:tc>
          <w:tcPr>
            <w:tcW w:w="2660" w:type="dxa"/>
            <w:vAlign w:val="center"/>
          </w:tcPr>
          <w:p w:rsidR="000F6F40" w:rsidRPr="001D3234" w:rsidRDefault="000F6F40" w:rsidP="000D5E60">
            <w:pPr>
              <w:pStyle w:val="Tabletext"/>
              <w:keepNext/>
              <w:rPr>
                <w:b/>
              </w:rPr>
            </w:pPr>
            <w:r w:rsidRPr="001D3234">
              <w:rPr>
                <w:b/>
              </w:rPr>
              <w:t>Component</w:t>
            </w:r>
          </w:p>
        </w:tc>
        <w:tc>
          <w:tcPr>
            <w:tcW w:w="6520" w:type="dxa"/>
            <w:vAlign w:val="center"/>
          </w:tcPr>
          <w:p w:rsidR="000F6F40" w:rsidRPr="001D3234" w:rsidRDefault="000F6F40" w:rsidP="000D5E60">
            <w:pPr>
              <w:pStyle w:val="Tabletext"/>
              <w:keepNext/>
              <w:jc w:val="center"/>
              <w:rPr>
                <w:b/>
              </w:rPr>
            </w:pPr>
            <w:r w:rsidRPr="001D3234">
              <w:rPr>
                <w:b/>
              </w:rPr>
              <w:t>Claim or assumption</w:t>
            </w:r>
          </w:p>
        </w:tc>
      </w:tr>
      <w:tr w:rsidR="000F6F40" w:rsidRPr="001D3234" w:rsidTr="000D5E60">
        <w:tc>
          <w:tcPr>
            <w:tcW w:w="2660" w:type="dxa"/>
            <w:vAlign w:val="center"/>
          </w:tcPr>
          <w:p w:rsidR="000F6F40" w:rsidRPr="001D3234" w:rsidRDefault="000F6F40" w:rsidP="000D5E60">
            <w:pPr>
              <w:pStyle w:val="Tabletext"/>
            </w:pPr>
            <w:r w:rsidRPr="001D3234">
              <w:t>Therapeutic claim: bioequivalence</w:t>
            </w:r>
          </w:p>
        </w:tc>
        <w:tc>
          <w:tcPr>
            <w:tcW w:w="6520" w:type="dxa"/>
            <w:vAlign w:val="center"/>
          </w:tcPr>
          <w:p w:rsidR="000F6F40" w:rsidRPr="001D3234" w:rsidRDefault="000F6F40" w:rsidP="00E8037D">
            <w:pPr>
              <w:pStyle w:val="Tabletext"/>
            </w:pPr>
            <w:r w:rsidRPr="001D3234">
              <w:t xml:space="preserve">Based on evidence presented in Section 2, </w:t>
            </w:r>
            <w:r w:rsidR="00E8037D" w:rsidRPr="001D3234">
              <w:rPr>
                <w:rStyle w:val="TableText0"/>
              </w:rPr>
              <w:t>Dovato</w:t>
            </w:r>
            <w:r w:rsidR="00E8037D" w:rsidRPr="001D3234">
              <w:rPr>
                <w:rStyle w:val="TableText0"/>
                <w:vertAlign w:val="superscript"/>
              </w:rPr>
              <w:t>®</w:t>
            </w:r>
            <w:r w:rsidRPr="001D3234">
              <w:rPr>
                <w:rStyle w:val="TableText0"/>
              </w:rPr>
              <w:t xml:space="preserve"> is assumed to be an acceptable pharmacokinetic bridge to co-administration of the individual components </w:t>
            </w:r>
          </w:p>
        </w:tc>
      </w:tr>
      <w:tr w:rsidR="000F6F40" w:rsidRPr="001D3234" w:rsidTr="000D5E60">
        <w:tc>
          <w:tcPr>
            <w:tcW w:w="2660" w:type="dxa"/>
            <w:vAlign w:val="center"/>
          </w:tcPr>
          <w:p w:rsidR="000F6F40" w:rsidRPr="001D3234" w:rsidRDefault="000F6F40" w:rsidP="000D5E60">
            <w:pPr>
              <w:pStyle w:val="Tabletext"/>
            </w:pPr>
            <w:r w:rsidRPr="001D3234">
              <w:t>Therapeutic claim: effectiveness</w:t>
            </w:r>
          </w:p>
        </w:tc>
        <w:tc>
          <w:tcPr>
            <w:tcW w:w="6520" w:type="dxa"/>
            <w:vAlign w:val="center"/>
          </w:tcPr>
          <w:p w:rsidR="000F6F40" w:rsidRPr="001D3234" w:rsidRDefault="000F6F40" w:rsidP="000D5E60">
            <w:pPr>
              <w:pStyle w:val="Tabletext"/>
            </w:pPr>
            <w:r w:rsidRPr="001D3234">
              <w:t>Based on evidence presented in Section 2, effectiveness is assumed to be non-inferior to Genvoya</w:t>
            </w:r>
            <w:r w:rsidRPr="001D3234">
              <w:rPr>
                <w:vertAlign w:val="superscript"/>
              </w:rPr>
              <w:t>®</w:t>
            </w:r>
            <w:r w:rsidRPr="001D3234">
              <w:t>, Stribild</w:t>
            </w:r>
            <w:r w:rsidRPr="001D3234">
              <w:rPr>
                <w:vertAlign w:val="superscript"/>
              </w:rPr>
              <w:t>®</w:t>
            </w:r>
            <w:r w:rsidRPr="001D3234">
              <w:t>, Odefsey</w:t>
            </w:r>
            <w:r w:rsidRPr="001D3234">
              <w:rPr>
                <w:vertAlign w:val="superscript"/>
              </w:rPr>
              <w:t>®</w:t>
            </w:r>
            <w:r w:rsidRPr="001D3234">
              <w:t>, Eviplera</w:t>
            </w:r>
            <w:r w:rsidRPr="001D3234">
              <w:rPr>
                <w:vertAlign w:val="superscript"/>
              </w:rPr>
              <w:t>®</w:t>
            </w:r>
            <w:r w:rsidRPr="001D3234">
              <w:t xml:space="preserve"> and Triumeq</w:t>
            </w:r>
            <w:r w:rsidRPr="001D3234">
              <w:rPr>
                <w:vertAlign w:val="superscript"/>
              </w:rPr>
              <w:t>®</w:t>
            </w:r>
            <w:r w:rsidRPr="001D3234">
              <w:t xml:space="preserve"> for the treatment of HIV infection</w:t>
            </w:r>
          </w:p>
        </w:tc>
      </w:tr>
      <w:tr w:rsidR="000F6F40" w:rsidRPr="001D3234" w:rsidTr="000D5E60">
        <w:tc>
          <w:tcPr>
            <w:tcW w:w="2660" w:type="dxa"/>
            <w:vAlign w:val="center"/>
          </w:tcPr>
          <w:p w:rsidR="000F6F40" w:rsidRPr="001D3234" w:rsidRDefault="000F6F40" w:rsidP="000D5E60">
            <w:pPr>
              <w:pStyle w:val="Tabletext"/>
            </w:pPr>
            <w:r w:rsidRPr="001D3234">
              <w:t>Therapeutic claim: safety</w:t>
            </w:r>
          </w:p>
        </w:tc>
        <w:tc>
          <w:tcPr>
            <w:tcW w:w="6520" w:type="dxa"/>
            <w:vAlign w:val="center"/>
          </w:tcPr>
          <w:p w:rsidR="000F6F40" w:rsidRPr="001D3234" w:rsidRDefault="000F6F40" w:rsidP="000D5E60">
            <w:pPr>
              <w:pStyle w:val="Tabletext"/>
            </w:pPr>
            <w:r w:rsidRPr="001D3234">
              <w:t>Based on evidence presented in Section 2, TDF containing regimens (i.e. Stribild</w:t>
            </w:r>
            <w:r w:rsidRPr="001D3234">
              <w:rPr>
                <w:vertAlign w:val="superscript"/>
              </w:rPr>
              <w:t>®</w:t>
            </w:r>
            <w:r w:rsidRPr="001D3234">
              <w:t>, Eviplera</w:t>
            </w:r>
            <w:r w:rsidRPr="001D3234">
              <w:rPr>
                <w:vertAlign w:val="superscript"/>
              </w:rPr>
              <w:t>®</w:t>
            </w:r>
            <w:r w:rsidRPr="001D3234">
              <w:t>) are inferior in terms of safety to non-TDF regimens (</w:t>
            </w:r>
            <w:r w:rsidR="00E8037D" w:rsidRPr="001D3234">
              <w:rPr>
                <w:rStyle w:val="TableText0"/>
              </w:rPr>
              <w:t>Dovato</w:t>
            </w:r>
            <w:r w:rsidR="00E8037D" w:rsidRPr="001D3234">
              <w:rPr>
                <w:rStyle w:val="TableText0"/>
                <w:vertAlign w:val="superscript"/>
              </w:rPr>
              <w:t>®</w:t>
            </w:r>
            <w:r w:rsidRPr="001D3234">
              <w:t>, Triumeq</w:t>
            </w:r>
            <w:r w:rsidRPr="001D3234">
              <w:rPr>
                <w:vertAlign w:val="superscript"/>
              </w:rPr>
              <w:t>®</w:t>
            </w:r>
            <w:r w:rsidRPr="001D3234">
              <w:t>, Genvoya</w:t>
            </w:r>
            <w:r w:rsidRPr="001D3234">
              <w:rPr>
                <w:vertAlign w:val="superscript"/>
              </w:rPr>
              <w:t>®</w:t>
            </w:r>
            <w:r w:rsidRPr="001D3234">
              <w:t>, Odefsey</w:t>
            </w:r>
            <w:r w:rsidRPr="001D3234">
              <w:rPr>
                <w:vertAlign w:val="superscript"/>
              </w:rPr>
              <w:t>®</w:t>
            </w:r>
            <w:r w:rsidRPr="001D3234">
              <w:t>) for the treatment of HIV infection</w:t>
            </w:r>
            <w:r w:rsidR="001D3234">
              <w:t xml:space="preserve">. </w:t>
            </w:r>
          </w:p>
        </w:tc>
      </w:tr>
      <w:tr w:rsidR="000F6F40" w:rsidRPr="001D3234" w:rsidTr="000D5E60">
        <w:tc>
          <w:tcPr>
            <w:tcW w:w="2660" w:type="dxa"/>
            <w:vAlign w:val="center"/>
          </w:tcPr>
          <w:p w:rsidR="000F6F40" w:rsidRPr="001D3234" w:rsidRDefault="000F6F40" w:rsidP="000D5E60">
            <w:pPr>
              <w:pStyle w:val="Tabletext"/>
            </w:pPr>
            <w:r w:rsidRPr="001D3234">
              <w:t>Pivotal evidence</w:t>
            </w:r>
          </w:p>
        </w:tc>
        <w:tc>
          <w:tcPr>
            <w:tcW w:w="6520" w:type="dxa"/>
            <w:vAlign w:val="center"/>
          </w:tcPr>
          <w:p w:rsidR="000F6F40" w:rsidRPr="001D3234" w:rsidRDefault="000F6F40" w:rsidP="000D5E60">
            <w:pPr>
              <w:pStyle w:val="Tabletext"/>
            </w:pPr>
            <w:r w:rsidRPr="001D3234">
              <w:rPr>
                <w:rStyle w:val="TableText0"/>
              </w:rPr>
              <w:t xml:space="preserve">Pivotal evidence: GEMINI-1 and GEMINI-2; TANGO: interim 24-week analyses </w:t>
            </w:r>
          </w:p>
        </w:tc>
      </w:tr>
      <w:tr w:rsidR="000F6F40" w:rsidRPr="001D3234" w:rsidTr="000D5E60">
        <w:tc>
          <w:tcPr>
            <w:tcW w:w="2660" w:type="dxa"/>
            <w:vMerge w:val="restart"/>
            <w:vAlign w:val="center"/>
          </w:tcPr>
          <w:p w:rsidR="000F6F40" w:rsidRPr="001D3234" w:rsidRDefault="000F6F40" w:rsidP="000D5E60">
            <w:pPr>
              <w:pStyle w:val="Tabletext"/>
            </w:pPr>
            <w:r w:rsidRPr="001D3234">
              <w:t>Supporting evidence</w:t>
            </w:r>
          </w:p>
        </w:tc>
        <w:tc>
          <w:tcPr>
            <w:tcW w:w="6520" w:type="dxa"/>
            <w:vAlign w:val="center"/>
          </w:tcPr>
          <w:p w:rsidR="000F6F40" w:rsidRPr="001D3234" w:rsidRDefault="000F6F40" w:rsidP="000D5E60">
            <w:pPr>
              <w:pStyle w:val="Tabletext"/>
            </w:pPr>
            <w:r w:rsidRPr="001D3234">
              <w:rPr>
                <w:rStyle w:val="TableText0"/>
              </w:rPr>
              <w:t>Bioequivalence study: Study 204994</w:t>
            </w:r>
          </w:p>
        </w:tc>
      </w:tr>
      <w:tr w:rsidR="000F6F40" w:rsidRPr="001D3234" w:rsidTr="000D5E60">
        <w:tc>
          <w:tcPr>
            <w:tcW w:w="2660" w:type="dxa"/>
            <w:vMerge/>
            <w:vAlign w:val="center"/>
          </w:tcPr>
          <w:p w:rsidR="000F6F40" w:rsidRPr="001D3234" w:rsidRDefault="000F6F40" w:rsidP="000D5E60">
            <w:pPr>
              <w:pStyle w:val="Tabletext"/>
            </w:pPr>
          </w:p>
        </w:tc>
        <w:tc>
          <w:tcPr>
            <w:tcW w:w="6520" w:type="dxa"/>
            <w:vAlign w:val="center"/>
          </w:tcPr>
          <w:p w:rsidR="000F6F40" w:rsidRPr="001D3234" w:rsidRDefault="000F6F40" w:rsidP="000D5E60">
            <w:pPr>
              <w:pStyle w:val="Tabletext"/>
            </w:pPr>
            <w:r w:rsidRPr="001D3234">
              <w:rPr>
                <w:rStyle w:val="TableText0"/>
              </w:rPr>
              <w:t>Prospective studies: PADDLE, ACTG A5353, ASPIRE, LAMIDOL, DOLAM</w:t>
            </w:r>
          </w:p>
        </w:tc>
      </w:tr>
      <w:tr w:rsidR="000F6F40" w:rsidRPr="001D3234" w:rsidTr="000D5E60">
        <w:tc>
          <w:tcPr>
            <w:tcW w:w="2660" w:type="dxa"/>
            <w:vMerge/>
            <w:vAlign w:val="center"/>
          </w:tcPr>
          <w:p w:rsidR="000F6F40" w:rsidRPr="001D3234" w:rsidRDefault="000F6F40" w:rsidP="000D5E60">
            <w:pPr>
              <w:pStyle w:val="Tabletext"/>
            </w:pPr>
          </w:p>
        </w:tc>
        <w:tc>
          <w:tcPr>
            <w:tcW w:w="6520" w:type="dxa"/>
            <w:vAlign w:val="center"/>
          </w:tcPr>
          <w:p w:rsidR="000F6F40" w:rsidRPr="001D3234" w:rsidRDefault="000F6F40" w:rsidP="000D5E60">
            <w:pPr>
              <w:pStyle w:val="Tabletext"/>
            </w:pPr>
            <w:r w:rsidRPr="001D3234">
              <w:rPr>
                <w:rStyle w:val="TableText0"/>
              </w:rPr>
              <w:t>Observational studies: Maggiolo 2017, Borghetti 2018, Cicullo 2018, Borghetti 2016, Baldin 2016, Borghetti 2017, Cucchetto 2016, Hidalgo-Tenorio 2017, Yagci-Caglayik 2017, Tan 2018, DOLULAM</w:t>
            </w:r>
          </w:p>
        </w:tc>
      </w:tr>
      <w:tr w:rsidR="000F6F40" w:rsidRPr="001D3234" w:rsidTr="000D5E60">
        <w:tc>
          <w:tcPr>
            <w:tcW w:w="2660" w:type="dxa"/>
            <w:vAlign w:val="center"/>
          </w:tcPr>
          <w:p w:rsidR="000F6F40" w:rsidRPr="001D3234" w:rsidRDefault="000F6F40" w:rsidP="000D5E60">
            <w:pPr>
              <w:pStyle w:val="Tabletext"/>
            </w:pPr>
            <w:r w:rsidRPr="001D3234">
              <w:t>Extended assessment of harms evidence</w:t>
            </w:r>
          </w:p>
        </w:tc>
        <w:tc>
          <w:tcPr>
            <w:tcW w:w="6520" w:type="dxa"/>
            <w:vAlign w:val="center"/>
          </w:tcPr>
          <w:p w:rsidR="000F6F40" w:rsidRPr="001D3234" w:rsidRDefault="000F6F40" w:rsidP="000D5E60">
            <w:pPr>
              <w:pStyle w:val="Tabletext"/>
              <w:rPr>
                <w:rStyle w:val="TableText0"/>
              </w:rPr>
            </w:pPr>
            <w:r w:rsidRPr="001D3234">
              <w:rPr>
                <w:rStyle w:val="TableText0"/>
              </w:rPr>
              <w:t>Key studies: (TDF vs non-TDF therapies): Scherzer 2014, Mocroft 2016, Mocroft 2010, Bedimo 2012, Borges 2017</w:t>
            </w:r>
          </w:p>
        </w:tc>
      </w:tr>
      <w:tr w:rsidR="000F6F40" w:rsidRPr="001D3234" w:rsidTr="000D5E60">
        <w:tc>
          <w:tcPr>
            <w:tcW w:w="2660" w:type="dxa"/>
            <w:vAlign w:val="center"/>
          </w:tcPr>
          <w:p w:rsidR="000F6F40" w:rsidRPr="001D3234" w:rsidRDefault="000F6F40" w:rsidP="000D5E60">
            <w:pPr>
              <w:pStyle w:val="Tabletext"/>
            </w:pPr>
            <w:r w:rsidRPr="001D3234">
              <w:t>Equi-effective doses</w:t>
            </w:r>
          </w:p>
        </w:tc>
        <w:tc>
          <w:tcPr>
            <w:tcW w:w="6520" w:type="dxa"/>
            <w:vAlign w:val="center"/>
          </w:tcPr>
          <w:p w:rsidR="000F6F40" w:rsidRPr="001D3234" w:rsidRDefault="000F6F40" w:rsidP="000D5E60">
            <w:pPr>
              <w:pStyle w:val="Tabletext"/>
            </w:pPr>
            <w:r w:rsidRPr="001D3234">
              <w:rPr>
                <w:rStyle w:val="TableText0"/>
              </w:rPr>
              <w:t>Individual components: DTG/3TC (50/300mg) ≡ DTG 50mg + 3TC 300mg</w:t>
            </w:r>
          </w:p>
        </w:tc>
      </w:tr>
      <w:tr w:rsidR="000F6F40" w:rsidRPr="001D3234" w:rsidTr="000D5E60">
        <w:tc>
          <w:tcPr>
            <w:tcW w:w="2660" w:type="dxa"/>
            <w:vAlign w:val="center"/>
          </w:tcPr>
          <w:p w:rsidR="000F6F40" w:rsidRPr="001D3234" w:rsidRDefault="000F6F40" w:rsidP="000D5E60">
            <w:pPr>
              <w:pStyle w:val="Tabletext"/>
            </w:pPr>
            <w:r w:rsidRPr="001D3234">
              <w:t>Direct medicine costs</w:t>
            </w:r>
          </w:p>
        </w:tc>
        <w:tc>
          <w:tcPr>
            <w:tcW w:w="6520" w:type="dxa"/>
            <w:vAlign w:val="center"/>
          </w:tcPr>
          <w:p w:rsidR="000F6F40" w:rsidRPr="001D3234" w:rsidRDefault="000F6F40" w:rsidP="000D5E60">
            <w:pPr>
              <w:pStyle w:val="Tabletext"/>
            </w:pPr>
            <w:r w:rsidRPr="001D3234">
              <w:t>Part 1: (Individual components): DTG + 3TC</w:t>
            </w:r>
          </w:p>
          <w:p w:rsidR="000F6F40" w:rsidRPr="001D3234" w:rsidRDefault="000F6F40" w:rsidP="000D5E60">
            <w:pPr>
              <w:pStyle w:val="Tabletext"/>
            </w:pPr>
            <w:r w:rsidRPr="001D3234">
              <w:t>Part 2: (alternative FDC therapy): Biktarvy</w:t>
            </w:r>
            <w:r w:rsidRPr="001D3234">
              <w:rPr>
                <w:vertAlign w:val="superscript"/>
              </w:rPr>
              <w:t>®</w:t>
            </w:r>
            <w:r w:rsidRPr="001D3234">
              <w:t>, Triumeq</w:t>
            </w:r>
            <w:r w:rsidRPr="001D3234">
              <w:rPr>
                <w:vertAlign w:val="superscript"/>
              </w:rPr>
              <w:t>®</w:t>
            </w:r>
            <w:r w:rsidRPr="001D3234">
              <w:t>, Genvoya</w:t>
            </w:r>
            <w:r w:rsidRPr="001D3234">
              <w:rPr>
                <w:vertAlign w:val="superscript"/>
              </w:rPr>
              <w:t>®</w:t>
            </w:r>
            <w:r w:rsidRPr="001D3234">
              <w:t>, Odefsey</w:t>
            </w:r>
            <w:r w:rsidRPr="001D3234">
              <w:rPr>
                <w:vertAlign w:val="superscript"/>
              </w:rPr>
              <w:t>®</w:t>
            </w:r>
          </w:p>
        </w:tc>
      </w:tr>
      <w:tr w:rsidR="000F6F40" w:rsidRPr="001D3234" w:rsidTr="000D5E60">
        <w:tc>
          <w:tcPr>
            <w:tcW w:w="2660" w:type="dxa"/>
            <w:vAlign w:val="center"/>
          </w:tcPr>
          <w:p w:rsidR="000F6F40" w:rsidRPr="001D3234" w:rsidRDefault="000F6F40" w:rsidP="000D5E60">
            <w:pPr>
              <w:pStyle w:val="Tabletext"/>
            </w:pPr>
            <w:r w:rsidRPr="001D3234">
              <w:t xml:space="preserve">Other costs </w:t>
            </w:r>
          </w:p>
        </w:tc>
        <w:tc>
          <w:tcPr>
            <w:tcW w:w="6520" w:type="dxa"/>
            <w:vAlign w:val="center"/>
          </w:tcPr>
          <w:p w:rsidR="000F6F40" w:rsidRPr="001D3234" w:rsidRDefault="000F6F40" w:rsidP="000D5E60">
            <w:pPr>
              <w:pStyle w:val="Tabletext"/>
            </w:pPr>
            <w:r w:rsidRPr="001D3234">
              <w:t>ABC: HLA-B*5701 testing prior to the commencement (MBS item 71203/73323)</w:t>
            </w:r>
          </w:p>
          <w:p w:rsidR="000F6F40" w:rsidRPr="001D3234" w:rsidRDefault="000F6F40" w:rsidP="000D5E60">
            <w:pPr>
              <w:pStyle w:val="Tabletext"/>
            </w:pPr>
            <w:r w:rsidRPr="001D3234">
              <w:t>Tenofovir: assessment of urinary protein and glucose every 6 months (DHHS 2018; MBS item: 66503)</w:t>
            </w:r>
          </w:p>
        </w:tc>
      </w:tr>
    </w:tbl>
    <w:p w:rsidR="000F6F40" w:rsidRPr="001D3234" w:rsidRDefault="000F6F40" w:rsidP="000F6F40">
      <w:pPr>
        <w:pStyle w:val="TableFooter"/>
      </w:pPr>
      <w:r w:rsidRPr="001D3234">
        <w:t>Source: Table 77, p113 of the submission</w:t>
      </w:r>
      <w:r w:rsidR="001D3234">
        <w:t xml:space="preserve">. </w:t>
      </w:r>
    </w:p>
    <w:p w:rsidR="000F6F40" w:rsidRPr="001D3234" w:rsidRDefault="000F6F40" w:rsidP="000F6F40">
      <w:pPr>
        <w:pStyle w:val="TableFooter"/>
        <w:rPr>
          <w:sz w:val="20"/>
        </w:rPr>
      </w:pPr>
      <w:r w:rsidRPr="001D3234">
        <w:t xml:space="preserve">3TC = lamivudine; AEMP = approved ex-manufacturer price; B/E = bioequivalence; DTG = dolutegravir; FDC = fixed dose combination; HIV = human immunodeficiency virus </w:t>
      </w:r>
    </w:p>
    <w:p w:rsidR="000F6F40" w:rsidRPr="001D3234" w:rsidRDefault="000F6F40" w:rsidP="000F6F40"/>
    <w:p w:rsidR="00C609B1" w:rsidRPr="001D3234" w:rsidRDefault="00C609B1" w:rsidP="0075623E">
      <w:pPr>
        <w:pStyle w:val="ListParagraph"/>
        <w:widowControl/>
        <w:numPr>
          <w:ilvl w:val="1"/>
          <w:numId w:val="1"/>
        </w:numPr>
        <w:spacing w:after="120"/>
      </w:pPr>
      <w:r w:rsidRPr="001D3234">
        <w:t xml:space="preserve">The equi-effective dose is described as: </w:t>
      </w:r>
      <w:r w:rsidR="00E8037D" w:rsidRPr="001D3234">
        <w:t>Dovato® (</w:t>
      </w:r>
      <w:r w:rsidRPr="001D3234">
        <w:t>DTG/3TC (50/300mg)</w:t>
      </w:r>
      <w:r w:rsidR="00E8037D" w:rsidRPr="001D3234">
        <w:t>)</w:t>
      </w:r>
      <w:r w:rsidRPr="001D3234">
        <w:t xml:space="preserve"> ≡ DTG (50mg) + 3TC (300mg). </w:t>
      </w:r>
    </w:p>
    <w:p w:rsidR="000F6F40" w:rsidRPr="001D3234" w:rsidRDefault="000F6F40" w:rsidP="0075623E">
      <w:pPr>
        <w:pStyle w:val="ListParagraph"/>
        <w:widowControl/>
        <w:numPr>
          <w:ilvl w:val="1"/>
          <w:numId w:val="1"/>
        </w:numPr>
        <w:spacing w:after="120"/>
      </w:pPr>
      <w:r w:rsidRPr="001D3234">
        <w:t xml:space="preserve">The submission stated that given requirements directly related to the use of abacavir (ABC) and tenofovir, a differential in MBS costs between </w:t>
      </w:r>
      <w:r w:rsidR="008F4139" w:rsidRPr="001D3234">
        <w:t xml:space="preserve">Dovato® </w:t>
      </w:r>
      <w:r w:rsidRPr="001D3234">
        <w:t>and the alternative FDC triple therapies (Biktarvy®, Triumeq®, Genvoya®, Odefsey®) is expected:</w:t>
      </w:r>
    </w:p>
    <w:p w:rsidR="000F6F40" w:rsidRPr="001D3234" w:rsidRDefault="000F6F40" w:rsidP="0075623E">
      <w:pPr>
        <w:pStyle w:val="ListParagraph"/>
        <w:widowControl/>
        <w:numPr>
          <w:ilvl w:val="0"/>
          <w:numId w:val="10"/>
        </w:numPr>
        <w:spacing w:after="120"/>
        <w:ind w:left="993" w:hanging="284"/>
      </w:pPr>
      <w:r w:rsidRPr="001D3234">
        <w:t>Abacavir (ABC): HLA-B*5701 testing prior to the commencement (MBS Item 71203/73323; $34.50 )</w:t>
      </w:r>
    </w:p>
    <w:p w:rsidR="000F6F40" w:rsidRPr="001D3234" w:rsidRDefault="000F6F40" w:rsidP="0075623E">
      <w:pPr>
        <w:pStyle w:val="ListParagraph"/>
        <w:widowControl/>
        <w:numPr>
          <w:ilvl w:val="0"/>
          <w:numId w:val="10"/>
        </w:numPr>
        <w:spacing w:after="120"/>
        <w:ind w:left="993" w:hanging="284"/>
      </w:pPr>
      <w:r w:rsidRPr="001D3234">
        <w:t>Tenofovir: urinary protein and glucose at baseline and every 6 months (DHHS 2018; MBS Item: 66503; $9.95 at baseline, 6</w:t>
      </w:r>
      <w:r w:rsidR="00D53FEA" w:rsidRPr="001D3234">
        <w:t xml:space="preserve"> months and</w:t>
      </w:r>
      <w:r w:rsidRPr="001D3234">
        <w:t xml:space="preserve"> </w:t>
      </w:r>
      <w:r w:rsidR="00D53FEA" w:rsidRPr="001D3234">
        <w:t xml:space="preserve">12 </w:t>
      </w:r>
      <w:r w:rsidRPr="001D3234">
        <w:t>month</w:t>
      </w:r>
      <w:r w:rsidR="00D53FEA" w:rsidRPr="001D3234">
        <w:t>s</w:t>
      </w:r>
      <w:r w:rsidRPr="001D3234">
        <w:t>).</w:t>
      </w:r>
    </w:p>
    <w:p w:rsidR="00A1307E" w:rsidRPr="001D3234" w:rsidRDefault="00037980" w:rsidP="0075623E">
      <w:pPr>
        <w:pStyle w:val="ListParagraph"/>
        <w:numPr>
          <w:ilvl w:val="1"/>
          <w:numId w:val="1"/>
        </w:numPr>
        <w:spacing w:after="120"/>
        <w:rPr>
          <w:rFonts w:cs="Calibri"/>
          <w:color w:val="000000" w:themeColor="text1"/>
          <w:szCs w:val="24"/>
        </w:rPr>
      </w:pPr>
      <w:r w:rsidRPr="001D3234">
        <w:rPr>
          <w:rFonts w:cs="Calibri"/>
          <w:color w:val="000000" w:themeColor="text1"/>
          <w:szCs w:val="24"/>
        </w:rPr>
        <w:t>The</w:t>
      </w:r>
      <w:r w:rsidRPr="001D3234">
        <w:t xml:space="preserve"> cost-minimisation approach versus Biktarvy®, Genvoya®, Stribild®, Odefsey®, Eviplera® and Triumeq® relies on the PBAC accepting that DTG + Truvada® could act as a proxy for other three-drug regimens. </w:t>
      </w:r>
    </w:p>
    <w:p w:rsidR="00C609B1" w:rsidRPr="001D3234" w:rsidRDefault="00A1307E" w:rsidP="0075623E">
      <w:pPr>
        <w:pStyle w:val="ListParagraph"/>
        <w:widowControl/>
        <w:numPr>
          <w:ilvl w:val="1"/>
          <w:numId w:val="1"/>
        </w:numPr>
        <w:spacing w:after="120"/>
        <w:rPr>
          <w:rStyle w:val="CommentReference"/>
          <w:rFonts w:ascii="Calibri" w:hAnsi="Calibri"/>
          <w:b w:val="0"/>
          <w:sz w:val="24"/>
          <w:szCs w:val="22"/>
        </w:rPr>
      </w:pPr>
      <w:r w:rsidRPr="001D3234">
        <w:rPr>
          <w:rFonts w:cs="Calibri"/>
          <w:color w:val="000000" w:themeColor="text1"/>
          <w:szCs w:val="24"/>
        </w:rPr>
        <w:t xml:space="preserve">Table 13 </w:t>
      </w:r>
      <w:r w:rsidR="000F6F40" w:rsidRPr="001D3234">
        <w:rPr>
          <w:rFonts w:cs="Calibri"/>
          <w:color w:val="000000" w:themeColor="text1"/>
          <w:szCs w:val="24"/>
        </w:rPr>
        <w:t>presents re</w:t>
      </w:r>
      <w:r w:rsidR="000F6F40" w:rsidRPr="001D3234">
        <w:t>sults of the cost-minimisation analysis</w:t>
      </w:r>
      <w:r w:rsidR="00C609B1" w:rsidRPr="001D3234">
        <w:t>.</w:t>
      </w:r>
      <w:bookmarkStart w:id="28" w:name="_Ref8383319"/>
    </w:p>
    <w:p w:rsidR="001F430B" w:rsidRPr="001D3234" w:rsidRDefault="001F430B">
      <w:pPr>
        <w:widowControl/>
        <w:jc w:val="left"/>
        <w:rPr>
          <w:rStyle w:val="CommentReference"/>
        </w:rPr>
      </w:pPr>
      <w:r w:rsidRPr="001D3234">
        <w:rPr>
          <w:rStyle w:val="CommentReference"/>
        </w:rPr>
        <w:br w:type="page"/>
      </w:r>
    </w:p>
    <w:p w:rsidR="00184228" w:rsidRPr="001D3234" w:rsidRDefault="000F6F40" w:rsidP="00184228">
      <w:pPr>
        <w:rPr>
          <w:rStyle w:val="CommentReference"/>
        </w:rPr>
      </w:pPr>
      <w:r w:rsidRPr="001D3234">
        <w:rPr>
          <w:rStyle w:val="CommentReference"/>
        </w:rPr>
        <w:lastRenderedPageBreak/>
        <w:t>Table</w:t>
      </w:r>
      <w:r w:rsidR="008D77A7" w:rsidRPr="001D3234">
        <w:rPr>
          <w:rStyle w:val="CommentReference"/>
        </w:rPr>
        <w:t xml:space="preserve"> </w:t>
      </w:r>
      <w:r w:rsidR="003E39FF" w:rsidRPr="001D3234">
        <w:rPr>
          <w:rFonts w:ascii="Arial Narrow" w:hAnsi="Arial Narrow"/>
          <w:b/>
          <w:color w:val="000000" w:themeColor="text1"/>
          <w:sz w:val="20"/>
          <w:szCs w:val="20"/>
        </w:rPr>
        <w:t>13</w:t>
      </w:r>
      <w:bookmarkEnd w:id="28"/>
      <w:r w:rsidR="008D77A7" w:rsidRPr="001D3234">
        <w:rPr>
          <w:rStyle w:val="CommentReference"/>
          <w:b w:val="0"/>
          <w:color w:val="000000" w:themeColor="text1"/>
        </w:rPr>
        <w:t xml:space="preserve">: </w:t>
      </w:r>
      <w:r w:rsidR="00554E07" w:rsidRPr="001D3234">
        <w:rPr>
          <w:rStyle w:val="CommentReference"/>
        </w:rPr>
        <w:t>Results of the cost 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20" w:firstRow="1" w:lastRow="0" w:firstColumn="0" w:lastColumn="0" w:noHBand="0" w:noVBand="0"/>
        <w:tblCaption w:val="Table 13: Results of the cost minimisation analysis."/>
      </w:tblPr>
      <w:tblGrid>
        <w:gridCol w:w="1060"/>
        <w:gridCol w:w="1535"/>
        <w:gridCol w:w="853"/>
        <w:gridCol w:w="853"/>
        <w:gridCol w:w="1080"/>
        <w:gridCol w:w="2487"/>
        <w:gridCol w:w="1149"/>
      </w:tblGrid>
      <w:tr w:rsidR="00184228" w:rsidRPr="001D3234" w:rsidTr="00F86393">
        <w:trPr>
          <w:trHeight w:val="20"/>
          <w:tblHeader/>
        </w:trPr>
        <w:tc>
          <w:tcPr>
            <w:tcW w:w="588" w:type="pct"/>
            <w:vMerge w:val="restart"/>
            <w:shd w:val="clear" w:color="auto" w:fill="auto"/>
            <w:vAlign w:val="center"/>
          </w:tcPr>
          <w:p w:rsidR="00184228" w:rsidRPr="001D3234" w:rsidRDefault="00184228" w:rsidP="00020A19">
            <w:pPr>
              <w:pStyle w:val="TableParagraph"/>
              <w:kinsoku w:val="0"/>
              <w:overflowPunct w:val="0"/>
              <w:jc w:val="left"/>
              <w:rPr>
                <w:rFonts w:ascii="Arial Narrow" w:hAnsi="Arial Narrow" w:cs="Arial Narrow"/>
                <w:b/>
                <w:bCs/>
                <w:sz w:val="20"/>
                <w:szCs w:val="20"/>
              </w:rPr>
            </w:pPr>
          </w:p>
        </w:tc>
        <w:tc>
          <w:tcPr>
            <w:tcW w:w="2396" w:type="pct"/>
            <w:gridSpan w:val="4"/>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Drug costs (AEMP)</w:t>
            </w:r>
          </w:p>
        </w:tc>
        <w:tc>
          <w:tcPr>
            <w:tcW w:w="1379"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Additional monitoring costs</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Total costs</w:t>
            </w:r>
          </w:p>
        </w:tc>
      </w:tr>
      <w:tr w:rsidR="00184228" w:rsidRPr="001D3234" w:rsidTr="00F86393">
        <w:trPr>
          <w:trHeight w:val="20"/>
          <w:tblHeader/>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cs="Arial Narrow"/>
                <w:b/>
                <w:bCs/>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z w:val="20"/>
                <w:szCs w:val="20"/>
              </w:rPr>
            </w:pPr>
            <w:r w:rsidRPr="001D3234">
              <w:rPr>
                <w:rFonts w:ascii="Arial Narrow" w:hAnsi="Arial Narrow" w:cs="Arial Narrow"/>
                <w:b/>
                <w:bCs/>
                <w:spacing w:val="-1"/>
                <w:sz w:val="20"/>
                <w:szCs w:val="20"/>
              </w:rPr>
              <w:t>Treatment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30 days</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1 year</w:t>
            </w:r>
          </w:p>
        </w:tc>
        <w:tc>
          <w:tcPr>
            <w:tcW w:w="1379"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1 year</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cs="Arial Narrow"/>
                <w:b/>
                <w:bCs/>
                <w:spacing w:val="-1"/>
                <w:sz w:val="20"/>
                <w:szCs w:val="20"/>
              </w:rPr>
            </w:pPr>
            <w:r w:rsidRPr="001D3234">
              <w:rPr>
                <w:rFonts w:ascii="Arial Narrow" w:hAnsi="Arial Narrow" w:cs="Arial Narrow"/>
                <w:b/>
                <w:bCs/>
                <w:spacing w:val="-1"/>
                <w:sz w:val="20"/>
                <w:szCs w:val="20"/>
              </w:rPr>
              <w:t>1 year</w:t>
            </w:r>
          </w:p>
        </w:tc>
      </w:tr>
      <w:tr w:rsidR="00184228" w:rsidRPr="001D3234" w:rsidTr="00F86393">
        <w:trPr>
          <w:trHeight w:val="20"/>
        </w:trPr>
        <w:tc>
          <w:tcPr>
            <w:tcW w:w="588" w:type="pct"/>
            <w:vMerge w:val="restart"/>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r w:rsidRPr="001D3234">
              <w:rPr>
                <w:rFonts w:ascii="Arial Narrow" w:hAnsi="Arial Narrow"/>
                <w:sz w:val="20"/>
                <w:szCs w:val="20"/>
              </w:rPr>
              <w:t>Part 1: Individual components</w:t>
            </w: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vertAlign w:val="superscript"/>
              </w:rPr>
            </w:pPr>
            <w:r w:rsidRPr="001D3234">
              <w:rPr>
                <w:rFonts w:ascii="Arial Narrow" w:hAnsi="Arial Narrow"/>
                <w:sz w:val="20"/>
                <w:szCs w:val="20"/>
              </w:rPr>
              <w:t>Tivicay</w:t>
            </w:r>
            <w:r w:rsidRPr="001D3234">
              <w:rPr>
                <w:rFonts w:ascii="Arial Narrow" w:hAnsi="Arial Narrow"/>
                <w:sz w:val="20"/>
                <w:szCs w:val="20"/>
                <w:vertAlign w:val="superscript"/>
              </w:rPr>
              <w:t>®</w:t>
            </w:r>
          </w:p>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DTG (50mg)</w:t>
            </w:r>
          </w:p>
        </w:tc>
        <w:tc>
          <w:tcPr>
            <w:tcW w:w="473"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$632.27^</w:t>
            </w:r>
          </w:p>
        </w:tc>
        <w:tc>
          <w:tcPr>
            <w:tcW w:w="473"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$697.78</w:t>
            </w:r>
          </w:p>
        </w:tc>
        <w:tc>
          <w:tcPr>
            <w:tcW w:w="599"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$8,495.50</w:t>
            </w:r>
          </w:p>
        </w:tc>
        <w:tc>
          <w:tcPr>
            <w:tcW w:w="1379"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NA</w:t>
            </w:r>
          </w:p>
        </w:tc>
        <w:tc>
          <w:tcPr>
            <w:tcW w:w="637"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$8,495.50</w:t>
            </w:r>
          </w:p>
        </w:tc>
      </w:tr>
      <w:tr w:rsidR="00184228" w:rsidRPr="001D3234" w:rsidTr="00F86393">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3TC (300mg)</w:t>
            </w:r>
          </w:p>
        </w:tc>
        <w:tc>
          <w:tcPr>
            <w:tcW w:w="473"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$65.51</w:t>
            </w:r>
          </w:p>
        </w:tc>
        <w:tc>
          <w:tcPr>
            <w:tcW w:w="473"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59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137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637" w:type="pct"/>
            <w:vMerge/>
            <w:shd w:val="clear" w:color="auto" w:fill="FFFF00"/>
            <w:vAlign w:val="center"/>
          </w:tcPr>
          <w:p w:rsidR="00184228" w:rsidRPr="001D3234" w:rsidRDefault="00184228" w:rsidP="00020A19">
            <w:pPr>
              <w:pStyle w:val="TableParagraph"/>
              <w:kinsoku w:val="0"/>
              <w:overflowPunct w:val="0"/>
              <w:jc w:val="center"/>
              <w:rPr>
                <w:rFonts w:ascii="Arial Narrow" w:hAnsi="Arial Narrow"/>
                <w:sz w:val="20"/>
                <w:szCs w:val="20"/>
              </w:rPr>
            </w:pPr>
          </w:p>
        </w:tc>
      </w:tr>
      <w:tr w:rsidR="00184228" w:rsidRPr="001D3234" w:rsidTr="00F86393">
        <w:trPr>
          <w:trHeight w:val="20"/>
        </w:trPr>
        <w:tc>
          <w:tcPr>
            <w:tcW w:w="588" w:type="pct"/>
            <w:vMerge w:val="restart"/>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r w:rsidRPr="001D3234">
              <w:rPr>
                <w:rFonts w:ascii="Arial Narrow" w:hAnsi="Arial Narrow"/>
                <w:sz w:val="20"/>
                <w:szCs w:val="20"/>
              </w:rPr>
              <w:t>Part 2: Alternative FDC triple therapy</w:t>
            </w: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Triumeq</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$869.13</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$10,581.71</w:t>
            </w:r>
          </w:p>
        </w:tc>
        <w:tc>
          <w:tcPr>
            <w:tcW w:w="137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71203/73323: $34.50 at commencement</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$10,616.21</w:t>
            </w:r>
          </w:p>
        </w:tc>
      </w:tr>
      <w:tr w:rsidR="00184228" w:rsidRPr="001D3234" w:rsidTr="00F86393">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Biktarvy</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$900.34</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$10,961.64</w:t>
            </w:r>
          </w:p>
        </w:tc>
        <w:tc>
          <w:tcPr>
            <w:tcW w:w="1379" w:type="pct"/>
            <w:vMerge w:val="restar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66503:</w:t>
            </w:r>
          </w:p>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$9.95 every 6 months (baseline, month 6, month 12) = $29.85</w:t>
            </w: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$10,991.49</w:t>
            </w:r>
          </w:p>
        </w:tc>
      </w:tr>
      <w:tr w:rsidR="00184228" w:rsidRPr="001D3234" w:rsidTr="00F86393">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Genvoya</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$958.06</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$11,644.38</w:t>
            </w:r>
          </w:p>
        </w:tc>
        <w:tc>
          <w:tcPr>
            <w:tcW w:w="137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$11,694.28</w:t>
            </w:r>
          </w:p>
        </w:tc>
      </w:tr>
      <w:tr w:rsidR="00184228" w:rsidRPr="001D3234" w:rsidTr="00F86393">
        <w:trPr>
          <w:trHeight w:val="20"/>
        </w:trPr>
        <w:tc>
          <w:tcPr>
            <w:tcW w:w="588" w:type="pct"/>
            <w:vMerge/>
            <w:shd w:val="clear" w:color="auto" w:fill="auto"/>
            <w:vAlign w:val="center"/>
          </w:tcPr>
          <w:p w:rsidR="00184228" w:rsidRPr="001D3234" w:rsidRDefault="00184228"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Odefsey</w:t>
            </w:r>
            <w:r w:rsidRPr="001D3234">
              <w:rPr>
                <w:rFonts w:ascii="Arial Narrow" w:hAnsi="Arial Narrow"/>
                <w:sz w:val="20"/>
                <w:szCs w:val="20"/>
                <w:vertAlign w:val="superscript"/>
              </w:rPr>
              <w:t>®</w:t>
            </w:r>
          </w:p>
        </w:tc>
        <w:tc>
          <w:tcPr>
            <w:tcW w:w="946" w:type="pct"/>
            <w:gridSpan w:val="2"/>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$958.06</w:t>
            </w:r>
          </w:p>
        </w:tc>
        <w:tc>
          <w:tcPr>
            <w:tcW w:w="599"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$11,644.38</w:t>
            </w:r>
          </w:p>
        </w:tc>
        <w:tc>
          <w:tcPr>
            <w:tcW w:w="1379" w:type="pct"/>
            <w:vMerge/>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p>
        </w:tc>
        <w:tc>
          <w:tcPr>
            <w:tcW w:w="637" w:type="pct"/>
            <w:shd w:val="clear" w:color="auto" w:fill="auto"/>
            <w:vAlign w:val="center"/>
          </w:tcPr>
          <w:p w:rsidR="00184228" w:rsidRPr="001D3234" w:rsidRDefault="00184228"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$11,694.28</w:t>
            </w:r>
          </w:p>
        </w:tc>
      </w:tr>
      <w:tr w:rsidR="00184228" w:rsidRPr="001D3234" w:rsidTr="00F86393">
        <w:trPr>
          <w:trHeight w:val="20"/>
        </w:trPr>
        <w:tc>
          <w:tcPr>
            <w:tcW w:w="5000" w:type="pct"/>
            <w:gridSpan w:val="7"/>
            <w:shd w:val="clear" w:color="auto" w:fill="auto"/>
            <w:vAlign w:val="center"/>
          </w:tcPr>
          <w:p w:rsidR="00184228" w:rsidRPr="001D3234" w:rsidRDefault="00184228" w:rsidP="00020A19">
            <w:pPr>
              <w:pStyle w:val="TableParagraph"/>
              <w:kinsoku w:val="0"/>
              <w:overflowPunct w:val="0"/>
              <w:jc w:val="left"/>
              <w:rPr>
                <w:rFonts w:ascii="Arial Narrow" w:hAnsi="Arial Narrow"/>
                <w:b/>
                <w:sz w:val="20"/>
                <w:szCs w:val="20"/>
              </w:rPr>
            </w:pPr>
            <w:r w:rsidRPr="001D3234">
              <w:rPr>
                <w:rFonts w:ascii="Arial Narrow" w:hAnsi="Arial Narrow"/>
                <w:b/>
                <w:sz w:val="20"/>
                <w:szCs w:val="20"/>
              </w:rPr>
              <w:t xml:space="preserve">Lowest cost method for </w:t>
            </w:r>
            <w:r w:rsidR="008F4139" w:rsidRPr="001D3234">
              <w:rPr>
                <w:rFonts w:ascii="Arial Narrow" w:hAnsi="Arial Narrow"/>
                <w:b/>
                <w:sz w:val="20"/>
                <w:szCs w:val="20"/>
              </w:rPr>
              <w:t>Dovato</w:t>
            </w:r>
            <w:r w:rsidR="008F4139" w:rsidRPr="001D3234">
              <w:rPr>
                <w:rFonts w:ascii="Arial Narrow" w:hAnsi="Arial Narrow"/>
                <w:b/>
                <w:sz w:val="20"/>
                <w:szCs w:val="20"/>
                <w:vertAlign w:val="superscript"/>
              </w:rPr>
              <w:t>®</w:t>
            </w:r>
            <w:r w:rsidRPr="001D3234">
              <w:rPr>
                <w:rFonts w:ascii="Arial Narrow" w:hAnsi="Arial Narrow"/>
                <w:b/>
                <w:sz w:val="20"/>
                <w:szCs w:val="20"/>
              </w:rPr>
              <w:t xml:space="preserve"> = Individual components</w:t>
            </w:r>
          </w:p>
        </w:tc>
      </w:tr>
      <w:tr w:rsidR="00184228" w:rsidRPr="001D3234" w:rsidTr="00F86393">
        <w:trPr>
          <w:trHeight w:val="20"/>
        </w:trPr>
        <w:tc>
          <w:tcPr>
            <w:tcW w:w="5000" w:type="pct"/>
            <w:gridSpan w:val="7"/>
            <w:shd w:val="clear" w:color="auto" w:fill="auto"/>
            <w:vAlign w:val="center"/>
          </w:tcPr>
          <w:p w:rsidR="00184228" w:rsidRPr="001D3234" w:rsidRDefault="00163AAC" w:rsidP="00020A19">
            <w:pPr>
              <w:pStyle w:val="TableParagraph"/>
              <w:kinsoku w:val="0"/>
              <w:overflowPunct w:val="0"/>
              <w:rPr>
                <w:rFonts w:ascii="Arial Narrow" w:hAnsi="Arial Narrow"/>
                <w:sz w:val="20"/>
                <w:szCs w:val="20"/>
              </w:rPr>
            </w:pPr>
            <w:r w:rsidRPr="001D3234">
              <w:rPr>
                <w:rFonts w:ascii="Arial Narrow" w:hAnsi="Arial Narrow"/>
                <w:sz w:val="20"/>
                <w:szCs w:val="20"/>
              </w:rPr>
              <w:t>Evaluation estimation of TDF/</w:t>
            </w:r>
            <w:r w:rsidR="00184228" w:rsidRPr="001D3234">
              <w:rPr>
                <w:rFonts w:ascii="Arial Narrow" w:hAnsi="Arial Narrow"/>
                <w:sz w:val="20"/>
                <w:szCs w:val="20"/>
              </w:rPr>
              <w:t>FDC regimens based on PBS published prices (May 2019)</w:t>
            </w:r>
          </w:p>
        </w:tc>
      </w:tr>
      <w:tr w:rsidR="008321BB" w:rsidRPr="001D3234" w:rsidTr="00F86393">
        <w:trPr>
          <w:trHeight w:val="20"/>
        </w:trPr>
        <w:tc>
          <w:tcPr>
            <w:tcW w:w="588" w:type="pct"/>
            <w:vMerge w:val="restart"/>
            <w:shd w:val="clear" w:color="auto" w:fill="auto"/>
            <w:vAlign w:val="center"/>
          </w:tcPr>
          <w:p w:rsidR="008321BB" w:rsidRPr="001D3234" w:rsidRDefault="008321BB" w:rsidP="00020A19">
            <w:pPr>
              <w:pStyle w:val="TableParagraph"/>
              <w:kinsoku w:val="0"/>
              <w:overflowPunct w:val="0"/>
              <w:jc w:val="left"/>
              <w:rPr>
                <w:rFonts w:ascii="Arial Narrow" w:hAnsi="Arial Narrow"/>
                <w:sz w:val="20"/>
                <w:szCs w:val="20"/>
              </w:rPr>
            </w:pPr>
            <w:r w:rsidRPr="001D3234">
              <w:rPr>
                <w:rFonts w:ascii="Arial Narrow" w:hAnsi="Arial Narrow"/>
                <w:sz w:val="20"/>
                <w:szCs w:val="20"/>
              </w:rPr>
              <w:t>Excluded FDC comparators</w:t>
            </w:r>
            <w:r w:rsidR="004D2529" w:rsidRPr="001D3234">
              <w:rPr>
                <w:rStyle w:val="FootnoteReference"/>
                <w:rFonts w:ascii="Arial Narrow" w:hAnsi="Arial Narrow"/>
                <w:sz w:val="20"/>
                <w:szCs w:val="20"/>
              </w:rPr>
              <w:footnoteReference w:id="2"/>
            </w:r>
          </w:p>
        </w:tc>
        <w:tc>
          <w:tcPr>
            <w:tcW w:w="851"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Stribild</w:t>
            </w:r>
            <w:r w:rsidRPr="001D3234">
              <w:rPr>
                <w:rFonts w:ascii="Arial Narrow" w:hAnsi="Arial Narrow"/>
                <w:sz w:val="20"/>
                <w:szCs w:val="20"/>
                <w:vertAlign w:val="superscript"/>
              </w:rPr>
              <w:t>®</w:t>
            </w:r>
          </w:p>
        </w:tc>
        <w:tc>
          <w:tcPr>
            <w:tcW w:w="946" w:type="pct"/>
            <w:gridSpan w:val="2"/>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$868.55*</w:t>
            </w:r>
          </w:p>
        </w:tc>
        <w:tc>
          <w:tcPr>
            <w:tcW w:w="599" w:type="pct"/>
            <w:shd w:val="clear" w:color="auto" w:fill="auto"/>
            <w:vAlign w:val="center"/>
          </w:tcPr>
          <w:p w:rsidR="008321BB" w:rsidRPr="001D3234" w:rsidRDefault="008321BB" w:rsidP="00163AAC">
            <w:pPr>
              <w:widowControl/>
              <w:jc w:val="center"/>
              <w:rPr>
                <w:rFonts w:ascii="Arial Narrow" w:hAnsi="Arial Narrow"/>
                <w:sz w:val="20"/>
                <w:szCs w:val="20"/>
              </w:rPr>
            </w:pPr>
            <w:r w:rsidRPr="001D3234">
              <w:rPr>
                <w:rFonts w:ascii="Arial Narrow" w:hAnsi="Arial Narrow" w:cs="Calibri"/>
                <w:color w:val="000000"/>
                <w:sz w:val="20"/>
                <w:szCs w:val="20"/>
              </w:rPr>
              <w:t>$10,574.60</w:t>
            </w:r>
          </w:p>
        </w:tc>
        <w:tc>
          <w:tcPr>
            <w:tcW w:w="1379"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66503:</w:t>
            </w:r>
          </w:p>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$9.95 every 6 months (baseline, month 6, month 12) = $29.85</w:t>
            </w:r>
          </w:p>
        </w:tc>
        <w:tc>
          <w:tcPr>
            <w:tcW w:w="637"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$10,604.45</w:t>
            </w:r>
          </w:p>
        </w:tc>
      </w:tr>
      <w:tr w:rsidR="008321BB" w:rsidRPr="001D3234" w:rsidTr="00F86393">
        <w:trPr>
          <w:trHeight w:val="20"/>
        </w:trPr>
        <w:tc>
          <w:tcPr>
            <w:tcW w:w="588" w:type="pct"/>
            <w:vMerge/>
            <w:shd w:val="clear" w:color="auto" w:fill="auto"/>
            <w:vAlign w:val="center"/>
          </w:tcPr>
          <w:p w:rsidR="008321BB" w:rsidRPr="001D3234" w:rsidRDefault="008321BB" w:rsidP="00020A19">
            <w:pPr>
              <w:pStyle w:val="TableParagraph"/>
              <w:kinsoku w:val="0"/>
              <w:overflowPunct w:val="0"/>
              <w:jc w:val="left"/>
              <w:rPr>
                <w:rFonts w:ascii="Arial Narrow" w:hAnsi="Arial Narrow"/>
                <w:sz w:val="20"/>
                <w:szCs w:val="20"/>
              </w:rPr>
            </w:pPr>
          </w:p>
        </w:tc>
        <w:tc>
          <w:tcPr>
            <w:tcW w:w="851"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Eviplera</w:t>
            </w:r>
            <w:r w:rsidRPr="001D3234">
              <w:rPr>
                <w:rFonts w:ascii="Arial Narrow" w:hAnsi="Arial Narrow"/>
                <w:sz w:val="20"/>
                <w:szCs w:val="20"/>
                <w:vertAlign w:val="superscript"/>
              </w:rPr>
              <w:t>®</w:t>
            </w:r>
          </w:p>
        </w:tc>
        <w:tc>
          <w:tcPr>
            <w:tcW w:w="946" w:type="pct"/>
            <w:gridSpan w:val="2"/>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$868.55*</w:t>
            </w:r>
          </w:p>
        </w:tc>
        <w:tc>
          <w:tcPr>
            <w:tcW w:w="599" w:type="pct"/>
            <w:shd w:val="clear" w:color="auto" w:fill="auto"/>
            <w:vAlign w:val="center"/>
          </w:tcPr>
          <w:p w:rsidR="008321BB" w:rsidRPr="001D3234" w:rsidRDefault="008321BB" w:rsidP="00163AAC">
            <w:pPr>
              <w:widowControl/>
              <w:jc w:val="center"/>
              <w:rPr>
                <w:rFonts w:ascii="Arial Narrow" w:hAnsi="Arial Narrow" w:cs="Calibri"/>
                <w:color w:val="000000"/>
                <w:sz w:val="20"/>
                <w:szCs w:val="20"/>
              </w:rPr>
            </w:pPr>
            <w:r w:rsidRPr="001D3234">
              <w:rPr>
                <w:rFonts w:ascii="Arial Narrow" w:hAnsi="Arial Narrow" w:cs="Calibri"/>
                <w:color w:val="000000"/>
                <w:sz w:val="20"/>
                <w:szCs w:val="20"/>
              </w:rPr>
              <w:t>$10,574.60</w:t>
            </w:r>
          </w:p>
        </w:tc>
        <w:tc>
          <w:tcPr>
            <w:tcW w:w="1379" w:type="pct"/>
            <w:shd w:val="clear" w:color="auto" w:fill="auto"/>
            <w:vAlign w:val="center"/>
          </w:tcPr>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MBS Item 66503:</w:t>
            </w:r>
          </w:p>
          <w:p w:rsidR="008321BB" w:rsidRPr="001D3234" w:rsidRDefault="008321BB" w:rsidP="00020A19">
            <w:pPr>
              <w:pStyle w:val="TableParagraph"/>
              <w:kinsoku w:val="0"/>
              <w:overflowPunct w:val="0"/>
              <w:jc w:val="center"/>
              <w:rPr>
                <w:rFonts w:ascii="Arial Narrow" w:hAnsi="Arial Narrow"/>
                <w:sz w:val="20"/>
                <w:szCs w:val="20"/>
              </w:rPr>
            </w:pPr>
            <w:r w:rsidRPr="001D3234">
              <w:rPr>
                <w:rFonts w:ascii="Arial Narrow" w:hAnsi="Arial Narrow"/>
                <w:sz w:val="20"/>
                <w:szCs w:val="20"/>
              </w:rPr>
              <w:t>$9.95 every 6 months (baseline, month 6, month 12) = $29.85</w:t>
            </w:r>
          </w:p>
        </w:tc>
        <w:tc>
          <w:tcPr>
            <w:tcW w:w="637" w:type="pct"/>
            <w:shd w:val="clear" w:color="auto" w:fill="auto"/>
            <w:vAlign w:val="center"/>
          </w:tcPr>
          <w:p w:rsidR="008321BB" w:rsidRPr="001D3234" w:rsidRDefault="008321BB" w:rsidP="00163AAC">
            <w:pPr>
              <w:pStyle w:val="TableParagraph"/>
              <w:kinsoku w:val="0"/>
              <w:overflowPunct w:val="0"/>
              <w:jc w:val="center"/>
              <w:rPr>
                <w:rFonts w:ascii="Arial Narrow" w:hAnsi="Arial Narrow"/>
                <w:sz w:val="20"/>
                <w:szCs w:val="20"/>
              </w:rPr>
            </w:pPr>
            <w:r w:rsidRPr="001D3234">
              <w:rPr>
                <w:rFonts w:ascii="Arial Narrow" w:hAnsi="Arial Narrow"/>
                <w:sz w:val="20"/>
                <w:szCs w:val="20"/>
              </w:rPr>
              <w:t>$10,604.45</w:t>
            </w:r>
          </w:p>
        </w:tc>
      </w:tr>
    </w:tbl>
    <w:p w:rsidR="00184228" w:rsidRPr="001D3234" w:rsidRDefault="00184228" w:rsidP="00184228">
      <w:pPr>
        <w:pStyle w:val="TableNotes"/>
        <w:spacing w:after="0"/>
      </w:pPr>
      <w:r w:rsidRPr="001D3234">
        <w:t xml:space="preserve">Source: Table 79, p114 of the submission, submission’s cost-minimisation and financial impact worksheets. </w:t>
      </w:r>
    </w:p>
    <w:p w:rsidR="00184228" w:rsidRPr="001D3234" w:rsidRDefault="00184228" w:rsidP="00184228">
      <w:pPr>
        <w:pStyle w:val="TableNotes"/>
        <w:spacing w:after="0"/>
      </w:pPr>
      <w:r w:rsidRPr="001D3234">
        <w:t xml:space="preserve">3TC = lamivudine; AEMP = approved ex-manufacturer price; DTG = dolutegravir; HIV = human immunodeficiency virus </w:t>
      </w:r>
    </w:p>
    <w:p w:rsidR="00184228" w:rsidRPr="001D3234" w:rsidRDefault="00184228" w:rsidP="00C609B1">
      <w:pPr>
        <w:pStyle w:val="TableNotes"/>
        <w:tabs>
          <w:tab w:val="left" w:pos="284"/>
        </w:tabs>
        <w:ind w:left="284" w:hanging="284"/>
      </w:pPr>
      <w:r w:rsidRPr="001D3234">
        <w:t>^</w:t>
      </w:r>
      <w:r w:rsidRPr="001D3234">
        <w:tab/>
        <w:t>Accounting for 5% statutory reduction that is applicable for DTG from April 2019</w:t>
      </w:r>
      <w:r w:rsidR="001D3234">
        <w:t xml:space="preserve">. </w:t>
      </w:r>
      <w:r w:rsidRPr="001D3234">
        <w:t>These prices were cross-referenced with current PBS published prices during the evaluation (May 2019)</w:t>
      </w:r>
    </w:p>
    <w:p w:rsidR="000F6F40" w:rsidRPr="001D3234" w:rsidRDefault="00184228" w:rsidP="00C609B1">
      <w:pPr>
        <w:pStyle w:val="TableNotes"/>
        <w:tabs>
          <w:tab w:val="left" w:pos="284"/>
        </w:tabs>
        <w:ind w:left="284" w:hanging="284"/>
      </w:pPr>
      <w:r w:rsidRPr="001D3234">
        <w:t>*</w:t>
      </w:r>
      <w:r w:rsidRPr="001D3234">
        <w:tab/>
        <w:t xml:space="preserve">These prices were back-calculated using the AEMP to DPMQ calculator in the submission’s financial model. </w:t>
      </w:r>
      <w:r w:rsidR="00D53FEA" w:rsidRPr="001D3234">
        <w:t>The</w:t>
      </w:r>
      <w:r w:rsidRPr="001D3234">
        <w:t xml:space="preserve"> prices without the 34.82% price disclosure reduction corresponded to PBS published prices, and were updated during the evaluation. </w:t>
      </w:r>
    </w:p>
    <w:p w:rsidR="00184228" w:rsidRPr="001D3234" w:rsidRDefault="00184228" w:rsidP="00184228">
      <w:pPr>
        <w:pStyle w:val="TableNotes"/>
        <w:tabs>
          <w:tab w:val="left" w:pos="284"/>
        </w:tabs>
      </w:pPr>
    </w:p>
    <w:p w:rsidR="00184228" w:rsidRPr="001D3234" w:rsidRDefault="00184228" w:rsidP="0075623E">
      <w:pPr>
        <w:pStyle w:val="ListParagraph"/>
        <w:keepNext/>
        <w:widowControl/>
        <w:numPr>
          <w:ilvl w:val="1"/>
          <w:numId w:val="1"/>
        </w:numPr>
        <w:spacing w:after="120"/>
      </w:pPr>
      <w:r w:rsidRPr="001D3234">
        <w:t xml:space="preserve">In the cost-minimisation analysis, prices of DTG and all DTG containing FDCs were adjusted to account for a 5% statutory reduction applicable to DTG from April 2019. Review of PBS published prices during the evaluation indicated that the calculated prices were consistent with </w:t>
      </w:r>
      <w:r w:rsidR="00A1307E" w:rsidRPr="001D3234">
        <w:t>PBS prices in May 2019</w:t>
      </w:r>
      <w:r w:rsidRPr="001D3234">
        <w:t>.</w:t>
      </w:r>
    </w:p>
    <w:p w:rsidR="00184228" w:rsidRPr="001D3234" w:rsidRDefault="00184228" w:rsidP="0075623E">
      <w:pPr>
        <w:pStyle w:val="ListParagraph"/>
        <w:keepNext/>
        <w:widowControl/>
        <w:numPr>
          <w:ilvl w:val="1"/>
          <w:numId w:val="1"/>
        </w:numPr>
        <w:spacing w:after="120"/>
      </w:pPr>
      <w:r w:rsidRPr="001D3234">
        <w:t xml:space="preserve">In the cost-minimisation analysis, prices for Truvada® and all </w:t>
      </w:r>
      <w:r w:rsidR="00C609B1" w:rsidRPr="001D3234">
        <w:t>tenofovir/emtricitabine (TDF/FTC) containing triple-</w:t>
      </w:r>
      <w:r w:rsidRPr="001D3234">
        <w:t>drug FDCs were adjusted to account for a 34.82% reduction due to an</w:t>
      </w:r>
      <w:r w:rsidR="00554E07" w:rsidRPr="001D3234">
        <w:t xml:space="preserve"> anticipated</w:t>
      </w:r>
      <w:r w:rsidRPr="001D3234">
        <w:t xml:space="preserve"> April 2019 price disclosure outcome. Review of current PBS prices during the evaluation (9 May 2</w:t>
      </w:r>
      <w:r w:rsidR="00C609B1" w:rsidRPr="001D3234">
        <w:t>019) indicated that</w:t>
      </w:r>
      <w:r w:rsidR="00563369" w:rsidRPr="001D3234">
        <w:t xml:space="preserve"> </w:t>
      </w:r>
      <w:r w:rsidR="00C609B1" w:rsidRPr="001D3234">
        <w:t xml:space="preserve">the 34.82% </w:t>
      </w:r>
      <w:r w:rsidRPr="001D3234">
        <w:t xml:space="preserve">reduction to regimens containing TDF/FTC </w:t>
      </w:r>
      <w:r w:rsidR="00563369" w:rsidRPr="001D3234">
        <w:t>ha</w:t>
      </w:r>
      <w:r w:rsidR="000C3D36" w:rsidRPr="001D3234">
        <w:t>d</w:t>
      </w:r>
      <w:r w:rsidR="00563369" w:rsidRPr="001D3234">
        <w:t xml:space="preserve"> not been applied</w:t>
      </w:r>
      <w:r w:rsidRPr="001D3234">
        <w:t>.</w:t>
      </w:r>
      <w:r w:rsidR="00C609B1" w:rsidRPr="001D3234">
        <w:t xml:space="preserve"> </w:t>
      </w:r>
      <w:r w:rsidR="00563369" w:rsidRPr="001D3234">
        <w:t xml:space="preserve">In March 2019, advice from the PBAC was sought on whether the TDF/FTC containing medicines, Atripla®; Eviplera® </w:t>
      </w:r>
      <w:r w:rsidR="00D53FEA" w:rsidRPr="001D3234">
        <w:t>Stribild</w:t>
      </w:r>
      <w:r w:rsidR="00563369" w:rsidRPr="001D3234">
        <w:t>®, Truvada®</w:t>
      </w:r>
      <w:r w:rsidRPr="001D3234">
        <w:t xml:space="preserve"> </w:t>
      </w:r>
      <w:r w:rsidR="00563369" w:rsidRPr="001D3234">
        <w:t>should be removed from the PBS schedule. The advice was sought becau</w:t>
      </w:r>
      <w:r w:rsidR="00DE37BF" w:rsidRPr="001D3234">
        <w:t>s</w:t>
      </w:r>
      <w:r w:rsidR="00563369" w:rsidRPr="001D3234">
        <w:t>e prices consistent with the current price of the component drug tenofovir with emtricitabine (Truvada®) could not be agreed as required due to price disclosure price reductions to all PBS-listed bra</w:t>
      </w:r>
      <w:r w:rsidR="00E8037D" w:rsidRPr="001D3234">
        <w:t>n</w:t>
      </w:r>
      <w:r w:rsidR="00563369" w:rsidRPr="001D3234">
        <w:t>ds of tenofovir with emtricitabine. T</w:t>
      </w:r>
      <w:r w:rsidR="00DE37BF" w:rsidRPr="001D3234">
        <w:t>h</w:t>
      </w:r>
      <w:r w:rsidR="00563369" w:rsidRPr="001D3234">
        <w:t>e PBAC advised that there were no</w:t>
      </w:r>
      <w:r w:rsidR="00DE37BF" w:rsidRPr="001D3234">
        <w:t xml:space="preserve"> r</w:t>
      </w:r>
      <w:r w:rsidR="00563369" w:rsidRPr="001D3234">
        <w:t xml:space="preserve">easons why these medicines </w:t>
      </w:r>
      <w:r w:rsidR="00563369" w:rsidRPr="001D3234">
        <w:lastRenderedPageBreak/>
        <w:t>should remain on the PBS, however recommended that Atripla</w:t>
      </w:r>
      <w:r w:rsidR="00E8037D" w:rsidRPr="001D3234">
        <w:t>®</w:t>
      </w:r>
      <w:r w:rsidR="00563369" w:rsidRPr="001D3234">
        <w:t>, Eviplera</w:t>
      </w:r>
      <w:r w:rsidR="00E8037D" w:rsidRPr="001D3234">
        <w:t>®</w:t>
      </w:r>
      <w:r w:rsidR="00563369" w:rsidRPr="001D3234">
        <w:t xml:space="preserve"> and Stribild</w:t>
      </w:r>
      <w:r w:rsidR="00E8037D" w:rsidRPr="001D3234">
        <w:t>®</w:t>
      </w:r>
      <w:r w:rsidR="00563369" w:rsidRPr="001D3234">
        <w:t xml:space="preserve"> should remain listed on the PBS for six months, subject to consultation with clinical and community peak bodies. (March 2019 PBAC outcomes, ‘Other Matters,’p5).</w:t>
      </w:r>
    </w:p>
    <w:p w:rsidR="009F1DAD" w:rsidRPr="001D3234" w:rsidRDefault="009F1DAD" w:rsidP="0075623E">
      <w:pPr>
        <w:pStyle w:val="ListParagraph"/>
        <w:keepNext/>
        <w:widowControl/>
        <w:numPr>
          <w:ilvl w:val="1"/>
          <w:numId w:val="1"/>
        </w:numPr>
        <w:spacing w:after="120"/>
      </w:pPr>
      <w:r w:rsidRPr="001D3234">
        <w:t xml:space="preserve">From 1 August 2019, the price for Atripla® </w:t>
      </w:r>
      <w:r w:rsidR="001D3234">
        <w:t>will</w:t>
      </w:r>
      <w:r w:rsidRPr="001D3234">
        <w:t xml:space="preserve"> reduce to $</w:t>
      </w:r>
      <w:r w:rsidR="00613737">
        <w:rPr>
          <w:noProof/>
          <w:color w:val="000000"/>
          <w:highlight w:val="black"/>
        </w:rPr>
        <w:t>'''''''''''''</w:t>
      </w:r>
      <w:r w:rsidRPr="001D3234">
        <w:t xml:space="preserve"> (ex-man) for a pack of 30.</w:t>
      </w:r>
      <w:r w:rsidR="007379BB" w:rsidRPr="001D3234">
        <w:t xml:space="preserve"> </w:t>
      </w:r>
      <w:r w:rsidR="005600F6" w:rsidRPr="001D3234">
        <w:t>The PBAC however maintained its previously expressed view that therapies containing efavirenz, such as Atripla® have inferior safety to non-efavirenz containing therapies for the treatment of HIV infection (dolutegravir/rilpivirine Public Summary Document July 2018, paragraph 7.8).</w:t>
      </w:r>
    </w:p>
    <w:p w:rsidR="00184228" w:rsidRPr="001A0D42" w:rsidRDefault="00184228" w:rsidP="001A0D42">
      <w:pPr>
        <w:pStyle w:val="Heading2"/>
        <w:spacing w:before="120" w:after="120"/>
      </w:pPr>
      <w:bookmarkStart w:id="29" w:name="_Toc9405801"/>
      <w:r w:rsidRPr="001A0D42">
        <w:t>Drug cost/patient/year</w:t>
      </w:r>
      <w:r w:rsidR="00523DAB" w:rsidRPr="001A0D42">
        <w:t>: $</w:t>
      </w:r>
      <w:bookmarkEnd w:id="29"/>
      <w:r w:rsidR="00613737">
        <w:rPr>
          <w:noProof/>
          <w:color w:val="000000"/>
          <w:highlight w:val="black"/>
        </w:rPr>
        <w:t>''''''''''''''''</w:t>
      </w:r>
    </w:p>
    <w:p w:rsidR="000F6F40" w:rsidRPr="001D3234" w:rsidRDefault="000F6F40" w:rsidP="00FB4283">
      <w:pPr>
        <w:pStyle w:val="ListParagraph"/>
        <w:keepNext/>
        <w:widowControl/>
        <w:numPr>
          <w:ilvl w:val="1"/>
          <w:numId w:val="1"/>
        </w:numPr>
      </w:pPr>
      <w:r w:rsidRPr="001D3234">
        <w:rPr>
          <w:color w:val="000000" w:themeColor="text1"/>
        </w:rPr>
        <w:t xml:space="preserve">The </w:t>
      </w:r>
      <w:r w:rsidRPr="001D3234">
        <w:rPr>
          <w:rFonts w:cs="Calibri"/>
          <w:snapToGrid/>
          <w:color w:val="000000" w:themeColor="text1"/>
          <w:szCs w:val="24"/>
          <w:lang w:eastAsia="en-AU"/>
        </w:rPr>
        <w:t>drug cost per patient per course/year is $</w:t>
      </w:r>
      <w:r w:rsidR="00613737">
        <w:rPr>
          <w:rFonts w:cs="Calibri"/>
          <w:noProof/>
          <w:snapToGrid/>
          <w:color w:val="000000"/>
          <w:szCs w:val="24"/>
          <w:highlight w:val="black"/>
          <w:lang w:eastAsia="en-AU"/>
        </w:rPr>
        <w:t>'''''''''''''''''</w:t>
      </w:r>
      <w:r w:rsidRPr="001D3234">
        <w:rPr>
          <w:rFonts w:cs="Calibri"/>
          <w:snapToGrid/>
          <w:color w:val="000000" w:themeColor="text1"/>
          <w:szCs w:val="24"/>
          <w:lang w:eastAsia="en-AU"/>
        </w:rPr>
        <w:t xml:space="preserve"> based on a </w:t>
      </w:r>
      <w:r w:rsidR="00163AAC" w:rsidRPr="001D3234">
        <w:rPr>
          <w:rFonts w:cs="Calibri"/>
          <w:snapToGrid/>
          <w:color w:val="000000" w:themeColor="text1"/>
          <w:szCs w:val="24"/>
          <w:lang w:eastAsia="en-AU"/>
        </w:rPr>
        <w:t>DPMQ</w:t>
      </w:r>
      <w:r w:rsidRPr="001D3234">
        <w:rPr>
          <w:rFonts w:cs="Calibri"/>
          <w:snapToGrid/>
          <w:color w:val="000000" w:themeColor="text1"/>
          <w:szCs w:val="24"/>
          <w:lang w:eastAsia="en-AU"/>
        </w:rPr>
        <w:t xml:space="preserve"> of $</w:t>
      </w:r>
      <w:r w:rsidR="00613737">
        <w:rPr>
          <w:rFonts w:cs="Calibri"/>
          <w:noProof/>
          <w:snapToGrid/>
          <w:color w:val="000000"/>
          <w:szCs w:val="24"/>
          <w:highlight w:val="black"/>
          <w:lang w:eastAsia="en-AU"/>
        </w:rPr>
        <w:t>''''''''''''''''</w:t>
      </w:r>
      <w:r w:rsidRPr="001D3234">
        <w:rPr>
          <w:rFonts w:cs="Calibri"/>
          <w:snapToGrid/>
          <w:color w:val="000000" w:themeColor="text1"/>
          <w:szCs w:val="24"/>
          <w:lang w:eastAsia="en-AU"/>
        </w:rPr>
        <w:t xml:space="preserve">, a pack size of </w:t>
      </w:r>
      <w:r w:rsidR="00163AAC" w:rsidRPr="001D3234">
        <w:rPr>
          <w:rFonts w:cs="Calibri"/>
          <w:snapToGrid/>
          <w:color w:val="000000" w:themeColor="text1"/>
          <w:szCs w:val="24"/>
          <w:lang w:eastAsia="en-AU"/>
        </w:rPr>
        <w:t>60 tablets</w:t>
      </w:r>
      <w:r w:rsidRPr="001D3234">
        <w:rPr>
          <w:rFonts w:cs="Calibri"/>
          <w:snapToGrid/>
          <w:color w:val="000000" w:themeColor="text1"/>
          <w:szCs w:val="24"/>
          <w:lang w:eastAsia="en-AU"/>
        </w:rPr>
        <w:t xml:space="preserve"> and 365.25 days in a year ($</w:t>
      </w:r>
      <w:r w:rsidR="00613737">
        <w:rPr>
          <w:rFonts w:cs="Calibri"/>
          <w:noProof/>
          <w:snapToGrid/>
          <w:color w:val="000000"/>
          <w:szCs w:val="24"/>
          <w:highlight w:val="black"/>
          <w:lang w:eastAsia="en-AU"/>
        </w:rPr>
        <w:t>''''''''''''''''''</w:t>
      </w:r>
      <w:r w:rsidR="00163AAC" w:rsidRPr="001D3234">
        <w:rPr>
          <w:rFonts w:cs="Calibri"/>
          <w:snapToGrid/>
          <w:color w:val="000000" w:themeColor="text1"/>
          <w:szCs w:val="24"/>
          <w:lang w:eastAsia="en-AU"/>
        </w:rPr>
        <w:t>/6</w:t>
      </w:r>
      <w:r w:rsidRPr="001D3234">
        <w:rPr>
          <w:rFonts w:cs="Calibri"/>
          <w:snapToGrid/>
          <w:color w:val="000000" w:themeColor="text1"/>
          <w:szCs w:val="24"/>
          <w:lang w:eastAsia="en-AU"/>
        </w:rPr>
        <w:t>0 x 365 = $</w:t>
      </w:r>
      <w:r w:rsidR="00613737">
        <w:rPr>
          <w:rFonts w:cs="Calibri"/>
          <w:noProof/>
          <w:snapToGrid/>
          <w:color w:val="000000"/>
          <w:szCs w:val="24"/>
          <w:highlight w:val="black"/>
          <w:lang w:eastAsia="en-AU"/>
        </w:rPr>
        <w:t>'''''''''''''''''</w:t>
      </w:r>
      <w:r w:rsidRPr="001D3234">
        <w:rPr>
          <w:rFonts w:cs="Calibri"/>
          <w:snapToGrid/>
          <w:color w:val="000000" w:themeColor="text1"/>
          <w:szCs w:val="24"/>
          <w:lang w:eastAsia="en-AU"/>
        </w:rPr>
        <w:t xml:space="preserve">). </w:t>
      </w:r>
      <w:r w:rsidR="00163AAC" w:rsidRPr="001D3234">
        <w:rPr>
          <w:rFonts w:cs="Calibri"/>
          <w:snapToGrid/>
          <w:color w:val="000000" w:themeColor="text1"/>
          <w:szCs w:val="24"/>
          <w:lang w:eastAsia="en-AU"/>
        </w:rPr>
        <w:t xml:space="preserve">This compares with $8,853.56 ((DPMQ dolutegravir [$1,311.83] + DPMQ for lamivudine [$143.55])/60 x 365) for DTG + 3TC taken concomitantly. </w:t>
      </w:r>
      <w:r w:rsidR="00C71342" w:rsidRPr="001D3234">
        <w:rPr>
          <w:rFonts w:cs="Calibri"/>
          <w:snapToGrid/>
          <w:color w:val="000000" w:themeColor="text1"/>
          <w:szCs w:val="24"/>
          <w:lang w:eastAsia="en-AU"/>
        </w:rPr>
        <w:t>Treatment is ongoing; it</w:t>
      </w:r>
      <w:r w:rsidRPr="001D3234">
        <w:rPr>
          <w:rFonts w:cs="Calibri"/>
          <w:snapToGrid/>
          <w:color w:val="000000" w:themeColor="text1"/>
          <w:szCs w:val="24"/>
          <w:lang w:eastAsia="en-AU"/>
        </w:rPr>
        <w:t xml:space="preserve"> is expected that patients would remain on ART treatment for the duration of his or her life.</w:t>
      </w:r>
    </w:p>
    <w:p w:rsidR="000F6F40" w:rsidRPr="001A0D42" w:rsidRDefault="000F6F40" w:rsidP="001A0D42">
      <w:pPr>
        <w:pStyle w:val="Heading2"/>
        <w:spacing w:before="120" w:after="120"/>
      </w:pPr>
      <w:bookmarkStart w:id="30" w:name="_Toc9405802"/>
      <w:r w:rsidRPr="001A0D42">
        <w:t>Estimated PBS usage &amp; financial implications</w:t>
      </w:r>
      <w:bookmarkEnd w:id="30"/>
    </w:p>
    <w:p w:rsidR="000F6F40" w:rsidRPr="001D3234" w:rsidRDefault="000F6F40" w:rsidP="0075623E">
      <w:pPr>
        <w:pStyle w:val="ListParagraph"/>
        <w:widowControl/>
        <w:numPr>
          <w:ilvl w:val="1"/>
          <w:numId w:val="1"/>
        </w:numPr>
        <w:spacing w:after="120"/>
      </w:pPr>
      <w:r w:rsidRPr="001D3234">
        <w:t xml:space="preserve">This submission </w:t>
      </w:r>
      <w:r w:rsidR="005248B8" w:rsidRPr="001D3234">
        <w:t xml:space="preserve">was not </w:t>
      </w:r>
      <w:r w:rsidRPr="001D3234">
        <w:t>considered by DUSC</w:t>
      </w:r>
      <w:r w:rsidR="001D3234">
        <w:rPr>
          <w:color w:val="0070C0"/>
        </w:rPr>
        <w:t xml:space="preserve">. </w:t>
      </w:r>
    </w:p>
    <w:p w:rsidR="000F6F40" w:rsidRPr="001D3234" w:rsidRDefault="000F6F40" w:rsidP="0075623E">
      <w:pPr>
        <w:pStyle w:val="ListParagraph"/>
        <w:widowControl/>
        <w:numPr>
          <w:ilvl w:val="1"/>
          <w:numId w:val="1"/>
        </w:numPr>
        <w:spacing w:after="120"/>
      </w:pPr>
      <w:r w:rsidRPr="001D3234">
        <w:t xml:space="preserve">The submission followed </w:t>
      </w:r>
      <w:r w:rsidR="00104195" w:rsidRPr="001D3234">
        <w:t xml:space="preserve">(i) </w:t>
      </w:r>
      <w:r w:rsidRPr="001D3234">
        <w:t xml:space="preserve">an epidemiological approach to estimating use in treatment-naïve patients, and </w:t>
      </w:r>
      <w:r w:rsidR="00104195" w:rsidRPr="001D3234">
        <w:t xml:space="preserve">(ii) </w:t>
      </w:r>
      <w:r w:rsidRPr="001D3234">
        <w:t>a hybrid epidemiological</w:t>
      </w:r>
      <w:r w:rsidR="0015458A" w:rsidRPr="001D3234">
        <w:t xml:space="preserve"> approach</w:t>
      </w:r>
      <w:r w:rsidRPr="001D3234">
        <w:t xml:space="preserve"> derived from the incidence of HIV-infection and a market share approach for estimating use in treatment switch patients, derived from the prevalent HIV treated population, overlaid with the proportion of virologically suppressed and switching therapy. </w:t>
      </w:r>
    </w:p>
    <w:p w:rsidR="000F6F40" w:rsidRPr="001D3234" w:rsidRDefault="00601082" w:rsidP="0075623E">
      <w:pPr>
        <w:pStyle w:val="ListParagraph"/>
        <w:widowControl/>
        <w:numPr>
          <w:ilvl w:val="1"/>
          <w:numId w:val="1"/>
        </w:numPr>
        <w:spacing w:after="120"/>
      </w:pPr>
      <w:r w:rsidRPr="001D3234">
        <w:t>At time of ESC advice, t</w:t>
      </w:r>
      <w:r w:rsidR="000F6F40" w:rsidRPr="001D3234">
        <w:t xml:space="preserve">he TGA clinical evaluator did not recommend </w:t>
      </w:r>
      <w:r w:rsidR="00CA03CF" w:rsidRPr="001D3234">
        <w:t>Dovato</w:t>
      </w:r>
      <w:r w:rsidR="00CA03CF" w:rsidRPr="001D3234">
        <w:rPr>
          <w:rFonts w:cs="Calibri"/>
          <w:vertAlign w:val="superscript"/>
        </w:rPr>
        <w:t>®</w:t>
      </w:r>
      <w:r w:rsidR="00E8037D" w:rsidRPr="001D3234">
        <w:rPr>
          <w:rFonts w:cs="Calibri"/>
          <w:vertAlign w:val="superscript"/>
        </w:rPr>
        <w:t xml:space="preserve"> </w:t>
      </w:r>
      <w:r w:rsidR="000F6F40" w:rsidRPr="001D3234">
        <w:t>in treatment switch</w:t>
      </w:r>
      <w:r w:rsidR="00CA03CF" w:rsidRPr="001D3234">
        <w:t>/treatment experienced</w:t>
      </w:r>
      <w:r w:rsidR="000F6F40" w:rsidRPr="001D3234">
        <w:t xml:space="preserve"> patients. If </w:t>
      </w:r>
      <w:r w:rsidR="00CA03CF" w:rsidRPr="001D3234">
        <w:t>Dovato</w:t>
      </w:r>
      <w:r w:rsidR="00CA03CF" w:rsidRPr="001D3234">
        <w:rPr>
          <w:rFonts w:cs="Calibri"/>
          <w:vertAlign w:val="superscript"/>
        </w:rPr>
        <w:t>®</w:t>
      </w:r>
      <w:r w:rsidR="00E8037D" w:rsidRPr="001D3234">
        <w:rPr>
          <w:rFonts w:cs="Calibri"/>
          <w:vertAlign w:val="superscript"/>
        </w:rPr>
        <w:t xml:space="preserve"> </w:t>
      </w:r>
      <w:r w:rsidR="000F6F40" w:rsidRPr="001D3234">
        <w:t xml:space="preserve">does not receive TGA approval for these patients, the financial impact estimates would have to be </w:t>
      </w:r>
      <w:r w:rsidR="008321BB" w:rsidRPr="001D3234">
        <w:t>amended</w:t>
      </w:r>
      <w:r w:rsidR="000F6F40" w:rsidRPr="001D3234">
        <w:t>.</w:t>
      </w:r>
    </w:p>
    <w:p w:rsidR="008321BB" w:rsidRPr="001D3234" w:rsidRDefault="008321BB" w:rsidP="0075623E">
      <w:pPr>
        <w:pStyle w:val="ListParagraph"/>
        <w:widowControl/>
        <w:numPr>
          <w:ilvl w:val="1"/>
          <w:numId w:val="1"/>
        </w:numPr>
        <w:spacing w:after="120"/>
      </w:pPr>
      <w:r w:rsidRPr="001D3234">
        <w:t>T</w:t>
      </w:r>
      <w:r w:rsidR="00636BD2" w:rsidRPr="001D3234">
        <w:t>h</w:t>
      </w:r>
      <w:r w:rsidRPr="001D3234">
        <w:t>e submission had made the same assumptions in calculating certain ART prices after April 2019 price reductions as in the cost-minimisation analysis. During the evaluation these prices were updated to correspond with current PBS published prices (specifically, the current PBS listed prices did not include price disclosure reductions for TDF/FTC containing regimens of Stribild®</w:t>
      </w:r>
      <w:r w:rsidR="005E7270" w:rsidRPr="001D3234">
        <w:t>,</w:t>
      </w:r>
      <w:r w:rsidRPr="001D3234">
        <w:t xml:space="preserve"> Atripla® and Eviplera® as calculated in the submission). Updating the results led to higher estimates of cost savings</w:t>
      </w:r>
      <w:r w:rsidR="001D3234">
        <w:t xml:space="preserve">. </w:t>
      </w:r>
      <w:r w:rsidR="009F1DAD" w:rsidRPr="001D3234">
        <w:t>The PBAC noted that</w:t>
      </w:r>
      <w:r w:rsidR="001D3234">
        <w:t>,</w:t>
      </w:r>
      <w:r w:rsidR="009F1DAD" w:rsidRPr="001D3234">
        <w:t xml:space="preserve"> as the price for Atripla® </w:t>
      </w:r>
      <w:r w:rsidR="001D3234">
        <w:t xml:space="preserve">would </w:t>
      </w:r>
      <w:r w:rsidR="009F1DAD" w:rsidRPr="001D3234">
        <w:t xml:space="preserve">reduce on 1 August </w:t>
      </w:r>
      <w:r w:rsidR="001D3234" w:rsidRPr="001D3234">
        <w:t>2019;</w:t>
      </w:r>
      <w:r w:rsidR="009F1DAD" w:rsidRPr="001D3234">
        <w:t xml:space="preserve"> this will need to be adjusted in the financial estimates.</w:t>
      </w:r>
    </w:p>
    <w:p w:rsidR="000F6F40" w:rsidRPr="001D3234" w:rsidRDefault="000F6F40" w:rsidP="0075623E">
      <w:pPr>
        <w:pStyle w:val="ListParagraph"/>
        <w:widowControl/>
        <w:numPr>
          <w:ilvl w:val="1"/>
          <w:numId w:val="1"/>
        </w:numPr>
        <w:spacing w:after="120"/>
      </w:pPr>
      <w:r w:rsidRPr="001D3234">
        <w:t xml:space="preserve">One consideration that </w:t>
      </w:r>
      <w:r w:rsidR="005C6FDC" w:rsidRPr="001D3234">
        <w:t>was</w:t>
      </w:r>
      <w:r w:rsidRPr="001D3234">
        <w:t xml:space="preserve"> overlooked in the financial estimates presented is the individual components DTG + 3TC are </w:t>
      </w:r>
      <w:r w:rsidR="00C71342" w:rsidRPr="001D3234">
        <w:t>PBS-listed and the two-drug regimen is already available for use.</w:t>
      </w:r>
      <w:r w:rsidRPr="001D3234">
        <w:t xml:space="preserve"> </w:t>
      </w:r>
      <w:r w:rsidR="00C71342" w:rsidRPr="001D3234">
        <w:t xml:space="preserve">The submission’s estimates of changes in use </w:t>
      </w:r>
      <w:r w:rsidR="005C6FDC" w:rsidRPr="001D3234">
        <w:t>focus</w:t>
      </w:r>
      <w:r w:rsidR="00C71342" w:rsidRPr="001D3234">
        <w:t xml:space="preserve"> entirely on three-drug FDCs or dolutegravir + two-drug FDCs being substituted. If the submission’s </w:t>
      </w:r>
      <w:r w:rsidR="00C71342" w:rsidRPr="001D3234">
        <w:lastRenderedPageBreak/>
        <w:t xml:space="preserve">clinical claims and descriptions of the rationale for two-drug therapy were to be accepted, then a portion of the replaced therapies would be from the two individual components of DTG and 3TC. This consideration </w:t>
      </w:r>
      <w:r w:rsidR="005C6FDC" w:rsidRPr="001D3234">
        <w:t>was not</w:t>
      </w:r>
      <w:r w:rsidR="00C71342" w:rsidRPr="001D3234">
        <w:t xml:space="preserve"> discussed. Given the cost-minimisation price is linked to the individual components, any replacement of DTG + 3TC by </w:t>
      </w:r>
      <w:r w:rsidR="00CA03CF" w:rsidRPr="001D3234">
        <w:t>Dovato</w:t>
      </w:r>
      <w:r w:rsidR="00CA03CF" w:rsidRPr="001D3234">
        <w:rPr>
          <w:rFonts w:cs="Calibri"/>
          <w:vertAlign w:val="superscript"/>
        </w:rPr>
        <w:t>®</w:t>
      </w:r>
      <w:r w:rsidR="00E8037D" w:rsidRPr="001D3234">
        <w:t xml:space="preserve"> </w:t>
      </w:r>
      <w:r w:rsidR="00C71342" w:rsidRPr="001D3234">
        <w:t xml:space="preserve">would not </w:t>
      </w:r>
      <w:r w:rsidR="00CA03CF" w:rsidRPr="001D3234">
        <w:t xml:space="preserve">result in </w:t>
      </w:r>
      <w:r w:rsidR="00C71342" w:rsidRPr="001D3234">
        <w:t>any savings</w:t>
      </w:r>
      <w:r w:rsidR="00CA03CF" w:rsidRPr="001D3234">
        <w:t xml:space="preserve"> for these patients</w:t>
      </w:r>
      <w:r w:rsidR="00C71342" w:rsidRPr="001D3234">
        <w:t xml:space="preserve">. However, given the </w:t>
      </w:r>
      <w:r w:rsidR="001D3234" w:rsidRPr="001D3234">
        <w:t>recent</w:t>
      </w:r>
      <w:r w:rsidR="00C71342" w:rsidRPr="001D3234">
        <w:t xml:space="preserve"> publication of the results of the GEMINI trials (Cahn 2018), it may not be expected that a large proportion of patients who would be considered for this regimen would already be receiving DTG + 3TC</w:t>
      </w:r>
      <w:r w:rsidR="001D3234">
        <w:t xml:space="preserve">. </w:t>
      </w:r>
    </w:p>
    <w:p w:rsidR="000F6F40" w:rsidRPr="001D3234" w:rsidRDefault="000F6F40" w:rsidP="0075623E">
      <w:pPr>
        <w:pStyle w:val="ListParagraph"/>
        <w:widowControl/>
        <w:numPr>
          <w:ilvl w:val="1"/>
          <w:numId w:val="1"/>
        </w:numPr>
        <w:spacing w:after="120"/>
      </w:pPr>
      <w:r w:rsidRPr="001D3234">
        <w:t xml:space="preserve">Market share estimates were based on Advisory Board advice (n=9, Attachment 1 to the submission). The financial estimates were </w:t>
      </w:r>
      <w:r w:rsidR="001D3234" w:rsidRPr="001D3234">
        <w:t>sensitive</w:t>
      </w:r>
      <w:r w:rsidRPr="001D3234">
        <w:t xml:space="preserve"> to alternative assumptions. There was substantial uncertainty around what future uptake of </w:t>
      </w:r>
      <w:r w:rsidR="00CA03CF" w:rsidRPr="001D3234">
        <w:t>Dovato</w:t>
      </w:r>
      <w:r w:rsidR="00CA03CF" w:rsidRPr="001D3234">
        <w:rPr>
          <w:rFonts w:cs="Calibri"/>
          <w:vertAlign w:val="superscript"/>
        </w:rPr>
        <w:t xml:space="preserve">® </w:t>
      </w:r>
      <w:r w:rsidRPr="001D3234">
        <w:t>could be.</w:t>
      </w:r>
    </w:p>
    <w:p w:rsidR="00760E68" w:rsidRPr="001D3234" w:rsidRDefault="00760E68" w:rsidP="0075623E">
      <w:pPr>
        <w:pStyle w:val="ListParagraph"/>
        <w:widowControl/>
        <w:numPr>
          <w:ilvl w:val="1"/>
          <w:numId w:val="1"/>
        </w:numPr>
        <w:spacing w:after="120"/>
      </w:pPr>
      <w:r w:rsidRPr="001D3234">
        <w:t>The ESC agreed with the Commentary and considered the estimates</w:t>
      </w:r>
      <w:r w:rsidR="00601082" w:rsidRPr="001D3234">
        <w:t xml:space="preserve"> were</w:t>
      </w:r>
      <w:r w:rsidRPr="001D3234">
        <w:t xml:space="preserve"> highly uncertain, </w:t>
      </w:r>
      <w:r w:rsidR="00601082" w:rsidRPr="001D3234">
        <w:t>raising</w:t>
      </w:r>
      <w:r w:rsidRPr="001D3234">
        <w:t xml:space="preserve"> questions as to the acceptability of 2-drug regimens in the Australian context. Noting nearly half the population of people living with HIV in Australia was now aged over 50</w:t>
      </w:r>
      <w:r w:rsidR="008210F6" w:rsidRPr="001D3234">
        <w:t xml:space="preserve"> (Kirby Institute, 2018)</w:t>
      </w:r>
      <w:r w:rsidRPr="001D3234">
        <w:rPr>
          <w:rStyle w:val="FootnoteReference"/>
        </w:rPr>
        <w:footnoteReference w:id="3"/>
      </w:r>
      <w:r w:rsidR="008210F6" w:rsidRPr="001D3234">
        <w:t>, the ESC considered it was likely most were stable on current therapy and was unsure what proportion may consider a switch to a 2-drug regimen.</w:t>
      </w:r>
    </w:p>
    <w:p w:rsidR="000F6F40" w:rsidRPr="001D3234" w:rsidRDefault="000F6F40" w:rsidP="0075623E">
      <w:pPr>
        <w:pStyle w:val="ListParagraph"/>
        <w:widowControl/>
        <w:numPr>
          <w:ilvl w:val="1"/>
          <w:numId w:val="1"/>
        </w:numPr>
        <w:spacing w:after="120"/>
      </w:pPr>
      <w:r w:rsidRPr="00A50388">
        <w:t xml:space="preserve">Similarly, reasoning for </w:t>
      </w:r>
      <w:r w:rsidR="00613737">
        <w:rPr>
          <w:noProof/>
          <w:color w:val="000000"/>
          <w:highlight w:val="black"/>
        </w:rPr>
        <w:t>'''''</w:t>
      </w:r>
      <w:r w:rsidRPr="00A50388">
        <w:t xml:space="preserve">% of naïve patients and </w:t>
      </w:r>
      <w:r w:rsidR="00613737">
        <w:rPr>
          <w:noProof/>
          <w:color w:val="000000"/>
          <w:highlight w:val="black"/>
        </w:rPr>
        <w:t>'''''</w:t>
      </w:r>
      <w:r w:rsidRPr="00A50388">
        <w:t xml:space="preserve">% of switch patients being estimated to be eligible for </w:t>
      </w:r>
      <w:r w:rsidR="003E5446" w:rsidRPr="00A50388">
        <w:t>Dovato®</w:t>
      </w:r>
      <w:r w:rsidRPr="00A50388">
        <w:t xml:space="preserve"> was not adequately discussed. The authors of the publication for the GEMINI trials (Cahn 2018) noted that “</w:t>
      </w:r>
      <w:r w:rsidRPr="00A50388">
        <w:rPr>
          <w:i/>
        </w:rPr>
        <w:t>533 (27%) of those screened were not eligible for the study, and the most common reasons for ineligibility were evidence of pre-existing major viral resistance mutations and baseline viral load of less than 1000 copies per mL or more than 500 000 copies per mL</w:t>
      </w:r>
      <w:r w:rsidRPr="00A50388">
        <w:t>” (p11 of the published article). Given that the</w:t>
      </w:r>
      <w:r w:rsidR="00570B56" w:rsidRPr="00A50388">
        <w:t xml:space="preserve"> TGA</w:t>
      </w:r>
      <w:r w:rsidRPr="00A50388">
        <w:t xml:space="preserve"> indication would be expected to be similar to the trial inclusion criteria, particularly the exclusion of patients with viral resistance mutation, it seems that the </w:t>
      </w:r>
      <w:r w:rsidR="00613737">
        <w:rPr>
          <w:noProof/>
          <w:color w:val="000000"/>
          <w:highlight w:val="black"/>
        </w:rPr>
        <w:t>'''''</w:t>
      </w:r>
      <w:r w:rsidRPr="00A50388">
        <w:t>%</w:t>
      </w:r>
      <w:r w:rsidR="00CA03CF" w:rsidRPr="00A50388">
        <w:t xml:space="preserve"> eligibility</w:t>
      </w:r>
      <w:r w:rsidRPr="001D3234">
        <w:t xml:space="preserve"> as estimated by the Advisory Board may be an overestimate for treatment-naïve patients. </w:t>
      </w:r>
    </w:p>
    <w:p w:rsidR="003E39FF" w:rsidRPr="001D3234" w:rsidRDefault="003E39FF" w:rsidP="003E39FF">
      <w:pPr>
        <w:pStyle w:val="ListParagraph"/>
        <w:rPr>
          <w:rStyle w:val="CommentReference"/>
          <w:rFonts w:ascii="Calibri" w:hAnsi="Calibri" w:cs="Calibri"/>
          <w:sz w:val="24"/>
          <w:szCs w:val="24"/>
        </w:rPr>
      </w:pPr>
      <w:r w:rsidRPr="001D3234">
        <w:rPr>
          <w:rStyle w:val="CommentReference"/>
          <w:rFonts w:ascii="Calibri" w:hAnsi="Calibri" w:cs="Calibri"/>
          <w:b w:val="0"/>
          <w:sz w:val="24"/>
          <w:szCs w:val="24"/>
        </w:rPr>
        <w:br w:type="page"/>
      </w:r>
    </w:p>
    <w:p w:rsidR="001F430B" w:rsidRPr="001D3234" w:rsidRDefault="003E39FF" w:rsidP="00B445F6">
      <w:pPr>
        <w:pStyle w:val="ListParagraph"/>
        <w:widowControl/>
        <w:numPr>
          <w:ilvl w:val="1"/>
          <w:numId w:val="1"/>
        </w:numPr>
        <w:rPr>
          <w:rStyle w:val="CommentReference"/>
          <w:rFonts w:ascii="Calibri" w:hAnsi="Calibri"/>
          <w:b w:val="0"/>
          <w:sz w:val="24"/>
          <w:szCs w:val="22"/>
        </w:rPr>
      </w:pPr>
      <w:r w:rsidRPr="001D3234">
        <w:rPr>
          <w:rFonts w:cs="Calibri"/>
          <w:color w:val="000000" w:themeColor="text1"/>
          <w:szCs w:val="24"/>
        </w:rPr>
        <w:lastRenderedPageBreak/>
        <w:t>Table</w:t>
      </w:r>
      <w:r w:rsidRPr="001D3234">
        <w:rPr>
          <w:rStyle w:val="CommentReference"/>
        </w:rPr>
        <w:t xml:space="preserve"> </w:t>
      </w:r>
      <w:r w:rsidRPr="001D3234">
        <w:rPr>
          <w:rFonts w:ascii="Arial Narrow" w:hAnsi="Arial Narrow"/>
          <w:b/>
          <w:color w:val="000000" w:themeColor="text1"/>
          <w:sz w:val="20"/>
          <w:szCs w:val="20"/>
        </w:rPr>
        <w:t>14</w:t>
      </w:r>
      <w:r w:rsidR="000F6F40" w:rsidRPr="001D3234">
        <w:t xml:space="preserve"> presents the estimated use and financial implications</w:t>
      </w:r>
      <w:r w:rsidR="0042299A" w:rsidRPr="001D3234">
        <w:t>.</w:t>
      </w:r>
      <w:bookmarkStart w:id="31" w:name="_Ref8383369"/>
    </w:p>
    <w:p w:rsidR="000F6F40" w:rsidRPr="001D3234" w:rsidRDefault="000F6F40" w:rsidP="000F6F40">
      <w:r w:rsidRPr="001D3234">
        <w:rPr>
          <w:rStyle w:val="CommentReference"/>
        </w:rPr>
        <w:t xml:space="preserve">Table </w:t>
      </w:r>
      <w:r w:rsidR="003E39FF" w:rsidRPr="001D3234">
        <w:rPr>
          <w:rFonts w:ascii="Arial Narrow" w:hAnsi="Arial Narrow"/>
          <w:b/>
          <w:color w:val="000000" w:themeColor="text1"/>
          <w:sz w:val="20"/>
          <w:szCs w:val="20"/>
        </w:rPr>
        <w:t>14</w:t>
      </w:r>
      <w:bookmarkEnd w:id="31"/>
      <w:r w:rsidR="008D77A7" w:rsidRPr="001D3234">
        <w:rPr>
          <w:rStyle w:val="CommentReference"/>
          <w:b w:val="0"/>
          <w:color w:val="000000" w:themeColor="text1"/>
        </w:rPr>
        <w:t xml:space="preserve">: </w:t>
      </w:r>
      <w:r w:rsidRPr="001D3234">
        <w:rPr>
          <w:rStyle w:val="CommentReference"/>
        </w:rPr>
        <w:t xml:space="preserve">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1942"/>
        <w:gridCol w:w="1166"/>
        <w:gridCol w:w="1166"/>
        <w:gridCol w:w="1166"/>
        <w:gridCol w:w="1166"/>
        <w:gridCol w:w="1166"/>
        <w:gridCol w:w="1167"/>
      </w:tblGrid>
      <w:tr w:rsidR="000F6F40" w:rsidRPr="001D3234" w:rsidTr="00F86393">
        <w:trPr>
          <w:tblHeader/>
        </w:trPr>
        <w:tc>
          <w:tcPr>
            <w:tcW w:w="1087" w:type="pct"/>
            <w:shd w:val="clear" w:color="auto" w:fill="auto"/>
            <w:vAlign w:val="center"/>
          </w:tcPr>
          <w:p w:rsidR="000F6F40" w:rsidRPr="001D3234" w:rsidRDefault="000F6F40" w:rsidP="000D5E60">
            <w:pPr>
              <w:pStyle w:val="Tabletext"/>
            </w:pPr>
          </w:p>
        </w:tc>
        <w:tc>
          <w:tcPr>
            <w:tcW w:w="652" w:type="pct"/>
            <w:shd w:val="clear" w:color="auto" w:fill="auto"/>
            <w:vAlign w:val="center"/>
          </w:tcPr>
          <w:p w:rsidR="000F6F40" w:rsidRPr="001D3234" w:rsidRDefault="000F6F40" w:rsidP="000D5E60">
            <w:pPr>
              <w:pStyle w:val="Tabletext"/>
              <w:jc w:val="center"/>
              <w:rPr>
                <w:b/>
              </w:rPr>
            </w:pPr>
            <w:r w:rsidRPr="001D3234">
              <w:rPr>
                <w:b/>
              </w:rPr>
              <w:t>Year 1</w:t>
            </w:r>
          </w:p>
        </w:tc>
        <w:tc>
          <w:tcPr>
            <w:tcW w:w="652" w:type="pct"/>
            <w:shd w:val="clear" w:color="auto" w:fill="auto"/>
            <w:vAlign w:val="center"/>
          </w:tcPr>
          <w:p w:rsidR="000F6F40" w:rsidRPr="001D3234" w:rsidRDefault="000F6F40" w:rsidP="000D5E60">
            <w:pPr>
              <w:pStyle w:val="Tabletext"/>
              <w:jc w:val="center"/>
              <w:rPr>
                <w:b/>
              </w:rPr>
            </w:pPr>
            <w:r w:rsidRPr="001D3234">
              <w:rPr>
                <w:b/>
              </w:rPr>
              <w:t>Year 2</w:t>
            </w:r>
          </w:p>
        </w:tc>
        <w:tc>
          <w:tcPr>
            <w:tcW w:w="652" w:type="pct"/>
            <w:shd w:val="clear" w:color="auto" w:fill="auto"/>
            <w:vAlign w:val="center"/>
          </w:tcPr>
          <w:p w:rsidR="000F6F40" w:rsidRPr="001D3234" w:rsidRDefault="000F6F40" w:rsidP="000D5E60">
            <w:pPr>
              <w:pStyle w:val="Tabletext"/>
              <w:jc w:val="center"/>
              <w:rPr>
                <w:b/>
              </w:rPr>
            </w:pPr>
            <w:r w:rsidRPr="001D3234">
              <w:rPr>
                <w:b/>
              </w:rPr>
              <w:t>Year 3</w:t>
            </w:r>
          </w:p>
        </w:tc>
        <w:tc>
          <w:tcPr>
            <w:tcW w:w="652" w:type="pct"/>
            <w:shd w:val="clear" w:color="auto" w:fill="auto"/>
            <w:vAlign w:val="center"/>
          </w:tcPr>
          <w:p w:rsidR="000F6F40" w:rsidRPr="001D3234" w:rsidRDefault="000F6F40" w:rsidP="000D5E60">
            <w:pPr>
              <w:pStyle w:val="Tabletext"/>
              <w:jc w:val="center"/>
              <w:rPr>
                <w:b/>
              </w:rPr>
            </w:pPr>
            <w:r w:rsidRPr="001D3234">
              <w:rPr>
                <w:b/>
              </w:rPr>
              <w:t>Year 4</w:t>
            </w:r>
          </w:p>
        </w:tc>
        <w:tc>
          <w:tcPr>
            <w:tcW w:w="652" w:type="pct"/>
            <w:shd w:val="clear" w:color="auto" w:fill="auto"/>
            <w:vAlign w:val="center"/>
          </w:tcPr>
          <w:p w:rsidR="000F6F40" w:rsidRPr="001D3234" w:rsidRDefault="000F6F40" w:rsidP="000D5E60">
            <w:pPr>
              <w:pStyle w:val="Tabletext"/>
              <w:jc w:val="center"/>
              <w:rPr>
                <w:b/>
              </w:rPr>
            </w:pPr>
            <w:r w:rsidRPr="001D3234">
              <w:rPr>
                <w:b/>
              </w:rPr>
              <w:t>Year 5</w:t>
            </w:r>
          </w:p>
        </w:tc>
        <w:tc>
          <w:tcPr>
            <w:tcW w:w="652" w:type="pct"/>
          </w:tcPr>
          <w:p w:rsidR="000F6F40" w:rsidRPr="001D3234" w:rsidRDefault="000F6F40" w:rsidP="000D5E60">
            <w:pPr>
              <w:pStyle w:val="Tabletext"/>
              <w:jc w:val="center"/>
              <w:rPr>
                <w:b/>
              </w:rPr>
            </w:pPr>
            <w:r w:rsidRPr="001D3234">
              <w:rPr>
                <w:b/>
              </w:rPr>
              <w:t>Year 6</w:t>
            </w:r>
          </w:p>
        </w:tc>
      </w:tr>
      <w:tr w:rsidR="000F6F40" w:rsidRPr="001D3234" w:rsidTr="00F86393">
        <w:tc>
          <w:tcPr>
            <w:tcW w:w="5000" w:type="pct"/>
            <w:gridSpan w:val="7"/>
            <w:shd w:val="clear" w:color="auto" w:fill="auto"/>
            <w:vAlign w:val="center"/>
          </w:tcPr>
          <w:p w:rsidR="000F6F40" w:rsidRPr="001D3234" w:rsidRDefault="000F6F40" w:rsidP="000D5E60">
            <w:pPr>
              <w:pStyle w:val="Tabletext"/>
              <w:rPr>
                <w:b/>
                <w:bCs/>
                <w:color w:val="000000"/>
              </w:rPr>
            </w:pPr>
            <w:r w:rsidRPr="001D3234">
              <w:rPr>
                <w:b/>
                <w:bCs/>
                <w:color w:val="000000"/>
              </w:rPr>
              <w:t>Estimated extent of use</w:t>
            </w:r>
          </w:p>
        </w:tc>
      </w:tr>
      <w:tr w:rsidR="000F6F40" w:rsidRPr="001D3234" w:rsidTr="00F86393">
        <w:tc>
          <w:tcPr>
            <w:tcW w:w="1087" w:type="pct"/>
            <w:shd w:val="clear" w:color="auto" w:fill="auto"/>
            <w:vAlign w:val="center"/>
          </w:tcPr>
          <w:p w:rsidR="000F6F40" w:rsidRPr="001D3234" w:rsidRDefault="003E5446" w:rsidP="000D5E60">
            <w:pPr>
              <w:pStyle w:val="Tabletext"/>
              <w:rPr>
                <w:rFonts w:ascii="Times" w:hAnsi="Times"/>
              </w:rPr>
            </w:pPr>
            <w:r w:rsidRPr="001D3234">
              <w:t>Dovato</w:t>
            </w:r>
            <w:r w:rsidRPr="001D3234">
              <w:rPr>
                <w:vertAlign w:val="superscript"/>
              </w:rPr>
              <w:t>®</w:t>
            </w:r>
            <w:r w:rsidR="000F6F40" w:rsidRPr="001D3234">
              <w:t xml:space="preserve"> patients : treatment naïve </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r>
      <w:tr w:rsidR="000F6F40" w:rsidRPr="001D3234" w:rsidTr="00F86393">
        <w:tc>
          <w:tcPr>
            <w:tcW w:w="1087" w:type="pct"/>
            <w:shd w:val="clear" w:color="auto" w:fill="auto"/>
            <w:vAlign w:val="center"/>
          </w:tcPr>
          <w:p w:rsidR="000F6F40" w:rsidRPr="001D3234" w:rsidRDefault="000F6F40" w:rsidP="000D5E60">
            <w:pPr>
              <w:pStyle w:val="Tabletext"/>
            </w:pPr>
            <w:r w:rsidRPr="001D3234">
              <w:t>Scripts (6.09 per patient)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c>
          <w:tcPr>
            <w:tcW w:w="652" w:type="pct"/>
            <w:vAlign w:val="center"/>
          </w:tcPr>
          <w:p w:rsidR="000F6F40" w:rsidRPr="00613737" w:rsidRDefault="00613737" w:rsidP="000D5E60">
            <w:pPr>
              <w:pStyle w:val="Tabletext"/>
              <w:jc w:val="center"/>
              <w:rPr>
                <w:rStyle w:val="TableText0"/>
                <w:highlight w:val="black"/>
              </w:rPr>
            </w:pPr>
            <w:r>
              <w:rPr>
                <w:rStyle w:val="TableText0"/>
                <w:noProof/>
                <w:color w:val="000000"/>
                <w:highlight w:val="black"/>
              </w:rPr>
              <w:t>'''''''''''''</w:t>
            </w:r>
          </w:p>
        </w:tc>
      </w:tr>
      <w:tr w:rsidR="000F6F40" w:rsidRPr="001D3234" w:rsidTr="00F86393">
        <w:tc>
          <w:tcPr>
            <w:tcW w:w="1087" w:type="pct"/>
            <w:shd w:val="clear" w:color="auto" w:fill="auto"/>
            <w:vAlign w:val="center"/>
          </w:tcPr>
          <w:p w:rsidR="000F6F40" w:rsidRPr="001D3234" w:rsidRDefault="003E5446" w:rsidP="000D5E60">
            <w:pPr>
              <w:pStyle w:val="Tabletext"/>
            </w:pPr>
            <w:r w:rsidRPr="001D3234">
              <w:t>Dovato</w:t>
            </w:r>
            <w:r w:rsidRPr="001D3234">
              <w:rPr>
                <w:vertAlign w:val="superscript"/>
              </w:rPr>
              <w:t xml:space="preserve">® </w:t>
            </w:r>
            <w:r w:rsidR="000F6F40" w:rsidRPr="001D3234">
              <w:t>patients: treatment switch :</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c>
          <w:tcPr>
            <w:tcW w:w="652" w:type="pct"/>
            <w:vAlign w:val="center"/>
          </w:tcPr>
          <w:p w:rsidR="000F6F40" w:rsidRPr="00613737" w:rsidRDefault="00613737" w:rsidP="000D5E60">
            <w:pPr>
              <w:pStyle w:val="Tabletext"/>
              <w:jc w:val="center"/>
              <w:rPr>
                <w:bCs/>
                <w:color w:val="000000"/>
                <w:highlight w:val="black"/>
              </w:rPr>
            </w:pPr>
            <w:r>
              <w:rPr>
                <w:noProof/>
                <w:color w:val="000000"/>
                <w:szCs w:val="20"/>
                <w:highlight w:val="black"/>
              </w:rPr>
              <w:t>'''''''''''''</w:t>
            </w:r>
          </w:p>
        </w:tc>
      </w:tr>
      <w:tr w:rsidR="000F6F40" w:rsidRPr="001D3234" w:rsidTr="00F86393">
        <w:tc>
          <w:tcPr>
            <w:tcW w:w="1087" w:type="pct"/>
            <w:shd w:val="clear" w:color="auto" w:fill="auto"/>
            <w:vAlign w:val="center"/>
          </w:tcPr>
          <w:p w:rsidR="000F6F40" w:rsidRPr="001D3234" w:rsidRDefault="000F6F40" w:rsidP="000D5E60">
            <w:pPr>
              <w:pStyle w:val="Tabletext"/>
              <w:rPr>
                <w:rFonts w:ascii="Times" w:hAnsi="Times"/>
              </w:rPr>
            </w:pPr>
            <w:r w:rsidRPr="001D3234">
              <w:t>Scripts (6.09 per patient)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shd w:val="clear" w:color="auto" w:fill="auto"/>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c>
          <w:tcPr>
            <w:tcW w:w="652" w:type="pct"/>
            <w:vAlign w:val="center"/>
          </w:tcPr>
          <w:p w:rsidR="000F6F40" w:rsidRPr="00613737" w:rsidRDefault="00613737" w:rsidP="000D5E60">
            <w:pPr>
              <w:pStyle w:val="Tabletext"/>
              <w:jc w:val="center"/>
              <w:rPr>
                <w:bCs/>
                <w:color w:val="000000"/>
                <w:highlight w:val="black"/>
              </w:rPr>
            </w:pPr>
            <w:r>
              <w:rPr>
                <w:rStyle w:val="TableText0"/>
                <w:noProof/>
                <w:color w:val="000000"/>
                <w:highlight w:val="black"/>
              </w:rPr>
              <w:t>''''''''''''''''</w:t>
            </w:r>
          </w:p>
        </w:tc>
      </w:tr>
      <w:tr w:rsidR="000F6F40" w:rsidRPr="001D3234" w:rsidTr="00F86393">
        <w:tc>
          <w:tcPr>
            <w:tcW w:w="5000" w:type="pct"/>
            <w:gridSpan w:val="7"/>
            <w:shd w:val="clear" w:color="auto" w:fill="auto"/>
            <w:vAlign w:val="center"/>
          </w:tcPr>
          <w:p w:rsidR="000F6F40" w:rsidRPr="001D3234" w:rsidRDefault="000F6F40" w:rsidP="000D5E60">
            <w:pPr>
              <w:pStyle w:val="Tabletext"/>
              <w:rPr>
                <w:b/>
                <w:bCs/>
                <w:color w:val="000000"/>
              </w:rPr>
            </w:pPr>
            <w:r w:rsidRPr="001D3234">
              <w:rPr>
                <w:b/>
                <w:bCs/>
                <w:color w:val="000000"/>
              </w:rPr>
              <w:t xml:space="preserve">Estimated financial implications of </w:t>
            </w:r>
            <w:r w:rsidR="008F4139" w:rsidRPr="001D3234">
              <w:rPr>
                <w:b/>
                <w:szCs w:val="20"/>
              </w:rPr>
              <w:t>Dovato</w:t>
            </w:r>
            <w:r w:rsidR="008F4139" w:rsidRPr="001D3234">
              <w:rPr>
                <w:b/>
                <w:szCs w:val="20"/>
                <w:vertAlign w:val="superscript"/>
              </w:rPr>
              <w:t>®</w:t>
            </w:r>
          </w:p>
        </w:tc>
      </w:tr>
      <w:tr w:rsidR="000F6F40" w:rsidRPr="001D3234" w:rsidTr="00F86393">
        <w:tc>
          <w:tcPr>
            <w:tcW w:w="1087" w:type="pct"/>
            <w:shd w:val="clear" w:color="auto" w:fill="auto"/>
            <w:vAlign w:val="center"/>
          </w:tcPr>
          <w:p w:rsidR="000F6F40" w:rsidRPr="001D3234" w:rsidRDefault="000F6F40" w:rsidP="000D5E60">
            <w:pPr>
              <w:pStyle w:val="Tabletext"/>
              <w:rPr>
                <w:rFonts w:ascii="Times" w:hAnsi="Times"/>
              </w:rPr>
            </w:pPr>
            <w:r w:rsidRPr="001D3234">
              <w:rPr>
                <w:sz w:val="19"/>
                <w:szCs w:val="19"/>
              </w:rPr>
              <w:t>Cost to PBS/RPBS</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c>
          <w:tcPr>
            <w:tcW w:w="652" w:type="pct"/>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r w:rsidRPr="001D3234">
              <w:rPr>
                <w:rFonts w:cs="Calibri"/>
                <w:color w:val="000000"/>
              </w:rPr>
              <w:t xml:space="preserve"> </w:t>
            </w:r>
          </w:p>
        </w:tc>
      </w:tr>
      <w:tr w:rsidR="000F6F40" w:rsidRPr="001D3234" w:rsidTr="00F86393">
        <w:tc>
          <w:tcPr>
            <w:tcW w:w="1087" w:type="pct"/>
            <w:shd w:val="clear" w:color="auto" w:fill="auto"/>
            <w:vAlign w:val="center"/>
          </w:tcPr>
          <w:p w:rsidR="000F6F40" w:rsidRPr="001D3234" w:rsidRDefault="000F6F40" w:rsidP="000D5E60">
            <w:pPr>
              <w:pStyle w:val="Tabletext"/>
              <w:rPr>
                <w:sz w:val="19"/>
                <w:szCs w:val="19"/>
              </w:rPr>
            </w:pPr>
            <w:r w:rsidRPr="001D3234">
              <w:rPr>
                <w:sz w:val="19"/>
                <w:szCs w:val="19"/>
              </w:rPr>
              <w:t>Copayments</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vAlign w:val="bottom"/>
          </w:tcPr>
          <w:p w:rsidR="000F6F40" w:rsidRPr="001D3234" w:rsidRDefault="000F6F40" w:rsidP="000D5E60">
            <w:pPr>
              <w:pStyle w:val="Tabletext"/>
              <w:jc w:val="center"/>
              <w:rPr>
                <w:bCs/>
                <w:color w:val="000000"/>
              </w:rPr>
            </w:pPr>
            <w:r w:rsidRPr="001D3234">
              <w:rPr>
                <w:rFonts w:cs="Calibri"/>
                <w:color w:val="000000"/>
              </w:rPr>
              <w:t>-$</w:t>
            </w:r>
            <w:r w:rsidR="00613737">
              <w:rPr>
                <w:rFonts w:cs="Calibri"/>
                <w:noProof/>
                <w:color w:val="000000"/>
                <w:highlight w:val="black"/>
              </w:rPr>
              <w:t>''''''''''''''''''</w:t>
            </w:r>
          </w:p>
        </w:tc>
      </w:tr>
      <w:tr w:rsidR="000F6F40" w:rsidRPr="001D3234" w:rsidTr="00F86393">
        <w:tc>
          <w:tcPr>
            <w:tcW w:w="1087" w:type="pct"/>
            <w:shd w:val="clear" w:color="auto" w:fill="auto"/>
            <w:vAlign w:val="center"/>
          </w:tcPr>
          <w:p w:rsidR="000F6F40" w:rsidRPr="001D3234" w:rsidRDefault="000F6F40" w:rsidP="000D5E60">
            <w:pPr>
              <w:pStyle w:val="Tabletext"/>
              <w:rPr>
                <w:sz w:val="19"/>
                <w:szCs w:val="19"/>
              </w:rPr>
            </w:pPr>
            <w:r w:rsidRPr="001D3234">
              <w:rPr>
                <w:sz w:val="19"/>
                <w:szCs w:val="19"/>
              </w:rPr>
              <w:t>Cost to PBS/RPBS less copayments</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shd w:val="clear" w:color="auto" w:fill="auto"/>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c>
          <w:tcPr>
            <w:tcW w:w="652" w:type="pct"/>
            <w:vAlign w:val="center"/>
          </w:tcPr>
          <w:p w:rsidR="000F6F40" w:rsidRPr="001D3234" w:rsidRDefault="000F6F40" w:rsidP="000D5E60">
            <w:pPr>
              <w:pStyle w:val="Tabletext"/>
              <w:jc w:val="center"/>
              <w:rPr>
                <w:bCs/>
                <w:color w:val="000000"/>
              </w:rPr>
            </w:pPr>
            <w:r w:rsidRPr="001D3234">
              <w:rPr>
                <w:bCs/>
                <w:szCs w:val="20"/>
              </w:rPr>
              <w:t>$</w:t>
            </w:r>
            <w:r w:rsidR="00613737">
              <w:rPr>
                <w:bCs/>
                <w:noProof/>
                <w:color w:val="000000"/>
                <w:szCs w:val="20"/>
                <w:highlight w:val="black"/>
              </w:rPr>
              <w:t>''''''''''''''''''''''''</w:t>
            </w:r>
          </w:p>
        </w:tc>
      </w:tr>
      <w:tr w:rsidR="000F6F40" w:rsidRPr="001D3234" w:rsidTr="00F86393">
        <w:trPr>
          <w:trHeight w:val="70"/>
        </w:trPr>
        <w:tc>
          <w:tcPr>
            <w:tcW w:w="5000" w:type="pct"/>
            <w:gridSpan w:val="7"/>
            <w:shd w:val="clear" w:color="auto" w:fill="auto"/>
            <w:vAlign w:val="center"/>
          </w:tcPr>
          <w:p w:rsidR="000F6F40" w:rsidRPr="001D3234" w:rsidRDefault="000F6F40" w:rsidP="000D5E60">
            <w:pPr>
              <w:pStyle w:val="Tabletext"/>
              <w:rPr>
                <w:bCs/>
                <w:color w:val="000000"/>
              </w:rPr>
            </w:pPr>
            <w:r w:rsidRPr="001D3234">
              <w:rPr>
                <w:b/>
                <w:bCs/>
                <w:color w:val="000000"/>
              </w:rPr>
              <w:t>Estimated financial implications for replaced ARTs</w:t>
            </w:r>
          </w:p>
        </w:tc>
      </w:tr>
      <w:tr w:rsidR="00020A19" w:rsidRPr="001D3234" w:rsidTr="00F86393">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Cost to PBS/RPBS</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c>
          <w:tcPr>
            <w:tcW w:w="652" w:type="pct"/>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w:t>
            </w:r>
          </w:p>
        </w:tc>
      </w:tr>
      <w:tr w:rsidR="00020A19" w:rsidRPr="001D3234" w:rsidTr="00F86393">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Copayments</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shd w:val="clear" w:color="auto" w:fill="auto"/>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c>
          <w:tcPr>
            <w:tcW w:w="652" w:type="pct"/>
            <w:vAlign w:val="bottom"/>
          </w:tcPr>
          <w:p w:rsidR="00020A19" w:rsidRPr="001D3234" w:rsidRDefault="00020A19" w:rsidP="00020A19">
            <w:pPr>
              <w:pStyle w:val="Tabletext"/>
              <w:jc w:val="center"/>
              <w:rPr>
                <w:bCs/>
                <w:color w:val="000000"/>
              </w:rPr>
            </w:pPr>
            <w:r w:rsidRPr="001D3234">
              <w:rPr>
                <w:rFonts w:cs="Calibri"/>
                <w:color w:val="000000"/>
              </w:rPr>
              <w:t>$</w:t>
            </w:r>
            <w:r w:rsidR="00613737">
              <w:rPr>
                <w:rFonts w:cs="Calibri"/>
                <w:noProof/>
                <w:color w:val="000000"/>
                <w:highlight w:val="black"/>
              </w:rPr>
              <w:t xml:space="preserve">''''''''''''''''''''''' </w:t>
            </w:r>
          </w:p>
        </w:tc>
      </w:tr>
      <w:tr w:rsidR="00020A19" w:rsidRPr="001D3234" w:rsidTr="00F86393">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Cost to PBS/RPBS less copayments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r>
      <w:tr w:rsidR="000F6F40" w:rsidRPr="001D3234" w:rsidTr="00F86393">
        <w:trPr>
          <w:trHeight w:val="70"/>
        </w:trPr>
        <w:tc>
          <w:tcPr>
            <w:tcW w:w="5000" w:type="pct"/>
            <w:gridSpan w:val="7"/>
            <w:shd w:val="clear" w:color="auto" w:fill="auto"/>
            <w:vAlign w:val="center"/>
          </w:tcPr>
          <w:p w:rsidR="000F6F40" w:rsidRPr="001D3234" w:rsidRDefault="000F6F40" w:rsidP="000D5E60">
            <w:pPr>
              <w:pStyle w:val="Tabletext"/>
              <w:rPr>
                <w:b/>
                <w:bCs/>
                <w:color w:val="000000"/>
              </w:rPr>
            </w:pPr>
            <w:r w:rsidRPr="001D3234">
              <w:rPr>
                <w:b/>
                <w:bCs/>
                <w:color w:val="000000"/>
              </w:rPr>
              <w:t>Net financial implications</w:t>
            </w:r>
            <w:r w:rsidRPr="001D3234">
              <w:rPr>
                <w:b/>
                <w:bCs/>
                <w:color w:val="4BACC6" w:themeColor="accent5"/>
              </w:rPr>
              <w:t xml:space="preserve"> </w:t>
            </w:r>
          </w:p>
        </w:tc>
      </w:tr>
      <w:tr w:rsidR="00020A19" w:rsidRPr="001D3234" w:rsidTr="00F86393">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Net cost to PBS/RPBS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r>
      <w:tr w:rsidR="00020A19" w:rsidRPr="001D3234" w:rsidTr="00F86393">
        <w:tc>
          <w:tcPr>
            <w:tcW w:w="1087" w:type="pct"/>
            <w:shd w:val="clear" w:color="auto" w:fill="auto"/>
            <w:vAlign w:val="center"/>
          </w:tcPr>
          <w:p w:rsidR="00020A19" w:rsidRPr="001D3234" w:rsidRDefault="00020A19" w:rsidP="00020A19">
            <w:pPr>
              <w:pStyle w:val="Tabletext"/>
              <w:rPr>
                <w:rFonts w:ascii="Times" w:hAnsi="Times"/>
              </w:rPr>
            </w:pPr>
            <w:r w:rsidRPr="001D3234">
              <w:rPr>
                <w:sz w:val="19"/>
                <w:szCs w:val="19"/>
              </w:rPr>
              <w:t>Net cost to MBS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bCs/>
                <w:color w:val="000000" w:themeColor="text1"/>
                <w:szCs w:val="20"/>
              </w:rPr>
              <w:t>-$</w:t>
            </w:r>
            <w:r w:rsidR="00613737">
              <w:rPr>
                <w:bCs/>
                <w:noProof/>
                <w:color w:val="000000"/>
                <w:szCs w:val="20"/>
                <w:highlight w:val="black"/>
              </w:rPr>
              <w:t>''''''''''''''''</w:t>
            </w:r>
          </w:p>
        </w:tc>
      </w:tr>
      <w:tr w:rsidR="00020A19" w:rsidRPr="001D3234" w:rsidTr="00F86393">
        <w:tc>
          <w:tcPr>
            <w:tcW w:w="1087" w:type="pct"/>
            <w:shd w:val="clear" w:color="auto" w:fill="auto"/>
            <w:vAlign w:val="center"/>
          </w:tcPr>
          <w:p w:rsidR="00020A19" w:rsidRPr="001D3234" w:rsidRDefault="00020A19" w:rsidP="00020A19">
            <w:pPr>
              <w:pStyle w:val="Tabletext"/>
              <w:rPr>
                <w:sz w:val="19"/>
                <w:szCs w:val="19"/>
              </w:rPr>
            </w:pPr>
            <w:r w:rsidRPr="001D3234">
              <w:rPr>
                <w:sz w:val="19"/>
                <w:szCs w:val="19"/>
              </w:rPr>
              <w:t>Net cost to PBS/RPBS/MBS</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shd w:val="clear" w:color="auto" w:fill="auto"/>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c>
          <w:tcPr>
            <w:tcW w:w="652" w:type="pct"/>
            <w:vAlign w:val="center"/>
          </w:tcPr>
          <w:p w:rsidR="00020A19" w:rsidRPr="001D3234" w:rsidRDefault="00020A19" w:rsidP="00020A19">
            <w:pPr>
              <w:pStyle w:val="Tabletext"/>
              <w:jc w:val="center"/>
              <w:rPr>
                <w:bCs/>
                <w:color w:val="000000"/>
              </w:rPr>
            </w:pPr>
            <w:r w:rsidRPr="001D3234">
              <w:rPr>
                <w:color w:val="000000" w:themeColor="text1"/>
                <w:szCs w:val="20"/>
              </w:rPr>
              <w:t>-$</w:t>
            </w:r>
            <w:r w:rsidR="00613737">
              <w:rPr>
                <w:noProof/>
                <w:color w:val="000000"/>
                <w:szCs w:val="20"/>
                <w:highlight w:val="black"/>
              </w:rPr>
              <w:t>''''''''''''''''''''''''''</w:t>
            </w:r>
          </w:p>
        </w:tc>
      </w:tr>
    </w:tbl>
    <w:p w:rsidR="00C71342" w:rsidRPr="001D3234" w:rsidRDefault="000F6F40" w:rsidP="000F6F40">
      <w:pPr>
        <w:pStyle w:val="TableFooter"/>
      </w:pPr>
      <w:r w:rsidRPr="001D3234">
        <w:t>Source:  Table 92, to 94, pp126-127, Tables 97 and 98, p 129, and Table 102, p131 of the submission.</w:t>
      </w:r>
      <w:r w:rsidR="00020A19" w:rsidRPr="001D3234">
        <w:t xml:space="preserve"> </w:t>
      </w:r>
    </w:p>
    <w:p w:rsidR="000F6F40" w:rsidRPr="001D3234" w:rsidRDefault="00020A19" w:rsidP="000F6F40">
      <w:pPr>
        <w:pStyle w:val="TableFooter"/>
        <w:rPr>
          <w:rStyle w:val="CommentReference"/>
        </w:rPr>
      </w:pPr>
      <w:r w:rsidRPr="001D3234">
        <w:t>Prices updated to current PBS published prices during the evaluation.</w:t>
      </w:r>
    </w:p>
    <w:p w:rsidR="000F6F40" w:rsidRPr="001D3234" w:rsidRDefault="000F6F40" w:rsidP="000F6F40">
      <w:pPr>
        <w:widowControl/>
      </w:pPr>
    </w:p>
    <w:p w:rsidR="000F6F40" w:rsidRPr="001D3234" w:rsidRDefault="008E21B9" w:rsidP="0075623E">
      <w:pPr>
        <w:pStyle w:val="ListParagraph"/>
        <w:widowControl/>
        <w:numPr>
          <w:ilvl w:val="1"/>
          <w:numId w:val="1"/>
        </w:numPr>
        <w:spacing w:after="120"/>
        <w:rPr>
          <w:color w:val="000000" w:themeColor="text1"/>
        </w:rPr>
      </w:pPr>
      <w:r w:rsidRPr="001D3234">
        <w:t>After upda</w:t>
      </w:r>
      <w:r w:rsidR="00C71342" w:rsidRPr="001D3234">
        <w:t>ting prices, estimated savings t</w:t>
      </w:r>
      <w:r w:rsidRPr="001D3234">
        <w:t>o Government Heal</w:t>
      </w:r>
      <w:r w:rsidR="00C71342" w:rsidRPr="001D3234">
        <w:t xml:space="preserve">th budgets were </w:t>
      </w:r>
      <w:r w:rsidR="0034151F">
        <w:t xml:space="preserve">less than $10 million </w:t>
      </w:r>
      <w:r w:rsidRPr="001D3234">
        <w:t xml:space="preserve">in Year 1 and </w:t>
      </w:r>
      <w:r w:rsidR="0034151F">
        <w:t xml:space="preserve">$20 - $30 million </w:t>
      </w:r>
      <w:r w:rsidRPr="001D3234">
        <w:t xml:space="preserve">in Year 6. Over the 6-year </w:t>
      </w:r>
      <w:r w:rsidR="001D3234" w:rsidRPr="001D3234">
        <w:t>estimates,</w:t>
      </w:r>
      <w:r w:rsidRPr="001D3234">
        <w:t xml:space="preserve"> this represents cumulative savings to the government health budget of </w:t>
      </w:r>
      <w:r w:rsidR="0034151F">
        <w:t>more than $100 million</w:t>
      </w:r>
      <w:r w:rsidR="00636BD2" w:rsidRPr="001D3234">
        <w:rPr>
          <w:color w:val="000000" w:themeColor="text1"/>
        </w:rPr>
        <w:t xml:space="preserve">. </w:t>
      </w:r>
      <w:r w:rsidR="000F6F40" w:rsidRPr="001D3234">
        <w:rPr>
          <w:color w:val="000000" w:themeColor="text1"/>
        </w:rPr>
        <w:t xml:space="preserve">This estimate was overwhelmingly driven by savings to the PBS/RPBS from displacing more expensive therapies. </w:t>
      </w:r>
    </w:p>
    <w:p w:rsidR="008210F6" w:rsidRPr="001D3234" w:rsidRDefault="008210F6" w:rsidP="0075623E">
      <w:pPr>
        <w:pStyle w:val="ListParagraph"/>
        <w:widowControl/>
        <w:numPr>
          <w:ilvl w:val="1"/>
          <w:numId w:val="1"/>
        </w:numPr>
        <w:spacing w:after="120"/>
        <w:rPr>
          <w:color w:val="000000" w:themeColor="text1"/>
        </w:rPr>
      </w:pPr>
      <w:r w:rsidRPr="001D3234">
        <w:t>The ESC noted the potential savings to government are dependent on uptake and will not be</w:t>
      </w:r>
      <w:r w:rsidR="00601082" w:rsidRPr="001D3234">
        <w:t xml:space="preserve"> fully</w:t>
      </w:r>
      <w:r w:rsidRPr="001D3234">
        <w:t xml:space="preserve"> realised if use is lower than expected.</w:t>
      </w:r>
      <w:r w:rsidR="00FE1D15" w:rsidRPr="001D3234">
        <w:t xml:space="preserve"> It is unclear whether the estimated savings to the PBS/RPBS are reliable given differences between the overall projected save and the likely save per patient, even against the most costly alternative.</w:t>
      </w:r>
    </w:p>
    <w:p w:rsidR="00C0068D" w:rsidRPr="001D3234" w:rsidRDefault="00C0068D" w:rsidP="0075623E">
      <w:pPr>
        <w:pStyle w:val="ListParagraph"/>
        <w:widowControl/>
        <w:numPr>
          <w:ilvl w:val="1"/>
          <w:numId w:val="1"/>
        </w:numPr>
        <w:spacing w:after="120"/>
      </w:pPr>
      <w:r w:rsidRPr="001D3234">
        <w:t>With the</w:t>
      </w:r>
      <w:r w:rsidR="00D96308" w:rsidRPr="001D3234">
        <w:t xml:space="preserve"> potential delisting of the tenofovir disoproxil-based therapies Atripla®, Eviplera® and Stribild® (paragraph 6.35) the PSCR provided updated financial estimates assuming </w:t>
      </w:r>
      <w:r w:rsidRPr="001D3234">
        <w:t>minimal substitution</w:t>
      </w:r>
      <w:r w:rsidR="00D96308" w:rsidRPr="001D3234">
        <w:t xml:space="preserve"> of these products</w:t>
      </w:r>
      <w:r w:rsidRPr="001D3234">
        <w:t xml:space="preserve">. </w:t>
      </w:r>
      <w:r w:rsidR="005D4FF9" w:rsidRPr="001D3234">
        <w:t>However, as the price of Atripla® has now be</w:t>
      </w:r>
      <w:r w:rsidR="001D3234">
        <w:t>en</w:t>
      </w:r>
      <w:r w:rsidR="005D4FF9" w:rsidRPr="001D3234">
        <w:t xml:space="preserve"> reduced and is therefore now unlikely to be withdrawn from the PBS, the estimates will need to be revised to account for this. It was noted that the estimates in Table 14 do not account for this subsequent change.</w:t>
      </w:r>
    </w:p>
    <w:p w:rsidR="0075623E" w:rsidRDefault="0075623E">
      <w:pPr>
        <w:widowControl/>
        <w:jc w:val="left"/>
        <w:rPr>
          <w:b/>
          <w:sz w:val="28"/>
        </w:rPr>
      </w:pPr>
      <w:bookmarkStart w:id="32" w:name="_Toc9405803"/>
      <w:r>
        <w:rPr>
          <w:i/>
        </w:rPr>
        <w:br w:type="page"/>
      </w:r>
    </w:p>
    <w:p w:rsidR="000F6F40" w:rsidRPr="001A0D42" w:rsidRDefault="000F6F40" w:rsidP="001A0D42">
      <w:pPr>
        <w:pStyle w:val="Heading2"/>
        <w:spacing w:before="120" w:after="120"/>
      </w:pPr>
      <w:r w:rsidRPr="001A0D42">
        <w:lastRenderedPageBreak/>
        <w:t>Quality Use of Medicines</w:t>
      </w:r>
      <w:bookmarkEnd w:id="32"/>
    </w:p>
    <w:p w:rsidR="000F6F40" w:rsidRPr="001D3234" w:rsidRDefault="000F6F40" w:rsidP="0075623E">
      <w:pPr>
        <w:pStyle w:val="ListParagraph"/>
        <w:widowControl/>
        <w:numPr>
          <w:ilvl w:val="1"/>
          <w:numId w:val="1"/>
        </w:numPr>
        <w:spacing w:after="120"/>
        <w:rPr>
          <w:color w:val="000000" w:themeColor="text1"/>
        </w:rPr>
      </w:pPr>
      <w:r w:rsidRPr="001D3234">
        <w:rPr>
          <w:color w:val="000000" w:themeColor="text1"/>
        </w:rPr>
        <w:t xml:space="preserve">The submission presented additional information regarding pharmacovigilance and risk management activities being conducted in relation to </w:t>
      </w:r>
      <w:r w:rsidR="002E72A1" w:rsidRPr="001D3234">
        <w:rPr>
          <w:color w:val="000000" w:themeColor="text1"/>
        </w:rPr>
        <w:t>Dovato®</w:t>
      </w:r>
      <w:r w:rsidRPr="001D3234">
        <w:rPr>
          <w:color w:val="000000" w:themeColor="text1"/>
        </w:rPr>
        <w:t>.</w:t>
      </w:r>
      <w:r w:rsidR="00E35569" w:rsidRPr="001D3234">
        <w:rPr>
          <w:color w:val="000000" w:themeColor="text1"/>
        </w:rPr>
        <w:t xml:space="preserve"> The submission identified</w:t>
      </w:r>
      <w:r w:rsidR="0060637C" w:rsidRPr="001D3234">
        <w:rPr>
          <w:color w:val="000000" w:themeColor="text1"/>
        </w:rPr>
        <w:t xml:space="preserve"> a number of important identified risks that will be assessed including hepatotoxicity, hypersensitivity, severe or serious rash, drug resistance, neural tube defects, use in pregnancy and breastfeeding and long-term safety.</w:t>
      </w:r>
    </w:p>
    <w:p w:rsidR="00AD56F1" w:rsidRDefault="00AD56F1" w:rsidP="0075623E">
      <w:pPr>
        <w:pStyle w:val="ListParagraph"/>
        <w:spacing w:after="120"/>
        <w:ind w:left="709"/>
        <w:rPr>
          <w:rFonts w:asciiTheme="minorHAnsi" w:hAnsiTheme="minorHAnsi"/>
          <w:i/>
        </w:rPr>
      </w:pPr>
      <w:r w:rsidRPr="001D3234">
        <w:rPr>
          <w:rFonts w:asciiTheme="minorHAnsi" w:hAnsiTheme="minorHAnsi"/>
          <w:i/>
        </w:rPr>
        <w:t>For more detail on PBAC’s view, see section 7 PBAC outcome.</w:t>
      </w:r>
    </w:p>
    <w:p w:rsidR="008B4AEE" w:rsidRPr="001D3234" w:rsidRDefault="008B4AEE" w:rsidP="001A0D42">
      <w:pPr>
        <w:keepNext/>
        <w:numPr>
          <w:ilvl w:val="0"/>
          <w:numId w:val="1"/>
        </w:numPr>
        <w:spacing w:before="240" w:after="240"/>
        <w:outlineLvl w:val="0"/>
        <w:rPr>
          <w:rFonts w:asciiTheme="minorHAnsi" w:hAnsiTheme="minorHAnsi"/>
          <w:b/>
          <w:bCs/>
          <w:sz w:val="32"/>
        </w:rPr>
      </w:pPr>
      <w:r w:rsidRPr="001D3234">
        <w:rPr>
          <w:rFonts w:asciiTheme="minorHAnsi" w:hAnsiTheme="minorHAnsi"/>
          <w:b/>
          <w:bCs/>
          <w:sz w:val="32"/>
        </w:rPr>
        <w:t>PB</w:t>
      </w:r>
      <w:r w:rsidR="001A0D42">
        <w:rPr>
          <w:rFonts w:asciiTheme="minorHAnsi" w:hAnsiTheme="minorHAnsi"/>
          <w:b/>
          <w:bCs/>
          <w:sz w:val="32"/>
        </w:rPr>
        <w:t>A</w:t>
      </w:r>
      <w:r w:rsidRPr="001D3234">
        <w:rPr>
          <w:rFonts w:asciiTheme="minorHAnsi" w:hAnsiTheme="minorHAnsi"/>
          <w:b/>
          <w:bCs/>
          <w:sz w:val="32"/>
        </w:rPr>
        <w:t>C Outcome</w:t>
      </w:r>
    </w:p>
    <w:p w:rsidR="008B4AEE" w:rsidRPr="001D3234" w:rsidRDefault="00766E38" w:rsidP="00FB4283">
      <w:pPr>
        <w:numPr>
          <w:ilvl w:val="1"/>
          <w:numId w:val="1"/>
        </w:numPr>
        <w:spacing w:after="120"/>
        <w:rPr>
          <w:rFonts w:asciiTheme="minorHAnsi" w:hAnsiTheme="minorHAnsi"/>
          <w:bCs/>
        </w:rPr>
      </w:pPr>
      <w:r w:rsidRPr="001D3234">
        <w:rPr>
          <w:rFonts w:asciiTheme="minorHAnsi" w:hAnsiTheme="minorHAnsi"/>
          <w:bCs/>
        </w:rPr>
        <w:t>The PBAC deferred making a recommendation for the</w:t>
      </w:r>
      <w:r w:rsidR="00C109EE" w:rsidRPr="001D3234">
        <w:rPr>
          <w:rFonts w:asciiTheme="minorHAnsi" w:hAnsiTheme="minorHAnsi"/>
          <w:bCs/>
        </w:rPr>
        <w:t xml:space="preserve"> Section 100 </w:t>
      </w:r>
      <w:r w:rsidR="008718FD" w:rsidRPr="001D3234">
        <w:rPr>
          <w:rFonts w:asciiTheme="minorHAnsi" w:hAnsiTheme="minorHAnsi"/>
          <w:bCs/>
        </w:rPr>
        <w:t>(</w:t>
      </w:r>
      <w:r w:rsidR="00C109EE" w:rsidRPr="001D3234">
        <w:rPr>
          <w:rFonts w:asciiTheme="minorHAnsi" w:hAnsiTheme="minorHAnsi"/>
          <w:bCs/>
        </w:rPr>
        <w:t>Hi</w:t>
      </w:r>
      <w:r w:rsidR="008718FD" w:rsidRPr="001D3234">
        <w:rPr>
          <w:rFonts w:asciiTheme="minorHAnsi" w:hAnsiTheme="minorHAnsi"/>
          <w:bCs/>
        </w:rPr>
        <w:t xml:space="preserve">ghly Specialised Drugs Program - </w:t>
      </w:r>
      <w:r w:rsidR="00C109EE" w:rsidRPr="001D3234">
        <w:rPr>
          <w:rFonts w:asciiTheme="minorHAnsi" w:hAnsiTheme="minorHAnsi"/>
          <w:bCs/>
        </w:rPr>
        <w:t>Community Access)</w:t>
      </w:r>
      <w:r w:rsidRPr="001D3234">
        <w:rPr>
          <w:rFonts w:asciiTheme="minorHAnsi" w:hAnsiTheme="minorHAnsi"/>
          <w:bCs/>
        </w:rPr>
        <w:t xml:space="preserve"> listing of dolutegravir</w:t>
      </w:r>
      <w:r w:rsidR="00E375F6" w:rsidRPr="001D3234">
        <w:rPr>
          <w:rFonts w:asciiTheme="minorHAnsi" w:hAnsiTheme="minorHAnsi"/>
          <w:bCs/>
        </w:rPr>
        <w:t xml:space="preserve"> (DTG)</w:t>
      </w:r>
      <w:r w:rsidRPr="001D3234">
        <w:rPr>
          <w:rFonts w:asciiTheme="minorHAnsi" w:hAnsiTheme="minorHAnsi"/>
          <w:bCs/>
        </w:rPr>
        <w:t xml:space="preserve"> with lamivudine</w:t>
      </w:r>
      <w:r w:rsidR="00E375F6" w:rsidRPr="001D3234">
        <w:rPr>
          <w:rFonts w:asciiTheme="minorHAnsi" w:hAnsiTheme="minorHAnsi"/>
          <w:bCs/>
        </w:rPr>
        <w:t xml:space="preserve"> (3TC)</w:t>
      </w:r>
      <w:r w:rsidR="008718FD" w:rsidRPr="001D3234">
        <w:rPr>
          <w:rFonts w:asciiTheme="minorHAnsi" w:hAnsiTheme="minorHAnsi"/>
          <w:bCs/>
        </w:rPr>
        <w:t xml:space="preserve"> (Dovato</w:t>
      </w:r>
      <w:r w:rsidR="008718FD" w:rsidRPr="001D3234">
        <w:rPr>
          <w:rFonts w:asciiTheme="minorHAnsi" w:hAnsiTheme="minorHAnsi" w:cstheme="minorHAnsi"/>
          <w:bCs/>
          <w:vertAlign w:val="superscript"/>
        </w:rPr>
        <w:t>®</w:t>
      </w:r>
      <w:r w:rsidR="008718FD" w:rsidRPr="001D3234">
        <w:rPr>
          <w:rFonts w:asciiTheme="minorHAnsi" w:hAnsiTheme="minorHAnsi"/>
          <w:bCs/>
        </w:rPr>
        <w:t>)</w:t>
      </w:r>
      <w:r w:rsidRPr="001D3234">
        <w:rPr>
          <w:rFonts w:asciiTheme="minorHAnsi" w:hAnsiTheme="minorHAnsi"/>
          <w:bCs/>
        </w:rPr>
        <w:t xml:space="preserve"> fixed dose combination</w:t>
      </w:r>
      <w:r w:rsidR="008718FD" w:rsidRPr="001D3234">
        <w:rPr>
          <w:rFonts w:asciiTheme="minorHAnsi" w:hAnsiTheme="minorHAnsi"/>
          <w:bCs/>
        </w:rPr>
        <w:t xml:space="preserve"> (FDC)</w:t>
      </w:r>
      <w:r w:rsidRPr="001D3234">
        <w:rPr>
          <w:rFonts w:asciiTheme="minorHAnsi" w:hAnsiTheme="minorHAnsi"/>
          <w:bCs/>
        </w:rPr>
        <w:t xml:space="preserve"> </w:t>
      </w:r>
      <w:r w:rsidR="00C109EE" w:rsidRPr="001D3234">
        <w:rPr>
          <w:rFonts w:asciiTheme="minorHAnsi" w:hAnsiTheme="minorHAnsi"/>
          <w:bCs/>
        </w:rPr>
        <w:t>for the treatment of HIV infection as it was unclear if the</w:t>
      </w:r>
      <w:r w:rsidRPr="001D3234">
        <w:rPr>
          <w:rFonts w:asciiTheme="minorHAnsi" w:hAnsiTheme="minorHAnsi"/>
          <w:bCs/>
        </w:rPr>
        <w:t xml:space="preserve"> TGA registration w</w:t>
      </w:r>
      <w:r w:rsidR="008718FD" w:rsidRPr="001D3234">
        <w:rPr>
          <w:rFonts w:asciiTheme="minorHAnsi" w:hAnsiTheme="minorHAnsi"/>
          <w:bCs/>
        </w:rPr>
        <w:t>ill</w:t>
      </w:r>
      <w:r w:rsidRPr="001D3234">
        <w:rPr>
          <w:rFonts w:asciiTheme="minorHAnsi" w:hAnsiTheme="minorHAnsi"/>
          <w:bCs/>
        </w:rPr>
        <w:t xml:space="preserve"> permit use in </w:t>
      </w:r>
      <w:r w:rsidR="00C610FC" w:rsidRPr="001D3234">
        <w:rPr>
          <w:rFonts w:asciiTheme="minorHAnsi" w:hAnsiTheme="minorHAnsi"/>
          <w:bCs/>
        </w:rPr>
        <w:t>treatment-</w:t>
      </w:r>
      <w:r w:rsidRPr="001D3234">
        <w:rPr>
          <w:rFonts w:asciiTheme="minorHAnsi" w:hAnsiTheme="minorHAnsi"/>
          <w:bCs/>
        </w:rPr>
        <w:t>experienced p</w:t>
      </w:r>
      <w:r w:rsidR="00C109EE" w:rsidRPr="001D3234">
        <w:rPr>
          <w:rFonts w:asciiTheme="minorHAnsi" w:hAnsiTheme="minorHAnsi"/>
          <w:bCs/>
        </w:rPr>
        <w:t>atients. For</w:t>
      </w:r>
      <w:r w:rsidR="00C610FC" w:rsidRPr="001D3234">
        <w:rPr>
          <w:rFonts w:asciiTheme="minorHAnsi" w:hAnsiTheme="minorHAnsi"/>
          <w:bCs/>
        </w:rPr>
        <w:t xml:space="preserve"> treatment-</w:t>
      </w:r>
      <w:r w:rsidRPr="001D3234">
        <w:rPr>
          <w:rFonts w:asciiTheme="minorHAnsi" w:hAnsiTheme="minorHAnsi"/>
          <w:bCs/>
        </w:rPr>
        <w:t>naïve p</w:t>
      </w:r>
      <w:r w:rsidR="00C109EE" w:rsidRPr="001D3234">
        <w:rPr>
          <w:rFonts w:asciiTheme="minorHAnsi" w:hAnsiTheme="minorHAnsi"/>
          <w:bCs/>
        </w:rPr>
        <w:t>atients</w:t>
      </w:r>
      <w:r w:rsidRPr="001D3234">
        <w:rPr>
          <w:rFonts w:asciiTheme="minorHAnsi" w:hAnsiTheme="minorHAnsi"/>
          <w:bCs/>
        </w:rPr>
        <w:t xml:space="preserve">, the PBAC was of a mind to recommend Dovato, however agreed it was appropriate to await </w:t>
      </w:r>
      <w:r w:rsidR="008718FD" w:rsidRPr="001D3234">
        <w:rPr>
          <w:rFonts w:asciiTheme="minorHAnsi" w:hAnsiTheme="minorHAnsi"/>
          <w:bCs/>
        </w:rPr>
        <w:t>further clarity on the</w:t>
      </w:r>
      <w:r w:rsidR="00C610FC" w:rsidRPr="001D3234">
        <w:rPr>
          <w:rFonts w:asciiTheme="minorHAnsi" w:hAnsiTheme="minorHAnsi"/>
          <w:bCs/>
        </w:rPr>
        <w:t xml:space="preserve"> </w:t>
      </w:r>
      <w:r w:rsidR="008718FD" w:rsidRPr="001D3234">
        <w:rPr>
          <w:rFonts w:asciiTheme="minorHAnsi" w:hAnsiTheme="minorHAnsi"/>
          <w:bCs/>
        </w:rPr>
        <w:t>likely TGA outcome</w:t>
      </w:r>
      <w:r w:rsidRPr="001D3234">
        <w:rPr>
          <w:rFonts w:asciiTheme="minorHAnsi" w:hAnsiTheme="minorHAnsi"/>
          <w:bCs/>
        </w:rPr>
        <w:t xml:space="preserve"> prior to making a recommendation for the PBS.</w:t>
      </w:r>
    </w:p>
    <w:p w:rsidR="00A030EA" w:rsidRPr="001D3234" w:rsidRDefault="00E375F6" w:rsidP="00A030EA">
      <w:pPr>
        <w:numPr>
          <w:ilvl w:val="1"/>
          <w:numId w:val="1"/>
        </w:numPr>
        <w:spacing w:after="120"/>
        <w:rPr>
          <w:rFonts w:asciiTheme="minorHAnsi" w:hAnsiTheme="minorHAnsi"/>
          <w:bCs/>
        </w:rPr>
      </w:pPr>
      <w:r w:rsidRPr="001D3234">
        <w:rPr>
          <w:rFonts w:asciiTheme="minorHAnsi" w:hAnsiTheme="minorHAnsi"/>
          <w:bCs/>
        </w:rPr>
        <w:t xml:space="preserve">The PBAC considered the evidence presented supported the claims of bioequivalence </w:t>
      </w:r>
      <w:r w:rsidR="008718FD" w:rsidRPr="001D3234">
        <w:rPr>
          <w:rFonts w:asciiTheme="minorHAnsi" w:hAnsiTheme="minorHAnsi"/>
          <w:bCs/>
        </w:rPr>
        <w:t>with</w:t>
      </w:r>
      <w:r w:rsidRPr="001D3234">
        <w:rPr>
          <w:rFonts w:asciiTheme="minorHAnsi" w:hAnsiTheme="minorHAnsi"/>
          <w:bCs/>
        </w:rPr>
        <w:t xml:space="preserve"> co</w:t>
      </w:r>
      <w:r w:rsidR="00C109EE" w:rsidRPr="001D3234">
        <w:rPr>
          <w:rFonts w:asciiTheme="minorHAnsi" w:hAnsiTheme="minorHAnsi"/>
          <w:bCs/>
        </w:rPr>
        <w:t>ncomitantly administered DTG +</w:t>
      </w:r>
      <w:r w:rsidRPr="001D3234">
        <w:rPr>
          <w:rFonts w:asciiTheme="minorHAnsi" w:hAnsiTheme="minorHAnsi"/>
          <w:bCs/>
        </w:rPr>
        <w:t xml:space="preserve"> 3TC. Based on the</w:t>
      </w:r>
      <w:r w:rsidR="00B46C6B" w:rsidRPr="001D3234">
        <w:rPr>
          <w:rFonts w:asciiTheme="minorHAnsi" w:hAnsiTheme="minorHAnsi"/>
          <w:bCs/>
        </w:rPr>
        <w:t xml:space="preserve"> pooled</w:t>
      </w:r>
      <w:r w:rsidRPr="001D3234">
        <w:rPr>
          <w:rFonts w:asciiTheme="minorHAnsi" w:hAnsiTheme="minorHAnsi"/>
          <w:bCs/>
        </w:rPr>
        <w:t xml:space="preserve"> 48</w:t>
      </w:r>
      <w:r w:rsidR="008718FD" w:rsidRPr="001D3234">
        <w:rPr>
          <w:rFonts w:asciiTheme="minorHAnsi" w:hAnsiTheme="minorHAnsi"/>
          <w:bCs/>
        </w:rPr>
        <w:t>-week</w:t>
      </w:r>
      <w:r w:rsidRPr="001D3234">
        <w:rPr>
          <w:rFonts w:asciiTheme="minorHAnsi" w:hAnsiTheme="minorHAnsi"/>
          <w:bCs/>
        </w:rPr>
        <w:t xml:space="preserve"> and</w:t>
      </w:r>
      <w:r w:rsidR="00C109EE" w:rsidRPr="001D3234">
        <w:rPr>
          <w:rFonts w:asciiTheme="minorHAnsi" w:hAnsiTheme="minorHAnsi"/>
          <w:bCs/>
        </w:rPr>
        <w:t xml:space="preserve"> unevaluated 96-</w:t>
      </w:r>
      <w:r w:rsidRPr="001D3234">
        <w:rPr>
          <w:rFonts w:asciiTheme="minorHAnsi" w:hAnsiTheme="minorHAnsi"/>
          <w:bCs/>
        </w:rPr>
        <w:t>week data</w:t>
      </w:r>
      <w:r w:rsidR="00B46C6B" w:rsidRPr="001D3234">
        <w:rPr>
          <w:rFonts w:asciiTheme="minorHAnsi" w:hAnsiTheme="minorHAnsi"/>
          <w:bCs/>
        </w:rPr>
        <w:t xml:space="preserve"> from the GEMINI trials</w:t>
      </w:r>
      <w:r w:rsidR="00A030EA" w:rsidRPr="001D3234">
        <w:rPr>
          <w:rFonts w:asciiTheme="minorHAnsi" w:hAnsiTheme="minorHAnsi"/>
          <w:bCs/>
        </w:rPr>
        <w:t xml:space="preserve"> versus a regimen of </w:t>
      </w:r>
      <w:r w:rsidRPr="001D3234">
        <w:rPr>
          <w:rFonts w:asciiTheme="minorHAnsi" w:hAnsiTheme="minorHAnsi"/>
          <w:bCs/>
        </w:rPr>
        <w:t>DTG</w:t>
      </w:r>
      <w:r w:rsidR="00A030EA" w:rsidRPr="001D3234">
        <w:rPr>
          <w:rFonts w:asciiTheme="minorHAnsi" w:hAnsiTheme="minorHAnsi"/>
          <w:bCs/>
        </w:rPr>
        <w:t xml:space="preserve"> and</w:t>
      </w:r>
      <w:r w:rsidRPr="001D3234">
        <w:rPr>
          <w:rFonts w:asciiTheme="minorHAnsi" w:hAnsiTheme="minorHAnsi"/>
          <w:bCs/>
        </w:rPr>
        <w:t xml:space="preserve"> tenofovir disoproxil</w:t>
      </w:r>
      <w:r w:rsidR="00A030EA" w:rsidRPr="001D3234">
        <w:rPr>
          <w:rFonts w:asciiTheme="minorHAnsi" w:hAnsiTheme="minorHAnsi"/>
          <w:bCs/>
        </w:rPr>
        <w:t xml:space="preserve"> (TDF) + emtricitabine (FTC</w:t>
      </w:r>
      <w:r w:rsidR="00C109EE" w:rsidRPr="001D3234">
        <w:rPr>
          <w:rFonts w:asciiTheme="minorHAnsi" w:hAnsiTheme="minorHAnsi"/>
          <w:bCs/>
        </w:rPr>
        <w:t>) (</w:t>
      </w:r>
      <w:r w:rsidR="00A030EA" w:rsidRPr="001D3234">
        <w:rPr>
          <w:rFonts w:asciiTheme="minorHAnsi" w:hAnsiTheme="minorHAnsi"/>
          <w:bCs/>
        </w:rPr>
        <w:t>Truvada</w:t>
      </w:r>
      <w:r w:rsidR="00A030EA" w:rsidRPr="001D3234">
        <w:rPr>
          <w:rFonts w:asciiTheme="minorHAnsi" w:hAnsiTheme="minorHAnsi" w:cstheme="minorHAnsi"/>
          <w:bCs/>
          <w:vertAlign w:val="superscript"/>
        </w:rPr>
        <w:t>®</w:t>
      </w:r>
      <w:r w:rsidR="00A030EA" w:rsidRPr="001D3234">
        <w:rPr>
          <w:rFonts w:asciiTheme="minorHAnsi" w:hAnsiTheme="minorHAnsi"/>
          <w:bCs/>
        </w:rPr>
        <w:t xml:space="preserve">) </w:t>
      </w:r>
      <w:r w:rsidRPr="001D3234">
        <w:rPr>
          <w:rFonts w:asciiTheme="minorHAnsi" w:hAnsiTheme="minorHAnsi"/>
          <w:bCs/>
        </w:rPr>
        <w:t xml:space="preserve">presented, the PBAC agreed </w:t>
      </w:r>
      <w:r w:rsidR="00A030EA" w:rsidRPr="001D3234">
        <w:rPr>
          <w:rFonts w:asciiTheme="minorHAnsi" w:hAnsiTheme="minorHAnsi"/>
          <w:bCs/>
        </w:rPr>
        <w:t xml:space="preserve">a conclusion of non-inferiority against this regimen in treatment naïve patients was reasonable. The PBAC was also satisfied that a regimen of DTG + Truvada </w:t>
      </w:r>
      <w:r w:rsidR="00C109EE" w:rsidRPr="001D3234">
        <w:rPr>
          <w:rFonts w:asciiTheme="minorHAnsi" w:hAnsiTheme="minorHAnsi"/>
          <w:bCs/>
        </w:rPr>
        <w:t>could be a</w:t>
      </w:r>
      <w:r w:rsidR="00A030EA" w:rsidRPr="001D3234">
        <w:rPr>
          <w:rFonts w:asciiTheme="minorHAnsi" w:hAnsiTheme="minorHAnsi"/>
          <w:bCs/>
        </w:rPr>
        <w:t xml:space="preserve"> reasonable proxy fo</w:t>
      </w:r>
      <w:r w:rsidR="006772B6" w:rsidRPr="001D3234">
        <w:rPr>
          <w:rFonts w:asciiTheme="minorHAnsi" w:hAnsiTheme="minorHAnsi"/>
          <w:bCs/>
        </w:rPr>
        <w:t>r other similar three drug</w:t>
      </w:r>
      <w:r w:rsidR="00A030EA" w:rsidRPr="001D3234">
        <w:rPr>
          <w:rFonts w:asciiTheme="minorHAnsi" w:hAnsiTheme="minorHAnsi"/>
          <w:bCs/>
        </w:rPr>
        <w:t xml:space="preserve"> </w:t>
      </w:r>
      <w:r w:rsidR="001E3267" w:rsidRPr="001D3234">
        <w:rPr>
          <w:rFonts w:asciiTheme="minorHAnsi" w:hAnsiTheme="minorHAnsi"/>
          <w:bCs/>
        </w:rPr>
        <w:t>regimens</w:t>
      </w:r>
      <w:r w:rsidR="006772B6" w:rsidRPr="001D3234">
        <w:rPr>
          <w:rFonts w:asciiTheme="minorHAnsi" w:hAnsiTheme="minorHAnsi"/>
          <w:bCs/>
        </w:rPr>
        <w:t xml:space="preserve"> (3DRs)</w:t>
      </w:r>
      <w:r w:rsidR="00A030EA" w:rsidRPr="001D3234">
        <w:rPr>
          <w:rFonts w:asciiTheme="minorHAnsi" w:hAnsiTheme="minorHAnsi"/>
          <w:bCs/>
        </w:rPr>
        <w:t xml:space="preserve"> in treatment naïve patients. </w:t>
      </w:r>
    </w:p>
    <w:p w:rsidR="00766E38" w:rsidRPr="001D3234" w:rsidRDefault="00A030EA" w:rsidP="00A030EA">
      <w:pPr>
        <w:numPr>
          <w:ilvl w:val="1"/>
          <w:numId w:val="1"/>
        </w:numPr>
        <w:spacing w:after="120"/>
        <w:rPr>
          <w:rFonts w:asciiTheme="minorHAnsi" w:hAnsiTheme="minorHAnsi"/>
          <w:bCs/>
        </w:rPr>
      </w:pPr>
      <w:r w:rsidRPr="001D3234">
        <w:rPr>
          <w:rFonts w:asciiTheme="minorHAnsi" w:hAnsiTheme="minorHAnsi"/>
          <w:bCs/>
        </w:rPr>
        <w:t>The PBA</w:t>
      </w:r>
      <w:r w:rsidR="00C109EE" w:rsidRPr="001D3234">
        <w:rPr>
          <w:rFonts w:asciiTheme="minorHAnsi" w:hAnsiTheme="minorHAnsi"/>
          <w:bCs/>
        </w:rPr>
        <w:t xml:space="preserve">C agreed it was appropriate to </w:t>
      </w:r>
      <w:r w:rsidR="008718FD" w:rsidRPr="001D3234">
        <w:rPr>
          <w:rFonts w:asciiTheme="minorHAnsi" w:hAnsiTheme="minorHAnsi"/>
          <w:bCs/>
        </w:rPr>
        <w:t xml:space="preserve">await further clarity from the TGA prior to </w:t>
      </w:r>
      <w:r w:rsidR="00C109EE" w:rsidRPr="001D3234">
        <w:rPr>
          <w:rFonts w:asciiTheme="minorHAnsi" w:hAnsiTheme="minorHAnsi"/>
          <w:bCs/>
        </w:rPr>
        <w:t xml:space="preserve">providing advice </w:t>
      </w:r>
      <w:r w:rsidRPr="001D3234">
        <w:rPr>
          <w:rFonts w:asciiTheme="minorHAnsi" w:hAnsiTheme="minorHAnsi"/>
          <w:bCs/>
        </w:rPr>
        <w:t>on</w:t>
      </w:r>
      <w:r w:rsidR="00C109EE" w:rsidRPr="001D3234">
        <w:rPr>
          <w:rFonts w:asciiTheme="minorHAnsi" w:hAnsiTheme="minorHAnsi"/>
          <w:bCs/>
        </w:rPr>
        <w:t xml:space="preserve"> its view</w:t>
      </w:r>
      <w:r w:rsidR="006772B6" w:rsidRPr="001D3234">
        <w:rPr>
          <w:rFonts w:asciiTheme="minorHAnsi" w:hAnsiTheme="minorHAnsi"/>
          <w:bCs/>
        </w:rPr>
        <w:t xml:space="preserve"> on</w:t>
      </w:r>
      <w:r w:rsidRPr="001D3234">
        <w:rPr>
          <w:rFonts w:asciiTheme="minorHAnsi" w:hAnsiTheme="minorHAnsi"/>
          <w:bCs/>
        </w:rPr>
        <w:t xml:space="preserve"> the</w:t>
      </w:r>
      <w:r w:rsidR="00C109EE" w:rsidRPr="001D3234">
        <w:rPr>
          <w:rFonts w:asciiTheme="minorHAnsi" w:hAnsiTheme="minorHAnsi"/>
          <w:bCs/>
        </w:rPr>
        <w:t xml:space="preserve"> comparative</w:t>
      </w:r>
      <w:r w:rsidRPr="001D3234">
        <w:rPr>
          <w:rFonts w:asciiTheme="minorHAnsi" w:hAnsiTheme="minorHAnsi"/>
          <w:bCs/>
        </w:rPr>
        <w:t xml:space="preserve"> effectiveness and safety of Dovato in</w:t>
      </w:r>
      <w:r w:rsidR="00C109EE" w:rsidRPr="001D3234">
        <w:rPr>
          <w:rFonts w:asciiTheme="minorHAnsi" w:hAnsiTheme="minorHAnsi"/>
          <w:bCs/>
        </w:rPr>
        <w:t xml:space="preserve"> treatment experienced patients</w:t>
      </w:r>
      <w:r w:rsidRPr="001D3234">
        <w:rPr>
          <w:rFonts w:asciiTheme="minorHAnsi" w:hAnsiTheme="minorHAnsi"/>
          <w:bCs/>
        </w:rPr>
        <w:t xml:space="preserve">, and noted there was limited clinical data </w:t>
      </w:r>
      <w:r w:rsidR="00B46C6B" w:rsidRPr="001D3234">
        <w:rPr>
          <w:rFonts w:asciiTheme="minorHAnsi" w:hAnsiTheme="minorHAnsi"/>
          <w:bCs/>
        </w:rPr>
        <w:t>available</w:t>
      </w:r>
      <w:r w:rsidR="00C109EE" w:rsidRPr="001D3234">
        <w:rPr>
          <w:rFonts w:asciiTheme="minorHAnsi" w:hAnsiTheme="minorHAnsi"/>
          <w:bCs/>
        </w:rPr>
        <w:t xml:space="preserve"> in this population</w:t>
      </w:r>
      <w:r w:rsidRPr="001D3234">
        <w:rPr>
          <w:rFonts w:asciiTheme="minorHAnsi" w:hAnsiTheme="minorHAnsi"/>
          <w:bCs/>
        </w:rPr>
        <w:t xml:space="preserve"> (from a 24-week preliminary analysis of the</w:t>
      </w:r>
      <w:r w:rsidR="00C109EE" w:rsidRPr="001D3234">
        <w:rPr>
          <w:rFonts w:asciiTheme="minorHAnsi" w:hAnsiTheme="minorHAnsi"/>
          <w:bCs/>
        </w:rPr>
        <w:t xml:space="preserve"> open-label</w:t>
      </w:r>
      <w:r w:rsidRPr="001D3234">
        <w:rPr>
          <w:rFonts w:asciiTheme="minorHAnsi" w:hAnsiTheme="minorHAnsi"/>
          <w:bCs/>
        </w:rPr>
        <w:t xml:space="preserve"> TANGO trial).</w:t>
      </w:r>
      <w:r w:rsidR="006772B6" w:rsidRPr="001D3234">
        <w:rPr>
          <w:rFonts w:asciiTheme="minorHAnsi" w:hAnsiTheme="minorHAnsi"/>
          <w:bCs/>
        </w:rPr>
        <w:t xml:space="preserve"> </w:t>
      </w:r>
    </w:p>
    <w:p w:rsidR="008B4AEE" w:rsidRPr="001D3234" w:rsidRDefault="001E3267" w:rsidP="00FB4283">
      <w:pPr>
        <w:numPr>
          <w:ilvl w:val="1"/>
          <w:numId w:val="1"/>
        </w:numPr>
        <w:spacing w:after="120"/>
        <w:rPr>
          <w:rFonts w:asciiTheme="minorHAnsi" w:hAnsiTheme="minorHAnsi"/>
          <w:bCs/>
        </w:rPr>
      </w:pPr>
      <w:r w:rsidRPr="001D3234">
        <w:rPr>
          <w:rFonts w:asciiTheme="minorHAnsi" w:hAnsiTheme="minorHAnsi"/>
          <w:bCs/>
        </w:rPr>
        <w:t>The PBAC considered the data supported a conclusion of non-inferior comparative safety versus a regimen of DTG + Truvada, and by extension other similar 3DR regimens in treatment naïve patients. The PBAC noted the claim of superior safety of non-TDF containing regimens over TDF containing regimens based on renal function and bone toxicity</w:t>
      </w:r>
      <w:r w:rsidR="00826ABD" w:rsidRPr="001D3234">
        <w:rPr>
          <w:rFonts w:asciiTheme="minorHAnsi" w:hAnsiTheme="minorHAnsi"/>
          <w:bCs/>
        </w:rPr>
        <w:t xml:space="preserve"> was</w:t>
      </w:r>
      <w:r w:rsidR="008718FD" w:rsidRPr="001D3234">
        <w:rPr>
          <w:rFonts w:asciiTheme="minorHAnsi" w:hAnsiTheme="minorHAnsi"/>
          <w:bCs/>
        </w:rPr>
        <w:t xml:space="preserve"> largely from observational data</w:t>
      </w:r>
      <w:r w:rsidRPr="001D3234">
        <w:rPr>
          <w:rFonts w:asciiTheme="minorHAnsi" w:hAnsiTheme="minorHAnsi"/>
          <w:bCs/>
        </w:rPr>
        <w:t xml:space="preserve"> and recalled it had previously considered there was insufficient evidence</w:t>
      </w:r>
      <w:r w:rsidR="00826ABD" w:rsidRPr="001D3234">
        <w:rPr>
          <w:rFonts w:asciiTheme="minorHAnsi" w:hAnsiTheme="minorHAnsi"/>
          <w:bCs/>
        </w:rPr>
        <w:t xml:space="preserve"> for</w:t>
      </w:r>
      <w:r w:rsidRPr="001D3234">
        <w:rPr>
          <w:rFonts w:asciiTheme="minorHAnsi" w:hAnsiTheme="minorHAnsi"/>
          <w:bCs/>
        </w:rPr>
        <w:t xml:space="preserve"> </w:t>
      </w:r>
      <w:r w:rsidR="00826ABD" w:rsidRPr="001D3234">
        <w:rPr>
          <w:rFonts w:asciiTheme="minorHAnsi" w:hAnsiTheme="minorHAnsi"/>
          <w:bCs/>
        </w:rPr>
        <w:t xml:space="preserve">similar claims in regimens containing tenofovir alafenamide </w:t>
      </w:r>
      <w:r w:rsidR="00C109EE" w:rsidRPr="001D3234">
        <w:rPr>
          <w:rFonts w:asciiTheme="minorHAnsi" w:hAnsiTheme="minorHAnsi"/>
          <w:bCs/>
        </w:rPr>
        <w:t>(</w:t>
      </w:r>
      <w:r w:rsidR="008718FD" w:rsidRPr="001D3234">
        <w:rPr>
          <w:rFonts w:asciiTheme="minorHAnsi" w:hAnsiTheme="minorHAnsi"/>
          <w:bCs/>
        </w:rPr>
        <w:t>TAF)</w:t>
      </w:r>
      <w:r w:rsidR="00826ABD" w:rsidRPr="001D3234">
        <w:rPr>
          <w:rFonts w:asciiTheme="minorHAnsi" w:hAnsiTheme="minorHAnsi"/>
          <w:bCs/>
        </w:rPr>
        <w:t xml:space="preserve"> </w:t>
      </w:r>
      <w:r w:rsidR="008718FD" w:rsidRPr="001D3234">
        <w:rPr>
          <w:rFonts w:asciiTheme="minorHAnsi" w:hAnsiTheme="minorHAnsi"/>
          <w:bCs/>
        </w:rPr>
        <w:t>(</w:t>
      </w:r>
      <w:r w:rsidR="00C109EE" w:rsidRPr="001D3234">
        <w:rPr>
          <w:rFonts w:asciiTheme="minorHAnsi" w:hAnsiTheme="minorHAnsi"/>
          <w:bCs/>
        </w:rPr>
        <w:t>paragraph 6.32 refers)</w:t>
      </w:r>
      <w:r w:rsidR="00826ABD" w:rsidRPr="001D3234">
        <w:rPr>
          <w:rFonts w:asciiTheme="minorHAnsi" w:hAnsiTheme="minorHAnsi"/>
          <w:bCs/>
        </w:rPr>
        <w:t>. The PBAC considered</w:t>
      </w:r>
      <w:r w:rsidRPr="001D3234">
        <w:rPr>
          <w:rFonts w:asciiTheme="minorHAnsi" w:hAnsiTheme="minorHAnsi"/>
          <w:bCs/>
        </w:rPr>
        <w:t xml:space="preserve"> the observational data presented </w:t>
      </w:r>
      <w:r w:rsidR="00BB282C" w:rsidRPr="001D3234">
        <w:rPr>
          <w:rFonts w:asciiTheme="minorHAnsi" w:hAnsiTheme="minorHAnsi"/>
          <w:bCs/>
        </w:rPr>
        <w:t xml:space="preserve">did not provide additional certainty </w:t>
      </w:r>
      <w:r w:rsidR="00C610FC" w:rsidRPr="001D3234">
        <w:rPr>
          <w:rFonts w:asciiTheme="minorHAnsi" w:hAnsiTheme="minorHAnsi"/>
          <w:bCs/>
        </w:rPr>
        <w:t>on</w:t>
      </w:r>
      <w:r w:rsidR="008718FD" w:rsidRPr="001D3234">
        <w:rPr>
          <w:rFonts w:asciiTheme="minorHAnsi" w:hAnsiTheme="minorHAnsi"/>
          <w:bCs/>
        </w:rPr>
        <w:t xml:space="preserve"> whether</w:t>
      </w:r>
      <w:r w:rsidR="00C610FC" w:rsidRPr="001D3234">
        <w:rPr>
          <w:rFonts w:asciiTheme="minorHAnsi" w:hAnsiTheme="minorHAnsi"/>
          <w:bCs/>
        </w:rPr>
        <w:t xml:space="preserve"> these</w:t>
      </w:r>
      <w:r w:rsidRPr="001D3234">
        <w:rPr>
          <w:rFonts w:asciiTheme="minorHAnsi" w:hAnsiTheme="minorHAnsi"/>
          <w:bCs/>
        </w:rPr>
        <w:t xml:space="preserve"> </w:t>
      </w:r>
      <w:r w:rsidR="00BB282C" w:rsidRPr="001D3234">
        <w:rPr>
          <w:rFonts w:asciiTheme="minorHAnsi" w:hAnsiTheme="minorHAnsi"/>
          <w:bCs/>
        </w:rPr>
        <w:t>outcomes were clinically meaningful. The Committee</w:t>
      </w:r>
      <w:r w:rsidR="00826ABD" w:rsidRPr="001D3234">
        <w:rPr>
          <w:rFonts w:asciiTheme="minorHAnsi" w:hAnsiTheme="minorHAnsi"/>
          <w:bCs/>
        </w:rPr>
        <w:t xml:space="preserve"> reaffirmed</w:t>
      </w:r>
      <w:r w:rsidR="00BB282C" w:rsidRPr="001D3234">
        <w:rPr>
          <w:rFonts w:asciiTheme="minorHAnsi" w:hAnsiTheme="minorHAnsi"/>
          <w:bCs/>
        </w:rPr>
        <w:t xml:space="preserve"> its position </w:t>
      </w:r>
      <w:r w:rsidR="008718FD" w:rsidRPr="001D3234">
        <w:rPr>
          <w:rFonts w:asciiTheme="minorHAnsi" w:hAnsiTheme="minorHAnsi"/>
          <w:bCs/>
        </w:rPr>
        <w:t>from</w:t>
      </w:r>
      <w:r w:rsidR="00BB282C" w:rsidRPr="001D3234">
        <w:rPr>
          <w:rFonts w:asciiTheme="minorHAnsi" w:hAnsiTheme="minorHAnsi"/>
          <w:bCs/>
        </w:rPr>
        <w:t xml:space="preserve"> when it considered </w:t>
      </w:r>
      <w:r w:rsidR="00826ABD" w:rsidRPr="001D3234">
        <w:rPr>
          <w:rFonts w:asciiTheme="minorHAnsi" w:hAnsiTheme="minorHAnsi"/>
          <w:bCs/>
        </w:rPr>
        <w:t>TAF-</w:t>
      </w:r>
      <w:r w:rsidR="00BB282C" w:rsidRPr="001D3234">
        <w:rPr>
          <w:rFonts w:asciiTheme="minorHAnsi" w:hAnsiTheme="minorHAnsi"/>
          <w:bCs/>
        </w:rPr>
        <w:t>containing regimens including Odefsey</w:t>
      </w:r>
      <w:r w:rsidR="00BB282C" w:rsidRPr="001D3234">
        <w:rPr>
          <w:rFonts w:asciiTheme="minorHAnsi" w:hAnsiTheme="minorHAnsi" w:cstheme="minorHAnsi"/>
          <w:bCs/>
          <w:vertAlign w:val="superscript"/>
        </w:rPr>
        <w:t>®</w:t>
      </w:r>
      <w:r w:rsidR="00BB282C" w:rsidRPr="001D3234">
        <w:rPr>
          <w:rFonts w:asciiTheme="minorHAnsi" w:hAnsiTheme="minorHAnsi" w:cstheme="minorHAnsi"/>
          <w:bCs/>
        </w:rPr>
        <w:t xml:space="preserve"> and Descovy</w:t>
      </w:r>
      <w:r w:rsidR="00BB282C" w:rsidRPr="001D3234">
        <w:rPr>
          <w:rFonts w:asciiTheme="minorHAnsi" w:hAnsiTheme="minorHAnsi" w:cstheme="minorHAnsi"/>
          <w:bCs/>
          <w:vertAlign w:val="superscript"/>
        </w:rPr>
        <w:t>®</w:t>
      </w:r>
      <w:r w:rsidR="003257E6" w:rsidRPr="001D3234">
        <w:rPr>
          <w:rFonts w:asciiTheme="minorHAnsi" w:hAnsiTheme="minorHAnsi" w:cstheme="minorHAnsi"/>
          <w:bCs/>
        </w:rPr>
        <w:t xml:space="preserve">, and noted its previous consideration of Biktarvy focused on the NNRTI and boosted INSTI </w:t>
      </w:r>
      <w:r w:rsidR="003257E6" w:rsidRPr="001D3234">
        <w:rPr>
          <w:rFonts w:asciiTheme="minorHAnsi" w:hAnsiTheme="minorHAnsi" w:cstheme="minorHAnsi"/>
          <w:bCs/>
        </w:rPr>
        <w:lastRenderedPageBreak/>
        <w:t>components, not the comparative safety of TDF and TAF</w:t>
      </w:r>
      <w:r w:rsidR="00826ABD" w:rsidRPr="001D3234">
        <w:rPr>
          <w:rFonts w:asciiTheme="minorHAnsi" w:hAnsiTheme="minorHAnsi" w:cstheme="minorHAnsi"/>
          <w:bCs/>
        </w:rPr>
        <w:t>.</w:t>
      </w:r>
    </w:p>
    <w:p w:rsidR="008B4AEE" w:rsidRPr="001D3234" w:rsidRDefault="001E3267" w:rsidP="00FB4283">
      <w:pPr>
        <w:numPr>
          <w:ilvl w:val="1"/>
          <w:numId w:val="1"/>
        </w:numPr>
        <w:spacing w:after="120"/>
        <w:rPr>
          <w:rFonts w:asciiTheme="minorHAnsi" w:hAnsiTheme="minorHAnsi"/>
          <w:bCs/>
        </w:rPr>
      </w:pPr>
      <w:r w:rsidRPr="001D3234">
        <w:rPr>
          <w:rFonts w:asciiTheme="minorHAnsi" w:hAnsiTheme="minorHAnsi"/>
          <w:bCs/>
        </w:rPr>
        <w:t>The PBAC</w:t>
      </w:r>
      <w:r w:rsidR="00BB282C" w:rsidRPr="001D3234">
        <w:rPr>
          <w:rFonts w:asciiTheme="minorHAnsi" w:hAnsiTheme="minorHAnsi"/>
          <w:bCs/>
        </w:rPr>
        <w:t xml:space="preserve"> agreed the clinician’s adv</w:t>
      </w:r>
      <w:r w:rsidR="00C610FC" w:rsidRPr="001D3234">
        <w:rPr>
          <w:rFonts w:asciiTheme="minorHAnsi" w:hAnsiTheme="minorHAnsi"/>
          <w:bCs/>
        </w:rPr>
        <w:t>ice in the sponsor hearing was informative and highlighted</w:t>
      </w:r>
      <w:r w:rsidR="00BB282C" w:rsidRPr="001D3234">
        <w:rPr>
          <w:rFonts w:asciiTheme="minorHAnsi" w:hAnsiTheme="minorHAnsi"/>
          <w:bCs/>
        </w:rPr>
        <w:t xml:space="preserve"> some </w:t>
      </w:r>
      <w:r w:rsidR="00C610FC" w:rsidRPr="001D3234">
        <w:rPr>
          <w:rFonts w:asciiTheme="minorHAnsi" w:hAnsiTheme="minorHAnsi"/>
          <w:bCs/>
        </w:rPr>
        <w:t>treatment-experienced</w:t>
      </w:r>
      <w:r w:rsidR="00BB282C" w:rsidRPr="001D3234">
        <w:rPr>
          <w:rFonts w:asciiTheme="minorHAnsi" w:hAnsiTheme="minorHAnsi"/>
          <w:bCs/>
        </w:rPr>
        <w:t xml:space="preserve"> patients might </w:t>
      </w:r>
      <w:r w:rsidR="003E46DE" w:rsidRPr="001D3234">
        <w:rPr>
          <w:rFonts w:asciiTheme="minorHAnsi" w:hAnsiTheme="minorHAnsi"/>
          <w:bCs/>
        </w:rPr>
        <w:t xml:space="preserve">find </w:t>
      </w:r>
      <w:r w:rsidR="00C610FC" w:rsidRPr="001D3234">
        <w:rPr>
          <w:rFonts w:asciiTheme="minorHAnsi" w:hAnsiTheme="minorHAnsi"/>
          <w:bCs/>
        </w:rPr>
        <w:t>switching</w:t>
      </w:r>
      <w:r w:rsidR="00BB282C" w:rsidRPr="001D3234">
        <w:rPr>
          <w:rFonts w:asciiTheme="minorHAnsi" w:hAnsiTheme="minorHAnsi"/>
          <w:bCs/>
        </w:rPr>
        <w:t xml:space="preserve"> to a 2DR</w:t>
      </w:r>
      <w:r w:rsidR="003E46DE" w:rsidRPr="001D3234">
        <w:rPr>
          <w:rFonts w:asciiTheme="minorHAnsi" w:hAnsiTheme="minorHAnsi"/>
          <w:bCs/>
        </w:rPr>
        <w:t xml:space="preserve"> </w:t>
      </w:r>
      <w:r w:rsidR="008718FD" w:rsidRPr="001D3234">
        <w:rPr>
          <w:rFonts w:asciiTheme="minorHAnsi" w:hAnsiTheme="minorHAnsi"/>
          <w:bCs/>
        </w:rPr>
        <w:t>desirable</w:t>
      </w:r>
      <w:r w:rsidR="00BB282C" w:rsidRPr="001D3234">
        <w:rPr>
          <w:rFonts w:asciiTheme="minorHAnsi" w:hAnsiTheme="minorHAnsi"/>
          <w:bCs/>
        </w:rPr>
        <w:t>. In particular, the PBAC agreed</w:t>
      </w:r>
      <w:r w:rsidR="003E46DE" w:rsidRPr="001D3234">
        <w:rPr>
          <w:rFonts w:asciiTheme="minorHAnsi" w:hAnsiTheme="minorHAnsi"/>
          <w:bCs/>
        </w:rPr>
        <w:t xml:space="preserve"> with the clinician</w:t>
      </w:r>
      <w:r w:rsidR="00BB282C" w:rsidRPr="001D3234">
        <w:rPr>
          <w:rFonts w:asciiTheme="minorHAnsi" w:hAnsiTheme="minorHAnsi"/>
          <w:bCs/>
        </w:rPr>
        <w:t xml:space="preserve"> that</w:t>
      </w:r>
      <w:r w:rsidR="00C610FC" w:rsidRPr="001D3234">
        <w:rPr>
          <w:rFonts w:asciiTheme="minorHAnsi" w:hAnsiTheme="minorHAnsi"/>
          <w:bCs/>
        </w:rPr>
        <w:t xml:space="preserve"> with</w:t>
      </w:r>
      <w:r w:rsidR="00BB282C" w:rsidRPr="001D3234">
        <w:rPr>
          <w:rFonts w:asciiTheme="minorHAnsi" w:hAnsiTheme="minorHAnsi"/>
          <w:bCs/>
        </w:rPr>
        <w:t xml:space="preserve"> the emergence of comorbidities and </w:t>
      </w:r>
      <w:r w:rsidR="003E46DE" w:rsidRPr="001D3234">
        <w:rPr>
          <w:rFonts w:asciiTheme="minorHAnsi" w:hAnsiTheme="minorHAnsi"/>
          <w:bCs/>
        </w:rPr>
        <w:t>polypharmacy</w:t>
      </w:r>
      <w:r w:rsidR="00C610FC" w:rsidRPr="001D3234">
        <w:rPr>
          <w:rFonts w:asciiTheme="minorHAnsi" w:hAnsiTheme="minorHAnsi"/>
          <w:bCs/>
        </w:rPr>
        <w:t xml:space="preserve"> in an aging prevalent population</w:t>
      </w:r>
      <w:r w:rsidR="003E46DE" w:rsidRPr="001D3234">
        <w:rPr>
          <w:rFonts w:asciiTheme="minorHAnsi" w:hAnsiTheme="minorHAnsi"/>
          <w:bCs/>
        </w:rPr>
        <w:t xml:space="preserve">, some virologically suppressed patients </w:t>
      </w:r>
      <w:r w:rsidR="00C610FC" w:rsidRPr="001D3234">
        <w:rPr>
          <w:rFonts w:asciiTheme="minorHAnsi" w:hAnsiTheme="minorHAnsi"/>
          <w:bCs/>
        </w:rPr>
        <w:t>might</w:t>
      </w:r>
      <w:r w:rsidR="003E46DE" w:rsidRPr="001D3234">
        <w:rPr>
          <w:rFonts w:asciiTheme="minorHAnsi" w:hAnsiTheme="minorHAnsi"/>
          <w:bCs/>
        </w:rPr>
        <w:t xml:space="preserve"> express a desire to switch to a regimen with fewer agents if suppression </w:t>
      </w:r>
      <w:r w:rsidR="00C610FC" w:rsidRPr="001D3234">
        <w:rPr>
          <w:rFonts w:asciiTheme="minorHAnsi" w:hAnsiTheme="minorHAnsi"/>
          <w:bCs/>
        </w:rPr>
        <w:t>is</w:t>
      </w:r>
      <w:r w:rsidR="003E46DE" w:rsidRPr="001D3234">
        <w:rPr>
          <w:rFonts w:asciiTheme="minorHAnsi" w:hAnsiTheme="minorHAnsi"/>
          <w:bCs/>
        </w:rPr>
        <w:t xml:space="preserve"> maintained. </w:t>
      </w:r>
    </w:p>
    <w:p w:rsidR="003E46DE" w:rsidRPr="001D3234" w:rsidRDefault="003E46DE" w:rsidP="003E46DE">
      <w:pPr>
        <w:numPr>
          <w:ilvl w:val="1"/>
          <w:numId w:val="1"/>
        </w:numPr>
        <w:spacing w:after="120"/>
        <w:rPr>
          <w:rFonts w:asciiTheme="minorHAnsi" w:hAnsiTheme="minorHAnsi"/>
          <w:bCs/>
        </w:rPr>
      </w:pPr>
      <w:r w:rsidRPr="001D3234">
        <w:rPr>
          <w:rFonts w:asciiTheme="minorHAnsi" w:hAnsiTheme="minorHAnsi"/>
          <w:bCs/>
        </w:rPr>
        <w:t xml:space="preserve">In principle, the PBAC agreed the restrictions should be aligned with similar </w:t>
      </w:r>
      <w:r w:rsidR="008718FD" w:rsidRPr="001D3234">
        <w:rPr>
          <w:rFonts w:asciiTheme="minorHAnsi" w:hAnsiTheme="minorHAnsi"/>
          <w:bCs/>
        </w:rPr>
        <w:t>FDC</w:t>
      </w:r>
      <w:r w:rsidRPr="001D3234">
        <w:rPr>
          <w:rFonts w:asciiTheme="minorHAnsi" w:hAnsiTheme="minorHAnsi"/>
          <w:bCs/>
        </w:rPr>
        <w:t xml:space="preserve"> listings for HIV, however may require additional development </w:t>
      </w:r>
      <w:r w:rsidR="00C610FC" w:rsidRPr="001D3234">
        <w:rPr>
          <w:rFonts w:asciiTheme="minorHAnsi" w:hAnsiTheme="minorHAnsi"/>
          <w:bCs/>
        </w:rPr>
        <w:t>if the TGA does not approve use in treatment-experienced patients</w:t>
      </w:r>
      <w:r w:rsidRPr="001D3234">
        <w:rPr>
          <w:rFonts w:asciiTheme="minorHAnsi" w:hAnsiTheme="minorHAnsi"/>
          <w:bCs/>
        </w:rPr>
        <w:t xml:space="preserve">. The PBAC considered the Draft Product Information (PI) adequately outlines age and weight restrictions requested in the submission and </w:t>
      </w:r>
      <w:r w:rsidR="00C610FC" w:rsidRPr="001D3234">
        <w:rPr>
          <w:rFonts w:asciiTheme="minorHAnsi" w:hAnsiTheme="minorHAnsi"/>
          <w:bCs/>
        </w:rPr>
        <w:t>are</w:t>
      </w:r>
      <w:r w:rsidRPr="001D3234">
        <w:rPr>
          <w:rFonts w:asciiTheme="minorHAnsi" w:hAnsiTheme="minorHAnsi"/>
          <w:bCs/>
        </w:rPr>
        <w:t xml:space="preserve"> not necessary in the PBS restriction</w:t>
      </w:r>
      <w:r w:rsidR="00C610FC" w:rsidRPr="001D3234">
        <w:rPr>
          <w:rFonts w:asciiTheme="minorHAnsi" w:hAnsiTheme="minorHAnsi"/>
          <w:bCs/>
        </w:rPr>
        <w:t xml:space="preserve"> as HIV prescribers are </w:t>
      </w:r>
      <w:r w:rsidR="0010049B" w:rsidRPr="001D3234">
        <w:rPr>
          <w:rFonts w:asciiTheme="minorHAnsi" w:hAnsiTheme="minorHAnsi"/>
          <w:bCs/>
        </w:rPr>
        <w:t xml:space="preserve">experienced with appropriate </w:t>
      </w:r>
      <w:r w:rsidR="00C610FC" w:rsidRPr="001D3234">
        <w:rPr>
          <w:rFonts w:asciiTheme="minorHAnsi" w:hAnsiTheme="minorHAnsi"/>
          <w:bCs/>
        </w:rPr>
        <w:t>regimen selection</w:t>
      </w:r>
      <w:r w:rsidR="0010049B" w:rsidRPr="001D3234">
        <w:rPr>
          <w:rFonts w:asciiTheme="minorHAnsi" w:hAnsiTheme="minorHAnsi"/>
          <w:bCs/>
        </w:rPr>
        <w:t xml:space="preserve"> for patients</w:t>
      </w:r>
      <w:r w:rsidRPr="001D3234">
        <w:rPr>
          <w:rFonts w:asciiTheme="minorHAnsi" w:hAnsiTheme="minorHAnsi"/>
          <w:bCs/>
        </w:rPr>
        <w:t xml:space="preserve">. Furthermore, the PBAC agreed </w:t>
      </w:r>
      <w:r w:rsidR="00C610FC" w:rsidRPr="001D3234">
        <w:rPr>
          <w:rFonts w:asciiTheme="minorHAnsi" w:hAnsiTheme="minorHAnsi"/>
          <w:bCs/>
        </w:rPr>
        <w:t>the approved PI</w:t>
      </w:r>
      <w:r w:rsidR="00FC56F8" w:rsidRPr="001D3234">
        <w:rPr>
          <w:rFonts w:asciiTheme="minorHAnsi" w:hAnsiTheme="minorHAnsi"/>
          <w:bCs/>
        </w:rPr>
        <w:t xml:space="preserve"> adequately</w:t>
      </w:r>
      <w:r w:rsidR="00C610FC" w:rsidRPr="001D3234">
        <w:rPr>
          <w:rFonts w:asciiTheme="minorHAnsi" w:hAnsiTheme="minorHAnsi"/>
          <w:bCs/>
        </w:rPr>
        <w:t xml:space="preserve"> outlines</w:t>
      </w:r>
      <w:r w:rsidRPr="001D3234">
        <w:rPr>
          <w:rFonts w:asciiTheme="minorHAnsi" w:hAnsiTheme="minorHAnsi"/>
          <w:bCs/>
        </w:rPr>
        <w:t xml:space="preserve"> age and weight restrictions in the current PBS listing of</w:t>
      </w:r>
      <w:r w:rsidR="00C610FC" w:rsidRPr="001D3234">
        <w:rPr>
          <w:rFonts w:asciiTheme="minorHAnsi" w:hAnsiTheme="minorHAnsi"/>
          <w:bCs/>
        </w:rPr>
        <w:t xml:space="preserve"> the combination drug</w:t>
      </w:r>
      <w:r w:rsidRPr="001D3234">
        <w:rPr>
          <w:rFonts w:asciiTheme="minorHAnsi" w:hAnsiTheme="minorHAnsi"/>
          <w:bCs/>
        </w:rPr>
        <w:t xml:space="preserve"> abacavir/lamivudine/dolutegravir (Triumeq®) and</w:t>
      </w:r>
      <w:r w:rsidR="00C610FC" w:rsidRPr="001D3234">
        <w:rPr>
          <w:rFonts w:asciiTheme="minorHAnsi" w:hAnsiTheme="minorHAnsi"/>
          <w:bCs/>
        </w:rPr>
        <w:t xml:space="preserve"> recommended their removal</w:t>
      </w:r>
      <w:r w:rsidRPr="001D3234">
        <w:rPr>
          <w:rFonts w:asciiTheme="minorHAnsi" w:hAnsiTheme="minorHAnsi"/>
          <w:bCs/>
        </w:rPr>
        <w:t xml:space="preserve"> from the</w:t>
      </w:r>
      <w:r w:rsidR="00C610FC" w:rsidRPr="001D3234">
        <w:rPr>
          <w:rFonts w:asciiTheme="minorHAnsi" w:hAnsiTheme="minorHAnsi"/>
          <w:bCs/>
        </w:rPr>
        <w:t xml:space="preserve"> current</w:t>
      </w:r>
      <w:r w:rsidRPr="001D3234">
        <w:rPr>
          <w:rFonts w:asciiTheme="minorHAnsi" w:hAnsiTheme="minorHAnsi"/>
          <w:bCs/>
        </w:rPr>
        <w:t xml:space="preserve"> </w:t>
      </w:r>
      <w:r w:rsidR="00C610FC" w:rsidRPr="001D3234">
        <w:rPr>
          <w:rFonts w:asciiTheme="minorHAnsi" w:hAnsiTheme="minorHAnsi"/>
          <w:bCs/>
        </w:rPr>
        <w:t>listing.</w:t>
      </w:r>
    </w:p>
    <w:p w:rsidR="008B4AEE" w:rsidRPr="001D3234" w:rsidRDefault="003E46DE" w:rsidP="00FB4283">
      <w:pPr>
        <w:numPr>
          <w:ilvl w:val="1"/>
          <w:numId w:val="1"/>
        </w:numPr>
        <w:spacing w:after="120"/>
        <w:rPr>
          <w:rFonts w:asciiTheme="minorHAnsi" w:hAnsiTheme="minorHAnsi"/>
          <w:bCs/>
        </w:rPr>
      </w:pPr>
      <w:r w:rsidRPr="001D3234">
        <w:rPr>
          <w:rFonts w:asciiTheme="minorHAnsi" w:hAnsiTheme="minorHAnsi"/>
          <w:bCs/>
        </w:rPr>
        <w:t>The PBAC accepted concomitant use of DTG + 3TC as an acceptable pharmacokinetic comparator</w:t>
      </w:r>
      <w:r w:rsidR="000C48A1" w:rsidRPr="001D3234">
        <w:rPr>
          <w:rFonts w:asciiTheme="minorHAnsi" w:hAnsiTheme="minorHAnsi"/>
          <w:bCs/>
        </w:rPr>
        <w:t xml:space="preserve"> for the fixed-dose combination</w:t>
      </w:r>
      <w:r w:rsidRPr="001D3234">
        <w:rPr>
          <w:rFonts w:asciiTheme="minorHAnsi" w:hAnsiTheme="minorHAnsi"/>
          <w:bCs/>
        </w:rPr>
        <w:t xml:space="preserve"> and other 3DR single tablet regimens used in the treatment of HIV</w:t>
      </w:r>
      <w:r w:rsidR="000C48A1" w:rsidRPr="001D3234">
        <w:rPr>
          <w:rFonts w:asciiTheme="minorHAnsi" w:hAnsiTheme="minorHAnsi"/>
          <w:bCs/>
        </w:rPr>
        <w:t xml:space="preserve"> (including Genvoya®, Stribild®, Odefsey®, Eviplera®, Triumeq® and Biktarvy®)</w:t>
      </w:r>
      <w:r w:rsidRPr="001D3234">
        <w:rPr>
          <w:rFonts w:asciiTheme="minorHAnsi" w:hAnsiTheme="minorHAnsi"/>
          <w:bCs/>
        </w:rPr>
        <w:t xml:space="preserve"> as</w:t>
      </w:r>
      <w:r w:rsidR="000C48A1" w:rsidRPr="001D3234">
        <w:rPr>
          <w:rFonts w:asciiTheme="minorHAnsi" w:hAnsiTheme="minorHAnsi"/>
          <w:bCs/>
        </w:rPr>
        <w:t xml:space="preserve"> relevant</w:t>
      </w:r>
      <w:r w:rsidR="00FC56F8" w:rsidRPr="001D3234">
        <w:rPr>
          <w:rFonts w:asciiTheme="minorHAnsi" w:hAnsiTheme="minorHAnsi"/>
          <w:bCs/>
        </w:rPr>
        <w:t xml:space="preserve"> clinical economic</w:t>
      </w:r>
      <w:r w:rsidRPr="001D3234">
        <w:rPr>
          <w:rFonts w:asciiTheme="minorHAnsi" w:hAnsiTheme="minorHAnsi"/>
          <w:bCs/>
        </w:rPr>
        <w:t xml:space="preserve"> comparators.</w:t>
      </w:r>
      <w:r w:rsidR="003D168B" w:rsidRPr="001D3234">
        <w:rPr>
          <w:rFonts w:asciiTheme="minorHAnsi" w:hAnsiTheme="minorHAnsi"/>
          <w:bCs/>
        </w:rPr>
        <w:t xml:space="preserve"> The Committee noted the comparator in the GEMINI trials of DTG + Truvada was not nominated by the submission, however considered it may be a relevant clinical comparator as</w:t>
      </w:r>
      <w:r w:rsidR="00CA4396" w:rsidRPr="001D3234">
        <w:rPr>
          <w:rFonts w:asciiTheme="minorHAnsi" w:hAnsiTheme="minorHAnsi"/>
          <w:bCs/>
        </w:rPr>
        <w:t xml:space="preserve"> the</w:t>
      </w:r>
      <w:r w:rsidR="00E323AB" w:rsidRPr="001D3234">
        <w:rPr>
          <w:rFonts w:asciiTheme="minorHAnsi" w:hAnsiTheme="minorHAnsi"/>
          <w:bCs/>
        </w:rPr>
        <w:t xml:space="preserve"> Australasian Society for HIV, Viral Hepatitis and Sexual Health Medicine</w:t>
      </w:r>
      <w:r w:rsidR="00CA4396" w:rsidRPr="001D3234">
        <w:rPr>
          <w:rFonts w:asciiTheme="minorHAnsi" w:hAnsiTheme="minorHAnsi"/>
          <w:bCs/>
        </w:rPr>
        <w:t xml:space="preserve"> </w:t>
      </w:r>
      <w:r w:rsidR="00E323AB" w:rsidRPr="001D3234">
        <w:rPr>
          <w:rFonts w:asciiTheme="minorHAnsi" w:hAnsiTheme="minorHAnsi"/>
          <w:bCs/>
        </w:rPr>
        <w:t>(</w:t>
      </w:r>
      <w:r w:rsidR="00CA4396" w:rsidRPr="001D3234">
        <w:rPr>
          <w:rFonts w:asciiTheme="minorHAnsi" w:hAnsiTheme="minorHAnsi"/>
          <w:bCs/>
        </w:rPr>
        <w:t>ASHM</w:t>
      </w:r>
      <w:r w:rsidR="00E323AB" w:rsidRPr="001D3234">
        <w:rPr>
          <w:rFonts w:asciiTheme="minorHAnsi" w:hAnsiTheme="minorHAnsi"/>
          <w:bCs/>
        </w:rPr>
        <w:t>)</w:t>
      </w:r>
      <w:r w:rsidR="00CA4396" w:rsidRPr="001D3234">
        <w:rPr>
          <w:rFonts w:asciiTheme="minorHAnsi" w:hAnsiTheme="minorHAnsi"/>
          <w:bCs/>
        </w:rPr>
        <w:t xml:space="preserve"> guidelines class this regimen as a recommended initial </w:t>
      </w:r>
      <w:r w:rsidR="000F483A" w:rsidRPr="001D3234">
        <w:rPr>
          <w:rFonts w:asciiTheme="minorHAnsi" w:hAnsiTheme="minorHAnsi"/>
          <w:bCs/>
        </w:rPr>
        <w:t>option</w:t>
      </w:r>
      <w:r w:rsidR="00CA4396" w:rsidRPr="001D3234">
        <w:rPr>
          <w:rFonts w:asciiTheme="minorHAnsi" w:hAnsiTheme="minorHAnsi"/>
          <w:bCs/>
        </w:rPr>
        <w:t xml:space="preserve"> for most people with HIV</w:t>
      </w:r>
      <w:r w:rsidR="00C610FC" w:rsidRPr="001D3234">
        <w:rPr>
          <w:rFonts w:asciiTheme="minorHAnsi" w:hAnsiTheme="minorHAnsi"/>
          <w:bCs/>
        </w:rPr>
        <w:t xml:space="preserve"> with level AI evidence</w:t>
      </w:r>
      <w:r w:rsidR="00FC56F8" w:rsidRPr="001D3234">
        <w:rPr>
          <w:rStyle w:val="FootnoteReference"/>
          <w:rFonts w:asciiTheme="minorHAnsi" w:hAnsiTheme="minorHAnsi"/>
          <w:bCs/>
        </w:rPr>
        <w:footnoteReference w:id="4"/>
      </w:r>
      <w:r w:rsidR="00CA4396" w:rsidRPr="001D3234">
        <w:rPr>
          <w:rFonts w:asciiTheme="minorHAnsi" w:hAnsiTheme="minorHAnsi"/>
          <w:bCs/>
        </w:rPr>
        <w:t>. Furthermore,</w:t>
      </w:r>
      <w:r w:rsidR="00FC56F8" w:rsidRPr="001D3234">
        <w:rPr>
          <w:rFonts w:asciiTheme="minorHAnsi" w:hAnsiTheme="minorHAnsi"/>
          <w:bCs/>
        </w:rPr>
        <w:t xml:space="preserve"> accepting clinical claims for</w:t>
      </w:r>
      <w:r w:rsidR="003D168B" w:rsidRPr="001D3234">
        <w:rPr>
          <w:rFonts w:asciiTheme="minorHAnsi" w:hAnsiTheme="minorHAnsi"/>
          <w:bCs/>
        </w:rPr>
        <w:t xml:space="preserve"> 3DR single tablet r</w:t>
      </w:r>
      <w:r w:rsidR="00CA4396" w:rsidRPr="001D3234">
        <w:rPr>
          <w:rFonts w:asciiTheme="minorHAnsi" w:hAnsiTheme="minorHAnsi"/>
          <w:bCs/>
        </w:rPr>
        <w:t>eg</w:t>
      </w:r>
      <w:r w:rsidR="00C610FC" w:rsidRPr="001D3234">
        <w:rPr>
          <w:rFonts w:asciiTheme="minorHAnsi" w:hAnsiTheme="minorHAnsi"/>
          <w:bCs/>
        </w:rPr>
        <w:t>imens relies on accepting</w:t>
      </w:r>
      <w:r w:rsidR="00E323AB" w:rsidRPr="001D3234">
        <w:rPr>
          <w:rFonts w:asciiTheme="minorHAnsi" w:hAnsiTheme="minorHAnsi"/>
          <w:bCs/>
        </w:rPr>
        <w:t xml:space="preserve"> DTG + </w:t>
      </w:r>
      <w:r w:rsidR="00C610FC" w:rsidRPr="001D3234">
        <w:rPr>
          <w:rFonts w:asciiTheme="minorHAnsi" w:hAnsiTheme="minorHAnsi"/>
          <w:bCs/>
        </w:rPr>
        <w:t>Truvada</w:t>
      </w:r>
      <w:r w:rsidR="00CA4396" w:rsidRPr="001D3234">
        <w:rPr>
          <w:rFonts w:asciiTheme="minorHAnsi" w:hAnsiTheme="minorHAnsi"/>
          <w:bCs/>
        </w:rPr>
        <w:t xml:space="preserve"> </w:t>
      </w:r>
      <w:r w:rsidR="003D168B" w:rsidRPr="001D3234">
        <w:rPr>
          <w:rFonts w:asciiTheme="minorHAnsi" w:hAnsiTheme="minorHAnsi"/>
          <w:bCs/>
        </w:rPr>
        <w:t>as a proxy for other regimens.</w:t>
      </w:r>
      <w:r w:rsidR="00381A53" w:rsidRPr="001D3234">
        <w:rPr>
          <w:rFonts w:asciiTheme="minorHAnsi" w:hAnsiTheme="minorHAnsi"/>
          <w:bCs/>
        </w:rPr>
        <w:t xml:space="preserve"> </w:t>
      </w:r>
    </w:p>
    <w:p w:rsidR="008B4AEE" w:rsidRPr="001D3234" w:rsidRDefault="007B362E" w:rsidP="00FB4283">
      <w:pPr>
        <w:numPr>
          <w:ilvl w:val="1"/>
          <w:numId w:val="1"/>
        </w:numPr>
        <w:spacing w:after="120"/>
        <w:rPr>
          <w:rFonts w:asciiTheme="minorHAnsi" w:hAnsiTheme="minorHAnsi"/>
          <w:bCs/>
        </w:rPr>
      </w:pPr>
      <w:r w:rsidRPr="001D3234">
        <w:rPr>
          <w:rFonts w:asciiTheme="minorHAnsi" w:hAnsiTheme="minorHAnsi"/>
          <w:bCs/>
        </w:rPr>
        <w:t xml:space="preserve">The PBAC agreed a price proposal based on the cost of components at the approved ex-manufacturer price was reasonable and Dovato represented a new least costly </w:t>
      </w:r>
      <w:r w:rsidR="00FC56F8" w:rsidRPr="001D3234">
        <w:rPr>
          <w:rFonts w:asciiTheme="minorHAnsi" w:hAnsiTheme="minorHAnsi"/>
          <w:bCs/>
        </w:rPr>
        <w:t>FDC</w:t>
      </w:r>
      <w:r w:rsidRPr="001D3234">
        <w:rPr>
          <w:rFonts w:asciiTheme="minorHAnsi" w:hAnsiTheme="minorHAnsi"/>
          <w:bCs/>
        </w:rPr>
        <w:t xml:space="preserve"> for HIV</w:t>
      </w:r>
      <w:r w:rsidR="00FC56F8" w:rsidRPr="001D3234">
        <w:rPr>
          <w:rFonts w:asciiTheme="minorHAnsi" w:hAnsiTheme="minorHAnsi"/>
          <w:bCs/>
        </w:rPr>
        <w:t xml:space="preserve"> infection</w:t>
      </w:r>
      <w:r w:rsidR="00C610FC" w:rsidRPr="001D3234">
        <w:rPr>
          <w:rFonts w:asciiTheme="minorHAnsi" w:hAnsiTheme="minorHAnsi"/>
          <w:bCs/>
        </w:rPr>
        <w:t xml:space="preserve"> (based on prices at time of consideration)</w:t>
      </w:r>
      <w:r w:rsidR="00E323AB" w:rsidRPr="001D3234">
        <w:rPr>
          <w:rFonts w:asciiTheme="minorHAnsi" w:hAnsiTheme="minorHAnsi"/>
          <w:bCs/>
        </w:rPr>
        <w:t>. The PBAC also noted that at the proposed price, Dovato would be less costly than a regimen of DTG + Truvada</w:t>
      </w:r>
      <w:r w:rsidR="00FC56F8" w:rsidRPr="001D3234">
        <w:rPr>
          <w:rFonts w:asciiTheme="minorHAnsi" w:hAnsiTheme="minorHAnsi"/>
          <w:bCs/>
        </w:rPr>
        <w:t xml:space="preserve"> at time of consideration</w:t>
      </w:r>
      <w:r w:rsidR="00E323AB" w:rsidRPr="001D3234">
        <w:rPr>
          <w:rFonts w:asciiTheme="minorHAnsi" w:hAnsiTheme="minorHAnsi"/>
          <w:bCs/>
        </w:rPr>
        <w:t>.</w:t>
      </w:r>
    </w:p>
    <w:p w:rsidR="003D168B" w:rsidRPr="001D3234" w:rsidRDefault="003D168B" w:rsidP="00FB4283">
      <w:pPr>
        <w:numPr>
          <w:ilvl w:val="1"/>
          <w:numId w:val="1"/>
        </w:numPr>
        <w:spacing w:after="120"/>
      </w:pPr>
      <w:r w:rsidRPr="001D3234">
        <w:t>The PBAC</w:t>
      </w:r>
      <w:r w:rsidR="00381A53" w:rsidRPr="001D3234">
        <w:t xml:space="preserve"> considered the utilisation estimates to be uncertain for a number of reasons, including:</w:t>
      </w:r>
    </w:p>
    <w:p w:rsidR="00381A53" w:rsidRPr="001D3234" w:rsidRDefault="00381A53" w:rsidP="00381A53">
      <w:pPr>
        <w:pStyle w:val="ListParagraph"/>
        <w:numPr>
          <w:ilvl w:val="0"/>
          <w:numId w:val="20"/>
        </w:numPr>
        <w:spacing w:after="120"/>
      </w:pPr>
      <w:r w:rsidRPr="001D3234">
        <w:t xml:space="preserve">For treatment naïve patients, the </w:t>
      </w:r>
      <w:r w:rsidR="00CA4396" w:rsidRPr="001D3234">
        <w:t>ASHM HIV treatment guidelines classify</w:t>
      </w:r>
      <w:r w:rsidRPr="001D3234">
        <w:t xml:space="preserve"> </w:t>
      </w:r>
      <w:r w:rsidR="00CA4396" w:rsidRPr="001D3234">
        <w:t>DTG </w:t>
      </w:r>
      <w:r w:rsidR="00E323AB" w:rsidRPr="001D3234">
        <w:t>+ 3TC</w:t>
      </w:r>
      <w:r w:rsidRPr="001D3234">
        <w:t xml:space="preserve"> for </w:t>
      </w:r>
      <w:r w:rsidR="00E323AB" w:rsidRPr="001D3234">
        <w:t>‘</w:t>
      </w:r>
      <w:r w:rsidRPr="001D3234">
        <w:t>use in certain clinical situations</w:t>
      </w:r>
      <w:r w:rsidR="00E323AB" w:rsidRPr="001D3234">
        <w:t xml:space="preserve">’. The guidelines recommend </w:t>
      </w:r>
      <w:r w:rsidR="00CA4396" w:rsidRPr="001D3234">
        <w:lastRenderedPageBreak/>
        <w:t>3DR regimens of 2 NRTIs plus</w:t>
      </w:r>
      <w:r w:rsidRPr="001D3234">
        <w:t xml:space="preserve"> an INSTI</w:t>
      </w:r>
      <w:r w:rsidR="00CA4396" w:rsidRPr="001D3234">
        <w:t xml:space="preserve"> for most people with newly-diagnosed HIV</w:t>
      </w:r>
      <w:r w:rsidR="00E323AB" w:rsidRPr="001D3234">
        <w:t xml:space="preserve">. The PBAC considered that under current </w:t>
      </w:r>
      <w:r w:rsidR="00FC56F8" w:rsidRPr="001D3234">
        <w:t>treatment guidelines</w:t>
      </w:r>
      <w:r w:rsidR="00E323AB" w:rsidRPr="001D3234">
        <w:t>, there may be limited acceptability</w:t>
      </w:r>
      <w:r w:rsidR="00FC56F8" w:rsidRPr="001D3234">
        <w:t xml:space="preserve"> of Dovato in</w:t>
      </w:r>
      <w:r w:rsidR="00E323AB" w:rsidRPr="001D3234">
        <w:t xml:space="preserve"> treatment-naïve patients</w:t>
      </w:r>
      <w:r w:rsidR="00CA4396" w:rsidRPr="001D3234">
        <w:t>;</w:t>
      </w:r>
    </w:p>
    <w:p w:rsidR="00E323AB" w:rsidRPr="001D3234" w:rsidRDefault="00CA4396" w:rsidP="00FC56F8">
      <w:pPr>
        <w:pStyle w:val="ListParagraph"/>
        <w:numPr>
          <w:ilvl w:val="0"/>
          <w:numId w:val="20"/>
        </w:numPr>
        <w:spacing w:after="120"/>
      </w:pPr>
      <w:r w:rsidRPr="001D3234">
        <w:t xml:space="preserve">The PBAC considered the epidemiological approach </w:t>
      </w:r>
      <w:r w:rsidR="00FC56F8" w:rsidRPr="001D3234">
        <w:t>likely</w:t>
      </w:r>
      <w:r w:rsidRPr="001D3234">
        <w:t xml:space="preserve"> overestimate</w:t>
      </w:r>
      <w:r w:rsidR="00E323AB" w:rsidRPr="001D3234">
        <w:t>d</w:t>
      </w:r>
      <w:r w:rsidRPr="001D3234">
        <w:t xml:space="preserve"> the incident HIV population</w:t>
      </w:r>
      <w:r w:rsidR="00E323AB" w:rsidRPr="001D3234">
        <w:t xml:space="preserve"> over time</w:t>
      </w:r>
      <w:r w:rsidRPr="001D3234">
        <w:t xml:space="preserve"> due to factors such as the recent listing of</w:t>
      </w:r>
      <w:r w:rsidR="00E323AB" w:rsidRPr="001D3234">
        <w:t xml:space="preserve"> pre-exposure prophylaxis</w:t>
      </w:r>
      <w:r w:rsidRPr="001D3234">
        <w:t xml:space="preserve"> </w:t>
      </w:r>
      <w:r w:rsidR="00E323AB" w:rsidRPr="001D3234">
        <w:t>(</w:t>
      </w:r>
      <w:r w:rsidRPr="001D3234">
        <w:t>PrEP</w:t>
      </w:r>
      <w:r w:rsidR="00E323AB" w:rsidRPr="001D3234">
        <w:t>)</w:t>
      </w:r>
      <w:r w:rsidRPr="001D3234">
        <w:t xml:space="preserve"> and considered a market share approach would have been appropriate;</w:t>
      </w:r>
      <w:r w:rsidR="00E323AB" w:rsidRPr="001D3234">
        <w:t xml:space="preserve"> and</w:t>
      </w:r>
    </w:p>
    <w:p w:rsidR="002871E5" w:rsidRPr="001D3234" w:rsidRDefault="002871E5" w:rsidP="00381A53">
      <w:pPr>
        <w:pStyle w:val="ListParagraph"/>
        <w:numPr>
          <w:ilvl w:val="0"/>
          <w:numId w:val="20"/>
        </w:numPr>
        <w:spacing w:after="120"/>
      </w:pPr>
      <w:r w:rsidRPr="001D3234">
        <w:t xml:space="preserve">A regimen of concomitant DTG + 3TC </w:t>
      </w:r>
      <w:r w:rsidR="00E323AB" w:rsidRPr="001D3234">
        <w:t>can already</w:t>
      </w:r>
      <w:r w:rsidRPr="001D3234">
        <w:t xml:space="preserve"> be prescribed on the PBS and </w:t>
      </w:r>
      <w:r w:rsidR="00E323AB" w:rsidRPr="001D3234">
        <w:t>its use is uncommon in practice.</w:t>
      </w:r>
    </w:p>
    <w:p w:rsidR="00876600" w:rsidRPr="001D3234" w:rsidRDefault="00876600" w:rsidP="000A55B8">
      <w:pPr>
        <w:spacing w:after="120"/>
        <w:ind w:left="1080"/>
      </w:pPr>
      <w:r w:rsidRPr="001D3234">
        <w:t>Noting the uncertainties as to whether the TGA will approve Dovato for use in treatment-experienced patients, the PBA</w:t>
      </w:r>
      <w:r w:rsidR="00E5691F" w:rsidRPr="001D3234">
        <w:t>C</w:t>
      </w:r>
      <w:r w:rsidRPr="001D3234">
        <w:t xml:space="preserve"> provided advice regarding the use of 2DRs in this population</w:t>
      </w:r>
      <w:r w:rsidR="000A55B8" w:rsidRPr="001D3234">
        <w:t xml:space="preserve"> more</w:t>
      </w:r>
      <w:r w:rsidRPr="001D3234">
        <w:t xml:space="preserve"> generally rather than </w:t>
      </w:r>
      <w:r w:rsidR="000A55B8" w:rsidRPr="001D3234">
        <w:t>for Dovato specifically:</w:t>
      </w:r>
    </w:p>
    <w:p w:rsidR="00E06253" w:rsidRPr="001D3234" w:rsidRDefault="00E06253" w:rsidP="00E06253">
      <w:pPr>
        <w:pStyle w:val="ListParagraph"/>
        <w:numPr>
          <w:ilvl w:val="0"/>
          <w:numId w:val="20"/>
        </w:numPr>
        <w:spacing w:after="120"/>
      </w:pPr>
      <w:r w:rsidRPr="001D3234">
        <w:t>The use of 3DRs in practice is well established and it is unclear how many patients will seek to switch to a regimen with fewer drugs. The PBAC agreed with the ESC and was uncertain how acceptable th</w:t>
      </w:r>
      <w:r w:rsidR="00E5691F" w:rsidRPr="001D3234">
        <w:t>is regimen will be to treatment-</w:t>
      </w:r>
      <w:r w:rsidRPr="001D3234">
        <w:t>experienced patients</w:t>
      </w:r>
      <w:r w:rsidR="00FC56F8" w:rsidRPr="001D3234">
        <w:t>;</w:t>
      </w:r>
    </w:p>
    <w:p w:rsidR="00CA4396" w:rsidRPr="001D3234" w:rsidRDefault="00E06253" w:rsidP="00381A53">
      <w:pPr>
        <w:pStyle w:val="ListParagraph"/>
        <w:numPr>
          <w:ilvl w:val="0"/>
          <w:numId w:val="20"/>
        </w:numPr>
        <w:spacing w:after="120"/>
      </w:pPr>
      <w:r w:rsidRPr="001D3234">
        <w:t xml:space="preserve">The PBAC </w:t>
      </w:r>
      <w:r w:rsidR="00876600" w:rsidRPr="001D3234">
        <w:t xml:space="preserve">considered the eligible treatment-experienced population and likely uptake in this group was likely overestimated. Noting the submission used an expert panel to assist with estimating the eligible population, the PBAC remained uncertain how desirable 2DRs </w:t>
      </w:r>
      <w:r w:rsidR="00FC56F8" w:rsidRPr="001D3234">
        <w:t>are</w:t>
      </w:r>
      <w:r w:rsidR="00876600" w:rsidRPr="001D3234">
        <w:t xml:space="preserve"> in practice. Factors such as comorbidi</w:t>
      </w:r>
      <w:r w:rsidR="00FC56F8" w:rsidRPr="001D3234">
        <w:t xml:space="preserve">ties, </w:t>
      </w:r>
      <w:r w:rsidR="00876600" w:rsidRPr="001D3234">
        <w:t>polypharmacy</w:t>
      </w:r>
      <w:r w:rsidR="00FC56F8" w:rsidRPr="001D3234">
        <w:t xml:space="preserve"> and</w:t>
      </w:r>
      <w:r w:rsidR="000A55B8" w:rsidRPr="001D3234">
        <w:t xml:space="preserve"> risk of drug-drug interactions</w:t>
      </w:r>
      <w:r w:rsidR="00876600" w:rsidRPr="001D3234">
        <w:t xml:space="preserve"> in an aging prevalent population may increase the appeal of 2DRs</w:t>
      </w:r>
      <w:r w:rsidR="00FC56F8" w:rsidRPr="001D3234">
        <w:t xml:space="preserve"> for some patients, whilst others</w:t>
      </w:r>
      <w:r w:rsidR="00876600" w:rsidRPr="001D3234">
        <w:t xml:space="preserve"> who remain stable on curr</w:t>
      </w:r>
      <w:r w:rsidR="000A55B8" w:rsidRPr="001D3234">
        <w:t>ent treatment</w:t>
      </w:r>
      <w:r w:rsidR="00876600" w:rsidRPr="001D3234">
        <w:t xml:space="preserve"> long-term may </w:t>
      </w:r>
      <w:r w:rsidR="00E5691F" w:rsidRPr="001D3234">
        <w:t xml:space="preserve">have no desire to </w:t>
      </w:r>
      <w:r w:rsidR="00876600" w:rsidRPr="001D3234">
        <w:t>switch. The PBAC considered the</w:t>
      </w:r>
      <w:r w:rsidR="00E5691F" w:rsidRPr="001D3234">
        <w:t>re is</w:t>
      </w:r>
      <w:r w:rsidR="00FC56F8" w:rsidRPr="001D3234">
        <w:t xml:space="preserve"> a</w:t>
      </w:r>
      <w:r w:rsidR="000A55B8" w:rsidRPr="001D3234">
        <w:t xml:space="preserve"> place for 2DRs in treatment-experienced patients and while some patients may realise a</w:t>
      </w:r>
      <w:r w:rsidR="00E5691F" w:rsidRPr="001D3234">
        <w:t xml:space="preserve"> safety</w:t>
      </w:r>
      <w:r w:rsidR="000A55B8" w:rsidRPr="001D3234">
        <w:t xml:space="preserve"> benefit, it was likely a relatively small number of patients would seek to change regimen</w:t>
      </w:r>
      <w:r w:rsidR="00E5691F" w:rsidRPr="001D3234">
        <w:t>; and</w:t>
      </w:r>
    </w:p>
    <w:p w:rsidR="00E5691F" w:rsidRPr="001D3234" w:rsidRDefault="00E5691F" w:rsidP="00381A53">
      <w:pPr>
        <w:pStyle w:val="ListParagraph"/>
        <w:numPr>
          <w:ilvl w:val="0"/>
          <w:numId w:val="20"/>
        </w:numPr>
        <w:spacing w:after="120"/>
      </w:pPr>
      <w:r w:rsidRPr="001D3234">
        <w:t>The PBAC noted the fixed dose combination of dolutegravir + rilpivirine (Juluca</w:t>
      </w:r>
      <w:r w:rsidRPr="001D3234">
        <w:rPr>
          <w:rFonts w:cs="Calibri"/>
          <w:vertAlign w:val="superscript"/>
        </w:rPr>
        <w:t>®</w:t>
      </w:r>
      <w:r w:rsidRPr="001D3234">
        <w:t>) was already listed on the PBS only for treatment-experienced patients and</w:t>
      </w:r>
      <w:r w:rsidR="00FC56F8" w:rsidRPr="001D3234">
        <w:t xml:space="preserve"> considered it</w:t>
      </w:r>
      <w:r w:rsidRPr="001D3234">
        <w:t xml:space="preserve"> may have already absorbed a portion of the treatment</w:t>
      </w:r>
      <w:r w:rsidR="003E39FF" w:rsidRPr="001D3234">
        <w:t>-experienced market willing</w:t>
      </w:r>
      <w:r w:rsidRPr="001D3234">
        <w:t xml:space="preserve"> to switch to a 2DR.</w:t>
      </w:r>
    </w:p>
    <w:p w:rsidR="008B4AEE" w:rsidRPr="001D3234" w:rsidRDefault="007676E6" w:rsidP="00FB4283">
      <w:pPr>
        <w:numPr>
          <w:ilvl w:val="1"/>
          <w:numId w:val="1"/>
        </w:numPr>
        <w:spacing w:after="120"/>
      </w:pPr>
      <w:r w:rsidRPr="001D3234">
        <w:rPr>
          <w:rFonts w:asciiTheme="minorHAnsi" w:hAnsiTheme="minorHAnsi"/>
          <w:bCs/>
        </w:rPr>
        <w:t xml:space="preserve">Despite uncertainty with the likely eligible population and uptake, the PBAC noted that at the proposed price, even modest uptake would result in savings to the </w:t>
      </w:r>
      <w:r w:rsidR="00E5691F" w:rsidRPr="001D3234">
        <w:rPr>
          <w:rFonts w:asciiTheme="minorHAnsi" w:hAnsiTheme="minorHAnsi"/>
          <w:bCs/>
        </w:rPr>
        <w:t>PBS,</w:t>
      </w:r>
      <w:r w:rsidRPr="001D3234">
        <w:rPr>
          <w:rFonts w:asciiTheme="minorHAnsi" w:hAnsiTheme="minorHAnsi"/>
          <w:bCs/>
        </w:rPr>
        <w:t xml:space="preserve"> as </w:t>
      </w:r>
      <w:r w:rsidR="00E5691F" w:rsidRPr="001D3234">
        <w:rPr>
          <w:rFonts w:asciiTheme="minorHAnsi" w:hAnsiTheme="minorHAnsi"/>
          <w:bCs/>
        </w:rPr>
        <w:t>it would replace</w:t>
      </w:r>
      <w:r w:rsidRPr="001D3234">
        <w:rPr>
          <w:rFonts w:asciiTheme="minorHAnsi" w:hAnsiTheme="minorHAnsi"/>
          <w:bCs/>
        </w:rPr>
        <w:t xml:space="preserve"> </w:t>
      </w:r>
      <w:r w:rsidR="00E5691F" w:rsidRPr="001D3234">
        <w:rPr>
          <w:rFonts w:asciiTheme="minorHAnsi" w:hAnsiTheme="minorHAnsi"/>
          <w:bCs/>
        </w:rPr>
        <w:t>therapies that are more expensive</w:t>
      </w:r>
      <w:r w:rsidRPr="001D3234">
        <w:rPr>
          <w:rFonts w:asciiTheme="minorHAnsi" w:hAnsiTheme="minorHAnsi"/>
          <w:bCs/>
        </w:rPr>
        <w:t xml:space="preserve">. </w:t>
      </w:r>
    </w:p>
    <w:p w:rsidR="008B4AEE" w:rsidRPr="001D3234" w:rsidRDefault="007B362E" w:rsidP="00FB4283">
      <w:pPr>
        <w:numPr>
          <w:ilvl w:val="1"/>
          <w:numId w:val="1"/>
        </w:numPr>
        <w:spacing w:after="120"/>
        <w:rPr>
          <w:rFonts w:asciiTheme="minorHAnsi" w:hAnsiTheme="minorHAnsi"/>
          <w:bCs/>
        </w:rPr>
      </w:pPr>
      <w:r w:rsidRPr="001D3234">
        <w:rPr>
          <w:rFonts w:asciiTheme="minorHAnsi" w:hAnsiTheme="minorHAnsi"/>
          <w:bCs/>
        </w:rPr>
        <w:t>The PBAC agreed it would finalise its advice on whether or not to recommend Dovato at its next available opportunity following provision of the ACM advice</w:t>
      </w:r>
      <w:r w:rsidR="00FC56F8" w:rsidRPr="001D3234">
        <w:rPr>
          <w:rFonts w:asciiTheme="minorHAnsi" w:hAnsiTheme="minorHAnsi"/>
          <w:bCs/>
        </w:rPr>
        <w:t xml:space="preserve"> and Delegate’s decision (if required)</w:t>
      </w:r>
      <w:r w:rsidRPr="001D3234">
        <w:rPr>
          <w:rFonts w:asciiTheme="minorHAnsi" w:hAnsiTheme="minorHAnsi"/>
          <w:bCs/>
        </w:rPr>
        <w:t xml:space="preserve"> and clarity on whether</w:t>
      </w:r>
      <w:r w:rsidR="00E5691F" w:rsidRPr="001D3234">
        <w:rPr>
          <w:rFonts w:asciiTheme="minorHAnsi" w:hAnsiTheme="minorHAnsi"/>
          <w:bCs/>
        </w:rPr>
        <w:t xml:space="preserve"> the TGA will approve</w:t>
      </w:r>
      <w:r w:rsidRPr="001D3234">
        <w:rPr>
          <w:rFonts w:asciiTheme="minorHAnsi" w:hAnsiTheme="minorHAnsi"/>
          <w:bCs/>
        </w:rPr>
        <w:t xml:space="preserve"> use in</w:t>
      </w:r>
      <w:r w:rsidR="00E5691F" w:rsidRPr="001D3234">
        <w:rPr>
          <w:rFonts w:asciiTheme="minorHAnsi" w:hAnsiTheme="minorHAnsi"/>
          <w:bCs/>
        </w:rPr>
        <w:t xml:space="preserve"> treatment-experienced patients.</w:t>
      </w:r>
    </w:p>
    <w:p w:rsidR="00E84611" w:rsidRPr="00C64515" w:rsidRDefault="007B362E" w:rsidP="00C64515">
      <w:pPr>
        <w:numPr>
          <w:ilvl w:val="1"/>
          <w:numId w:val="1"/>
        </w:numPr>
        <w:spacing w:after="120"/>
        <w:rPr>
          <w:rFonts w:asciiTheme="minorHAnsi" w:hAnsiTheme="minorHAnsi"/>
          <w:bCs/>
        </w:rPr>
      </w:pPr>
      <w:r w:rsidRPr="001D3234">
        <w:rPr>
          <w:rFonts w:asciiTheme="minorHAnsi" w:hAnsiTheme="minorHAnsi"/>
          <w:bCs/>
        </w:rPr>
        <w:t xml:space="preserve">The PBAC noted it has previously advised that single tablet </w:t>
      </w:r>
      <w:r w:rsidR="00FC56F8" w:rsidRPr="001D3234">
        <w:rPr>
          <w:rFonts w:asciiTheme="minorHAnsi" w:hAnsiTheme="minorHAnsi"/>
          <w:bCs/>
        </w:rPr>
        <w:t xml:space="preserve">FDCs for HIV infection </w:t>
      </w:r>
      <w:r w:rsidR="008B4AEE" w:rsidRPr="001D3234">
        <w:rPr>
          <w:rFonts w:asciiTheme="minorHAnsi" w:hAnsiTheme="minorHAnsi"/>
          <w:bCs/>
        </w:rPr>
        <w:lastRenderedPageBreak/>
        <w:t>should not be treated as inter</w:t>
      </w:r>
      <w:r w:rsidRPr="001D3234">
        <w:rPr>
          <w:rFonts w:asciiTheme="minorHAnsi" w:hAnsiTheme="minorHAnsi"/>
          <w:bCs/>
        </w:rPr>
        <w:t>changeable with any other drugs and agreed</w:t>
      </w:r>
      <w:r w:rsidR="00E84611" w:rsidRPr="001D3234">
        <w:rPr>
          <w:rFonts w:asciiTheme="minorHAnsi" w:hAnsiTheme="minorHAnsi"/>
          <w:bCs/>
        </w:rPr>
        <w:t xml:space="preserve"> in principle</w:t>
      </w:r>
      <w:r w:rsidRPr="001D3234">
        <w:rPr>
          <w:rFonts w:asciiTheme="minorHAnsi" w:hAnsiTheme="minorHAnsi"/>
          <w:bCs/>
        </w:rPr>
        <w:t xml:space="preserve"> this should apply to Dovato </w:t>
      </w:r>
      <w:r w:rsidR="00E84611" w:rsidRPr="001D3234">
        <w:rPr>
          <w:rFonts w:asciiTheme="minorHAnsi" w:hAnsiTheme="minorHAnsi"/>
          <w:bCs/>
        </w:rPr>
        <w:t>if</w:t>
      </w:r>
      <w:r w:rsidRPr="001D3234">
        <w:rPr>
          <w:rFonts w:asciiTheme="minorHAnsi" w:hAnsiTheme="minorHAnsi"/>
          <w:bCs/>
        </w:rPr>
        <w:t xml:space="preserve"> recommended.</w:t>
      </w:r>
    </w:p>
    <w:p w:rsidR="008B4AEE" w:rsidRPr="001D3234" w:rsidRDefault="008B4AEE" w:rsidP="00FB4283">
      <w:pPr>
        <w:numPr>
          <w:ilvl w:val="1"/>
          <w:numId w:val="1"/>
        </w:numPr>
        <w:spacing w:after="120"/>
        <w:rPr>
          <w:rFonts w:asciiTheme="minorHAnsi" w:hAnsiTheme="minorHAnsi"/>
          <w:bCs/>
        </w:rPr>
      </w:pPr>
      <w:r w:rsidRPr="001D3234">
        <w:rPr>
          <w:rFonts w:asciiTheme="minorHAnsi" w:hAnsiTheme="minorHAnsi"/>
          <w:bCs/>
        </w:rPr>
        <w:t>The PBAC advised</w:t>
      </w:r>
      <w:r w:rsidR="00E84611" w:rsidRPr="001D3234">
        <w:rPr>
          <w:rFonts w:asciiTheme="minorHAnsi" w:hAnsiTheme="minorHAnsi"/>
          <w:bCs/>
        </w:rPr>
        <w:t xml:space="preserve"> in principle that Dovato</w:t>
      </w:r>
      <w:r w:rsidRPr="001D3234">
        <w:rPr>
          <w:rFonts w:asciiTheme="minorHAnsi" w:hAnsiTheme="minorHAnsi"/>
          <w:bCs/>
        </w:rPr>
        <w:t xml:space="preserve"> is not suitable for prescribing by nurse practitioners</w:t>
      </w:r>
      <w:r w:rsidR="007B362E" w:rsidRPr="001D3234">
        <w:rPr>
          <w:rFonts w:asciiTheme="minorHAnsi" w:hAnsiTheme="minorHAnsi"/>
          <w:bCs/>
        </w:rPr>
        <w:t xml:space="preserve"> as prescribing items in the Section 100 is limited to medical practitioners</w:t>
      </w:r>
      <w:r w:rsidR="001D3234">
        <w:rPr>
          <w:rFonts w:asciiTheme="minorHAnsi" w:hAnsiTheme="minorHAnsi"/>
          <w:bCs/>
        </w:rPr>
        <w:t xml:space="preserve">. </w:t>
      </w:r>
    </w:p>
    <w:p w:rsidR="00A5679C" w:rsidRPr="001D3234" w:rsidRDefault="008B4AEE" w:rsidP="00A5679C">
      <w:pPr>
        <w:numPr>
          <w:ilvl w:val="1"/>
          <w:numId w:val="1"/>
        </w:numPr>
        <w:spacing w:after="120"/>
        <w:rPr>
          <w:rFonts w:asciiTheme="minorHAnsi" w:hAnsiTheme="minorHAnsi"/>
          <w:bCs/>
        </w:rPr>
      </w:pPr>
      <w:r w:rsidRPr="001D3234">
        <w:rPr>
          <w:rFonts w:asciiTheme="minorHAnsi" w:hAnsiTheme="minorHAnsi"/>
          <w:bCs/>
        </w:rPr>
        <w:t>The PBAC</w:t>
      </w:r>
      <w:r w:rsidR="00E84611" w:rsidRPr="001D3234">
        <w:rPr>
          <w:rFonts w:asciiTheme="minorHAnsi" w:hAnsiTheme="minorHAnsi"/>
          <w:bCs/>
        </w:rPr>
        <w:t xml:space="preserve"> advised in principle</w:t>
      </w:r>
      <w:r w:rsidRPr="001D3234">
        <w:rPr>
          <w:rFonts w:asciiTheme="minorHAnsi" w:hAnsiTheme="minorHAnsi"/>
          <w:bCs/>
        </w:rPr>
        <w:t xml:space="preserve"> the Ear</w:t>
      </w:r>
      <w:r w:rsidR="0010049B" w:rsidRPr="001D3234">
        <w:rPr>
          <w:rFonts w:asciiTheme="minorHAnsi" w:hAnsiTheme="minorHAnsi"/>
          <w:bCs/>
        </w:rPr>
        <w:t>ly Supply Rule should</w:t>
      </w:r>
      <w:r w:rsidRPr="001D3234">
        <w:rPr>
          <w:rFonts w:asciiTheme="minorHAnsi" w:hAnsiTheme="minorHAnsi"/>
          <w:bCs/>
        </w:rPr>
        <w:t xml:space="preserve"> apply</w:t>
      </w:r>
      <w:r w:rsidR="0010049B" w:rsidRPr="001D3234">
        <w:rPr>
          <w:rFonts w:asciiTheme="minorHAnsi" w:hAnsiTheme="minorHAnsi"/>
          <w:bCs/>
        </w:rPr>
        <w:t>, similar to other PBS listings for HIV therapies</w:t>
      </w:r>
      <w:r w:rsidRPr="001D3234">
        <w:rPr>
          <w:rFonts w:asciiTheme="minorHAnsi" w:hAnsiTheme="minorHAnsi"/>
          <w:bCs/>
        </w:rPr>
        <w:t xml:space="preserve">. </w:t>
      </w:r>
    </w:p>
    <w:p w:rsidR="008B4AEE" w:rsidRPr="001D3234" w:rsidRDefault="008B4AEE" w:rsidP="00FB4283">
      <w:pPr>
        <w:numPr>
          <w:ilvl w:val="1"/>
          <w:numId w:val="1"/>
        </w:numPr>
        <w:spacing w:after="120"/>
        <w:rPr>
          <w:rFonts w:asciiTheme="minorHAnsi" w:hAnsiTheme="minorHAnsi"/>
          <w:bCs/>
        </w:rPr>
      </w:pPr>
      <w:r w:rsidRPr="001D3234">
        <w:rPr>
          <w:rFonts w:asciiTheme="minorHAnsi" w:hAnsiTheme="minorHAnsi"/>
          <w:bCs/>
        </w:rPr>
        <w:t xml:space="preserve">The PBAC noted the </w:t>
      </w:r>
      <w:r w:rsidR="00E84611" w:rsidRPr="001D3234">
        <w:rPr>
          <w:rFonts w:asciiTheme="minorHAnsi" w:hAnsiTheme="minorHAnsi"/>
          <w:bCs/>
        </w:rPr>
        <w:t>recommended</w:t>
      </w:r>
      <w:r w:rsidRPr="001D3234">
        <w:rPr>
          <w:rFonts w:asciiTheme="minorHAnsi" w:hAnsiTheme="minorHAnsi"/>
          <w:bCs/>
        </w:rPr>
        <w:t xml:space="preserve"> </w:t>
      </w:r>
      <w:r w:rsidR="007B362E" w:rsidRPr="001D3234">
        <w:rPr>
          <w:rFonts w:asciiTheme="minorHAnsi" w:hAnsiTheme="minorHAnsi"/>
          <w:bCs/>
        </w:rPr>
        <w:t>restriction changes to remove age and weig</w:t>
      </w:r>
      <w:r w:rsidR="0010049B" w:rsidRPr="001D3234">
        <w:rPr>
          <w:rFonts w:asciiTheme="minorHAnsi" w:hAnsiTheme="minorHAnsi"/>
          <w:bCs/>
        </w:rPr>
        <w:t>ht population criteria from</w:t>
      </w:r>
      <w:r w:rsidR="00FC56F8" w:rsidRPr="001D3234">
        <w:rPr>
          <w:rFonts w:asciiTheme="minorHAnsi" w:hAnsiTheme="minorHAnsi"/>
          <w:bCs/>
        </w:rPr>
        <w:t xml:space="preserve"> the</w:t>
      </w:r>
      <w:r w:rsidR="007B362E" w:rsidRPr="001D3234">
        <w:rPr>
          <w:rFonts w:asciiTheme="minorHAnsi" w:hAnsiTheme="minorHAnsi"/>
          <w:bCs/>
        </w:rPr>
        <w:t xml:space="preserve"> Triumeq</w:t>
      </w:r>
      <w:r w:rsidR="00FC56F8" w:rsidRPr="001D3234">
        <w:rPr>
          <w:rFonts w:asciiTheme="minorHAnsi" w:hAnsiTheme="minorHAnsi"/>
          <w:bCs/>
        </w:rPr>
        <w:t xml:space="preserve"> listings</w:t>
      </w:r>
      <w:r w:rsidR="0010049B" w:rsidRPr="001D3234">
        <w:rPr>
          <w:rFonts w:asciiTheme="minorHAnsi" w:hAnsiTheme="minorHAnsi"/>
          <w:bCs/>
        </w:rPr>
        <w:t xml:space="preserve"> </w:t>
      </w:r>
      <w:r w:rsidR="00E84611" w:rsidRPr="001D3234">
        <w:rPr>
          <w:rFonts w:asciiTheme="minorHAnsi" w:hAnsiTheme="minorHAnsi"/>
          <w:bCs/>
        </w:rPr>
        <w:t>(</w:t>
      </w:r>
      <w:r w:rsidR="0010049B" w:rsidRPr="001D3234">
        <w:rPr>
          <w:rFonts w:asciiTheme="minorHAnsi" w:hAnsiTheme="minorHAnsi"/>
          <w:bCs/>
        </w:rPr>
        <w:t>item 10345L</w:t>
      </w:r>
      <w:r w:rsidR="007B362E" w:rsidRPr="001D3234">
        <w:rPr>
          <w:rFonts w:asciiTheme="minorHAnsi" w:hAnsiTheme="minorHAnsi"/>
          <w:bCs/>
        </w:rPr>
        <w:t>)</w:t>
      </w:r>
      <w:r w:rsidRPr="001D3234">
        <w:rPr>
          <w:rFonts w:asciiTheme="minorHAnsi" w:hAnsiTheme="minorHAnsi"/>
          <w:bCs/>
        </w:rPr>
        <w:t>.</w:t>
      </w:r>
      <w:r w:rsidR="007B362E" w:rsidRPr="001D3234">
        <w:rPr>
          <w:rFonts w:asciiTheme="minorHAnsi" w:hAnsiTheme="minorHAnsi"/>
          <w:bCs/>
        </w:rPr>
        <w:t xml:space="preserve"> The PBAC advised this change could occur</w:t>
      </w:r>
      <w:r w:rsidR="0010049B" w:rsidRPr="001D3234">
        <w:rPr>
          <w:rFonts w:asciiTheme="minorHAnsi" w:hAnsiTheme="minorHAnsi"/>
          <w:bCs/>
        </w:rPr>
        <w:t xml:space="preserve"> independently of</w:t>
      </w:r>
      <w:r w:rsidRPr="001D3234">
        <w:rPr>
          <w:rFonts w:asciiTheme="minorHAnsi" w:hAnsiTheme="minorHAnsi"/>
          <w:bCs/>
        </w:rPr>
        <w:t xml:space="preserve"> </w:t>
      </w:r>
      <w:r w:rsidR="007B362E" w:rsidRPr="001D3234">
        <w:rPr>
          <w:rFonts w:asciiTheme="minorHAnsi" w:hAnsiTheme="minorHAnsi"/>
          <w:bCs/>
        </w:rPr>
        <w:t>a recommendation for Dovato</w:t>
      </w:r>
      <w:r w:rsidR="0010049B" w:rsidRPr="001D3234">
        <w:rPr>
          <w:rFonts w:asciiTheme="minorHAnsi" w:hAnsiTheme="minorHAnsi"/>
          <w:bCs/>
        </w:rPr>
        <w:t>.</w:t>
      </w:r>
    </w:p>
    <w:p w:rsidR="008B4AEE" w:rsidRPr="001D3234" w:rsidRDefault="0010049B" w:rsidP="0010049B">
      <w:pPr>
        <w:spacing w:before="240"/>
        <w:outlineLvl w:val="1"/>
        <w:rPr>
          <w:rFonts w:asciiTheme="minorHAnsi" w:hAnsiTheme="minorHAnsi"/>
          <w:b/>
          <w:bCs/>
        </w:rPr>
      </w:pPr>
      <w:r w:rsidRPr="001D3234">
        <w:rPr>
          <w:rFonts w:asciiTheme="minorHAnsi" w:hAnsiTheme="minorHAnsi"/>
          <w:b/>
          <w:bCs/>
        </w:rPr>
        <w:t xml:space="preserve">Outcome: </w:t>
      </w:r>
      <w:r w:rsidRPr="001D3234">
        <w:rPr>
          <w:rFonts w:asciiTheme="minorHAnsi" w:hAnsiTheme="minorHAnsi"/>
          <w:b/>
          <w:bCs/>
        </w:rPr>
        <w:br/>
      </w:r>
      <w:r w:rsidRPr="001D3234">
        <w:rPr>
          <w:rFonts w:asciiTheme="minorHAnsi" w:hAnsiTheme="minorHAnsi"/>
          <w:bCs/>
        </w:rPr>
        <w:t>Deferred</w:t>
      </w:r>
    </w:p>
    <w:p w:rsidR="008B4AEE" w:rsidRPr="001D3234" w:rsidRDefault="00493E59" w:rsidP="00F10D20">
      <w:pPr>
        <w:numPr>
          <w:ilvl w:val="0"/>
          <w:numId w:val="1"/>
        </w:numPr>
        <w:spacing w:before="240" w:after="120"/>
        <w:outlineLvl w:val="0"/>
        <w:rPr>
          <w:rFonts w:asciiTheme="minorHAnsi" w:hAnsiTheme="minorHAnsi"/>
          <w:b/>
          <w:bCs/>
          <w:i/>
          <w:sz w:val="32"/>
        </w:rPr>
      </w:pPr>
      <w:r w:rsidRPr="001D3234">
        <w:rPr>
          <w:rFonts w:asciiTheme="minorHAnsi" w:hAnsiTheme="minorHAnsi"/>
          <w:b/>
          <w:bCs/>
          <w:sz w:val="32"/>
        </w:rPr>
        <w:t>Changes to other listings</w:t>
      </w:r>
    </w:p>
    <w:p w:rsidR="008B4AEE" w:rsidRPr="001D3234" w:rsidRDefault="00493E59" w:rsidP="00493E59">
      <w:pPr>
        <w:numPr>
          <w:ilvl w:val="1"/>
          <w:numId w:val="1"/>
        </w:numPr>
        <w:spacing w:after="120"/>
        <w:rPr>
          <w:rFonts w:asciiTheme="minorHAnsi" w:hAnsiTheme="minorHAnsi"/>
          <w:bCs/>
        </w:rPr>
      </w:pPr>
      <w:r w:rsidRPr="001D3234">
        <w:rPr>
          <w:rFonts w:asciiTheme="minorHAnsi" w:hAnsiTheme="minorHAnsi"/>
          <w:bCs/>
        </w:rPr>
        <w:t>Remove age and weight restrictions from 10345L – abacavir/lamivudine/dolutegravir (Triumeq®).</w:t>
      </w:r>
    </w:p>
    <w:bookmarkEnd w:id="0"/>
    <w:bookmarkEnd w:id="1"/>
    <w:bookmarkEnd w:id="2"/>
    <w:bookmarkEnd w:id="3"/>
    <w:bookmarkEnd w:id="4"/>
    <w:p w:rsidR="00A030AF" w:rsidRDefault="00A030AF" w:rsidP="001A0D42">
      <w:pPr>
        <w:pStyle w:val="PBACHeading1"/>
        <w:spacing w:before="240" w:after="120"/>
      </w:pPr>
      <w:r>
        <w:t>Context for Decision</w:t>
      </w:r>
    </w:p>
    <w:p w:rsidR="00A030AF" w:rsidRDefault="00A030AF" w:rsidP="00DF62CD">
      <w:pPr>
        <w:ind w:left="709"/>
      </w:pPr>
      <w:r w:rsidRPr="00A030A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030AF" w:rsidRDefault="00A030AF" w:rsidP="001A0D42">
      <w:pPr>
        <w:pStyle w:val="PBACHeading1"/>
        <w:spacing w:before="240" w:after="120"/>
      </w:pPr>
      <w:r>
        <w:t>Sponsor’s Comment</w:t>
      </w:r>
    </w:p>
    <w:p w:rsidR="00A030AF" w:rsidRDefault="00A030AF" w:rsidP="00DF62CD">
      <w:pPr>
        <w:ind w:left="709"/>
        <w:rPr>
          <w:rFonts w:asciiTheme="minorHAnsi" w:hAnsiTheme="minorHAnsi"/>
          <w:bCs/>
        </w:rPr>
      </w:pPr>
      <w:r w:rsidRPr="00C07617">
        <w:rPr>
          <w:rFonts w:asciiTheme="minorHAnsi" w:hAnsiTheme="minorHAnsi"/>
          <w:bCs/>
        </w:rPr>
        <w:t>The sponsor had no comment.</w:t>
      </w:r>
    </w:p>
    <w:p w:rsidR="0010584F" w:rsidRDefault="0010584F" w:rsidP="00DF62CD">
      <w:pPr>
        <w:ind w:left="709"/>
        <w:rPr>
          <w:rFonts w:asciiTheme="minorHAnsi" w:hAnsiTheme="minorHAnsi"/>
          <w:bCs/>
        </w:rPr>
      </w:pPr>
    </w:p>
    <w:p w:rsidR="00C40EB5" w:rsidRPr="00C40EB5" w:rsidRDefault="00C40EB5" w:rsidP="00C40EB5">
      <w:pPr>
        <w:widowControl/>
        <w:spacing w:before="120" w:after="160"/>
        <w:outlineLvl w:val="0"/>
        <w:rPr>
          <w:rFonts w:eastAsia="Calibri"/>
          <w:b/>
          <w:sz w:val="32"/>
          <w:szCs w:val="28"/>
        </w:rPr>
      </w:pPr>
      <w:r w:rsidRPr="0042586C">
        <w:rPr>
          <w:rFonts w:eastAsia="Calibri"/>
          <w:b/>
          <w:sz w:val="32"/>
          <w:szCs w:val="28"/>
        </w:rPr>
        <w:t>A</w:t>
      </w:r>
      <w:r w:rsidR="00564C83">
        <w:rPr>
          <w:rFonts w:eastAsia="Calibri"/>
          <w:b/>
          <w:sz w:val="32"/>
          <w:szCs w:val="28"/>
        </w:rPr>
        <w:t>ugust 2019 a</w:t>
      </w:r>
      <w:r w:rsidRPr="0042586C">
        <w:rPr>
          <w:rFonts w:eastAsia="Calibri"/>
          <w:b/>
          <w:sz w:val="32"/>
          <w:szCs w:val="28"/>
        </w:rPr>
        <w:t>ddendum to the July 2019 PBAC Minutes:</w:t>
      </w:r>
    </w:p>
    <w:p w:rsidR="00C40EB5" w:rsidRPr="00DA6996" w:rsidRDefault="00C40EB5" w:rsidP="00C40EB5">
      <w:pPr>
        <w:pStyle w:val="PBACHeading1"/>
        <w:keepNext/>
        <w:spacing w:after="120"/>
      </w:pPr>
      <w:r w:rsidRPr="00DA6996">
        <w:t>Purpose of Application</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At its July 2019 meeting, the PBAC deferred making a recommendation for the Section 100 (Highly Specialised Drugs Program - Community Access) listing of dolutegravir (DTG) with lamivudine (3TC) (Dovato</w:t>
      </w:r>
      <w:r w:rsidRPr="00DA6996">
        <w:rPr>
          <w:rFonts w:asciiTheme="minorHAnsi" w:hAnsiTheme="minorHAnsi" w:cstheme="minorHAnsi"/>
          <w:bCs/>
          <w:vertAlign w:val="superscript"/>
        </w:rPr>
        <w:t>®</w:t>
      </w:r>
      <w:r w:rsidRPr="00DA6996">
        <w:rPr>
          <w:rFonts w:asciiTheme="minorHAnsi" w:hAnsiTheme="minorHAnsi"/>
          <w:bCs/>
        </w:rPr>
        <w:t>) fixed dose combination (FDC) for the treatment of HIV infection as it was unclear if the TGA registration will permit use in treatment-experienced patients. For treatment-naïve patients, the PBAC was of a mind to recommend Dovato, however agreed it was appropriate to await further clarity on the likely TGA outcome prior to making a recommendation for the PBS.</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lastRenderedPageBreak/>
        <w:t>The sponsor provided a ratified resolution from the ACM on 16 August 2019; the ACM was of the view that registration should not include the treatment-experienced population at this time</w:t>
      </w:r>
      <w:r>
        <w:rPr>
          <w:rFonts w:asciiTheme="minorHAnsi" w:hAnsiTheme="minorHAnsi"/>
          <w:bCs/>
        </w:rPr>
        <w:t xml:space="preserve">. </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On 15 August 2019 the TGA Delegate outlined their intention to align the PI with the advice from the ACM regarding the indication, and that the TGA registered indication will not include treatment experienced patients.</w:t>
      </w:r>
    </w:p>
    <w:p w:rsidR="00C40EB5" w:rsidRPr="00DA6996" w:rsidRDefault="00C40EB5" w:rsidP="00C40EB5">
      <w:pPr>
        <w:pStyle w:val="PBACHeading1"/>
        <w:keepNext/>
        <w:spacing w:after="120"/>
      </w:pPr>
      <w:r w:rsidRPr="00DA6996">
        <w:t>Background</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TGA Delegate advised that registration of Dovato is expected prior to the end of August 2019 with the following registered indication “</w:t>
      </w:r>
      <w:r w:rsidRPr="00DA6996">
        <w:rPr>
          <w:i/>
          <w:iCs/>
        </w:rPr>
        <w:t>DOVATO (dolutegravir/lamivudine) is indicated for the treatment of Human Immunodeficiency Virus-1 (HIV-1) infection in treatment-naïve adults and adolescents from 12 years of age weighing at least 40 kg, who have a baseline viral load &lt;500 000 copies/mL and no suspected resistance to either antiretroviral component”.</w:t>
      </w:r>
    </w:p>
    <w:p w:rsidR="00C40EB5" w:rsidRPr="00DA6996" w:rsidRDefault="00C40EB5" w:rsidP="00C40EB5">
      <w:pPr>
        <w:pStyle w:val="PBACHeading1"/>
        <w:keepNext/>
        <w:spacing w:after="120"/>
      </w:pPr>
      <w:r w:rsidRPr="00DA6996">
        <w:t>PBAC Outcome</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PBAC recommended the Authority Required (STREAMLINED) Section 100 (Highly Specialised Drugs Program (HSD) – Community Access) listing of the combination drug dolutegravir with lamivudine for the treatment of HIV in treatment-naïve patients</w:t>
      </w:r>
      <w:r w:rsidRPr="00DA6996">
        <w:t xml:space="preserve"> </w:t>
      </w:r>
      <w:r w:rsidRPr="00DA6996">
        <w:rPr>
          <w:rFonts w:asciiTheme="minorHAnsi" w:hAnsiTheme="minorHAnsi"/>
          <w:bCs/>
        </w:rPr>
        <w:t xml:space="preserve">who have a baseline viral load &lt;500,000 copies/ml and no suspected resistance to either antiretroviral component. </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PBAC recommended a grandfather restriction for patients to transition from concomitant DTG/3TC to the FDC and for any patients who may be accessing Dovato via a trial or access program. Patients must have been antiretroviral treatment naïve prior to commencement and still currently on this regimen.</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PBAC did not recommend listing of DTG + 3TC for treatment experienced patients. The PBAC advised that it will not consider other indications until such time as the TGA registration is amended to include such indications</w:t>
      </w:r>
      <w:r>
        <w:rPr>
          <w:rFonts w:asciiTheme="minorHAnsi" w:hAnsiTheme="minorHAnsi"/>
          <w:bCs/>
        </w:rPr>
        <w:t xml:space="preserve">. </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PBAC’s recommendation for listing was based on, among other matters, its assessment, as described above, that the cost-effectiveness of Dovato would be acceptable if it were cost-minimised against the individual components of the FDC (DTG and 3TC).</w:t>
      </w:r>
    </w:p>
    <w:p w:rsidR="00C40EB5" w:rsidRPr="00DA6996" w:rsidRDefault="00C40EB5" w:rsidP="00C40EB5">
      <w:pPr>
        <w:pStyle w:val="ListParagraph"/>
        <w:widowControl/>
        <w:numPr>
          <w:ilvl w:val="1"/>
          <w:numId w:val="1"/>
        </w:numPr>
        <w:spacing w:after="120"/>
        <w:rPr>
          <w:rFonts w:asciiTheme="minorHAnsi" w:hAnsiTheme="minorHAnsi"/>
          <w:bCs/>
        </w:rPr>
      </w:pPr>
      <w:r w:rsidRPr="00DA6996">
        <w:rPr>
          <w:rFonts w:asciiTheme="minorHAnsi" w:hAnsiTheme="minorHAnsi"/>
          <w:bCs/>
        </w:rPr>
        <w:t>The equi-effective doses are one tablet of</w:t>
      </w:r>
      <w:r w:rsidRPr="00DA6996">
        <w:t xml:space="preserve"> Dovato (DTG/3TC (50mg/300mg)) once daily and one tablet each of DTG 50mg and 3TC 300mg once daily. </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PBAC recalled that at the July 2019 meeting it had agreed the price proposal based on the cost of components at the approved ex-manufacturer price was reasonable and Dovato represented a new least costly FDC for HIV infection (based on prices at time of consideration). The PBAC also recalled that at the proposed price, Dovato would be less costly than a regimen of DTG + Truvada at time of consideration.</w:t>
      </w:r>
    </w:p>
    <w:p w:rsidR="00C40EB5" w:rsidRPr="00DA6996" w:rsidRDefault="00C40EB5" w:rsidP="00C40EB5">
      <w:pPr>
        <w:widowControl/>
        <w:numPr>
          <w:ilvl w:val="1"/>
          <w:numId w:val="1"/>
        </w:numPr>
        <w:spacing w:after="120"/>
      </w:pPr>
      <w:r w:rsidRPr="00DA6996">
        <w:lastRenderedPageBreak/>
        <w:t>The PBAC recalled that at the July 2019 meeting it considered the utilisation estimates, including for treatment naïve patients, to be uncertain for a number of reasons (see paragraph 7.9). However, the PBAC recalled that at the proposed price even modest uptake would result in savings to the PBS.</w:t>
      </w:r>
    </w:p>
    <w:p w:rsidR="00C40EB5" w:rsidRPr="00DA6996" w:rsidRDefault="00C40EB5" w:rsidP="00C40EB5">
      <w:pPr>
        <w:widowControl/>
        <w:numPr>
          <w:ilvl w:val="1"/>
          <w:numId w:val="1"/>
        </w:numPr>
        <w:snapToGrid w:val="0"/>
        <w:spacing w:after="120"/>
        <w:rPr>
          <w:rFonts w:cs="Calibri"/>
          <w:snapToGrid/>
          <w:sz w:val="22"/>
        </w:rPr>
      </w:pPr>
      <w:r w:rsidRPr="00DA6996">
        <w:t xml:space="preserve">The PBAC noted that its recommendation was on a cost-minimisation basis and advised that, because Dovato is not expected to provide a substantial and clinically relevant improvement in efficacy, or reduction of toxicity, over its component products taken concomitantly, or not expected to address a high and urgent unmet clinical need given the presence of an alternative therapy, the criteria prescribed by the </w:t>
      </w:r>
      <w:r w:rsidRPr="00DA6996">
        <w:rPr>
          <w:i/>
          <w:iCs/>
        </w:rPr>
        <w:t>National Health (Pharmaceuticals and Vaccines – Cost Recovery) Regulations 2009</w:t>
      </w:r>
      <w:r w:rsidRPr="00DA6996">
        <w:t xml:space="preserve"> for Pricing Pathway A were not met.</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PBAC noted it previously advised that single tablet FDCs for HIV infection should not be treated as interchangeable with any other drugs and that this should apply to Dovato.</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The PBAC advised that Dovato is not suitable for prescribing by nurse practitioners.</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 xml:space="preserve">The PBAC advised the Early Supply Rule should apply, similar to other PBS listings for HIV therapies. </w:t>
      </w:r>
    </w:p>
    <w:p w:rsidR="00C40EB5" w:rsidRPr="00DA6996" w:rsidRDefault="00C40EB5" w:rsidP="00C40EB5">
      <w:pPr>
        <w:widowControl/>
        <w:numPr>
          <w:ilvl w:val="1"/>
          <w:numId w:val="1"/>
        </w:numPr>
        <w:spacing w:after="120"/>
        <w:rPr>
          <w:rFonts w:asciiTheme="minorHAnsi" w:hAnsiTheme="minorHAnsi"/>
          <w:bCs/>
        </w:rPr>
      </w:pPr>
      <w:r w:rsidRPr="00DA6996">
        <w:rPr>
          <w:rFonts w:asciiTheme="minorHAnsi" w:hAnsiTheme="minorHAnsi"/>
          <w:bCs/>
        </w:rPr>
        <w:t xml:space="preserve">The PBAC recalled that at the July 2019 meeting it had recommended restriction changes to remove age and weight population criteria from the Triumeq listings (item 10345L). </w:t>
      </w:r>
    </w:p>
    <w:p w:rsidR="00C40EB5" w:rsidRPr="004F64D3" w:rsidRDefault="00C40EB5" w:rsidP="00C40EB5">
      <w:pPr>
        <w:pStyle w:val="PBACHeading1"/>
        <w:numPr>
          <w:ilvl w:val="0"/>
          <w:numId w:val="0"/>
        </w:numPr>
        <w:rPr>
          <w:rFonts w:asciiTheme="minorHAnsi" w:hAnsiTheme="minorHAnsi"/>
          <w:bCs/>
          <w:sz w:val="24"/>
        </w:rPr>
      </w:pPr>
      <w:r w:rsidRPr="004F64D3">
        <w:rPr>
          <w:rFonts w:asciiTheme="minorHAnsi" w:hAnsiTheme="minorHAnsi"/>
          <w:bCs/>
          <w:sz w:val="24"/>
        </w:rPr>
        <w:t>Outcome:</w:t>
      </w:r>
    </w:p>
    <w:p w:rsidR="00C40EB5" w:rsidRPr="00DA6996" w:rsidRDefault="00C40EB5" w:rsidP="004F64D3">
      <w:pPr>
        <w:widowControl/>
        <w:spacing w:after="120"/>
        <w:rPr>
          <w:b/>
        </w:rPr>
      </w:pPr>
      <w:r w:rsidRPr="00DA6996">
        <w:t>Recommended</w:t>
      </w:r>
    </w:p>
    <w:p w:rsidR="00C40EB5" w:rsidRPr="00DA6996" w:rsidRDefault="00C40EB5" w:rsidP="00C40EB5">
      <w:pPr>
        <w:widowControl/>
        <w:spacing w:after="120"/>
        <w:rPr>
          <w:rFonts w:asciiTheme="minorHAnsi" w:hAnsiTheme="minorHAnsi"/>
          <w:bCs/>
        </w:rPr>
      </w:pPr>
    </w:p>
    <w:p w:rsidR="00C40EB5" w:rsidRPr="004F64D3" w:rsidRDefault="00C40EB5" w:rsidP="00C40EB5">
      <w:pPr>
        <w:pStyle w:val="PBACHeading1"/>
        <w:keepNext/>
      </w:pPr>
      <w:r w:rsidRPr="00DA6996">
        <w:t>Recommended listing</w:t>
      </w:r>
    </w:p>
    <w:p w:rsidR="00C40EB5" w:rsidRPr="004F64D3" w:rsidRDefault="00C40EB5" w:rsidP="00C40EB5">
      <w:pPr>
        <w:widowControl/>
        <w:numPr>
          <w:ilvl w:val="1"/>
          <w:numId w:val="1"/>
        </w:numPr>
        <w:spacing w:after="120"/>
        <w:rPr>
          <w:rFonts w:asciiTheme="minorHAnsi" w:hAnsiTheme="minorHAnsi"/>
          <w:bCs/>
        </w:rPr>
      </w:pPr>
      <w:r w:rsidRPr="00DA6996">
        <w:rPr>
          <w:rFonts w:asciiTheme="minorHAnsi" w:hAnsiTheme="minorHAnsi"/>
          <w:bCs/>
        </w:rPr>
        <w:t>Add new item:</w:t>
      </w:r>
    </w:p>
    <w:tbl>
      <w:tblPr>
        <w:tblW w:w="9327"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680"/>
        <w:gridCol w:w="473"/>
        <w:gridCol w:w="974"/>
        <w:gridCol w:w="850"/>
        <w:gridCol w:w="1639"/>
        <w:gridCol w:w="2224"/>
        <w:gridCol w:w="219"/>
      </w:tblGrid>
      <w:tr w:rsidR="00C40EB5" w:rsidRPr="00DA6996" w:rsidTr="004F64D3">
        <w:trPr>
          <w:gridAfter w:val="1"/>
          <w:wAfter w:w="219" w:type="dxa"/>
        </w:trPr>
        <w:tc>
          <w:tcPr>
            <w:tcW w:w="2268" w:type="dxa"/>
            <w:tcBorders>
              <w:top w:val="nil"/>
            </w:tcBorders>
          </w:tcPr>
          <w:p w:rsidR="00C40EB5" w:rsidRPr="00DA6996" w:rsidRDefault="00C40EB5" w:rsidP="004F64D3">
            <w:pPr>
              <w:pStyle w:val="Tabletext"/>
              <w:rPr>
                <w:b/>
                <w:bCs/>
              </w:rPr>
            </w:pPr>
            <w:r w:rsidRPr="00DA6996">
              <w:rPr>
                <w:b/>
              </w:rPr>
              <w:t>Name, restriction, manner of administration, form</w:t>
            </w:r>
          </w:p>
        </w:tc>
        <w:tc>
          <w:tcPr>
            <w:tcW w:w="1153" w:type="dxa"/>
            <w:gridSpan w:val="2"/>
            <w:tcBorders>
              <w:top w:val="nil"/>
            </w:tcBorders>
          </w:tcPr>
          <w:p w:rsidR="00C40EB5" w:rsidRPr="00DA6996" w:rsidRDefault="00C40EB5" w:rsidP="004F64D3">
            <w:pPr>
              <w:pStyle w:val="Tabletext"/>
              <w:jc w:val="center"/>
              <w:rPr>
                <w:b/>
                <w:bCs/>
              </w:rPr>
            </w:pPr>
            <w:r w:rsidRPr="00DA6996">
              <w:rPr>
                <w:b/>
              </w:rPr>
              <w:t>Maximum quantity (packs)</w:t>
            </w:r>
          </w:p>
        </w:tc>
        <w:tc>
          <w:tcPr>
            <w:tcW w:w="974" w:type="dxa"/>
            <w:tcBorders>
              <w:top w:val="nil"/>
            </w:tcBorders>
          </w:tcPr>
          <w:p w:rsidR="00C40EB5" w:rsidRPr="00DA6996" w:rsidRDefault="00C40EB5" w:rsidP="004F64D3">
            <w:pPr>
              <w:pStyle w:val="Tabletext"/>
              <w:jc w:val="center"/>
              <w:rPr>
                <w:b/>
                <w:bCs/>
              </w:rPr>
            </w:pPr>
            <w:r w:rsidRPr="00DA6996">
              <w:rPr>
                <w:b/>
              </w:rPr>
              <w:t>Maximum quantity (units)</w:t>
            </w:r>
          </w:p>
        </w:tc>
        <w:tc>
          <w:tcPr>
            <w:tcW w:w="850" w:type="dxa"/>
            <w:tcBorders>
              <w:top w:val="nil"/>
            </w:tcBorders>
          </w:tcPr>
          <w:p w:rsidR="00C40EB5" w:rsidRPr="00DA6996" w:rsidRDefault="00C40EB5" w:rsidP="004F64D3">
            <w:pPr>
              <w:pStyle w:val="Tabletext"/>
              <w:rPr>
                <w:b/>
                <w:bCs/>
              </w:rPr>
            </w:pPr>
            <w:r w:rsidRPr="00DA6996">
              <w:rPr>
                <w:b/>
              </w:rPr>
              <w:t>No. of repeats</w:t>
            </w:r>
          </w:p>
        </w:tc>
        <w:tc>
          <w:tcPr>
            <w:tcW w:w="1639" w:type="dxa"/>
            <w:tcBorders>
              <w:top w:val="nil"/>
            </w:tcBorders>
          </w:tcPr>
          <w:p w:rsidR="00C40EB5" w:rsidRPr="00DA6996" w:rsidRDefault="00C40EB5" w:rsidP="004F64D3">
            <w:pPr>
              <w:pStyle w:val="Tabletext"/>
              <w:rPr>
                <w:b/>
                <w:bCs/>
              </w:rPr>
            </w:pPr>
            <w:r w:rsidRPr="00DA6996">
              <w:rPr>
                <w:b/>
              </w:rPr>
              <w:t>Proprietary name</w:t>
            </w:r>
          </w:p>
        </w:tc>
        <w:tc>
          <w:tcPr>
            <w:tcW w:w="2224" w:type="dxa"/>
            <w:tcBorders>
              <w:top w:val="nil"/>
            </w:tcBorders>
          </w:tcPr>
          <w:p w:rsidR="00C40EB5" w:rsidRPr="00DA6996" w:rsidRDefault="00C40EB5" w:rsidP="004F64D3">
            <w:pPr>
              <w:pStyle w:val="Tabletext"/>
              <w:rPr>
                <w:b/>
                <w:bCs/>
              </w:rPr>
            </w:pPr>
            <w:r w:rsidRPr="00DA6996">
              <w:rPr>
                <w:b/>
              </w:rPr>
              <w:t>Manufacturer</w:t>
            </w:r>
          </w:p>
        </w:tc>
      </w:tr>
      <w:tr w:rsidR="00C40EB5" w:rsidRPr="00DA6996" w:rsidTr="004F64D3">
        <w:trPr>
          <w:gridAfter w:val="1"/>
          <w:wAfter w:w="219" w:type="dxa"/>
          <w:trHeight w:val="845"/>
        </w:trPr>
        <w:tc>
          <w:tcPr>
            <w:tcW w:w="2268" w:type="dxa"/>
          </w:tcPr>
          <w:p w:rsidR="00C40EB5" w:rsidRPr="00DA6996" w:rsidRDefault="00C40EB5" w:rsidP="004F64D3">
            <w:pPr>
              <w:pStyle w:val="Tabletext"/>
            </w:pPr>
            <w:r w:rsidRPr="00DA6996">
              <w:t>Dolutegravir 50mg (as sodium) with lamivudine 300mg, tablets, 30</w:t>
            </w:r>
          </w:p>
        </w:tc>
        <w:tc>
          <w:tcPr>
            <w:tcW w:w="1153" w:type="dxa"/>
            <w:gridSpan w:val="2"/>
          </w:tcPr>
          <w:p w:rsidR="00C40EB5" w:rsidRPr="00DA6996" w:rsidRDefault="00C40EB5" w:rsidP="004F64D3">
            <w:pPr>
              <w:pStyle w:val="Tabletext"/>
              <w:jc w:val="center"/>
              <w:rPr>
                <w:rFonts w:ascii="Times" w:hAnsi="Times"/>
              </w:rPr>
            </w:pPr>
            <w:r w:rsidRPr="00DA6996">
              <w:t>2</w:t>
            </w:r>
          </w:p>
        </w:tc>
        <w:tc>
          <w:tcPr>
            <w:tcW w:w="974" w:type="dxa"/>
          </w:tcPr>
          <w:p w:rsidR="00C40EB5" w:rsidRPr="00DA6996" w:rsidRDefault="00C40EB5" w:rsidP="004F64D3">
            <w:pPr>
              <w:pStyle w:val="Tabletext"/>
              <w:jc w:val="center"/>
              <w:rPr>
                <w:rFonts w:ascii="Times" w:hAnsi="Times"/>
              </w:rPr>
            </w:pPr>
            <w:r w:rsidRPr="00DA6996">
              <w:t>60</w:t>
            </w:r>
          </w:p>
        </w:tc>
        <w:tc>
          <w:tcPr>
            <w:tcW w:w="850" w:type="dxa"/>
          </w:tcPr>
          <w:p w:rsidR="00C40EB5" w:rsidRPr="00DA6996" w:rsidRDefault="00C40EB5" w:rsidP="004F64D3">
            <w:pPr>
              <w:pStyle w:val="Tabletext"/>
              <w:jc w:val="center"/>
              <w:rPr>
                <w:rFonts w:ascii="Times" w:hAnsi="Times"/>
              </w:rPr>
            </w:pPr>
            <w:r w:rsidRPr="00DA6996">
              <w:t>5</w:t>
            </w:r>
          </w:p>
        </w:tc>
        <w:tc>
          <w:tcPr>
            <w:tcW w:w="1639" w:type="dxa"/>
          </w:tcPr>
          <w:p w:rsidR="00C40EB5" w:rsidRPr="00DA6996" w:rsidRDefault="00C40EB5" w:rsidP="004F64D3">
            <w:pPr>
              <w:pStyle w:val="Tabletext"/>
              <w:rPr>
                <w:rFonts w:ascii="Times" w:hAnsi="Times"/>
              </w:rPr>
            </w:pPr>
            <w:r w:rsidRPr="00DA6996">
              <w:t>Dovato</w:t>
            </w:r>
            <w:r w:rsidRPr="00DA6996">
              <w:rPr>
                <w:vertAlign w:val="superscript"/>
              </w:rPr>
              <w:t>®</w:t>
            </w:r>
          </w:p>
        </w:tc>
        <w:tc>
          <w:tcPr>
            <w:tcW w:w="2224" w:type="dxa"/>
          </w:tcPr>
          <w:p w:rsidR="00C40EB5" w:rsidRPr="00DA6996" w:rsidRDefault="00C40EB5" w:rsidP="004F64D3">
            <w:pPr>
              <w:pStyle w:val="Tabletext"/>
              <w:rPr>
                <w:rFonts w:ascii="Times" w:hAnsi="Times"/>
              </w:rPr>
            </w:pPr>
            <w:r w:rsidRPr="00DA6996">
              <w:t>ViiV Health care Pty Ltd.</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60"/>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sz w:val="20"/>
                <w:szCs w:val="20"/>
              </w:rPr>
            </w:pPr>
            <w:r w:rsidRPr="00DA6996">
              <w:rPr>
                <w:rFonts w:ascii="Arial Narrow" w:hAnsi="Arial Narrow"/>
                <w:sz w:val="20"/>
                <w:szCs w:val="20"/>
              </w:rPr>
              <w:t>Section 100 – Highly Specialised Drugs Program {Community Access}</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Prescriber type:</w:t>
            </w:r>
          </w:p>
          <w:p w:rsidR="00C40EB5" w:rsidRPr="00DA6996" w:rsidRDefault="00C40EB5" w:rsidP="004F64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 xml:space="preserve">Dental  </w:t>
            </w:r>
            <w:r w:rsidRPr="00DA6996">
              <w:rPr>
                <w:rFonts w:ascii="Arial Narrow" w:hAnsi="Arial Narrow"/>
                <w:sz w:val="20"/>
                <w:szCs w:val="20"/>
              </w:rPr>
              <w:fldChar w:fldCharType="begin">
                <w:ffData>
                  <w:name w:val=""/>
                  <w:enabled/>
                  <w:calcOnExit w:val="0"/>
                  <w:checkBox>
                    <w:sizeAuto/>
                    <w:default w:val="1"/>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 xml:space="preserve">Medical Practitioners  </w:t>
            </w: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 xml:space="preserve">Nurse practitioners  </w:t>
            </w: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Optometrists</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Midwives</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60"/>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Daily, continuous treatment</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82"/>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N/A</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43"/>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HIV infection</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91"/>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i/>
                <w:sz w:val="20"/>
                <w:szCs w:val="20"/>
              </w:rPr>
            </w:pPr>
            <w:r w:rsidRPr="00DA6996">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HIV infection</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60"/>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Initial</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lastRenderedPageBreak/>
              <w:t>Restriction Level / Method:</w:t>
            </w:r>
          </w:p>
          <w:p w:rsidR="00C40EB5" w:rsidRPr="00DA6996" w:rsidRDefault="00C40EB5" w:rsidP="004F64D3">
            <w:pPr>
              <w:widowControl/>
              <w:rPr>
                <w:rFonts w:ascii="Arial Narrow" w:hAnsi="Arial Narrow"/>
                <w:i/>
                <w:sz w:val="20"/>
                <w:szCs w:val="20"/>
              </w:rPr>
            </w:pPr>
          </w:p>
          <w:p w:rsidR="00C40EB5" w:rsidRPr="00DA6996" w:rsidRDefault="00C40EB5" w:rsidP="004F64D3">
            <w:pPr>
              <w:widowControl/>
              <w:rPr>
                <w:rFonts w:ascii="Arial Narrow" w:hAnsi="Arial Narrow"/>
                <w:i/>
                <w:sz w:val="20"/>
                <w:szCs w:val="20"/>
              </w:rPr>
            </w:pPr>
          </w:p>
          <w:p w:rsidR="00C40EB5" w:rsidRPr="00DA6996" w:rsidRDefault="00C40EB5" w:rsidP="004F64D3">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Restricted benefit</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In Writing</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Telephone/Electronic/Emergency</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1"/>
                  </w:checkBox>
                </w:ffData>
              </w:fldChar>
            </w:r>
            <w:bookmarkStart w:id="33" w:name="Check5"/>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bookmarkEnd w:id="33"/>
            <w:r w:rsidRPr="00DA6996">
              <w:rPr>
                <w:rFonts w:ascii="Arial Narrow" w:hAnsi="Arial Narrow"/>
                <w:sz w:val="20"/>
                <w:szCs w:val="20"/>
              </w:rPr>
              <w:t>Streamlined</w:t>
            </w:r>
          </w:p>
        </w:tc>
      </w:tr>
      <w:tr w:rsidR="00C40EB5"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948" w:type="dxa"/>
            <w:gridSpan w:val="2"/>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Clinical criteria:</w:t>
            </w:r>
          </w:p>
          <w:p w:rsidR="00C40EB5" w:rsidRPr="00DA6996" w:rsidRDefault="00C40EB5" w:rsidP="004F64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Patient must be antiretroviral treatment naïve</w:t>
            </w:r>
          </w:p>
          <w:p w:rsidR="00C40EB5" w:rsidRPr="00DA6996" w:rsidRDefault="00C40EB5" w:rsidP="004F64D3">
            <w:pPr>
              <w:pStyle w:val="Tabletext"/>
            </w:pPr>
            <w:r w:rsidRPr="00DA6996">
              <w:t>AND</w:t>
            </w:r>
          </w:p>
          <w:p w:rsidR="00C40EB5" w:rsidRPr="00DA6996" w:rsidRDefault="00C40EB5" w:rsidP="004F64D3">
            <w:pPr>
              <w:pStyle w:val="Tabletext"/>
            </w:pPr>
            <w:r w:rsidRPr="00DA6996">
              <w:t xml:space="preserve">Patient must have a baseline viral load &lt;500,000 copies/ml </w:t>
            </w:r>
          </w:p>
          <w:p w:rsidR="00C40EB5" w:rsidRPr="00DA6996" w:rsidRDefault="00C40EB5" w:rsidP="004F64D3">
            <w:pPr>
              <w:pStyle w:val="Tabletext"/>
            </w:pPr>
            <w:r w:rsidRPr="00DA6996">
              <w:t xml:space="preserve">AND </w:t>
            </w:r>
          </w:p>
          <w:p w:rsidR="00C40EB5" w:rsidRPr="00DA6996" w:rsidRDefault="00C40EB5" w:rsidP="004F64D3">
            <w:pPr>
              <w:pStyle w:val="Tabletext"/>
            </w:pPr>
            <w:r w:rsidRPr="00DA6996">
              <w:t>Patient must have no suspected resistance to either antiretroviral component</w:t>
            </w:r>
          </w:p>
        </w:tc>
      </w:tr>
    </w:tbl>
    <w:p w:rsidR="00C40EB5" w:rsidRPr="00DA6996" w:rsidRDefault="00C40EB5" w:rsidP="00C40EB5">
      <w:pPr>
        <w:widowControl/>
      </w:pPr>
    </w:p>
    <w:tbl>
      <w:tblPr>
        <w:tblW w:w="9327" w:type="dxa"/>
        <w:tblLook w:val="0000" w:firstRow="0" w:lastRow="0" w:firstColumn="0" w:lastColumn="0" w:noHBand="0" w:noVBand="0"/>
      </w:tblPr>
      <w:tblGrid>
        <w:gridCol w:w="2948"/>
        <w:gridCol w:w="6379"/>
      </w:tblGrid>
      <w:tr w:rsidR="00C40EB5" w:rsidRPr="00DA6996" w:rsidTr="004F64D3">
        <w:trPr>
          <w:cantSplit/>
          <w:trHeight w:val="60"/>
        </w:trPr>
        <w:tc>
          <w:tcPr>
            <w:tcW w:w="2948"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Continuing</w:t>
            </w:r>
          </w:p>
        </w:tc>
      </w:tr>
      <w:tr w:rsidR="00C40EB5"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Restriction Level / Method:</w:t>
            </w:r>
          </w:p>
          <w:p w:rsidR="00C40EB5" w:rsidRPr="00DA6996" w:rsidRDefault="00C40EB5" w:rsidP="004F64D3">
            <w:pPr>
              <w:widowControl/>
              <w:rPr>
                <w:rFonts w:ascii="Arial Narrow" w:hAnsi="Arial Narrow"/>
                <w:i/>
                <w:sz w:val="20"/>
                <w:szCs w:val="20"/>
              </w:rPr>
            </w:pPr>
          </w:p>
          <w:p w:rsidR="00C40EB5" w:rsidRPr="00DA6996" w:rsidRDefault="00C40EB5" w:rsidP="004F64D3">
            <w:pPr>
              <w:widowControl/>
              <w:rPr>
                <w:rFonts w:ascii="Arial Narrow" w:hAnsi="Arial Narrow"/>
                <w:i/>
                <w:sz w:val="20"/>
                <w:szCs w:val="20"/>
              </w:rPr>
            </w:pPr>
          </w:p>
          <w:p w:rsidR="00C40EB5" w:rsidRPr="00DA6996" w:rsidRDefault="00C40EB5" w:rsidP="004F64D3">
            <w:pPr>
              <w:widowControl/>
              <w:rPr>
                <w:rFonts w:ascii="Arial Narrow" w:hAnsi="Arial Narrow"/>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Restricted benefit</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In Writing</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Telephone/Electronic/Emergency</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1"/>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Streamlined</w:t>
            </w:r>
          </w:p>
        </w:tc>
      </w:tr>
      <w:tr w:rsidR="00C40EB5"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Clinical criteria:</w:t>
            </w:r>
          </w:p>
          <w:p w:rsidR="00C40EB5" w:rsidRPr="00DA6996" w:rsidRDefault="00C40EB5" w:rsidP="004F64D3">
            <w:pPr>
              <w:widowControl/>
              <w:rPr>
                <w:rFonts w:ascii="Arial Narrow" w:hAnsi="Arial Narrow"/>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rPr>
                <w:rStyle w:val="TableText0"/>
              </w:rPr>
              <w:t>Patient must have previously received PBS-subsidised therapy with this drug for this condition.</w:t>
            </w:r>
          </w:p>
        </w:tc>
      </w:tr>
    </w:tbl>
    <w:p w:rsidR="00C40EB5" w:rsidRPr="00DA6996" w:rsidRDefault="00C40EB5" w:rsidP="00C40EB5">
      <w:pPr>
        <w:widowControl/>
        <w:rPr>
          <w:rFonts w:asciiTheme="minorHAnsi" w:hAnsiTheme="minorHAnsi"/>
          <w:bCs/>
          <w:highlight w:val="yellow"/>
        </w:rPr>
      </w:pPr>
    </w:p>
    <w:tbl>
      <w:tblPr>
        <w:tblW w:w="9327" w:type="dxa"/>
        <w:tblLook w:val="0000" w:firstRow="0" w:lastRow="0" w:firstColumn="0" w:lastColumn="0" w:noHBand="0" w:noVBand="0"/>
      </w:tblPr>
      <w:tblGrid>
        <w:gridCol w:w="2948"/>
        <w:gridCol w:w="6379"/>
      </w:tblGrid>
      <w:tr w:rsidR="00C40EB5" w:rsidRPr="00DA6996" w:rsidTr="004F64D3">
        <w:trPr>
          <w:cantSplit/>
          <w:trHeight w:val="60"/>
        </w:trPr>
        <w:tc>
          <w:tcPr>
            <w:tcW w:w="2948"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pStyle w:val="Tabletext"/>
            </w:pPr>
            <w:r w:rsidRPr="00DA6996">
              <w:t>Grandfather</w:t>
            </w:r>
          </w:p>
        </w:tc>
      </w:tr>
      <w:tr w:rsidR="00C40EB5"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Restriction Level / Method:</w:t>
            </w:r>
          </w:p>
          <w:p w:rsidR="00C40EB5" w:rsidRPr="00DA6996" w:rsidRDefault="00C40EB5" w:rsidP="004F64D3">
            <w:pPr>
              <w:widowControl/>
              <w:rPr>
                <w:rFonts w:ascii="Arial Narrow" w:hAnsi="Arial Narrow"/>
                <w:i/>
                <w:sz w:val="20"/>
                <w:szCs w:val="20"/>
              </w:rPr>
            </w:pPr>
          </w:p>
          <w:p w:rsidR="00C40EB5" w:rsidRPr="00DA6996" w:rsidRDefault="00C40EB5" w:rsidP="004F64D3">
            <w:pPr>
              <w:widowControl/>
              <w:rPr>
                <w:rFonts w:ascii="Arial Narrow" w:hAnsi="Arial Narrow"/>
                <w:i/>
                <w:sz w:val="20"/>
                <w:szCs w:val="20"/>
              </w:rPr>
            </w:pPr>
          </w:p>
          <w:p w:rsidR="00C40EB5" w:rsidRPr="00DA6996" w:rsidRDefault="00C40EB5" w:rsidP="004F64D3">
            <w:pPr>
              <w:widowControl/>
              <w:rPr>
                <w:rFonts w:ascii="Arial Narrow" w:hAnsi="Arial Narrow"/>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Restricted benefit</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In Writing</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Telephone/Electronic/Emergency</w:t>
            </w:r>
          </w:p>
          <w:p w:rsidR="00C40EB5" w:rsidRPr="00DA6996" w:rsidRDefault="00C40EB5"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1"/>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Streamlined</w:t>
            </w:r>
          </w:p>
        </w:tc>
      </w:tr>
      <w:tr w:rsidR="00C40EB5"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Fonts w:ascii="Arial Narrow" w:hAnsi="Arial Narrow"/>
                <w:b/>
                <w:sz w:val="20"/>
                <w:szCs w:val="20"/>
              </w:rPr>
            </w:pPr>
            <w:r w:rsidRPr="00DA6996">
              <w:rPr>
                <w:rFonts w:ascii="Arial Narrow" w:hAnsi="Arial Narrow"/>
                <w:b/>
                <w:sz w:val="20"/>
                <w:szCs w:val="20"/>
              </w:rPr>
              <w:t>Clinical criteria:</w:t>
            </w:r>
          </w:p>
          <w:p w:rsidR="00C40EB5" w:rsidRPr="00DA6996" w:rsidRDefault="00C40EB5" w:rsidP="004F64D3">
            <w:pPr>
              <w:widowControl/>
              <w:rPr>
                <w:rFonts w:ascii="Arial Narrow" w:hAnsi="Arial Narrow"/>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C40EB5" w:rsidRPr="00DA6996" w:rsidRDefault="00C40EB5" w:rsidP="004F64D3">
            <w:pPr>
              <w:widowControl/>
              <w:rPr>
                <w:rStyle w:val="TableText0"/>
              </w:rPr>
            </w:pPr>
            <w:r w:rsidRPr="00DA6996">
              <w:rPr>
                <w:rStyle w:val="TableText0"/>
              </w:rPr>
              <w:t>Patient must have previously received dolutegravir and lamivudine for this condition prior to &lt;&lt;PBS listing date&gt;&gt;</w:t>
            </w:r>
          </w:p>
          <w:p w:rsidR="00C40EB5" w:rsidRPr="00DA6996" w:rsidRDefault="00C40EB5" w:rsidP="004F64D3">
            <w:pPr>
              <w:widowControl/>
              <w:rPr>
                <w:rStyle w:val="TableText0"/>
              </w:rPr>
            </w:pPr>
            <w:r w:rsidRPr="00DA6996">
              <w:rPr>
                <w:rStyle w:val="TableText0"/>
              </w:rPr>
              <w:t>AND</w:t>
            </w:r>
          </w:p>
          <w:p w:rsidR="00C40EB5" w:rsidRPr="00DA6996" w:rsidRDefault="00C40EB5" w:rsidP="004F64D3">
            <w:pPr>
              <w:pStyle w:val="Tabletext"/>
            </w:pPr>
            <w:r w:rsidRPr="00DA6996">
              <w:rPr>
                <w:rStyle w:val="TableText0"/>
              </w:rPr>
              <w:t>Patient must have been anti-retroviral treatment naïve prior to initiating dolutegravir and lamivudine</w:t>
            </w:r>
          </w:p>
        </w:tc>
      </w:tr>
    </w:tbl>
    <w:p w:rsidR="00C40EB5" w:rsidRPr="00DA6996" w:rsidRDefault="00C40EB5" w:rsidP="00C40EB5">
      <w:pPr>
        <w:widowControl/>
        <w:numPr>
          <w:ilvl w:val="0"/>
          <w:numId w:val="1"/>
        </w:numPr>
        <w:spacing w:before="240" w:after="120"/>
        <w:outlineLvl w:val="0"/>
        <w:rPr>
          <w:rFonts w:asciiTheme="minorHAnsi" w:hAnsiTheme="minorHAnsi"/>
          <w:b/>
          <w:bCs/>
          <w:i/>
          <w:sz w:val="32"/>
        </w:rPr>
      </w:pPr>
      <w:r w:rsidRPr="00DA6996">
        <w:rPr>
          <w:rFonts w:asciiTheme="minorHAnsi" w:hAnsiTheme="minorHAnsi"/>
          <w:b/>
          <w:bCs/>
          <w:sz w:val="32"/>
        </w:rPr>
        <w:t>Changes to other listings</w:t>
      </w:r>
    </w:p>
    <w:p w:rsidR="00C40EB5" w:rsidRDefault="00C40EB5" w:rsidP="004F64D3">
      <w:pPr>
        <w:widowControl/>
        <w:numPr>
          <w:ilvl w:val="1"/>
          <w:numId w:val="1"/>
        </w:numPr>
        <w:spacing w:after="120"/>
        <w:rPr>
          <w:rFonts w:asciiTheme="minorHAnsi" w:hAnsiTheme="minorHAnsi"/>
          <w:bCs/>
        </w:rPr>
      </w:pPr>
      <w:r w:rsidRPr="00DA6996">
        <w:rPr>
          <w:rFonts w:asciiTheme="minorHAnsi" w:hAnsiTheme="minorHAnsi"/>
          <w:bCs/>
        </w:rPr>
        <w:t>Remove age and weight restrictions from 10345L – abacavir/lamivudine/dolutegravir (Triumeq®).</w:t>
      </w:r>
    </w:p>
    <w:p w:rsidR="004F64D3" w:rsidRPr="004F64D3" w:rsidRDefault="004F64D3" w:rsidP="004F64D3">
      <w:pPr>
        <w:widowControl/>
        <w:spacing w:after="120"/>
        <w:ind w:left="720"/>
        <w:rPr>
          <w:rFonts w:asciiTheme="minorHAnsi" w:hAnsiTheme="minorHAnsi"/>
          <w:bCs/>
        </w:rPr>
      </w:pPr>
    </w:p>
    <w:p w:rsidR="0010584F" w:rsidRPr="0042586C" w:rsidRDefault="00564C83" w:rsidP="0010584F">
      <w:pPr>
        <w:widowControl/>
        <w:spacing w:before="120" w:after="160"/>
        <w:outlineLvl w:val="0"/>
        <w:rPr>
          <w:rFonts w:eastAsia="Calibri"/>
          <w:b/>
          <w:sz w:val="32"/>
          <w:szCs w:val="28"/>
        </w:rPr>
      </w:pPr>
      <w:r>
        <w:rPr>
          <w:rFonts w:eastAsia="Calibri"/>
          <w:b/>
          <w:sz w:val="32"/>
          <w:szCs w:val="28"/>
        </w:rPr>
        <w:t>September 2019 a</w:t>
      </w:r>
      <w:r w:rsidR="0010584F">
        <w:rPr>
          <w:rFonts w:eastAsia="Calibri"/>
          <w:b/>
          <w:sz w:val="32"/>
          <w:szCs w:val="28"/>
        </w:rPr>
        <w:t>ddendum to the August</w:t>
      </w:r>
      <w:r w:rsidR="0010584F" w:rsidRPr="0042586C">
        <w:rPr>
          <w:rFonts w:eastAsia="Calibri"/>
          <w:b/>
          <w:sz w:val="32"/>
          <w:szCs w:val="28"/>
        </w:rPr>
        <w:t xml:space="preserve"> 2019 PBAC Minutes:</w:t>
      </w:r>
    </w:p>
    <w:p w:rsidR="0010584F" w:rsidRPr="00DA6996" w:rsidRDefault="0010584F" w:rsidP="0010584F">
      <w:pPr>
        <w:pStyle w:val="PBACHeading1"/>
        <w:keepNext/>
        <w:spacing w:after="120"/>
      </w:pPr>
      <w:r w:rsidRPr="00DA6996">
        <w:t>Purpose of Application</w:t>
      </w:r>
    </w:p>
    <w:p w:rsidR="0010584F" w:rsidRDefault="0010584F" w:rsidP="0010584F">
      <w:pPr>
        <w:widowControl/>
        <w:numPr>
          <w:ilvl w:val="1"/>
          <w:numId w:val="1"/>
        </w:numPr>
        <w:spacing w:after="120"/>
        <w:rPr>
          <w:rFonts w:asciiTheme="minorHAnsi" w:hAnsiTheme="minorHAnsi"/>
          <w:bCs/>
        </w:rPr>
      </w:pPr>
      <w:r>
        <w:rPr>
          <w:rFonts w:asciiTheme="minorHAnsi" w:hAnsiTheme="minorHAnsi"/>
          <w:bCs/>
        </w:rPr>
        <w:t>Following the recommendation outlined in the August 2019 addendum to July 2019 minutes, the Sponsor requested the PBAC re-consider its recommended listing of dolutegravir with lamivudine to align the restriction with the final conditions of TGA registration.</w:t>
      </w:r>
    </w:p>
    <w:p w:rsidR="0010584F" w:rsidRPr="00861467" w:rsidRDefault="0010584F" w:rsidP="004F64D3">
      <w:pPr>
        <w:pStyle w:val="PBACHeading1"/>
        <w:keepNext/>
        <w:spacing w:after="120"/>
      </w:pPr>
      <w:r w:rsidRPr="00DA6996">
        <w:t>Background</w:t>
      </w:r>
    </w:p>
    <w:p w:rsidR="0010584F" w:rsidRDefault="0010584F" w:rsidP="0010584F">
      <w:pPr>
        <w:widowControl/>
        <w:numPr>
          <w:ilvl w:val="1"/>
          <w:numId w:val="1"/>
        </w:numPr>
        <w:spacing w:after="120"/>
        <w:rPr>
          <w:rFonts w:asciiTheme="minorHAnsi" w:hAnsiTheme="minorHAnsi"/>
          <w:bCs/>
        </w:rPr>
      </w:pPr>
      <w:r>
        <w:rPr>
          <w:rFonts w:asciiTheme="minorHAnsi" w:hAnsiTheme="minorHAnsi"/>
          <w:bCs/>
        </w:rPr>
        <w:t>At its August 2019 meeting, the PBAC recommended the</w:t>
      </w:r>
      <w:r w:rsidRPr="00861467">
        <w:t xml:space="preserve"> </w:t>
      </w:r>
      <w:r w:rsidRPr="00861467">
        <w:rPr>
          <w:rFonts w:asciiTheme="minorHAnsi" w:hAnsiTheme="minorHAnsi"/>
          <w:bCs/>
        </w:rPr>
        <w:t xml:space="preserve">Authority Required (STREAMLINED) Section 100 (Highly Specialised Drugs Program (HSD) – Community Access) listing of the combination drug dolutegravir with lamivudine for the treatment </w:t>
      </w:r>
      <w:r w:rsidRPr="00861467">
        <w:rPr>
          <w:rFonts w:asciiTheme="minorHAnsi" w:hAnsiTheme="minorHAnsi"/>
          <w:bCs/>
        </w:rPr>
        <w:lastRenderedPageBreak/>
        <w:t>of HIV in treatment-naïve patients who have a baseline viral load &lt;500,000 copies/ml and no suspected resistance to either antiretroviral component.</w:t>
      </w:r>
      <w:r>
        <w:rPr>
          <w:rFonts w:asciiTheme="minorHAnsi" w:hAnsiTheme="minorHAnsi"/>
          <w:bCs/>
        </w:rPr>
        <w:t xml:space="preserve"> </w:t>
      </w:r>
    </w:p>
    <w:p w:rsidR="0010584F" w:rsidRDefault="0010584F" w:rsidP="0010584F">
      <w:pPr>
        <w:widowControl/>
        <w:numPr>
          <w:ilvl w:val="1"/>
          <w:numId w:val="1"/>
        </w:numPr>
        <w:spacing w:after="120"/>
        <w:rPr>
          <w:rFonts w:asciiTheme="minorHAnsi" w:hAnsiTheme="minorHAnsi"/>
          <w:bCs/>
        </w:rPr>
      </w:pPr>
      <w:r>
        <w:rPr>
          <w:rFonts w:asciiTheme="minorHAnsi" w:hAnsiTheme="minorHAnsi"/>
          <w:bCs/>
        </w:rPr>
        <w:t xml:space="preserve">This recommendation was based on the advice of the TGA Delegate at the time that the likely TGA indication would be </w:t>
      </w:r>
      <w:r w:rsidRPr="00861467">
        <w:rPr>
          <w:rFonts w:asciiTheme="minorHAnsi" w:hAnsiTheme="minorHAnsi"/>
          <w:bCs/>
        </w:rPr>
        <w:t>“DOVATO (dolutegravir/lamivudine) is indicated for the treatment of Human Immunodeficiency Virus-1 (HIV-1) infection in treatment-naïve adults and adolescents from 12 years of age weighing at least 40 kg, who have a baseline viral load &lt;500 000 copies/mL and no suspected resistance to either antiretroviral component”.</w:t>
      </w:r>
    </w:p>
    <w:p w:rsidR="0010584F" w:rsidRPr="00861467" w:rsidRDefault="0010584F" w:rsidP="004F64D3">
      <w:pPr>
        <w:pStyle w:val="PBACHeading1"/>
        <w:keepNext/>
        <w:spacing w:after="120"/>
      </w:pPr>
      <w:r>
        <w:t>Requested listing</w:t>
      </w:r>
    </w:p>
    <w:p w:rsidR="0010584F" w:rsidRDefault="0010584F" w:rsidP="0010584F">
      <w:pPr>
        <w:widowControl/>
        <w:numPr>
          <w:ilvl w:val="1"/>
          <w:numId w:val="1"/>
        </w:numPr>
        <w:spacing w:after="120"/>
        <w:rPr>
          <w:rFonts w:asciiTheme="minorHAnsi" w:hAnsiTheme="minorHAnsi"/>
          <w:bCs/>
        </w:rPr>
      </w:pPr>
      <w:r>
        <w:rPr>
          <w:rFonts w:asciiTheme="minorHAnsi" w:hAnsiTheme="minorHAnsi"/>
          <w:bCs/>
        </w:rPr>
        <w:t>Subsequent to the PBAC recommendation, the Sponsor advised on 16 September 2019 the TGA registration had been finalised on 12 September, with an approved indication of ‘</w:t>
      </w:r>
      <w:r w:rsidRPr="005304FF">
        <w:rPr>
          <w:rFonts w:asciiTheme="minorHAnsi" w:hAnsiTheme="minorHAnsi"/>
          <w:bCs/>
          <w:i/>
        </w:rPr>
        <w:t>DOVATO (a fixed dose combination of dolutegravir and lamivudine) is indicated for the treatment of Human Immunodeficiency Virus-1 (HIV-1) infection in antiretroviral treatment-naïve adults and adolescents (from 12 years of age weighing at least 40 kg) who have no known or suspected resistance to either antiretroviral component</w:t>
      </w:r>
      <w:r w:rsidRPr="005304FF">
        <w:rPr>
          <w:rFonts w:asciiTheme="minorHAnsi" w:hAnsiTheme="minorHAnsi"/>
          <w:bCs/>
        </w:rPr>
        <w:t>’</w:t>
      </w:r>
      <w:r>
        <w:rPr>
          <w:rFonts w:asciiTheme="minorHAnsi" w:hAnsiTheme="minorHAnsi"/>
          <w:bCs/>
        </w:rPr>
        <w:t>. As the finalised indication did not include a viral load limit, the Sponsor requested the listing not include this criterion.</w:t>
      </w:r>
    </w:p>
    <w:p w:rsidR="0010584F" w:rsidRDefault="0010584F" w:rsidP="004F64D3">
      <w:pPr>
        <w:pStyle w:val="PBACHeading1"/>
        <w:keepNext/>
        <w:spacing w:after="120"/>
      </w:pPr>
      <w:r>
        <w:t>PBAC Outcome</w:t>
      </w:r>
    </w:p>
    <w:p w:rsidR="0010584F" w:rsidRDefault="0010584F" w:rsidP="0010584F">
      <w:pPr>
        <w:widowControl/>
        <w:numPr>
          <w:ilvl w:val="1"/>
          <w:numId w:val="1"/>
        </w:numPr>
        <w:spacing w:after="120"/>
        <w:rPr>
          <w:rFonts w:asciiTheme="minorHAnsi" w:hAnsiTheme="minorHAnsi"/>
          <w:bCs/>
        </w:rPr>
      </w:pPr>
      <w:r w:rsidRPr="003439D6">
        <w:rPr>
          <w:rFonts w:asciiTheme="minorHAnsi" w:hAnsiTheme="minorHAnsi"/>
          <w:bCs/>
        </w:rPr>
        <w:t>The PBAC recommended, out of session, a change</w:t>
      </w:r>
      <w:r>
        <w:rPr>
          <w:rFonts w:asciiTheme="minorHAnsi" w:hAnsiTheme="minorHAnsi"/>
          <w:bCs/>
        </w:rPr>
        <w:t xml:space="preserve"> to the recommended listing of the combination drug dolutegravir with lamivudine (Dovato) to not include the criterion, ‘</w:t>
      </w:r>
      <w:r w:rsidRPr="00054A66">
        <w:rPr>
          <w:rFonts w:asciiTheme="minorHAnsi" w:hAnsiTheme="minorHAnsi"/>
          <w:bCs/>
        </w:rPr>
        <w:t>Patient must have a baseline viral load &lt;500,000 copies/ml</w:t>
      </w:r>
      <w:r>
        <w:rPr>
          <w:rFonts w:asciiTheme="minorHAnsi" w:hAnsiTheme="minorHAnsi"/>
          <w:bCs/>
        </w:rPr>
        <w:t>’ as the final TGA approved indication did not include this requirement. The PBAC noted its recommendation at its August 2019 meeting was based on the most up-to-date advice of the TGA available at the time of consideration.</w:t>
      </w:r>
    </w:p>
    <w:p w:rsidR="0010584F" w:rsidRDefault="0010584F" w:rsidP="0010584F">
      <w:pPr>
        <w:widowControl/>
        <w:numPr>
          <w:ilvl w:val="1"/>
          <w:numId w:val="1"/>
        </w:numPr>
        <w:spacing w:after="120"/>
        <w:rPr>
          <w:rFonts w:asciiTheme="minorHAnsi" w:hAnsiTheme="minorHAnsi"/>
          <w:bCs/>
        </w:rPr>
      </w:pPr>
      <w:r>
        <w:rPr>
          <w:rFonts w:asciiTheme="minorHAnsi" w:hAnsiTheme="minorHAnsi"/>
          <w:bCs/>
        </w:rPr>
        <w:t>The PBAC advised the other criteria, including the statement that, ‘</w:t>
      </w:r>
      <w:r w:rsidRPr="00054A66">
        <w:rPr>
          <w:rFonts w:asciiTheme="minorHAnsi" w:hAnsiTheme="minorHAnsi"/>
          <w:bCs/>
        </w:rPr>
        <w:t>Patient must have no suspected resistance to either antiretroviral component</w:t>
      </w:r>
      <w:r>
        <w:rPr>
          <w:rFonts w:asciiTheme="minorHAnsi" w:hAnsiTheme="minorHAnsi"/>
          <w:bCs/>
        </w:rPr>
        <w:t>’ remained appropriate as this statement formed part of the final TGA approved indication.</w:t>
      </w:r>
    </w:p>
    <w:p w:rsidR="0010584F" w:rsidRPr="00054A66" w:rsidRDefault="0010584F" w:rsidP="0010584F">
      <w:pPr>
        <w:widowControl/>
        <w:numPr>
          <w:ilvl w:val="1"/>
          <w:numId w:val="1"/>
        </w:numPr>
        <w:spacing w:after="120"/>
        <w:rPr>
          <w:rFonts w:asciiTheme="minorHAnsi" w:hAnsiTheme="minorHAnsi"/>
          <w:bCs/>
        </w:rPr>
      </w:pPr>
      <w:r>
        <w:rPr>
          <w:rFonts w:asciiTheme="minorHAnsi" w:hAnsiTheme="minorHAnsi"/>
          <w:bCs/>
        </w:rPr>
        <w:t>The PBAC advised other aspects of its recommendation outlined in the August 2019 addendum to the July 2019 minutes remained appropriate, including the recommended program, authority level, grandfather restriction, interchangeability advice, Pricing Pathway A advice, nurse practitioner prescribing and the Safety Net Early Supply Rule.</w:t>
      </w:r>
    </w:p>
    <w:p w:rsidR="0010584F" w:rsidRPr="00DD1671" w:rsidRDefault="0010584F" w:rsidP="0010584F">
      <w:pPr>
        <w:widowControl/>
        <w:numPr>
          <w:ilvl w:val="1"/>
          <w:numId w:val="1"/>
        </w:numPr>
        <w:spacing w:after="120"/>
        <w:rPr>
          <w:rFonts w:asciiTheme="minorHAnsi" w:hAnsiTheme="minorHAnsi"/>
          <w:bCs/>
        </w:rPr>
      </w:pPr>
      <w:r>
        <w:rPr>
          <w:rFonts w:asciiTheme="minorHAnsi" w:hAnsiTheme="minorHAnsi"/>
          <w:bCs/>
        </w:rPr>
        <w:t xml:space="preserve">The PBAC noted its recommendation to remove age and weight restrictions </w:t>
      </w:r>
      <w:r w:rsidRPr="00E95D70">
        <w:rPr>
          <w:rFonts w:asciiTheme="minorHAnsi" w:hAnsiTheme="minorHAnsi"/>
          <w:bCs/>
        </w:rPr>
        <w:t>from the Triumeq listings (item 10345L)</w:t>
      </w:r>
      <w:r>
        <w:rPr>
          <w:rFonts w:asciiTheme="minorHAnsi" w:hAnsiTheme="minorHAnsi"/>
          <w:bCs/>
        </w:rPr>
        <w:t xml:space="preserve"> remained unchanged</w:t>
      </w:r>
      <w:r w:rsidRPr="00E95D70">
        <w:rPr>
          <w:rFonts w:asciiTheme="minorHAnsi" w:hAnsiTheme="minorHAnsi"/>
          <w:bCs/>
        </w:rPr>
        <w:t>.</w:t>
      </w:r>
    </w:p>
    <w:p w:rsidR="0010584F" w:rsidRPr="004F64D3" w:rsidRDefault="0010584F" w:rsidP="0010584F">
      <w:pPr>
        <w:pStyle w:val="PBACHeading1"/>
        <w:numPr>
          <w:ilvl w:val="0"/>
          <w:numId w:val="0"/>
        </w:numPr>
        <w:rPr>
          <w:rFonts w:asciiTheme="minorHAnsi" w:hAnsiTheme="minorHAnsi"/>
          <w:bCs/>
          <w:sz w:val="24"/>
        </w:rPr>
      </w:pPr>
      <w:r w:rsidRPr="004F64D3">
        <w:rPr>
          <w:rFonts w:asciiTheme="minorHAnsi" w:hAnsiTheme="minorHAnsi"/>
          <w:bCs/>
          <w:sz w:val="24"/>
        </w:rPr>
        <w:t>Outcome:</w:t>
      </w:r>
    </w:p>
    <w:p w:rsidR="0010584F" w:rsidRPr="00DA6996" w:rsidRDefault="0010584F" w:rsidP="004F64D3">
      <w:pPr>
        <w:widowControl/>
        <w:spacing w:after="120"/>
        <w:rPr>
          <w:b/>
        </w:rPr>
      </w:pPr>
      <w:r w:rsidRPr="00DA6996">
        <w:t>Recommended</w:t>
      </w:r>
    </w:p>
    <w:p w:rsidR="002E3D1B" w:rsidRPr="00DA6996" w:rsidRDefault="002E3D1B" w:rsidP="0010584F">
      <w:pPr>
        <w:widowControl/>
        <w:spacing w:after="120"/>
        <w:rPr>
          <w:rFonts w:asciiTheme="minorHAnsi" w:hAnsiTheme="minorHAnsi"/>
          <w:bCs/>
        </w:rPr>
      </w:pPr>
    </w:p>
    <w:p w:rsidR="0010584F" w:rsidRPr="00DA6996" w:rsidRDefault="0010584F" w:rsidP="0010584F">
      <w:pPr>
        <w:pStyle w:val="PBACHeading1"/>
        <w:keepNext/>
      </w:pPr>
      <w:r w:rsidRPr="00DA6996">
        <w:lastRenderedPageBreak/>
        <w:t>Recommended listing</w:t>
      </w:r>
    </w:p>
    <w:p w:rsidR="0010584F" w:rsidRPr="00DA6996" w:rsidRDefault="0010584F" w:rsidP="0010584F">
      <w:pPr>
        <w:widowControl/>
        <w:rPr>
          <w:rFonts w:asciiTheme="minorHAnsi" w:hAnsiTheme="minorHAnsi"/>
          <w:bCs/>
        </w:rPr>
      </w:pPr>
    </w:p>
    <w:p w:rsidR="0010584F" w:rsidRPr="00DA6996" w:rsidRDefault="0010584F" w:rsidP="0010584F">
      <w:pPr>
        <w:widowControl/>
        <w:numPr>
          <w:ilvl w:val="1"/>
          <w:numId w:val="1"/>
        </w:numPr>
        <w:spacing w:after="120"/>
        <w:rPr>
          <w:rFonts w:asciiTheme="minorHAnsi" w:hAnsiTheme="minorHAnsi"/>
          <w:bCs/>
        </w:rPr>
      </w:pPr>
      <w:r>
        <w:rPr>
          <w:rFonts w:asciiTheme="minorHAnsi" w:hAnsiTheme="minorHAnsi"/>
          <w:bCs/>
        </w:rPr>
        <w:t>Change to the August 2019 recommended listing in strikethrough</w:t>
      </w:r>
      <w:r w:rsidRPr="00DA6996">
        <w:rPr>
          <w:rFonts w:asciiTheme="minorHAnsi" w:hAnsiTheme="minorHAnsi"/>
          <w:bCs/>
        </w:rPr>
        <w:t>:</w:t>
      </w:r>
    </w:p>
    <w:p w:rsidR="0010584F" w:rsidRPr="00DA6996" w:rsidRDefault="0010584F" w:rsidP="0010584F">
      <w:pPr>
        <w:widowControl/>
        <w:rPr>
          <w:rFonts w:asciiTheme="minorHAnsi" w:hAnsiTheme="minorHAnsi"/>
          <w:bCs/>
        </w:rPr>
      </w:pPr>
    </w:p>
    <w:tbl>
      <w:tblPr>
        <w:tblW w:w="9327"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680"/>
        <w:gridCol w:w="473"/>
        <w:gridCol w:w="974"/>
        <w:gridCol w:w="850"/>
        <w:gridCol w:w="1639"/>
        <w:gridCol w:w="2224"/>
        <w:gridCol w:w="219"/>
      </w:tblGrid>
      <w:tr w:rsidR="0010584F" w:rsidRPr="00DA6996" w:rsidTr="004F64D3">
        <w:trPr>
          <w:gridAfter w:val="1"/>
          <w:wAfter w:w="219" w:type="dxa"/>
        </w:trPr>
        <w:tc>
          <w:tcPr>
            <w:tcW w:w="2268" w:type="dxa"/>
            <w:tcBorders>
              <w:top w:val="nil"/>
            </w:tcBorders>
          </w:tcPr>
          <w:p w:rsidR="0010584F" w:rsidRPr="00DA6996" w:rsidRDefault="0010584F" w:rsidP="004F64D3">
            <w:pPr>
              <w:pStyle w:val="Tabletext"/>
              <w:rPr>
                <w:b/>
                <w:bCs/>
              </w:rPr>
            </w:pPr>
            <w:r w:rsidRPr="00DA6996">
              <w:rPr>
                <w:b/>
              </w:rPr>
              <w:t>Name, restriction, manner of administration, form</w:t>
            </w:r>
          </w:p>
        </w:tc>
        <w:tc>
          <w:tcPr>
            <w:tcW w:w="1153" w:type="dxa"/>
            <w:gridSpan w:val="2"/>
            <w:tcBorders>
              <w:top w:val="nil"/>
            </w:tcBorders>
          </w:tcPr>
          <w:p w:rsidR="0010584F" w:rsidRPr="00DA6996" w:rsidRDefault="0010584F" w:rsidP="004F64D3">
            <w:pPr>
              <w:pStyle w:val="Tabletext"/>
              <w:jc w:val="center"/>
              <w:rPr>
                <w:b/>
                <w:bCs/>
              </w:rPr>
            </w:pPr>
            <w:r w:rsidRPr="00DA6996">
              <w:rPr>
                <w:b/>
              </w:rPr>
              <w:t>Maximum quantity (packs)</w:t>
            </w:r>
          </w:p>
        </w:tc>
        <w:tc>
          <w:tcPr>
            <w:tcW w:w="974" w:type="dxa"/>
            <w:tcBorders>
              <w:top w:val="nil"/>
            </w:tcBorders>
          </w:tcPr>
          <w:p w:rsidR="0010584F" w:rsidRPr="00DA6996" w:rsidRDefault="0010584F" w:rsidP="004F64D3">
            <w:pPr>
              <w:pStyle w:val="Tabletext"/>
              <w:jc w:val="center"/>
              <w:rPr>
                <w:b/>
                <w:bCs/>
              </w:rPr>
            </w:pPr>
            <w:r w:rsidRPr="00DA6996">
              <w:rPr>
                <w:b/>
              </w:rPr>
              <w:t>Maximum quantity (units)</w:t>
            </w:r>
          </w:p>
        </w:tc>
        <w:tc>
          <w:tcPr>
            <w:tcW w:w="850" w:type="dxa"/>
            <w:tcBorders>
              <w:top w:val="nil"/>
            </w:tcBorders>
          </w:tcPr>
          <w:p w:rsidR="0010584F" w:rsidRPr="00DA6996" w:rsidRDefault="0010584F" w:rsidP="004F64D3">
            <w:pPr>
              <w:pStyle w:val="Tabletext"/>
              <w:rPr>
                <w:b/>
                <w:bCs/>
              </w:rPr>
            </w:pPr>
            <w:r w:rsidRPr="00DA6996">
              <w:rPr>
                <w:b/>
              </w:rPr>
              <w:t>No. of repeats</w:t>
            </w:r>
          </w:p>
        </w:tc>
        <w:tc>
          <w:tcPr>
            <w:tcW w:w="1639" w:type="dxa"/>
            <w:tcBorders>
              <w:top w:val="nil"/>
            </w:tcBorders>
          </w:tcPr>
          <w:p w:rsidR="0010584F" w:rsidRPr="00DA6996" w:rsidRDefault="0010584F" w:rsidP="004F64D3">
            <w:pPr>
              <w:pStyle w:val="Tabletext"/>
              <w:rPr>
                <w:b/>
                <w:bCs/>
              </w:rPr>
            </w:pPr>
            <w:r w:rsidRPr="00DA6996">
              <w:rPr>
                <w:b/>
              </w:rPr>
              <w:t>Proprietary name</w:t>
            </w:r>
          </w:p>
        </w:tc>
        <w:tc>
          <w:tcPr>
            <w:tcW w:w="2224" w:type="dxa"/>
            <w:tcBorders>
              <w:top w:val="nil"/>
            </w:tcBorders>
          </w:tcPr>
          <w:p w:rsidR="0010584F" w:rsidRPr="00DA6996" w:rsidRDefault="0010584F" w:rsidP="004F64D3">
            <w:pPr>
              <w:pStyle w:val="Tabletext"/>
              <w:rPr>
                <w:b/>
                <w:bCs/>
              </w:rPr>
            </w:pPr>
            <w:r w:rsidRPr="00DA6996">
              <w:rPr>
                <w:b/>
              </w:rPr>
              <w:t>Manufacturer</w:t>
            </w:r>
          </w:p>
        </w:tc>
      </w:tr>
      <w:tr w:rsidR="0010584F" w:rsidRPr="00DA6996" w:rsidTr="004F64D3">
        <w:trPr>
          <w:gridAfter w:val="1"/>
          <w:wAfter w:w="219" w:type="dxa"/>
          <w:trHeight w:val="845"/>
        </w:trPr>
        <w:tc>
          <w:tcPr>
            <w:tcW w:w="2268" w:type="dxa"/>
          </w:tcPr>
          <w:p w:rsidR="0010584F" w:rsidRPr="00DA6996" w:rsidRDefault="0010584F" w:rsidP="004F64D3">
            <w:pPr>
              <w:pStyle w:val="Tabletext"/>
            </w:pPr>
            <w:r w:rsidRPr="00DA6996">
              <w:t>Dolutegravir 50mg (as sodium) with lamivudine 300mg, tablets, 30</w:t>
            </w:r>
          </w:p>
        </w:tc>
        <w:tc>
          <w:tcPr>
            <w:tcW w:w="1153" w:type="dxa"/>
            <w:gridSpan w:val="2"/>
          </w:tcPr>
          <w:p w:rsidR="0010584F" w:rsidRPr="00DA6996" w:rsidRDefault="0010584F" w:rsidP="004F64D3">
            <w:pPr>
              <w:pStyle w:val="Tabletext"/>
              <w:jc w:val="center"/>
              <w:rPr>
                <w:rFonts w:ascii="Times" w:hAnsi="Times"/>
              </w:rPr>
            </w:pPr>
            <w:r w:rsidRPr="00DA6996">
              <w:t>2</w:t>
            </w:r>
          </w:p>
        </w:tc>
        <w:tc>
          <w:tcPr>
            <w:tcW w:w="974" w:type="dxa"/>
          </w:tcPr>
          <w:p w:rsidR="0010584F" w:rsidRPr="00DA6996" w:rsidRDefault="0010584F" w:rsidP="004F64D3">
            <w:pPr>
              <w:pStyle w:val="Tabletext"/>
              <w:jc w:val="center"/>
              <w:rPr>
                <w:rFonts w:ascii="Times" w:hAnsi="Times"/>
              </w:rPr>
            </w:pPr>
            <w:r w:rsidRPr="00DA6996">
              <w:t>60</w:t>
            </w:r>
          </w:p>
        </w:tc>
        <w:tc>
          <w:tcPr>
            <w:tcW w:w="850" w:type="dxa"/>
          </w:tcPr>
          <w:p w:rsidR="0010584F" w:rsidRPr="00DA6996" w:rsidRDefault="0010584F" w:rsidP="004F64D3">
            <w:pPr>
              <w:pStyle w:val="Tabletext"/>
              <w:jc w:val="center"/>
              <w:rPr>
                <w:rFonts w:ascii="Times" w:hAnsi="Times"/>
              </w:rPr>
            </w:pPr>
            <w:r w:rsidRPr="00DA6996">
              <w:t>5</w:t>
            </w:r>
          </w:p>
        </w:tc>
        <w:tc>
          <w:tcPr>
            <w:tcW w:w="1639" w:type="dxa"/>
          </w:tcPr>
          <w:p w:rsidR="0010584F" w:rsidRPr="00DA6996" w:rsidRDefault="0010584F" w:rsidP="004F64D3">
            <w:pPr>
              <w:pStyle w:val="Tabletext"/>
              <w:rPr>
                <w:rFonts w:ascii="Times" w:hAnsi="Times"/>
              </w:rPr>
            </w:pPr>
            <w:r w:rsidRPr="00DA6996">
              <w:t>Dovato</w:t>
            </w:r>
            <w:r w:rsidRPr="00DA6996">
              <w:rPr>
                <w:vertAlign w:val="superscript"/>
              </w:rPr>
              <w:t>®</w:t>
            </w:r>
          </w:p>
        </w:tc>
        <w:tc>
          <w:tcPr>
            <w:tcW w:w="2224" w:type="dxa"/>
          </w:tcPr>
          <w:p w:rsidR="0010584F" w:rsidRPr="00DA6996" w:rsidRDefault="0010584F" w:rsidP="004F64D3">
            <w:pPr>
              <w:pStyle w:val="Tabletext"/>
              <w:rPr>
                <w:rFonts w:ascii="Times" w:hAnsi="Times"/>
              </w:rPr>
            </w:pPr>
            <w:r w:rsidRPr="00DA6996">
              <w:t>ViiV Health care Pty Ltd.</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60"/>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sz w:val="20"/>
                <w:szCs w:val="20"/>
              </w:rPr>
            </w:pPr>
            <w:r w:rsidRPr="00DA6996">
              <w:rPr>
                <w:rFonts w:ascii="Arial Narrow" w:hAnsi="Arial Narrow"/>
                <w:sz w:val="20"/>
                <w:szCs w:val="20"/>
              </w:rPr>
              <w:t>Section 100 – Highly Specialised Drugs Program {Community Access}</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Prescriber type:</w:t>
            </w:r>
          </w:p>
          <w:p w:rsidR="0010584F" w:rsidRPr="00DA6996" w:rsidRDefault="0010584F" w:rsidP="004F64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 xml:space="preserve">Dental  </w:t>
            </w:r>
            <w:r w:rsidRPr="00DA6996">
              <w:rPr>
                <w:rFonts w:ascii="Arial Narrow" w:hAnsi="Arial Narrow"/>
                <w:sz w:val="20"/>
                <w:szCs w:val="20"/>
              </w:rPr>
              <w:fldChar w:fldCharType="begin">
                <w:ffData>
                  <w:name w:val=""/>
                  <w:enabled/>
                  <w:calcOnExit w:val="0"/>
                  <w:checkBox>
                    <w:sizeAuto/>
                    <w:default w:val="1"/>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 xml:space="preserve">Medical Practitioners  </w:t>
            </w: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 xml:space="preserve">Nurse practitioners  </w:t>
            </w: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Optometrists</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Midwives</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60"/>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Daily, continuous treatment</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82"/>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N/A</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43"/>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HIV infection</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191"/>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i/>
                <w:sz w:val="20"/>
                <w:szCs w:val="20"/>
              </w:rPr>
            </w:pPr>
            <w:r w:rsidRPr="00DA6996">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HIV infection</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60"/>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Initial</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Restriction Level / Method:</w:t>
            </w:r>
          </w:p>
          <w:p w:rsidR="0010584F" w:rsidRPr="00DA6996" w:rsidRDefault="0010584F" w:rsidP="004F64D3">
            <w:pPr>
              <w:widowControl/>
              <w:rPr>
                <w:rFonts w:ascii="Arial Narrow" w:hAnsi="Arial Narrow"/>
                <w:i/>
                <w:sz w:val="20"/>
                <w:szCs w:val="20"/>
              </w:rPr>
            </w:pPr>
          </w:p>
          <w:p w:rsidR="0010584F" w:rsidRPr="00DA6996" w:rsidRDefault="0010584F" w:rsidP="004F64D3">
            <w:pPr>
              <w:widowControl/>
              <w:rPr>
                <w:rFonts w:ascii="Arial Narrow" w:hAnsi="Arial Narrow"/>
                <w:i/>
                <w:sz w:val="20"/>
                <w:szCs w:val="20"/>
              </w:rPr>
            </w:pPr>
          </w:p>
          <w:p w:rsidR="0010584F" w:rsidRPr="00DA6996" w:rsidRDefault="0010584F" w:rsidP="004F64D3">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Restricted benefit</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In Writing</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Telephone/Electronic/Emergency</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1"/>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Streamlined</w:t>
            </w:r>
          </w:p>
        </w:tc>
      </w:tr>
      <w:tr w:rsidR="0010584F" w:rsidRPr="00DA6996" w:rsidTr="004F64D3">
        <w:tblPrEx>
          <w:tblBorders>
            <w:top w:val="none" w:sz="0" w:space="0" w:color="auto"/>
            <w:bottom w:val="none" w:sz="0" w:space="0" w:color="auto"/>
            <w:insideH w:val="none" w:sz="0" w:space="0" w:color="auto"/>
          </w:tblBorders>
          <w:tblLook w:val="0000" w:firstRow="0" w:lastRow="0" w:firstColumn="0" w:lastColumn="0" w:noHBand="0" w:noVBand="0"/>
        </w:tblPrEx>
        <w:trPr>
          <w:cantSplit/>
          <w:trHeight w:val="360"/>
        </w:trPr>
        <w:tc>
          <w:tcPr>
            <w:tcW w:w="2948" w:type="dxa"/>
            <w:gridSpan w:val="2"/>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Clinical criteria:</w:t>
            </w:r>
          </w:p>
          <w:p w:rsidR="0010584F" w:rsidRPr="00DA6996" w:rsidRDefault="0010584F" w:rsidP="004F64D3">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Patient must be antiretroviral treatment naïve</w:t>
            </w:r>
          </w:p>
          <w:p w:rsidR="0010584F" w:rsidRPr="00DA6996" w:rsidRDefault="0010584F" w:rsidP="004F64D3">
            <w:pPr>
              <w:pStyle w:val="Tabletext"/>
            </w:pPr>
            <w:r w:rsidRPr="00DA6996">
              <w:t>AND</w:t>
            </w:r>
          </w:p>
          <w:p w:rsidR="0010584F" w:rsidRPr="0021110C" w:rsidRDefault="0010584F" w:rsidP="004F64D3">
            <w:pPr>
              <w:pStyle w:val="Tabletext"/>
              <w:rPr>
                <w:strike/>
              </w:rPr>
            </w:pPr>
            <w:r w:rsidRPr="0021110C">
              <w:rPr>
                <w:strike/>
              </w:rPr>
              <w:t xml:space="preserve">Patient must have a baseline viral load &lt;500,000 copies/ml </w:t>
            </w:r>
          </w:p>
          <w:p w:rsidR="0010584F" w:rsidRPr="0021110C" w:rsidRDefault="0010584F" w:rsidP="004F64D3">
            <w:pPr>
              <w:pStyle w:val="Tabletext"/>
              <w:rPr>
                <w:strike/>
              </w:rPr>
            </w:pPr>
            <w:r w:rsidRPr="0021110C">
              <w:rPr>
                <w:strike/>
              </w:rPr>
              <w:t xml:space="preserve">AND </w:t>
            </w:r>
          </w:p>
          <w:p w:rsidR="0010584F" w:rsidRPr="00DA6996" w:rsidRDefault="0010584F" w:rsidP="004F64D3">
            <w:pPr>
              <w:pStyle w:val="Tabletext"/>
            </w:pPr>
            <w:r w:rsidRPr="00DA6996">
              <w:t>Patient must have no suspected resistance to either antiretroviral component</w:t>
            </w:r>
          </w:p>
        </w:tc>
      </w:tr>
    </w:tbl>
    <w:p w:rsidR="0010584F" w:rsidRPr="00DA6996" w:rsidRDefault="0010584F" w:rsidP="0010584F">
      <w:pPr>
        <w:widowControl/>
      </w:pPr>
    </w:p>
    <w:tbl>
      <w:tblPr>
        <w:tblW w:w="9327" w:type="dxa"/>
        <w:tblLook w:val="0000" w:firstRow="0" w:lastRow="0" w:firstColumn="0" w:lastColumn="0" w:noHBand="0" w:noVBand="0"/>
      </w:tblPr>
      <w:tblGrid>
        <w:gridCol w:w="2948"/>
        <w:gridCol w:w="6379"/>
      </w:tblGrid>
      <w:tr w:rsidR="0010584F" w:rsidRPr="00DA6996" w:rsidTr="004F64D3">
        <w:trPr>
          <w:cantSplit/>
          <w:trHeight w:val="60"/>
        </w:trPr>
        <w:tc>
          <w:tcPr>
            <w:tcW w:w="2948"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Continuing</w:t>
            </w:r>
          </w:p>
        </w:tc>
      </w:tr>
      <w:tr w:rsidR="0010584F"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Restriction Level / Method:</w:t>
            </w:r>
          </w:p>
          <w:p w:rsidR="0010584F" w:rsidRPr="00DA6996" w:rsidRDefault="0010584F" w:rsidP="004F64D3">
            <w:pPr>
              <w:widowControl/>
              <w:rPr>
                <w:rFonts w:ascii="Arial Narrow" w:hAnsi="Arial Narrow"/>
                <w:i/>
                <w:sz w:val="20"/>
                <w:szCs w:val="20"/>
              </w:rPr>
            </w:pPr>
          </w:p>
          <w:p w:rsidR="0010584F" w:rsidRPr="00DA6996" w:rsidRDefault="0010584F" w:rsidP="004F64D3">
            <w:pPr>
              <w:widowControl/>
              <w:rPr>
                <w:rFonts w:ascii="Arial Narrow" w:hAnsi="Arial Narrow"/>
                <w:i/>
                <w:sz w:val="20"/>
                <w:szCs w:val="20"/>
              </w:rPr>
            </w:pPr>
          </w:p>
          <w:p w:rsidR="0010584F" w:rsidRPr="00DA6996" w:rsidRDefault="0010584F" w:rsidP="004F64D3">
            <w:pPr>
              <w:widowControl/>
              <w:rPr>
                <w:rFonts w:ascii="Arial Narrow" w:hAnsi="Arial Narrow"/>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Restricted benefit</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In Writing</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Telephone/Electronic/Emergency</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1"/>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Streamlined</w:t>
            </w:r>
          </w:p>
        </w:tc>
      </w:tr>
      <w:tr w:rsidR="0010584F"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Clinical criteria:</w:t>
            </w:r>
          </w:p>
          <w:p w:rsidR="0010584F" w:rsidRPr="00DA6996" w:rsidRDefault="0010584F" w:rsidP="004F64D3">
            <w:pPr>
              <w:widowControl/>
              <w:rPr>
                <w:rFonts w:ascii="Arial Narrow" w:hAnsi="Arial Narrow"/>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rPr>
                <w:rStyle w:val="TableText0"/>
              </w:rPr>
              <w:t>Patient must have previously received PBS-subsidised therapy with this drug for this condition.</w:t>
            </w:r>
          </w:p>
        </w:tc>
      </w:tr>
    </w:tbl>
    <w:p w:rsidR="0010584F" w:rsidRPr="00DA6996" w:rsidRDefault="0010584F" w:rsidP="0010584F">
      <w:pPr>
        <w:widowControl/>
        <w:rPr>
          <w:rFonts w:asciiTheme="minorHAnsi" w:hAnsiTheme="minorHAnsi"/>
          <w:bCs/>
          <w:highlight w:val="yellow"/>
        </w:rPr>
      </w:pPr>
    </w:p>
    <w:tbl>
      <w:tblPr>
        <w:tblW w:w="9327" w:type="dxa"/>
        <w:tblLook w:val="0000" w:firstRow="0" w:lastRow="0" w:firstColumn="0" w:lastColumn="0" w:noHBand="0" w:noVBand="0"/>
      </w:tblPr>
      <w:tblGrid>
        <w:gridCol w:w="2948"/>
        <w:gridCol w:w="6379"/>
      </w:tblGrid>
      <w:tr w:rsidR="0010584F" w:rsidRPr="00DA6996" w:rsidTr="004F64D3">
        <w:trPr>
          <w:cantSplit/>
          <w:trHeight w:val="60"/>
        </w:trPr>
        <w:tc>
          <w:tcPr>
            <w:tcW w:w="2948"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pStyle w:val="Tabletext"/>
            </w:pPr>
            <w:r w:rsidRPr="00DA6996">
              <w:t>Grandfather</w:t>
            </w:r>
          </w:p>
        </w:tc>
      </w:tr>
      <w:tr w:rsidR="0010584F"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Restriction Level / Method:</w:t>
            </w:r>
          </w:p>
          <w:p w:rsidR="0010584F" w:rsidRPr="00DA6996" w:rsidRDefault="0010584F" w:rsidP="004F64D3">
            <w:pPr>
              <w:widowControl/>
              <w:rPr>
                <w:rFonts w:ascii="Arial Narrow" w:hAnsi="Arial Narrow"/>
                <w:i/>
                <w:sz w:val="20"/>
                <w:szCs w:val="20"/>
              </w:rPr>
            </w:pPr>
          </w:p>
          <w:p w:rsidR="0010584F" w:rsidRPr="00DA6996" w:rsidRDefault="0010584F" w:rsidP="004F64D3">
            <w:pPr>
              <w:widowControl/>
              <w:rPr>
                <w:rFonts w:ascii="Arial Narrow" w:hAnsi="Arial Narrow"/>
                <w:i/>
                <w:sz w:val="20"/>
                <w:szCs w:val="20"/>
              </w:rPr>
            </w:pPr>
          </w:p>
          <w:p w:rsidR="0010584F" w:rsidRPr="00DA6996" w:rsidRDefault="0010584F" w:rsidP="004F64D3">
            <w:pPr>
              <w:widowControl/>
              <w:rPr>
                <w:rFonts w:ascii="Arial Narrow" w:hAnsi="Arial Narrow"/>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1"/>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Restricted benefit</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In Writing</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3"/>
                  <w:enabled/>
                  <w:calcOnExit w:val="0"/>
                  <w:checkBox>
                    <w:sizeAuto/>
                    <w:default w:val="0"/>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Authority Required – Telephone/Electronic/Emergency</w:t>
            </w:r>
          </w:p>
          <w:p w:rsidR="0010584F" w:rsidRPr="00DA6996" w:rsidRDefault="0010584F" w:rsidP="004F64D3">
            <w:pPr>
              <w:widowControl/>
              <w:rPr>
                <w:rFonts w:ascii="Arial Narrow" w:hAnsi="Arial Narrow"/>
                <w:sz w:val="20"/>
                <w:szCs w:val="20"/>
              </w:rPr>
            </w:pPr>
            <w:r w:rsidRPr="00DA6996">
              <w:rPr>
                <w:rFonts w:ascii="Arial Narrow" w:hAnsi="Arial Narrow"/>
                <w:sz w:val="20"/>
                <w:szCs w:val="20"/>
              </w:rPr>
              <w:fldChar w:fldCharType="begin">
                <w:ffData>
                  <w:name w:val="Check5"/>
                  <w:enabled/>
                  <w:calcOnExit w:val="0"/>
                  <w:checkBox>
                    <w:sizeAuto/>
                    <w:default w:val="1"/>
                  </w:checkBox>
                </w:ffData>
              </w:fldChar>
            </w:r>
            <w:r w:rsidRPr="00DA6996">
              <w:rPr>
                <w:rFonts w:ascii="Arial Narrow" w:hAnsi="Arial Narrow"/>
                <w:sz w:val="20"/>
                <w:szCs w:val="20"/>
              </w:rPr>
              <w:instrText xml:space="preserve"> FORMCHECKBOX </w:instrText>
            </w:r>
            <w:r w:rsidR="00032F3C">
              <w:rPr>
                <w:rFonts w:ascii="Arial Narrow" w:hAnsi="Arial Narrow"/>
                <w:sz w:val="20"/>
                <w:szCs w:val="20"/>
              </w:rPr>
            </w:r>
            <w:r w:rsidR="00032F3C">
              <w:rPr>
                <w:rFonts w:ascii="Arial Narrow" w:hAnsi="Arial Narrow"/>
                <w:sz w:val="20"/>
                <w:szCs w:val="20"/>
              </w:rPr>
              <w:fldChar w:fldCharType="separate"/>
            </w:r>
            <w:r w:rsidRPr="00DA6996">
              <w:rPr>
                <w:rFonts w:ascii="Arial Narrow" w:hAnsi="Arial Narrow"/>
                <w:sz w:val="20"/>
                <w:szCs w:val="20"/>
              </w:rPr>
              <w:fldChar w:fldCharType="end"/>
            </w:r>
            <w:r w:rsidRPr="00DA6996">
              <w:rPr>
                <w:rFonts w:ascii="Arial Narrow" w:hAnsi="Arial Narrow"/>
                <w:sz w:val="20"/>
                <w:szCs w:val="20"/>
              </w:rPr>
              <w:t>Streamlined</w:t>
            </w:r>
          </w:p>
        </w:tc>
      </w:tr>
      <w:tr w:rsidR="0010584F" w:rsidRPr="00DA6996" w:rsidTr="004F64D3">
        <w:trPr>
          <w:cantSplit/>
          <w:trHeight w:val="360"/>
        </w:trPr>
        <w:tc>
          <w:tcPr>
            <w:tcW w:w="2948"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Fonts w:ascii="Arial Narrow" w:hAnsi="Arial Narrow"/>
                <w:b/>
                <w:sz w:val="20"/>
                <w:szCs w:val="20"/>
              </w:rPr>
            </w:pPr>
            <w:r w:rsidRPr="00DA6996">
              <w:rPr>
                <w:rFonts w:ascii="Arial Narrow" w:hAnsi="Arial Narrow"/>
                <w:b/>
                <w:sz w:val="20"/>
                <w:szCs w:val="20"/>
              </w:rPr>
              <w:t>Clinical criteria:</w:t>
            </w:r>
          </w:p>
          <w:p w:rsidR="0010584F" w:rsidRPr="00DA6996" w:rsidRDefault="0010584F" w:rsidP="004F64D3">
            <w:pPr>
              <w:widowControl/>
              <w:rPr>
                <w:rFonts w:ascii="Arial Narrow" w:hAnsi="Arial Narrow"/>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10584F" w:rsidRPr="00DA6996" w:rsidRDefault="0010584F" w:rsidP="004F64D3">
            <w:pPr>
              <w:widowControl/>
              <w:rPr>
                <w:rStyle w:val="TableText0"/>
              </w:rPr>
            </w:pPr>
            <w:r w:rsidRPr="00DA6996">
              <w:rPr>
                <w:rStyle w:val="TableText0"/>
              </w:rPr>
              <w:t>Patient must have previously received dolutegravir and lamivudine for this condition prior to &lt;&lt;PBS listing date&gt;&gt;</w:t>
            </w:r>
          </w:p>
          <w:p w:rsidR="0010584F" w:rsidRPr="00DA6996" w:rsidRDefault="0010584F" w:rsidP="004F64D3">
            <w:pPr>
              <w:widowControl/>
              <w:rPr>
                <w:rStyle w:val="TableText0"/>
              </w:rPr>
            </w:pPr>
            <w:r w:rsidRPr="00DA6996">
              <w:rPr>
                <w:rStyle w:val="TableText0"/>
              </w:rPr>
              <w:t>AND</w:t>
            </w:r>
          </w:p>
          <w:p w:rsidR="0010584F" w:rsidRPr="00DA6996" w:rsidRDefault="0010584F" w:rsidP="004F64D3">
            <w:pPr>
              <w:pStyle w:val="Tabletext"/>
            </w:pPr>
            <w:r w:rsidRPr="00DA6996">
              <w:rPr>
                <w:rStyle w:val="TableText0"/>
              </w:rPr>
              <w:t>Patient must have been anti-retroviral treatment naïve prior to initiating dolutegravir and lamivudine</w:t>
            </w:r>
          </w:p>
        </w:tc>
      </w:tr>
    </w:tbl>
    <w:p w:rsidR="008B7CF6" w:rsidRDefault="008B7CF6" w:rsidP="0010584F">
      <w:pPr>
        <w:widowControl/>
        <w:jc w:val="left"/>
        <w:rPr>
          <w:rFonts w:asciiTheme="minorHAnsi" w:hAnsiTheme="minorHAnsi"/>
          <w:b/>
          <w:bCs/>
        </w:rPr>
      </w:pPr>
    </w:p>
    <w:p w:rsidR="008B7CF6" w:rsidRDefault="008B7CF6">
      <w:pPr>
        <w:widowControl/>
        <w:jc w:val="left"/>
        <w:rPr>
          <w:rFonts w:asciiTheme="minorHAnsi" w:hAnsiTheme="minorHAnsi"/>
          <w:b/>
          <w:bCs/>
        </w:rPr>
      </w:pPr>
      <w:r>
        <w:rPr>
          <w:rFonts w:asciiTheme="minorHAnsi" w:hAnsiTheme="minorHAnsi"/>
          <w:b/>
          <w:bCs/>
        </w:rPr>
        <w:br w:type="page"/>
      </w:r>
    </w:p>
    <w:p w:rsidR="0010584F" w:rsidRPr="0010584F" w:rsidRDefault="0010584F" w:rsidP="0010584F">
      <w:pPr>
        <w:widowControl/>
        <w:jc w:val="left"/>
        <w:rPr>
          <w:rFonts w:asciiTheme="minorHAnsi" w:hAnsiTheme="minorHAnsi"/>
          <w:b/>
          <w:bCs/>
        </w:rPr>
      </w:pPr>
    </w:p>
    <w:p w:rsidR="0010584F" w:rsidRPr="0010584F" w:rsidRDefault="0010584F" w:rsidP="0010584F">
      <w:pPr>
        <w:pStyle w:val="PBACHeading1"/>
        <w:keepNext/>
        <w:rPr>
          <w:rFonts w:asciiTheme="minorHAnsi" w:hAnsiTheme="minorHAnsi"/>
        </w:rPr>
      </w:pPr>
      <w:r w:rsidRPr="0010584F">
        <w:rPr>
          <w:rFonts w:asciiTheme="minorHAnsi" w:hAnsiTheme="minorHAnsi"/>
        </w:rPr>
        <w:t>Context for Decision</w:t>
      </w:r>
    </w:p>
    <w:p w:rsidR="0010584F" w:rsidRPr="00C07617" w:rsidRDefault="0010584F" w:rsidP="0010584F">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0584F" w:rsidRDefault="0010584F" w:rsidP="0010584F">
      <w:pPr>
        <w:ind w:left="426"/>
        <w:rPr>
          <w:rFonts w:ascii="Arial" w:hAnsi="Arial"/>
          <w:sz w:val="22"/>
        </w:rPr>
      </w:pPr>
    </w:p>
    <w:p w:rsidR="0010584F" w:rsidRPr="0010584F" w:rsidRDefault="0010584F" w:rsidP="0010584F">
      <w:pPr>
        <w:pStyle w:val="PBACHeading1"/>
        <w:keepNext/>
        <w:rPr>
          <w:rFonts w:asciiTheme="minorHAnsi" w:hAnsiTheme="minorHAnsi"/>
        </w:rPr>
      </w:pPr>
      <w:r w:rsidRPr="0010584F">
        <w:rPr>
          <w:rFonts w:asciiTheme="minorHAnsi" w:hAnsiTheme="minorHAnsi"/>
        </w:rPr>
        <w:t>Sponsor’s Comment</w:t>
      </w:r>
    </w:p>
    <w:p w:rsidR="00781B79" w:rsidRPr="001D3234" w:rsidRDefault="00781B79" w:rsidP="00781B79">
      <w:pPr>
        <w:spacing w:after="120"/>
      </w:pPr>
      <w:r w:rsidRPr="00781B79">
        <w:t xml:space="preserve"> </w:t>
      </w:r>
      <w:r>
        <w:t>ViiV Healthcare welcomes the PBAC’s decision to recommend Dovato for the treatment of HIV-infection in antiretroviral naïve patients. </w:t>
      </w:r>
    </w:p>
    <w:p w:rsidR="0010584F" w:rsidRPr="001D3234" w:rsidRDefault="0010584F" w:rsidP="001B0BB2">
      <w:pPr>
        <w:spacing w:after="120"/>
      </w:pPr>
    </w:p>
    <w:sectPr w:rsidR="0010584F" w:rsidRPr="001D3234" w:rsidSect="005248B8">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4E6" w:rsidRDefault="002E34E6" w:rsidP="00124A51">
      <w:r>
        <w:separator/>
      </w:r>
    </w:p>
    <w:p w:rsidR="002E34E6" w:rsidRDefault="002E34E6"/>
  </w:endnote>
  <w:endnote w:type="continuationSeparator" w:id="0">
    <w:p w:rsidR="002E34E6" w:rsidRDefault="002E34E6" w:rsidP="00124A51">
      <w:r>
        <w:continuationSeparator/>
      </w:r>
    </w:p>
    <w:p w:rsidR="002E34E6" w:rsidRDefault="002E3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C4" w:rsidRDefault="00EC2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E6" w:rsidRPr="00D13A3E" w:rsidRDefault="002E34E6" w:rsidP="00015886">
    <w:pPr>
      <w:ind w:right="360"/>
      <w:jc w:val="center"/>
      <w:rPr>
        <w:b/>
        <w:sz w:val="20"/>
      </w:rPr>
    </w:pPr>
  </w:p>
  <w:p w:rsidR="002E34E6" w:rsidRPr="00F90A91" w:rsidRDefault="002E34E6" w:rsidP="00E951ED">
    <w:pPr>
      <w:pStyle w:val="Footer"/>
      <w:ind w:left="360"/>
      <w:jc w:val="center"/>
      <w:rPr>
        <w:b/>
        <w:sz w:val="20"/>
      </w:rPr>
    </w:pPr>
    <w:r w:rsidRPr="00F90A91">
      <w:rPr>
        <w:b/>
        <w:sz w:val="20"/>
      </w:rPr>
      <w:fldChar w:fldCharType="begin"/>
    </w:r>
    <w:r w:rsidRPr="00F90A91">
      <w:rPr>
        <w:b/>
        <w:sz w:val="20"/>
      </w:rPr>
      <w:instrText xml:space="preserve"> PAGE   \* MERGEFORMAT </w:instrText>
    </w:r>
    <w:r w:rsidRPr="00F90A91">
      <w:rPr>
        <w:b/>
        <w:sz w:val="20"/>
      </w:rPr>
      <w:fldChar w:fldCharType="separate"/>
    </w:r>
    <w:r w:rsidR="00032F3C">
      <w:rPr>
        <w:b/>
        <w:noProof/>
        <w:sz w:val="20"/>
      </w:rPr>
      <w:t>1</w:t>
    </w:r>
    <w:r w:rsidRPr="00F90A91">
      <w:rPr>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C4" w:rsidRDefault="00EC2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4E6" w:rsidRDefault="002E34E6" w:rsidP="00124A51">
      <w:r>
        <w:separator/>
      </w:r>
    </w:p>
    <w:p w:rsidR="002E34E6" w:rsidRDefault="002E34E6"/>
  </w:footnote>
  <w:footnote w:type="continuationSeparator" w:id="0">
    <w:p w:rsidR="002E34E6" w:rsidRDefault="002E34E6" w:rsidP="00124A51">
      <w:r>
        <w:continuationSeparator/>
      </w:r>
    </w:p>
    <w:p w:rsidR="002E34E6" w:rsidRDefault="002E34E6"/>
  </w:footnote>
  <w:footnote w:id="1">
    <w:p w:rsidR="002E34E6" w:rsidRPr="00037980" w:rsidRDefault="002E34E6">
      <w:pPr>
        <w:pStyle w:val="FootnoteText"/>
      </w:pPr>
      <w:r w:rsidRPr="00037980">
        <w:rPr>
          <w:rStyle w:val="FootnoteReference"/>
        </w:rPr>
        <w:footnoteRef/>
      </w:r>
      <w:r w:rsidRPr="00037980">
        <w:t xml:space="preserve"> AUC</w:t>
      </w:r>
      <w:r w:rsidRPr="00037980">
        <w:rPr>
          <w:vertAlign w:val="subscript"/>
        </w:rPr>
        <w:t>0-inf</w:t>
      </w:r>
      <w:r w:rsidRPr="00037980">
        <w:t>: Area under the plasma concentration time curve from zero to infinity</w:t>
      </w:r>
    </w:p>
    <w:p w:rsidR="002E34E6" w:rsidRPr="00037980" w:rsidRDefault="002E34E6">
      <w:pPr>
        <w:pStyle w:val="FootnoteText"/>
      </w:pPr>
      <w:r w:rsidRPr="00037980">
        <w:t>AUC</w:t>
      </w:r>
      <w:r w:rsidRPr="00037980">
        <w:rPr>
          <w:vertAlign w:val="subscript"/>
        </w:rPr>
        <w:t>0-t</w:t>
      </w:r>
      <w:r w:rsidRPr="00037980">
        <w:t>: Area under the plasma concentration time curve from zero to the last quantifiable time point</w:t>
      </w:r>
    </w:p>
    <w:p w:rsidR="002E34E6" w:rsidRPr="001A5777" w:rsidRDefault="002E34E6">
      <w:pPr>
        <w:pStyle w:val="FootnoteText"/>
        <w:rPr>
          <w:lang w:val="en-US"/>
        </w:rPr>
      </w:pPr>
      <w:r w:rsidRPr="00037980">
        <w:rPr>
          <w:lang w:val="en-US"/>
        </w:rPr>
        <w:t>C</w:t>
      </w:r>
      <w:r w:rsidRPr="006C327B">
        <w:rPr>
          <w:lang w:val="en-US"/>
        </w:rPr>
        <w:t>max</w:t>
      </w:r>
      <w:r w:rsidRPr="00037980">
        <w:rPr>
          <w:lang w:val="en-US"/>
        </w:rPr>
        <w:t>: maximum observed concentration</w:t>
      </w:r>
    </w:p>
  </w:footnote>
  <w:footnote w:id="2">
    <w:p w:rsidR="002E34E6" w:rsidRPr="004D2529" w:rsidRDefault="002E34E6">
      <w:pPr>
        <w:pStyle w:val="FootnoteText"/>
        <w:rPr>
          <w:lang w:val="en-US"/>
        </w:rPr>
      </w:pPr>
      <w:r>
        <w:rPr>
          <w:rStyle w:val="FootnoteReference"/>
        </w:rPr>
        <w:footnoteRef/>
      </w:r>
      <w:r>
        <w:t xml:space="preserve"> </w:t>
      </w:r>
      <w:r>
        <w:rPr>
          <w:lang w:val="en-US"/>
        </w:rPr>
        <w:t>As at 1 May 2019, indicative price disclosure-related reductions to Stribild</w:t>
      </w:r>
      <w:r>
        <w:rPr>
          <w:rFonts w:cs="Calibri"/>
          <w:vertAlign w:val="superscript"/>
          <w:lang w:val="en-US"/>
        </w:rPr>
        <w:t>®</w:t>
      </w:r>
      <w:r>
        <w:rPr>
          <w:lang w:val="en-US"/>
        </w:rPr>
        <w:t xml:space="preserve"> and Eviplera</w:t>
      </w:r>
      <w:r>
        <w:rPr>
          <w:rFonts w:cs="Calibri"/>
          <w:vertAlign w:val="superscript"/>
          <w:lang w:val="en-US"/>
        </w:rPr>
        <w:t>®</w:t>
      </w:r>
      <w:r>
        <w:rPr>
          <w:lang w:val="en-US"/>
        </w:rPr>
        <w:t xml:space="preserve"> of 34.82% have not been applied. If this was to be applied in the future, the indicative AEMP and DPMQ of these FDCs would be $</w:t>
      </w:r>
      <w:r>
        <w:rPr>
          <w:noProof/>
          <w:color w:val="000000"/>
          <w:highlight w:val="black"/>
          <w:lang w:val="en-US"/>
        </w:rPr>
        <w:t>''''''''''''''</w:t>
      </w:r>
      <w:r>
        <w:rPr>
          <w:lang w:val="en-US"/>
        </w:rPr>
        <w:t xml:space="preserve"> and $</w:t>
      </w:r>
      <w:r>
        <w:rPr>
          <w:noProof/>
          <w:color w:val="000000"/>
          <w:highlight w:val="black"/>
          <w:lang w:val="en-US"/>
        </w:rPr>
        <w:t>''''''''''''''''</w:t>
      </w:r>
      <w:r>
        <w:rPr>
          <w:lang w:val="en-US"/>
        </w:rPr>
        <w:t>, respectively.</w:t>
      </w:r>
    </w:p>
  </w:footnote>
  <w:footnote w:id="3">
    <w:p w:rsidR="002E34E6" w:rsidRPr="008210F6" w:rsidRDefault="002E34E6" w:rsidP="008210F6">
      <w:pPr>
        <w:rPr>
          <w:sz w:val="20"/>
          <w:szCs w:val="20"/>
        </w:rPr>
      </w:pPr>
      <w:r>
        <w:rPr>
          <w:rStyle w:val="FootnoteReference"/>
        </w:rPr>
        <w:footnoteRef/>
      </w:r>
      <w:r>
        <w:t xml:space="preserve"> </w:t>
      </w:r>
      <w:r w:rsidRPr="008210F6">
        <w:rPr>
          <w:sz w:val="20"/>
          <w:szCs w:val="20"/>
        </w:rPr>
        <w:t>The Kirby Institute. (2018). HIV in Australia: Annual surveillance short report 2018. Sydney: Kirby Institute, UNSW Sydney.</w:t>
      </w:r>
    </w:p>
  </w:footnote>
  <w:footnote w:id="4">
    <w:p w:rsidR="002E34E6" w:rsidRDefault="002E34E6">
      <w:pPr>
        <w:pStyle w:val="FootnoteText"/>
      </w:pPr>
      <w:r>
        <w:rPr>
          <w:rStyle w:val="FootnoteReference"/>
        </w:rPr>
        <w:footnoteRef/>
      </w:r>
      <w:r>
        <w:t xml:space="preserve"> Australasian Society for HIV, Viral Hepatitis and Sexual Health Medicine (ASHM), 2018. Antiretroviral Guidelines, US DHHS Guidelines with Australian Commentary – What to Start: Initial Combination Regimens for the Antiretroviral-naïve patient. Available at &lt;</w:t>
      </w:r>
      <w:hyperlink r:id="rId1" w:history="1">
        <w:r>
          <w:rPr>
            <w:rStyle w:val="Hyperlink"/>
          </w:rPr>
          <w:t>http://arv.ashm.org.au/what-to-start-initial-combination-regimens-for-the-antiretroviral-naive-patient/</w:t>
        </w:r>
      </w:hyperlink>
      <w:r>
        <w:rPr>
          <w:rStyle w:val="Hyperlink"/>
        </w:rPr>
        <w:t>&gt;</w:t>
      </w:r>
      <w:r>
        <w:t xml:space="preserve"> accessed 10 July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C4" w:rsidRDefault="00EC2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E6" w:rsidRPr="006D773F" w:rsidRDefault="002E34E6" w:rsidP="0010584F">
    <w:pPr>
      <w:pStyle w:val="Header"/>
      <w:ind w:left="360" w:hanging="360"/>
      <w:jc w:val="center"/>
      <w:rPr>
        <w:rFonts w:asciiTheme="minorHAnsi" w:hAnsiTheme="minorHAnsi"/>
        <w:i/>
        <w:color w:val="808080"/>
        <w:szCs w:val="24"/>
      </w:rPr>
    </w:pPr>
    <w:r>
      <w:rPr>
        <w:rFonts w:asciiTheme="minorHAnsi" w:hAnsiTheme="minorHAnsi"/>
        <w:i/>
        <w:color w:val="808080"/>
        <w:szCs w:val="24"/>
      </w:rPr>
      <w:t>Public Summary Document</w:t>
    </w:r>
    <w:r w:rsidRPr="006D773F">
      <w:rPr>
        <w:rFonts w:asciiTheme="minorHAnsi" w:hAnsiTheme="minorHAnsi"/>
        <w:i/>
        <w:color w:val="808080"/>
        <w:szCs w:val="24"/>
      </w:rPr>
      <w:t xml:space="preserve"> – July 2019 PBAC Meeting</w:t>
    </w:r>
    <w:r>
      <w:rPr>
        <w:rFonts w:asciiTheme="minorHAnsi" w:hAnsiTheme="minorHAnsi"/>
        <w:i/>
        <w:color w:val="808080"/>
        <w:szCs w:val="24"/>
      </w:rPr>
      <w:t xml:space="preserve"> with August and September 2019 Addenda</w:t>
    </w:r>
  </w:p>
  <w:p w:rsidR="002E34E6" w:rsidRPr="008C7ECB" w:rsidRDefault="002E3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1C4" w:rsidRDefault="00EC2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61B98"/>
    <w:multiLevelType w:val="hybridMultilevel"/>
    <w:tmpl w:val="9260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B6274A"/>
    <w:multiLevelType w:val="hybridMultilevel"/>
    <w:tmpl w:val="E07A47CC"/>
    <w:lvl w:ilvl="0" w:tplc="E1B6BF4A">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D52ECC"/>
    <w:multiLevelType w:val="hybridMultilevel"/>
    <w:tmpl w:val="9986161C"/>
    <w:lvl w:ilvl="0" w:tplc="C8DE7810">
      <w:start w:val="1"/>
      <w:numFmt w:val="decimal"/>
      <w:lvlText w:val="%1)"/>
      <w:lvlJc w:val="left"/>
      <w:pPr>
        <w:ind w:left="648" w:hanging="360"/>
      </w:pPr>
      <w:rPr>
        <w:rFonts w:hint="default"/>
        <w:i/>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8"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9" w15:restartNumberingAfterBreak="0">
    <w:nsid w:val="3BBA1E65"/>
    <w:multiLevelType w:val="hybridMultilevel"/>
    <w:tmpl w:val="6A66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E70561"/>
    <w:multiLevelType w:val="hybridMultilevel"/>
    <w:tmpl w:val="076C08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B5F0D"/>
    <w:multiLevelType w:val="hybridMultilevel"/>
    <w:tmpl w:val="FCC4A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F306A"/>
    <w:multiLevelType w:val="hybridMultilevel"/>
    <w:tmpl w:val="AE14D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A84F1A"/>
    <w:multiLevelType w:val="hybridMultilevel"/>
    <w:tmpl w:val="E1A6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753DD"/>
    <w:multiLevelType w:val="hybridMultilevel"/>
    <w:tmpl w:val="16E236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E9F4E85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8176D9"/>
    <w:multiLevelType w:val="hybridMultilevel"/>
    <w:tmpl w:val="A7F4A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14ACA"/>
    <w:multiLevelType w:val="hybridMultilevel"/>
    <w:tmpl w:val="2160D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5924E7"/>
    <w:multiLevelType w:val="multilevel"/>
    <w:tmpl w:val="E99A4F9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2"/>
  </w:num>
  <w:num w:numId="3">
    <w:abstractNumId w:val="19"/>
  </w:num>
  <w:num w:numId="4">
    <w:abstractNumId w:val="11"/>
  </w:num>
  <w:num w:numId="5">
    <w:abstractNumId w:val="8"/>
  </w:num>
  <w:num w:numId="6">
    <w:abstractNumId w:val="14"/>
  </w:num>
  <w:num w:numId="7">
    <w:abstractNumId w:val="9"/>
  </w:num>
  <w:num w:numId="8">
    <w:abstractNumId w:val="7"/>
  </w:num>
  <w:num w:numId="9">
    <w:abstractNumId w:val="2"/>
  </w:num>
  <w:num w:numId="10">
    <w:abstractNumId w:val="10"/>
  </w:num>
  <w:num w:numId="11">
    <w:abstractNumId w:val="21"/>
  </w:num>
  <w:num w:numId="12">
    <w:abstractNumId w:val="4"/>
  </w:num>
  <w:num w:numId="13">
    <w:abstractNumId w:val="16"/>
  </w:num>
  <w:num w:numId="14">
    <w:abstractNumId w:val="17"/>
  </w:num>
  <w:num w:numId="15">
    <w:abstractNumId w:val="1"/>
  </w:num>
  <w:num w:numId="16">
    <w:abstractNumId w:val="0"/>
  </w:num>
  <w:num w:numId="17">
    <w:abstractNumId w:val="5"/>
  </w:num>
  <w:num w:numId="18">
    <w:abstractNumId w:val="6"/>
  </w:num>
  <w:num w:numId="19">
    <w:abstractNumId w:val="3"/>
  </w:num>
  <w:num w:numId="20">
    <w:abstractNumId w:val="15"/>
  </w:num>
  <w:num w:numId="21">
    <w:abstractNumId w:val="20"/>
  </w:num>
  <w:num w:numId="22">
    <w:abstractNumId w:val="13"/>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F08"/>
    <w:rsid w:val="00010F35"/>
    <w:rsid w:val="00011139"/>
    <w:rsid w:val="00013247"/>
    <w:rsid w:val="000133DF"/>
    <w:rsid w:val="00015886"/>
    <w:rsid w:val="0001626A"/>
    <w:rsid w:val="000162EF"/>
    <w:rsid w:val="00020A19"/>
    <w:rsid w:val="00021050"/>
    <w:rsid w:val="0002225F"/>
    <w:rsid w:val="00023763"/>
    <w:rsid w:val="00025185"/>
    <w:rsid w:val="0002790E"/>
    <w:rsid w:val="000300CA"/>
    <w:rsid w:val="00032D2A"/>
    <w:rsid w:val="00032F3C"/>
    <w:rsid w:val="00033863"/>
    <w:rsid w:val="0003397D"/>
    <w:rsid w:val="000351E9"/>
    <w:rsid w:val="00035C4F"/>
    <w:rsid w:val="00035DC0"/>
    <w:rsid w:val="00036829"/>
    <w:rsid w:val="00037980"/>
    <w:rsid w:val="00040895"/>
    <w:rsid w:val="00040CA3"/>
    <w:rsid w:val="00041420"/>
    <w:rsid w:val="0004317B"/>
    <w:rsid w:val="00043B1F"/>
    <w:rsid w:val="00043C37"/>
    <w:rsid w:val="00044881"/>
    <w:rsid w:val="00045017"/>
    <w:rsid w:val="00045A2B"/>
    <w:rsid w:val="0004698F"/>
    <w:rsid w:val="000539D0"/>
    <w:rsid w:val="00054621"/>
    <w:rsid w:val="000546D7"/>
    <w:rsid w:val="000563CA"/>
    <w:rsid w:val="00060F68"/>
    <w:rsid w:val="00066360"/>
    <w:rsid w:val="0006676B"/>
    <w:rsid w:val="00071248"/>
    <w:rsid w:val="000720B9"/>
    <w:rsid w:val="000737F7"/>
    <w:rsid w:val="00074D91"/>
    <w:rsid w:val="0007672F"/>
    <w:rsid w:val="00076DDC"/>
    <w:rsid w:val="000774F0"/>
    <w:rsid w:val="00080909"/>
    <w:rsid w:val="000812CA"/>
    <w:rsid w:val="0008258D"/>
    <w:rsid w:val="00083E99"/>
    <w:rsid w:val="000853B6"/>
    <w:rsid w:val="000856C5"/>
    <w:rsid w:val="00090C7E"/>
    <w:rsid w:val="00092600"/>
    <w:rsid w:val="0009262B"/>
    <w:rsid w:val="00093310"/>
    <w:rsid w:val="0009445C"/>
    <w:rsid w:val="00095FE5"/>
    <w:rsid w:val="00096284"/>
    <w:rsid w:val="000A1EB9"/>
    <w:rsid w:val="000A2C0E"/>
    <w:rsid w:val="000A453A"/>
    <w:rsid w:val="000A55B8"/>
    <w:rsid w:val="000A7264"/>
    <w:rsid w:val="000A7D08"/>
    <w:rsid w:val="000B04F0"/>
    <w:rsid w:val="000B0670"/>
    <w:rsid w:val="000B0810"/>
    <w:rsid w:val="000B0E75"/>
    <w:rsid w:val="000B1FC8"/>
    <w:rsid w:val="000B34D6"/>
    <w:rsid w:val="000B4392"/>
    <w:rsid w:val="000B508D"/>
    <w:rsid w:val="000B6CAC"/>
    <w:rsid w:val="000B7612"/>
    <w:rsid w:val="000C043F"/>
    <w:rsid w:val="000C05AD"/>
    <w:rsid w:val="000C0631"/>
    <w:rsid w:val="000C1A5D"/>
    <w:rsid w:val="000C3D36"/>
    <w:rsid w:val="000C3DF9"/>
    <w:rsid w:val="000C48A1"/>
    <w:rsid w:val="000C6713"/>
    <w:rsid w:val="000C69B2"/>
    <w:rsid w:val="000C731A"/>
    <w:rsid w:val="000D11EF"/>
    <w:rsid w:val="000D1BFC"/>
    <w:rsid w:val="000D281A"/>
    <w:rsid w:val="000D326A"/>
    <w:rsid w:val="000D3391"/>
    <w:rsid w:val="000D36EC"/>
    <w:rsid w:val="000D3E34"/>
    <w:rsid w:val="000D51FB"/>
    <w:rsid w:val="000D5E60"/>
    <w:rsid w:val="000D6A82"/>
    <w:rsid w:val="000D7C3D"/>
    <w:rsid w:val="000E135D"/>
    <w:rsid w:val="000E3847"/>
    <w:rsid w:val="000E4CB0"/>
    <w:rsid w:val="000F00BA"/>
    <w:rsid w:val="000F316A"/>
    <w:rsid w:val="000F3A78"/>
    <w:rsid w:val="000F3C74"/>
    <w:rsid w:val="000F483A"/>
    <w:rsid w:val="000F4BB8"/>
    <w:rsid w:val="000F6F40"/>
    <w:rsid w:val="000F7127"/>
    <w:rsid w:val="0010049B"/>
    <w:rsid w:val="0010049D"/>
    <w:rsid w:val="00100F8A"/>
    <w:rsid w:val="001035BD"/>
    <w:rsid w:val="00104195"/>
    <w:rsid w:val="00104776"/>
    <w:rsid w:val="0010584F"/>
    <w:rsid w:val="00105AE2"/>
    <w:rsid w:val="00106B80"/>
    <w:rsid w:val="00106F3F"/>
    <w:rsid w:val="0011032E"/>
    <w:rsid w:val="0011120B"/>
    <w:rsid w:val="0011220E"/>
    <w:rsid w:val="0011224C"/>
    <w:rsid w:val="001133BE"/>
    <w:rsid w:val="0011348B"/>
    <w:rsid w:val="00115982"/>
    <w:rsid w:val="00116C53"/>
    <w:rsid w:val="00116CC6"/>
    <w:rsid w:val="00121799"/>
    <w:rsid w:val="00121B6E"/>
    <w:rsid w:val="001222FC"/>
    <w:rsid w:val="00124A51"/>
    <w:rsid w:val="00126621"/>
    <w:rsid w:val="001301E9"/>
    <w:rsid w:val="00131D82"/>
    <w:rsid w:val="00131E5F"/>
    <w:rsid w:val="00133D36"/>
    <w:rsid w:val="001346C2"/>
    <w:rsid w:val="0013533F"/>
    <w:rsid w:val="001364C8"/>
    <w:rsid w:val="00137645"/>
    <w:rsid w:val="0014015A"/>
    <w:rsid w:val="00140E99"/>
    <w:rsid w:val="001448CB"/>
    <w:rsid w:val="00145540"/>
    <w:rsid w:val="001456B0"/>
    <w:rsid w:val="001516A9"/>
    <w:rsid w:val="00152E3A"/>
    <w:rsid w:val="0015458A"/>
    <w:rsid w:val="00157130"/>
    <w:rsid w:val="001576B1"/>
    <w:rsid w:val="00160A4C"/>
    <w:rsid w:val="00162913"/>
    <w:rsid w:val="001630CF"/>
    <w:rsid w:val="00163AAC"/>
    <w:rsid w:val="00163EFF"/>
    <w:rsid w:val="001661FB"/>
    <w:rsid w:val="0016743C"/>
    <w:rsid w:val="00170536"/>
    <w:rsid w:val="00173565"/>
    <w:rsid w:val="00173B07"/>
    <w:rsid w:val="00175FBE"/>
    <w:rsid w:val="0018072C"/>
    <w:rsid w:val="00181D9C"/>
    <w:rsid w:val="00184228"/>
    <w:rsid w:val="00186E13"/>
    <w:rsid w:val="0018752F"/>
    <w:rsid w:val="001903FA"/>
    <w:rsid w:val="00195222"/>
    <w:rsid w:val="001975D8"/>
    <w:rsid w:val="001A0D42"/>
    <w:rsid w:val="001A43FA"/>
    <w:rsid w:val="001A5777"/>
    <w:rsid w:val="001A59FB"/>
    <w:rsid w:val="001A6354"/>
    <w:rsid w:val="001A77B3"/>
    <w:rsid w:val="001A7AE8"/>
    <w:rsid w:val="001B0BB2"/>
    <w:rsid w:val="001B204E"/>
    <w:rsid w:val="001B3443"/>
    <w:rsid w:val="001B4D20"/>
    <w:rsid w:val="001C2A9B"/>
    <w:rsid w:val="001C4299"/>
    <w:rsid w:val="001C5811"/>
    <w:rsid w:val="001C5F94"/>
    <w:rsid w:val="001C6E66"/>
    <w:rsid w:val="001C7E97"/>
    <w:rsid w:val="001D3234"/>
    <w:rsid w:val="001D7E9A"/>
    <w:rsid w:val="001E1659"/>
    <w:rsid w:val="001E1F9A"/>
    <w:rsid w:val="001E238E"/>
    <w:rsid w:val="001E2483"/>
    <w:rsid w:val="001E2B1E"/>
    <w:rsid w:val="001E3071"/>
    <w:rsid w:val="001E30D4"/>
    <w:rsid w:val="001E3267"/>
    <w:rsid w:val="001E52EB"/>
    <w:rsid w:val="001E61D2"/>
    <w:rsid w:val="001E740C"/>
    <w:rsid w:val="001E749C"/>
    <w:rsid w:val="001F07B5"/>
    <w:rsid w:val="001F1235"/>
    <w:rsid w:val="001F1CB3"/>
    <w:rsid w:val="001F38B5"/>
    <w:rsid w:val="001F430B"/>
    <w:rsid w:val="001F6B32"/>
    <w:rsid w:val="001F7361"/>
    <w:rsid w:val="002011B0"/>
    <w:rsid w:val="00202650"/>
    <w:rsid w:val="00203181"/>
    <w:rsid w:val="00203783"/>
    <w:rsid w:val="0020385F"/>
    <w:rsid w:val="00205E46"/>
    <w:rsid w:val="002064EC"/>
    <w:rsid w:val="00206983"/>
    <w:rsid w:val="00207021"/>
    <w:rsid w:val="0020732F"/>
    <w:rsid w:val="00207D00"/>
    <w:rsid w:val="002105C1"/>
    <w:rsid w:val="002147EF"/>
    <w:rsid w:val="00215FF0"/>
    <w:rsid w:val="0021603A"/>
    <w:rsid w:val="00220CDF"/>
    <w:rsid w:val="002223CE"/>
    <w:rsid w:val="00223B49"/>
    <w:rsid w:val="00224DD4"/>
    <w:rsid w:val="00227E63"/>
    <w:rsid w:val="002309CC"/>
    <w:rsid w:val="00231653"/>
    <w:rsid w:val="0023209F"/>
    <w:rsid w:val="0023629D"/>
    <w:rsid w:val="00237255"/>
    <w:rsid w:val="00242163"/>
    <w:rsid w:val="002424AF"/>
    <w:rsid w:val="00242E7D"/>
    <w:rsid w:val="002439DC"/>
    <w:rsid w:val="00243D0D"/>
    <w:rsid w:val="00244DC8"/>
    <w:rsid w:val="002458BA"/>
    <w:rsid w:val="0024636C"/>
    <w:rsid w:val="00246AB3"/>
    <w:rsid w:val="00247925"/>
    <w:rsid w:val="00254DCF"/>
    <w:rsid w:val="00255213"/>
    <w:rsid w:val="0025534B"/>
    <w:rsid w:val="00255BB7"/>
    <w:rsid w:val="00256500"/>
    <w:rsid w:val="00256A6F"/>
    <w:rsid w:val="00257541"/>
    <w:rsid w:val="00262A1A"/>
    <w:rsid w:val="00262A87"/>
    <w:rsid w:val="00264D26"/>
    <w:rsid w:val="00266D7D"/>
    <w:rsid w:val="002675EC"/>
    <w:rsid w:val="00267642"/>
    <w:rsid w:val="00267AEA"/>
    <w:rsid w:val="002700E6"/>
    <w:rsid w:val="0027294B"/>
    <w:rsid w:val="002730F6"/>
    <w:rsid w:val="00275C5A"/>
    <w:rsid w:val="00275CF3"/>
    <w:rsid w:val="00275D94"/>
    <w:rsid w:val="002771A0"/>
    <w:rsid w:val="00280F0B"/>
    <w:rsid w:val="00281014"/>
    <w:rsid w:val="0028328A"/>
    <w:rsid w:val="00283F15"/>
    <w:rsid w:val="00286B8D"/>
    <w:rsid w:val="002871E5"/>
    <w:rsid w:val="00292886"/>
    <w:rsid w:val="002A14AB"/>
    <w:rsid w:val="002A2F50"/>
    <w:rsid w:val="002A6AEA"/>
    <w:rsid w:val="002B09A4"/>
    <w:rsid w:val="002B1C1F"/>
    <w:rsid w:val="002B432F"/>
    <w:rsid w:val="002B61DF"/>
    <w:rsid w:val="002B62B3"/>
    <w:rsid w:val="002B6754"/>
    <w:rsid w:val="002B6CCE"/>
    <w:rsid w:val="002C2510"/>
    <w:rsid w:val="002C2775"/>
    <w:rsid w:val="002C27C1"/>
    <w:rsid w:val="002C47F9"/>
    <w:rsid w:val="002C5099"/>
    <w:rsid w:val="002C5889"/>
    <w:rsid w:val="002C71CE"/>
    <w:rsid w:val="002D42C4"/>
    <w:rsid w:val="002D577C"/>
    <w:rsid w:val="002E15B9"/>
    <w:rsid w:val="002E2158"/>
    <w:rsid w:val="002E34E6"/>
    <w:rsid w:val="002E3D1B"/>
    <w:rsid w:val="002E72A1"/>
    <w:rsid w:val="002E7722"/>
    <w:rsid w:val="002F07BA"/>
    <w:rsid w:val="002F0DA9"/>
    <w:rsid w:val="002F0E43"/>
    <w:rsid w:val="002F0E9D"/>
    <w:rsid w:val="002F643C"/>
    <w:rsid w:val="002F71C0"/>
    <w:rsid w:val="00300BA8"/>
    <w:rsid w:val="00301017"/>
    <w:rsid w:val="0030155F"/>
    <w:rsid w:val="003052F5"/>
    <w:rsid w:val="0030587B"/>
    <w:rsid w:val="00306D98"/>
    <w:rsid w:val="00306FD8"/>
    <w:rsid w:val="0030786C"/>
    <w:rsid w:val="0031031A"/>
    <w:rsid w:val="00310817"/>
    <w:rsid w:val="00310981"/>
    <w:rsid w:val="00314D38"/>
    <w:rsid w:val="00315498"/>
    <w:rsid w:val="003156D1"/>
    <w:rsid w:val="00316457"/>
    <w:rsid w:val="00316CCB"/>
    <w:rsid w:val="00321D57"/>
    <w:rsid w:val="00322107"/>
    <w:rsid w:val="00322846"/>
    <w:rsid w:val="00324766"/>
    <w:rsid w:val="003257E6"/>
    <w:rsid w:val="00325868"/>
    <w:rsid w:val="00326DA7"/>
    <w:rsid w:val="003270E4"/>
    <w:rsid w:val="00330F5C"/>
    <w:rsid w:val="00331DD5"/>
    <w:rsid w:val="00332A27"/>
    <w:rsid w:val="00334F1A"/>
    <w:rsid w:val="003366C9"/>
    <w:rsid w:val="003371B0"/>
    <w:rsid w:val="00337675"/>
    <w:rsid w:val="00340DF1"/>
    <w:rsid w:val="0034151F"/>
    <w:rsid w:val="0034157D"/>
    <w:rsid w:val="00342056"/>
    <w:rsid w:val="003439D6"/>
    <w:rsid w:val="003463ED"/>
    <w:rsid w:val="003479A8"/>
    <w:rsid w:val="00350954"/>
    <w:rsid w:val="003517F9"/>
    <w:rsid w:val="00351904"/>
    <w:rsid w:val="0035620E"/>
    <w:rsid w:val="00360EF3"/>
    <w:rsid w:val="003624C4"/>
    <w:rsid w:val="003647A8"/>
    <w:rsid w:val="003654AC"/>
    <w:rsid w:val="00367104"/>
    <w:rsid w:val="00367B60"/>
    <w:rsid w:val="003710CF"/>
    <w:rsid w:val="0037350F"/>
    <w:rsid w:val="0037358A"/>
    <w:rsid w:val="003737A1"/>
    <w:rsid w:val="00374325"/>
    <w:rsid w:val="003750F6"/>
    <w:rsid w:val="003760FC"/>
    <w:rsid w:val="003805E6"/>
    <w:rsid w:val="00380E0E"/>
    <w:rsid w:val="00381789"/>
    <w:rsid w:val="00381A53"/>
    <w:rsid w:val="0038365C"/>
    <w:rsid w:val="0038369B"/>
    <w:rsid w:val="00383B78"/>
    <w:rsid w:val="00384B35"/>
    <w:rsid w:val="00385A9D"/>
    <w:rsid w:val="0038728E"/>
    <w:rsid w:val="003902B1"/>
    <w:rsid w:val="00390F9B"/>
    <w:rsid w:val="0039395F"/>
    <w:rsid w:val="00396896"/>
    <w:rsid w:val="00396FD0"/>
    <w:rsid w:val="00397AA9"/>
    <w:rsid w:val="003A1A7A"/>
    <w:rsid w:val="003A2392"/>
    <w:rsid w:val="003A2831"/>
    <w:rsid w:val="003A3ED1"/>
    <w:rsid w:val="003A43A9"/>
    <w:rsid w:val="003A6DB7"/>
    <w:rsid w:val="003B4A2C"/>
    <w:rsid w:val="003B5B61"/>
    <w:rsid w:val="003C1654"/>
    <w:rsid w:val="003C51BD"/>
    <w:rsid w:val="003C583E"/>
    <w:rsid w:val="003C7D19"/>
    <w:rsid w:val="003D168B"/>
    <w:rsid w:val="003D1828"/>
    <w:rsid w:val="003D1DE4"/>
    <w:rsid w:val="003D2422"/>
    <w:rsid w:val="003D2D00"/>
    <w:rsid w:val="003D39A1"/>
    <w:rsid w:val="003D3B9E"/>
    <w:rsid w:val="003D3FBF"/>
    <w:rsid w:val="003D4A30"/>
    <w:rsid w:val="003D5A85"/>
    <w:rsid w:val="003D68DF"/>
    <w:rsid w:val="003D6B49"/>
    <w:rsid w:val="003D79BB"/>
    <w:rsid w:val="003D7C98"/>
    <w:rsid w:val="003E0543"/>
    <w:rsid w:val="003E21D0"/>
    <w:rsid w:val="003E31D4"/>
    <w:rsid w:val="003E39FF"/>
    <w:rsid w:val="003E46DE"/>
    <w:rsid w:val="003E5446"/>
    <w:rsid w:val="003E5CD9"/>
    <w:rsid w:val="003E7F24"/>
    <w:rsid w:val="003F1B6C"/>
    <w:rsid w:val="003F26F5"/>
    <w:rsid w:val="003F4156"/>
    <w:rsid w:val="003F4E15"/>
    <w:rsid w:val="00400B29"/>
    <w:rsid w:val="004018A1"/>
    <w:rsid w:val="0040504B"/>
    <w:rsid w:val="00406781"/>
    <w:rsid w:val="00410708"/>
    <w:rsid w:val="00410EC7"/>
    <w:rsid w:val="00411B39"/>
    <w:rsid w:val="00412887"/>
    <w:rsid w:val="00413A1E"/>
    <w:rsid w:val="00414476"/>
    <w:rsid w:val="00414C2E"/>
    <w:rsid w:val="004151CF"/>
    <w:rsid w:val="00416364"/>
    <w:rsid w:val="00420AA6"/>
    <w:rsid w:val="00420B9F"/>
    <w:rsid w:val="00421409"/>
    <w:rsid w:val="00422260"/>
    <w:rsid w:val="0042299A"/>
    <w:rsid w:val="0042413F"/>
    <w:rsid w:val="00426587"/>
    <w:rsid w:val="00430139"/>
    <w:rsid w:val="004319F8"/>
    <w:rsid w:val="00431E55"/>
    <w:rsid w:val="004321F6"/>
    <w:rsid w:val="00433044"/>
    <w:rsid w:val="00433162"/>
    <w:rsid w:val="00433ED9"/>
    <w:rsid w:val="00434D84"/>
    <w:rsid w:val="004371CD"/>
    <w:rsid w:val="004375B9"/>
    <w:rsid w:val="0044203D"/>
    <w:rsid w:val="004428D0"/>
    <w:rsid w:val="00443D0B"/>
    <w:rsid w:val="004443A7"/>
    <w:rsid w:val="0044442C"/>
    <w:rsid w:val="00445941"/>
    <w:rsid w:val="004464EB"/>
    <w:rsid w:val="0044797B"/>
    <w:rsid w:val="00447A84"/>
    <w:rsid w:val="00447D26"/>
    <w:rsid w:val="00450256"/>
    <w:rsid w:val="00452405"/>
    <w:rsid w:val="00454BDA"/>
    <w:rsid w:val="00455D45"/>
    <w:rsid w:val="0045637F"/>
    <w:rsid w:val="00462857"/>
    <w:rsid w:val="00463143"/>
    <w:rsid w:val="00464595"/>
    <w:rsid w:val="00464BCA"/>
    <w:rsid w:val="00467ADF"/>
    <w:rsid w:val="00472133"/>
    <w:rsid w:val="00472A79"/>
    <w:rsid w:val="0047380E"/>
    <w:rsid w:val="00473F19"/>
    <w:rsid w:val="0047434A"/>
    <w:rsid w:val="00475E22"/>
    <w:rsid w:val="0048088E"/>
    <w:rsid w:val="00481508"/>
    <w:rsid w:val="00482720"/>
    <w:rsid w:val="004835E7"/>
    <w:rsid w:val="004867E2"/>
    <w:rsid w:val="004867F0"/>
    <w:rsid w:val="004868BB"/>
    <w:rsid w:val="00491B3A"/>
    <w:rsid w:val="00491CC2"/>
    <w:rsid w:val="00492CFD"/>
    <w:rsid w:val="0049383A"/>
    <w:rsid w:val="00493E59"/>
    <w:rsid w:val="00494DD5"/>
    <w:rsid w:val="0049613B"/>
    <w:rsid w:val="004962D2"/>
    <w:rsid w:val="00497BAF"/>
    <w:rsid w:val="004A0DA1"/>
    <w:rsid w:val="004A106E"/>
    <w:rsid w:val="004A1B61"/>
    <w:rsid w:val="004A48FD"/>
    <w:rsid w:val="004A52E9"/>
    <w:rsid w:val="004A6597"/>
    <w:rsid w:val="004A7848"/>
    <w:rsid w:val="004A7D80"/>
    <w:rsid w:val="004B1CB4"/>
    <w:rsid w:val="004B22B2"/>
    <w:rsid w:val="004B2977"/>
    <w:rsid w:val="004B2F18"/>
    <w:rsid w:val="004B3078"/>
    <w:rsid w:val="004B3DDB"/>
    <w:rsid w:val="004B44FD"/>
    <w:rsid w:val="004B5CFC"/>
    <w:rsid w:val="004B774D"/>
    <w:rsid w:val="004C4207"/>
    <w:rsid w:val="004C4542"/>
    <w:rsid w:val="004C4A41"/>
    <w:rsid w:val="004C4AED"/>
    <w:rsid w:val="004C4EFA"/>
    <w:rsid w:val="004C6019"/>
    <w:rsid w:val="004C70A9"/>
    <w:rsid w:val="004C7B4E"/>
    <w:rsid w:val="004D0D48"/>
    <w:rsid w:val="004D2529"/>
    <w:rsid w:val="004D2C2D"/>
    <w:rsid w:val="004D4273"/>
    <w:rsid w:val="004D65C8"/>
    <w:rsid w:val="004D7227"/>
    <w:rsid w:val="004D7B4F"/>
    <w:rsid w:val="004E0031"/>
    <w:rsid w:val="004E0E7F"/>
    <w:rsid w:val="004E0EB8"/>
    <w:rsid w:val="004E266C"/>
    <w:rsid w:val="004E2ADC"/>
    <w:rsid w:val="004E360F"/>
    <w:rsid w:val="004E43B2"/>
    <w:rsid w:val="004E4A1E"/>
    <w:rsid w:val="004E4AC2"/>
    <w:rsid w:val="004F1D02"/>
    <w:rsid w:val="004F2679"/>
    <w:rsid w:val="004F2F21"/>
    <w:rsid w:val="004F64D3"/>
    <w:rsid w:val="004F6913"/>
    <w:rsid w:val="004F7865"/>
    <w:rsid w:val="0050219B"/>
    <w:rsid w:val="005033E5"/>
    <w:rsid w:val="00503F17"/>
    <w:rsid w:val="00506928"/>
    <w:rsid w:val="005115B2"/>
    <w:rsid w:val="005122DB"/>
    <w:rsid w:val="00513F55"/>
    <w:rsid w:val="005152B5"/>
    <w:rsid w:val="00516CFA"/>
    <w:rsid w:val="00516DB2"/>
    <w:rsid w:val="00517443"/>
    <w:rsid w:val="00521319"/>
    <w:rsid w:val="0052250D"/>
    <w:rsid w:val="00522BC8"/>
    <w:rsid w:val="00523C28"/>
    <w:rsid w:val="00523DAB"/>
    <w:rsid w:val="005248B8"/>
    <w:rsid w:val="00526CB3"/>
    <w:rsid w:val="0052740D"/>
    <w:rsid w:val="005330A7"/>
    <w:rsid w:val="00535B9D"/>
    <w:rsid w:val="00536F42"/>
    <w:rsid w:val="00537182"/>
    <w:rsid w:val="00537962"/>
    <w:rsid w:val="00541DC0"/>
    <w:rsid w:val="00542743"/>
    <w:rsid w:val="00542C2D"/>
    <w:rsid w:val="0055047A"/>
    <w:rsid w:val="00551020"/>
    <w:rsid w:val="00551985"/>
    <w:rsid w:val="00552BD3"/>
    <w:rsid w:val="00554E07"/>
    <w:rsid w:val="00555109"/>
    <w:rsid w:val="00557424"/>
    <w:rsid w:val="0055787B"/>
    <w:rsid w:val="005600F6"/>
    <w:rsid w:val="00563369"/>
    <w:rsid w:val="00563613"/>
    <w:rsid w:val="00564C83"/>
    <w:rsid w:val="0056696F"/>
    <w:rsid w:val="00570B56"/>
    <w:rsid w:val="00572269"/>
    <w:rsid w:val="0057244A"/>
    <w:rsid w:val="00573C14"/>
    <w:rsid w:val="005756ED"/>
    <w:rsid w:val="00575D8D"/>
    <w:rsid w:val="00576972"/>
    <w:rsid w:val="005824E1"/>
    <w:rsid w:val="00583699"/>
    <w:rsid w:val="00585CDD"/>
    <w:rsid w:val="00587058"/>
    <w:rsid w:val="00591957"/>
    <w:rsid w:val="00592EBD"/>
    <w:rsid w:val="005951CE"/>
    <w:rsid w:val="00597793"/>
    <w:rsid w:val="00597BF9"/>
    <w:rsid w:val="00597D63"/>
    <w:rsid w:val="005A0F7D"/>
    <w:rsid w:val="005A2125"/>
    <w:rsid w:val="005A373D"/>
    <w:rsid w:val="005B3582"/>
    <w:rsid w:val="005B5857"/>
    <w:rsid w:val="005B698A"/>
    <w:rsid w:val="005C1B83"/>
    <w:rsid w:val="005C2457"/>
    <w:rsid w:val="005C256D"/>
    <w:rsid w:val="005C2D55"/>
    <w:rsid w:val="005C346B"/>
    <w:rsid w:val="005C6FDC"/>
    <w:rsid w:val="005D044D"/>
    <w:rsid w:val="005D0ABD"/>
    <w:rsid w:val="005D18AD"/>
    <w:rsid w:val="005D26B4"/>
    <w:rsid w:val="005D4FF9"/>
    <w:rsid w:val="005D517B"/>
    <w:rsid w:val="005D55A0"/>
    <w:rsid w:val="005D626B"/>
    <w:rsid w:val="005E6CBC"/>
    <w:rsid w:val="005E7270"/>
    <w:rsid w:val="005E73C0"/>
    <w:rsid w:val="005F2706"/>
    <w:rsid w:val="005F429A"/>
    <w:rsid w:val="005F6118"/>
    <w:rsid w:val="005F6A8F"/>
    <w:rsid w:val="005F6D72"/>
    <w:rsid w:val="005F70C2"/>
    <w:rsid w:val="00601082"/>
    <w:rsid w:val="006026EB"/>
    <w:rsid w:val="00603DB9"/>
    <w:rsid w:val="0060549F"/>
    <w:rsid w:val="0060637C"/>
    <w:rsid w:val="00607669"/>
    <w:rsid w:val="00607AFD"/>
    <w:rsid w:val="00612DCF"/>
    <w:rsid w:val="00612F97"/>
    <w:rsid w:val="006133AA"/>
    <w:rsid w:val="0061345D"/>
    <w:rsid w:val="00613737"/>
    <w:rsid w:val="00613AD0"/>
    <w:rsid w:val="00616802"/>
    <w:rsid w:val="00617E12"/>
    <w:rsid w:val="00621477"/>
    <w:rsid w:val="00622A21"/>
    <w:rsid w:val="00625AB6"/>
    <w:rsid w:val="0062698B"/>
    <w:rsid w:val="00627D6A"/>
    <w:rsid w:val="00630135"/>
    <w:rsid w:val="0063158F"/>
    <w:rsid w:val="00631D6B"/>
    <w:rsid w:val="006330A1"/>
    <w:rsid w:val="0063479F"/>
    <w:rsid w:val="006353F0"/>
    <w:rsid w:val="006364A1"/>
    <w:rsid w:val="00636BD2"/>
    <w:rsid w:val="00637BFD"/>
    <w:rsid w:val="00641C4E"/>
    <w:rsid w:val="00643D63"/>
    <w:rsid w:val="00645018"/>
    <w:rsid w:val="006471CC"/>
    <w:rsid w:val="00647CBD"/>
    <w:rsid w:val="0065079F"/>
    <w:rsid w:val="00651EE9"/>
    <w:rsid w:val="006530DA"/>
    <w:rsid w:val="0065379F"/>
    <w:rsid w:val="00661C6B"/>
    <w:rsid w:val="00674E42"/>
    <w:rsid w:val="00675752"/>
    <w:rsid w:val="006772B6"/>
    <w:rsid w:val="00680E7D"/>
    <w:rsid w:val="00682112"/>
    <w:rsid w:val="00685AFD"/>
    <w:rsid w:val="00686957"/>
    <w:rsid w:val="006872BA"/>
    <w:rsid w:val="00691648"/>
    <w:rsid w:val="006917D7"/>
    <w:rsid w:val="006932CE"/>
    <w:rsid w:val="00694F44"/>
    <w:rsid w:val="006963C8"/>
    <w:rsid w:val="006A4B01"/>
    <w:rsid w:val="006A6C6A"/>
    <w:rsid w:val="006A7E5F"/>
    <w:rsid w:val="006B236F"/>
    <w:rsid w:val="006B261B"/>
    <w:rsid w:val="006B293E"/>
    <w:rsid w:val="006B2C90"/>
    <w:rsid w:val="006B350F"/>
    <w:rsid w:val="006B6DD0"/>
    <w:rsid w:val="006B7171"/>
    <w:rsid w:val="006C2A8E"/>
    <w:rsid w:val="006C327B"/>
    <w:rsid w:val="006C6875"/>
    <w:rsid w:val="006D034A"/>
    <w:rsid w:val="006D0389"/>
    <w:rsid w:val="006D0BA1"/>
    <w:rsid w:val="006D141C"/>
    <w:rsid w:val="006D3C7D"/>
    <w:rsid w:val="006D5D5F"/>
    <w:rsid w:val="006D773F"/>
    <w:rsid w:val="006E5C31"/>
    <w:rsid w:val="006E5FB0"/>
    <w:rsid w:val="006F2206"/>
    <w:rsid w:val="006F2498"/>
    <w:rsid w:val="006F306C"/>
    <w:rsid w:val="006F51C6"/>
    <w:rsid w:val="006F54B1"/>
    <w:rsid w:val="006F54CE"/>
    <w:rsid w:val="006F63A5"/>
    <w:rsid w:val="00700080"/>
    <w:rsid w:val="0070142B"/>
    <w:rsid w:val="0070276E"/>
    <w:rsid w:val="00702F8F"/>
    <w:rsid w:val="0070451A"/>
    <w:rsid w:val="00704A15"/>
    <w:rsid w:val="0070689D"/>
    <w:rsid w:val="00711A36"/>
    <w:rsid w:val="0071412B"/>
    <w:rsid w:val="0071529C"/>
    <w:rsid w:val="007172AD"/>
    <w:rsid w:val="00717C24"/>
    <w:rsid w:val="00722B1B"/>
    <w:rsid w:val="00723B89"/>
    <w:rsid w:val="0072409D"/>
    <w:rsid w:val="0072416F"/>
    <w:rsid w:val="007254A6"/>
    <w:rsid w:val="00727C94"/>
    <w:rsid w:val="00731EAE"/>
    <w:rsid w:val="00735033"/>
    <w:rsid w:val="00735328"/>
    <w:rsid w:val="0073685B"/>
    <w:rsid w:val="007379BB"/>
    <w:rsid w:val="00746EB0"/>
    <w:rsid w:val="00752142"/>
    <w:rsid w:val="007523F9"/>
    <w:rsid w:val="007535C7"/>
    <w:rsid w:val="00755C5D"/>
    <w:rsid w:val="0075623E"/>
    <w:rsid w:val="007573E8"/>
    <w:rsid w:val="00760C4E"/>
    <w:rsid w:val="00760E68"/>
    <w:rsid w:val="007642F5"/>
    <w:rsid w:val="00765439"/>
    <w:rsid w:val="00765B1A"/>
    <w:rsid w:val="00766E38"/>
    <w:rsid w:val="007676E6"/>
    <w:rsid w:val="00774DC8"/>
    <w:rsid w:val="00776B40"/>
    <w:rsid w:val="00781B79"/>
    <w:rsid w:val="00782A1E"/>
    <w:rsid w:val="007843F2"/>
    <w:rsid w:val="0078731B"/>
    <w:rsid w:val="00790592"/>
    <w:rsid w:val="007909D3"/>
    <w:rsid w:val="007A0163"/>
    <w:rsid w:val="007A0A12"/>
    <w:rsid w:val="007A132D"/>
    <w:rsid w:val="007A241A"/>
    <w:rsid w:val="007A2C22"/>
    <w:rsid w:val="007A398C"/>
    <w:rsid w:val="007A4E96"/>
    <w:rsid w:val="007B0D68"/>
    <w:rsid w:val="007B251D"/>
    <w:rsid w:val="007B362E"/>
    <w:rsid w:val="007B4F58"/>
    <w:rsid w:val="007B528D"/>
    <w:rsid w:val="007B77D1"/>
    <w:rsid w:val="007C1CD9"/>
    <w:rsid w:val="007C361D"/>
    <w:rsid w:val="007C4B55"/>
    <w:rsid w:val="007C4B84"/>
    <w:rsid w:val="007C4DA1"/>
    <w:rsid w:val="007C63A7"/>
    <w:rsid w:val="007C7D92"/>
    <w:rsid w:val="007D004F"/>
    <w:rsid w:val="007D0B38"/>
    <w:rsid w:val="007D15EC"/>
    <w:rsid w:val="007D205D"/>
    <w:rsid w:val="007D2F4E"/>
    <w:rsid w:val="007D5440"/>
    <w:rsid w:val="007E5FA5"/>
    <w:rsid w:val="007F1017"/>
    <w:rsid w:val="007F1A11"/>
    <w:rsid w:val="007F4913"/>
    <w:rsid w:val="007F4A3F"/>
    <w:rsid w:val="007F4A61"/>
    <w:rsid w:val="007F61C2"/>
    <w:rsid w:val="007F6C60"/>
    <w:rsid w:val="007F6F43"/>
    <w:rsid w:val="007F745E"/>
    <w:rsid w:val="00803CF6"/>
    <w:rsid w:val="008049D3"/>
    <w:rsid w:val="00805142"/>
    <w:rsid w:val="008057CE"/>
    <w:rsid w:val="00807A8B"/>
    <w:rsid w:val="00807C50"/>
    <w:rsid w:val="00810EC9"/>
    <w:rsid w:val="00811383"/>
    <w:rsid w:val="00812149"/>
    <w:rsid w:val="00812CAC"/>
    <w:rsid w:val="008166EF"/>
    <w:rsid w:val="00817F4D"/>
    <w:rsid w:val="00820AC8"/>
    <w:rsid w:val="008210F6"/>
    <w:rsid w:val="00823015"/>
    <w:rsid w:val="00825751"/>
    <w:rsid w:val="008264EB"/>
    <w:rsid w:val="00826ABD"/>
    <w:rsid w:val="008321BB"/>
    <w:rsid w:val="00833B05"/>
    <w:rsid w:val="00834F8C"/>
    <w:rsid w:val="008362B4"/>
    <w:rsid w:val="00840CA2"/>
    <w:rsid w:val="0084374F"/>
    <w:rsid w:val="00847DF5"/>
    <w:rsid w:val="0085309D"/>
    <w:rsid w:val="008546AE"/>
    <w:rsid w:val="00856359"/>
    <w:rsid w:val="00856897"/>
    <w:rsid w:val="00856AB2"/>
    <w:rsid w:val="00856E9A"/>
    <w:rsid w:val="0086075D"/>
    <w:rsid w:val="00862502"/>
    <w:rsid w:val="008628E2"/>
    <w:rsid w:val="00865790"/>
    <w:rsid w:val="008660D4"/>
    <w:rsid w:val="008710B9"/>
    <w:rsid w:val="008718FD"/>
    <w:rsid w:val="00871FA9"/>
    <w:rsid w:val="008728E9"/>
    <w:rsid w:val="00876226"/>
    <w:rsid w:val="00876600"/>
    <w:rsid w:val="008804A2"/>
    <w:rsid w:val="0088079E"/>
    <w:rsid w:val="00882874"/>
    <w:rsid w:val="00883787"/>
    <w:rsid w:val="00884CC4"/>
    <w:rsid w:val="00886CD2"/>
    <w:rsid w:val="00892A36"/>
    <w:rsid w:val="00893239"/>
    <w:rsid w:val="00894489"/>
    <w:rsid w:val="0089551A"/>
    <w:rsid w:val="008963A5"/>
    <w:rsid w:val="008A1DD1"/>
    <w:rsid w:val="008A20F9"/>
    <w:rsid w:val="008A3363"/>
    <w:rsid w:val="008A3371"/>
    <w:rsid w:val="008A3C3E"/>
    <w:rsid w:val="008A79DE"/>
    <w:rsid w:val="008B0FF9"/>
    <w:rsid w:val="008B1757"/>
    <w:rsid w:val="008B4AEE"/>
    <w:rsid w:val="008B5310"/>
    <w:rsid w:val="008B6592"/>
    <w:rsid w:val="008B6B5F"/>
    <w:rsid w:val="008B7CF6"/>
    <w:rsid w:val="008B7D7E"/>
    <w:rsid w:val="008C3466"/>
    <w:rsid w:val="008C7ECB"/>
    <w:rsid w:val="008D0692"/>
    <w:rsid w:val="008D474D"/>
    <w:rsid w:val="008D4755"/>
    <w:rsid w:val="008D4C3D"/>
    <w:rsid w:val="008D77A7"/>
    <w:rsid w:val="008E0D3C"/>
    <w:rsid w:val="008E1B9E"/>
    <w:rsid w:val="008E2198"/>
    <w:rsid w:val="008E21B9"/>
    <w:rsid w:val="008E2272"/>
    <w:rsid w:val="008E55AB"/>
    <w:rsid w:val="008E76B4"/>
    <w:rsid w:val="008F041B"/>
    <w:rsid w:val="008F120A"/>
    <w:rsid w:val="008F27E0"/>
    <w:rsid w:val="008F4139"/>
    <w:rsid w:val="008F48EB"/>
    <w:rsid w:val="008F4F0B"/>
    <w:rsid w:val="009046C4"/>
    <w:rsid w:val="009062A5"/>
    <w:rsid w:val="00906E62"/>
    <w:rsid w:val="00911272"/>
    <w:rsid w:val="009135D6"/>
    <w:rsid w:val="00914C77"/>
    <w:rsid w:val="0091744F"/>
    <w:rsid w:val="00921E6D"/>
    <w:rsid w:val="00922DEA"/>
    <w:rsid w:val="0092369B"/>
    <w:rsid w:val="00923CC5"/>
    <w:rsid w:val="00933870"/>
    <w:rsid w:val="009343F5"/>
    <w:rsid w:val="0093466F"/>
    <w:rsid w:val="009374D0"/>
    <w:rsid w:val="0094316F"/>
    <w:rsid w:val="0095085F"/>
    <w:rsid w:val="009510A2"/>
    <w:rsid w:val="00953257"/>
    <w:rsid w:val="00954184"/>
    <w:rsid w:val="00956E38"/>
    <w:rsid w:val="00962CB9"/>
    <w:rsid w:val="0096306E"/>
    <w:rsid w:val="00964312"/>
    <w:rsid w:val="00965B8A"/>
    <w:rsid w:val="00967486"/>
    <w:rsid w:val="009717AC"/>
    <w:rsid w:val="009737C1"/>
    <w:rsid w:val="00974C17"/>
    <w:rsid w:val="0097572A"/>
    <w:rsid w:val="009812AA"/>
    <w:rsid w:val="00981C0C"/>
    <w:rsid w:val="00983E57"/>
    <w:rsid w:val="0098574E"/>
    <w:rsid w:val="0098627D"/>
    <w:rsid w:val="0098675D"/>
    <w:rsid w:val="00987A18"/>
    <w:rsid w:val="009917A4"/>
    <w:rsid w:val="00991A52"/>
    <w:rsid w:val="00996B1A"/>
    <w:rsid w:val="009A3EE0"/>
    <w:rsid w:val="009A45A7"/>
    <w:rsid w:val="009A7F10"/>
    <w:rsid w:val="009B3E26"/>
    <w:rsid w:val="009B4BEC"/>
    <w:rsid w:val="009C5A1C"/>
    <w:rsid w:val="009C6CEA"/>
    <w:rsid w:val="009C7B66"/>
    <w:rsid w:val="009C7B85"/>
    <w:rsid w:val="009D1BC9"/>
    <w:rsid w:val="009D2D6A"/>
    <w:rsid w:val="009D5B91"/>
    <w:rsid w:val="009D792E"/>
    <w:rsid w:val="009E0DFE"/>
    <w:rsid w:val="009E219F"/>
    <w:rsid w:val="009E42C1"/>
    <w:rsid w:val="009E4C07"/>
    <w:rsid w:val="009F1DAD"/>
    <w:rsid w:val="009F2E8B"/>
    <w:rsid w:val="009F349B"/>
    <w:rsid w:val="009F6E1A"/>
    <w:rsid w:val="009F7093"/>
    <w:rsid w:val="009F79E9"/>
    <w:rsid w:val="00A01184"/>
    <w:rsid w:val="00A030AF"/>
    <w:rsid w:val="00A030EA"/>
    <w:rsid w:val="00A03D43"/>
    <w:rsid w:val="00A04380"/>
    <w:rsid w:val="00A11CD0"/>
    <w:rsid w:val="00A1307E"/>
    <w:rsid w:val="00A13948"/>
    <w:rsid w:val="00A15097"/>
    <w:rsid w:val="00A1555B"/>
    <w:rsid w:val="00A155C5"/>
    <w:rsid w:val="00A16AD8"/>
    <w:rsid w:val="00A17F66"/>
    <w:rsid w:val="00A21CF3"/>
    <w:rsid w:val="00A23664"/>
    <w:rsid w:val="00A27AEC"/>
    <w:rsid w:val="00A30051"/>
    <w:rsid w:val="00A320DB"/>
    <w:rsid w:val="00A34A03"/>
    <w:rsid w:val="00A35D16"/>
    <w:rsid w:val="00A37BCD"/>
    <w:rsid w:val="00A43196"/>
    <w:rsid w:val="00A43465"/>
    <w:rsid w:val="00A43C59"/>
    <w:rsid w:val="00A44E3A"/>
    <w:rsid w:val="00A50388"/>
    <w:rsid w:val="00A50ECD"/>
    <w:rsid w:val="00A518F3"/>
    <w:rsid w:val="00A52729"/>
    <w:rsid w:val="00A52B00"/>
    <w:rsid w:val="00A53675"/>
    <w:rsid w:val="00A564D7"/>
    <w:rsid w:val="00A5679C"/>
    <w:rsid w:val="00A56B6A"/>
    <w:rsid w:val="00A578DC"/>
    <w:rsid w:val="00A61E6E"/>
    <w:rsid w:val="00A6725B"/>
    <w:rsid w:val="00A702DA"/>
    <w:rsid w:val="00A70605"/>
    <w:rsid w:val="00A7074C"/>
    <w:rsid w:val="00A73134"/>
    <w:rsid w:val="00A777B2"/>
    <w:rsid w:val="00A82F20"/>
    <w:rsid w:val="00A86E8B"/>
    <w:rsid w:val="00A87164"/>
    <w:rsid w:val="00A91E8C"/>
    <w:rsid w:val="00A93072"/>
    <w:rsid w:val="00A93953"/>
    <w:rsid w:val="00A93D18"/>
    <w:rsid w:val="00A959D8"/>
    <w:rsid w:val="00AA113D"/>
    <w:rsid w:val="00AA3A10"/>
    <w:rsid w:val="00AA3C7F"/>
    <w:rsid w:val="00AA6C62"/>
    <w:rsid w:val="00AA6C7D"/>
    <w:rsid w:val="00AA7FD6"/>
    <w:rsid w:val="00AB042A"/>
    <w:rsid w:val="00AB140F"/>
    <w:rsid w:val="00AB2D34"/>
    <w:rsid w:val="00AB3430"/>
    <w:rsid w:val="00AB4AD1"/>
    <w:rsid w:val="00AB5169"/>
    <w:rsid w:val="00AB5DD1"/>
    <w:rsid w:val="00AB7CFA"/>
    <w:rsid w:val="00AC12BB"/>
    <w:rsid w:val="00AC13BD"/>
    <w:rsid w:val="00AC43C1"/>
    <w:rsid w:val="00AC5B48"/>
    <w:rsid w:val="00AC617C"/>
    <w:rsid w:val="00AD16D0"/>
    <w:rsid w:val="00AD56F1"/>
    <w:rsid w:val="00AD64E2"/>
    <w:rsid w:val="00AD6502"/>
    <w:rsid w:val="00AE4A74"/>
    <w:rsid w:val="00AE6FA0"/>
    <w:rsid w:val="00AE7118"/>
    <w:rsid w:val="00AF1315"/>
    <w:rsid w:val="00AF19BF"/>
    <w:rsid w:val="00AF2DC3"/>
    <w:rsid w:val="00AF7792"/>
    <w:rsid w:val="00AF7995"/>
    <w:rsid w:val="00B00F21"/>
    <w:rsid w:val="00B010C9"/>
    <w:rsid w:val="00B0261B"/>
    <w:rsid w:val="00B029AF"/>
    <w:rsid w:val="00B033E5"/>
    <w:rsid w:val="00B03A63"/>
    <w:rsid w:val="00B04FA5"/>
    <w:rsid w:val="00B055B5"/>
    <w:rsid w:val="00B06E2B"/>
    <w:rsid w:val="00B07C2F"/>
    <w:rsid w:val="00B10538"/>
    <w:rsid w:val="00B11079"/>
    <w:rsid w:val="00B201A4"/>
    <w:rsid w:val="00B20EAA"/>
    <w:rsid w:val="00B213A6"/>
    <w:rsid w:val="00B213EB"/>
    <w:rsid w:val="00B2335C"/>
    <w:rsid w:val="00B24DF6"/>
    <w:rsid w:val="00B26A2D"/>
    <w:rsid w:val="00B26DEA"/>
    <w:rsid w:val="00B30937"/>
    <w:rsid w:val="00B34FE2"/>
    <w:rsid w:val="00B3509D"/>
    <w:rsid w:val="00B357D8"/>
    <w:rsid w:val="00B36814"/>
    <w:rsid w:val="00B37BFC"/>
    <w:rsid w:val="00B40358"/>
    <w:rsid w:val="00B41614"/>
    <w:rsid w:val="00B42851"/>
    <w:rsid w:val="00B42F80"/>
    <w:rsid w:val="00B43007"/>
    <w:rsid w:val="00B435CB"/>
    <w:rsid w:val="00B445F6"/>
    <w:rsid w:val="00B45A38"/>
    <w:rsid w:val="00B46C6B"/>
    <w:rsid w:val="00B50DB8"/>
    <w:rsid w:val="00B53654"/>
    <w:rsid w:val="00B53905"/>
    <w:rsid w:val="00B54B5B"/>
    <w:rsid w:val="00B5562E"/>
    <w:rsid w:val="00B57000"/>
    <w:rsid w:val="00B60939"/>
    <w:rsid w:val="00B60AFD"/>
    <w:rsid w:val="00B62715"/>
    <w:rsid w:val="00B714A8"/>
    <w:rsid w:val="00B72D09"/>
    <w:rsid w:val="00B74D5A"/>
    <w:rsid w:val="00B81210"/>
    <w:rsid w:val="00B818A4"/>
    <w:rsid w:val="00B81CEA"/>
    <w:rsid w:val="00B81D1F"/>
    <w:rsid w:val="00B84117"/>
    <w:rsid w:val="00B85AA2"/>
    <w:rsid w:val="00B862C7"/>
    <w:rsid w:val="00B8649C"/>
    <w:rsid w:val="00B87F0A"/>
    <w:rsid w:val="00B92D0B"/>
    <w:rsid w:val="00B94945"/>
    <w:rsid w:val="00B95443"/>
    <w:rsid w:val="00B974FA"/>
    <w:rsid w:val="00BA322D"/>
    <w:rsid w:val="00BA492F"/>
    <w:rsid w:val="00BA5AC6"/>
    <w:rsid w:val="00BA725C"/>
    <w:rsid w:val="00BA7A1B"/>
    <w:rsid w:val="00BB0BDD"/>
    <w:rsid w:val="00BB2307"/>
    <w:rsid w:val="00BB2791"/>
    <w:rsid w:val="00BB282C"/>
    <w:rsid w:val="00BB2A73"/>
    <w:rsid w:val="00BB4ACC"/>
    <w:rsid w:val="00BB6D78"/>
    <w:rsid w:val="00BB703E"/>
    <w:rsid w:val="00BB7405"/>
    <w:rsid w:val="00BC0E65"/>
    <w:rsid w:val="00BC3631"/>
    <w:rsid w:val="00BC43FC"/>
    <w:rsid w:val="00BC7E46"/>
    <w:rsid w:val="00BD2540"/>
    <w:rsid w:val="00BD68A3"/>
    <w:rsid w:val="00BD6938"/>
    <w:rsid w:val="00BD6CF3"/>
    <w:rsid w:val="00BE1E7C"/>
    <w:rsid w:val="00BE2180"/>
    <w:rsid w:val="00BE21F2"/>
    <w:rsid w:val="00BE4275"/>
    <w:rsid w:val="00BE505C"/>
    <w:rsid w:val="00BE559D"/>
    <w:rsid w:val="00BE5A01"/>
    <w:rsid w:val="00BF0F95"/>
    <w:rsid w:val="00BF21B6"/>
    <w:rsid w:val="00BF2433"/>
    <w:rsid w:val="00BF61C9"/>
    <w:rsid w:val="00BF6C94"/>
    <w:rsid w:val="00C00424"/>
    <w:rsid w:val="00C0068D"/>
    <w:rsid w:val="00C00ADC"/>
    <w:rsid w:val="00C0476A"/>
    <w:rsid w:val="00C0722C"/>
    <w:rsid w:val="00C109EE"/>
    <w:rsid w:val="00C124FE"/>
    <w:rsid w:val="00C12C14"/>
    <w:rsid w:val="00C131AF"/>
    <w:rsid w:val="00C14ACB"/>
    <w:rsid w:val="00C200AA"/>
    <w:rsid w:val="00C21D67"/>
    <w:rsid w:val="00C2265D"/>
    <w:rsid w:val="00C22CEB"/>
    <w:rsid w:val="00C237ED"/>
    <w:rsid w:val="00C24632"/>
    <w:rsid w:val="00C25418"/>
    <w:rsid w:val="00C25D9C"/>
    <w:rsid w:val="00C25FB9"/>
    <w:rsid w:val="00C2778B"/>
    <w:rsid w:val="00C31649"/>
    <w:rsid w:val="00C3435D"/>
    <w:rsid w:val="00C40385"/>
    <w:rsid w:val="00C40EB5"/>
    <w:rsid w:val="00C4407A"/>
    <w:rsid w:val="00C45017"/>
    <w:rsid w:val="00C475AA"/>
    <w:rsid w:val="00C51900"/>
    <w:rsid w:val="00C51D2B"/>
    <w:rsid w:val="00C54A04"/>
    <w:rsid w:val="00C55DB2"/>
    <w:rsid w:val="00C609B1"/>
    <w:rsid w:val="00C610FC"/>
    <w:rsid w:val="00C64515"/>
    <w:rsid w:val="00C65576"/>
    <w:rsid w:val="00C65DBC"/>
    <w:rsid w:val="00C66165"/>
    <w:rsid w:val="00C71342"/>
    <w:rsid w:val="00C7151A"/>
    <w:rsid w:val="00C71F60"/>
    <w:rsid w:val="00C72241"/>
    <w:rsid w:val="00C7251A"/>
    <w:rsid w:val="00C750C8"/>
    <w:rsid w:val="00C7560F"/>
    <w:rsid w:val="00C80A0E"/>
    <w:rsid w:val="00C814F1"/>
    <w:rsid w:val="00C8213F"/>
    <w:rsid w:val="00C852F9"/>
    <w:rsid w:val="00C8797A"/>
    <w:rsid w:val="00C900B8"/>
    <w:rsid w:val="00C90C71"/>
    <w:rsid w:val="00C911B0"/>
    <w:rsid w:val="00C915A0"/>
    <w:rsid w:val="00C92395"/>
    <w:rsid w:val="00C931CF"/>
    <w:rsid w:val="00C938CF"/>
    <w:rsid w:val="00C9482F"/>
    <w:rsid w:val="00C952B2"/>
    <w:rsid w:val="00C95657"/>
    <w:rsid w:val="00C9624D"/>
    <w:rsid w:val="00C965C4"/>
    <w:rsid w:val="00C969DA"/>
    <w:rsid w:val="00C96A92"/>
    <w:rsid w:val="00C97B4D"/>
    <w:rsid w:val="00CA03CF"/>
    <w:rsid w:val="00CA2C77"/>
    <w:rsid w:val="00CA4396"/>
    <w:rsid w:val="00CA444F"/>
    <w:rsid w:val="00CA5245"/>
    <w:rsid w:val="00CA71F4"/>
    <w:rsid w:val="00CA7B09"/>
    <w:rsid w:val="00CB2F2A"/>
    <w:rsid w:val="00CB3033"/>
    <w:rsid w:val="00CB55D0"/>
    <w:rsid w:val="00CB5B1A"/>
    <w:rsid w:val="00CB5C25"/>
    <w:rsid w:val="00CB6B22"/>
    <w:rsid w:val="00CB7F0B"/>
    <w:rsid w:val="00CB7F5F"/>
    <w:rsid w:val="00CC1205"/>
    <w:rsid w:val="00CC1B39"/>
    <w:rsid w:val="00CC2DAD"/>
    <w:rsid w:val="00CC2E4E"/>
    <w:rsid w:val="00CC532C"/>
    <w:rsid w:val="00CC7943"/>
    <w:rsid w:val="00CC7AFD"/>
    <w:rsid w:val="00CD24B5"/>
    <w:rsid w:val="00CD41CB"/>
    <w:rsid w:val="00CD581F"/>
    <w:rsid w:val="00CD6ADC"/>
    <w:rsid w:val="00CD76A3"/>
    <w:rsid w:val="00CE2F2A"/>
    <w:rsid w:val="00CE6274"/>
    <w:rsid w:val="00CE7A0D"/>
    <w:rsid w:val="00CF159B"/>
    <w:rsid w:val="00CF1F97"/>
    <w:rsid w:val="00CF2B8D"/>
    <w:rsid w:val="00CF456B"/>
    <w:rsid w:val="00CF465B"/>
    <w:rsid w:val="00CF5A22"/>
    <w:rsid w:val="00CF726C"/>
    <w:rsid w:val="00D0262E"/>
    <w:rsid w:val="00D040BE"/>
    <w:rsid w:val="00D05FCB"/>
    <w:rsid w:val="00D065B4"/>
    <w:rsid w:val="00D07C74"/>
    <w:rsid w:val="00D110BD"/>
    <w:rsid w:val="00D116B6"/>
    <w:rsid w:val="00D11A28"/>
    <w:rsid w:val="00D13675"/>
    <w:rsid w:val="00D13AD0"/>
    <w:rsid w:val="00D141E1"/>
    <w:rsid w:val="00D17D6C"/>
    <w:rsid w:val="00D24004"/>
    <w:rsid w:val="00D26C44"/>
    <w:rsid w:val="00D2746B"/>
    <w:rsid w:val="00D2754D"/>
    <w:rsid w:val="00D27B27"/>
    <w:rsid w:val="00D30917"/>
    <w:rsid w:val="00D33BE9"/>
    <w:rsid w:val="00D357FF"/>
    <w:rsid w:val="00D362B8"/>
    <w:rsid w:val="00D41C58"/>
    <w:rsid w:val="00D424C7"/>
    <w:rsid w:val="00D43B2A"/>
    <w:rsid w:val="00D445DC"/>
    <w:rsid w:val="00D47575"/>
    <w:rsid w:val="00D50A99"/>
    <w:rsid w:val="00D53FEA"/>
    <w:rsid w:val="00D542E5"/>
    <w:rsid w:val="00D56218"/>
    <w:rsid w:val="00D56B17"/>
    <w:rsid w:val="00D603E1"/>
    <w:rsid w:val="00D6151D"/>
    <w:rsid w:val="00D626E5"/>
    <w:rsid w:val="00D64026"/>
    <w:rsid w:val="00D65E1C"/>
    <w:rsid w:val="00D66CC3"/>
    <w:rsid w:val="00D70F16"/>
    <w:rsid w:val="00D76A44"/>
    <w:rsid w:val="00D772CE"/>
    <w:rsid w:val="00D815EF"/>
    <w:rsid w:val="00D827F4"/>
    <w:rsid w:val="00D86580"/>
    <w:rsid w:val="00D91923"/>
    <w:rsid w:val="00D9261C"/>
    <w:rsid w:val="00D931D2"/>
    <w:rsid w:val="00D93753"/>
    <w:rsid w:val="00D96308"/>
    <w:rsid w:val="00D9769B"/>
    <w:rsid w:val="00DA2900"/>
    <w:rsid w:val="00DA3167"/>
    <w:rsid w:val="00DA4DC3"/>
    <w:rsid w:val="00DA5143"/>
    <w:rsid w:val="00DA77A5"/>
    <w:rsid w:val="00DB0659"/>
    <w:rsid w:val="00DB0E52"/>
    <w:rsid w:val="00DB1E03"/>
    <w:rsid w:val="00DB484F"/>
    <w:rsid w:val="00DB4DB2"/>
    <w:rsid w:val="00DB5CC4"/>
    <w:rsid w:val="00DB7502"/>
    <w:rsid w:val="00DC04F6"/>
    <w:rsid w:val="00DC13C9"/>
    <w:rsid w:val="00DC21B2"/>
    <w:rsid w:val="00DC3C57"/>
    <w:rsid w:val="00DC5501"/>
    <w:rsid w:val="00DC6A3F"/>
    <w:rsid w:val="00DD273C"/>
    <w:rsid w:val="00DD3F28"/>
    <w:rsid w:val="00DD4537"/>
    <w:rsid w:val="00DD4E15"/>
    <w:rsid w:val="00DE3138"/>
    <w:rsid w:val="00DE338A"/>
    <w:rsid w:val="00DE37BF"/>
    <w:rsid w:val="00DE37F8"/>
    <w:rsid w:val="00DE4310"/>
    <w:rsid w:val="00DE4FCB"/>
    <w:rsid w:val="00DE5718"/>
    <w:rsid w:val="00DE7832"/>
    <w:rsid w:val="00DF18FC"/>
    <w:rsid w:val="00DF35C1"/>
    <w:rsid w:val="00DF5D2B"/>
    <w:rsid w:val="00DF62CD"/>
    <w:rsid w:val="00DF7692"/>
    <w:rsid w:val="00E00E8E"/>
    <w:rsid w:val="00E03172"/>
    <w:rsid w:val="00E05630"/>
    <w:rsid w:val="00E06253"/>
    <w:rsid w:val="00E06DBB"/>
    <w:rsid w:val="00E10149"/>
    <w:rsid w:val="00E11861"/>
    <w:rsid w:val="00E13A8B"/>
    <w:rsid w:val="00E15606"/>
    <w:rsid w:val="00E16372"/>
    <w:rsid w:val="00E20E4D"/>
    <w:rsid w:val="00E20ED6"/>
    <w:rsid w:val="00E21358"/>
    <w:rsid w:val="00E2249B"/>
    <w:rsid w:val="00E22A0D"/>
    <w:rsid w:val="00E25A56"/>
    <w:rsid w:val="00E2771E"/>
    <w:rsid w:val="00E323AB"/>
    <w:rsid w:val="00E34948"/>
    <w:rsid w:val="00E35569"/>
    <w:rsid w:val="00E36102"/>
    <w:rsid w:val="00E37569"/>
    <w:rsid w:val="00E375F6"/>
    <w:rsid w:val="00E41E30"/>
    <w:rsid w:val="00E43D70"/>
    <w:rsid w:val="00E466F3"/>
    <w:rsid w:val="00E47B2C"/>
    <w:rsid w:val="00E513A7"/>
    <w:rsid w:val="00E51560"/>
    <w:rsid w:val="00E54347"/>
    <w:rsid w:val="00E54579"/>
    <w:rsid w:val="00E55424"/>
    <w:rsid w:val="00E55BB5"/>
    <w:rsid w:val="00E5691F"/>
    <w:rsid w:val="00E61D01"/>
    <w:rsid w:val="00E62A2C"/>
    <w:rsid w:val="00E63C9D"/>
    <w:rsid w:val="00E65E79"/>
    <w:rsid w:val="00E66BA2"/>
    <w:rsid w:val="00E67416"/>
    <w:rsid w:val="00E718B6"/>
    <w:rsid w:val="00E723BA"/>
    <w:rsid w:val="00E73581"/>
    <w:rsid w:val="00E75FDD"/>
    <w:rsid w:val="00E8037D"/>
    <w:rsid w:val="00E833F7"/>
    <w:rsid w:val="00E83580"/>
    <w:rsid w:val="00E83BDF"/>
    <w:rsid w:val="00E84611"/>
    <w:rsid w:val="00E85675"/>
    <w:rsid w:val="00E87A1D"/>
    <w:rsid w:val="00E926A5"/>
    <w:rsid w:val="00E94DB1"/>
    <w:rsid w:val="00E951ED"/>
    <w:rsid w:val="00E97513"/>
    <w:rsid w:val="00EA04AD"/>
    <w:rsid w:val="00EA1586"/>
    <w:rsid w:val="00EA17C3"/>
    <w:rsid w:val="00EA2CAA"/>
    <w:rsid w:val="00EA3864"/>
    <w:rsid w:val="00EB15B6"/>
    <w:rsid w:val="00EB4916"/>
    <w:rsid w:val="00EB53BA"/>
    <w:rsid w:val="00EC00C9"/>
    <w:rsid w:val="00EC21C4"/>
    <w:rsid w:val="00EC2649"/>
    <w:rsid w:val="00EC39D1"/>
    <w:rsid w:val="00EC3E00"/>
    <w:rsid w:val="00EC7F06"/>
    <w:rsid w:val="00ED155D"/>
    <w:rsid w:val="00ED5193"/>
    <w:rsid w:val="00ED57EA"/>
    <w:rsid w:val="00EE067A"/>
    <w:rsid w:val="00EE07D3"/>
    <w:rsid w:val="00EE22AF"/>
    <w:rsid w:val="00EE4761"/>
    <w:rsid w:val="00EF0171"/>
    <w:rsid w:val="00EF1B25"/>
    <w:rsid w:val="00EF315A"/>
    <w:rsid w:val="00EF3E44"/>
    <w:rsid w:val="00EF4747"/>
    <w:rsid w:val="00EF4BF4"/>
    <w:rsid w:val="00EF4BF8"/>
    <w:rsid w:val="00EF553B"/>
    <w:rsid w:val="00F02253"/>
    <w:rsid w:val="00F03C2E"/>
    <w:rsid w:val="00F04A66"/>
    <w:rsid w:val="00F0516C"/>
    <w:rsid w:val="00F067A2"/>
    <w:rsid w:val="00F10D20"/>
    <w:rsid w:val="00F1263A"/>
    <w:rsid w:val="00F14216"/>
    <w:rsid w:val="00F15063"/>
    <w:rsid w:val="00F24837"/>
    <w:rsid w:val="00F2575F"/>
    <w:rsid w:val="00F27565"/>
    <w:rsid w:val="00F30CCE"/>
    <w:rsid w:val="00F310D4"/>
    <w:rsid w:val="00F31D5A"/>
    <w:rsid w:val="00F3385E"/>
    <w:rsid w:val="00F33DE9"/>
    <w:rsid w:val="00F34D27"/>
    <w:rsid w:val="00F3619A"/>
    <w:rsid w:val="00F40AAA"/>
    <w:rsid w:val="00F40BA7"/>
    <w:rsid w:val="00F4438F"/>
    <w:rsid w:val="00F46CB6"/>
    <w:rsid w:val="00F47DE8"/>
    <w:rsid w:val="00F530E5"/>
    <w:rsid w:val="00F541A8"/>
    <w:rsid w:val="00F542C1"/>
    <w:rsid w:val="00F55E73"/>
    <w:rsid w:val="00F55EDA"/>
    <w:rsid w:val="00F57461"/>
    <w:rsid w:val="00F60092"/>
    <w:rsid w:val="00F6031C"/>
    <w:rsid w:val="00F61E71"/>
    <w:rsid w:val="00F62C5D"/>
    <w:rsid w:val="00F64FF3"/>
    <w:rsid w:val="00F65F4B"/>
    <w:rsid w:val="00F7094F"/>
    <w:rsid w:val="00F70C9D"/>
    <w:rsid w:val="00F74CD9"/>
    <w:rsid w:val="00F7524E"/>
    <w:rsid w:val="00F77A05"/>
    <w:rsid w:val="00F80A7B"/>
    <w:rsid w:val="00F80E5D"/>
    <w:rsid w:val="00F81525"/>
    <w:rsid w:val="00F851CE"/>
    <w:rsid w:val="00F86088"/>
    <w:rsid w:val="00F86263"/>
    <w:rsid w:val="00F86393"/>
    <w:rsid w:val="00F904DA"/>
    <w:rsid w:val="00F9058C"/>
    <w:rsid w:val="00F91219"/>
    <w:rsid w:val="00F939CF"/>
    <w:rsid w:val="00F942A9"/>
    <w:rsid w:val="00F949AD"/>
    <w:rsid w:val="00F97A78"/>
    <w:rsid w:val="00FA0B20"/>
    <w:rsid w:val="00FA24E7"/>
    <w:rsid w:val="00FB0E19"/>
    <w:rsid w:val="00FB1C3E"/>
    <w:rsid w:val="00FB2FCB"/>
    <w:rsid w:val="00FB4283"/>
    <w:rsid w:val="00FB4E07"/>
    <w:rsid w:val="00FC1074"/>
    <w:rsid w:val="00FC1884"/>
    <w:rsid w:val="00FC371D"/>
    <w:rsid w:val="00FC4C24"/>
    <w:rsid w:val="00FC4DD7"/>
    <w:rsid w:val="00FC56F8"/>
    <w:rsid w:val="00FC5F0B"/>
    <w:rsid w:val="00FD2100"/>
    <w:rsid w:val="00FD256C"/>
    <w:rsid w:val="00FD436C"/>
    <w:rsid w:val="00FD446D"/>
    <w:rsid w:val="00FD6394"/>
    <w:rsid w:val="00FD76C3"/>
    <w:rsid w:val="00FE04B2"/>
    <w:rsid w:val="00FE0E6C"/>
    <w:rsid w:val="00FE12A3"/>
    <w:rsid w:val="00FE1D15"/>
    <w:rsid w:val="00FE70C3"/>
    <w:rsid w:val="00FE7B26"/>
    <w:rsid w:val="00FF3067"/>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qFormat/>
    <w:rsid w:val="00923CC5"/>
    <w:pPr>
      <w:outlineLvl w:val="0"/>
    </w:pPr>
    <w:rPr>
      <w:rFonts w:eastAsia="Calibri"/>
      <w:b/>
      <w:sz w:val="36"/>
      <w:szCs w:val="36"/>
    </w:rPr>
  </w:style>
  <w:style w:type="character" w:customStyle="1" w:styleId="TitleChar">
    <w:name w:val="Title Char"/>
    <w:basedOn w:val="DefaultParagraphFont"/>
    <w:link w:val="Title"/>
    <w:rsid w:val="00923CC5"/>
    <w:rPr>
      <w:rFonts w:ascii="Calibri" w:eastAsia="Calibri" w:hAnsi="Calibri" w:cs="Arial"/>
      <w:b/>
      <w:snapToGrid w:val="0"/>
      <w:sz w:val="36"/>
      <w:szCs w:val="36"/>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D05FC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952B2"/>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character" w:customStyle="1" w:styleId="TableText0">
    <w:name w:val="Table Text"/>
    <w:basedOn w:val="DefaultParagraphFont"/>
    <w:uiPriority w:val="4"/>
    <w:qFormat/>
    <w:rsid w:val="008057CE"/>
    <w:rPr>
      <w:rFonts w:ascii="Arial Narrow" w:hAnsi="Arial Narrow" w:cs="Times New Roman"/>
      <w:sz w:val="20"/>
    </w:rPr>
  </w:style>
  <w:style w:type="paragraph" w:customStyle="1" w:styleId="NumberedList">
    <w:name w:val="Numbered List"/>
    <w:basedOn w:val="Normal"/>
    <w:uiPriority w:val="3"/>
    <w:qFormat/>
    <w:rsid w:val="00685AFD"/>
    <w:pPr>
      <w:widowControl/>
      <w:numPr>
        <w:numId w:val="5"/>
      </w:numPr>
      <w:spacing w:after="240"/>
      <w:ind w:left="357" w:hanging="357"/>
      <w:contextualSpacing/>
    </w:pPr>
    <w:rPr>
      <w:rFonts w:ascii="Candara" w:eastAsiaTheme="majorEastAsia" w:hAnsi="Candara" w:cstheme="majorBidi"/>
      <w:snapToGrid/>
    </w:rPr>
  </w:style>
  <w:style w:type="paragraph" w:customStyle="1" w:styleId="TableLeft">
    <w:name w:val="Table Left"/>
    <w:basedOn w:val="Normal"/>
    <w:link w:val="TableLeftChar"/>
    <w:uiPriority w:val="5"/>
    <w:qFormat/>
    <w:rsid w:val="00A17F66"/>
    <w:pPr>
      <w:widowControl/>
      <w:jc w:val="left"/>
    </w:pPr>
    <w:rPr>
      <w:rFonts w:ascii="Arial Narrow" w:eastAsiaTheme="majorEastAsia" w:hAnsi="Arial Narrow" w:cstheme="majorBidi"/>
      <w:snapToGrid/>
      <w:sz w:val="20"/>
    </w:rPr>
  </w:style>
  <w:style w:type="character" w:customStyle="1" w:styleId="TableLeftChar">
    <w:name w:val="Table Left Char"/>
    <w:basedOn w:val="DefaultParagraphFont"/>
    <w:link w:val="TableLeft"/>
    <w:uiPriority w:val="5"/>
    <w:rsid w:val="00A17F66"/>
    <w:rPr>
      <w:rFonts w:ascii="Arial Narrow" w:eastAsiaTheme="majorEastAsia" w:hAnsi="Arial Narrow" w:cstheme="majorBidi"/>
      <w:szCs w:val="22"/>
      <w:lang w:eastAsia="en-US"/>
    </w:rPr>
  </w:style>
  <w:style w:type="paragraph" w:customStyle="1" w:styleId="TableParagraph">
    <w:name w:val="Table Paragraph"/>
    <w:basedOn w:val="Normal"/>
    <w:uiPriority w:val="1"/>
    <w:qFormat/>
    <w:rsid w:val="00010F35"/>
    <w:pPr>
      <w:autoSpaceDE w:val="0"/>
      <w:autoSpaceDN w:val="0"/>
      <w:adjustRightInd w:val="0"/>
    </w:pPr>
    <w:rPr>
      <w:rFonts w:ascii="Times New Roman" w:eastAsiaTheme="minorEastAsia" w:hAnsi="Times New Roman" w:cs="Times New Roman"/>
      <w:snapToGrid/>
      <w:szCs w:val="24"/>
      <w:lang w:eastAsia="en-AU"/>
    </w:rPr>
  </w:style>
  <w:style w:type="paragraph" w:customStyle="1" w:styleId="TableNotes">
    <w:name w:val="Table Notes"/>
    <w:basedOn w:val="Normal"/>
    <w:link w:val="TableNotesChar"/>
    <w:uiPriority w:val="6"/>
    <w:qFormat/>
    <w:rsid w:val="009F7093"/>
    <w:pPr>
      <w:widowControl/>
      <w:spacing w:after="40"/>
    </w:pPr>
    <w:rPr>
      <w:rFonts w:ascii="Arial Narrow" w:eastAsiaTheme="majorEastAsia" w:hAnsi="Arial Narrow" w:cstheme="majorBidi"/>
      <w:snapToGrid/>
      <w:sz w:val="16"/>
    </w:rPr>
  </w:style>
  <w:style w:type="character" w:customStyle="1" w:styleId="TableNotesChar">
    <w:name w:val="Table Notes Char"/>
    <w:basedOn w:val="DefaultParagraphFont"/>
    <w:link w:val="TableNotes"/>
    <w:uiPriority w:val="6"/>
    <w:locked/>
    <w:rsid w:val="009F7093"/>
    <w:rPr>
      <w:rFonts w:ascii="Arial Narrow" w:eastAsiaTheme="majorEastAsia" w:hAnsi="Arial Narrow" w:cstheme="majorBidi"/>
      <w:sz w:val="16"/>
      <w:szCs w:val="22"/>
      <w:lang w:eastAsia="en-US"/>
    </w:rPr>
  </w:style>
  <w:style w:type="paragraph" w:customStyle="1" w:styleId="TableTextCA">
    <w:name w:val="Table Text CA"/>
    <w:basedOn w:val="Normal"/>
    <w:qFormat/>
    <w:rsid w:val="00C22CEB"/>
    <w:pPr>
      <w:widowControl/>
      <w:spacing w:before="20" w:after="20"/>
      <w:jc w:val="center"/>
    </w:pPr>
    <w:rPr>
      <w:rFonts w:ascii="Arial Narrow" w:eastAsiaTheme="minorHAnsi" w:hAnsi="Arial Narrow" w:cstheme="minorBidi"/>
      <w:snapToGrid/>
      <w:sz w:val="20"/>
    </w:rPr>
  </w:style>
  <w:style w:type="character" w:styleId="Emphasis">
    <w:name w:val="Emphasis"/>
    <w:basedOn w:val="DefaultParagraphFont"/>
    <w:rsid w:val="00A61E6E"/>
    <w:rPr>
      <w:i/>
      <w:iCs/>
    </w:rPr>
  </w:style>
  <w:style w:type="paragraph" w:styleId="FootnoteText">
    <w:name w:val="footnote text"/>
    <w:basedOn w:val="Normal"/>
    <w:link w:val="FootnoteTextChar"/>
    <w:semiHidden/>
    <w:unhideWhenUsed/>
    <w:rsid w:val="008710B9"/>
    <w:rPr>
      <w:sz w:val="20"/>
      <w:szCs w:val="20"/>
    </w:rPr>
  </w:style>
  <w:style w:type="character" w:customStyle="1" w:styleId="FootnoteTextChar">
    <w:name w:val="Footnote Text Char"/>
    <w:basedOn w:val="DefaultParagraphFont"/>
    <w:link w:val="FootnoteText"/>
    <w:semiHidden/>
    <w:rsid w:val="008710B9"/>
    <w:rPr>
      <w:rFonts w:ascii="Calibri" w:hAnsi="Calibri" w:cs="Arial"/>
      <w:snapToGrid w:val="0"/>
      <w:lang w:eastAsia="en-US"/>
    </w:rPr>
  </w:style>
  <w:style w:type="character" w:styleId="FootnoteReference">
    <w:name w:val="footnote reference"/>
    <w:basedOn w:val="DefaultParagraphFont"/>
    <w:semiHidden/>
    <w:unhideWhenUsed/>
    <w:rsid w:val="008710B9"/>
    <w:rPr>
      <w:vertAlign w:val="superscript"/>
    </w:rPr>
  </w:style>
  <w:style w:type="character" w:customStyle="1" w:styleId="Heading1Char">
    <w:name w:val="Heading 1 Char"/>
    <w:basedOn w:val="DefaultParagraphFont"/>
    <w:link w:val="Heading1"/>
    <w:uiPriority w:val="1"/>
    <w:rsid w:val="00D86580"/>
    <w:rPr>
      <w:rFonts w:ascii="Calibri" w:hAnsi="Calibri" w:cs="Arial"/>
      <w:b/>
      <w:caps/>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62100">
      <w:bodyDiv w:val="1"/>
      <w:marLeft w:val="0"/>
      <w:marRight w:val="0"/>
      <w:marTop w:val="0"/>
      <w:marBottom w:val="0"/>
      <w:divBdr>
        <w:top w:val="none" w:sz="0" w:space="0" w:color="auto"/>
        <w:left w:val="none" w:sz="0" w:space="0" w:color="auto"/>
        <w:bottom w:val="none" w:sz="0" w:space="0" w:color="auto"/>
        <w:right w:val="none" w:sz="0" w:space="0" w:color="auto"/>
      </w:divBdr>
    </w:div>
    <w:div w:id="391198202">
      <w:bodyDiv w:val="1"/>
      <w:marLeft w:val="0"/>
      <w:marRight w:val="0"/>
      <w:marTop w:val="0"/>
      <w:marBottom w:val="0"/>
      <w:divBdr>
        <w:top w:val="none" w:sz="0" w:space="0" w:color="auto"/>
        <w:left w:val="none" w:sz="0" w:space="0" w:color="auto"/>
        <w:bottom w:val="none" w:sz="0" w:space="0" w:color="auto"/>
        <w:right w:val="none" w:sz="0" w:space="0" w:color="auto"/>
      </w:divBdr>
    </w:div>
    <w:div w:id="512762050">
      <w:bodyDiv w:val="1"/>
      <w:marLeft w:val="0"/>
      <w:marRight w:val="0"/>
      <w:marTop w:val="0"/>
      <w:marBottom w:val="0"/>
      <w:divBdr>
        <w:top w:val="none" w:sz="0" w:space="0" w:color="auto"/>
        <w:left w:val="none" w:sz="0" w:space="0" w:color="auto"/>
        <w:bottom w:val="none" w:sz="0" w:space="0" w:color="auto"/>
        <w:right w:val="none" w:sz="0" w:space="0" w:color="auto"/>
      </w:divBdr>
    </w:div>
    <w:div w:id="581336474">
      <w:bodyDiv w:val="1"/>
      <w:marLeft w:val="0"/>
      <w:marRight w:val="0"/>
      <w:marTop w:val="0"/>
      <w:marBottom w:val="0"/>
      <w:divBdr>
        <w:top w:val="none" w:sz="0" w:space="0" w:color="auto"/>
        <w:left w:val="none" w:sz="0" w:space="0" w:color="auto"/>
        <w:bottom w:val="none" w:sz="0" w:space="0" w:color="auto"/>
        <w:right w:val="none" w:sz="0" w:space="0" w:color="auto"/>
      </w:divBdr>
    </w:div>
    <w:div w:id="732585613">
      <w:bodyDiv w:val="1"/>
      <w:marLeft w:val="0"/>
      <w:marRight w:val="0"/>
      <w:marTop w:val="0"/>
      <w:marBottom w:val="0"/>
      <w:divBdr>
        <w:top w:val="none" w:sz="0" w:space="0" w:color="auto"/>
        <w:left w:val="none" w:sz="0" w:space="0" w:color="auto"/>
        <w:bottom w:val="none" w:sz="0" w:space="0" w:color="auto"/>
        <w:right w:val="none" w:sz="0" w:space="0" w:color="auto"/>
      </w:divBdr>
    </w:div>
    <w:div w:id="1151403081">
      <w:bodyDiv w:val="1"/>
      <w:marLeft w:val="0"/>
      <w:marRight w:val="0"/>
      <w:marTop w:val="0"/>
      <w:marBottom w:val="0"/>
      <w:divBdr>
        <w:top w:val="none" w:sz="0" w:space="0" w:color="auto"/>
        <w:left w:val="none" w:sz="0" w:space="0" w:color="auto"/>
        <w:bottom w:val="none" w:sz="0" w:space="0" w:color="auto"/>
        <w:right w:val="none" w:sz="0" w:space="0" w:color="auto"/>
      </w:divBdr>
      <w:divsChild>
        <w:div w:id="82847805">
          <w:marLeft w:val="0"/>
          <w:marRight w:val="0"/>
          <w:marTop w:val="0"/>
          <w:marBottom w:val="0"/>
          <w:divBdr>
            <w:top w:val="none" w:sz="0" w:space="0" w:color="auto"/>
            <w:left w:val="none" w:sz="0" w:space="0" w:color="auto"/>
            <w:bottom w:val="none" w:sz="0" w:space="0" w:color="auto"/>
            <w:right w:val="none" w:sz="0" w:space="0" w:color="auto"/>
          </w:divBdr>
          <w:divsChild>
            <w:div w:id="2092241317">
              <w:marLeft w:val="0"/>
              <w:marRight w:val="0"/>
              <w:marTop w:val="0"/>
              <w:marBottom w:val="0"/>
              <w:divBdr>
                <w:top w:val="none" w:sz="0" w:space="0" w:color="auto"/>
                <w:left w:val="none" w:sz="0" w:space="0" w:color="auto"/>
                <w:bottom w:val="none" w:sz="0" w:space="0" w:color="auto"/>
                <w:right w:val="none" w:sz="0" w:space="0" w:color="auto"/>
              </w:divBdr>
              <w:divsChild>
                <w:div w:id="13522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1612">
      <w:bodyDiv w:val="1"/>
      <w:marLeft w:val="0"/>
      <w:marRight w:val="0"/>
      <w:marTop w:val="0"/>
      <w:marBottom w:val="0"/>
      <w:divBdr>
        <w:top w:val="none" w:sz="0" w:space="0" w:color="auto"/>
        <w:left w:val="none" w:sz="0" w:space="0" w:color="auto"/>
        <w:bottom w:val="none" w:sz="0" w:space="0" w:color="auto"/>
        <w:right w:val="none" w:sz="0" w:space="0" w:color="auto"/>
      </w:divBdr>
    </w:div>
    <w:div w:id="1484463395">
      <w:bodyDiv w:val="1"/>
      <w:marLeft w:val="0"/>
      <w:marRight w:val="0"/>
      <w:marTop w:val="0"/>
      <w:marBottom w:val="0"/>
      <w:divBdr>
        <w:top w:val="none" w:sz="0" w:space="0" w:color="auto"/>
        <w:left w:val="none" w:sz="0" w:space="0" w:color="auto"/>
        <w:bottom w:val="none" w:sz="0" w:space="0" w:color="auto"/>
        <w:right w:val="none" w:sz="0" w:space="0" w:color="auto"/>
      </w:divBdr>
    </w:div>
    <w:div w:id="1504472002">
      <w:bodyDiv w:val="1"/>
      <w:marLeft w:val="0"/>
      <w:marRight w:val="0"/>
      <w:marTop w:val="0"/>
      <w:marBottom w:val="0"/>
      <w:divBdr>
        <w:top w:val="none" w:sz="0" w:space="0" w:color="auto"/>
        <w:left w:val="none" w:sz="0" w:space="0" w:color="auto"/>
        <w:bottom w:val="none" w:sz="0" w:space="0" w:color="auto"/>
        <w:right w:val="none" w:sz="0" w:space="0" w:color="auto"/>
      </w:divBdr>
    </w:div>
    <w:div w:id="1682202717">
      <w:bodyDiv w:val="1"/>
      <w:marLeft w:val="0"/>
      <w:marRight w:val="0"/>
      <w:marTop w:val="0"/>
      <w:marBottom w:val="0"/>
      <w:divBdr>
        <w:top w:val="none" w:sz="0" w:space="0" w:color="auto"/>
        <w:left w:val="none" w:sz="0" w:space="0" w:color="auto"/>
        <w:bottom w:val="none" w:sz="0" w:space="0" w:color="auto"/>
        <w:right w:val="none" w:sz="0" w:space="0" w:color="auto"/>
      </w:divBdr>
    </w:div>
    <w:div w:id="1731686499">
      <w:bodyDiv w:val="1"/>
      <w:marLeft w:val="0"/>
      <w:marRight w:val="0"/>
      <w:marTop w:val="0"/>
      <w:marBottom w:val="0"/>
      <w:divBdr>
        <w:top w:val="none" w:sz="0" w:space="0" w:color="auto"/>
        <w:left w:val="none" w:sz="0" w:space="0" w:color="auto"/>
        <w:bottom w:val="none" w:sz="0" w:space="0" w:color="auto"/>
        <w:right w:val="none" w:sz="0" w:space="0" w:color="auto"/>
      </w:divBdr>
    </w:div>
    <w:div w:id="1909729889">
      <w:bodyDiv w:val="1"/>
      <w:marLeft w:val="0"/>
      <w:marRight w:val="0"/>
      <w:marTop w:val="0"/>
      <w:marBottom w:val="0"/>
      <w:divBdr>
        <w:top w:val="none" w:sz="0" w:space="0" w:color="auto"/>
        <w:left w:val="none" w:sz="0" w:space="0" w:color="auto"/>
        <w:bottom w:val="none" w:sz="0" w:space="0" w:color="auto"/>
        <w:right w:val="none" w:sz="0" w:space="0" w:color="auto"/>
      </w:divBdr>
    </w:div>
    <w:div w:id="19556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rv.ashm.org.au/what-to-start-initial-combination-regimens-for-the-antiretroviral-naive-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The18</b:Tag>
    <b:SourceType>Report</b:SourceType>
    <b:Guid>{DFEC2532-EAFD-451A-BFAE-5FC33E8FF5FC}</b:Guid>
    <b:Title>HIV in Australia: Annual surveillance short report 2018</b:Title>
    <b:Year>2018</b:Year>
    <b:City>Sydney</b:City>
    <b:Publisher>Kirby Institute, UNSW Sydney</b:Publisher>
    <b:Author>
      <b:Author>
        <b:Corporate>The Kirby Institute</b:Corporate>
      </b:Author>
    </b:Author>
    <b:RefOrder>1</b:RefOrder>
  </b:Source>
</b:Sources>
</file>

<file path=customXml/itemProps1.xml><?xml version="1.0" encoding="utf-8"?>
<ds:datastoreItem xmlns:ds="http://schemas.openxmlformats.org/officeDocument/2006/customXml" ds:itemID="{B6CD8654-3A38-4458-AEBA-F2C95EF7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11733</Words>
  <Characters>68970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2020-01-06T03:44:00Z</dcterms:created>
  <dcterms:modified xsi:type="dcterms:W3CDTF">2020-01-23T03:45:00Z</dcterms:modified>
</cp:coreProperties>
</file>