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F1C7D4B" w14:textId="77777777" w:rsidR="00ED4589" w:rsidRDefault="00ED4589" w:rsidP="007A6433">
      <w:pPr>
        <w:pStyle w:val="1MainTitle"/>
      </w:pPr>
      <w:bookmarkStart w:id="0" w:name="_Toc440980439"/>
      <w:bookmarkStart w:id="1" w:name="_GoBack"/>
      <w:bookmarkEnd w:id="1"/>
      <w:r w:rsidRPr="00ED4589">
        <w:t>Agenda item 11.05</w:t>
      </w:r>
    </w:p>
    <w:p w14:paraId="4A864FD8" w14:textId="77777777" w:rsidR="000946A0" w:rsidRPr="00913193" w:rsidRDefault="00B3331E" w:rsidP="00E72604">
      <w:pPr>
        <w:pStyle w:val="1MainTitle"/>
        <w:ind w:left="0" w:firstLine="0"/>
      </w:pPr>
      <w:r>
        <w:t xml:space="preserve">Broad </w:t>
      </w:r>
      <w:r w:rsidR="0085566B">
        <w:t xml:space="preserve">PBS </w:t>
      </w:r>
      <w:r>
        <w:t>subsidy listing</w:t>
      </w:r>
      <w:r w:rsidR="00E72604">
        <w:t xml:space="preserve"> for PD</w:t>
      </w:r>
      <w:r w:rsidR="009C278D">
        <w:t>-</w:t>
      </w:r>
      <w:r w:rsidR="00E72604">
        <w:t>(L</w:t>
      </w:r>
      <w:proofErr w:type="gramStart"/>
      <w:r w:rsidR="00E72604">
        <w:t>)1</w:t>
      </w:r>
      <w:proofErr w:type="gramEnd"/>
      <w:r w:rsidR="00E72604">
        <w:t xml:space="preserve"> </w:t>
      </w:r>
      <w:r w:rsidR="00E72604" w:rsidRPr="00B51B9A">
        <w:t>checkpoint</w:t>
      </w:r>
      <w:r w:rsidR="00E72604">
        <w:t xml:space="preserve"> inhibitors for non-small cell lung cancer</w:t>
      </w:r>
    </w:p>
    <w:p w14:paraId="1DB1DEB9" w14:textId="77777777" w:rsidR="00ED4589" w:rsidRDefault="00ED4589" w:rsidP="007A6433"/>
    <w:p w14:paraId="4BBA1D19" w14:textId="77777777" w:rsidR="00A013C4" w:rsidRDefault="00A013C4" w:rsidP="007A6433">
      <w:pPr>
        <w:pStyle w:val="PBACheading1"/>
      </w:pPr>
      <w:r w:rsidRPr="00DA6C91">
        <w:t xml:space="preserve">Purpose of </w:t>
      </w:r>
      <w:bookmarkEnd w:id="0"/>
      <w:r w:rsidRPr="00DA6C91">
        <w:t>Item</w:t>
      </w:r>
    </w:p>
    <w:p w14:paraId="3DFB2345" w14:textId="77777777" w:rsidR="007A6433" w:rsidRPr="007A6433" w:rsidRDefault="007A6433" w:rsidP="007A6433"/>
    <w:p w14:paraId="6684EA14" w14:textId="77777777" w:rsidR="007A6433" w:rsidRPr="00DA016E" w:rsidRDefault="000946A0" w:rsidP="00DA016E">
      <w:pPr>
        <w:pStyle w:val="ListParagraph"/>
      </w:pPr>
      <w:r w:rsidRPr="00DA016E">
        <w:t xml:space="preserve">To consider </w:t>
      </w:r>
      <w:r w:rsidR="00BE1701" w:rsidRPr="00DA016E">
        <w:t xml:space="preserve">proposals for an approach to a </w:t>
      </w:r>
      <w:r w:rsidRPr="00DA016E">
        <w:t>broad PBS</w:t>
      </w:r>
      <w:r w:rsidR="00BE1701" w:rsidRPr="00DA016E">
        <w:t xml:space="preserve"> subsidy</w:t>
      </w:r>
      <w:r w:rsidRPr="00DA016E">
        <w:t xml:space="preserve"> listing</w:t>
      </w:r>
      <w:r w:rsidR="00B51B9A">
        <w:t xml:space="preserve"> for</w:t>
      </w:r>
      <w:r w:rsidRPr="00DA016E">
        <w:t xml:space="preserve"> </w:t>
      </w:r>
      <w:r w:rsidR="00A20479">
        <w:t xml:space="preserve">PD-L1 and PD-1 (collectively referred to as </w:t>
      </w:r>
      <w:r w:rsidR="00DA016E" w:rsidRPr="00DA016E">
        <w:t>PD-(L</w:t>
      </w:r>
      <w:proofErr w:type="gramStart"/>
      <w:r w:rsidR="00DA016E" w:rsidRPr="00DA016E">
        <w:t>)1</w:t>
      </w:r>
      <w:proofErr w:type="gramEnd"/>
      <w:r w:rsidR="00A20479">
        <w:t>)</w:t>
      </w:r>
      <w:r w:rsidR="00DA016E" w:rsidRPr="00DA016E">
        <w:t xml:space="preserve"> </w:t>
      </w:r>
      <w:r w:rsidR="00BE1701" w:rsidRPr="00B51B9A">
        <w:t>checkpoint inhibitors</w:t>
      </w:r>
      <w:r w:rsidR="00BE1701" w:rsidRPr="00DA016E">
        <w:t xml:space="preserve"> for</w:t>
      </w:r>
      <w:r w:rsidR="00B51B9A">
        <w:t xml:space="preserve"> </w:t>
      </w:r>
      <w:r w:rsidR="006023CD">
        <w:t>non-small cell lung cancer (</w:t>
      </w:r>
      <w:r w:rsidR="00A20479">
        <w:t>NSCLC</w:t>
      </w:r>
      <w:r w:rsidR="006023CD">
        <w:t>)</w:t>
      </w:r>
      <w:r w:rsidR="00BE1701" w:rsidRPr="00DA016E">
        <w:t xml:space="preserve">. </w:t>
      </w:r>
      <w:r w:rsidRPr="00DA016E">
        <w:t xml:space="preserve"> </w:t>
      </w:r>
    </w:p>
    <w:p w14:paraId="1414DD35" w14:textId="77777777" w:rsidR="00A013C4" w:rsidRPr="007A6433" w:rsidRDefault="00A013C4" w:rsidP="007A6433">
      <w:pPr>
        <w:pStyle w:val="PBACheading1"/>
      </w:pPr>
      <w:r w:rsidRPr="007A6433">
        <w:t>Background</w:t>
      </w:r>
      <w:r w:rsidR="00E8243F">
        <w:t xml:space="preserve"> </w:t>
      </w:r>
    </w:p>
    <w:p w14:paraId="7F76E8DB" w14:textId="77777777" w:rsidR="007A6433" w:rsidRPr="00DA6C91" w:rsidRDefault="007A6433" w:rsidP="007A6433"/>
    <w:p w14:paraId="0FD01904" w14:textId="77777777" w:rsidR="00F850D4" w:rsidRPr="00103845" w:rsidRDefault="006E16F5" w:rsidP="00AA7C13">
      <w:pPr>
        <w:pStyle w:val="ListParagraph"/>
        <w:jc w:val="left"/>
      </w:pPr>
      <w:r>
        <w:t>Previous</w:t>
      </w:r>
      <w:r w:rsidR="000C6770" w:rsidRPr="00103845">
        <w:t xml:space="preserve"> </w:t>
      </w:r>
      <w:r w:rsidRPr="00103845">
        <w:t>PBAC</w:t>
      </w:r>
      <w:r>
        <w:t xml:space="preserve"> </w:t>
      </w:r>
      <w:r w:rsidR="000C6770" w:rsidRPr="00103845">
        <w:t>advice to the Minister on PD-(L)1 inhibitors</w:t>
      </w:r>
      <w:r w:rsidR="000C6770" w:rsidRPr="00103845">
        <w:rPr>
          <w:rStyle w:val="FootnoteReference"/>
        </w:rPr>
        <w:footnoteReference w:id="1"/>
      </w:r>
      <w:r w:rsidR="000C6770" w:rsidRPr="00103845">
        <w:t xml:space="preserve"> (December 2018) recommended the Minister request additional advice on (paragraph 4.3):</w:t>
      </w:r>
    </w:p>
    <w:p w14:paraId="3D5C60E1" w14:textId="77777777" w:rsidR="000C6770" w:rsidRDefault="000C6770" w:rsidP="00103845">
      <w:pPr>
        <w:pStyle w:val="ListParagraph"/>
        <w:numPr>
          <w:ilvl w:val="2"/>
          <w:numId w:val="25"/>
        </w:numPr>
        <w:ind w:left="1134" w:hanging="425"/>
      </w:pPr>
      <w:r>
        <w:t>Options for a broad PBS subsidy listing for PD-(L</w:t>
      </w:r>
      <w:proofErr w:type="gramStart"/>
      <w:r>
        <w:t>)1</w:t>
      </w:r>
      <w:proofErr w:type="gramEnd"/>
      <w:r>
        <w:t xml:space="preserve"> inhibitors for lung cancer, as substantial evidence and experience is now available for these medicines in this setting</w:t>
      </w:r>
      <w:r w:rsidR="0022747F">
        <w:t>.</w:t>
      </w:r>
    </w:p>
    <w:p w14:paraId="1BFD7AF2" w14:textId="77777777" w:rsidR="000C6770" w:rsidRDefault="000C6770" w:rsidP="00103845">
      <w:pPr>
        <w:pStyle w:val="ListParagraph"/>
        <w:numPr>
          <w:ilvl w:val="2"/>
          <w:numId w:val="25"/>
        </w:numPr>
        <w:ind w:left="1134" w:hanging="425"/>
      </w:pPr>
      <w:r>
        <w:t xml:space="preserve">Options for a standardised tiered pricing arrangement for PD-(L)1 inhibitors  that would apply once the PBAC has recommended subsidy for a particular use and that would account for issues beyond PBAC’s scope including economies of scale and affordability considerations. </w:t>
      </w:r>
      <w:r>
        <w:tab/>
      </w:r>
    </w:p>
    <w:p w14:paraId="66625C45" w14:textId="77777777" w:rsidR="004621B8" w:rsidRPr="00434CAB" w:rsidRDefault="00103845" w:rsidP="00AA7C13">
      <w:pPr>
        <w:pStyle w:val="ListParagraph"/>
        <w:jc w:val="left"/>
      </w:pPr>
      <w:r w:rsidRPr="00103845">
        <w:t>Following this advice</w:t>
      </w:r>
      <w:r>
        <w:t xml:space="preserve"> to the Minister</w:t>
      </w:r>
      <w:r w:rsidRPr="00103845">
        <w:t>, a stakeholder meeting was held on 8 February 2019 to discuss the potential for a broad PBS subsidy listing for PD-(L</w:t>
      </w:r>
      <w:proofErr w:type="gramStart"/>
      <w:r w:rsidRPr="00103845">
        <w:t>)1</w:t>
      </w:r>
      <w:proofErr w:type="gramEnd"/>
      <w:r w:rsidRPr="00103845">
        <w:t xml:space="preserve"> inhibitors for NSCLC</w:t>
      </w:r>
      <w:r>
        <w:t xml:space="preserve">. </w:t>
      </w:r>
      <w:r w:rsidR="00C57EEE" w:rsidRPr="00C57EEE">
        <w:t xml:space="preserve">Stakeholders included members of the PBAC, representatives of the Lung Foundation, the Medical Oncology Group of Australia, Department of Health, Medicines Australia and </w:t>
      </w:r>
      <w:r w:rsidR="00C55403">
        <w:t xml:space="preserve">the </w:t>
      </w:r>
      <w:r w:rsidR="00C57EEE" w:rsidRPr="00C57EEE">
        <w:t xml:space="preserve">sponsors of </w:t>
      </w:r>
      <w:r w:rsidR="0022747F">
        <w:t xml:space="preserve">the </w:t>
      </w:r>
      <w:r w:rsidR="00C57EEE" w:rsidRPr="00C57EEE">
        <w:t xml:space="preserve">PD-(L)1 inhibitors that are currently </w:t>
      </w:r>
      <w:r w:rsidR="00B468CC">
        <w:t xml:space="preserve"> TGA approved</w:t>
      </w:r>
      <w:r w:rsidR="00B468CC" w:rsidRPr="00434CAB">
        <w:t xml:space="preserve"> </w:t>
      </w:r>
      <w:r w:rsidR="00C57EEE" w:rsidRPr="00434CAB">
        <w:t xml:space="preserve">for </w:t>
      </w:r>
      <w:r w:rsidR="00B468CC">
        <w:t xml:space="preserve">the treatment of </w:t>
      </w:r>
      <w:r w:rsidR="00C57EEE" w:rsidRPr="00434CAB">
        <w:t xml:space="preserve">NSCLC (AstraZeneca, Bristol-Myers Squibb, Merck Sharp &amp; </w:t>
      </w:r>
      <w:proofErr w:type="spellStart"/>
      <w:r w:rsidR="00C57EEE" w:rsidRPr="00434CAB">
        <w:t>Dohme</w:t>
      </w:r>
      <w:proofErr w:type="spellEnd"/>
      <w:r w:rsidR="00C57EEE" w:rsidRPr="00434CAB">
        <w:t xml:space="preserve"> and Roche</w:t>
      </w:r>
      <w:r w:rsidR="00707D7C" w:rsidRPr="00434CAB">
        <w:t>)</w:t>
      </w:r>
      <w:r w:rsidR="00C57EEE" w:rsidRPr="00434CAB">
        <w:t xml:space="preserve">. </w:t>
      </w:r>
    </w:p>
    <w:p w14:paraId="667AB268" w14:textId="77777777" w:rsidR="00890C17" w:rsidRPr="00434CAB" w:rsidRDefault="00434CAB" w:rsidP="00144257">
      <w:pPr>
        <w:pStyle w:val="ListParagraph"/>
      </w:pPr>
      <w:r w:rsidRPr="00434CAB">
        <w:t xml:space="preserve">The purpose of the </w:t>
      </w:r>
      <w:r>
        <w:t>stakeholder meeting was to</w:t>
      </w:r>
      <w:r w:rsidR="00B468CC">
        <w:t>:</w:t>
      </w:r>
      <w:r>
        <w:t xml:space="preserve"> (</w:t>
      </w:r>
      <w:proofErr w:type="spellStart"/>
      <w:r w:rsidR="00865417">
        <w:t>i</w:t>
      </w:r>
      <w:proofErr w:type="spellEnd"/>
      <w:r w:rsidR="00865417">
        <w:t>) establish the interest from stakeholders in pursuing a potential broad NSCLC listing for PD-(L)1 inhibitors</w:t>
      </w:r>
      <w:r w:rsidR="00B468CC">
        <w:t>;</w:t>
      </w:r>
      <w:r w:rsidR="00865417">
        <w:t xml:space="preserve"> (ii) explore a potential model for a broad NSCLC listing</w:t>
      </w:r>
      <w:r w:rsidR="00B468CC">
        <w:t>;</w:t>
      </w:r>
      <w:r w:rsidR="00865417">
        <w:t xml:space="preserve"> (iii) discuss stakeholder issues surrounding a broad NSCLC listing</w:t>
      </w:r>
      <w:r w:rsidR="00B468CC">
        <w:t>;</w:t>
      </w:r>
      <w:r w:rsidR="00865417">
        <w:t xml:space="preserve"> and (iv) explore the potential for this model to be applied in alternate contexts. </w:t>
      </w:r>
      <w:r w:rsidR="002B61E0">
        <w:t xml:space="preserve">An outcome statement for the meeting </w:t>
      </w:r>
      <w:r w:rsidR="00FD21A9">
        <w:t>has been</w:t>
      </w:r>
      <w:r w:rsidR="002B61E0">
        <w:t xml:space="preserve"> published</w:t>
      </w:r>
      <w:r w:rsidR="002B61E0">
        <w:rPr>
          <w:rStyle w:val="FootnoteReference"/>
        </w:rPr>
        <w:footnoteReference w:id="2"/>
      </w:r>
      <w:r w:rsidR="002B61E0">
        <w:t xml:space="preserve">. </w:t>
      </w:r>
    </w:p>
    <w:p w14:paraId="0C1B3CD7" w14:textId="77777777" w:rsidR="006E4DFB" w:rsidRPr="00C57EEE" w:rsidRDefault="00865417" w:rsidP="00C55403">
      <w:pPr>
        <w:pStyle w:val="ListParagraph"/>
        <w:jc w:val="left"/>
      </w:pPr>
      <w:r>
        <w:lastRenderedPageBreak/>
        <w:t>Based on the interest expressed at the stakeholder meeting, o</w:t>
      </w:r>
      <w:r w:rsidR="00C55403" w:rsidRPr="00434CAB">
        <w:t xml:space="preserve">n the </w:t>
      </w:r>
      <w:r w:rsidR="006E4DFB" w:rsidRPr="00434CAB">
        <w:t>25</w:t>
      </w:r>
      <w:r w:rsidR="00B468CC">
        <w:t xml:space="preserve"> </w:t>
      </w:r>
      <w:r w:rsidR="006E4DFB" w:rsidRPr="00434CAB">
        <w:t xml:space="preserve">February </w:t>
      </w:r>
      <w:r w:rsidR="00C55403" w:rsidRPr="00434CAB">
        <w:t xml:space="preserve">2019, </w:t>
      </w:r>
      <w:r w:rsidR="00BB2B41" w:rsidRPr="00434CAB">
        <w:t>sponsors</w:t>
      </w:r>
      <w:r w:rsidR="00C55403" w:rsidRPr="00434CAB">
        <w:t xml:space="preserve"> were invited to submit proposals for an approach</w:t>
      </w:r>
      <w:r w:rsidR="00C55403">
        <w:t xml:space="preserve"> to a broad lung listing for consideration </w:t>
      </w:r>
      <w:r w:rsidR="006D7724">
        <w:t xml:space="preserve">by the </w:t>
      </w:r>
      <w:r w:rsidR="00C55403">
        <w:t>PBAC</w:t>
      </w:r>
      <w:r w:rsidR="006D7724">
        <w:t>.</w:t>
      </w:r>
      <w:r w:rsidR="00C55403">
        <w:t xml:space="preserve"> Sponsors were given an opportunity to individually meet with representatives </w:t>
      </w:r>
      <w:r w:rsidR="0022747F">
        <w:t xml:space="preserve">of </w:t>
      </w:r>
      <w:r w:rsidR="00C55403">
        <w:t xml:space="preserve">the Department </w:t>
      </w:r>
      <w:r w:rsidR="006E16F5">
        <w:t xml:space="preserve">of Health </w:t>
      </w:r>
      <w:r w:rsidR="00C55403">
        <w:t xml:space="preserve">in early March and proposals were required by </w:t>
      </w:r>
      <w:r w:rsidR="00C55403" w:rsidRPr="00C57EEE">
        <w:t>29 March 2019</w:t>
      </w:r>
      <w:r w:rsidR="00C55403">
        <w:t xml:space="preserve">. </w:t>
      </w:r>
    </w:p>
    <w:p w14:paraId="0BF9BDA7" w14:textId="77777777" w:rsidR="00E72604" w:rsidRPr="007A6433" w:rsidRDefault="00F75EE9" w:rsidP="00975032">
      <w:pPr>
        <w:pStyle w:val="PBACheading1"/>
      </w:pPr>
      <w:r>
        <w:t xml:space="preserve">Summary </w:t>
      </w:r>
      <w:r w:rsidR="00975032" w:rsidRPr="00F52AD4">
        <w:t xml:space="preserve">of the </w:t>
      </w:r>
      <w:r w:rsidR="00975032">
        <w:t>proposals</w:t>
      </w:r>
    </w:p>
    <w:p w14:paraId="06ED7654" w14:textId="77777777" w:rsidR="00E72604" w:rsidRPr="00DA6C91" w:rsidRDefault="00E72604" w:rsidP="00E72604"/>
    <w:p w14:paraId="5EE13301" w14:textId="77777777" w:rsidR="00591915" w:rsidRDefault="00591915" w:rsidP="00591915">
      <w:pPr>
        <w:pStyle w:val="ListParagraph"/>
      </w:pPr>
      <w:r>
        <w:t>Proposals were received from</w:t>
      </w:r>
      <w:r w:rsidR="006B4E17">
        <w:t xml:space="preserve"> the four sponsors that attended the stakeholder meeting and their proposals are </w:t>
      </w:r>
      <w:r w:rsidR="006E16F5">
        <w:t xml:space="preserve">briefly </w:t>
      </w:r>
      <w:r w:rsidR="006B4E17">
        <w:t xml:space="preserve">discussed below. </w:t>
      </w:r>
    </w:p>
    <w:p w14:paraId="006E99F0" w14:textId="77777777" w:rsidR="00707D7C" w:rsidRDefault="00707D7C" w:rsidP="00707D7C">
      <w:pPr>
        <w:spacing w:after="240"/>
        <w:rPr>
          <w:u w:val="single"/>
        </w:rPr>
      </w:pPr>
      <w:r w:rsidRPr="00707D7C">
        <w:rPr>
          <w:u w:val="single"/>
        </w:rPr>
        <w:t>Roche Products Pty Ltd for atezolizumab (Tecentriq®)</w:t>
      </w:r>
    </w:p>
    <w:p w14:paraId="2E14473B" w14:textId="77777777" w:rsidR="00CE0998" w:rsidRPr="00AD4178" w:rsidRDefault="00AD4178" w:rsidP="00AD4178">
      <w:pPr>
        <w:ind w:left="720" w:hanging="720"/>
        <w:rPr>
          <w:highlight w:val="black"/>
        </w:rPr>
      </w:pPr>
      <w:r>
        <w:rPr>
          <w:noProof/>
          <w:color w:val="000000"/>
          <w:highlight w:val="black"/>
        </w:rPr>
        <w:t xml:space="preserve">'''''''''''''''''''''''''''''''' '''' ''''''''''''''''''' '''''''''' ''''' '''''' ''''''' '''''' '''''' ''''''''''''''''''''' '''''''''''''''''''' ''''' '''''''''''' '''' ''''''''''''''''''''''''''' ''''''''''' '''''''' ''''''''''''''''' '''''''' '''''''''''' ''''''' ''''''' ''''''''''' '''''''''''''''''''''''''''''' '''''' '''''''''' ''''' '''''' '''''''''''''''' ''''''''''''''''''' '''' ''''''''''' '''' ''''''''' '''''''''''' '''''''''''''''''''''''''' ''' '''' '''''''''''' '''''''''''''''''''''''' '''''' '' '''''''''''''' '''' ''''''''''''' ''''''''''''''''''' '''''''''''''''' '''' '''''' '''''''''''''''''''''''''' ''''''''''''''' ''''''' ''''''''''''''''''''' ''''''''''''''''  </w:t>
      </w:r>
    </w:p>
    <w:p w14:paraId="5AFD815E" w14:textId="77777777" w:rsidR="00707D7C" w:rsidRPr="00AD4178" w:rsidRDefault="00AD4178" w:rsidP="00AD4178">
      <w:pPr>
        <w:ind w:left="720" w:hanging="720"/>
        <w:rPr>
          <w:highlight w:val="black"/>
        </w:rPr>
      </w:pPr>
      <w:r>
        <w:rPr>
          <w:noProof/>
          <w:color w:val="000000"/>
          <w:highlight w:val="black"/>
        </w:rPr>
        <w:t xml:space="preserve">''''''''''''''''' ''''''''''''''''''' ''' ''''''''''''''''''' '''' '''''''''''' '''''''' '''''''''''''''''''' '''''''''''' ''' ''''''''''' ''''''''''' '''''''' ''''''''''' '''''''''''' '''''' '''' '''''''' ''''''''' '''''''' '''''''''''''''''' ''''''''''''''''''''' </w:t>
      </w:r>
    </w:p>
    <w:p w14:paraId="4A58DDCF" w14:textId="77777777" w:rsidR="0072080A" w:rsidRPr="00AD4178" w:rsidRDefault="00AD4178" w:rsidP="00AD4178">
      <w:pPr>
        <w:ind w:left="720" w:hanging="720"/>
        <w:rPr>
          <w:highlight w:val="black"/>
        </w:rPr>
      </w:pPr>
      <w:r>
        <w:rPr>
          <w:noProof/>
          <w:color w:val="000000"/>
          <w:highlight w:val="black"/>
        </w:rPr>
        <w:t xml:space="preserve">'''''''''''''' '''''''''''''''' '''''''''''''''''''' ''''''''''' '''''''''''' '''''' '''''''''''''''''' '''''' ''''''''''''''''''''''''' ''''''''' ''''''''''''''' '''''''''''''''''' '''''' '''''''''''''' ''''''''' '''''''''' '''' '''''''''''''' '''''''' ''''''''' '''''''''''''''''''' ''''''''' '''''''''''''''' '''''''' ''' ''''''''''''' ''''''''''''''''' '''''' ''''''''''' '''' '''''''''''''' '''''''' ''' '''''''''''''''''''' '''''''' ''''''''''''''' '''' ''''' ''''''''''''''' ''''''' '''''''''''''''''' ''''''''''''''''''''' ''''''''''''''''''''''''''' ''''''' '''' ''''''' ''''''''''''''' ''''''' ''''''''' ''''''''''''' '''''''''' '''''''' '''''''''''''''' </w:t>
      </w:r>
    </w:p>
    <w:p w14:paraId="4E422A83" w14:textId="77777777" w:rsidR="00A63F6F" w:rsidRPr="00AD4178" w:rsidRDefault="00AD4178" w:rsidP="00AD4178">
      <w:pPr>
        <w:ind w:left="720" w:hanging="720"/>
        <w:rPr>
          <w:highlight w:val="black"/>
        </w:rPr>
      </w:pPr>
      <w:r>
        <w:rPr>
          <w:noProof/>
          <w:color w:val="000000"/>
          <w:highlight w:val="black"/>
        </w:rPr>
        <w:t xml:space="preserve">''''''''''''''''' '''''''''''''''' ''' ''''''' ''''''''''''''' '''''''''''''''''''''''''' '''''''''' ''''''''' ''''''''''''''''' ''''''''' '''''''''''''''''''' ''''' '''''''''''''''''''' ''''' '''''''''''' '''' '''''''''''' '''''''''''''''' ''''''' ''''''''''''' ''''''''' '''''''' '''''''''''' ''''' ''' ''''''''''''' ''''''''''''''' ''''''''' '' '''''''' '''''' ''''''''''''''' '''''' '''''''''''''' '''' ''''''''''''''''''''''' '''''' ''''''''''''''''''''''' '''''''''''' '''''' '''''''''' ''''''''' ''''''''''''''' ''''''''''' '''''''''''''' ''''''' ''''''''''''''''''''''''''''''' ''''''' '''''''''''''''''''''' ''''''''''''''''''''' ''''' ''''''' ''''''''''''' '''''''''' ''' ''''''''''' ''''' '''''''''''''''''''''' '''' '''''''''' ''''''''''''''' ''''''''''''''''''' </w:t>
      </w:r>
    </w:p>
    <w:p w14:paraId="5B65B509" w14:textId="77777777" w:rsidR="00943FBF" w:rsidRPr="00AD4178" w:rsidRDefault="00AD4178" w:rsidP="00AD4178">
      <w:pPr>
        <w:ind w:left="720" w:hanging="720"/>
        <w:rPr>
          <w:highlight w:val="black"/>
        </w:rPr>
      </w:pPr>
      <w:r>
        <w:rPr>
          <w:noProof/>
          <w:color w:val="000000"/>
          <w:highlight w:val="black"/>
        </w:rPr>
        <w:t>''''''''''''''''' ''''''''''''''''' '''''''' ''''''' '''''''' ''''''''''''' ''''''''''''''' ''''''''''''''''' ''''''''''' '''''' ''''''''''''''''''''''''''' '''' '''''' ''''''''''''' '''''''''''''''''''''''''''' '''''''''''' '''''' '''''''' ''''''''''' ''''''''' '''''''''''''''''''''' ''''''''''''''''''' ''''''''''''''''' ''''''''''''''' ''''' '''''''''''''' ''''''''''''''''''' '''''''' ''''''''''''''''''''''''</w:t>
      </w:r>
    </w:p>
    <w:p w14:paraId="67DF051D" w14:textId="77777777" w:rsidR="00E41841" w:rsidRDefault="00E41841" w:rsidP="006B4E17">
      <w:pPr>
        <w:spacing w:after="240"/>
        <w:ind w:left="720" w:hanging="720"/>
        <w:rPr>
          <w:u w:val="single"/>
        </w:rPr>
      </w:pPr>
    </w:p>
    <w:p w14:paraId="4F38D520" w14:textId="77777777" w:rsidR="008A15EF" w:rsidRDefault="008A15EF">
      <w:pPr>
        <w:widowControl/>
        <w:spacing w:after="200" w:line="276" w:lineRule="auto"/>
        <w:jc w:val="left"/>
        <w:rPr>
          <w:u w:val="single"/>
        </w:rPr>
      </w:pPr>
      <w:r>
        <w:rPr>
          <w:u w:val="single"/>
        </w:rPr>
        <w:br w:type="page"/>
      </w:r>
    </w:p>
    <w:p w14:paraId="71D42A7C" w14:textId="1FF9DA4F" w:rsidR="006B4E17" w:rsidRPr="006B4E17" w:rsidRDefault="006B4E17" w:rsidP="006B4E17">
      <w:pPr>
        <w:spacing w:after="240"/>
        <w:ind w:left="720" w:hanging="720"/>
        <w:rPr>
          <w:u w:val="single"/>
        </w:rPr>
      </w:pPr>
      <w:r w:rsidRPr="00235717">
        <w:rPr>
          <w:u w:val="single"/>
        </w:rPr>
        <w:lastRenderedPageBreak/>
        <w:t>AstraZeneca Pty</w:t>
      </w:r>
      <w:r w:rsidRPr="006B4E17">
        <w:rPr>
          <w:u w:val="single"/>
        </w:rPr>
        <w:t xml:space="preserve"> Ltd for </w:t>
      </w:r>
      <w:proofErr w:type="spellStart"/>
      <w:r w:rsidRPr="006B4E17">
        <w:rPr>
          <w:u w:val="single"/>
        </w:rPr>
        <w:t>durvalumab</w:t>
      </w:r>
      <w:proofErr w:type="spellEnd"/>
      <w:r w:rsidRPr="006B4E17">
        <w:rPr>
          <w:u w:val="single"/>
        </w:rPr>
        <w:t xml:space="preserve"> (</w:t>
      </w:r>
      <w:proofErr w:type="spellStart"/>
      <w:r w:rsidRPr="006B4E17">
        <w:rPr>
          <w:u w:val="single"/>
        </w:rPr>
        <w:t>Imfinzi</w:t>
      </w:r>
      <w:r w:rsidRPr="006B4E17">
        <w:rPr>
          <w:u w:val="single"/>
          <w:vertAlign w:val="superscript"/>
        </w:rPr>
        <w:t>TM</w:t>
      </w:r>
      <w:proofErr w:type="spellEnd"/>
      <w:r w:rsidRPr="006B4E17">
        <w:rPr>
          <w:u w:val="single"/>
        </w:rPr>
        <w:t>)</w:t>
      </w:r>
    </w:p>
    <w:p w14:paraId="736EC809" w14:textId="77777777" w:rsidR="003F6A81" w:rsidRPr="00793238" w:rsidRDefault="00793238" w:rsidP="003F6A81">
      <w:pPr>
        <w:pStyle w:val="ListParagraph"/>
        <w:rPr>
          <w:highlight w:val="black"/>
        </w:rPr>
      </w:pPr>
      <w:r>
        <w:rPr>
          <w:noProof/>
          <w:color w:val="000000"/>
          <w:highlight w:val="black"/>
        </w:rPr>
        <w:t>''''''''''''''''''''' ''' ''''''''''''''''' '''''''' ''''''''''''''''''' '''''' ''''''' ''''''''''''''''''' '''' '''''''''''''''' ''''''''' ''''''''''''' ''''''''''''''''''' '''''''''''''''''''''''' '''''''''''' ''''''''''''' '''''''''''''' ''''''' '''''''' '''''''''''''''''''' '''''''''''''''' '''''''''''''''''''''''''''' '''''''''''''''''''''''''''' ''''''''''''''''' ''''''''''''''''''''''' '''' '''' ''''''''''''' ''''''''''''''''''''''''''' '''''' ''' '''''''''''''' ''''' '''''''''''' '''''''''''''''''''' ''''''''''''''''' '''' ''''''' ''''''''''''''''''''''''''' '''''''''''''''' ''''''' '''''''''''''''''''' ''''''''''''''''  ''''''''''' '''''' ''' ''''''''''''''' ''''' '''''''''''' ''''''''''''''''''''' ''''' '''''''''''''''''''''''' '''' ''''''''''''''''''''''' ''''''''' ''''''''''''''''''''''''''''''' ''' ''''''''''''''''''''''' ''''''''''''''''' ''''''''''''''''''' ''''''''''''''''' ''''''''''''''''''''''''''''''''''''''''''' ''''''''''''' ''' '''''''''''''''''</w:t>
      </w:r>
      <w:r w:rsidRPr="00793238">
        <w:rPr>
          <w:rFonts w:ascii="Arial" w:hAnsi="Arial" w:cs="Arial"/>
          <w:noProof/>
          <w:color w:val="000000"/>
          <w:sz w:val="21"/>
          <w:szCs w:val="21"/>
          <w:highlight w:val="black"/>
        </w:rPr>
        <w:t xml:space="preserve"> </w:t>
      </w:r>
    </w:p>
    <w:p w14:paraId="7BFCFE2C" w14:textId="77777777" w:rsidR="00DF0D1C" w:rsidRPr="00793238" w:rsidRDefault="00793238" w:rsidP="00793238">
      <w:pPr>
        <w:ind w:left="720" w:hanging="720"/>
        <w:rPr>
          <w:highlight w:val="black"/>
        </w:rPr>
      </w:pPr>
      <w:r>
        <w:rPr>
          <w:noProof/>
          <w:color w:val="000000"/>
          <w:highlight w:val="black"/>
        </w:rPr>
        <w:t>''''''''''''''''''''''''''''''' '''''''''''''''''''' '''''''' ''''''''''''''''''' '''''''''''''''''' '''''''''''''' ''''''''''''''''' '''' ''''' '''''''''''''' ''''''''''''''' ''''' '''''' '''''''' ''''''''''''''''''' '''''''''''''''''''''' '''''' ''''''''' ''''''''''''''' ''''''''''''''''' '''''' ''''''''''''''''' '''''''''''''' '''''''''''''''' ''''''' ''''''''''''''''''''' '''''''''''''''''''''</w:t>
      </w:r>
    </w:p>
    <w:p w14:paraId="33AFD665" w14:textId="77777777" w:rsidR="002B61E0" w:rsidRPr="00793238" w:rsidRDefault="00793238" w:rsidP="00793238">
      <w:pPr>
        <w:ind w:left="720" w:hanging="720"/>
        <w:rPr>
          <w:highlight w:val="black"/>
        </w:rPr>
      </w:pPr>
      <w:r>
        <w:rPr>
          <w:noProof/>
          <w:color w:val="000000"/>
          <w:highlight w:val="black"/>
        </w:rPr>
        <w:t>''''''''''''''''''''''''''''' ''''''''''''''' ''''''''' '''''' '''''''''''''''''''''' '''''''''' '''''' '''''' '''' '''''''''''''' ''''''''''' '''' '''''''''''' '''''''' ''''''''''''' ''''''' ''''' ''''''''''''''''''''''' ''' '''''''' '''' '''''''' ''''''''''''''''''' ''''''''''''''''''' '''' ''''''''''' ''''' '''''''''''''' '''' '''''''' '''' '''''''' '''''''''''''''' '''''' '''''''''''''''''''''' ''''' '''''''''''''''''''''</w:t>
      </w:r>
    </w:p>
    <w:p w14:paraId="7BC0B6A1" w14:textId="77777777" w:rsidR="00B0783A" w:rsidRPr="00793238" w:rsidRDefault="00793238" w:rsidP="00793238">
      <w:pPr>
        <w:ind w:left="720" w:hanging="720"/>
        <w:rPr>
          <w:highlight w:val="black"/>
        </w:rPr>
      </w:pPr>
      <w:r>
        <w:rPr>
          <w:noProof/>
          <w:color w:val="000000"/>
          <w:highlight w:val="black"/>
        </w:rPr>
        <w:t xml:space="preserve">''''''''''''''''''''''''''' ''''' ''''''''''''''''''''''' '''''''''''''''''' ''''''''' ''''''''''''''''''' '''''''''' ''' ''''''''''''''' ''''' ''''''' '''''''' ''''''''''''' '''''''''' ''''' ''''' ''''''' '''' ''''''''' '''''''''''' ''''''''''''''''' ''''''''''''' ''''' ''''''''''''''''' ''''''''' '' '''''''''''' '''''''''''''' '''' ''''''''''''''' ''''''''''''''' ''''''''''''''''' '''''''''''''''''''''''' ''''''''''''''''' ''''''' ''''''''''''''''''''''''' ''''''''''' ''''''''' ''''' '''''''''''''''''' '''' '''''''''''''''' ''''''''' '''''''' '''''''''''''''''''' ''' '''''''''''''''''' ''''''''' ''''''''''''' ''''' ''''''''''' ''''''''''''''' ''''''''' ''''' '''''''''''''' ''''' ''''''''''''''''''''' ''''''''' ''''''''''''''''''''''''' </w:t>
      </w:r>
    </w:p>
    <w:p w14:paraId="2B2B4BCE" w14:textId="77777777" w:rsidR="00B0783A" w:rsidRPr="00793238" w:rsidRDefault="00793238" w:rsidP="00793238">
      <w:pPr>
        <w:ind w:left="720" w:hanging="720"/>
        <w:rPr>
          <w:highlight w:val="black"/>
        </w:rPr>
      </w:pPr>
      <w:r>
        <w:rPr>
          <w:noProof/>
          <w:color w:val="000000"/>
          <w:highlight w:val="black"/>
        </w:rPr>
        <w:t xml:space="preserve">''''''''''''''''''''''''''''' ''''''''''''''''''''' ''' '''''''''''''' ''''''''''''''''''''''''''' '''''' ''' '''''''''''' ''''''''''' '''''''' ''''''' '''''''''''''''''''''''''''' '''''''' ''''''''''''''''' '''''' ''''''''''''''''''''''''''''''' ''''' ''''''''' ''''' '''''''''''' '''''''''''''''''''' ''''''''''''''''''''' '''' ''''''' '''''''''''''' ''''''''''''''''''''''' '''' '''''''''' ''''''''''''''''''''''' ''''''''''''''''' ''' ''''''''' '''''' '''''''''''''' ''''''''''' ''''' '''''''''''''''''''' ''''' ''''''''''''''''' '''''' ''''''''''''' '''''''''''''''' ''''''''''' ''''' '''''''''' '''' '''''' ''''''' ''''''''''' ''''''''''''''' ''''''''''''''''' ''''' ''''''' ''''''' ''''' '''''' '''''''''''' '''''''''''''''''''' ''' ''''''''''' ''''''''' ''''''''' '''''''''''''''''''''''''' ''''''''' ''''''''''''''''''''''''''''''''' </w:t>
      </w:r>
    </w:p>
    <w:p w14:paraId="3707E77E" w14:textId="77777777" w:rsidR="00616545" w:rsidRDefault="00616545">
      <w:pPr>
        <w:widowControl/>
        <w:spacing w:after="200" w:line="276" w:lineRule="auto"/>
        <w:jc w:val="left"/>
        <w:rPr>
          <w:u w:val="single"/>
        </w:rPr>
      </w:pPr>
      <w:r>
        <w:rPr>
          <w:u w:val="single"/>
        </w:rPr>
        <w:br w:type="page"/>
      </w:r>
    </w:p>
    <w:p w14:paraId="45489574" w14:textId="77777777" w:rsidR="006B4E17" w:rsidRPr="00235717" w:rsidRDefault="006B4E17" w:rsidP="006B4E17">
      <w:pPr>
        <w:spacing w:after="240"/>
        <w:ind w:left="720" w:hanging="720"/>
        <w:rPr>
          <w:u w:val="single"/>
        </w:rPr>
      </w:pPr>
      <w:r w:rsidRPr="006B4E17">
        <w:rPr>
          <w:u w:val="single"/>
        </w:rPr>
        <w:lastRenderedPageBreak/>
        <w:t>Bristol</w:t>
      </w:r>
      <w:r w:rsidRPr="00235717">
        <w:rPr>
          <w:u w:val="single"/>
        </w:rPr>
        <w:t xml:space="preserve">-Myers Squibb Australia Pty Ltd for </w:t>
      </w:r>
      <w:proofErr w:type="spellStart"/>
      <w:r w:rsidRPr="00235717">
        <w:rPr>
          <w:u w:val="single"/>
        </w:rPr>
        <w:t>nivolumab</w:t>
      </w:r>
      <w:proofErr w:type="spellEnd"/>
      <w:r w:rsidRPr="00235717">
        <w:rPr>
          <w:u w:val="single"/>
        </w:rPr>
        <w:t xml:space="preserve"> (</w:t>
      </w:r>
      <w:proofErr w:type="spellStart"/>
      <w:r w:rsidRPr="00235717">
        <w:rPr>
          <w:u w:val="single"/>
        </w:rPr>
        <w:t>Opdivo</w:t>
      </w:r>
      <w:proofErr w:type="spellEnd"/>
      <w:r w:rsidRPr="00235717">
        <w:rPr>
          <w:u w:val="single"/>
        </w:rPr>
        <w:t>®)</w:t>
      </w:r>
    </w:p>
    <w:p w14:paraId="0C9A6453" w14:textId="77777777" w:rsidR="00205225" w:rsidRPr="00AD4178" w:rsidRDefault="00AD4178" w:rsidP="00AD4178">
      <w:pPr>
        <w:ind w:left="720" w:hanging="720"/>
        <w:rPr>
          <w:highlight w:val="black"/>
        </w:rPr>
      </w:pPr>
      <w:r>
        <w:rPr>
          <w:noProof/>
          <w:color w:val="000000"/>
          <w:highlight w:val="black"/>
        </w:rPr>
        <w:t xml:space="preserve">''''''''''''''''''''''''''''''' ''' '''''''''''''''' '''''''''' ''''' '''''' ''''''' '''''' ''''''' ''''''''''''''''''''''' '''''''''''''''''''' ''''' ''''''''''' '''' '''''''' '''''''' '''''' ''''''''''''  ''''''''''''''''''''' ''' '''' '''''''''''' ''''''''''''''''''''''''' ''''' ''' '''''''''''''' '''' '''''''''''' ''''''''''''''''''''''' '''''''''''''''' ''' '''''' ''''''''''''''''''''''''''' '''''''''''''''' '''''' '''''''''''''''''' '''''''''''''''' ''''''''''' ''''''' ''' ''''''''''''''' '''' '''''''''''''' ''''''''''''''''' '''' '''''''''''''''''' '''' ''''''''''''''''''''''''' ''''''''' '''''''''''''''''''''' '' ''''''''''''''''''''' ''''''''''''''''' '''''''''''''''''' ''''''''''''''' </w:t>
      </w:r>
    </w:p>
    <w:p w14:paraId="1A078E2F" w14:textId="77777777" w:rsidR="002A556B" w:rsidRPr="00AD4178" w:rsidRDefault="00AD4178" w:rsidP="00AD4178">
      <w:pPr>
        <w:ind w:left="720" w:hanging="720"/>
        <w:rPr>
          <w:highlight w:val="black"/>
        </w:rPr>
      </w:pPr>
      <w:r>
        <w:rPr>
          <w:noProof/>
          <w:color w:val="000000"/>
          <w:highlight w:val="black"/>
        </w:rPr>
        <w:t xml:space="preserve">''''''''''''''''''''''''''''''''''' '''''''''''''' ''''''''''' '''''''''''''''''' ''''''''' '''''' '''''''''' '''''' '''''''''''''' '''''''''''' '''''''''''''''' ''''' '''''' '''''''''''''''''' ''''''''''' '''' ''' '''''' '''''''''' ''''''' ''''''' ''''''''''''''''''' '''''''' '''''''''' ''''''''''' ''' ''''''''''''''''''' '''''''''''''''''''' '''''''''' '''''''' ''''''''''''''''''' '''''''''''''' '''''''''''''''' ''''' '''''''''''''' ''''''''''''''''''''' '''''''''''''''' ''''' '''''''''''''''''''''  </w:t>
      </w:r>
    </w:p>
    <w:p w14:paraId="2EE6663C" w14:textId="77777777" w:rsidR="00B20CF8" w:rsidRPr="00AD4178" w:rsidRDefault="00AD4178" w:rsidP="00AD4178">
      <w:pPr>
        <w:ind w:left="720" w:hanging="720"/>
        <w:rPr>
          <w:highlight w:val="black"/>
        </w:rPr>
      </w:pPr>
      <w:r>
        <w:rPr>
          <w:noProof/>
          <w:color w:val="000000"/>
          <w:highlight w:val="black"/>
        </w:rPr>
        <w:t xml:space="preserve">''''''''''''''''' '''''''''''''''''''' '''''''' ''''''''''''''' ''''' ''' ''''''''''''''''' '''' ''' ''''''''''' '''''''''''' ''''''''''' '''''''''''' '''''''''''''' ''''''''' '''''''''''''''''''''' '''''' ''''''' ''''''''''''''''''' </w:t>
      </w:r>
    </w:p>
    <w:p w14:paraId="57ECD85F" w14:textId="77777777" w:rsidR="00E15BE3" w:rsidRPr="00AD4178" w:rsidRDefault="00AD4178" w:rsidP="00164EDA">
      <w:pPr>
        <w:pStyle w:val="ListParagraph"/>
        <w:rPr>
          <w:highlight w:val="black"/>
        </w:rPr>
      </w:pPr>
      <w:r>
        <w:rPr>
          <w:noProof/>
          <w:color w:val="000000"/>
          <w:highlight w:val="black"/>
        </w:rPr>
        <w:t>''''''''' '''''''''''''''''''''' '''''' ''''''' '''' ''''''' ''''''''''''''''''' ''''''''''''''' '''''''''''''' '''''''''''''''''''''' '''''''''''''''''''''' '''' '''''' ''''''''''''''''''''' ''''''''''''''' '''''''''''''''''' '''''''' '''''''''''''''''''''''''''''' ''''' ''' ''''''' ''''''' ''''''''''''''''''''''' '''''''''''''''' ''''''''''''''''''' '''' ''''' '''''''''''' ''''''''''' ''''' '''''''''''''' '''''''' '''''''''' ''' '''' '''''''' '''''''''''''''''''''''''' ''''''''''''''' '''' ''''''''''' ''''' ''''''''''' '''' '''''''''''''''</w:t>
      </w:r>
      <w:r w:rsidR="00E15BE3" w:rsidRPr="00AD4178">
        <w:rPr>
          <w:highlight w:val="black"/>
        </w:rPr>
        <w:t xml:space="preserve">  </w:t>
      </w:r>
    </w:p>
    <w:p w14:paraId="3435A6C7" w14:textId="77777777" w:rsidR="006B4E17" w:rsidRPr="00235717" w:rsidRDefault="006B4E17" w:rsidP="006B4E17">
      <w:pPr>
        <w:spacing w:after="240"/>
        <w:ind w:left="720" w:hanging="720"/>
        <w:rPr>
          <w:u w:val="single"/>
        </w:rPr>
      </w:pPr>
      <w:r w:rsidRPr="00235717">
        <w:rPr>
          <w:u w:val="single"/>
        </w:rPr>
        <w:t xml:space="preserve">Merck Sharp &amp; </w:t>
      </w:r>
      <w:proofErr w:type="spellStart"/>
      <w:r w:rsidRPr="00235717">
        <w:rPr>
          <w:u w:val="single"/>
        </w:rPr>
        <w:t>Dohme</w:t>
      </w:r>
      <w:proofErr w:type="spellEnd"/>
      <w:r w:rsidRPr="00235717">
        <w:rPr>
          <w:u w:val="single"/>
        </w:rPr>
        <w:t xml:space="preserve"> (Australia) Pty Ltd for </w:t>
      </w:r>
      <w:proofErr w:type="spellStart"/>
      <w:r w:rsidRPr="00235717">
        <w:rPr>
          <w:u w:val="single"/>
        </w:rPr>
        <w:t>pembrolizumab</w:t>
      </w:r>
      <w:proofErr w:type="spellEnd"/>
      <w:r w:rsidRPr="00235717">
        <w:rPr>
          <w:u w:val="single"/>
        </w:rPr>
        <w:t xml:space="preserve"> (</w:t>
      </w:r>
      <w:proofErr w:type="spellStart"/>
      <w:r w:rsidRPr="00235717">
        <w:rPr>
          <w:u w:val="single"/>
        </w:rPr>
        <w:t>Keytruda</w:t>
      </w:r>
      <w:proofErr w:type="spellEnd"/>
      <w:r w:rsidRPr="00235717">
        <w:rPr>
          <w:u w:val="single"/>
        </w:rPr>
        <w:t>®)</w:t>
      </w:r>
    </w:p>
    <w:p w14:paraId="094BFA36" w14:textId="77777777" w:rsidR="00807C67" w:rsidRPr="00AD4178" w:rsidRDefault="00AD4178" w:rsidP="00AD4178">
      <w:pPr>
        <w:ind w:left="720" w:hanging="720"/>
        <w:rPr>
          <w:highlight w:val="black"/>
        </w:rPr>
      </w:pPr>
      <w:r>
        <w:rPr>
          <w:noProof/>
          <w:color w:val="000000"/>
          <w:highlight w:val="black"/>
        </w:rPr>
        <w:t xml:space="preserve">''''''''''''''''''''''''''''''''''''''''' ''' '''''''''''''''' ''''''''' ''''' ''''''' ''''''' ''''' '''''''''''''''''''''''' '''''' '''''' ''''''''''''''''' ''''''''''''''''''' '''' '''''''''''''''' ''''''''' '''''''''''' '''' '''''''''''' ''''''''' '''''''''''''''' '''''''''''' '''''''''''''' ''''''''''''''''''''' ''''''''''' ''''''''''' '''''''''' ''''''' '''''' '''''''''' '''''''''''''''''''''''''''''' '''''' ''''''''''' '''''' '''''' ''''''''''''''''' ''''''''''''''''' ''''' ''''''''''''''''' ''''''''' '''''''''' '''' '''''''' '''''''''''''' '''' ''''''''''''''''''''' ''''''''' ''''''''''''''''' ''''''''''' ''''''''''''''''''''''''''' </w:t>
      </w:r>
    </w:p>
    <w:p w14:paraId="42CA9BE5" w14:textId="77777777" w:rsidR="00E27601" w:rsidRPr="00AD4178" w:rsidRDefault="00AD4178" w:rsidP="00AD4178">
      <w:pPr>
        <w:ind w:left="720" w:hanging="720"/>
        <w:rPr>
          <w:highlight w:val="black"/>
        </w:rPr>
      </w:pPr>
      <w:r>
        <w:rPr>
          <w:noProof/>
          <w:color w:val="000000"/>
          <w:highlight w:val="black"/>
        </w:rPr>
        <w:t xml:space="preserve">''''''''''''''''''''' '''''''''' ' '''''''''''''' ''''''''''''' ''''''''''''''''''''' ''' ''''''' '''''''''''''''''''''' '''' ''''''' ''''''''''''''' ''''''''''''''''''' '''''''' '''''''''''' ''''''''' '''''''''''''''''''' '''''''' ''''''''''''''''''''''' </w:t>
      </w:r>
    </w:p>
    <w:p w14:paraId="71CB7575" w14:textId="77777777" w:rsidR="00304988" w:rsidRPr="00AD4178" w:rsidRDefault="00AD4178" w:rsidP="00AD4178">
      <w:pPr>
        <w:ind w:left="720" w:hanging="720"/>
        <w:rPr>
          <w:highlight w:val="black"/>
        </w:rPr>
      </w:pPr>
      <w:r>
        <w:rPr>
          <w:noProof/>
          <w:color w:val="000000"/>
          <w:highlight w:val="black"/>
        </w:rPr>
        <w:t xml:space="preserve">'''''''''''''''' ''''''''''''''''' ''''' '''''''''''''''' '''''''''' ''''''''''''''''''''' '''''''' '''''' ''''''''''''''' ''''' '''''''' '''''''''''''''''' ''''''''''' '''''' '''''' '''''''''''''' '''''''''''''''''''''''''' '''''' '''''''''' '''''' '''''''''''''''''''''''''''''''' '''' '''''' ''''''''''''''''' '''''''' ''''''''''''' ''''''''''''  '''''''''''''''''''' ''''' ''''''' '''''''''''''''''''' '''''''''''''''' '''' ''''''''''''''''''' '''' '''''' ''''''''''''''' '''''''''''''' '''''''' </w:t>
      </w:r>
    </w:p>
    <w:p w14:paraId="2565FE78" w14:textId="77777777" w:rsidR="009879A1" w:rsidRPr="00AD4178" w:rsidRDefault="00AD4178" w:rsidP="00AD4178">
      <w:pPr>
        <w:ind w:left="720" w:hanging="720"/>
        <w:rPr>
          <w:highlight w:val="black"/>
        </w:rPr>
      </w:pPr>
      <w:r>
        <w:rPr>
          <w:noProof/>
          <w:color w:val="000000"/>
          <w:highlight w:val="black"/>
        </w:rPr>
        <w:t xml:space="preserve">'''''''''''''''''' '''''''''''''''' '''''''''''''' ''''''''' '''''' ''''''''''''''''''''''''''''''' ''' '''''' '''''''''''''''''' '''' ''''' ''''''''''''' '''''''''''' '''''''''''''''''' </w:t>
      </w:r>
    </w:p>
    <w:p w14:paraId="54E009E6" w14:textId="77777777" w:rsidR="009879A1" w:rsidRDefault="009879A1">
      <w:pPr>
        <w:widowControl/>
        <w:spacing w:after="200" w:line="276" w:lineRule="auto"/>
        <w:jc w:val="left"/>
        <w:rPr>
          <w:highlight w:val="green"/>
        </w:rPr>
      </w:pPr>
      <w:r w:rsidRPr="00235717">
        <w:br w:type="page"/>
      </w:r>
    </w:p>
    <w:p w14:paraId="31E8A142" w14:textId="77777777" w:rsidR="00F75EE9" w:rsidRDefault="00F75EE9" w:rsidP="0022747F">
      <w:pPr>
        <w:pStyle w:val="PBACheading1"/>
      </w:pPr>
      <w:r>
        <w:lastRenderedPageBreak/>
        <w:t>PBAC consideration</w:t>
      </w:r>
    </w:p>
    <w:p w14:paraId="60B82D52" w14:textId="77777777" w:rsidR="00AD0D83" w:rsidRPr="002D72A8" w:rsidRDefault="00AD0D83" w:rsidP="006B0878">
      <w:pPr>
        <w:pStyle w:val="ListParagraph"/>
      </w:pPr>
      <w:r>
        <w:t xml:space="preserve">A summary of the </w:t>
      </w:r>
      <w:r w:rsidR="00B25E61">
        <w:t xml:space="preserve">approved </w:t>
      </w:r>
      <w:r>
        <w:t xml:space="preserve">TGA indications and PBS </w:t>
      </w:r>
      <w:r w:rsidR="009F391B">
        <w:t xml:space="preserve">listing </w:t>
      </w:r>
      <w:r>
        <w:t>status</w:t>
      </w:r>
      <w:r w:rsidR="00616545">
        <w:t xml:space="preserve"> of PD-(L</w:t>
      </w:r>
      <w:proofErr w:type="gramStart"/>
      <w:r w:rsidR="00616545">
        <w:t>)1</w:t>
      </w:r>
      <w:proofErr w:type="gramEnd"/>
      <w:r w:rsidR="00616545">
        <w:t xml:space="preserve"> inhibitors</w:t>
      </w:r>
      <w:r>
        <w:t xml:space="preserve"> is provided in Table 1. </w:t>
      </w:r>
      <w:r w:rsidR="004A1B1F">
        <w:t xml:space="preserve">The PBAC noted </w:t>
      </w:r>
      <w:r w:rsidR="00962610">
        <w:t xml:space="preserve">that for similar patient populations </w:t>
      </w:r>
      <w:r w:rsidR="004A1B1F">
        <w:t>th</w:t>
      </w:r>
      <w:r w:rsidR="00B25E61">
        <w:t>ere were differences in the TGA indication</w:t>
      </w:r>
      <w:r w:rsidR="00962610">
        <w:t>s</w:t>
      </w:r>
      <w:r w:rsidR="00B25E61">
        <w:t xml:space="preserve"> </w:t>
      </w:r>
      <w:r w:rsidR="00962610">
        <w:t xml:space="preserve">for </w:t>
      </w:r>
      <w:r w:rsidR="00B25E61">
        <w:t>the PD-(L)1 inhibitors</w:t>
      </w:r>
      <w:r w:rsidR="00352999">
        <w:t xml:space="preserve"> </w:t>
      </w:r>
      <w:r w:rsidR="009F391B">
        <w:t xml:space="preserve">with some medicines indicated as monotherapy treatments, some in combination with chemotherapy, some were limited by PD-L1 TPS status and some were limited to patients without targeted mutations. </w:t>
      </w:r>
    </w:p>
    <w:p w14:paraId="14AF80FA" w14:textId="77777777" w:rsidR="00373B7A" w:rsidRPr="006D205A" w:rsidRDefault="00373B7A" w:rsidP="00373B7A">
      <w:pPr>
        <w:pStyle w:val="Caption"/>
        <w:rPr>
          <w:sz w:val="20"/>
          <w:szCs w:val="20"/>
        </w:rPr>
      </w:pPr>
      <w:r w:rsidRPr="006D205A">
        <w:rPr>
          <w:sz w:val="20"/>
          <w:szCs w:val="20"/>
        </w:rPr>
        <w:t xml:space="preserve">Table </w:t>
      </w:r>
      <w:r w:rsidR="006C3B6D">
        <w:rPr>
          <w:noProof/>
          <w:sz w:val="20"/>
          <w:szCs w:val="20"/>
        </w:rPr>
        <w:t>1</w:t>
      </w:r>
      <w:r w:rsidRPr="006D205A">
        <w:rPr>
          <w:sz w:val="20"/>
          <w:szCs w:val="20"/>
        </w:rPr>
        <w:t xml:space="preserve">: </w:t>
      </w:r>
      <w:r w:rsidR="006D205A">
        <w:rPr>
          <w:sz w:val="20"/>
          <w:szCs w:val="20"/>
        </w:rPr>
        <w:t xml:space="preserve">TGA indications (PBS </w:t>
      </w:r>
      <w:r w:rsidR="009F391B">
        <w:rPr>
          <w:sz w:val="20"/>
          <w:szCs w:val="20"/>
        </w:rPr>
        <w:t xml:space="preserve">listing </w:t>
      </w:r>
      <w:r w:rsidR="006D205A">
        <w:rPr>
          <w:sz w:val="20"/>
          <w:szCs w:val="20"/>
        </w:rPr>
        <w:t>status)</w:t>
      </w:r>
    </w:p>
    <w:tbl>
      <w:tblPr>
        <w:tblStyle w:val="TableGrid"/>
        <w:tblW w:w="0" w:type="auto"/>
        <w:tblLook w:val="04A0" w:firstRow="1" w:lastRow="0" w:firstColumn="1" w:lastColumn="0" w:noHBand="0" w:noVBand="1"/>
        <w:tblCaption w:val="Table 1: TGA indications (PBS listing status)"/>
      </w:tblPr>
      <w:tblGrid>
        <w:gridCol w:w="2405"/>
        <w:gridCol w:w="1640"/>
        <w:gridCol w:w="1641"/>
        <w:gridCol w:w="1640"/>
        <w:gridCol w:w="1641"/>
      </w:tblGrid>
      <w:tr w:rsidR="00373B7A" w:rsidRPr="00373B7A" w14:paraId="34918CEE" w14:textId="77777777" w:rsidTr="00445F2E">
        <w:trPr>
          <w:tblHeader/>
        </w:trPr>
        <w:tc>
          <w:tcPr>
            <w:tcW w:w="2405" w:type="dxa"/>
          </w:tcPr>
          <w:p w14:paraId="2BF3B6A9" w14:textId="77777777" w:rsidR="00373B7A" w:rsidRPr="006D205A" w:rsidRDefault="00373B7A" w:rsidP="00373B7A">
            <w:pPr>
              <w:pStyle w:val="PBACheading1"/>
              <w:numPr>
                <w:ilvl w:val="0"/>
                <w:numId w:val="0"/>
              </w:numPr>
              <w:rPr>
                <w:rFonts w:ascii="Arial Narrow" w:hAnsi="Arial Narrow"/>
                <w:sz w:val="20"/>
                <w:szCs w:val="20"/>
              </w:rPr>
            </w:pPr>
          </w:p>
        </w:tc>
        <w:tc>
          <w:tcPr>
            <w:tcW w:w="1640" w:type="dxa"/>
          </w:tcPr>
          <w:p w14:paraId="3FB341F1" w14:textId="77777777" w:rsidR="00373B7A" w:rsidRPr="006D205A" w:rsidRDefault="00373B7A" w:rsidP="00A2306E">
            <w:pPr>
              <w:pStyle w:val="PBACheading1"/>
              <w:numPr>
                <w:ilvl w:val="0"/>
                <w:numId w:val="0"/>
              </w:numPr>
              <w:jc w:val="center"/>
              <w:rPr>
                <w:rFonts w:ascii="Arial Narrow" w:hAnsi="Arial Narrow"/>
                <w:sz w:val="20"/>
                <w:szCs w:val="20"/>
              </w:rPr>
            </w:pPr>
            <w:proofErr w:type="spellStart"/>
            <w:r w:rsidRPr="006D205A">
              <w:rPr>
                <w:rFonts w:ascii="Arial Narrow" w:hAnsi="Arial Narrow"/>
                <w:sz w:val="20"/>
                <w:szCs w:val="20"/>
              </w:rPr>
              <w:t>Durvalumab</w:t>
            </w:r>
            <w:proofErr w:type="spellEnd"/>
          </w:p>
        </w:tc>
        <w:tc>
          <w:tcPr>
            <w:tcW w:w="1641" w:type="dxa"/>
          </w:tcPr>
          <w:p w14:paraId="5AF59E81" w14:textId="77777777" w:rsidR="00373B7A" w:rsidRPr="006D205A" w:rsidRDefault="00373B7A" w:rsidP="00A2306E">
            <w:pPr>
              <w:pStyle w:val="PBACheading1"/>
              <w:numPr>
                <w:ilvl w:val="0"/>
                <w:numId w:val="0"/>
              </w:numPr>
              <w:jc w:val="center"/>
              <w:rPr>
                <w:rFonts w:ascii="Arial Narrow" w:hAnsi="Arial Narrow"/>
                <w:sz w:val="20"/>
                <w:szCs w:val="20"/>
              </w:rPr>
            </w:pPr>
            <w:proofErr w:type="spellStart"/>
            <w:r w:rsidRPr="006D205A">
              <w:rPr>
                <w:rFonts w:ascii="Arial Narrow" w:hAnsi="Arial Narrow"/>
                <w:sz w:val="20"/>
                <w:szCs w:val="20"/>
              </w:rPr>
              <w:t>Nivolumab</w:t>
            </w:r>
            <w:proofErr w:type="spellEnd"/>
          </w:p>
        </w:tc>
        <w:tc>
          <w:tcPr>
            <w:tcW w:w="1640" w:type="dxa"/>
          </w:tcPr>
          <w:p w14:paraId="1BCEA08B" w14:textId="77777777" w:rsidR="00373B7A" w:rsidRPr="006D205A" w:rsidRDefault="00373B7A" w:rsidP="00A2306E">
            <w:pPr>
              <w:pStyle w:val="PBACheading1"/>
              <w:numPr>
                <w:ilvl w:val="0"/>
                <w:numId w:val="0"/>
              </w:numPr>
              <w:jc w:val="center"/>
              <w:rPr>
                <w:rFonts w:ascii="Arial Narrow" w:hAnsi="Arial Narrow"/>
                <w:sz w:val="20"/>
                <w:szCs w:val="20"/>
              </w:rPr>
            </w:pPr>
            <w:r w:rsidRPr="006D205A">
              <w:rPr>
                <w:rFonts w:ascii="Arial Narrow" w:hAnsi="Arial Narrow"/>
                <w:sz w:val="20"/>
                <w:szCs w:val="20"/>
              </w:rPr>
              <w:t>Atezolizumab</w:t>
            </w:r>
          </w:p>
        </w:tc>
        <w:tc>
          <w:tcPr>
            <w:tcW w:w="1641" w:type="dxa"/>
          </w:tcPr>
          <w:p w14:paraId="60F1BAA1" w14:textId="77777777" w:rsidR="00373B7A" w:rsidRPr="006D205A" w:rsidRDefault="00373B7A" w:rsidP="00A2306E">
            <w:pPr>
              <w:pStyle w:val="PBACheading1"/>
              <w:numPr>
                <w:ilvl w:val="0"/>
                <w:numId w:val="0"/>
              </w:numPr>
              <w:jc w:val="center"/>
              <w:rPr>
                <w:rFonts w:ascii="Arial Narrow" w:hAnsi="Arial Narrow"/>
                <w:sz w:val="20"/>
                <w:szCs w:val="20"/>
              </w:rPr>
            </w:pPr>
            <w:r w:rsidRPr="006D205A">
              <w:rPr>
                <w:rFonts w:ascii="Arial Narrow" w:hAnsi="Arial Narrow"/>
                <w:sz w:val="20"/>
                <w:szCs w:val="20"/>
              </w:rPr>
              <w:t>Pembrolizumab</w:t>
            </w:r>
          </w:p>
        </w:tc>
      </w:tr>
      <w:tr w:rsidR="00373B7A" w:rsidRPr="00373B7A" w14:paraId="0AAC03AF" w14:textId="77777777" w:rsidTr="00352999">
        <w:tc>
          <w:tcPr>
            <w:tcW w:w="2405" w:type="dxa"/>
          </w:tcPr>
          <w:p w14:paraId="4ED84327" w14:textId="77777777" w:rsidR="00373B7A" w:rsidRPr="006D205A" w:rsidRDefault="00373B7A" w:rsidP="00373B7A">
            <w:pPr>
              <w:pStyle w:val="PBACheading1"/>
              <w:numPr>
                <w:ilvl w:val="0"/>
                <w:numId w:val="0"/>
              </w:numPr>
              <w:rPr>
                <w:rFonts w:ascii="Arial Narrow" w:hAnsi="Arial Narrow"/>
                <w:sz w:val="20"/>
                <w:szCs w:val="20"/>
              </w:rPr>
            </w:pPr>
            <w:r w:rsidRPr="006D205A">
              <w:rPr>
                <w:rFonts w:ascii="Arial Narrow" w:hAnsi="Arial Narrow"/>
                <w:sz w:val="20"/>
                <w:szCs w:val="20"/>
              </w:rPr>
              <w:t>Stage III post CRT</w:t>
            </w:r>
          </w:p>
        </w:tc>
        <w:tc>
          <w:tcPr>
            <w:tcW w:w="1640" w:type="dxa"/>
          </w:tcPr>
          <w:p w14:paraId="59950DF3" w14:textId="77777777" w:rsidR="00373B7A" w:rsidRPr="006D205A" w:rsidRDefault="00373B7A" w:rsidP="00373B7A">
            <w:pPr>
              <w:pStyle w:val="PBACheading1"/>
              <w:numPr>
                <w:ilvl w:val="0"/>
                <w:numId w:val="0"/>
              </w:numPr>
              <w:jc w:val="center"/>
              <w:rPr>
                <w:rFonts w:ascii="Arial Narrow" w:hAnsi="Arial Narrow"/>
                <w:sz w:val="20"/>
                <w:szCs w:val="20"/>
              </w:rPr>
            </w:pPr>
            <w:r w:rsidRPr="006D205A">
              <w:rPr>
                <w:rFonts w:ascii="Arial Narrow" w:hAnsi="Arial Narrow"/>
                <w:sz w:val="20"/>
                <w:szCs w:val="20"/>
              </w:rPr>
              <w:sym w:font="Wingdings" w:char="F0FC"/>
            </w:r>
          </w:p>
          <w:p w14:paraId="46451ADD" w14:textId="77777777" w:rsidR="00373B7A" w:rsidRPr="006D205A" w:rsidRDefault="00373B7A" w:rsidP="00373B7A">
            <w:pPr>
              <w:pStyle w:val="PBACheading1"/>
              <w:numPr>
                <w:ilvl w:val="0"/>
                <w:numId w:val="0"/>
              </w:numPr>
              <w:jc w:val="center"/>
              <w:rPr>
                <w:rFonts w:ascii="Arial Narrow" w:hAnsi="Arial Narrow"/>
                <w:b w:val="0"/>
                <w:sz w:val="20"/>
                <w:szCs w:val="20"/>
              </w:rPr>
            </w:pPr>
            <w:r w:rsidRPr="006D205A">
              <w:rPr>
                <w:rFonts w:ascii="Arial Narrow" w:hAnsi="Arial Narrow"/>
                <w:b w:val="0"/>
                <w:sz w:val="20"/>
                <w:szCs w:val="20"/>
              </w:rPr>
              <w:t>(rejected)</w:t>
            </w:r>
            <w:r w:rsidR="00352999" w:rsidRPr="00352999">
              <w:rPr>
                <w:rFonts w:ascii="Arial Narrow" w:hAnsi="Arial Narrow"/>
                <w:b w:val="0"/>
                <w:sz w:val="20"/>
                <w:szCs w:val="20"/>
                <w:vertAlign w:val="superscript"/>
              </w:rPr>
              <w:t>1</w:t>
            </w:r>
          </w:p>
        </w:tc>
        <w:tc>
          <w:tcPr>
            <w:tcW w:w="1641" w:type="dxa"/>
          </w:tcPr>
          <w:p w14:paraId="6424663A" w14:textId="77777777" w:rsidR="00373B7A" w:rsidRPr="006D205A" w:rsidRDefault="00373B7A" w:rsidP="00373B7A">
            <w:pPr>
              <w:pStyle w:val="PBACheading1"/>
              <w:numPr>
                <w:ilvl w:val="0"/>
                <w:numId w:val="0"/>
              </w:numPr>
              <w:jc w:val="center"/>
              <w:rPr>
                <w:rFonts w:ascii="Arial Narrow" w:hAnsi="Arial Narrow"/>
                <w:sz w:val="20"/>
                <w:szCs w:val="20"/>
              </w:rPr>
            </w:pPr>
            <w:r w:rsidRPr="006D205A">
              <w:rPr>
                <w:rFonts w:ascii="Arial Narrow" w:hAnsi="Arial Narrow"/>
                <w:sz w:val="20"/>
                <w:szCs w:val="20"/>
              </w:rPr>
              <w:sym w:font="Wingdings" w:char="F0FB"/>
            </w:r>
          </w:p>
        </w:tc>
        <w:tc>
          <w:tcPr>
            <w:tcW w:w="1640" w:type="dxa"/>
          </w:tcPr>
          <w:p w14:paraId="6372A605" w14:textId="77777777" w:rsidR="00373B7A" w:rsidRPr="006D205A" w:rsidRDefault="00373B7A" w:rsidP="00373B7A">
            <w:pPr>
              <w:pStyle w:val="PBACheading1"/>
              <w:numPr>
                <w:ilvl w:val="0"/>
                <w:numId w:val="0"/>
              </w:numPr>
              <w:jc w:val="center"/>
              <w:rPr>
                <w:rFonts w:ascii="Arial Narrow" w:hAnsi="Arial Narrow"/>
                <w:sz w:val="20"/>
                <w:szCs w:val="20"/>
              </w:rPr>
            </w:pPr>
            <w:r w:rsidRPr="006D205A">
              <w:rPr>
                <w:rFonts w:ascii="Arial Narrow" w:hAnsi="Arial Narrow"/>
                <w:sz w:val="20"/>
                <w:szCs w:val="20"/>
              </w:rPr>
              <w:sym w:font="Wingdings" w:char="F0FB"/>
            </w:r>
          </w:p>
        </w:tc>
        <w:tc>
          <w:tcPr>
            <w:tcW w:w="1641" w:type="dxa"/>
          </w:tcPr>
          <w:p w14:paraId="4057FDAF" w14:textId="77777777" w:rsidR="00373B7A" w:rsidRPr="006D205A" w:rsidRDefault="00373B7A" w:rsidP="00373B7A">
            <w:pPr>
              <w:pStyle w:val="PBACheading1"/>
              <w:numPr>
                <w:ilvl w:val="0"/>
                <w:numId w:val="0"/>
              </w:numPr>
              <w:jc w:val="center"/>
              <w:rPr>
                <w:rFonts w:ascii="Arial Narrow" w:hAnsi="Arial Narrow"/>
                <w:sz w:val="20"/>
                <w:szCs w:val="20"/>
              </w:rPr>
            </w:pPr>
            <w:r w:rsidRPr="006D205A">
              <w:rPr>
                <w:rFonts w:ascii="Arial Narrow" w:hAnsi="Arial Narrow"/>
                <w:sz w:val="20"/>
                <w:szCs w:val="20"/>
              </w:rPr>
              <w:sym w:font="Wingdings" w:char="F0FB"/>
            </w:r>
          </w:p>
        </w:tc>
      </w:tr>
      <w:tr w:rsidR="00373B7A" w:rsidRPr="00373B7A" w14:paraId="1340C539" w14:textId="77777777" w:rsidTr="00352999">
        <w:tc>
          <w:tcPr>
            <w:tcW w:w="2405" w:type="dxa"/>
          </w:tcPr>
          <w:p w14:paraId="041613A4" w14:textId="77777777" w:rsidR="00373B7A" w:rsidRPr="006D205A" w:rsidRDefault="00373B7A" w:rsidP="00373B7A">
            <w:pPr>
              <w:pStyle w:val="PBACheading1"/>
              <w:numPr>
                <w:ilvl w:val="0"/>
                <w:numId w:val="0"/>
              </w:numPr>
              <w:rPr>
                <w:rFonts w:ascii="Arial Narrow" w:hAnsi="Arial Narrow"/>
                <w:sz w:val="20"/>
                <w:szCs w:val="20"/>
              </w:rPr>
            </w:pPr>
            <w:r w:rsidRPr="006D205A">
              <w:rPr>
                <w:rFonts w:ascii="Arial Narrow" w:hAnsi="Arial Narrow"/>
                <w:sz w:val="20"/>
                <w:szCs w:val="20"/>
              </w:rPr>
              <w:t>Stage IV, first-line NSQ</w:t>
            </w:r>
          </w:p>
        </w:tc>
        <w:tc>
          <w:tcPr>
            <w:tcW w:w="1640" w:type="dxa"/>
          </w:tcPr>
          <w:p w14:paraId="5DFC1D7E" w14:textId="77777777" w:rsidR="00373B7A" w:rsidRPr="006D205A" w:rsidRDefault="00373B7A" w:rsidP="00373B7A">
            <w:pPr>
              <w:pStyle w:val="PBACheading1"/>
              <w:numPr>
                <w:ilvl w:val="0"/>
                <w:numId w:val="0"/>
              </w:numPr>
              <w:jc w:val="center"/>
              <w:rPr>
                <w:rFonts w:ascii="Arial Narrow" w:hAnsi="Arial Narrow"/>
                <w:sz w:val="20"/>
                <w:szCs w:val="20"/>
              </w:rPr>
            </w:pPr>
            <w:r w:rsidRPr="006D205A">
              <w:rPr>
                <w:rFonts w:ascii="Arial Narrow" w:hAnsi="Arial Narrow"/>
                <w:sz w:val="20"/>
                <w:szCs w:val="20"/>
              </w:rPr>
              <w:sym w:font="Wingdings" w:char="F0FB"/>
            </w:r>
          </w:p>
        </w:tc>
        <w:tc>
          <w:tcPr>
            <w:tcW w:w="1641" w:type="dxa"/>
          </w:tcPr>
          <w:p w14:paraId="2C045D57" w14:textId="77777777" w:rsidR="00373B7A" w:rsidRPr="006D205A" w:rsidRDefault="00373B7A" w:rsidP="00373B7A">
            <w:pPr>
              <w:pStyle w:val="PBACheading1"/>
              <w:numPr>
                <w:ilvl w:val="0"/>
                <w:numId w:val="0"/>
              </w:numPr>
              <w:jc w:val="center"/>
              <w:rPr>
                <w:rFonts w:ascii="Arial Narrow" w:hAnsi="Arial Narrow"/>
                <w:sz w:val="20"/>
                <w:szCs w:val="20"/>
              </w:rPr>
            </w:pPr>
            <w:r w:rsidRPr="006D205A">
              <w:rPr>
                <w:rFonts w:ascii="Arial Narrow" w:hAnsi="Arial Narrow"/>
                <w:sz w:val="20"/>
                <w:szCs w:val="20"/>
              </w:rPr>
              <w:sym w:font="Wingdings" w:char="F0FB"/>
            </w:r>
          </w:p>
        </w:tc>
        <w:tc>
          <w:tcPr>
            <w:tcW w:w="1640" w:type="dxa"/>
          </w:tcPr>
          <w:p w14:paraId="3E7DA208" w14:textId="77777777" w:rsidR="00373B7A" w:rsidRPr="006D205A" w:rsidRDefault="00373B7A" w:rsidP="00373B7A">
            <w:pPr>
              <w:pStyle w:val="PBACheading1"/>
              <w:numPr>
                <w:ilvl w:val="0"/>
                <w:numId w:val="0"/>
              </w:numPr>
              <w:jc w:val="center"/>
              <w:rPr>
                <w:rFonts w:ascii="Arial Narrow" w:hAnsi="Arial Narrow"/>
                <w:sz w:val="20"/>
                <w:szCs w:val="20"/>
              </w:rPr>
            </w:pPr>
            <w:r w:rsidRPr="006D205A">
              <w:rPr>
                <w:rFonts w:ascii="Arial Narrow" w:hAnsi="Arial Narrow"/>
                <w:sz w:val="20"/>
                <w:szCs w:val="20"/>
              </w:rPr>
              <w:sym w:font="Wingdings" w:char="F0FC"/>
            </w:r>
          </w:p>
          <w:p w14:paraId="74BDD50F" w14:textId="77777777" w:rsidR="00373B7A" w:rsidRPr="006D205A" w:rsidRDefault="00373B7A" w:rsidP="00373B7A">
            <w:pPr>
              <w:pStyle w:val="PBACheading1"/>
              <w:numPr>
                <w:ilvl w:val="0"/>
                <w:numId w:val="0"/>
              </w:numPr>
              <w:jc w:val="center"/>
              <w:rPr>
                <w:rFonts w:ascii="Arial Narrow" w:hAnsi="Arial Narrow"/>
                <w:b w:val="0"/>
                <w:sz w:val="20"/>
                <w:szCs w:val="20"/>
              </w:rPr>
            </w:pPr>
            <w:r w:rsidRPr="006D205A">
              <w:rPr>
                <w:rFonts w:ascii="Arial Narrow" w:hAnsi="Arial Narrow"/>
                <w:b w:val="0"/>
                <w:sz w:val="20"/>
                <w:szCs w:val="20"/>
              </w:rPr>
              <w:t>(recommended)</w:t>
            </w:r>
          </w:p>
        </w:tc>
        <w:tc>
          <w:tcPr>
            <w:tcW w:w="1641" w:type="dxa"/>
          </w:tcPr>
          <w:p w14:paraId="31A39D95" w14:textId="77777777" w:rsidR="00373B7A" w:rsidRDefault="00373B7A" w:rsidP="00373B7A">
            <w:pPr>
              <w:pStyle w:val="PBACheading1"/>
              <w:numPr>
                <w:ilvl w:val="0"/>
                <w:numId w:val="0"/>
              </w:numPr>
              <w:jc w:val="center"/>
              <w:rPr>
                <w:rFonts w:ascii="Arial Narrow" w:hAnsi="Arial Narrow"/>
                <w:sz w:val="20"/>
                <w:szCs w:val="20"/>
              </w:rPr>
            </w:pPr>
            <w:r w:rsidRPr="006D205A">
              <w:rPr>
                <w:rFonts w:ascii="Arial Narrow" w:hAnsi="Arial Narrow"/>
                <w:sz w:val="20"/>
                <w:szCs w:val="20"/>
              </w:rPr>
              <w:sym w:font="Wingdings" w:char="F0FC"/>
            </w:r>
          </w:p>
          <w:p w14:paraId="6CE11DCA" w14:textId="77777777" w:rsidR="006D205A" w:rsidRPr="006D205A" w:rsidRDefault="006D205A" w:rsidP="00373B7A">
            <w:pPr>
              <w:pStyle w:val="PBACheading1"/>
              <w:numPr>
                <w:ilvl w:val="0"/>
                <w:numId w:val="0"/>
              </w:numPr>
              <w:jc w:val="center"/>
              <w:rPr>
                <w:rFonts w:ascii="Arial Narrow" w:hAnsi="Arial Narrow"/>
                <w:b w:val="0"/>
                <w:sz w:val="20"/>
                <w:szCs w:val="20"/>
              </w:rPr>
            </w:pPr>
            <w:r w:rsidRPr="006D205A">
              <w:rPr>
                <w:rFonts w:ascii="Arial Narrow" w:hAnsi="Arial Narrow"/>
                <w:b w:val="0"/>
                <w:sz w:val="20"/>
                <w:szCs w:val="20"/>
              </w:rPr>
              <w:t>(recommended)</w:t>
            </w:r>
          </w:p>
        </w:tc>
      </w:tr>
      <w:tr w:rsidR="00373B7A" w:rsidRPr="00373B7A" w14:paraId="0E837AC9" w14:textId="77777777" w:rsidTr="00352999">
        <w:tc>
          <w:tcPr>
            <w:tcW w:w="2405" w:type="dxa"/>
          </w:tcPr>
          <w:p w14:paraId="36DAD27B" w14:textId="77777777" w:rsidR="00373B7A" w:rsidRPr="006D205A" w:rsidRDefault="00373B7A" w:rsidP="00373B7A">
            <w:pPr>
              <w:pStyle w:val="PBACheading1"/>
              <w:numPr>
                <w:ilvl w:val="0"/>
                <w:numId w:val="0"/>
              </w:numPr>
              <w:rPr>
                <w:rFonts w:ascii="Arial Narrow" w:hAnsi="Arial Narrow"/>
                <w:sz w:val="20"/>
                <w:szCs w:val="20"/>
              </w:rPr>
            </w:pPr>
            <w:r w:rsidRPr="006D205A">
              <w:rPr>
                <w:rFonts w:ascii="Arial Narrow" w:hAnsi="Arial Narrow"/>
                <w:sz w:val="20"/>
                <w:szCs w:val="20"/>
              </w:rPr>
              <w:t>Stage IV, first-line SQ</w:t>
            </w:r>
          </w:p>
        </w:tc>
        <w:tc>
          <w:tcPr>
            <w:tcW w:w="1640" w:type="dxa"/>
          </w:tcPr>
          <w:p w14:paraId="03C98A0F" w14:textId="77777777" w:rsidR="00373B7A" w:rsidRPr="006D205A" w:rsidRDefault="00373B7A" w:rsidP="00373B7A">
            <w:pPr>
              <w:pStyle w:val="PBACheading1"/>
              <w:numPr>
                <w:ilvl w:val="0"/>
                <w:numId w:val="0"/>
              </w:numPr>
              <w:jc w:val="center"/>
              <w:rPr>
                <w:rFonts w:ascii="Arial Narrow" w:hAnsi="Arial Narrow"/>
                <w:sz w:val="20"/>
                <w:szCs w:val="20"/>
              </w:rPr>
            </w:pPr>
            <w:r w:rsidRPr="006D205A">
              <w:rPr>
                <w:rFonts w:ascii="Arial Narrow" w:hAnsi="Arial Narrow"/>
                <w:sz w:val="20"/>
                <w:szCs w:val="20"/>
              </w:rPr>
              <w:sym w:font="Wingdings" w:char="F0FB"/>
            </w:r>
          </w:p>
        </w:tc>
        <w:tc>
          <w:tcPr>
            <w:tcW w:w="1641" w:type="dxa"/>
          </w:tcPr>
          <w:p w14:paraId="65C21EF7" w14:textId="77777777" w:rsidR="00373B7A" w:rsidRPr="006D205A" w:rsidRDefault="00373B7A" w:rsidP="00373B7A">
            <w:pPr>
              <w:pStyle w:val="PBACheading1"/>
              <w:numPr>
                <w:ilvl w:val="0"/>
                <w:numId w:val="0"/>
              </w:numPr>
              <w:jc w:val="center"/>
              <w:rPr>
                <w:rFonts w:ascii="Arial Narrow" w:hAnsi="Arial Narrow"/>
                <w:sz w:val="20"/>
                <w:szCs w:val="20"/>
              </w:rPr>
            </w:pPr>
            <w:r w:rsidRPr="006D205A">
              <w:rPr>
                <w:rFonts w:ascii="Arial Narrow" w:hAnsi="Arial Narrow"/>
                <w:sz w:val="20"/>
                <w:szCs w:val="20"/>
              </w:rPr>
              <w:sym w:font="Wingdings" w:char="F0FB"/>
            </w:r>
          </w:p>
        </w:tc>
        <w:tc>
          <w:tcPr>
            <w:tcW w:w="1640" w:type="dxa"/>
          </w:tcPr>
          <w:p w14:paraId="632AC870" w14:textId="77777777" w:rsidR="00373B7A" w:rsidRPr="006D205A" w:rsidRDefault="00373B7A" w:rsidP="00373B7A">
            <w:pPr>
              <w:pStyle w:val="PBACheading1"/>
              <w:numPr>
                <w:ilvl w:val="0"/>
                <w:numId w:val="0"/>
              </w:numPr>
              <w:jc w:val="center"/>
              <w:rPr>
                <w:rFonts w:ascii="Arial Narrow" w:hAnsi="Arial Narrow"/>
                <w:sz w:val="20"/>
                <w:szCs w:val="20"/>
              </w:rPr>
            </w:pPr>
            <w:r w:rsidRPr="006D205A">
              <w:rPr>
                <w:rFonts w:ascii="Arial Narrow" w:hAnsi="Arial Narrow"/>
                <w:sz w:val="20"/>
                <w:szCs w:val="20"/>
              </w:rPr>
              <w:sym w:font="Wingdings" w:char="F0FB"/>
            </w:r>
          </w:p>
        </w:tc>
        <w:tc>
          <w:tcPr>
            <w:tcW w:w="1641" w:type="dxa"/>
          </w:tcPr>
          <w:p w14:paraId="7B58614D" w14:textId="77777777" w:rsidR="00373B7A" w:rsidRPr="006D205A" w:rsidRDefault="00373B7A" w:rsidP="00373B7A">
            <w:pPr>
              <w:pStyle w:val="PBACheading1"/>
              <w:numPr>
                <w:ilvl w:val="0"/>
                <w:numId w:val="0"/>
              </w:numPr>
              <w:jc w:val="center"/>
              <w:rPr>
                <w:rFonts w:ascii="Arial Narrow" w:hAnsi="Arial Narrow"/>
                <w:sz w:val="20"/>
                <w:szCs w:val="20"/>
              </w:rPr>
            </w:pPr>
            <w:r w:rsidRPr="006D205A">
              <w:rPr>
                <w:rFonts w:ascii="Arial Narrow" w:hAnsi="Arial Narrow"/>
                <w:sz w:val="20"/>
                <w:szCs w:val="20"/>
              </w:rPr>
              <w:sym w:font="Wingdings" w:char="F0FC"/>
            </w:r>
          </w:p>
          <w:p w14:paraId="0899C767" w14:textId="77777777" w:rsidR="006D205A" w:rsidRPr="00E96AA5" w:rsidRDefault="006D205A" w:rsidP="00E96AA5">
            <w:pPr>
              <w:pStyle w:val="PBACheading1"/>
              <w:numPr>
                <w:ilvl w:val="0"/>
                <w:numId w:val="0"/>
              </w:numPr>
              <w:jc w:val="center"/>
              <w:rPr>
                <w:rFonts w:ascii="Arial Narrow" w:hAnsi="Arial Narrow"/>
                <w:b w:val="0"/>
                <w:sz w:val="20"/>
                <w:szCs w:val="20"/>
              </w:rPr>
            </w:pPr>
            <w:r>
              <w:rPr>
                <w:rFonts w:ascii="Arial Narrow" w:hAnsi="Arial Narrow"/>
                <w:b w:val="0"/>
                <w:sz w:val="20"/>
                <w:szCs w:val="20"/>
              </w:rPr>
              <w:t>(</w:t>
            </w:r>
            <w:r w:rsidRPr="006D205A">
              <w:rPr>
                <w:rFonts w:ascii="Arial Narrow" w:hAnsi="Arial Narrow"/>
                <w:b w:val="0"/>
                <w:sz w:val="20"/>
                <w:szCs w:val="20"/>
              </w:rPr>
              <w:t xml:space="preserve">PD-L1 TPS </w:t>
            </w:r>
            <w:r w:rsidRPr="006D205A">
              <w:rPr>
                <w:rFonts w:ascii="Arial Narrow" w:hAnsi="Arial Narrow"/>
                <w:b w:val="0"/>
                <w:sz w:val="20"/>
                <w:szCs w:val="20"/>
                <w:u w:val="single"/>
              </w:rPr>
              <w:t>&gt;</w:t>
            </w:r>
            <w:r w:rsidRPr="006D205A">
              <w:rPr>
                <w:rFonts w:ascii="Arial Narrow" w:hAnsi="Arial Narrow"/>
                <w:b w:val="0"/>
                <w:sz w:val="20"/>
                <w:szCs w:val="20"/>
              </w:rPr>
              <w:t xml:space="preserve"> 50% listed</w:t>
            </w:r>
            <w:r w:rsidR="00E96AA5">
              <w:rPr>
                <w:rFonts w:ascii="Arial Narrow" w:hAnsi="Arial Narrow"/>
                <w:b w:val="0"/>
                <w:sz w:val="20"/>
                <w:szCs w:val="20"/>
              </w:rPr>
              <w:t>)</w:t>
            </w:r>
          </w:p>
        </w:tc>
      </w:tr>
      <w:tr w:rsidR="00373B7A" w:rsidRPr="00373B7A" w14:paraId="0D67F7AC" w14:textId="77777777" w:rsidTr="00352999">
        <w:tc>
          <w:tcPr>
            <w:tcW w:w="2405" w:type="dxa"/>
          </w:tcPr>
          <w:p w14:paraId="650A259E" w14:textId="77777777" w:rsidR="00373B7A" w:rsidRPr="006D205A" w:rsidRDefault="00373B7A" w:rsidP="00373B7A">
            <w:pPr>
              <w:pStyle w:val="PBACheading1"/>
              <w:numPr>
                <w:ilvl w:val="0"/>
                <w:numId w:val="0"/>
              </w:numPr>
              <w:rPr>
                <w:rFonts w:ascii="Arial Narrow" w:hAnsi="Arial Narrow"/>
                <w:sz w:val="20"/>
                <w:szCs w:val="20"/>
              </w:rPr>
            </w:pPr>
            <w:r w:rsidRPr="006D205A">
              <w:rPr>
                <w:rFonts w:ascii="Arial Narrow" w:hAnsi="Arial Narrow"/>
                <w:sz w:val="20"/>
                <w:szCs w:val="20"/>
              </w:rPr>
              <w:t>Stage IV, second-line NSQ</w:t>
            </w:r>
          </w:p>
        </w:tc>
        <w:tc>
          <w:tcPr>
            <w:tcW w:w="1640" w:type="dxa"/>
          </w:tcPr>
          <w:p w14:paraId="51520BDE" w14:textId="77777777" w:rsidR="00373B7A" w:rsidRPr="006D205A" w:rsidRDefault="00373B7A" w:rsidP="00373B7A">
            <w:pPr>
              <w:pStyle w:val="PBACheading1"/>
              <w:numPr>
                <w:ilvl w:val="0"/>
                <w:numId w:val="0"/>
              </w:numPr>
              <w:jc w:val="center"/>
              <w:rPr>
                <w:rFonts w:ascii="Arial Narrow" w:hAnsi="Arial Narrow"/>
                <w:sz w:val="20"/>
                <w:szCs w:val="20"/>
              </w:rPr>
            </w:pPr>
            <w:r w:rsidRPr="006D205A">
              <w:rPr>
                <w:rFonts w:ascii="Arial Narrow" w:hAnsi="Arial Narrow"/>
                <w:sz w:val="20"/>
                <w:szCs w:val="20"/>
              </w:rPr>
              <w:sym w:font="Wingdings" w:char="F0FB"/>
            </w:r>
          </w:p>
        </w:tc>
        <w:tc>
          <w:tcPr>
            <w:tcW w:w="1641" w:type="dxa"/>
          </w:tcPr>
          <w:p w14:paraId="539E2BF3" w14:textId="77777777" w:rsidR="00373B7A" w:rsidRPr="006D205A" w:rsidRDefault="00373B7A" w:rsidP="00373B7A">
            <w:pPr>
              <w:pStyle w:val="PBACheading1"/>
              <w:numPr>
                <w:ilvl w:val="0"/>
                <w:numId w:val="0"/>
              </w:numPr>
              <w:jc w:val="center"/>
              <w:rPr>
                <w:rFonts w:ascii="Arial Narrow" w:hAnsi="Arial Narrow"/>
                <w:sz w:val="20"/>
                <w:szCs w:val="20"/>
              </w:rPr>
            </w:pPr>
            <w:r w:rsidRPr="006D205A">
              <w:rPr>
                <w:rFonts w:ascii="Arial Narrow" w:hAnsi="Arial Narrow"/>
                <w:sz w:val="20"/>
                <w:szCs w:val="20"/>
              </w:rPr>
              <w:sym w:font="Wingdings" w:char="F0FC"/>
            </w:r>
          </w:p>
          <w:p w14:paraId="7608DD1E" w14:textId="77777777" w:rsidR="00373B7A" w:rsidRPr="006D205A" w:rsidRDefault="00373B7A" w:rsidP="00373B7A">
            <w:pPr>
              <w:pStyle w:val="PBACheading1"/>
              <w:numPr>
                <w:ilvl w:val="0"/>
                <w:numId w:val="0"/>
              </w:numPr>
              <w:jc w:val="center"/>
              <w:rPr>
                <w:rFonts w:ascii="Arial Narrow" w:hAnsi="Arial Narrow"/>
                <w:b w:val="0"/>
                <w:sz w:val="20"/>
                <w:szCs w:val="20"/>
              </w:rPr>
            </w:pPr>
            <w:r w:rsidRPr="006D205A">
              <w:rPr>
                <w:rFonts w:ascii="Arial Narrow" w:hAnsi="Arial Narrow"/>
                <w:b w:val="0"/>
                <w:sz w:val="20"/>
                <w:szCs w:val="20"/>
              </w:rPr>
              <w:t>(listed)</w:t>
            </w:r>
          </w:p>
        </w:tc>
        <w:tc>
          <w:tcPr>
            <w:tcW w:w="1640" w:type="dxa"/>
          </w:tcPr>
          <w:p w14:paraId="4D17D1EA" w14:textId="77777777" w:rsidR="00373B7A" w:rsidRPr="006D205A" w:rsidRDefault="00373B7A" w:rsidP="00373B7A">
            <w:pPr>
              <w:pStyle w:val="PBACheading1"/>
              <w:numPr>
                <w:ilvl w:val="0"/>
                <w:numId w:val="0"/>
              </w:numPr>
              <w:jc w:val="center"/>
              <w:rPr>
                <w:rFonts w:ascii="Arial Narrow" w:hAnsi="Arial Narrow"/>
                <w:sz w:val="20"/>
                <w:szCs w:val="20"/>
              </w:rPr>
            </w:pPr>
            <w:r w:rsidRPr="006D205A">
              <w:rPr>
                <w:rFonts w:ascii="Arial Narrow" w:hAnsi="Arial Narrow"/>
                <w:sz w:val="20"/>
                <w:szCs w:val="20"/>
              </w:rPr>
              <w:sym w:font="Wingdings" w:char="F0FC"/>
            </w:r>
          </w:p>
          <w:p w14:paraId="25DCEE54" w14:textId="77777777" w:rsidR="00373B7A" w:rsidRPr="006D205A" w:rsidRDefault="00373B7A" w:rsidP="00373B7A">
            <w:pPr>
              <w:pStyle w:val="PBACheading1"/>
              <w:numPr>
                <w:ilvl w:val="0"/>
                <w:numId w:val="0"/>
              </w:numPr>
              <w:jc w:val="center"/>
              <w:rPr>
                <w:rFonts w:ascii="Arial Narrow" w:hAnsi="Arial Narrow"/>
                <w:sz w:val="20"/>
                <w:szCs w:val="20"/>
              </w:rPr>
            </w:pPr>
            <w:r w:rsidRPr="006D205A">
              <w:rPr>
                <w:rFonts w:ascii="Arial Narrow" w:hAnsi="Arial Narrow"/>
                <w:b w:val="0"/>
                <w:sz w:val="20"/>
                <w:szCs w:val="20"/>
              </w:rPr>
              <w:t>(listed)</w:t>
            </w:r>
          </w:p>
        </w:tc>
        <w:tc>
          <w:tcPr>
            <w:tcW w:w="1641" w:type="dxa"/>
          </w:tcPr>
          <w:p w14:paraId="27AFCAB5" w14:textId="77777777" w:rsidR="00373B7A" w:rsidRDefault="00373B7A" w:rsidP="00373B7A">
            <w:pPr>
              <w:pStyle w:val="PBACheading1"/>
              <w:numPr>
                <w:ilvl w:val="0"/>
                <w:numId w:val="0"/>
              </w:numPr>
              <w:jc w:val="center"/>
              <w:rPr>
                <w:rFonts w:ascii="Arial Narrow" w:hAnsi="Arial Narrow"/>
                <w:sz w:val="20"/>
                <w:szCs w:val="20"/>
              </w:rPr>
            </w:pPr>
            <w:r w:rsidRPr="006D205A">
              <w:rPr>
                <w:rFonts w:ascii="Arial Narrow" w:hAnsi="Arial Narrow"/>
                <w:sz w:val="20"/>
                <w:szCs w:val="20"/>
              </w:rPr>
              <w:sym w:font="Wingdings" w:char="F0FC"/>
            </w:r>
          </w:p>
          <w:p w14:paraId="1E005274" w14:textId="77777777" w:rsidR="006D205A" w:rsidRPr="006D205A" w:rsidRDefault="006D205A" w:rsidP="00373B7A">
            <w:pPr>
              <w:pStyle w:val="PBACheading1"/>
              <w:numPr>
                <w:ilvl w:val="0"/>
                <w:numId w:val="0"/>
              </w:numPr>
              <w:jc w:val="center"/>
              <w:rPr>
                <w:rFonts w:ascii="Arial Narrow" w:hAnsi="Arial Narrow"/>
                <w:b w:val="0"/>
                <w:sz w:val="20"/>
                <w:szCs w:val="20"/>
              </w:rPr>
            </w:pPr>
            <w:r w:rsidRPr="006D205A">
              <w:rPr>
                <w:rFonts w:ascii="Arial Narrow" w:hAnsi="Arial Narrow"/>
                <w:b w:val="0"/>
                <w:sz w:val="20"/>
                <w:szCs w:val="20"/>
              </w:rPr>
              <w:t>(rejected)</w:t>
            </w:r>
          </w:p>
        </w:tc>
      </w:tr>
      <w:tr w:rsidR="00373B7A" w:rsidRPr="00373B7A" w14:paraId="3A0E8D37" w14:textId="77777777" w:rsidTr="00352999">
        <w:tc>
          <w:tcPr>
            <w:tcW w:w="2405" w:type="dxa"/>
          </w:tcPr>
          <w:p w14:paraId="6895388E" w14:textId="77777777" w:rsidR="00373B7A" w:rsidRPr="006D205A" w:rsidRDefault="00373B7A" w:rsidP="00373B7A">
            <w:pPr>
              <w:pStyle w:val="PBACheading1"/>
              <w:numPr>
                <w:ilvl w:val="0"/>
                <w:numId w:val="0"/>
              </w:numPr>
              <w:rPr>
                <w:rFonts w:ascii="Arial Narrow" w:hAnsi="Arial Narrow"/>
                <w:sz w:val="20"/>
                <w:szCs w:val="20"/>
              </w:rPr>
            </w:pPr>
            <w:r w:rsidRPr="006D205A">
              <w:rPr>
                <w:rFonts w:ascii="Arial Narrow" w:hAnsi="Arial Narrow"/>
                <w:sz w:val="20"/>
                <w:szCs w:val="20"/>
              </w:rPr>
              <w:t>Stage IV, second-line SQ</w:t>
            </w:r>
          </w:p>
        </w:tc>
        <w:tc>
          <w:tcPr>
            <w:tcW w:w="1640" w:type="dxa"/>
          </w:tcPr>
          <w:p w14:paraId="3FA78CD5" w14:textId="77777777" w:rsidR="00373B7A" w:rsidRPr="006D205A" w:rsidRDefault="00373B7A" w:rsidP="00373B7A">
            <w:pPr>
              <w:pStyle w:val="PBACheading1"/>
              <w:numPr>
                <w:ilvl w:val="0"/>
                <w:numId w:val="0"/>
              </w:numPr>
              <w:jc w:val="center"/>
              <w:rPr>
                <w:rFonts w:ascii="Arial Narrow" w:hAnsi="Arial Narrow"/>
                <w:sz w:val="20"/>
                <w:szCs w:val="20"/>
              </w:rPr>
            </w:pPr>
            <w:r w:rsidRPr="006D205A">
              <w:rPr>
                <w:rFonts w:ascii="Arial Narrow" w:hAnsi="Arial Narrow"/>
                <w:sz w:val="20"/>
                <w:szCs w:val="20"/>
              </w:rPr>
              <w:sym w:font="Wingdings" w:char="F0FB"/>
            </w:r>
          </w:p>
        </w:tc>
        <w:tc>
          <w:tcPr>
            <w:tcW w:w="1641" w:type="dxa"/>
          </w:tcPr>
          <w:p w14:paraId="19D29AC7" w14:textId="77777777" w:rsidR="00373B7A" w:rsidRPr="006D205A" w:rsidRDefault="00373B7A" w:rsidP="00373B7A">
            <w:pPr>
              <w:pStyle w:val="PBACheading1"/>
              <w:numPr>
                <w:ilvl w:val="0"/>
                <w:numId w:val="0"/>
              </w:numPr>
              <w:jc w:val="center"/>
              <w:rPr>
                <w:rFonts w:ascii="Arial Narrow" w:hAnsi="Arial Narrow"/>
                <w:sz w:val="20"/>
                <w:szCs w:val="20"/>
              </w:rPr>
            </w:pPr>
            <w:r w:rsidRPr="006D205A">
              <w:rPr>
                <w:rFonts w:ascii="Arial Narrow" w:hAnsi="Arial Narrow"/>
                <w:sz w:val="20"/>
                <w:szCs w:val="20"/>
              </w:rPr>
              <w:sym w:font="Wingdings" w:char="F0FC"/>
            </w:r>
          </w:p>
          <w:p w14:paraId="3F887E23" w14:textId="77777777" w:rsidR="00373B7A" w:rsidRPr="006D205A" w:rsidRDefault="00373B7A" w:rsidP="00373B7A">
            <w:pPr>
              <w:pStyle w:val="PBACheading1"/>
              <w:numPr>
                <w:ilvl w:val="0"/>
                <w:numId w:val="0"/>
              </w:numPr>
              <w:jc w:val="center"/>
              <w:rPr>
                <w:rFonts w:ascii="Arial Narrow" w:hAnsi="Arial Narrow"/>
                <w:b w:val="0"/>
                <w:sz w:val="20"/>
                <w:szCs w:val="20"/>
              </w:rPr>
            </w:pPr>
            <w:r w:rsidRPr="006D205A">
              <w:rPr>
                <w:rFonts w:ascii="Arial Narrow" w:hAnsi="Arial Narrow"/>
                <w:b w:val="0"/>
                <w:sz w:val="20"/>
                <w:szCs w:val="20"/>
              </w:rPr>
              <w:t>(listed)</w:t>
            </w:r>
          </w:p>
        </w:tc>
        <w:tc>
          <w:tcPr>
            <w:tcW w:w="1640" w:type="dxa"/>
          </w:tcPr>
          <w:p w14:paraId="725BE73E" w14:textId="77777777" w:rsidR="00373B7A" w:rsidRPr="006D205A" w:rsidRDefault="00373B7A" w:rsidP="00373B7A">
            <w:pPr>
              <w:pStyle w:val="PBACheading1"/>
              <w:numPr>
                <w:ilvl w:val="0"/>
                <w:numId w:val="0"/>
              </w:numPr>
              <w:jc w:val="center"/>
              <w:rPr>
                <w:rFonts w:ascii="Arial Narrow" w:hAnsi="Arial Narrow"/>
                <w:sz w:val="20"/>
                <w:szCs w:val="20"/>
              </w:rPr>
            </w:pPr>
            <w:r w:rsidRPr="006D205A">
              <w:rPr>
                <w:rFonts w:ascii="Arial Narrow" w:hAnsi="Arial Narrow"/>
                <w:sz w:val="20"/>
                <w:szCs w:val="20"/>
              </w:rPr>
              <w:sym w:font="Wingdings" w:char="F0FC"/>
            </w:r>
          </w:p>
          <w:p w14:paraId="4AC33041" w14:textId="77777777" w:rsidR="00373B7A" w:rsidRPr="006D205A" w:rsidRDefault="00373B7A" w:rsidP="00373B7A">
            <w:pPr>
              <w:pStyle w:val="PBACheading1"/>
              <w:numPr>
                <w:ilvl w:val="0"/>
                <w:numId w:val="0"/>
              </w:numPr>
              <w:jc w:val="center"/>
              <w:rPr>
                <w:rFonts w:ascii="Arial Narrow" w:hAnsi="Arial Narrow"/>
                <w:sz w:val="20"/>
                <w:szCs w:val="20"/>
              </w:rPr>
            </w:pPr>
            <w:r w:rsidRPr="006D205A">
              <w:rPr>
                <w:rFonts w:ascii="Arial Narrow" w:hAnsi="Arial Narrow"/>
                <w:b w:val="0"/>
                <w:sz w:val="20"/>
                <w:szCs w:val="20"/>
              </w:rPr>
              <w:t>(listed)</w:t>
            </w:r>
          </w:p>
        </w:tc>
        <w:tc>
          <w:tcPr>
            <w:tcW w:w="1641" w:type="dxa"/>
          </w:tcPr>
          <w:p w14:paraId="3D1F1BD5" w14:textId="77777777" w:rsidR="00373B7A" w:rsidRDefault="00373B7A" w:rsidP="00373B7A">
            <w:pPr>
              <w:pStyle w:val="PBACheading1"/>
              <w:numPr>
                <w:ilvl w:val="0"/>
                <w:numId w:val="0"/>
              </w:numPr>
              <w:jc w:val="center"/>
              <w:rPr>
                <w:rFonts w:ascii="Arial Narrow" w:hAnsi="Arial Narrow"/>
                <w:sz w:val="20"/>
                <w:szCs w:val="20"/>
              </w:rPr>
            </w:pPr>
            <w:r w:rsidRPr="006D205A">
              <w:rPr>
                <w:rFonts w:ascii="Arial Narrow" w:hAnsi="Arial Narrow"/>
                <w:sz w:val="20"/>
                <w:szCs w:val="20"/>
              </w:rPr>
              <w:sym w:font="Wingdings" w:char="F0FC"/>
            </w:r>
          </w:p>
          <w:p w14:paraId="6D7B9BA2" w14:textId="77777777" w:rsidR="006D205A" w:rsidRPr="006D205A" w:rsidRDefault="006D205A" w:rsidP="00373B7A">
            <w:pPr>
              <w:pStyle w:val="PBACheading1"/>
              <w:numPr>
                <w:ilvl w:val="0"/>
                <w:numId w:val="0"/>
              </w:numPr>
              <w:jc w:val="center"/>
              <w:rPr>
                <w:rFonts w:ascii="Arial Narrow" w:hAnsi="Arial Narrow"/>
                <w:b w:val="0"/>
                <w:sz w:val="20"/>
                <w:szCs w:val="20"/>
              </w:rPr>
            </w:pPr>
            <w:r w:rsidRPr="006D205A">
              <w:rPr>
                <w:rFonts w:ascii="Arial Narrow" w:hAnsi="Arial Narrow"/>
                <w:b w:val="0"/>
                <w:sz w:val="20"/>
                <w:szCs w:val="20"/>
              </w:rPr>
              <w:t>(rejected)</w:t>
            </w:r>
          </w:p>
        </w:tc>
      </w:tr>
    </w:tbl>
    <w:p w14:paraId="5B4C3818" w14:textId="77777777" w:rsidR="00373B7A" w:rsidRDefault="00352999" w:rsidP="00E41841">
      <w:pPr>
        <w:pStyle w:val="ListParagraph"/>
        <w:numPr>
          <w:ilvl w:val="0"/>
          <w:numId w:val="38"/>
        </w:numPr>
        <w:spacing w:after="0"/>
        <w:rPr>
          <w:rFonts w:ascii="Arial Narrow" w:hAnsi="Arial Narrow"/>
          <w:sz w:val="16"/>
        </w:rPr>
      </w:pPr>
      <w:r w:rsidRPr="00E41841">
        <w:rPr>
          <w:rFonts w:ascii="Arial Narrow" w:hAnsi="Arial Narrow"/>
          <w:sz w:val="16"/>
        </w:rPr>
        <w:t>Rejected at November 2018, July 2019 PBAC meeting. On agenda for consideration at November 2019 PBAC meeting.</w:t>
      </w:r>
    </w:p>
    <w:p w14:paraId="1610C4A4" w14:textId="77777777" w:rsidR="0064040F" w:rsidRPr="008659A5" w:rsidRDefault="0064040F" w:rsidP="008659A5">
      <w:pPr>
        <w:ind w:left="360"/>
        <w:rPr>
          <w:rFonts w:ascii="Arial Narrow" w:hAnsi="Arial Narrow"/>
          <w:sz w:val="16"/>
        </w:rPr>
      </w:pPr>
      <w:r w:rsidRPr="008659A5">
        <w:rPr>
          <w:rFonts w:ascii="Arial Narrow" w:hAnsi="Arial Narrow"/>
          <w:sz w:val="16"/>
        </w:rPr>
        <w:t>NSQ=non-squamous, SQ=squamous, PD-L1 = programmed death-ligand 1, TPS= tumour proportion score</w:t>
      </w:r>
    </w:p>
    <w:p w14:paraId="1C548BD7" w14:textId="77777777" w:rsidR="0064040F" w:rsidRPr="00E41841" w:rsidRDefault="0064040F" w:rsidP="008659A5">
      <w:pPr>
        <w:pStyle w:val="ListParagraph"/>
        <w:numPr>
          <w:ilvl w:val="0"/>
          <w:numId w:val="0"/>
        </w:numPr>
        <w:spacing w:after="0"/>
        <w:ind w:left="720"/>
        <w:rPr>
          <w:rFonts w:ascii="Arial Narrow" w:hAnsi="Arial Narrow"/>
          <w:sz w:val="16"/>
        </w:rPr>
      </w:pPr>
    </w:p>
    <w:p w14:paraId="72857CC9" w14:textId="77777777" w:rsidR="0001308B" w:rsidRDefault="00B11A48" w:rsidP="00B11A48">
      <w:pPr>
        <w:pStyle w:val="ListParagraph"/>
      </w:pPr>
      <w:r w:rsidRPr="002D72A8">
        <w:t xml:space="preserve">The PBAC noted </w:t>
      </w:r>
      <w:r w:rsidRPr="00B11A48">
        <w:t xml:space="preserve">a number of </w:t>
      </w:r>
      <w:r w:rsidRPr="002D72A8">
        <w:t>the PD-(L</w:t>
      </w:r>
      <w:proofErr w:type="gramStart"/>
      <w:r w:rsidRPr="002D72A8">
        <w:t>)1</w:t>
      </w:r>
      <w:proofErr w:type="gramEnd"/>
      <w:r w:rsidRPr="002D72A8">
        <w:t xml:space="preserve"> inhibitors </w:t>
      </w:r>
      <w:r w:rsidRPr="00B11A48">
        <w:t>demonstrated an overall survival benefit for the treatment of NSCLC</w:t>
      </w:r>
      <w:r>
        <w:t>.</w:t>
      </w:r>
      <w:r w:rsidRPr="00B11A48">
        <w:t xml:space="preserve"> </w:t>
      </w:r>
      <w:r>
        <w:t xml:space="preserve">However the </w:t>
      </w:r>
      <w:r w:rsidRPr="002D72A8">
        <w:t>availabl</w:t>
      </w:r>
      <w:r>
        <w:t>e</w:t>
      </w:r>
      <w:r w:rsidRPr="002D72A8">
        <w:t xml:space="preserve"> clinical data varied substantially by line of therapy (first-line, second-line), disease stage (Stage III, Stage IV), histology (</w:t>
      </w:r>
      <w:r w:rsidR="002C06A4">
        <w:t>SQ, NSQ</w:t>
      </w:r>
      <w:r w:rsidRPr="002D72A8">
        <w:t xml:space="preserve">), </w:t>
      </w:r>
      <w:r>
        <w:t xml:space="preserve">targeted mutation status, </w:t>
      </w:r>
      <w:r w:rsidRPr="002D72A8">
        <w:t xml:space="preserve">PD-L1 </w:t>
      </w:r>
      <w:r>
        <w:t xml:space="preserve">TPS </w:t>
      </w:r>
      <w:r w:rsidRPr="002D72A8">
        <w:t xml:space="preserve">status and chemotherapy backbone. The PBAC further noted that for some medicines there was an absence of data and for some medicines there was evidence that did not support use (no overall survival benefit) or </w:t>
      </w:r>
      <w:r>
        <w:t xml:space="preserve">that was </w:t>
      </w:r>
      <w:r w:rsidRPr="002D72A8">
        <w:t xml:space="preserve">negative (evidence of harm). </w:t>
      </w:r>
      <w:r>
        <w:t xml:space="preserve">However, the PBAC </w:t>
      </w:r>
      <w:r w:rsidR="00244B90">
        <w:t xml:space="preserve">also </w:t>
      </w:r>
      <w:r>
        <w:t>noted that some studies may be considered ‘false negatives’ (i.e., not adequately powered to show a benefit</w:t>
      </w:r>
      <w:r w:rsidR="00EC4520">
        <w:t xml:space="preserve">, </w:t>
      </w:r>
      <w:r>
        <w:t>confounded or due to chance).</w:t>
      </w:r>
    </w:p>
    <w:p w14:paraId="06112861" w14:textId="77777777" w:rsidR="006D205A" w:rsidRDefault="00541DC8" w:rsidP="006D205A">
      <w:pPr>
        <w:pStyle w:val="ListParagraph"/>
      </w:pPr>
      <w:r>
        <w:t xml:space="preserve">The PBAC noted that </w:t>
      </w:r>
      <w:r w:rsidR="00244B90">
        <w:t xml:space="preserve">since March 2016 </w:t>
      </w:r>
      <w:r>
        <w:t>it ha</w:t>
      </w:r>
      <w:r w:rsidR="00BB35C9">
        <w:t>d</w:t>
      </w:r>
      <w:r>
        <w:t xml:space="preserve"> considered </w:t>
      </w:r>
      <w:r w:rsidR="00244B90">
        <w:t>numerous</w:t>
      </w:r>
      <w:r>
        <w:t xml:space="preserve"> submissions for </w:t>
      </w:r>
      <w:r w:rsidR="00EA69C8">
        <w:t>NSCLC including</w:t>
      </w:r>
      <w:r w:rsidR="00B11A48">
        <w:t xml:space="preserve"> </w:t>
      </w:r>
      <w:r w:rsidR="00244B90">
        <w:t xml:space="preserve">several </w:t>
      </w:r>
      <w:r w:rsidR="00B11A48">
        <w:t xml:space="preserve">in parallel with its broad lung listing considerations. The PBAC noted </w:t>
      </w:r>
      <w:r>
        <w:t>listing</w:t>
      </w:r>
      <w:r w:rsidR="00B11A48">
        <w:t>s</w:t>
      </w:r>
      <w:r>
        <w:t xml:space="preserve"> or recommendations were in place for most patients with Stage IV NSCLC. </w:t>
      </w:r>
      <w:r w:rsidR="006D205A">
        <w:t xml:space="preserve">The PBAC noted the only patient </w:t>
      </w:r>
      <w:r w:rsidR="00B42573">
        <w:t>cohort</w:t>
      </w:r>
      <w:r w:rsidR="006D205A">
        <w:t xml:space="preserve"> with Stage IV diseas</w:t>
      </w:r>
      <w:r w:rsidR="00244B90">
        <w:t xml:space="preserve">e </w:t>
      </w:r>
      <w:r w:rsidR="00B42573">
        <w:t xml:space="preserve">and </w:t>
      </w:r>
      <w:r w:rsidR="00244B90">
        <w:t xml:space="preserve">without targetable mutations </w:t>
      </w:r>
      <w:r w:rsidR="006D205A">
        <w:t xml:space="preserve">that did not currently have access to </w:t>
      </w:r>
      <w:r w:rsidR="00551ADF">
        <w:t>first</w:t>
      </w:r>
      <w:r w:rsidR="00244B90">
        <w:t>-</w:t>
      </w:r>
      <w:r w:rsidR="00551ADF">
        <w:t xml:space="preserve">line </w:t>
      </w:r>
      <w:r w:rsidR="005B0783">
        <w:t xml:space="preserve">treatment with a </w:t>
      </w:r>
      <w:r w:rsidR="006D205A">
        <w:t xml:space="preserve">PD-(L)1 </w:t>
      </w:r>
      <w:r w:rsidR="00244B90">
        <w:t xml:space="preserve">inhibitor </w:t>
      </w:r>
      <w:r w:rsidR="006D205A">
        <w:t xml:space="preserve">were patients with </w:t>
      </w:r>
      <w:r w:rsidR="00953479">
        <w:t xml:space="preserve">SQ </w:t>
      </w:r>
      <w:r w:rsidR="006D205A">
        <w:t xml:space="preserve">histology and PD-L1 TPS &lt;50%. </w:t>
      </w:r>
    </w:p>
    <w:p w14:paraId="5B46C05E" w14:textId="77777777" w:rsidR="00A2306E" w:rsidRDefault="00551ADF" w:rsidP="00F323C3">
      <w:pPr>
        <w:pStyle w:val="ListParagraph"/>
      </w:pPr>
      <w:r w:rsidRPr="00CC1220">
        <w:lastRenderedPageBreak/>
        <w:t xml:space="preserve">The PBAC noted that it had rejected </w:t>
      </w:r>
      <w:r w:rsidR="00CC1220" w:rsidRPr="00CC1220">
        <w:t xml:space="preserve">two </w:t>
      </w:r>
      <w:r w:rsidRPr="00CC1220">
        <w:t>submission</w:t>
      </w:r>
      <w:r w:rsidR="00CC1220" w:rsidRPr="00CC1220">
        <w:t>s</w:t>
      </w:r>
      <w:r w:rsidRPr="00F323C3">
        <w:t xml:space="preserve"> for </w:t>
      </w:r>
      <w:proofErr w:type="spellStart"/>
      <w:r w:rsidRPr="00F323C3">
        <w:t>durvalumab</w:t>
      </w:r>
      <w:proofErr w:type="spellEnd"/>
      <w:r w:rsidR="00CC1220" w:rsidRPr="00F323C3">
        <w:t xml:space="preserve"> for the</w:t>
      </w:r>
      <w:r w:rsidR="00CC46F8" w:rsidRPr="00F323C3">
        <w:t xml:space="preserve"> treatment of Stage III </w:t>
      </w:r>
      <w:proofErr w:type="spellStart"/>
      <w:r w:rsidR="00CC46F8" w:rsidRPr="00F323C3">
        <w:t>unresectable</w:t>
      </w:r>
      <w:proofErr w:type="spellEnd"/>
      <w:r w:rsidR="00CC46F8" w:rsidRPr="00F323C3">
        <w:t xml:space="preserve"> NSCLC in patients who have not progressed after platinum-based </w:t>
      </w:r>
      <w:proofErr w:type="spellStart"/>
      <w:r w:rsidR="00CC46F8" w:rsidRPr="00F323C3">
        <w:t>chemoradiation</w:t>
      </w:r>
      <w:proofErr w:type="spellEnd"/>
      <w:r w:rsidR="00CC46F8" w:rsidRPr="00F323C3">
        <w:t xml:space="preserve"> therapy (</w:t>
      </w:r>
      <w:r w:rsidR="00CC1220" w:rsidRPr="00F323C3">
        <w:t xml:space="preserve">consolidation </w:t>
      </w:r>
      <w:r w:rsidR="00CC46F8" w:rsidRPr="00F323C3">
        <w:t>treatment</w:t>
      </w:r>
      <w:r w:rsidR="00F323C3">
        <w:t xml:space="preserve">). At its most recent consideration (July 2019) the PBAC considered the incremental cost effectiveness ratio </w:t>
      </w:r>
      <w:r w:rsidR="00F323C3" w:rsidRPr="00F323C3">
        <w:t xml:space="preserve">was high and potentially underestimated. The PBAC also considered the total cost of subsidising </w:t>
      </w:r>
      <w:proofErr w:type="spellStart"/>
      <w:r w:rsidR="00F323C3" w:rsidRPr="00F323C3">
        <w:t>durvalumab</w:t>
      </w:r>
      <w:proofErr w:type="spellEnd"/>
      <w:r w:rsidR="00F323C3" w:rsidRPr="00F323C3">
        <w:t xml:space="preserve"> in this setting to be very high and uncertain. </w:t>
      </w:r>
      <w:r w:rsidR="00F323C3">
        <w:t xml:space="preserve"> The PBAC noted </w:t>
      </w:r>
      <w:proofErr w:type="spellStart"/>
      <w:r w:rsidR="00F323C3">
        <w:t>durvalumab</w:t>
      </w:r>
      <w:proofErr w:type="spellEnd"/>
      <w:r w:rsidR="00F323C3">
        <w:t xml:space="preserve"> was included on the agenda for consideration at the November 2019 PBAC meeting. </w:t>
      </w:r>
    </w:p>
    <w:p w14:paraId="444EB9A7" w14:textId="19CAEA33" w:rsidR="00BB35C9" w:rsidRDefault="00BB35C9" w:rsidP="00F323C3">
      <w:pPr>
        <w:pStyle w:val="ListParagraph"/>
      </w:pPr>
      <w:r>
        <w:t>The PBAC considered each of the sponsor proposals and noted that there are numerous clinical studies underway for all the PD-(L</w:t>
      </w:r>
      <w:proofErr w:type="gramStart"/>
      <w:r>
        <w:t>)1</w:t>
      </w:r>
      <w:proofErr w:type="gramEnd"/>
      <w:r>
        <w:t xml:space="preserve"> inhibitors across a range of patient populations and there was a consistency across the proposals that use be guided by the approved TGA indications for each PD-(L)1 inhibitor. </w:t>
      </w:r>
    </w:p>
    <w:p w14:paraId="18875C1B" w14:textId="77777777" w:rsidR="00B246D1" w:rsidRDefault="00B246D1" w:rsidP="00B246D1"/>
    <w:p w14:paraId="382FBDB3" w14:textId="72011D8E" w:rsidR="007A6433" w:rsidRPr="00ED4589" w:rsidRDefault="0059007D" w:rsidP="007A6433">
      <w:pPr>
        <w:pStyle w:val="PBACheading1"/>
      </w:pPr>
      <w:r w:rsidRPr="00ED4589">
        <w:t>PBAC Outcome</w:t>
      </w:r>
    </w:p>
    <w:p w14:paraId="1A8D4DDA" w14:textId="77777777" w:rsidR="00551ADF" w:rsidRPr="00600A59" w:rsidRDefault="00551ADF" w:rsidP="00CD65D4">
      <w:pPr>
        <w:pStyle w:val="ListParagraph"/>
      </w:pPr>
      <w:r>
        <w:t>The PBAC decided not to recommend a broad PBS listing for the PD</w:t>
      </w:r>
      <w:r w:rsidR="00AF6E52">
        <w:t>-</w:t>
      </w:r>
      <w:r>
        <w:t>(L</w:t>
      </w:r>
      <w:proofErr w:type="gramStart"/>
      <w:r>
        <w:t>)1</w:t>
      </w:r>
      <w:proofErr w:type="gramEnd"/>
      <w:r w:rsidR="00AF6E52">
        <w:t xml:space="preserve"> </w:t>
      </w:r>
      <w:r w:rsidR="00CC46F8">
        <w:t xml:space="preserve">inhibitors at this time. In making this recommendation the PBAC took into account </w:t>
      </w:r>
      <w:r w:rsidR="00B468CC">
        <w:t>the varying clinical evidence for each PD-(L</w:t>
      </w:r>
      <w:proofErr w:type="gramStart"/>
      <w:r w:rsidR="00B468CC">
        <w:t>)1</w:t>
      </w:r>
      <w:proofErr w:type="gramEnd"/>
      <w:r w:rsidR="00B468CC">
        <w:t xml:space="preserve"> inhibitor, its inability to make a recommendation that encompasses use in the Stage III setting and </w:t>
      </w:r>
      <w:r w:rsidR="00CC46F8">
        <w:t>the absence of a compelling financial offer from any sponsor</w:t>
      </w:r>
      <w:r w:rsidR="00B468CC">
        <w:t xml:space="preserve">. </w:t>
      </w:r>
      <w:r w:rsidR="000D23C2">
        <w:t xml:space="preserve">Furthermore, the PBAC noted </w:t>
      </w:r>
      <w:r w:rsidR="00CC46F8">
        <w:t xml:space="preserve">that </w:t>
      </w:r>
      <w:r w:rsidR="00B42573">
        <w:t xml:space="preserve">the </w:t>
      </w:r>
      <w:r w:rsidR="00CC46F8">
        <w:t xml:space="preserve">current listings, or </w:t>
      </w:r>
      <w:r w:rsidR="00CC46F8" w:rsidRPr="00600A59">
        <w:t>recommended listings</w:t>
      </w:r>
      <w:r w:rsidR="00F323C3" w:rsidRPr="00600A59">
        <w:t>,</w:t>
      </w:r>
      <w:r w:rsidR="00CC46F8" w:rsidRPr="00600A59">
        <w:t xml:space="preserve"> provide </w:t>
      </w:r>
      <w:r w:rsidR="000D23C2" w:rsidRPr="00600A59">
        <w:t>PD</w:t>
      </w:r>
      <w:r w:rsidR="00C64267" w:rsidRPr="00600A59">
        <w:t>-</w:t>
      </w:r>
      <w:r w:rsidR="000D23C2" w:rsidRPr="00600A59">
        <w:t>(L</w:t>
      </w:r>
      <w:proofErr w:type="gramStart"/>
      <w:r w:rsidR="000D23C2" w:rsidRPr="00600A59">
        <w:t>)1</w:t>
      </w:r>
      <w:proofErr w:type="gramEnd"/>
      <w:r w:rsidR="000D23C2" w:rsidRPr="00600A59">
        <w:t xml:space="preserve"> inhibitor </w:t>
      </w:r>
      <w:r w:rsidR="00CC46F8" w:rsidRPr="00600A59">
        <w:t>access to the majority of people with Stage IV NSCLC.</w:t>
      </w:r>
    </w:p>
    <w:p w14:paraId="39F06529" w14:textId="77777777" w:rsidR="00367BB5" w:rsidRPr="00AD4178" w:rsidRDefault="005628CB" w:rsidP="00600A59">
      <w:pPr>
        <w:pStyle w:val="ListParagraph"/>
      </w:pPr>
      <w:r w:rsidRPr="00600A59">
        <w:t>A</w:t>
      </w:r>
      <w:r w:rsidR="00367BB5" w:rsidRPr="00600A59">
        <w:t>s part of its consideration of the sponsor proposals, the PBAC noted the KN</w:t>
      </w:r>
      <w:r w:rsidR="00FD38C1" w:rsidRPr="00600A59">
        <w:t>-</w:t>
      </w:r>
      <w:r w:rsidR="00367BB5" w:rsidRPr="00600A59">
        <w:t xml:space="preserve">407 data provided evidence of an overall survival benefit for patients with previously untreated Stage IV </w:t>
      </w:r>
      <w:r w:rsidR="00F27EA5" w:rsidRPr="00600A59">
        <w:t xml:space="preserve">SQ </w:t>
      </w:r>
      <w:r w:rsidR="00367BB5" w:rsidRPr="00600A59">
        <w:t xml:space="preserve">NSCLC. The </w:t>
      </w:r>
      <w:r w:rsidR="00CD65D4" w:rsidRPr="00600A59">
        <w:t>PBAC considered it would be</w:t>
      </w:r>
      <w:r w:rsidR="00367BB5" w:rsidRPr="00600A59">
        <w:t xml:space="preserve"> appropriate </w:t>
      </w:r>
      <w:r w:rsidR="00C64267" w:rsidRPr="00600A59">
        <w:t xml:space="preserve">for </w:t>
      </w:r>
      <w:r w:rsidR="00367BB5" w:rsidRPr="00600A59">
        <w:t>pembrolizumab</w:t>
      </w:r>
      <w:r w:rsidR="00367BB5">
        <w:t xml:space="preserve"> </w:t>
      </w:r>
      <w:r w:rsidR="00C64267">
        <w:t xml:space="preserve">to be available </w:t>
      </w:r>
      <w:r w:rsidR="00367BB5">
        <w:t xml:space="preserve">for this patient population </w:t>
      </w:r>
      <w:r w:rsidR="00367BB5" w:rsidRPr="00F52AD4">
        <w:t>on the basis of a</w:t>
      </w:r>
      <w:r w:rsidR="00CD65D4">
        <w:t xml:space="preserve"> h</w:t>
      </w:r>
      <w:r w:rsidR="00C57EA5">
        <w:t>igh clinical need and</w:t>
      </w:r>
      <w:r w:rsidR="00495F1B">
        <w:t xml:space="preserve"> to ensure </w:t>
      </w:r>
      <w:r w:rsidR="00CD65D4">
        <w:t xml:space="preserve">PD-(L)1 inhibitors </w:t>
      </w:r>
      <w:r w:rsidR="00495F1B">
        <w:t xml:space="preserve">were available </w:t>
      </w:r>
      <w:r w:rsidR="00CD65D4" w:rsidRPr="001F09DD">
        <w:t xml:space="preserve">for all patients with </w:t>
      </w:r>
      <w:r w:rsidR="00EA69C8">
        <w:t xml:space="preserve">Stage IV </w:t>
      </w:r>
      <w:r w:rsidR="00CD65D4" w:rsidRPr="001F09DD">
        <w:t>NSCLC</w:t>
      </w:r>
      <w:r w:rsidR="000D23C2">
        <w:t xml:space="preserve"> as first line therapy</w:t>
      </w:r>
      <w:r w:rsidR="003A678B">
        <w:t xml:space="preserve">. </w:t>
      </w:r>
      <w:r w:rsidR="00962610" w:rsidRPr="00FB4BAB">
        <w:t xml:space="preserve">The PBAC </w:t>
      </w:r>
      <w:r w:rsidR="00962610">
        <w:t>wa</w:t>
      </w:r>
      <w:r w:rsidR="00962610" w:rsidRPr="00FB4BAB">
        <w:t xml:space="preserve">s satisfied that </w:t>
      </w:r>
      <w:r w:rsidR="00962610">
        <w:t>pembrolizumab</w:t>
      </w:r>
      <w:r w:rsidR="00962610" w:rsidRPr="00FB4BAB">
        <w:t xml:space="preserve"> provides, for some patients, a significant improvement in efficacy over </w:t>
      </w:r>
      <w:r w:rsidR="00962610">
        <w:t xml:space="preserve">alternative treatments. </w:t>
      </w:r>
      <w:r w:rsidR="00AD4178">
        <w:rPr>
          <w:noProof/>
          <w:color w:val="000000"/>
          <w:highlight w:val="black"/>
        </w:rPr>
        <w:t>'''''''' '''''''''' ''''''''''''''''''''''' ''''''' '''''''' ''''''' ''''''''''''' ''''''' ''''''''''''''''''' ''''''''''''' '''''' ''''''''''''''''' '''''''' ''''' '''''''''''''' '''''''''''' ''''' ''''''''''' ''''' ''''''' ''''''''''''''''' '''''''' ''''''''' '''''' '''''' '''''''''''''''''' '''''''''''''''''''''''''''' '''''''''''' '''''''''''''''''''''' '''''''''''' '''''''' ''''''''''''''' '''''' ''''''''''''' '''''''''''''''''' '''' ''''' '''''''''''' '''''''''' '''''''' ''''''' ''''''''' '''''''''''''''''' '''''''' '''''' '''''''''''''' ''''''''''''''''' ''''''''''''''''' ''''''''''''''''''' '''' ''''''''''''' '''''''' '''''''''''''' ''''''' ''''''''''' '''''''''''''' ''''''''''''''''''' '''''''' '''' ''''''' ''''''' '''''' ''''''''''''' '''''' ''''''''''''''''''' '''''''''''' '''''''''''' ''''''''''' '''''' '''''' '''''''''' ''''''''' ''''''' '''''''' ''''''' ''''''''''''' ''''''' '''''''''''''''''' '''''''''''' ''''' '''''' '''''''''''''''''' '''''''''' ''''''''''''' ''''''''''''''' '''''' '''''''''''''''' '''''' ''''''' ''''''''' '''''' '''''''''''' '''''''''''' ''''''' '''''''''''''' ''''''''''''''''''' ''''' ''''''''''''''' ''''''''''''''''''' '''' '''''''''' '''''''''''''''''</w:t>
      </w:r>
    </w:p>
    <w:p w14:paraId="56659BE0" w14:textId="77777777" w:rsidR="00F52AD4" w:rsidRDefault="00C64267" w:rsidP="00930FBB">
      <w:pPr>
        <w:pStyle w:val="ListParagraph"/>
      </w:pPr>
      <w:r>
        <w:t>T</w:t>
      </w:r>
      <w:r w:rsidR="00537371" w:rsidRPr="001F09DD">
        <w:t xml:space="preserve">he PBAC </w:t>
      </w:r>
      <w:r w:rsidR="00214438" w:rsidRPr="001F09DD">
        <w:t>considered</w:t>
      </w:r>
      <w:r w:rsidR="005F46A9" w:rsidRPr="001F09DD">
        <w:t xml:space="preserve"> the listing </w:t>
      </w:r>
      <w:r w:rsidR="00FB4BAB">
        <w:t xml:space="preserve">for pembrolizumab </w:t>
      </w:r>
      <w:r w:rsidR="005F46A9" w:rsidRPr="001F09DD">
        <w:t>c</w:t>
      </w:r>
      <w:r w:rsidR="00214438" w:rsidRPr="001F09DD">
        <w:t xml:space="preserve">ould be </w:t>
      </w:r>
      <w:r w:rsidR="00CD65D4" w:rsidRPr="001F09DD">
        <w:t xml:space="preserve">consolidated </w:t>
      </w:r>
      <w:r w:rsidR="00214438" w:rsidRPr="001F09DD">
        <w:t xml:space="preserve">and </w:t>
      </w:r>
      <w:r w:rsidR="00537371" w:rsidRPr="001F09DD">
        <w:t>recommended a listing of pembrolizumab</w:t>
      </w:r>
      <w:r w:rsidR="00463A1D" w:rsidRPr="001F09DD">
        <w:t xml:space="preserve"> </w:t>
      </w:r>
      <w:r w:rsidR="00537371" w:rsidRPr="001F09DD">
        <w:t>for previously untreated Stage</w:t>
      </w:r>
      <w:r w:rsidR="00463A1D" w:rsidRPr="001F09DD">
        <w:t xml:space="preserve"> IV </w:t>
      </w:r>
      <w:r w:rsidR="00537371" w:rsidRPr="001F09DD">
        <w:t>NSCLC</w:t>
      </w:r>
      <w:r w:rsidR="00463A1D" w:rsidRPr="001F09DD">
        <w:t xml:space="preserve"> without targetable mutations</w:t>
      </w:r>
      <w:r w:rsidR="00537371" w:rsidRPr="00387728">
        <w:t xml:space="preserve">. </w:t>
      </w:r>
      <w:r w:rsidR="00094EE4" w:rsidRPr="001F09DD">
        <w:t xml:space="preserve">The PBAC considered it would be reasonable for clinicians to determine whether pembrolizumab was </w:t>
      </w:r>
      <w:r w:rsidR="00B54BB3">
        <w:t xml:space="preserve">used in combination with chemotherapy or as monotherapy according to its approved TGA indications. </w:t>
      </w:r>
    </w:p>
    <w:p w14:paraId="1319D33E" w14:textId="77777777" w:rsidR="00930FBB" w:rsidRDefault="005F46A9" w:rsidP="00706662">
      <w:pPr>
        <w:pStyle w:val="ListParagraph"/>
      </w:pPr>
      <w:r w:rsidRPr="00387728">
        <w:lastRenderedPageBreak/>
        <w:t>The PBAC recommended treatment with a PD-(L</w:t>
      </w:r>
      <w:proofErr w:type="gramStart"/>
      <w:r w:rsidRPr="00387728">
        <w:t>)1</w:t>
      </w:r>
      <w:proofErr w:type="gramEnd"/>
      <w:r w:rsidRPr="00387728">
        <w:t xml:space="preserve"> inhibitor for NSCLC should be limited to one course per lifetime until there is </w:t>
      </w:r>
      <w:r w:rsidR="00C64267">
        <w:t xml:space="preserve">adequate </w:t>
      </w:r>
      <w:r w:rsidRPr="00387728">
        <w:t>clinical and economic evidence available to support retreatment</w:t>
      </w:r>
      <w:r w:rsidRPr="001F09DD">
        <w:t>.</w:t>
      </w:r>
      <w:r w:rsidR="008847E1" w:rsidRPr="001F09DD">
        <w:t xml:space="preserve"> </w:t>
      </w:r>
      <w:r w:rsidR="00706662" w:rsidRPr="00706662">
        <w:t xml:space="preserve">The PBAC recalled it had previously advised that the </w:t>
      </w:r>
      <w:r w:rsidR="00706662">
        <w:t xml:space="preserve">current restrictions for first-line and second-line </w:t>
      </w:r>
      <w:r w:rsidR="0099325C">
        <w:t xml:space="preserve">treatment of Stage IV </w:t>
      </w:r>
      <w:r w:rsidR="00706662">
        <w:t xml:space="preserve">NSCLC </w:t>
      </w:r>
      <w:r w:rsidR="00706662" w:rsidRPr="00706662">
        <w:t xml:space="preserve">included sufficient provisions to ensure that the PBS does not subsidise sequential immunotherapy for NSCLC (paragraph 6.10, pembrolizumab PSD, July 2018 PBAC meeting). The PBAC </w:t>
      </w:r>
      <w:r w:rsidR="00706662">
        <w:t xml:space="preserve">previously </w:t>
      </w:r>
      <w:r w:rsidR="00706662" w:rsidRPr="00706662">
        <w:t>noted that should any PD-(L</w:t>
      </w:r>
      <w:proofErr w:type="gramStart"/>
      <w:r w:rsidR="00706662" w:rsidRPr="00706662">
        <w:t>)1</w:t>
      </w:r>
      <w:proofErr w:type="gramEnd"/>
      <w:r w:rsidR="00706662" w:rsidRPr="00706662">
        <w:t xml:space="preserve"> inhibitors be listed in an earlier disease stage, additional restriction wording for all PD-(L)1 inhibitors may be warranted</w:t>
      </w:r>
      <w:r w:rsidR="00495F1B">
        <w:t xml:space="preserve"> </w:t>
      </w:r>
      <w:r w:rsidR="00495F1B" w:rsidRPr="00706662">
        <w:t>(paragraph 6.10, pembrolizumab PSD, July 2018 PBAC meeting)</w:t>
      </w:r>
      <w:r w:rsidR="00706662" w:rsidRPr="00706662">
        <w:t>.</w:t>
      </w:r>
      <w:r w:rsidR="00706662">
        <w:t xml:space="preserve"> </w:t>
      </w:r>
      <w:r w:rsidR="008847E1" w:rsidRPr="001F09DD">
        <w:t xml:space="preserve">The PBAC noted that retreatment </w:t>
      </w:r>
      <w:r w:rsidR="005628CB">
        <w:t xml:space="preserve">may be </w:t>
      </w:r>
      <w:r w:rsidR="00C64267">
        <w:t xml:space="preserve">more </w:t>
      </w:r>
      <w:r w:rsidR="00DF3F3B">
        <w:t xml:space="preserve">likely to be </w:t>
      </w:r>
      <w:r w:rsidR="00C64267">
        <w:t xml:space="preserve">considered clinically appropriate </w:t>
      </w:r>
      <w:r w:rsidR="008847E1" w:rsidRPr="001F09DD">
        <w:t>if PD-(L</w:t>
      </w:r>
      <w:proofErr w:type="gramStart"/>
      <w:r w:rsidR="008847E1" w:rsidRPr="001F09DD">
        <w:t>)1</w:t>
      </w:r>
      <w:proofErr w:type="gramEnd"/>
      <w:r w:rsidR="008847E1" w:rsidRPr="001F09DD">
        <w:t xml:space="preserve"> inhibitors are used earlier in the treatment algorithm (i.e., consolidation or adjuvant setting). </w:t>
      </w:r>
    </w:p>
    <w:p w14:paraId="60C9B675" w14:textId="77777777" w:rsidR="00D03ED1" w:rsidRPr="001F09DD" w:rsidRDefault="00D03ED1" w:rsidP="006F6E08">
      <w:pPr>
        <w:pStyle w:val="ListParagraph"/>
      </w:pPr>
      <w:r>
        <w:t xml:space="preserve">The PBAC </w:t>
      </w:r>
      <w:r w:rsidR="00187F72">
        <w:t xml:space="preserve">noted that the recommendation to </w:t>
      </w:r>
      <w:r w:rsidR="00C64267">
        <w:t xml:space="preserve">list </w:t>
      </w:r>
      <w:r w:rsidR="00187F72">
        <w:t xml:space="preserve">pembrolizumab on the PBS for patients with </w:t>
      </w:r>
      <w:r w:rsidR="00C64267" w:rsidRPr="001F09DD">
        <w:t>previously untreated Stage IV NSCLC without targetable mutations</w:t>
      </w:r>
      <w:r w:rsidR="00187F72">
        <w:t xml:space="preserve"> was made in the context of a referral from the Minister for advice. </w:t>
      </w:r>
    </w:p>
    <w:p w14:paraId="3569848A" w14:textId="77777777" w:rsidR="00627929" w:rsidRDefault="00627929" w:rsidP="00463BA3"/>
    <w:p w14:paraId="2C0E7A66" w14:textId="77777777" w:rsidR="00815368" w:rsidRPr="00C07617" w:rsidRDefault="00815368" w:rsidP="00815368">
      <w:pPr>
        <w:pStyle w:val="PBACheading1"/>
        <w:rPr>
          <w:b w:val="0"/>
        </w:rPr>
      </w:pPr>
      <w:r w:rsidRPr="00815368">
        <w:t>Context for Decision</w:t>
      </w:r>
    </w:p>
    <w:p w14:paraId="427A73D8" w14:textId="77777777" w:rsidR="00815368" w:rsidRPr="00C07617" w:rsidRDefault="00815368" w:rsidP="00815368">
      <w:pPr>
        <w:rPr>
          <w:rFonts w:cs="Arial"/>
        </w:rPr>
      </w:pPr>
      <w:r w:rsidRPr="00C07617">
        <w:rPr>
          <w:rFonts w:cs="Arial"/>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14:paraId="6EBB08AC" w14:textId="77777777" w:rsidR="00815368" w:rsidRDefault="00815368" w:rsidP="00815368">
      <w:pPr>
        <w:ind w:left="426"/>
        <w:rPr>
          <w:rFonts w:ascii="Arial" w:hAnsi="Arial" w:cs="Arial"/>
          <w:sz w:val="22"/>
        </w:rPr>
      </w:pPr>
    </w:p>
    <w:p w14:paraId="18489B35" w14:textId="77777777" w:rsidR="00815368" w:rsidRPr="00815368" w:rsidRDefault="00815368" w:rsidP="00815368">
      <w:pPr>
        <w:pStyle w:val="PBACheading1"/>
      </w:pPr>
      <w:r w:rsidRPr="00815368">
        <w:t>Sponsor’s Comment</w:t>
      </w:r>
    </w:p>
    <w:p w14:paraId="3477094F" w14:textId="77777777" w:rsidR="00815368" w:rsidRPr="00815368" w:rsidRDefault="00815368" w:rsidP="00815368">
      <w:pPr>
        <w:spacing w:after="120"/>
        <w:rPr>
          <w:rFonts w:cs="Arial"/>
          <w:bCs/>
          <w:u w:val="single"/>
        </w:rPr>
      </w:pPr>
      <w:r>
        <w:rPr>
          <w:rFonts w:cs="Arial"/>
          <w:bCs/>
          <w:u w:val="single"/>
        </w:rPr>
        <w:t>Roche Products Pty Ltd</w:t>
      </w:r>
    </w:p>
    <w:p w14:paraId="55ACF95C" w14:textId="77777777" w:rsidR="00815368" w:rsidRDefault="00815368" w:rsidP="00815368">
      <w:pPr>
        <w:spacing w:after="120"/>
        <w:rPr>
          <w:rFonts w:cs="Arial"/>
          <w:bCs/>
        </w:rPr>
      </w:pPr>
      <w:r w:rsidRPr="008659A5">
        <w:rPr>
          <w:rFonts w:cs="Arial"/>
          <w:bCs/>
        </w:rPr>
        <w:t>The sponsor had no comment.</w:t>
      </w:r>
    </w:p>
    <w:p w14:paraId="67E71A35" w14:textId="77777777" w:rsidR="00815368" w:rsidRDefault="00815368" w:rsidP="00815368">
      <w:pPr>
        <w:spacing w:after="120"/>
        <w:rPr>
          <w:rFonts w:cs="Arial"/>
          <w:bCs/>
          <w:u w:val="single"/>
        </w:rPr>
      </w:pPr>
      <w:r>
        <w:rPr>
          <w:rFonts w:cs="Arial"/>
          <w:bCs/>
          <w:u w:val="single"/>
        </w:rPr>
        <w:t>AstraZeneca Pty Ltd</w:t>
      </w:r>
    </w:p>
    <w:p w14:paraId="27E550A7" w14:textId="77777777" w:rsidR="00815368" w:rsidRPr="00815368" w:rsidRDefault="00815368" w:rsidP="00815368">
      <w:pPr>
        <w:spacing w:after="120"/>
        <w:rPr>
          <w:rFonts w:cs="Arial"/>
          <w:bCs/>
        </w:rPr>
      </w:pPr>
      <w:r w:rsidRPr="00205755">
        <w:rPr>
          <w:rFonts w:cs="Arial"/>
          <w:bCs/>
        </w:rPr>
        <w:t>The sponsor had no comment.</w:t>
      </w:r>
    </w:p>
    <w:p w14:paraId="2353D1A3" w14:textId="77777777" w:rsidR="00815368" w:rsidRDefault="00815368" w:rsidP="00815368">
      <w:pPr>
        <w:spacing w:after="120"/>
        <w:rPr>
          <w:u w:val="single"/>
        </w:rPr>
      </w:pPr>
      <w:r w:rsidRPr="006B4E17">
        <w:rPr>
          <w:u w:val="single"/>
        </w:rPr>
        <w:t>Bristol</w:t>
      </w:r>
      <w:r w:rsidRPr="00235717">
        <w:rPr>
          <w:u w:val="single"/>
        </w:rPr>
        <w:t>-Myers Squibb Australia Pty Ltd</w:t>
      </w:r>
    </w:p>
    <w:p w14:paraId="619E322E" w14:textId="77777777" w:rsidR="008659A5" w:rsidRPr="008659A5" w:rsidRDefault="008659A5" w:rsidP="008659A5">
      <w:pPr>
        <w:snapToGrid w:val="0"/>
        <w:spacing w:after="160"/>
        <w:rPr>
          <w:rFonts w:cs="Arial"/>
          <w:bCs/>
        </w:rPr>
      </w:pPr>
      <w:r w:rsidRPr="008659A5">
        <w:rPr>
          <w:rFonts w:cs="Arial"/>
          <w:bCs/>
        </w:rPr>
        <w:t>BMSA applauded the Minister for Health’s request that the PBAC explore options for listing PD-1 and PD-L1 checkpoint inhibitors for the treatment of multiple cancer indications on the PBS. BMSA has, and will continue to work with the PBAC to explore options that deliver timely access to these innovative me</w:t>
      </w:r>
      <w:r>
        <w:rPr>
          <w:rFonts w:cs="Arial"/>
          <w:bCs/>
        </w:rPr>
        <w:t>dicines for Australian patients</w:t>
      </w:r>
      <w:r w:rsidRPr="008659A5">
        <w:rPr>
          <w:rFonts w:cs="Arial"/>
          <w:bCs/>
        </w:rPr>
        <w:t>.</w:t>
      </w:r>
    </w:p>
    <w:p w14:paraId="0CF7F1FF" w14:textId="77777777" w:rsidR="00815368" w:rsidRDefault="00815368" w:rsidP="00815368">
      <w:pPr>
        <w:spacing w:after="120"/>
        <w:rPr>
          <w:u w:val="single"/>
        </w:rPr>
      </w:pPr>
      <w:r w:rsidRPr="00235717">
        <w:rPr>
          <w:u w:val="single"/>
        </w:rPr>
        <w:t xml:space="preserve">Merck Sharp &amp; </w:t>
      </w:r>
      <w:proofErr w:type="spellStart"/>
      <w:r w:rsidRPr="00235717">
        <w:rPr>
          <w:u w:val="single"/>
        </w:rPr>
        <w:t>Dohme</w:t>
      </w:r>
      <w:proofErr w:type="spellEnd"/>
      <w:r w:rsidRPr="00235717">
        <w:rPr>
          <w:u w:val="single"/>
        </w:rPr>
        <w:t xml:space="preserve"> (Australia) Pty Ltd</w:t>
      </w:r>
    </w:p>
    <w:p w14:paraId="1F0B6A9A" w14:textId="77777777" w:rsidR="008659A5" w:rsidRPr="00463BA3" w:rsidRDefault="008659A5" w:rsidP="00463BA3">
      <w:pPr>
        <w:snapToGrid w:val="0"/>
        <w:spacing w:after="160"/>
        <w:rPr>
          <w:rFonts w:cs="Arial"/>
          <w:bCs/>
        </w:rPr>
      </w:pPr>
      <w:r w:rsidRPr="00463BA3">
        <w:rPr>
          <w:rFonts w:cs="Arial"/>
          <w:bCs/>
        </w:rPr>
        <w:t>MSD welcomes the PBAC’s decision for a consolidated listing of pembrolizumab for the treatment of 1L Stage IV NSCLC patients ensuring equity of access across different patient sub-groups, where there is evidence of efficacy.  MSD supports the use of similar pragmatic access approaches in the future where there is a high clinical need in new and emerging treatment areas.</w:t>
      </w:r>
    </w:p>
    <w:sectPr w:rsidR="008659A5" w:rsidRPr="00463BA3" w:rsidSect="00FD38C1">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1440" w:footer="144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B3A89D8" w16cid:durableId="2134D70E"/>
  <w16cid:commentId w16cid:paraId="4BAA0758" w16cid:durableId="2134D40A"/>
  <w16cid:commentId w16cid:paraId="14437005" w16cid:durableId="2134D833"/>
  <w16cid:commentId w16cid:paraId="4ABCA63A" w16cid:durableId="2134D40B"/>
  <w16cid:commentId w16cid:paraId="707B7221" w16cid:durableId="2134D40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D59A2A6" w14:textId="77777777" w:rsidR="00793238" w:rsidRDefault="00793238" w:rsidP="007A6433">
      <w:r>
        <w:separator/>
      </w:r>
    </w:p>
  </w:endnote>
  <w:endnote w:type="continuationSeparator" w:id="0">
    <w:p w14:paraId="328ED877" w14:textId="77777777" w:rsidR="00793238" w:rsidRDefault="00793238" w:rsidP="007A64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PMingLiU">
    <w:altName w:val="Microsoft JhengHei"/>
    <w:panose1 w:val="02010601000101010101"/>
    <w:charset w:val="88"/>
    <w:family w:val="roman"/>
    <w:pitch w:val="variable"/>
    <w:sig w:usb0="A00002FF" w:usb1="28CFFCFA" w:usb2="00000016" w:usb3="00000000" w:csb0="00100001" w:csb1="00000000"/>
  </w:font>
  <w:font w:name="MS Mincho">
    <w:altName w:val="Yu Gothic UI"/>
    <w:panose1 w:val="02020609040205080304"/>
    <w:charset w:val="80"/>
    <w:family w:val="modern"/>
    <w:pitch w:val="fixed"/>
    <w:sig w:usb0="E00002FF" w:usb1="6AC7FDFB" w:usb2="08000012" w:usb3="00000000" w:csb0="0002009F" w:csb1="00000000"/>
  </w:font>
  <w:font w:name="GillSans">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7D619" w14:textId="77777777" w:rsidR="00FD21A9" w:rsidRDefault="00FD21A9" w:rsidP="007A6433">
    <w:pPr>
      <w:pStyle w:val="Footer"/>
    </w:pPr>
  </w:p>
  <w:p w14:paraId="07BD3129" w14:textId="77777777" w:rsidR="00FD21A9" w:rsidRDefault="00FD21A9" w:rsidP="007A6433"/>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1D8F48" w14:textId="77777777" w:rsidR="005355AF" w:rsidRDefault="005355AF" w:rsidP="007A6433">
    <w:pPr>
      <w:pStyle w:val="Footer"/>
      <w:jc w:val="center"/>
      <w:rPr>
        <w:b/>
      </w:rPr>
    </w:pPr>
  </w:p>
  <w:p w14:paraId="1F0E6805" w14:textId="3B3434AF" w:rsidR="00FD21A9" w:rsidRPr="007A6433" w:rsidRDefault="00FE47FD" w:rsidP="007A6433">
    <w:pPr>
      <w:pStyle w:val="Footer"/>
      <w:jc w:val="center"/>
      <w:rPr>
        <w:b/>
      </w:rPr>
    </w:pPr>
    <w:sdt>
      <w:sdtPr>
        <w:rPr>
          <w:b/>
        </w:rPr>
        <w:id w:val="-735785540"/>
        <w:docPartObj>
          <w:docPartGallery w:val="Page Numbers (Bottom of Page)"/>
          <w:docPartUnique/>
        </w:docPartObj>
      </w:sdtPr>
      <w:sdtEndPr>
        <w:rPr>
          <w:noProof/>
        </w:rPr>
      </w:sdtEndPr>
      <w:sdtContent>
        <w:r w:rsidR="00FD21A9" w:rsidRPr="007A6433">
          <w:rPr>
            <w:b/>
          </w:rPr>
          <w:fldChar w:fldCharType="begin"/>
        </w:r>
        <w:r w:rsidR="00FD21A9" w:rsidRPr="007A6433">
          <w:rPr>
            <w:b/>
          </w:rPr>
          <w:instrText xml:space="preserve"> PAGE   \* MERGEFORMAT </w:instrText>
        </w:r>
        <w:r w:rsidR="00FD21A9" w:rsidRPr="007A6433">
          <w:rPr>
            <w:b/>
          </w:rPr>
          <w:fldChar w:fldCharType="separate"/>
        </w:r>
        <w:r>
          <w:rPr>
            <w:b/>
            <w:noProof/>
          </w:rPr>
          <w:t>1</w:t>
        </w:r>
        <w:r w:rsidR="00FD21A9" w:rsidRPr="007A6433">
          <w:rPr>
            <w:b/>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F13001" w14:textId="77777777" w:rsidR="00793238" w:rsidRDefault="0079323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E72E17B" w14:textId="77777777" w:rsidR="00793238" w:rsidRDefault="00793238" w:rsidP="007A6433">
      <w:r>
        <w:separator/>
      </w:r>
    </w:p>
  </w:footnote>
  <w:footnote w:type="continuationSeparator" w:id="0">
    <w:p w14:paraId="2BEBF780" w14:textId="77777777" w:rsidR="00793238" w:rsidRDefault="00793238" w:rsidP="007A6433">
      <w:r>
        <w:continuationSeparator/>
      </w:r>
    </w:p>
  </w:footnote>
  <w:footnote w:id="1">
    <w:p w14:paraId="3342F5F6" w14:textId="59AF4CEF" w:rsidR="00FD21A9" w:rsidRDefault="00FD21A9" w:rsidP="008E4701">
      <w:pPr>
        <w:pStyle w:val="FootnoteText"/>
        <w:jc w:val="left"/>
      </w:pPr>
      <w:r>
        <w:rPr>
          <w:rStyle w:val="FootnoteReference"/>
        </w:rPr>
        <w:footnoteRef/>
      </w:r>
      <w:r w:rsidR="008E4701">
        <w:t xml:space="preserve"> </w:t>
      </w:r>
      <w:hyperlink r:id="rId1" w:history="1">
        <w:r>
          <w:rPr>
            <w:rStyle w:val="Hyperlink"/>
          </w:rPr>
          <w:t>http://www.pbs.gov.au/industry/listing/elements/pbac-meetings/agenda/pdf/august-2018-special-meeting/pbac-pdl1-report-to-minister.pdf</w:t>
        </w:r>
      </w:hyperlink>
      <w:r>
        <w:t xml:space="preserve"> </w:t>
      </w:r>
    </w:p>
  </w:footnote>
  <w:footnote w:id="2">
    <w:p w14:paraId="2AE2BAC1" w14:textId="77777777" w:rsidR="00FD21A9" w:rsidRDefault="00FD21A9" w:rsidP="008E4701">
      <w:pPr>
        <w:pStyle w:val="FootnoteText"/>
        <w:jc w:val="left"/>
      </w:pPr>
      <w:r>
        <w:rPr>
          <w:rStyle w:val="FootnoteReference"/>
        </w:rPr>
        <w:footnoteRef/>
      </w:r>
      <w:r>
        <w:t xml:space="preserve"> </w:t>
      </w:r>
      <w:hyperlink r:id="rId2" w:history="1">
        <w:r>
          <w:rPr>
            <w:rStyle w:val="Hyperlink"/>
          </w:rPr>
          <w:t>http://www.pbs.gov.au/industry/listing/elements/pbac-meetings/pbac-stakeholder-meetings/pdl1-stakeholder-%20meeting-outcome-statement.pdf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9AF18A" w14:textId="77777777" w:rsidR="00793238" w:rsidRDefault="007932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E8B6B4C" w14:textId="77777777" w:rsidR="00FD21A9" w:rsidRPr="007A6433" w:rsidRDefault="00815368" w:rsidP="007A6433">
    <w:pPr>
      <w:pStyle w:val="Header"/>
      <w:jc w:val="center"/>
      <w:rPr>
        <w:i/>
        <w:color w:val="808080" w:themeColor="background1" w:themeShade="80"/>
      </w:rPr>
    </w:pPr>
    <w:r>
      <w:rPr>
        <w:i/>
        <w:color w:val="808080" w:themeColor="background1" w:themeShade="80"/>
      </w:rPr>
      <w:t>Public Summary Document – August 2019 PBAC Meeting</w:t>
    </w:r>
  </w:p>
  <w:p w14:paraId="45A04DC0" w14:textId="77777777" w:rsidR="00FD21A9" w:rsidRDefault="00FD21A9" w:rsidP="007A6433"/>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9AE50F" w14:textId="77777777" w:rsidR="00793238" w:rsidRDefault="007932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3808D3"/>
    <w:multiLevelType w:val="hybridMultilevel"/>
    <w:tmpl w:val="4BB6D382"/>
    <w:lvl w:ilvl="0" w:tplc="992822A0">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15:restartNumberingAfterBreak="0">
    <w:nsid w:val="04CB0CF4"/>
    <w:multiLevelType w:val="hybridMultilevel"/>
    <w:tmpl w:val="4F8AF49C"/>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066A3148"/>
    <w:multiLevelType w:val="multilevel"/>
    <w:tmpl w:val="8EA035DA"/>
    <w:lvl w:ilvl="0">
      <w:start w:val="1"/>
      <w:numFmt w:val="decimal"/>
      <w:lvlText w:val="%1"/>
      <w:lvlJc w:val="left"/>
      <w:pPr>
        <w:ind w:left="720" w:hanging="720"/>
      </w:pPr>
      <w:rPr>
        <w:rFonts w:hint="default"/>
        <w:b/>
      </w:rPr>
    </w:lvl>
    <w:lvl w:ilvl="1">
      <w:start w:val="1"/>
      <w:numFmt w:val="bullet"/>
      <w:lvlText w:val=""/>
      <w:lvlJc w:val="left"/>
      <w:pPr>
        <w:ind w:left="720" w:hanging="720"/>
      </w:pPr>
      <w:rPr>
        <w:rFonts w:ascii="Symbol" w:hAnsi="Symbol" w:hint="default"/>
        <w:b w:val="0"/>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6A22D78"/>
    <w:multiLevelType w:val="hybridMultilevel"/>
    <w:tmpl w:val="06B0F74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4" w15:restartNumberingAfterBreak="0">
    <w:nsid w:val="142619D7"/>
    <w:multiLevelType w:val="hybridMultilevel"/>
    <w:tmpl w:val="0E8EC758"/>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5" w15:restartNumberingAfterBreak="0">
    <w:nsid w:val="15EA5C4B"/>
    <w:multiLevelType w:val="hybridMultilevel"/>
    <w:tmpl w:val="36AAA0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9AD3F94"/>
    <w:multiLevelType w:val="hybridMultilevel"/>
    <w:tmpl w:val="8FF6766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ACE129D"/>
    <w:multiLevelType w:val="hybridMultilevel"/>
    <w:tmpl w:val="EBCCA16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D0C05E2"/>
    <w:multiLevelType w:val="hybridMultilevel"/>
    <w:tmpl w:val="4CCA4AEA"/>
    <w:lvl w:ilvl="0" w:tplc="43FC940E">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EE872C9"/>
    <w:multiLevelType w:val="hybridMultilevel"/>
    <w:tmpl w:val="EA704E0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0" w15:restartNumberingAfterBreak="0">
    <w:nsid w:val="3B3F25AC"/>
    <w:multiLevelType w:val="hybridMultilevel"/>
    <w:tmpl w:val="5C883B28"/>
    <w:lvl w:ilvl="0" w:tplc="F182CBF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3E975C94"/>
    <w:multiLevelType w:val="hybridMultilevel"/>
    <w:tmpl w:val="5C6C0F2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2" w15:restartNumberingAfterBreak="0">
    <w:nsid w:val="67295D69"/>
    <w:multiLevelType w:val="hybridMultilevel"/>
    <w:tmpl w:val="5C883B28"/>
    <w:lvl w:ilvl="0" w:tplc="F182CBF6">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6D855778"/>
    <w:multiLevelType w:val="hybridMultilevel"/>
    <w:tmpl w:val="D4B84D8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728E1354"/>
    <w:multiLevelType w:val="hybridMultilevel"/>
    <w:tmpl w:val="C9684C8C"/>
    <w:lvl w:ilvl="0" w:tplc="0C090019">
      <w:start w:val="1"/>
      <w:numFmt w:val="lowerLetter"/>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742A4B7D"/>
    <w:multiLevelType w:val="hybridMultilevel"/>
    <w:tmpl w:val="C016A3F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751C018B"/>
    <w:multiLevelType w:val="hybridMultilevel"/>
    <w:tmpl w:val="4CF85EBE"/>
    <w:lvl w:ilvl="0" w:tplc="167E2DD8">
      <w:start w:val="1"/>
      <w:numFmt w:val="decimal"/>
      <w:lvlText w:val="%1."/>
      <w:lvlJc w:val="left"/>
      <w:pPr>
        <w:ind w:left="720" w:hanging="360"/>
      </w:pPr>
      <w:rPr>
        <w:b/>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15:restartNumberingAfterBreak="0">
    <w:nsid w:val="784D033C"/>
    <w:multiLevelType w:val="multilevel"/>
    <w:tmpl w:val="11ECCDF2"/>
    <w:lvl w:ilvl="0">
      <w:start w:val="1"/>
      <w:numFmt w:val="decimal"/>
      <w:lvlText w:val="%1"/>
      <w:lvlJc w:val="left"/>
      <w:pPr>
        <w:ind w:left="720" w:hanging="720"/>
      </w:pPr>
      <w:rPr>
        <w:rFonts w:hint="default"/>
        <w:b/>
      </w:rPr>
    </w:lvl>
    <w:lvl w:ilvl="1">
      <w:start w:val="1"/>
      <w:numFmt w:val="decimal"/>
      <w:lvlText w:val="%1.%2"/>
      <w:lvlJc w:val="left"/>
      <w:pPr>
        <w:ind w:left="720" w:hanging="720"/>
      </w:pPr>
      <w:rPr>
        <w:rFonts w:asciiTheme="minorHAnsi" w:hAnsiTheme="minorHAnsi" w:cstheme="minorHAnsi" w:hint="default"/>
        <w:b w:val="0"/>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7DC23F95"/>
    <w:multiLevelType w:val="multilevel"/>
    <w:tmpl w:val="0354F0B8"/>
    <w:lvl w:ilvl="0">
      <w:start w:val="1"/>
      <w:numFmt w:val="decimal"/>
      <w:pStyle w:val="PBACheading1"/>
      <w:lvlText w:val="%1"/>
      <w:lvlJc w:val="left"/>
      <w:pPr>
        <w:ind w:left="720" w:hanging="720"/>
      </w:pPr>
      <w:rPr>
        <w:rFonts w:hint="default"/>
        <w:b/>
      </w:rPr>
    </w:lvl>
    <w:lvl w:ilvl="1">
      <w:start w:val="1"/>
      <w:numFmt w:val="decimal"/>
      <w:pStyle w:val="ListParagraph"/>
      <w:lvlText w:val="%1.%2"/>
      <w:lvlJc w:val="left"/>
      <w:pPr>
        <w:ind w:left="720" w:hanging="720"/>
      </w:pPr>
      <w:rPr>
        <w:rFonts w:asciiTheme="minorHAnsi" w:hAnsiTheme="minorHAnsi" w:cstheme="minorHAnsi" w:hint="default"/>
        <w:b w:val="0"/>
        <w:i w:val="0"/>
        <w:sz w:val="24"/>
        <w:szCs w:val="24"/>
      </w:rPr>
    </w:lvl>
    <w:lvl w:ilvl="2">
      <w:start w:val="1"/>
      <w:numFmt w:val="bullet"/>
      <w:lvlText w:val=""/>
      <w:lvlJc w:val="left"/>
      <w:pPr>
        <w:ind w:left="720" w:hanging="720"/>
      </w:pPr>
      <w:rPr>
        <w:rFonts w:ascii="Symbol" w:hAnsi="Symbol"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17"/>
  </w:num>
  <w:num w:numId="2">
    <w:abstractNumId w:val="17"/>
  </w:num>
  <w:num w:numId="3">
    <w:abstractNumId w:val="17"/>
  </w:num>
  <w:num w:numId="4">
    <w:abstractNumId w:val="10"/>
  </w:num>
  <w:num w:numId="5">
    <w:abstractNumId w:val="0"/>
  </w:num>
  <w:num w:numId="6">
    <w:abstractNumId w:val="8"/>
  </w:num>
  <w:num w:numId="7">
    <w:abstractNumId w:val="16"/>
  </w:num>
  <w:num w:numId="8">
    <w:abstractNumId w:val="5"/>
  </w:num>
  <w:num w:numId="9">
    <w:abstractNumId w:val="17"/>
  </w:num>
  <w:num w:numId="10">
    <w:abstractNumId w:val="17"/>
  </w:num>
  <w:num w:numId="11">
    <w:abstractNumId w:val="17"/>
  </w:num>
  <w:num w:numId="12">
    <w:abstractNumId w:val="17"/>
  </w:num>
  <w:num w:numId="13">
    <w:abstractNumId w:val="17"/>
  </w:num>
  <w:num w:numId="14">
    <w:abstractNumId w:val="17"/>
  </w:num>
  <w:num w:numId="15">
    <w:abstractNumId w:val="17"/>
  </w:num>
  <w:num w:numId="16">
    <w:abstractNumId w:val="17"/>
  </w:num>
  <w:num w:numId="17">
    <w:abstractNumId w:val="17"/>
  </w:num>
  <w:num w:numId="18">
    <w:abstractNumId w:val="12"/>
  </w:num>
  <w:num w:numId="19">
    <w:abstractNumId w:val="4"/>
  </w:num>
  <w:num w:numId="20">
    <w:abstractNumId w:val="17"/>
  </w:num>
  <w:num w:numId="21">
    <w:abstractNumId w:val="17"/>
  </w:num>
  <w:num w:numId="22">
    <w:abstractNumId w:val="17"/>
  </w:num>
  <w:num w:numId="23">
    <w:abstractNumId w:val="17"/>
  </w:num>
  <w:num w:numId="24">
    <w:abstractNumId w:val="18"/>
  </w:num>
  <w:num w:numId="25">
    <w:abstractNumId w:val="2"/>
  </w:num>
  <w:num w:numId="26">
    <w:abstractNumId w:val="18"/>
  </w:num>
  <w:num w:numId="27">
    <w:abstractNumId w:val="18"/>
  </w:num>
  <w:num w:numId="28">
    <w:abstractNumId w:val="6"/>
  </w:num>
  <w:num w:numId="29">
    <w:abstractNumId w:val="3"/>
  </w:num>
  <w:num w:numId="30">
    <w:abstractNumId w:val="13"/>
  </w:num>
  <w:num w:numId="31">
    <w:abstractNumId w:val="9"/>
  </w:num>
  <w:num w:numId="32">
    <w:abstractNumId w:val="14"/>
  </w:num>
  <w:num w:numId="33">
    <w:abstractNumId w:val="11"/>
  </w:num>
  <w:num w:numId="34">
    <w:abstractNumId w:val="1"/>
  </w:num>
  <w:num w:numId="35">
    <w:abstractNumId w:val="7"/>
  </w:num>
  <w:num w:numId="36">
    <w:abstractNumId w:val="18"/>
  </w:num>
  <w:num w:numId="37">
    <w:abstractNumId w:val="18"/>
  </w:num>
  <w:num w:numId="38">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removePersonalInformation/>
  <w:removeDateAndTime/>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D74"/>
    <w:rsid w:val="0000664F"/>
    <w:rsid w:val="000109D9"/>
    <w:rsid w:val="0001308B"/>
    <w:rsid w:val="0001455A"/>
    <w:rsid w:val="0003039D"/>
    <w:rsid w:val="000319B3"/>
    <w:rsid w:val="0003276F"/>
    <w:rsid w:val="00061D74"/>
    <w:rsid w:val="000826F2"/>
    <w:rsid w:val="00091EE9"/>
    <w:rsid w:val="000946A0"/>
    <w:rsid w:val="00094EE4"/>
    <w:rsid w:val="00095CE5"/>
    <w:rsid w:val="0009625C"/>
    <w:rsid w:val="000A12E1"/>
    <w:rsid w:val="000B033E"/>
    <w:rsid w:val="000C3FD6"/>
    <w:rsid w:val="000C6770"/>
    <w:rsid w:val="000D23C2"/>
    <w:rsid w:val="000E0F8A"/>
    <w:rsid w:val="000E283B"/>
    <w:rsid w:val="000E40EA"/>
    <w:rsid w:val="000F52CA"/>
    <w:rsid w:val="00103452"/>
    <w:rsid w:val="00103845"/>
    <w:rsid w:val="00115D92"/>
    <w:rsid w:val="001316A9"/>
    <w:rsid w:val="00136CC8"/>
    <w:rsid w:val="00143AA3"/>
    <w:rsid w:val="00144257"/>
    <w:rsid w:val="00144E64"/>
    <w:rsid w:val="001522D4"/>
    <w:rsid w:val="001619EC"/>
    <w:rsid w:val="001621E2"/>
    <w:rsid w:val="00163338"/>
    <w:rsid w:val="00164EDA"/>
    <w:rsid w:val="001755F5"/>
    <w:rsid w:val="00181415"/>
    <w:rsid w:val="00187F72"/>
    <w:rsid w:val="00194CAF"/>
    <w:rsid w:val="00195D44"/>
    <w:rsid w:val="001A1187"/>
    <w:rsid w:val="001A2103"/>
    <w:rsid w:val="001A6B1D"/>
    <w:rsid w:val="001C1E51"/>
    <w:rsid w:val="001D5F99"/>
    <w:rsid w:val="001E1096"/>
    <w:rsid w:val="001E5577"/>
    <w:rsid w:val="001F09DD"/>
    <w:rsid w:val="00205225"/>
    <w:rsid w:val="00205755"/>
    <w:rsid w:val="00206F9A"/>
    <w:rsid w:val="00214438"/>
    <w:rsid w:val="0022747F"/>
    <w:rsid w:val="002346A7"/>
    <w:rsid w:val="00235717"/>
    <w:rsid w:val="00244B90"/>
    <w:rsid w:val="00246858"/>
    <w:rsid w:val="002545BF"/>
    <w:rsid w:val="00260CCA"/>
    <w:rsid w:val="00273AFD"/>
    <w:rsid w:val="00287F18"/>
    <w:rsid w:val="002A556B"/>
    <w:rsid w:val="002B30CB"/>
    <w:rsid w:val="002B61E0"/>
    <w:rsid w:val="002B623A"/>
    <w:rsid w:val="002C06A4"/>
    <w:rsid w:val="002D72A8"/>
    <w:rsid w:val="002D78B5"/>
    <w:rsid w:val="002E4907"/>
    <w:rsid w:val="002F1154"/>
    <w:rsid w:val="002F709F"/>
    <w:rsid w:val="00304988"/>
    <w:rsid w:val="003078ED"/>
    <w:rsid w:val="0032409C"/>
    <w:rsid w:val="00330651"/>
    <w:rsid w:val="00332247"/>
    <w:rsid w:val="0033494D"/>
    <w:rsid w:val="00352999"/>
    <w:rsid w:val="00356464"/>
    <w:rsid w:val="00363C6C"/>
    <w:rsid w:val="00367BB5"/>
    <w:rsid w:val="00372B2A"/>
    <w:rsid w:val="003736B6"/>
    <w:rsid w:val="00373B7A"/>
    <w:rsid w:val="00387728"/>
    <w:rsid w:val="003900D1"/>
    <w:rsid w:val="00395EBF"/>
    <w:rsid w:val="003A678B"/>
    <w:rsid w:val="003C30AD"/>
    <w:rsid w:val="003D45F9"/>
    <w:rsid w:val="003E0B1C"/>
    <w:rsid w:val="003E352F"/>
    <w:rsid w:val="003E4DB9"/>
    <w:rsid w:val="003E643C"/>
    <w:rsid w:val="003F6A81"/>
    <w:rsid w:val="00401431"/>
    <w:rsid w:val="00407EB8"/>
    <w:rsid w:val="00424534"/>
    <w:rsid w:val="0043450C"/>
    <w:rsid w:val="00434CAB"/>
    <w:rsid w:val="00442702"/>
    <w:rsid w:val="00445F2E"/>
    <w:rsid w:val="004621B8"/>
    <w:rsid w:val="00463A1D"/>
    <w:rsid w:val="00463BA3"/>
    <w:rsid w:val="00495F1B"/>
    <w:rsid w:val="004A1B1F"/>
    <w:rsid w:val="004A6FF0"/>
    <w:rsid w:val="004B6942"/>
    <w:rsid w:val="004D0F39"/>
    <w:rsid w:val="004D1C2D"/>
    <w:rsid w:val="004E60DF"/>
    <w:rsid w:val="00520670"/>
    <w:rsid w:val="00521FDB"/>
    <w:rsid w:val="005242BF"/>
    <w:rsid w:val="005355AF"/>
    <w:rsid w:val="00537371"/>
    <w:rsid w:val="00541DC8"/>
    <w:rsid w:val="00544828"/>
    <w:rsid w:val="005514C6"/>
    <w:rsid w:val="00551ADF"/>
    <w:rsid w:val="005628CB"/>
    <w:rsid w:val="00573A98"/>
    <w:rsid w:val="00582A3A"/>
    <w:rsid w:val="0059007D"/>
    <w:rsid w:val="00591915"/>
    <w:rsid w:val="00592DC1"/>
    <w:rsid w:val="005A4693"/>
    <w:rsid w:val="005A4D3C"/>
    <w:rsid w:val="005B0783"/>
    <w:rsid w:val="005B1C1D"/>
    <w:rsid w:val="005B3847"/>
    <w:rsid w:val="005F46A9"/>
    <w:rsid w:val="00600A59"/>
    <w:rsid w:val="006023CD"/>
    <w:rsid w:val="00603FC8"/>
    <w:rsid w:val="00616545"/>
    <w:rsid w:val="006224B4"/>
    <w:rsid w:val="006249A9"/>
    <w:rsid w:val="00627929"/>
    <w:rsid w:val="00633B2A"/>
    <w:rsid w:val="0064040F"/>
    <w:rsid w:val="00641429"/>
    <w:rsid w:val="00644E5C"/>
    <w:rsid w:val="006452E3"/>
    <w:rsid w:val="00665212"/>
    <w:rsid w:val="00665EE8"/>
    <w:rsid w:val="006663AD"/>
    <w:rsid w:val="006734B6"/>
    <w:rsid w:val="00684183"/>
    <w:rsid w:val="00697804"/>
    <w:rsid w:val="006A1C53"/>
    <w:rsid w:val="006A33B2"/>
    <w:rsid w:val="006A624B"/>
    <w:rsid w:val="006B0878"/>
    <w:rsid w:val="006B4E17"/>
    <w:rsid w:val="006B5CB7"/>
    <w:rsid w:val="006C1036"/>
    <w:rsid w:val="006C3B6D"/>
    <w:rsid w:val="006D205A"/>
    <w:rsid w:val="006D7724"/>
    <w:rsid w:val="006E16F5"/>
    <w:rsid w:val="006E2685"/>
    <w:rsid w:val="006E4DFB"/>
    <w:rsid w:val="006E5147"/>
    <w:rsid w:val="006F6E08"/>
    <w:rsid w:val="00703C1F"/>
    <w:rsid w:val="00706662"/>
    <w:rsid w:val="00707D7C"/>
    <w:rsid w:val="0071731D"/>
    <w:rsid w:val="0072080A"/>
    <w:rsid w:val="007324DD"/>
    <w:rsid w:val="00743039"/>
    <w:rsid w:val="00752759"/>
    <w:rsid w:val="0075763C"/>
    <w:rsid w:val="00793238"/>
    <w:rsid w:val="007A2D21"/>
    <w:rsid w:val="007A3FC3"/>
    <w:rsid w:val="007A48AC"/>
    <w:rsid w:val="007A6433"/>
    <w:rsid w:val="007B27DF"/>
    <w:rsid w:val="007C3DA7"/>
    <w:rsid w:val="007C4D63"/>
    <w:rsid w:val="007C5858"/>
    <w:rsid w:val="007D5BCE"/>
    <w:rsid w:val="007E6791"/>
    <w:rsid w:val="00807C67"/>
    <w:rsid w:val="00815368"/>
    <w:rsid w:val="008207B3"/>
    <w:rsid w:val="00834E5E"/>
    <w:rsid w:val="008528E1"/>
    <w:rsid w:val="008545D7"/>
    <w:rsid w:val="0085566B"/>
    <w:rsid w:val="00865417"/>
    <w:rsid w:val="008659A5"/>
    <w:rsid w:val="008847E1"/>
    <w:rsid w:val="00890C17"/>
    <w:rsid w:val="008911FE"/>
    <w:rsid w:val="008942D0"/>
    <w:rsid w:val="00896159"/>
    <w:rsid w:val="008A15EF"/>
    <w:rsid w:val="008A2A37"/>
    <w:rsid w:val="008C6EFA"/>
    <w:rsid w:val="008D3A31"/>
    <w:rsid w:val="008E4701"/>
    <w:rsid w:val="008E6803"/>
    <w:rsid w:val="008F2489"/>
    <w:rsid w:val="008F7600"/>
    <w:rsid w:val="00910472"/>
    <w:rsid w:val="00912520"/>
    <w:rsid w:val="00913193"/>
    <w:rsid w:val="00930FBB"/>
    <w:rsid w:val="0093771E"/>
    <w:rsid w:val="00943FBF"/>
    <w:rsid w:val="009447A8"/>
    <w:rsid w:val="00944A25"/>
    <w:rsid w:val="00953479"/>
    <w:rsid w:val="00953673"/>
    <w:rsid w:val="00962610"/>
    <w:rsid w:val="00970F4B"/>
    <w:rsid w:val="00972D6A"/>
    <w:rsid w:val="00975032"/>
    <w:rsid w:val="009840F7"/>
    <w:rsid w:val="009879A1"/>
    <w:rsid w:val="0099124E"/>
    <w:rsid w:val="00992F9D"/>
    <w:rsid w:val="0099325C"/>
    <w:rsid w:val="009942D1"/>
    <w:rsid w:val="009C278D"/>
    <w:rsid w:val="009D1FD6"/>
    <w:rsid w:val="009E116A"/>
    <w:rsid w:val="009E7FB9"/>
    <w:rsid w:val="009F0793"/>
    <w:rsid w:val="009F1A33"/>
    <w:rsid w:val="009F391B"/>
    <w:rsid w:val="009F495B"/>
    <w:rsid w:val="00A013C4"/>
    <w:rsid w:val="00A20479"/>
    <w:rsid w:val="00A20FBE"/>
    <w:rsid w:val="00A214D0"/>
    <w:rsid w:val="00A2306E"/>
    <w:rsid w:val="00A40243"/>
    <w:rsid w:val="00A5123A"/>
    <w:rsid w:val="00A52E9F"/>
    <w:rsid w:val="00A63F6F"/>
    <w:rsid w:val="00A6571C"/>
    <w:rsid w:val="00A7647C"/>
    <w:rsid w:val="00A77643"/>
    <w:rsid w:val="00A91354"/>
    <w:rsid w:val="00AA7C13"/>
    <w:rsid w:val="00AB5073"/>
    <w:rsid w:val="00AC0662"/>
    <w:rsid w:val="00AC1A24"/>
    <w:rsid w:val="00AD0D83"/>
    <w:rsid w:val="00AD4178"/>
    <w:rsid w:val="00AE76FA"/>
    <w:rsid w:val="00AE7CE6"/>
    <w:rsid w:val="00AF6E52"/>
    <w:rsid w:val="00B06DB2"/>
    <w:rsid w:val="00B0783A"/>
    <w:rsid w:val="00B11330"/>
    <w:rsid w:val="00B11A48"/>
    <w:rsid w:val="00B20CF8"/>
    <w:rsid w:val="00B246D1"/>
    <w:rsid w:val="00B25E61"/>
    <w:rsid w:val="00B3331E"/>
    <w:rsid w:val="00B4156D"/>
    <w:rsid w:val="00B42573"/>
    <w:rsid w:val="00B468CC"/>
    <w:rsid w:val="00B472A0"/>
    <w:rsid w:val="00B51B9A"/>
    <w:rsid w:val="00B54BB3"/>
    <w:rsid w:val="00B91B23"/>
    <w:rsid w:val="00B95467"/>
    <w:rsid w:val="00BB2B41"/>
    <w:rsid w:val="00BB35C9"/>
    <w:rsid w:val="00BC0F2E"/>
    <w:rsid w:val="00BD4429"/>
    <w:rsid w:val="00BE1701"/>
    <w:rsid w:val="00BF040B"/>
    <w:rsid w:val="00BF2BDF"/>
    <w:rsid w:val="00BF2E24"/>
    <w:rsid w:val="00C04D17"/>
    <w:rsid w:val="00C062B1"/>
    <w:rsid w:val="00C10EC3"/>
    <w:rsid w:val="00C11541"/>
    <w:rsid w:val="00C27DAD"/>
    <w:rsid w:val="00C27E20"/>
    <w:rsid w:val="00C31CE0"/>
    <w:rsid w:val="00C321B9"/>
    <w:rsid w:val="00C5137A"/>
    <w:rsid w:val="00C55403"/>
    <w:rsid w:val="00C562AC"/>
    <w:rsid w:val="00C57EA5"/>
    <w:rsid w:val="00C57EEE"/>
    <w:rsid w:val="00C6061F"/>
    <w:rsid w:val="00C62C9D"/>
    <w:rsid w:val="00C64267"/>
    <w:rsid w:val="00C73C4D"/>
    <w:rsid w:val="00C768FC"/>
    <w:rsid w:val="00C87E5E"/>
    <w:rsid w:val="00CA3B24"/>
    <w:rsid w:val="00CC02F8"/>
    <w:rsid w:val="00CC1220"/>
    <w:rsid w:val="00CC46F8"/>
    <w:rsid w:val="00CC527A"/>
    <w:rsid w:val="00CC5907"/>
    <w:rsid w:val="00CD051B"/>
    <w:rsid w:val="00CD19B5"/>
    <w:rsid w:val="00CD65D4"/>
    <w:rsid w:val="00CE0998"/>
    <w:rsid w:val="00CE2AEE"/>
    <w:rsid w:val="00CF1A62"/>
    <w:rsid w:val="00CF235D"/>
    <w:rsid w:val="00D02E57"/>
    <w:rsid w:val="00D03B69"/>
    <w:rsid w:val="00D03ED1"/>
    <w:rsid w:val="00D3274D"/>
    <w:rsid w:val="00D349DF"/>
    <w:rsid w:val="00D34AEC"/>
    <w:rsid w:val="00D34C20"/>
    <w:rsid w:val="00D51964"/>
    <w:rsid w:val="00D811BF"/>
    <w:rsid w:val="00D92364"/>
    <w:rsid w:val="00D93DEC"/>
    <w:rsid w:val="00D94F6D"/>
    <w:rsid w:val="00DA016E"/>
    <w:rsid w:val="00DA6C91"/>
    <w:rsid w:val="00DC2EC9"/>
    <w:rsid w:val="00DE093B"/>
    <w:rsid w:val="00DE200E"/>
    <w:rsid w:val="00DF0D1C"/>
    <w:rsid w:val="00DF3F3B"/>
    <w:rsid w:val="00DF443E"/>
    <w:rsid w:val="00DF612D"/>
    <w:rsid w:val="00DF7396"/>
    <w:rsid w:val="00DF7501"/>
    <w:rsid w:val="00E15BE3"/>
    <w:rsid w:val="00E166B6"/>
    <w:rsid w:val="00E1693F"/>
    <w:rsid w:val="00E1783F"/>
    <w:rsid w:val="00E21AFF"/>
    <w:rsid w:val="00E22BA7"/>
    <w:rsid w:val="00E24192"/>
    <w:rsid w:val="00E27601"/>
    <w:rsid w:val="00E32AD1"/>
    <w:rsid w:val="00E41841"/>
    <w:rsid w:val="00E421D6"/>
    <w:rsid w:val="00E42A91"/>
    <w:rsid w:val="00E600EF"/>
    <w:rsid w:val="00E60CAB"/>
    <w:rsid w:val="00E64C82"/>
    <w:rsid w:val="00E72604"/>
    <w:rsid w:val="00E72950"/>
    <w:rsid w:val="00E80BAB"/>
    <w:rsid w:val="00E8243F"/>
    <w:rsid w:val="00E86084"/>
    <w:rsid w:val="00E90F87"/>
    <w:rsid w:val="00E95AA4"/>
    <w:rsid w:val="00E96AA5"/>
    <w:rsid w:val="00EA69C8"/>
    <w:rsid w:val="00EB3B9B"/>
    <w:rsid w:val="00EC0EE9"/>
    <w:rsid w:val="00EC4520"/>
    <w:rsid w:val="00EC7705"/>
    <w:rsid w:val="00ED4589"/>
    <w:rsid w:val="00EE3B75"/>
    <w:rsid w:val="00EF0CE6"/>
    <w:rsid w:val="00F010B1"/>
    <w:rsid w:val="00F149C9"/>
    <w:rsid w:val="00F23744"/>
    <w:rsid w:val="00F26943"/>
    <w:rsid w:val="00F27EA5"/>
    <w:rsid w:val="00F323C3"/>
    <w:rsid w:val="00F34CE5"/>
    <w:rsid w:val="00F467C1"/>
    <w:rsid w:val="00F47C8C"/>
    <w:rsid w:val="00F5175F"/>
    <w:rsid w:val="00F52AD4"/>
    <w:rsid w:val="00F5582D"/>
    <w:rsid w:val="00F70C81"/>
    <w:rsid w:val="00F75448"/>
    <w:rsid w:val="00F75EE9"/>
    <w:rsid w:val="00F850D4"/>
    <w:rsid w:val="00F9544D"/>
    <w:rsid w:val="00FB4BAB"/>
    <w:rsid w:val="00FD21A9"/>
    <w:rsid w:val="00FD38C1"/>
    <w:rsid w:val="00FE3F1E"/>
    <w:rsid w:val="00FE47FD"/>
    <w:rsid w:val="00FF08A0"/>
    <w:rsid w:val="00FF0E33"/>
    <w:rsid w:val="00FF4C9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C55E3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6433"/>
    <w:pPr>
      <w:widowControl w:val="0"/>
      <w:spacing w:after="0" w:line="240" w:lineRule="auto"/>
      <w:jc w:val="both"/>
    </w:pPr>
    <w:rPr>
      <w:rFonts w:eastAsia="Times New Roman" w:cstheme="minorHAnsi"/>
      <w:snapToGrid w:val="0"/>
      <w:sz w:val="24"/>
      <w:szCs w:val="24"/>
    </w:rPr>
  </w:style>
  <w:style w:type="paragraph" w:styleId="Heading1">
    <w:name w:val="heading 1"/>
    <w:basedOn w:val="Normal"/>
    <w:next w:val="Normal"/>
    <w:link w:val="Heading1Char"/>
    <w:uiPriority w:val="9"/>
    <w:qFormat/>
    <w:rsid w:val="001F09D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C27DAD"/>
    <w:pPr>
      <w:keepNext/>
      <w:widowControl/>
      <w:jc w:val="left"/>
      <w:outlineLvl w:val="1"/>
    </w:pPr>
    <w:rPr>
      <w:rFonts w:ascii="Arial" w:hAnsi="Arial" w:cs="Times New Roman"/>
      <w:b/>
      <w:i/>
      <w:snapToGrid/>
      <w:sz w:val="22"/>
      <w:lang w:eastAsia="en-AU"/>
    </w:rPr>
  </w:style>
  <w:style w:type="paragraph" w:styleId="Heading9">
    <w:name w:val="heading 9"/>
    <w:basedOn w:val="Normal"/>
    <w:next w:val="Normal"/>
    <w:link w:val="Heading9Char"/>
    <w:uiPriority w:val="9"/>
    <w:semiHidden/>
    <w:unhideWhenUsed/>
    <w:qFormat/>
    <w:rsid w:val="0075763C"/>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Points,Figure_name,List Paragraph1,Numbered Indented Text,Bullet- First level,List NUmber,Listenabsatz1,lp1,List Paragraph11,Style 2,TOC style,List Paragraph2,List Paragraph Char Char,Number_1,SGLText List Paragraph,new,Footnote,L,列"/>
    <w:basedOn w:val="Normal"/>
    <w:link w:val="ListParagraphChar"/>
    <w:uiPriority w:val="34"/>
    <w:qFormat/>
    <w:rsid w:val="00DA6C91"/>
    <w:pPr>
      <w:keepLines/>
      <w:widowControl/>
      <w:numPr>
        <w:ilvl w:val="1"/>
        <w:numId w:val="24"/>
      </w:numPr>
      <w:spacing w:after="160"/>
    </w:pPr>
  </w:style>
  <w:style w:type="character" w:customStyle="1" w:styleId="ListParagraphChar">
    <w:name w:val="List Paragraph Char"/>
    <w:aliases w:val="BulletPoints Char,Figure_name Char,List Paragraph1 Char,Numbered Indented Text Char,Bullet- First level Char,List NUmber Char,Listenabsatz1 Char,lp1 Char,List Paragraph11 Char,Style 2 Char,TOC style Char,List Paragraph2 Char,new Char"/>
    <w:basedOn w:val="DefaultParagraphFont"/>
    <w:link w:val="ListParagraph"/>
    <w:uiPriority w:val="72"/>
    <w:qFormat/>
    <w:locked/>
    <w:rsid w:val="00DA6C91"/>
    <w:rPr>
      <w:rFonts w:eastAsia="Times New Roman" w:cstheme="minorHAnsi"/>
      <w:snapToGrid w:val="0"/>
      <w:sz w:val="24"/>
      <w:szCs w:val="24"/>
    </w:rPr>
  </w:style>
  <w:style w:type="character" w:styleId="CommentReference">
    <w:name w:val="annotation reference"/>
    <w:aliases w:val="Table Title"/>
    <w:qFormat/>
    <w:rsid w:val="00A013C4"/>
    <w:rPr>
      <w:rFonts w:ascii="Arial Narrow" w:hAnsi="Arial Narrow"/>
      <w:b/>
      <w:sz w:val="20"/>
      <w:szCs w:val="16"/>
    </w:rPr>
  </w:style>
  <w:style w:type="paragraph" w:styleId="CommentText">
    <w:name w:val="annotation text"/>
    <w:basedOn w:val="Normal"/>
    <w:link w:val="CommentTextChar"/>
    <w:uiPriority w:val="99"/>
    <w:rsid w:val="00A013C4"/>
    <w:rPr>
      <w:rFonts w:ascii="Times New Roman" w:hAnsi="Times New Roman" w:cs="Times New Roman"/>
      <w:sz w:val="20"/>
    </w:rPr>
  </w:style>
  <w:style w:type="character" w:customStyle="1" w:styleId="CommentTextChar">
    <w:name w:val="Comment Text Char"/>
    <w:basedOn w:val="DefaultParagraphFont"/>
    <w:link w:val="CommentText"/>
    <w:uiPriority w:val="99"/>
    <w:rsid w:val="00A013C4"/>
    <w:rPr>
      <w:rFonts w:ascii="Times New Roman" w:eastAsia="Times New Roman" w:hAnsi="Times New Roman" w:cs="Times New Roman"/>
      <w:snapToGrid w:val="0"/>
      <w:sz w:val="20"/>
      <w:szCs w:val="20"/>
    </w:rPr>
  </w:style>
  <w:style w:type="paragraph" w:customStyle="1" w:styleId="PBACheading1">
    <w:name w:val="PBAC heading 1"/>
    <w:qFormat/>
    <w:rsid w:val="007A6433"/>
    <w:pPr>
      <w:numPr>
        <w:numId w:val="24"/>
      </w:numPr>
      <w:spacing w:after="0" w:line="240" w:lineRule="auto"/>
      <w:outlineLvl w:val="0"/>
    </w:pPr>
    <w:rPr>
      <w:rFonts w:eastAsia="Times New Roman" w:cstheme="minorHAnsi"/>
      <w:b/>
      <w:snapToGrid w:val="0"/>
      <w:sz w:val="32"/>
      <w:szCs w:val="32"/>
    </w:rPr>
  </w:style>
  <w:style w:type="paragraph" w:styleId="BalloonText">
    <w:name w:val="Balloon Text"/>
    <w:basedOn w:val="Normal"/>
    <w:link w:val="BalloonTextChar"/>
    <w:uiPriority w:val="99"/>
    <w:semiHidden/>
    <w:unhideWhenUsed/>
    <w:rsid w:val="00A013C4"/>
    <w:rPr>
      <w:rFonts w:ascii="Tahoma" w:hAnsi="Tahoma" w:cs="Tahoma"/>
      <w:sz w:val="16"/>
      <w:szCs w:val="16"/>
    </w:rPr>
  </w:style>
  <w:style w:type="character" w:customStyle="1" w:styleId="BalloonTextChar">
    <w:name w:val="Balloon Text Char"/>
    <w:basedOn w:val="DefaultParagraphFont"/>
    <w:link w:val="BalloonText"/>
    <w:uiPriority w:val="99"/>
    <w:semiHidden/>
    <w:rsid w:val="00A013C4"/>
    <w:rPr>
      <w:rFonts w:ascii="Tahoma" w:eastAsia="Times New Roman" w:hAnsi="Tahoma" w:cs="Tahoma"/>
      <w:snapToGrid w:val="0"/>
      <w:sz w:val="16"/>
      <w:szCs w:val="16"/>
    </w:rPr>
  </w:style>
  <w:style w:type="paragraph" w:styleId="Title">
    <w:name w:val="Title"/>
    <w:basedOn w:val="Normal"/>
    <w:next w:val="Normal"/>
    <w:link w:val="TitleChar"/>
    <w:qFormat/>
    <w:rsid w:val="00A013C4"/>
    <w:pPr>
      <w:widowControl/>
      <w:ind w:left="720" w:hanging="720"/>
      <w:jc w:val="left"/>
    </w:pPr>
    <w:rPr>
      <w:rFonts w:cs="Times New Roman"/>
      <w:b/>
      <w:snapToGrid/>
      <w:sz w:val="28"/>
      <w:szCs w:val="28"/>
      <w:lang w:eastAsia="en-AU"/>
    </w:rPr>
  </w:style>
  <w:style w:type="character" w:customStyle="1" w:styleId="TitleChar">
    <w:name w:val="Title Char"/>
    <w:basedOn w:val="DefaultParagraphFont"/>
    <w:link w:val="Title"/>
    <w:rsid w:val="00A013C4"/>
    <w:rPr>
      <w:rFonts w:ascii="Arial" w:eastAsia="Times New Roman" w:hAnsi="Arial" w:cs="Times New Roman"/>
      <w:b/>
      <w:sz w:val="28"/>
      <w:szCs w:val="28"/>
      <w:lang w:eastAsia="en-AU"/>
    </w:rPr>
  </w:style>
  <w:style w:type="paragraph" w:styleId="Header">
    <w:name w:val="header"/>
    <w:aliases w:val="Page Header,Header title,he=header,cntr/bld"/>
    <w:basedOn w:val="Normal"/>
    <w:link w:val="HeaderChar"/>
    <w:uiPriority w:val="99"/>
    <w:unhideWhenUsed/>
    <w:rsid w:val="00A013C4"/>
    <w:pPr>
      <w:tabs>
        <w:tab w:val="center" w:pos="4513"/>
        <w:tab w:val="right" w:pos="9026"/>
      </w:tabs>
    </w:pPr>
  </w:style>
  <w:style w:type="character" w:customStyle="1" w:styleId="HeaderChar">
    <w:name w:val="Header Char"/>
    <w:aliases w:val="Page Header Char,Header title Char,he=header Char,cntr/bld Char"/>
    <w:basedOn w:val="DefaultParagraphFont"/>
    <w:link w:val="Header"/>
    <w:uiPriority w:val="99"/>
    <w:rsid w:val="00A013C4"/>
    <w:rPr>
      <w:rFonts w:ascii="Arial" w:eastAsia="Times New Roman" w:hAnsi="Arial" w:cs="Arial"/>
      <w:snapToGrid w:val="0"/>
      <w:szCs w:val="20"/>
    </w:rPr>
  </w:style>
  <w:style w:type="paragraph" w:styleId="Footer">
    <w:name w:val="footer"/>
    <w:basedOn w:val="Normal"/>
    <w:link w:val="FooterChar"/>
    <w:uiPriority w:val="99"/>
    <w:unhideWhenUsed/>
    <w:rsid w:val="00A013C4"/>
    <w:pPr>
      <w:tabs>
        <w:tab w:val="center" w:pos="4513"/>
        <w:tab w:val="right" w:pos="9026"/>
      </w:tabs>
    </w:pPr>
  </w:style>
  <w:style w:type="character" w:customStyle="1" w:styleId="FooterChar">
    <w:name w:val="Footer Char"/>
    <w:basedOn w:val="DefaultParagraphFont"/>
    <w:link w:val="Footer"/>
    <w:uiPriority w:val="99"/>
    <w:rsid w:val="00A013C4"/>
    <w:rPr>
      <w:rFonts w:ascii="Arial" w:eastAsia="Times New Roman" w:hAnsi="Arial" w:cs="Arial"/>
      <w:snapToGrid w:val="0"/>
      <w:szCs w:val="20"/>
    </w:rPr>
  </w:style>
  <w:style w:type="paragraph" w:styleId="CommentSubject">
    <w:name w:val="annotation subject"/>
    <w:basedOn w:val="CommentText"/>
    <w:next w:val="CommentText"/>
    <w:link w:val="CommentSubjectChar"/>
    <w:uiPriority w:val="99"/>
    <w:semiHidden/>
    <w:unhideWhenUsed/>
    <w:rsid w:val="002545BF"/>
    <w:rPr>
      <w:rFonts w:ascii="Arial" w:hAnsi="Arial" w:cs="Arial"/>
      <w:b/>
      <w:bCs/>
    </w:rPr>
  </w:style>
  <w:style w:type="character" w:customStyle="1" w:styleId="CommentSubjectChar">
    <w:name w:val="Comment Subject Char"/>
    <w:basedOn w:val="CommentTextChar"/>
    <w:link w:val="CommentSubject"/>
    <w:uiPriority w:val="99"/>
    <w:semiHidden/>
    <w:rsid w:val="002545BF"/>
    <w:rPr>
      <w:rFonts w:ascii="Arial" w:eastAsia="Times New Roman" w:hAnsi="Arial" w:cs="Arial"/>
      <w:b/>
      <w:bCs/>
      <w:snapToGrid w:val="0"/>
      <w:sz w:val="20"/>
      <w:szCs w:val="20"/>
    </w:rPr>
  </w:style>
  <w:style w:type="paragraph" w:customStyle="1" w:styleId="1MainTitle">
    <w:name w:val="1. Main Title"/>
    <w:basedOn w:val="Title"/>
    <w:link w:val="1MainTitleChar"/>
    <w:qFormat/>
    <w:rsid w:val="00ED4589"/>
    <w:pPr>
      <w:spacing w:before="120" w:after="160"/>
      <w:contextualSpacing/>
      <w:outlineLvl w:val="0"/>
    </w:pPr>
    <w:rPr>
      <w:rFonts w:eastAsiaTheme="majorEastAsia" w:cstheme="minorHAnsi"/>
      <w:spacing w:val="5"/>
      <w:kern w:val="28"/>
      <w:sz w:val="36"/>
      <w:szCs w:val="36"/>
    </w:rPr>
  </w:style>
  <w:style w:type="character" w:customStyle="1" w:styleId="1MainTitleChar">
    <w:name w:val="1. Main Title Char"/>
    <w:basedOn w:val="TitleChar"/>
    <w:link w:val="1MainTitle"/>
    <w:rsid w:val="00ED4589"/>
    <w:rPr>
      <w:rFonts w:ascii="Arial" w:eastAsiaTheme="majorEastAsia" w:hAnsi="Arial" w:cstheme="minorHAnsi"/>
      <w:b/>
      <w:spacing w:val="5"/>
      <w:kern w:val="28"/>
      <w:sz w:val="36"/>
      <w:szCs w:val="36"/>
      <w:lang w:eastAsia="en-AU"/>
    </w:rPr>
  </w:style>
  <w:style w:type="paragraph" w:customStyle="1" w:styleId="PBACHeading10">
    <w:name w:val="PBAC Heading 1"/>
    <w:qFormat/>
    <w:rsid w:val="00DA6C91"/>
    <w:pPr>
      <w:keepLines/>
      <w:spacing w:before="120" w:after="120" w:line="240" w:lineRule="auto"/>
      <w:outlineLvl w:val="0"/>
    </w:pPr>
    <w:rPr>
      <w:rFonts w:ascii="Calibri" w:eastAsia="Times New Roman" w:hAnsi="Calibri" w:cs="Arial"/>
      <w:b/>
      <w:snapToGrid w:val="0"/>
      <w:sz w:val="32"/>
    </w:rPr>
  </w:style>
  <w:style w:type="character" w:customStyle="1" w:styleId="Heading2Char">
    <w:name w:val="Heading 2 Char"/>
    <w:basedOn w:val="DefaultParagraphFont"/>
    <w:link w:val="Heading2"/>
    <w:uiPriority w:val="9"/>
    <w:rsid w:val="00C27DAD"/>
    <w:rPr>
      <w:rFonts w:ascii="Arial" w:eastAsia="Times New Roman" w:hAnsi="Arial" w:cs="Times New Roman"/>
      <w:b/>
      <w:i/>
      <w:szCs w:val="24"/>
      <w:lang w:eastAsia="en-AU"/>
    </w:rPr>
  </w:style>
  <w:style w:type="character" w:styleId="Hyperlink">
    <w:name w:val="Hyperlink"/>
    <w:basedOn w:val="DefaultParagraphFont"/>
    <w:uiPriority w:val="99"/>
    <w:unhideWhenUsed/>
    <w:rsid w:val="004621B8"/>
    <w:rPr>
      <w:color w:val="0000FF" w:themeColor="hyperlink"/>
      <w:u w:val="single"/>
    </w:rPr>
  </w:style>
  <w:style w:type="paragraph" w:styleId="FootnoteText">
    <w:name w:val="footnote text"/>
    <w:basedOn w:val="Normal"/>
    <w:link w:val="FootnoteTextChar"/>
    <w:uiPriority w:val="99"/>
    <w:semiHidden/>
    <w:unhideWhenUsed/>
    <w:rsid w:val="009D1FD6"/>
    <w:rPr>
      <w:sz w:val="20"/>
      <w:szCs w:val="20"/>
    </w:rPr>
  </w:style>
  <w:style w:type="character" w:customStyle="1" w:styleId="FootnoteTextChar">
    <w:name w:val="Footnote Text Char"/>
    <w:basedOn w:val="DefaultParagraphFont"/>
    <w:link w:val="FootnoteText"/>
    <w:uiPriority w:val="99"/>
    <w:semiHidden/>
    <w:rsid w:val="009D1FD6"/>
    <w:rPr>
      <w:rFonts w:eastAsia="Times New Roman" w:cstheme="minorHAnsi"/>
      <w:snapToGrid w:val="0"/>
      <w:sz w:val="20"/>
      <w:szCs w:val="20"/>
    </w:rPr>
  </w:style>
  <w:style w:type="character" w:styleId="FootnoteReference">
    <w:name w:val="footnote reference"/>
    <w:basedOn w:val="DefaultParagraphFont"/>
    <w:semiHidden/>
    <w:unhideWhenUsed/>
    <w:rsid w:val="009D1FD6"/>
    <w:rPr>
      <w:vertAlign w:val="superscript"/>
    </w:rPr>
  </w:style>
  <w:style w:type="character" w:styleId="FollowedHyperlink">
    <w:name w:val="FollowedHyperlink"/>
    <w:basedOn w:val="DefaultParagraphFont"/>
    <w:uiPriority w:val="99"/>
    <w:semiHidden/>
    <w:unhideWhenUsed/>
    <w:rsid w:val="006E4DFB"/>
    <w:rPr>
      <w:color w:val="800080" w:themeColor="followedHyperlink"/>
      <w:u w:val="single"/>
    </w:rPr>
  </w:style>
  <w:style w:type="table" w:styleId="TableGrid">
    <w:name w:val="Table Grid"/>
    <w:basedOn w:val="TableNormal"/>
    <w:uiPriority w:val="39"/>
    <w:rsid w:val="00B415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B4156D"/>
    <w:rPr>
      <w:rFonts w:ascii="Arial Narrow" w:hAnsi="Arial Narrow"/>
      <w:b/>
      <w:iCs/>
      <w:sz w:val="22"/>
      <w:szCs w:val="22"/>
    </w:rPr>
  </w:style>
  <w:style w:type="character" w:customStyle="1" w:styleId="Heading1Char">
    <w:name w:val="Heading 1 Char"/>
    <w:basedOn w:val="DefaultParagraphFont"/>
    <w:link w:val="Heading1"/>
    <w:uiPriority w:val="9"/>
    <w:rsid w:val="001F09DD"/>
    <w:rPr>
      <w:rFonts w:asciiTheme="majorHAnsi" w:eastAsiaTheme="majorEastAsia" w:hAnsiTheme="majorHAnsi" w:cstheme="majorBidi"/>
      <w:snapToGrid w:val="0"/>
      <w:color w:val="365F91" w:themeColor="accent1" w:themeShade="BF"/>
      <w:sz w:val="32"/>
      <w:szCs w:val="32"/>
    </w:rPr>
  </w:style>
  <w:style w:type="paragraph" w:styleId="NoSpacing">
    <w:name w:val="No Spacing"/>
    <w:uiPriority w:val="1"/>
    <w:qFormat/>
    <w:rsid w:val="001F09DD"/>
    <w:pPr>
      <w:widowControl w:val="0"/>
      <w:spacing w:after="0" w:line="240" w:lineRule="auto"/>
      <w:jc w:val="both"/>
    </w:pPr>
    <w:rPr>
      <w:rFonts w:eastAsia="Times New Roman" w:cstheme="minorHAnsi"/>
      <w:snapToGrid w:val="0"/>
      <w:sz w:val="24"/>
      <w:szCs w:val="24"/>
    </w:rPr>
  </w:style>
  <w:style w:type="character" w:styleId="PageNumber">
    <w:name w:val="page number"/>
    <w:basedOn w:val="DefaultParagraphFont"/>
    <w:rsid w:val="001F09DD"/>
  </w:style>
  <w:style w:type="table" w:customStyle="1" w:styleId="MSDTableGrid1">
    <w:name w:val="MSD Table Grid1"/>
    <w:basedOn w:val="TableNormal"/>
    <w:next w:val="TableGrid"/>
    <w:uiPriority w:val="39"/>
    <w:rsid w:val="001F09DD"/>
    <w:pPr>
      <w:spacing w:after="0" w:line="240" w:lineRule="auto"/>
    </w:pPr>
    <w:rPr>
      <w:rFonts w:ascii="Times New Roman" w:eastAsia="Times New Roman" w:hAnsi="Times New Roman"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diumGrid21">
    <w:name w:val="Medium Grid 21"/>
    <w:link w:val="MediumGrid2Char"/>
    <w:rsid w:val="001F09DD"/>
    <w:pPr>
      <w:spacing w:after="0" w:line="240" w:lineRule="auto"/>
    </w:pPr>
    <w:rPr>
      <w:rFonts w:ascii="PMingLiU" w:eastAsia="MS Mincho" w:hAnsi="PMingLiU" w:cs="Times New Roman"/>
      <w:lang w:val="en-US"/>
    </w:rPr>
  </w:style>
  <w:style w:type="character" w:customStyle="1" w:styleId="MediumGrid2Char">
    <w:name w:val="Medium Grid 2 Char"/>
    <w:link w:val="MediumGrid21"/>
    <w:rsid w:val="001F09DD"/>
    <w:rPr>
      <w:rFonts w:ascii="PMingLiU" w:eastAsia="MS Mincho" w:hAnsi="PMingLiU" w:cs="Times New Roman"/>
      <w:lang w:val="en-US"/>
    </w:rPr>
  </w:style>
  <w:style w:type="paragraph" w:customStyle="1" w:styleId="2Sections">
    <w:name w:val="2. Sections"/>
    <w:qFormat/>
    <w:rsid w:val="001F09DD"/>
    <w:pPr>
      <w:spacing w:before="240" w:after="120" w:line="240" w:lineRule="auto"/>
      <w:ind w:left="720" w:hanging="720"/>
      <w:outlineLvl w:val="0"/>
    </w:pPr>
    <w:rPr>
      <w:rFonts w:eastAsia="Times New Roman" w:cs="Arial"/>
      <w:b/>
      <w:snapToGrid w:val="0"/>
      <w:sz w:val="32"/>
      <w:szCs w:val="32"/>
    </w:rPr>
  </w:style>
  <w:style w:type="paragraph" w:customStyle="1" w:styleId="MinorOVRHeader">
    <w:name w:val="Minor OVR Header"/>
    <w:basedOn w:val="Header"/>
    <w:link w:val="MinorOVRHeaderChar"/>
    <w:rsid w:val="001F09DD"/>
    <w:pPr>
      <w:widowControl/>
      <w:tabs>
        <w:tab w:val="clear" w:pos="4513"/>
        <w:tab w:val="clear" w:pos="9026"/>
        <w:tab w:val="center" w:pos="4153"/>
        <w:tab w:val="right" w:pos="8306"/>
      </w:tabs>
      <w:jc w:val="right"/>
    </w:pPr>
    <w:rPr>
      <w:rFonts w:ascii="Arial" w:hAnsi="Arial" w:cs="Arial"/>
      <w:snapToGrid/>
      <w:lang w:eastAsia="en-AU"/>
    </w:rPr>
  </w:style>
  <w:style w:type="character" w:customStyle="1" w:styleId="MinorOVRHeaderChar">
    <w:name w:val="Minor OVR Header Char"/>
    <w:basedOn w:val="HeaderChar"/>
    <w:link w:val="MinorOVRHeader"/>
    <w:rsid w:val="001F09DD"/>
    <w:rPr>
      <w:rFonts w:ascii="Arial" w:eastAsia="Times New Roman" w:hAnsi="Arial" w:cs="Arial"/>
      <w:snapToGrid/>
      <w:sz w:val="24"/>
      <w:szCs w:val="24"/>
      <w:lang w:eastAsia="en-AU"/>
    </w:rPr>
  </w:style>
  <w:style w:type="paragraph" w:customStyle="1" w:styleId="PBACFooter">
    <w:name w:val="PBAC Footer"/>
    <w:basedOn w:val="Footer"/>
    <w:link w:val="PBACFooterChar"/>
    <w:qFormat/>
    <w:rsid w:val="001F09DD"/>
    <w:pPr>
      <w:widowControl/>
      <w:tabs>
        <w:tab w:val="clear" w:pos="4513"/>
        <w:tab w:val="clear" w:pos="9026"/>
        <w:tab w:val="center" w:pos="4153"/>
        <w:tab w:val="right" w:pos="8306"/>
      </w:tabs>
      <w:jc w:val="center"/>
    </w:pPr>
    <w:rPr>
      <w:rFonts w:ascii="Arial" w:hAnsi="Arial" w:cs="Arial"/>
      <w:b/>
      <w:snapToGrid/>
      <w:lang w:eastAsia="en-AU"/>
    </w:rPr>
  </w:style>
  <w:style w:type="character" w:customStyle="1" w:styleId="PBACFooterChar">
    <w:name w:val="PBAC Footer Char"/>
    <w:basedOn w:val="FooterChar"/>
    <w:link w:val="PBACFooter"/>
    <w:rsid w:val="001F09DD"/>
    <w:rPr>
      <w:rFonts w:ascii="Arial" w:eastAsia="Times New Roman" w:hAnsi="Arial" w:cs="Arial"/>
      <w:b/>
      <w:snapToGrid/>
      <w:sz w:val="24"/>
      <w:szCs w:val="24"/>
      <w:lang w:eastAsia="en-AU"/>
    </w:rPr>
  </w:style>
  <w:style w:type="paragraph" w:customStyle="1" w:styleId="Bodytextitalics">
    <w:name w:val="Body text italics"/>
    <w:basedOn w:val="BodyText"/>
    <w:qFormat/>
    <w:rsid w:val="001F09DD"/>
    <w:pPr>
      <w:widowControl/>
      <w:ind w:left="720" w:hanging="720"/>
      <w:jc w:val="left"/>
    </w:pPr>
    <w:rPr>
      <w:rFonts w:eastAsiaTheme="minorHAnsi" w:cstheme="minorBidi"/>
      <w:i/>
      <w:snapToGrid/>
      <w:szCs w:val="22"/>
      <w:lang w:eastAsia="en-AU"/>
    </w:rPr>
  </w:style>
  <w:style w:type="table" w:customStyle="1" w:styleId="ASDTable1">
    <w:name w:val="ASD Table1"/>
    <w:basedOn w:val="TableNormal"/>
    <w:next w:val="TableGrid"/>
    <w:uiPriority w:val="39"/>
    <w:rsid w:val="001F09DD"/>
    <w:pPr>
      <w:widowControl w:val="0"/>
      <w:spacing w:after="0" w:line="240" w:lineRule="auto"/>
      <w:jc w:val="both"/>
    </w:pPr>
    <w:rPr>
      <w:rFonts w:eastAsiaTheme="minorEastAsia" w:cs="Times New Roman"/>
      <w:sz w:val="20"/>
      <w:szCs w:val="20"/>
      <w:lang w:eastAsia="en-A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trPr>
  </w:style>
  <w:style w:type="paragraph" w:styleId="BodyText">
    <w:name w:val="Body Text"/>
    <w:basedOn w:val="Normal"/>
    <w:link w:val="BodyTextChar"/>
    <w:uiPriority w:val="99"/>
    <w:semiHidden/>
    <w:unhideWhenUsed/>
    <w:rsid w:val="001F09DD"/>
    <w:pPr>
      <w:spacing w:after="120"/>
    </w:pPr>
  </w:style>
  <w:style w:type="character" w:customStyle="1" w:styleId="BodyTextChar">
    <w:name w:val="Body Text Char"/>
    <w:basedOn w:val="DefaultParagraphFont"/>
    <w:link w:val="BodyText"/>
    <w:uiPriority w:val="99"/>
    <w:semiHidden/>
    <w:rsid w:val="001F09DD"/>
    <w:rPr>
      <w:rFonts w:eastAsia="Times New Roman" w:cstheme="minorHAnsi"/>
      <w:snapToGrid w:val="0"/>
      <w:sz w:val="24"/>
      <w:szCs w:val="24"/>
    </w:rPr>
  </w:style>
  <w:style w:type="character" w:customStyle="1" w:styleId="Heading9Char">
    <w:name w:val="Heading 9 Char"/>
    <w:basedOn w:val="DefaultParagraphFont"/>
    <w:link w:val="Heading9"/>
    <w:rsid w:val="0075763C"/>
    <w:rPr>
      <w:rFonts w:asciiTheme="majorHAnsi" w:eastAsiaTheme="majorEastAsia" w:hAnsiTheme="majorHAnsi" w:cstheme="majorBidi"/>
      <w:i/>
      <w:iCs/>
      <w:snapToGrid w:val="0"/>
      <w:color w:val="272727" w:themeColor="text1" w:themeTint="D8"/>
      <w:sz w:val="21"/>
      <w:szCs w:val="21"/>
    </w:rPr>
  </w:style>
  <w:style w:type="paragraph" w:styleId="Revision">
    <w:name w:val="Revision"/>
    <w:hidden/>
    <w:uiPriority w:val="99"/>
    <w:semiHidden/>
    <w:rsid w:val="00287F18"/>
    <w:pPr>
      <w:spacing w:after="0" w:line="240" w:lineRule="auto"/>
    </w:pPr>
    <w:rPr>
      <w:rFonts w:eastAsia="Times New Roman" w:cstheme="minorHAnsi"/>
      <w:snapToGrid w:val="0"/>
      <w:sz w:val="24"/>
      <w:szCs w:val="24"/>
    </w:rPr>
  </w:style>
  <w:style w:type="character" w:customStyle="1" w:styleId="A1">
    <w:name w:val="A1"/>
    <w:basedOn w:val="DefaultParagraphFont"/>
    <w:uiPriority w:val="99"/>
    <w:rsid w:val="008659A5"/>
    <w:rPr>
      <w:rFonts w:ascii="GillSans" w:hAnsi="GillSans" w:hint="default"/>
      <w:color w:val="40404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60086328">
      <w:bodyDiv w:val="1"/>
      <w:marLeft w:val="0"/>
      <w:marRight w:val="0"/>
      <w:marTop w:val="0"/>
      <w:marBottom w:val="0"/>
      <w:divBdr>
        <w:top w:val="none" w:sz="0" w:space="0" w:color="auto"/>
        <w:left w:val="none" w:sz="0" w:space="0" w:color="auto"/>
        <w:bottom w:val="none" w:sz="0" w:space="0" w:color="auto"/>
        <w:right w:val="none" w:sz="0" w:space="0" w:color="auto"/>
      </w:divBdr>
      <w:divsChild>
        <w:div w:id="1758986768">
          <w:marLeft w:val="1080"/>
          <w:marRight w:val="0"/>
          <w:marTop w:val="100"/>
          <w:marBottom w:val="0"/>
          <w:divBdr>
            <w:top w:val="none" w:sz="0" w:space="0" w:color="auto"/>
            <w:left w:val="none" w:sz="0" w:space="0" w:color="auto"/>
            <w:bottom w:val="none" w:sz="0" w:space="0" w:color="auto"/>
            <w:right w:val="none" w:sz="0" w:space="0" w:color="auto"/>
          </w:divBdr>
        </w:div>
      </w:divsChild>
    </w:div>
    <w:div w:id="580215049">
      <w:bodyDiv w:val="1"/>
      <w:marLeft w:val="0"/>
      <w:marRight w:val="0"/>
      <w:marTop w:val="0"/>
      <w:marBottom w:val="0"/>
      <w:divBdr>
        <w:top w:val="none" w:sz="0" w:space="0" w:color="auto"/>
        <w:left w:val="none" w:sz="0" w:space="0" w:color="auto"/>
        <w:bottom w:val="none" w:sz="0" w:space="0" w:color="auto"/>
        <w:right w:val="none" w:sz="0" w:space="0" w:color="auto"/>
      </w:divBdr>
    </w:div>
    <w:div w:id="10436772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21" Type="http://schemas.microsoft.com/office/2016/09/relationships/commentsIds" Target="commentsId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www.pbs.gov.au/industry/listing/elements/pbac-meetings/pbac-stakeholder-meetings/pdl1-stakeholder-%20meeting-outcome-statement.pdf" TargetMode="External"/><Relationship Id="rId1" Type="http://schemas.openxmlformats.org/officeDocument/2006/relationships/hyperlink" Target="http://www.pbs.gov.au/industry/listing/elements/pbac-meetings/agenda/pdf/august-2018-special-meeting/pbac-pdl1-report-to-minister.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AB92959-AD4B-4AA1-9A5B-CC9031FBA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3100</Words>
  <Characters>17675</Characters>
  <Application>Microsoft Office Word</Application>
  <DocSecurity>0</DocSecurity>
  <Lines>147</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2020-01-16T05:53:00Z</dcterms:created>
  <dcterms:modified xsi:type="dcterms:W3CDTF">2020-01-23T03:43:00Z</dcterms:modified>
</cp:coreProperties>
</file>