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94F" w:rsidRDefault="00661BA6">
      <w:pPr>
        <w:pStyle w:val="1MainTitle"/>
        <w:spacing w:before="0" w:after="120"/>
      </w:pPr>
      <w:r>
        <w:t>6.10</w:t>
      </w:r>
      <w:r>
        <w:tab/>
        <w:t>RIFAXIMIN</w:t>
      </w:r>
      <w:r>
        <w:br/>
        <w:t xml:space="preserve">Tablet, 550mg, </w:t>
      </w:r>
      <w:r>
        <w:br/>
        <w:t>Xifaxan</w:t>
      </w:r>
      <w:r>
        <w:rPr>
          <w:vertAlign w:val="superscript"/>
        </w:rPr>
        <w:t>®</w:t>
      </w:r>
      <w:r>
        <w:t>, Norgine Pty Limited</w:t>
      </w:r>
    </w:p>
    <w:p w:rsidR="00B4494F" w:rsidRDefault="00661BA6">
      <w:pPr>
        <w:pStyle w:val="2Sections"/>
        <w:spacing w:before="120"/>
      </w:pPr>
      <w:r>
        <w:t xml:space="preserve">Purpose of Application </w:t>
      </w:r>
    </w:p>
    <w:p w:rsidR="00B4494F" w:rsidRDefault="00661BA6">
      <w:pPr>
        <w:pStyle w:val="ListParagraph"/>
        <w:widowControl/>
        <w:numPr>
          <w:ilvl w:val="1"/>
          <w:numId w:val="1"/>
        </w:numPr>
        <w:spacing w:before="120"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minor submission requested a change to the existing listing for rifaximin from Authority Required to Authority Required (STREAMLINED).</w:t>
      </w:r>
    </w:p>
    <w:p w:rsidR="00B4494F" w:rsidRDefault="00661BA6">
      <w:pPr>
        <w:pStyle w:val="2Sections"/>
        <w:spacing w:before="120"/>
      </w:pPr>
      <w:r>
        <w:t>Requested listing</w:t>
      </w:r>
    </w:p>
    <w:p w:rsidR="00B4494F" w:rsidRDefault="00661BA6">
      <w:pPr>
        <w:pStyle w:val="3Bodytext"/>
        <w:spacing w:before="120"/>
      </w:pPr>
      <w:r>
        <w:t>The minor submission requested a change in the restriction level of the current listing from Authority Required to Authority Required (STREAMLINED). No other changes to the existing listing were requested.</w:t>
      </w:r>
    </w:p>
    <w:tbl>
      <w:tblPr>
        <w:tblW w:w="9214" w:type="dxa"/>
        <w:tblInd w:w="108" w:type="dxa"/>
        <w:tblLayout w:type="fixed"/>
        <w:tblLook w:val="0000" w:firstRow="0" w:lastRow="0" w:firstColumn="0" w:lastColumn="0" w:noHBand="0" w:noVBand="0"/>
      </w:tblPr>
      <w:tblGrid>
        <w:gridCol w:w="2835"/>
        <w:gridCol w:w="426"/>
        <w:gridCol w:w="567"/>
        <w:gridCol w:w="850"/>
        <w:gridCol w:w="1701"/>
        <w:gridCol w:w="1026"/>
        <w:gridCol w:w="1809"/>
      </w:tblGrid>
      <w:tr w:rsidR="00B4494F">
        <w:trPr>
          <w:cantSplit/>
          <w:trHeight w:val="471"/>
        </w:trPr>
        <w:tc>
          <w:tcPr>
            <w:tcW w:w="3261" w:type="dxa"/>
            <w:gridSpan w:val="2"/>
            <w:tcBorders>
              <w:bottom w:val="single" w:sz="4" w:space="0" w:color="auto"/>
            </w:tcBorders>
          </w:tcPr>
          <w:p w:rsidR="00B4494F" w:rsidRDefault="00661BA6">
            <w:pPr>
              <w:keepNext/>
              <w:ind w:left="-108"/>
              <w:jc w:val="both"/>
              <w:rPr>
                <w:rFonts w:ascii="Arial Narrow" w:hAnsi="Arial Narrow" w:cs="Arial"/>
                <w:sz w:val="20"/>
                <w:szCs w:val="20"/>
              </w:rPr>
            </w:pPr>
            <w:r>
              <w:rPr>
                <w:rFonts w:ascii="Arial Narrow" w:hAnsi="Arial Narrow" w:cs="Arial"/>
                <w:sz w:val="20"/>
                <w:szCs w:val="20"/>
              </w:rPr>
              <w:t>Name, Restriction,</w:t>
            </w:r>
          </w:p>
          <w:p w:rsidR="00B4494F" w:rsidRDefault="00661BA6">
            <w:pPr>
              <w:keepNext/>
              <w:ind w:left="-108"/>
              <w:jc w:val="both"/>
              <w:rPr>
                <w:rFonts w:ascii="Arial Narrow" w:hAnsi="Arial Narrow" w:cs="Arial"/>
                <w:sz w:val="20"/>
                <w:szCs w:val="20"/>
              </w:rPr>
            </w:pPr>
            <w:r>
              <w:rPr>
                <w:rFonts w:ascii="Arial Narrow" w:hAnsi="Arial Narrow" w:cs="Arial"/>
                <w:sz w:val="20"/>
                <w:szCs w:val="20"/>
              </w:rPr>
              <w:t>Manner of administration and form</w:t>
            </w:r>
          </w:p>
        </w:tc>
        <w:tc>
          <w:tcPr>
            <w:tcW w:w="567" w:type="dxa"/>
            <w:tcBorders>
              <w:bottom w:val="single" w:sz="4" w:space="0" w:color="auto"/>
            </w:tcBorders>
          </w:tcPr>
          <w:p w:rsidR="00B4494F" w:rsidRDefault="00661BA6">
            <w:pPr>
              <w:keepNext/>
              <w:ind w:left="-108"/>
              <w:jc w:val="both"/>
              <w:rPr>
                <w:rFonts w:ascii="Arial Narrow" w:hAnsi="Arial Narrow" w:cs="Arial"/>
                <w:sz w:val="20"/>
                <w:szCs w:val="20"/>
              </w:rPr>
            </w:pPr>
            <w:r>
              <w:rPr>
                <w:rFonts w:ascii="Arial Narrow" w:hAnsi="Arial Narrow" w:cs="Arial"/>
                <w:sz w:val="20"/>
                <w:szCs w:val="20"/>
              </w:rPr>
              <w:t>Max.</w:t>
            </w:r>
          </w:p>
          <w:p w:rsidR="00B4494F" w:rsidRDefault="00661BA6">
            <w:pPr>
              <w:keepNext/>
              <w:ind w:left="-108"/>
              <w:jc w:val="both"/>
              <w:rPr>
                <w:rFonts w:ascii="Arial Narrow" w:hAnsi="Arial Narrow" w:cs="Arial"/>
                <w:sz w:val="20"/>
                <w:szCs w:val="20"/>
              </w:rPr>
            </w:pPr>
            <w:r>
              <w:rPr>
                <w:rFonts w:ascii="Arial Narrow" w:hAnsi="Arial Narrow" w:cs="Arial"/>
                <w:sz w:val="20"/>
                <w:szCs w:val="20"/>
              </w:rPr>
              <w:t>Qty</w:t>
            </w:r>
          </w:p>
        </w:tc>
        <w:tc>
          <w:tcPr>
            <w:tcW w:w="850" w:type="dxa"/>
            <w:tcBorders>
              <w:bottom w:val="single" w:sz="4" w:space="0" w:color="auto"/>
            </w:tcBorders>
          </w:tcPr>
          <w:p w:rsidR="00B4494F" w:rsidRDefault="00661BA6">
            <w:pPr>
              <w:keepNext/>
              <w:ind w:left="-108"/>
              <w:jc w:val="both"/>
              <w:rPr>
                <w:rFonts w:ascii="Arial Narrow" w:hAnsi="Arial Narrow" w:cs="Arial"/>
                <w:sz w:val="20"/>
                <w:szCs w:val="20"/>
              </w:rPr>
            </w:pPr>
            <w:r>
              <w:rPr>
                <w:rFonts w:ascii="Arial Narrow" w:hAnsi="Arial Narrow" w:cs="Arial"/>
                <w:sz w:val="20"/>
                <w:szCs w:val="20"/>
              </w:rPr>
              <w:t>№.of</w:t>
            </w:r>
          </w:p>
          <w:p w:rsidR="00B4494F" w:rsidRDefault="00661BA6">
            <w:pPr>
              <w:keepNext/>
              <w:ind w:left="-108"/>
              <w:jc w:val="both"/>
              <w:rPr>
                <w:rFonts w:ascii="Arial Narrow" w:hAnsi="Arial Narrow" w:cs="Arial"/>
                <w:sz w:val="20"/>
                <w:szCs w:val="20"/>
              </w:rPr>
            </w:pPr>
            <w:r>
              <w:rPr>
                <w:rFonts w:ascii="Arial Narrow" w:hAnsi="Arial Narrow" w:cs="Arial"/>
                <w:sz w:val="20"/>
                <w:szCs w:val="20"/>
              </w:rPr>
              <w:t>Rpts</w:t>
            </w:r>
          </w:p>
        </w:tc>
        <w:tc>
          <w:tcPr>
            <w:tcW w:w="1701" w:type="dxa"/>
            <w:tcBorders>
              <w:bottom w:val="single" w:sz="4" w:space="0" w:color="auto"/>
            </w:tcBorders>
          </w:tcPr>
          <w:p w:rsidR="00B4494F" w:rsidRDefault="00B4494F">
            <w:pPr>
              <w:keepNext/>
              <w:ind w:left="-108"/>
              <w:jc w:val="both"/>
              <w:rPr>
                <w:rFonts w:ascii="Arial Narrow" w:hAnsi="Arial Narrow" w:cs="Arial"/>
                <w:sz w:val="20"/>
                <w:szCs w:val="20"/>
              </w:rPr>
            </w:pPr>
          </w:p>
        </w:tc>
        <w:tc>
          <w:tcPr>
            <w:tcW w:w="2835" w:type="dxa"/>
            <w:gridSpan w:val="2"/>
            <w:tcBorders>
              <w:bottom w:val="single" w:sz="4" w:space="0" w:color="auto"/>
            </w:tcBorders>
          </w:tcPr>
          <w:p w:rsidR="00B4494F" w:rsidRDefault="00661BA6">
            <w:pPr>
              <w:keepNext/>
              <w:jc w:val="both"/>
              <w:rPr>
                <w:rFonts w:ascii="Arial Narrow" w:hAnsi="Arial Narrow" w:cs="Arial"/>
                <w:sz w:val="20"/>
                <w:szCs w:val="20"/>
              </w:rPr>
            </w:pPr>
            <w:r>
              <w:rPr>
                <w:rFonts w:ascii="Arial Narrow" w:hAnsi="Arial Narrow" w:cs="Arial"/>
                <w:sz w:val="20"/>
                <w:szCs w:val="20"/>
              </w:rPr>
              <w:t>Proprietary Name and Manufacturer</w:t>
            </w:r>
          </w:p>
        </w:tc>
      </w:tr>
      <w:tr w:rsidR="00B4494F">
        <w:trPr>
          <w:cantSplit/>
          <w:trHeight w:val="577"/>
        </w:trPr>
        <w:tc>
          <w:tcPr>
            <w:tcW w:w="3261" w:type="dxa"/>
            <w:gridSpan w:val="2"/>
          </w:tcPr>
          <w:p w:rsidR="00B4494F" w:rsidRDefault="00661BA6">
            <w:pPr>
              <w:keepNext/>
              <w:ind w:left="-108"/>
              <w:jc w:val="both"/>
              <w:rPr>
                <w:rFonts w:ascii="Arial Narrow" w:hAnsi="Arial Narrow" w:cs="Arial"/>
                <w:sz w:val="20"/>
                <w:szCs w:val="20"/>
              </w:rPr>
            </w:pPr>
            <w:r>
              <w:rPr>
                <w:rFonts w:ascii="Arial Narrow" w:hAnsi="Arial Narrow" w:cs="Arial"/>
                <w:smallCaps/>
                <w:sz w:val="20"/>
                <w:szCs w:val="20"/>
              </w:rPr>
              <w:t>RIFAXIMIN</w:t>
            </w:r>
          </w:p>
          <w:p w:rsidR="00B4494F" w:rsidRDefault="00661BA6">
            <w:pPr>
              <w:keepNext/>
              <w:ind w:left="-108"/>
              <w:jc w:val="both"/>
              <w:rPr>
                <w:rFonts w:ascii="Arial Narrow" w:hAnsi="Arial Narrow" w:cs="Arial"/>
                <w:sz w:val="20"/>
                <w:szCs w:val="20"/>
              </w:rPr>
            </w:pPr>
            <w:r>
              <w:rPr>
                <w:rFonts w:ascii="Arial Narrow" w:hAnsi="Arial Narrow" w:cs="Arial"/>
                <w:sz w:val="20"/>
                <w:szCs w:val="20"/>
              </w:rPr>
              <w:t>Tablet 550 mg, 56</w:t>
            </w:r>
          </w:p>
        </w:tc>
        <w:tc>
          <w:tcPr>
            <w:tcW w:w="567" w:type="dxa"/>
          </w:tcPr>
          <w:p w:rsidR="00B4494F" w:rsidRDefault="00B4494F">
            <w:pPr>
              <w:keepNext/>
              <w:ind w:left="-108"/>
              <w:jc w:val="both"/>
              <w:rPr>
                <w:rFonts w:ascii="Arial Narrow" w:hAnsi="Arial Narrow" w:cs="Arial"/>
                <w:sz w:val="20"/>
                <w:szCs w:val="20"/>
              </w:rPr>
            </w:pPr>
          </w:p>
          <w:p w:rsidR="00B4494F" w:rsidRDefault="00661BA6">
            <w:pPr>
              <w:keepNext/>
              <w:ind w:left="-108"/>
              <w:jc w:val="both"/>
              <w:rPr>
                <w:rFonts w:ascii="Arial Narrow" w:hAnsi="Arial Narrow" w:cs="Arial"/>
                <w:sz w:val="20"/>
                <w:szCs w:val="20"/>
              </w:rPr>
            </w:pPr>
            <w:r>
              <w:rPr>
                <w:rFonts w:ascii="Arial Narrow" w:hAnsi="Arial Narrow" w:cs="Arial"/>
                <w:sz w:val="20"/>
                <w:szCs w:val="20"/>
              </w:rPr>
              <w:t>1</w:t>
            </w:r>
          </w:p>
        </w:tc>
        <w:tc>
          <w:tcPr>
            <w:tcW w:w="850" w:type="dxa"/>
          </w:tcPr>
          <w:p w:rsidR="00B4494F" w:rsidRDefault="00B4494F">
            <w:pPr>
              <w:keepNext/>
              <w:ind w:left="-108"/>
              <w:jc w:val="both"/>
              <w:rPr>
                <w:rFonts w:ascii="Arial Narrow" w:hAnsi="Arial Narrow" w:cs="Arial"/>
                <w:sz w:val="20"/>
                <w:szCs w:val="20"/>
              </w:rPr>
            </w:pPr>
          </w:p>
          <w:p w:rsidR="00B4494F" w:rsidRDefault="00661BA6">
            <w:pPr>
              <w:keepNext/>
              <w:ind w:left="-108"/>
              <w:jc w:val="both"/>
              <w:rPr>
                <w:rFonts w:ascii="Arial Narrow" w:hAnsi="Arial Narrow" w:cs="Arial"/>
                <w:sz w:val="20"/>
                <w:szCs w:val="20"/>
              </w:rPr>
            </w:pPr>
            <w:r>
              <w:rPr>
                <w:rFonts w:ascii="Arial Narrow" w:hAnsi="Arial Narrow" w:cs="Arial"/>
                <w:sz w:val="20"/>
                <w:szCs w:val="20"/>
              </w:rPr>
              <w:t>5</w:t>
            </w:r>
          </w:p>
        </w:tc>
        <w:tc>
          <w:tcPr>
            <w:tcW w:w="1701" w:type="dxa"/>
          </w:tcPr>
          <w:p w:rsidR="00B4494F" w:rsidRDefault="00B4494F">
            <w:pPr>
              <w:keepNext/>
              <w:ind w:left="-108"/>
              <w:jc w:val="both"/>
              <w:rPr>
                <w:rFonts w:ascii="Arial Narrow" w:hAnsi="Arial Narrow" w:cs="Arial"/>
                <w:sz w:val="20"/>
                <w:szCs w:val="20"/>
              </w:rPr>
            </w:pPr>
          </w:p>
        </w:tc>
        <w:tc>
          <w:tcPr>
            <w:tcW w:w="1026" w:type="dxa"/>
          </w:tcPr>
          <w:p w:rsidR="00B4494F" w:rsidRDefault="00661BA6">
            <w:pPr>
              <w:keepNext/>
              <w:jc w:val="both"/>
              <w:rPr>
                <w:rFonts w:ascii="Arial Narrow" w:hAnsi="Arial Narrow" w:cs="Arial"/>
                <w:sz w:val="20"/>
                <w:szCs w:val="20"/>
              </w:rPr>
            </w:pPr>
            <w:r>
              <w:rPr>
                <w:rFonts w:ascii="Arial Narrow" w:hAnsi="Arial Narrow" w:cs="Arial"/>
                <w:sz w:val="20"/>
                <w:szCs w:val="20"/>
              </w:rPr>
              <w:t>Xifaxan</w:t>
            </w:r>
          </w:p>
        </w:tc>
        <w:tc>
          <w:tcPr>
            <w:tcW w:w="1809" w:type="dxa"/>
          </w:tcPr>
          <w:p w:rsidR="00B4494F" w:rsidRDefault="00661BA6">
            <w:pPr>
              <w:keepNext/>
              <w:jc w:val="both"/>
              <w:rPr>
                <w:rFonts w:ascii="Arial Narrow" w:hAnsi="Arial Narrow" w:cs="Arial"/>
                <w:sz w:val="20"/>
                <w:szCs w:val="20"/>
              </w:rPr>
            </w:pPr>
            <w:r>
              <w:rPr>
                <w:rFonts w:ascii="Arial Narrow" w:hAnsi="Arial Narrow" w:cs="Arial"/>
                <w:sz w:val="20"/>
                <w:szCs w:val="20"/>
              </w:rPr>
              <w:t>Norgine Pty Limited</w:t>
            </w:r>
          </w:p>
        </w:tc>
      </w:tr>
      <w:tr w:rsidR="00B4494F">
        <w:trPr>
          <w:cantSplit/>
          <w:trHeight w:val="360"/>
        </w:trPr>
        <w:tc>
          <w:tcPr>
            <w:tcW w:w="9214" w:type="dxa"/>
            <w:gridSpan w:val="7"/>
            <w:tcBorders>
              <w:bottom w:val="single" w:sz="4" w:space="0" w:color="auto"/>
            </w:tcBorders>
          </w:tcPr>
          <w:p w:rsidR="00B4494F" w:rsidRDefault="00B4494F">
            <w:pPr>
              <w:rPr>
                <w:rFonts w:ascii="Arial Narrow" w:hAnsi="Arial Narrow" w:cs="Arial"/>
                <w:sz w:val="20"/>
                <w:szCs w:val="20"/>
              </w:rPr>
            </w:pPr>
          </w:p>
          <w:p w:rsidR="00B4494F" w:rsidRDefault="00B4494F">
            <w:pPr>
              <w:rPr>
                <w:rFonts w:ascii="Arial Narrow" w:hAnsi="Arial Narrow" w:cs="Arial"/>
                <w:sz w:val="20"/>
                <w:szCs w:val="20"/>
              </w:rPr>
            </w:pPr>
          </w:p>
        </w:tc>
      </w:tr>
      <w:tr w:rsidR="00B4494F">
        <w:trPr>
          <w:cantSplit/>
          <w:trHeight w:val="360"/>
        </w:trPr>
        <w:tc>
          <w:tcPr>
            <w:tcW w:w="2835" w:type="dxa"/>
            <w:tcBorders>
              <w:top w:val="single" w:sz="4" w:space="0" w:color="auto"/>
              <w:left w:val="single" w:sz="4" w:space="0" w:color="auto"/>
              <w:bottom w:val="single" w:sz="4" w:space="0" w:color="auto"/>
              <w:right w:val="single" w:sz="4" w:space="0" w:color="auto"/>
            </w:tcBorders>
          </w:tcPr>
          <w:p w:rsidR="00B4494F" w:rsidRDefault="00661BA6">
            <w:pPr>
              <w:jc w:val="both"/>
              <w:rPr>
                <w:rFonts w:ascii="Arial Narrow" w:hAnsi="Arial Narrow" w:cs="Arial"/>
                <w:b/>
                <w:sz w:val="20"/>
                <w:szCs w:val="20"/>
              </w:rPr>
            </w:pPr>
            <w:r>
              <w:rPr>
                <w:rFonts w:ascii="Arial Narrow" w:hAnsi="Arial Narrow" w:cs="Arial"/>
                <w:b/>
                <w:sz w:val="20"/>
                <w:szCs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B4494F" w:rsidRDefault="00661BA6">
            <w:pPr>
              <w:rPr>
                <w:rFonts w:ascii="Arial Narrow" w:hAnsi="Arial Narrow" w:cs="Arial"/>
                <w:sz w:val="20"/>
                <w:szCs w:val="20"/>
              </w:rPr>
            </w:pPr>
            <w:r>
              <w:rPr>
                <w:rFonts w:ascii="Arial Narrow" w:hAnsi="Arial Narrow" w:cs="Arial"/>
                <w:sz w:val="20"/>
                <w:szCs w:val="20"/>
              </w:rPr>
              <w:t>GENERAL – General Schedule (Code GE)</w:t>
            </w:r>
          </w:p>
        </w:tc>
      </w:tr>
      <w:tr w:rsidR="00B4494F">
        <w:trPr>
          <w:cantSplit/>
          <w:trHeight w:val="360"/>
        </w:trPr>
        <w:tc>
          <w:tcPr>
            <w:tcW w:w="2835" w:type="dxa"/>
            <w:tcBorders>
              <w:top w:val="single" w:sz="4" w:space="0" w:color="auto"/>
              <w:left w:val="single" w:sz="4" w:space="0" w:color="auto"/>
              <w:bottom w:val="single" w:sz="4" w:space="0" w:color="auto"/>
              <w:right w:val="single" w:sz="4" w:space="0" w:color="auto"/>
            </w:tcBorders>
          </w:tcPr>
          <w:p w:rsidR="00B4494F" w:rsidRDefault="00661BA6">
            <w:pPr>
              <w:jc w:val="both"/>
              <w:rPr>
                <w:rFonts w:ascii="Arial Narrow" w:hAnsi="Arial Narrow" w:cs="Arial"/>
                <w:b/>
                <w:sz w:val="20"/>
                <w:szCs w:val="20"/>
              </w:rPr>
            </w:pPr>
            <w:r>
              <w:rPr>
                <w:rFonts w:ascii="Arial Narrow" w:hAnsi="Arial Narrow" w:cs="Arial"/>
                <w:b/>
                <w:sz w:val="20"/>
                <w:szCs w:val="20"/>
              </w:rPr>
              <w:t>Prescriber type:</w:t>
            </w:r>
          </w:p>
          <w:p w:rsidR="00B4494F" w:rsidRDefault="00B4494F">
            <w:pPr>
              <w:jc w:val="both"/>
              <w:rPr>
                <w:rFonts w:ascii="Arial Narrow" w:hAnsi="Arial Narrow" w:cs="Arial"/>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B4494F" w:rsidRDefault="00661BA6">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F868EF">
              <w:rPr>
                <w:rFonts w:ascii="Arial Narrow" w:hAnsi="Arial Narrow" w:cs="Arial"/>
                <w:sz w:val="20"/>
                <w:szCs w:val="20"/>
              </w:rPr>
            </w:r>
            <w:r w:rsidR="00F868E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F868EF">
              <w:rPr>
                <w:rFonts w:ascii="Arial Narrow" w:hAnsi="Arial Narrow" w:cs="Arial"/>
                <w:sz w:val="20"/>
                <w:szCs w:val="20"/>
              </w:rPr>
            </w:r>
            <w:r w:rsidR="00F868E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0"/>
                  </w:checkBox>
                </w:ffData>
              </w:fldChar>
            </w:r>
            <w:r>
              <w:rPr>
                <w:rFonts w:ascii="Arial Narrow" w:hAnsi="Arial Narrow" w:cs="Arial"/>
                <w:sz w:val="20"/>
                <w:szCs w:val="20"/>
              </w:rPr>
              <w:instrText xml:space="preserve"> FORMCHECKBOX </w:instrText>
            </w:r>
            <w:r w:rsidR="00F868EF">
              <w:rPr>
                <w:rFonts w:ascii="Arial Narrow" w:hAnsi="Arial Narrow" w:cs="Arial"/>
                <w:sz w:val="20"/>
                <w:szCs w:val="20"/>
              </w:rPr>
            </w:r>
            <w:r w:rsidR="00F868E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Nurse practitioners  </w:t>
            </w: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F868EF">
              <w:rPr>
                <w:rFonts w:ascii="Arial Narrow" w:hAnsi="Arial Narrow" w:cs="Arial"/>
                <w:sz w:val="20"/>
                <w:szCs w:val="20"/>
              </w:rPr>
            </w:r>
            <w:r w:rsidR="00F868E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Optometrists</w:t>
            </w:r>
          </w:p>
          <w:p w:rsidR="00B4494F" w:rsidRDefault="00661BA6">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F868EF">
              <w:rPr>
                <w:rFonts w:ascii="Arial Narrow" w:hAnsi="Arial Narrow" w:cs="Arial"/>
                <w:sz w:val="20"/>
                <w:szCs w:val="20"/>
              </w:rPr>
            </w:r>
            <w:r w:rsidR="00F868E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Midwives</w:t>
            </w:r>
          </w:p>
        </w:tc>
      </w:tr>
      <w:tr w:rsidR="00B4494F">
        <w:trPr>
          <w:cantSplit/>
          <w:trHeight w:val="369"/>
        </w:trPr>
        <w:tc>
          <w:tcPr>
            <w:tcW w:w="2835" w:type="dxa"/>
            <w:tcBorders>
              <w:top w:val="single" w:sz="4" w:space="0" w:color="auto"/>
              <w:left w:val="single" w:sz="4" w:space="0" w:color="auto"/>
              <w:bottom w:val="single" w:sz="4" w:space="0" w:color="auto"/>
              <w:right w:val="single" w:sz="4" w:space="0" w:color="auto"/>
            </w:tcBorders>
          </w:tcPr>
          <w:p w:rsidR="00B4494F" w:rsidRDefault="00661BA6">
            <w:pPr>
              <w:jc w:val="both"/>
              <w:rPr>
                <w:rFonts w:ascii="Arial Narrow" w:hAnsi="Arial Narrow" w:cs="Arial"/>
                <w:b/>
                <w:sz w:val="20"/>
                <w:szCs w:val="20"/>
              </w:rPr>
            </w:pPr>
            <w:r>
              <w:rPr>
                <w:rFonts w:ascii="Arial Narrow" w:hAnsi="Arial Narrow" w:cs="Arial"/>
                <w:b/>
                <w:sz w:val="20"/>
                <w:szCs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B4494F" w:rsidRDefault="00661BA6">
            <w:pPr>
              <w:rPr>
                <w:rFonts w:ascii="Arial Narrow" w:hAnsi="Arial Narrow" w:cs="Arial"/>
                <w:sz w:val="20"/>
                <w:szCs w:val="20"/>
              </w:rPr>
            </w:pPr>
            <w:r>
              <w:rPr>
                <w:rFonts w:ascii="Arial Narrow" w:hAnsi="Arial Narrow" w:cs="Arial"/>
                <w:sz w:val="20"/>
                <w:szCs w:val="20"/>
              </w:rPr>
              <w:t xml:space="preserve">Prevention of hepatic encephalopathy </w:t>
            </w:r>
          </w:p>
        </w:tc>
      </w:tr>
      <w:tr w:rsidR="00B4494F">
        <w:trPr>
          <w:cantSplit/>
          <w:trHeight w:val="360"/>
        </w:trPr>
        <w:tc>
          <w:tcPr>
            <w:tcW w:w="2835" w:type="dxa"/>
            <w:tcBorders>
              <w:top w:val="single" w:sz="4" w:space="0" w:color="auto"/>
              <w:left w:val="single" w:sz="4" w:space="0" w:color="auto"/>
              <w:bottom w:val="single" w:sz="4" w:space="0" w:color="auto"/>
              <w:right w:val="single" w:sz="4" w:space="0" w:color="auto"/>
            </w:tcBorders>
          </w:tcPr>
          <w:p w:rsidR="00B4494F" w:rsidRDefault="00661BA6">
            <w:pPr>
              <w:jc w:val="both"/>
              <w:rPr>
                <w:rFonts w:ascii="Arial Narrow" w:hAnsi="Arial Narrow" w:cs="Arial"/>
                <w:b/>
                <w:sz w:val="20"/>
                <w:szCs w:val="20"/>
              </w:rPr>
            </w:pPr>
            <w:r>
              <w:rPr>
                <w:rFonts w:ascii="Arial Narrow" w:hAnsi="Arial Narrow" w:cs="Arial"/>
                <w:b/>
                <w:sz w:val="20"/>
                <w:szCs w:val="20"/>
              </w:rPr>
              <w:t>Restriction Level / Method:</w:t>
            </w:r>
          </w:p>
          <w:p w:rsidR="00B4494F" w:rsidRDefault="00B4494F">
            <w:pPr>
              <w:rPr>
                <w:rFonts w:ascii="Arial Narrow" w:hAnsi="Arial Narrow" w:cs="Arial"/>
                <w:i/>
                <w:sz w:val="20"/>
                <w:szCs w:val="20"/>
              </w:rPr>
            </w:pPr>
          </w:p>
          <w:p w:rsidR="00B4494F" w:rsidRDefault="00B4494F">
            <w:pPr>
              <w:rPr>
                <w:rFonts w:ascii="Arial Narrow" w:hAnsi="Arial Narrow" w:cs="Arial"/>
                <w:i/>
                <w:sz w:val="20"/>
                <w:szCs w:val="20"/>
              </w:rPr>
            </w:pPr>
          </w:p>
          <w:p w:rsidR="00B4494F" w:rsidRDefault="00B4494F">
            <w:pPr>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B4494F" w:rsidRDefault="00661BA6">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F868EF">
              <w:rPr>
                <w:rFonts w:ascii="Arial Narrow" w:hAnsi="Arial Narrow" w:cs="Arial"/>
                <w:sz w:val="20"/>
                <w:szCs w:val="20"/>
              </w:rPr>
            </w:r>
            <w:r w:rsidR="00F868E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Restricted benefit</w:t>
            </w:r>
          </w:p>
          <w:p w:rsidR="00B4494F" w:rsidRDefault="00661BA6">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F868EF">
              <w:rPr>
                <w:rFonts w:ascii="Arial Narrow" w:hAnsi="Arial Narrow" w:cs="Arial"/>
                <w:sz w:val="20"/>
                <w:szCs w:val="20"/>
              </w:rPr>
            </w:r>
            <w:r w:rsidR="00F868E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Authority Required – In Writing</w:t>
            </w:r>
          </w:p>
          <w:p w:rsidR="00B4494F" w:rsidRDefault="00661BA6">
            <w:pPr>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0"/>
                  </w:checkBox>
                </w:ffData>
              </w:fldChar>
            </w:r>
            <w:r>
              <w:rPr>
                <w:rFonts w:ascii="Arial Narrow" w:hAnsi="Arial Narrow" w:cs="Arial"/>
                <w:sz w:val="20"/>
                <w:szCs w:val="20"/>
              </w:rPr>
              <w:instrText xml:space="preserve"> FORMCHECKBOX </w:instrText>
            </w:r>
            <w:r w:rsidR="00F868EF">
              <w:rPr>
                <w:rFonts w:ascii="Arial Narrow" w:hAnsi="Arial Narrow" w:cs="Arial"/>
                <w:sz w:val="20"/>
                <w:szCs w:val="20"/>
              </w:rPr>
            </w:r>
            <w:r w:rsidR="00F868E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Authority Required – Telephone/Electronic/Emergency</w:t>
            </w:r>
          </w:p>
          <w:p w:rsidR="00B4494F" w:rsidRDefault="00661BA6">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0" w:name="Check5"/>
            <w:r>
              <w:rPr>
                <w:rFonts w:ascii="Arial Narrow" w:hAnsi="Arial Narrow" w:cs="Arial"/>
                <w:sz w:val="20"/>
                <w:szCs w:val="20"/>
              </w:rPr>
              <w:instrText xml:space="preserve"> FORMCHECKBOX </w:instrText>
            </w:r>
            <w:r w:rsidR="00F868EF">
              <w:rPr>
                <w:rFonts w:ascii="Arial Narrow" w:hAnsi="Arial Narrow" w:cs="Arial"/>
                <w:sz w:val="20"/>
                <w:szCs w:val="20"/>
              </w:rPr>
            </w:r>
            <w:r w:rsidR="00F868EF">
              <w:rPr>
                <w:rFonts w:ascii="Arial Narrow" w:hAnsi="Arial Narrow" w:cs="Arial"/>
                <w:sz w:val="20"/>
                <w:szCs w:val="20"/>
              </w:rPr>
              <w:fldChar w:fldCharType="separate"/>
            </w:r>
            <w:r>
              <w:rPr>
                <w:rFonts w:ascii="Arial Narrow" w:hAnsi="Arial Narrow" w:cs="Arial"/>
                <w:sz w:val="20"/>
                <w:szCs w:val="20"/>
              </w:rPr>
              <w:fldChar w:fldCharType="end"/>
            </w:r>
            <w:bookmarkEnd w:id="0"/>
            <w:r>
              <w:rPr>
                <w:rFonts w:ascii="Arial Narrow" w:hAnsi="Arial Narrow" w:cs="Arial"/>
                <w:sz w:val="20"/>
                <w:szCs w:val="20"/>
              </w:rPr>
              <w:t>Streamlined</w:t>
            </w:r>
          </w:p>
        </w:tc>
      </w:tr>
      <w:tr w:rsidR="00B4494F">
        <w:trPr>
          <w:cantSplit/>
          <w:trHeight w:val="360"/>
        </w:trPr>
        <w:tc>
          <w:tcPr>
            <w:tcW w:w="2835" w:type="dxa"/>
            <w:tcBorders>
              <w:top w:val="single" w:sz="4" w:space="0" w:color="auto"/>
              <w:left w:val="single" w:sz="4" w:space="0" w:color="auto"/>
              <w:bottom w:val="single" w:sz="4" w:space="0" w:color="auto"/>
              <w:right w:val="single" w:sz="4" w:space="0" w:color="auto"/>
            </w:tcBorders>
          </w:tcPr>
          <w:p w:rsidR="00B4494F" w:rsidRDefault="00661BA6">
            <w:pPr>
              <w:rPr>
                <w:rFonts w:ascii="Arial Narrow" w:hAnsi="Arial Narrow" w:cs="Arial"/>
                <w:b/>
                <w:sz w:val="20"/>
                <w:szCs w:val="20"/>
              </w:rPr>
            </w:pPr>
            <w:r>
              <w:rPr>
                <w:rFonts w:ascii="Arial Narrow" w:hAnsi="Arial Narrow" w:cs="Arial"/>
                <w:b/>
                <w:sz w:val="20"/>
                <w:szCs w:val="20"/>
              </w:rPr>
              <w:t>Treatment criteria:</w:t>
            </w:r>
          </w:p>
        </w:tc>
        <w:tc>
          <w:tcPr>
            <w:tcW w:w="6379" w:type="dxa"/>
            <w:gridSpan w:val="6"/>
            <w:tcBorders>
              <w:top w:val="single" w:sz="4" w:space="0" w:color="auto"/>
              <w:left w:val="single" w:sz="4" w:space="0" w:color="auto"/>
              <w:bottom w:val="single" w:sz="4" w:space="0" w:color="auto"/>
              <w:right w:val="single" w:sz="4" w:space="0" w:color="auto"/>
            </w:tcBorders>
          </w:tcPr>
          <w:p w:rsidR="00B4494F" w:rsidRDefault="00661BA6">
            <w:pPr>
              <w:rPr>
                <w:rFonts w:ascii="Arial Narrow" w:hAnsi="Arial Narrow" w:cs="Arial"/>
                <w:sz w:val="20"/>
                <w:szCs w:val="20"/>
              </w:rPr>
            </w:pPr>
            <w:r>
              <w:rPr>
                <w:rFonts w:ascii="Arial Narrow" w:hAnsi="Arial Narrow" w:cs="Arial"/>
                <w:sz w:val="20"/>
                <w:szCs w:val="20"/>
              </w:rPr>
              <w:t xml:space="preserve">Must be treated by a gastroenterologist or hepatologist or in consultation with a gastroenterologist or hepatologist. </w:t>
            </w:r>
          </w:p>
        </w:tc>
      </w:tr>
      <w:tr w:rsidR="00B4494F">
        <w:trPr>
          <w:cantSplit/>
          <w:trHeight w:val="657"/>
        </w:trPr>
        <w:tc>
          <w:tcPr>
            <w:tcW w:w="2835" w:type="dxa"/>
            <w:tcBorders>
              <w:top w:val="single" w:sz="4" w:space="0" w:color="auto"/>
              <w:left w:val="single" w:sz="4" w:space="0" w:color="auto"/>
              <w:bottom w:val="single" w:sz="4" w:space="0" w:color="auto"/>
              <w:right w:val="single" w:sz="4" w:space="0" w:color="auto"/>
            </w:tcBorders>
          </w:tcPr>
          <w:p w:rsidR="00B4494F" w:rsidRDefault="00661BA6">
            <w:pPr>
              <w:jc w:val="both"/>
              <w:rPr>
                <w:rFonts w:ascii="Arial Narrow" w:hAnsi="Arial Narrow" w:cs="Arial"/>
                <w:b/>
                <w:sz w:val="20"/>
                <w:szCs w:val="20"/>
              </w:rPr>
            </w:pPr>
            <w:r>
              <w:rPr>
                <w:rFonts w:ascii="Arial Narrow" w:hAnsi="Arial Narrow" w:cs="Arial"/>
                <w:b/>
                <w:sz w:val="20"/>
                <w:szCs w:val="20"/>
              </w:rPr>
              <w:t>Clinical criteria:</w:t>
            </w:r>
          </w:p>
          <w:p w:rsidR="00B4494F" w:rsidRDefault="00B4494F">
            <w:pPr>
              <w:jc w:val="both"/>
              <w:rPr>
                <w:rFonts w:ascii="Arial Narrow" w:hAnsi="Arial Narrow" w:cs="Arial"/>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B4494F" w:rsidRDefault="00661BA6">
            <w:pPr>
              <w:rPr>
                <w:rFonts w:ascii="Arial Narrow" w:hAnsi="Arial Narrow" w:cs="Arial"/>
                <w:sz w:val="20"/>
                <w:szCs w:val="20"/>
              </w:rPr>
            </w:pPr>
            <w:r>
              <w:rPr>
                <w:rFonts w:ascii="Arial Narrow" w:hAnsi="Arial Narrow" w:cs="Arial"/>
                <w:sz w:val="20"/>
                <w:szCs w:val="20"/>
              </w:rPr>
              <w:t>The treatment must be in combination with lactulose, if lactulose is tolerated;</w:t>
            </w:r>
          </w:p>
          <w:p w:rsidR="00B4494F" w:rsidRDefault="00661BA6">
            <w:pPr>
              <w:rPr>
                <w:rFonts w:ascii="Arial Narrow" w:hAnsi="Arial Narrow" w:cs="Arial"/>
                <w:sz w:val="20"/>
                <w:szCs w:val="20"/>
              </w:rPr>
            </w:pPr>
            <w:r>
              <w:rPr>
                <w:rFonts w:ascii="Arial Narrow" w:hAnsi="Arial Narrow" w:cs="Arial"/>
                <w:sz w:val="20"/>
                <w:szCs w:val="20"/>
              </w:rPr>
              <w:t>AND</w:t>
            </w:r>
          </w:p>
          <w:p w:rsidR="00B4494F" w:rsidRDefault="00661BA6">
            <w:pPr>
              <w:rPr>
                <w:rFonts w:ascii="Arial Narrow" w:hAnsi="Arial Narrow" w:cs="Arial"/>
                <w:sz w:val="20"/>
                <w:szCs w:val="20"/>
              </w:rPr>
            </w:pPr>
            <w:r>
              <w:rPr>
                <w:rFonts w:ascii="Arial Narrow" w:hAnsi="Arial Narrow" w:cs="Arial"/>
                <w:sz w:val="20"/>
                <w:szCs w:val="20"/>
              </w:rPr>
              <w:t xml:space="preserve">Patient must have had prior episodes of hepatic encephalopathy. </w:t>
            </w:r>
          </w:p>
        </w:tc>
      </w:tr>
      <w:tr w:rsidR="00B4494F">
        <w:trPr>
          <w:cantSplit/>
          <w:trHeight w:val="657"/>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B4494F" w:rsidRDefault="00661BA6">
            <w:pPr>
              <w:jc w:val="both"/>
              <w:rPr>
                <w:rFonts w:ascii="Arial Narrow" w:hAnsi="Arial Narrow" w:cs="Arial"/>
                <w:b/>
                <w:sz w:val="20"/>
                <w:szCs w:val="20"/>
              </w:rPr>
            </w:pPr>
            <w:r>
              <w:rPr>
                <w:rFonts w:ascii="Arial Narrow" w:hAnsi="Arial Narrow" w:cs="Arial"/>
                <w:b/>
                <w:sz w:val="20"/>
                <w:szCs w:val="20"/>
              </w:rPr>
              <w:t>Administrative advice:</w:t>
            </w:r>
          </w:p>
        </w:tc>
        <w:tc>
          <w:tcPr>
            <w:tcW w:w="637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B4494F" w:rsidRDefault="00661BA6">
            <w:pPr>
              <w:rPr>
                <w:rFonts w:ascii="Arial Narrow" w:hAnsi="Arial Narrow" w:cs="Arial"/>
                <w:b/>
                <w:sz w:val="20"/>
                <w:szCs w:val="20"/>
              </w:rPr>
            </w:pPr>
            <w:r>
              <w:rPr>
                <w:rFonts w:ascii="Arial Narrow" w:hAnsi="Arial Narrow" w:cs="Arial"/>
                <w:b/>
                <w:sz w:val="20"/>
                <w:szCs w:val="20"/>
              </w:rPr>
              <w:t>Note:</w:t>
            </w:r>
          </w:p>
          <w:p w:rsidR="00B4494F" w:rsidRDefault="00661BA6">
            <w:pPr>
              <w:pStyle w:val="NormalWeb"/>
              <w:shd w:val="clear" w:color="auto" w:fill="FFFFFF"/>
              <w:spacing w:before="0" w:beforeAutospacing="0" w:after="0" w:afterAutospacing="0"/>
              <w:textAlignment w:val="baseline"/>
              <w:rPr>
                <w:rFonts w:ascii="Arial Narrow" w:hAnsi="Arial Narrow" w:cs="Arial"/>
                <w:sz w:val="20"/>
                <w:szCs w:val="20"/>
              </w:rPr>
            </w:pPr>
            <w:r>
              <w:rPr>
                <w:rFonts w:ascii="Arial Narrow" w:hAnsi="Arial Narrow" w:cs="Arial"/>
                <w:sz w:val="20"/>
                <w:szCs w:val="20"/>
              </w:rPr>
              <w:t>No increase in the maximum quantity or number of units may be authorised.</w:t>
            </w:r>
          </w:p>
          <w:p w:rsidR="00B4494F" w:rsidRDefault="00661BA6">
            <w:pPr>
              <w:rPr>
                <w:rFonts w:ascii="Arial Narrow" w:hAnsi="Arial Narrow" w:cs="Arial"/>
                <w:b/>
                <w:sz w:val="20"/>
                <w:szCs w:val="20"/>
              </w:rPr>
            </w:pPr>
            <w:r>
              <w:rPr>
                <w:rFonts w:ascii="Arial Narrow" w:hAnsi="Arial Narrow" w:cs="Arial"/>
                <w:b/>
                <w:sz w:val="20"/>
                <w:szCs w:val="20"/>
              </w:rPr>
              <w:t>Note:</w:t>
            </w:r>
          </w:p>
          <w:p w:rsidR="00B4494F" w:rsidRDefault="00661BA6">
            <w:pPr>
              <w:rPr>
                <w:rFonts w:ascii="Arial Narrow" w:hAnsi="Arial Narrow" w:cs="Arial"/>
                <w:sz w:val="20"/>
                <w:szCs w:val="20"/>
              </w:rPr>
            </w:pPr>
            <w:r>
              <w:rPr>
                <w:rFonts w:ascii="Arial Narrow" w:hAnsi="Arial Narrow" w:cs="Arial"/>
                <w:sz w:val="20"/>
                <w:szCs w:val="20"/>
              </w:rPr>
              <w:t>No increase in the maximum number of repeats may be authorised.</w:t>
            </w:r>
          </w:p>
        </w:tc>
      </w:tr>
    </w:tbl>
    <w:p w:rsidR="00B4494F" w:rsidRDefault="00661BA6">
      <w:pPr>
        <w:pStyle w:val="3Bodytext"/>
        <w:numPr>
          <w:ilvl w:val="0"/>
          <w:numId w:val="0"/>
        </w:numPr>
        <w:spacing w:before="120"/>
        <w:ind w:left="720"/>
        <w:rPr>
          <w:i/>
        </w:rPr>
      </w:pPr>
      <w:r>
        <w:rPr>
          <w:i/>
        </w:rPr>
        <w:t>For more detail on PBAC’s view, see section 6 PBAC outcome.</w:t>
      </w:r>
    </w:p>
    <w:p w:rsidR="00B4494F" w:rsidRDefault="00661BA6">
      <w:pPr>
        <w:pStyle w:val="2Sections"/>
        <w:spacing w:before="120"/>
      </w:pPr>
      <w:r>
        <w:t>Background</w:t>
      </w:r>
    </w:p>
    <w:p w:rsidR="00B4494F" w:rsidRDefault="00661BA6">
      <w:pPr>
        <w:pStyle w:val="Heading2"/>
        <w:spacing w:before="120" w:after="120"/>
        <w:jc w:val="both"/>
        <w:rPr>
          <w:rFonts w:ascii="Calibri" w:hAnsi="Calibri" w:cs="Arial"/>
          <w:snapToGrid w:val="0"/>
          <w:sz w:val="28"/>
          <w:szCs w:val="22"/>
          <w:lang w:eastAsia="en-US"/>
        </w:rPr>
      </w:pPr>
      <w:bookmarkStart w:id="1" w:name="_Toc493059779"/>
      <w:r>
        <w:rPr>
          <w:rFonts w:ascii="Calibri" w:hAnsi="Calibri" w:cs="Arial"/>
          <w:snapToGrid w:val="0"/>
          <w:sz w:val="28"/>
          <w:szCs w:val="22"/>
          <w:lang w:eastAsia="en-US"/>
        </w:rPr>
        <w:t>Registration status</w:t>
      </w:r>
      <w:bookmarkEnd w:id="1"/>
    </w:p>
    <w:p w:rsidR="00B4494F" w:rsidRDefault="00661BA6">
      <w:pPr>
        <w:pStyle w:val="3Bodytext"/>
        <w:spacing w:before="120"/>
      </w:pPr>
      <w:r>
        <w:t>Rifaximin 550 mg tablet was TGA registered on 17 May 2012 for prevention of the recurrence of hepatic encephalopathy (HE) where other treatments have failed or are contraindicated (p5, TGA approved Xifaxan 550 mg Product Information (PI)).</w:t>
      </w:r>
    </w:p>
    <w:p w:rsidR="00B4494F" w:rsidRDefault="00661BA6">
      <w:pPr>
        <w:pStyle w:val="3Bodytext"/>
        <w:spacing w:before="120"/>
      </w:pPr>
      <w:r>
        <w:lastRenderedPageBreak/>
        <w:t xml:space="preserve">Subsequently, rifaximin 200 mg tablet was TGA registered on 26 May 2015 for treatment of patients aged 12 years or more with travellers’ diarrhoea caused by non-invasive strains of </w:t>
      </w:r>
      <w:r>
        <w:rPr>
          <w:i/>
        </w:rPr>
        <w:t>Escherichia coli</w:t>
      </w:r>
      <w:r>
        <w:t xml:space="preserve"> (p5, TGA approved Xifaxan 200 mg PI). </w:t>
      </w:r>
      <w:r>
        <w:rPr>
          <w:rFonts w:cstheme="minorHAnsi"/>
          <w:szCs w:val="24"/>
        </w:rPr>
        <w:t xml:space="preserve">Rifaximin 200 mg is not currently listed on the PBS. The </w:t>
      </w:r>
      <w:r w:rsidR="00004C5C">
        <w:t xml:space="preserve">submission </w:t>
      </w:r>
      <w:r>
        <w:t>stated that rifaximin 200 mg tablets is available on the private market and is priced similarly to the PBS general co-payment.</w:t>
      </w:r>
    </w:p>
    <w:p w:rsidR="00B4494F" w:rsidRDefault="00661BA6">
      <w:pPr>
        <w:pStyle w:val="3Bodytext"/>
        <w:numPr>
          <w:ilvl w:val="0"/>
          <w:numId w:val="0"/>
        </w:numPr>
        <w:spacing w:before="120"/>
        <w:ind w:left="720"/>
        <w:rPr>
          <w:i/>
        </w:rPr>
      </w:pPr>
      <w:r>
        <w:rPr>
          <w:i/>
        </w:rPr>
        <w:t xml:space="preserve">For more detail on PBAC’s view, see section 6 PBAC outcome. </w:t>
      </w:r>
    </w:p>
    <w:p w:rsidR="00B4494F" w:rsidRDefault="00661BA6">
      <w:pPr>
        <w:pStyle w:val="Heading2"/>
        <w:spacing w:before="120" w:after="120"/>
        <w:jc w:val="both"/>
        <w:rPr>
          <w:rFonts w:ascii="Calibri" w:hAnsi="Calibri" w:cs="Arial"/>
          <w:snapToGrid w:val="0"/>
          <w:sz w:val="28"/>
          <w:szCs w:val="22"/>
          <w:lang w:eastAsia="en-US"/>
        </w:rPr>
      </w:pPr>
      <w:r>
        <w:rPr>
          <w:rFonts w:ascii="Calibri" w:hAnsi="Calibri" w:cs="Arial"/>
          <w:snapToGrid w:val="0"/>
          <w:sz w:val="28"/>
          <w:szCs w:val="22"/>
          <w:lang w:eastAsia="en-US"/>
        </w:rPr>
        <w:t>Previous PBAC considerations</w:t>
      </w:r>
    </w:p>
    <w:p w:rsidR="00B4494F" w:rsidRDefault="00661BA6">
      <w:pPr>
        <w:pStyle w:val="3Bodytext"/>
        <w:spacing w:before="120"/>
      </w:pPr>
      <w:r>
        <w:t>In November 2011 and July 2012, the PBAC rejected major (re)submissions for rifaximin for the prevention of HE based on uncertain and unacceptable cost effectiveness (Rifaximin Public Summary Documents (PSD), November 2011 and July 2012).</w:t>
      </w:r>
    </w:p>
    <w:p w:rsidR="00B4494F" w:rsidRDefault="00661BA6">
      <w:pPr>
        <w:pStyle w:val="3Bodytext"/>
        <w:spacing w:before="120"/>
      </w:pPr>
      <w:r>
        <w:t>The PBAC recommended rifaximin in April 2013 for the prevention of HE, subsequent to its November 2012 deferral of a minor resubmission. In November 2012, the PBAC considered that the likely number of patients treated with rifaximin was uncertain, noting the potential for substantial leakage beyond the requested PBS population into treatment of irritable bowel syndrome (IBS) and travellers’ diarrhoea. The PBAC therefore recommended that a Risk Sharing Arrangement (RSA) would be required to be negotiated in order to manage Government expenditure should PBS listing of rifaximin be achieved. The PBAC also noted expert advice expressing concerns about the potential for the development of antimicrobial resistance (AMR). (rifaximin PSD, April 2013)</w:t>
      </w:r>
      <w:r>
        <w:rPr>
          <w:rStyle w:val="FootnoteReference"/>
        </w:rPr>
        <w:footnoteReference w:id="1"/>
      </w:r>
    </w:p>
    <w:p w:rsidR="00B4494F" w:rsidRDefault="00661BA6">
      <w:pPr>
        <w:pStyle w:val="3Bodytext"/>
        <w:spacing w:before="120"/>
      </w:pPr>
      <w:r>
        <w:t>In November 2016, the PBAC noted a DUSC report on predicted versus actual use of rifaximin for HE. The DUSC report stated that in the period from 1 December 2013 to 31 March 2016, 2,892 people were supplied at least one PBS/RPBS prescription for rifaximin. The number of patients supplied rifaximin was higher than predicted in both the first and second years of listing. The number of prescriptions per patient per year was lower than estimated. The report noted that this may indicate poor adherence or intermittent use. (PBAC outcomes, Consideration of the DUSC report, November 2016)</w:t>
      </w:r>
      <w:r>
        <w:rPr>
          <w:rStyle w:val="FootnoteReference"/>
        </w:rPr>
        <w:footnoteReference w:id="2"/>
      </w:r>
    </w:p>
    <w:p w:rsidR="00B4494F" w:rsidRDefault="00661BA6">
      <w:pPr>
        <w:pStyle w:val="3Bodytext"/>
        <w:spacing w:before="120"/>
      </w:pPr>
      <w:r>
        <w:t>The PBAC considered that the following additional extracts from the DUSC report (Rifaximin: 24 month predicted versus actual analysis, DUSC Public Release Document (PRD), September 2016)</w:t>
      </w:r>
      <w:r>
        <w:rPr>
          <w:rStyle w:val="FootnoteReference"/>
        </w:rPr>
        <w:footnoteReference w:id="3"/>
      </w:r>
      <w:r>
        <w:t xml:space="preserve"> were relevant to the current minor submission:</w:t>
      </w:r>
    </w:p>
    <w:p w:rsidR="00B4494F" w:rsidRDefault="00661BA6">
      <w:pPr>
        <w:pStyle w:val="3Bodytext"/>
        <w:numPr>
          <w:ilvl w:val="2"/>
          <w:numId w:val="3"/>
        </w:numPr>
        <w:spacing w:before="120"/>
        <w:ind w:left="993" w:hanging="284"/>
        <w:rPr>
          <w:rFonts w:eastAsia="Times New Roman" w:cs="Arial"/>
          <w:b/>
          <w:snapToGrid w:val="0"/>
          <w:szCs w:val="24"/>
        </w:rPr>
      </w:pPr>
      <w:r>
        <w:rPr>
          <w:szCs w:val="24"/>
        </w:rPr>
        <w:t>“DUSC also discussed whether off-label use or use outside the restriction could be contributing to higher patient numbers than estimated, but considered the Authority Required restriction should help mitigate against this.”</w:t>
      </w:r>
      <w:r>
        <w:rPr>
          <w:rFonts w:eastAsia="Times New Roman" w:cs="Arial"/>
          <w:b/>
          <w:snapToGrid w:val="0"/>
          <w:szCs w:val="24"/>
        </w:rPr>
        <w:t xml:space="preserve"> </w:t>
      </w:r>
    </w:p>
    <w:p w:rsidR="00B4494F" w:rsidRDefault="00661BA6">
      <w:pPr>
        <w:pStyle w:val="3Bodytext"/>
        <w:numPr>
          <w:ilvl w:val="2"/>
          <w:numId w:val="3"/>
        </w:numPr>
        <w:spacing w:before="120"/>
        <w:ind w:left="993" w:hanging="284"/>
        <w:rPr>
          <w:szCs w:val="24"/>
        </w:rPr>
      </w:pPr>
      <w:r>
        <w:rPr>
          <w:szCs w:val="24"/>
        </w:rPr>
        <w:lastRenderedPageBreak/>
        <w:t xml:space="preserve">“DUSC recalled from its consideration of the rifaximin submission (October 2011 meeting) that it had thought people would have fewer prescriptions per year than estimated by the submission. There was considerable uncertainty as to whether rifaximin would be prescribed intermittently or continuously and for how long. Despite being indicated for prevention of HE, DUSC recalled that it had considered it would be conceivable that patients may only take rifaximin when experiencing exacerbations of HE. DUSC added that other reasons for the lower than predicted prescription numbers might be poor treatment persistence or adherence. DUSC also noted that there might be supervening clinical events that remove the need for rifaximin, such as receiving a liver transplant or death.” </w:t>
      </w:r>
    </w:p>
    <w:p w:rsidR="00B4494F" w:rsidRDefault="00661BA6">
      <w:pPr>
        <w:pStyle w:val="3Bodytext"/>
        <w:numPr>
          <w:ilvl w:val="2"/>
          <w:numId w:val="3"/>
        </w:numPr>
        <w:spacing w:before="120"/>
        <w:ind w:left="993" w:hanging="284"/>
        <w:rPr>
          <w:szCs w:val="24"/>
        </w:rPr>
      </w:pPr>
      <w:r>
        <w:rPr>
          <w:szCs w:val="24"/>
        </w:rPr>
        <w:t xml:space="preserve">“The sponsor stated that a contributing factor towards a drop in follow-up/repeat prescribing might be the paperwork that a prescriber must complete in order to prescribe rifaximin on the PBS. The sponsor requested that rifaximin be considered for a STREAMLINED authority listing. DUSC noted that rifaximin is a phone authority therefore a prescriber would not be required to complete large amounts of paperwork to meet PBS criteria. Further, at the August 2015 Post-Market Review of Authority Required PBS listings meeting, the PBAC recommended that rifaximin remain Authority Required.” </w:t>
      </w:r>
    </w:p>
    <w:p w:rsidR="00B4494F" w:rsidRDefault="00661BA6">
      <w:pPr>
        <w:pStyle w:val="3Bodytext"/>
        <w:numPr>
          <w:ilvl w:val="2"/>
          <w:numId w:val="3"/>
        </w:numPr>
        <w:spacing w:before="120"/>
        <w:ind w:left="993" w:hanging="284"/>
        <w:rPr>
          <w:szCs w:val="24"/>
        </w:rPr>
      </w:pPr>
      <w:r>
        <w:t xml:space="preserve">“…the risk of resistance from rifaximin use is real but difficult to quantify. As antimicrobial resistance is complex and multifactorial, DUSC considered it is difficult to determine the contribution of individual factors, such as rifaximin prescribing. Additionally, antimicrobial resistance takes a number of years to become apparent and rifaximin has only been PBS-listed for a short period of time.” </w:t>
      </w:r>
    </w:p>
    <w:p w:rsidR="00B4494F" w:rsidRDefault="00661BA6">
      <w:pPr>
        <w:pStyle w:val="3Bodytext"/>
        <w:numPr>
          <w:ilvl w:val="0"/>
          <w:numId w:val="0"/>
        </w:numPr>
        <w:spacing w:before="120"/>
        <w:ind w:left="720"/>
        <w:rPr>
          <w:i/>
          <w:szCs w:val="24"/>
        </w:rPr>
      </w:pPr>
      <w:r>
        <w:rPr>
          <w:i/>
        </w:rPr>
        <w:t>For more detail on PBAC’ view, see section 6 PBAC outcome.</w:t>
      </w:r>
    </w:p>
    <w:p w:rsidR="00B4494F" w:rsidRDefault="00661BA6">
      <w:pPr>
        <w:pStyle w:val="2Sections"/>
        <w:spacing w:before="120"/>
      </w:pPr>
      <w:r>
        <w:t>Population and disease</w:t>
      </w:r>
    </w:p>
    <w:p w:rsidR="00B4494F" w:rsidRDefault="00661BA6">
      <w:pPr>
        <w:pStyle w:val="3Bodytext"/>
        <w:spacing w:before="120"/>
      </w:pPr>
      <w:r>
        <w:t>Hepatic encephalopathy (HE) is a reversible neuropsychiatric disorder that arises due to the impaired liver function resulting in high levels of circulating toxins, particularly ammonia, affecting the brain.</w:t>
      </w:r>
    </w:p>
    <w:p w:rsidR="00B4494F" w:rsidRDefault="00661BA6">
      <w:pPr>
        <w:pStyle w:val="3Bodytext"/>
        <w:spacing w:before="120"/>
      </w:pPr>
      <w:r>
        <w:t>Current management strategies include the identification of precipitating factors and the initiation of pharmacologic therapies aimed at modulating intestinal flora and reducing levels of ammonia and other gut-derived toxins. Lactulose and rifaximin are two commonly used treatments for the management of HE.</w:t>
      </w:r>
      <w:r>
        <w:rPr>
          <w:rStyle w:val="FootnoteReference"/>
        </w:rPr>
        <w:footnoteReference w:id="4"/>
      </w:r>
    </w:p>
    <w:p w:rsidR="00B4494F" w:rsidRDefault="00661BA6">
      <w:pPr>
        <w:pStyle w:val="3Bodytext"/>
        <w:numPr>
          <w:ilvl w:val="0"/>
          <w:numId w:val="0"/>
        </w:numPr>
        <w:spacing w:before="120"/>
        <w:ind w:left="720"/>
        <w:rPr>
          <w:i/>
        </w:rPr>
      </w:pPr>
      <w:r>
        <w:rPr>
          <w:i/>
        </w:rPr>
        <w:t>For more detail on PBAC’ view, see section 6 PBAC outcome.</w:t>
      </w:r>
    </w:p>
    <w:p w:rsidR="00B4494F" w:rsidRDefault="00661BA6">
      <w:pPr>
        <w:pStyle w:val="Heading1"/>
        <w:keepNext/>
        <w:keepLines/>
        <w:widowControl/>
        <w:numPr>
          <w:ilvl w:val="0"/>
          <w:numId w:val="1"/>
        </w:numPr>
        <w:spacing w:before="120" w:after="120"/>
        <w:ind w:left="709" w:hanging="709"/>
        <w:contextualSpacing w:val="0"/>
        <w:jc w:val="left"/>
        <w:rPr>
          <w:rFonts w:asciiTheme="minorHAnsi" w:hAnsiTheme="minorHAnsi"/>
          <w:sz w:val="32"/>
          <w:szCs w:val="32"/>
        </w:rPr>
      </w:pPr>
      <w:r>
        <w:rPr>
          <w:rFonts w:asciiTheme="minorHAnsi" w:hAnsiTheme="minorHAnsi"/>
          <w:sz w:val="32"/>
          <w:szCs w:val="32"/>
        </w:rPr>
        <w:lastRenderedPageBreak/>
        <w:t>Consideration of the evidence</w:t>
      </w:r>
    </w:p>
    <w:p w:rsidR="00B4494F" w:rsidRDefault="00661BA6">
      <w:pPr>
        <w:pStyle w:val="Heading2"/>
        <w:keepLines/>
        <w:spacing w:before="12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 xml:space="preserve">Sponsor hearing </w:t>
      </w:r>
    </w:p>
    <w:p w:rsidR="00B4494F" w:rsidRDefault="00661BA6">
      <w:pPr>
        <w:numPr>
          <w:ilvl w:val="1"/>
          <w:numId w:val="1"/>
        </w:numPr>
        <w:spacing w:before="120" w:after="120"/>
        <w:jc w:val="both"/>
        <w:rPr>
          <w:rFonts w:asciiTheme="minorHAnsi" w:hAnsiTheme="minorHAnsi" w:cs="Arial"/>
          <w:bCs/>
          <w:snapToGrid w:val="0"/>
        </w:rPr>
      </w:pPr>
      <w:r>
        <w:rPr>
          <w:rFonts w:asciiTheme="minorHAnsi" w:hAnsiTheme="minorHAnsi" w:cs="Arial"/>
          <w:bCs/>
          <w:snapToGrid w:val="0"/>
        </w:rPr>
        <w:t>There was no hearing for this item as it was a minor submission.</w:t>
      </w:r>
    </w:p>
    <w:p w:rsidR="00B4494F" w:rsidRDefault="00661BA6">
      <w:pPr>
        <w:pStyle w:val="Heading2"/>
        <w:keepLines/>
        <w:spacing w:before="12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 xml:space="preserve">Consumer comments </w:t>
      </w:r>
    </w:p>
    <w:p w:rsidR="00B4494F" w:rsidRDefault="00661BA6">
      <w:pPr>
        <w:numPr>
          <w:ilvl w:val="1"/>
          <w:numId w:val="1"/>
        </w:numPr>
        <w:spacing w:before="120" w:after="120"/>
        <w:jc w:val="both"/>
        <w:rPr>
          <w:rFonts w:asciiTheme="minorHAnsi" w:hAnsiTheme="minorHAnsi" w:cs="Arial"/>
          <w:bCs/>
          <w:snapToGrid w:val="0"/>
        </w:rPr>
      </w:pPr>
      <w:r>
        <w:rPr>
          <w:rFonts w:asciiTheme="minorHAnsi" w:hAnsiTheme="minorHAnsi" w:cs="Arial"/>
          <w:bCs/>
          <w:snapToGrid w:val="0"/>
        </w:rPr>
        <w:t>The PBAC noted and welcomed the input from one health care professional via the Consumer Comments facility on the PBS website. The comment stated that a STREAMLINED Authority listing would make it easier for prescribers to appropriately prescribe rifaximin for patients with HE.</w:t>
      </w:r>
    </w:p>
    <w:p w:rsidR="00B4494F" w:rsidRDefault="00661BA6">
      <w:pPr>
        <w:pStyle w:val="Heading2"/>
        <w:keepLines/>
        <w:spacing w:before="12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Current situation</w:t>
      </w:r>
    </w:p>
    <w:p w:rsidR="00B4494F" w:rsidRDefault="00661BA6">
      <w:pPr>
        <w:pStyle w:val="3Bodytext"/>
        <w:spacing w:before="120"/>
      </w:pPr>
      <w:r>
        <w:t>The minor submission claimed that the current Authority level impedes access to rifaximin for patients with liver disease and prior episodes of HE, and therefore requested a change to a STREAMLINED Authority to facilitate access and improve health outcomes for these patients and to reduce the time burden on prescribers (p8 of the submission).</w:t>
      </w:r>
    </w:p>
    <w:p w:rsidR="00B4494F" w:rsidRDefault="00661BA6">
      <w:pPr>
        <w:pStyle w:val="3Bodytext"/>
        <w:spacing w:before="120"/>
        <w:rPr>
          <w:i/>
        </w:rPr>
      </w:pPr>
      <w:r>
        <w:t>To support this hypothesis, the submission presented a survey of 39 specialists (gastroenterologists/</w:t>
      </w:r>
      <w:proofErr w:type="spellStart"/>
      <w:r>
        <w:t>hepatologists</w:t>
      </w:r>
      <w:proofErr w:type="spellEnd"/>
      <w:r>
        <w:t xml:space="preserve">) in </w:t>
      </w:r>
      <w:r w:rsidR="00004C5C">
        <w:t xml:space="preserve">Australia. </w:t>
      </w:r>
      <w:r>
        <w:t xml:space="preserve">The submission claimed that the results revealed : </w:t>
      </w:r>
    </w:p>
    <w:p w:rsidR="00B4494F" w:rsidRDefault="00661BA6">
      <w:pPr>
        <w:pStyle w:val="3Bodytext"/>
        <w:numPr>
          <w:ilvl w:val="0"/>
          <w:numId w:val="11"/>
        </w:numPr>
        <w:spacing w:before="120"/>
        <w:ind w:left="993" w:hanging="284"/>
      </w:pPr>
      <w:r>
        <w:t>The time taken to obtain an authority approval code can be up to 10 minutes (mean = 5.5 minutes, median = 5 minutes).</w:t>
      </w:r>
    </w:p>
    <w:p w:rsidR="00B4494F" w:rsidRDefault="00661BA6">
      <w:pPr>
        <w:pStyle w:val="3Bodytext"/>
        <w:numPr>
          <w:ilvl w:val="0"/>
          <w:numId w:val="11"/>
        </w:numPr>
        <w:spacing w:before="120"/>
        <w:ind w:left="993" w:hanging="284"/>
      </w:pPr>
      <w:r>
        <w:t>18% of specialists felt that the need to obtain an authority code prevented them from prescribing rifaximin to eligible patients (with prior episodes of HE) to a moderate or large extent.</w:t>
      </w:r>
    </w:p>
    <w:p w:rsidR="00B4494F" w:rsidRDefault="00661BA6">
      <w:pPr>
        <w:pStyle w:val="3Bodytext"/>
        <w:numPr>
          <w:ilvl w:val="0"/>
          <w:numId w:val="11"/>
        </w:numPr>
        <w:spacing w:before="120"/>
        <w:ind w:left="993" w:hanging="284"/>
      </w:pPr>
      <w:r>
        <w:t>41% of specialists were aware of patients who ceased rifaximin because their GP did not apply for a new Authority script.</w:t>
      </w:r>
    </w:p>
    <w:p w:rsidR="00B4494F" w:rsidRDefault="00661BA6">
      <w:pPr>
        <w:pStyle w:val="3Bodytext"/>
        <w:numPr>
          <w:ilvl w:val="0"/>
          <w:numId w:val="11"/>
        </w:numPr>
        <w:spacing w:before="120"/>
        <w:ind w:left="993" w:hanging="284"/>
      </w:pPr>
      <w:r>
        <w:t>77% of specialists felt that, to a moderate or large extent, a STREAMLINED Authority listing for rifaximin would help them to more effectively treat and manage their patients for the prevention of recurrent HE.</w:t>
      </w:r>
    </w:p>
    <w:p w:rsidR="00B4494F" w:rsidRDefault="00661BA6">
      <w:pPr>
        <w:pStyle w:val="3Bodytext"/>
        <w:numPr>
          <w:ilvl w:val="0"/>
          <w:numId w:val="11"/>
        </w:numPr>
        <w:spacing w:before="120"/>
        <w:ind w:left="993" w:hanging="284"/>
      </w:pPr>
      <w:r>
        <w:t>On average, a 3% increase is anticipated in the number of patients to whom they would prescribe rifaximin for the prevention of the recurrence of HE (with a revised upper mean estimate of 8%).</w:t>
      </w:r>
    </w:p>
    <w:p w:rsidR="00B4494F" w:rsidRDefault="00661BA6">
      <w:pPr>
        <w:pStyle w:val="3Bodytext"/>
        <w:spacing w:before="120"/>
        <w:rPr>
          <w:i/>
        </w:rPr>
      </w:pPr>
      <w:r>
        <w:t xml:space="preserve">To address previous PBAC concerns regarding </w:t>
      </w:r>
      <w:r>
        <w:rPr>
          <w:szCs w:val="24"/>
        </w:rPr>
        <w:t>leakage</w:t>
      </w:r>
      <w:r>
        <w:t xml:space="preserve"> and development of AMR (see paragraph 3.4), the submission presented an analysis of a 10% PBS sample dataset for the period December 2013 (first month of PBS listing) to September 2018 inclusive. As a minor submission, the analysis was not independently evaluated. The submission claimed that the analysis indicated:</w:t>
      </w:r>
    </w:p>
    <w:p w:rsidR="00B4494F" w:rsidRDefault="00661BA6">
      <w:pPr>
        <w:pStyle w:val="3Bodytext"/>
        <w:numPr>
          <w:ilvl w:val="2"/>
          <w:numId w:val="3"/>
        </w:numPr>
        <w:spacing w:before="120"/>
        <w:ind w:left="993" w:hanging="284"/>
        <w:rPr>
          <w:i/>
        </w:rPr>
      </w:pPr>
      <w:r>
        <w:lastRenderedPageBreak/>
        <w:t>The number of patients initiating rifaximin each year under the current Authority Required listing was relatively stable, consistent with use only in new patients with HE (p19).</w:t>
      </w:r>
    </w:p>
    <w:p w:rsidR="00B4494F" w:rsidRDefault="00661BA6">
      <w:pPr>
        <w:pStyle w:val="3Bodytext"/>
        <w:numPr>
          <w:ilvl w:val="2"/>
          <w:numId w:val="3"/>
        </w:numPr>
        <w:spacing w:before="120"/>
        <w:ind w:left="993" w:hanging="284"/>
        <w:rPr>
          <w:i/>
        </w:rPr>
      </w:pPr>
      <w:r>
        <w:t xml:space="preserve">No evidence was found to suggest that rifaximin was used outside its restriction into travellers’ diarrhoea, irritable bowel syndrome and Crohn’s disease (p14). </w:t>
      </w:r>
    </w:p>
    <w:p w:rsidR="00B4494F" w:rsidRDefault="00661BA6">
      <w:pPr>
        <w:pStyle w:val="3Bodytext"/>
        <w:numPr>
          <w:ilvl w:val="2"/>
          <w:numId w:val="3"/>
        </w:numPr>
        <w:spacing w:before="120"/>
        <w:ind w:left="993" w:hanging="284"/>
      </w:pPr>
      <w:r>
        <w:t>A significant portion of rifaximin use was episodic, with treatment period averaging between 75 and 90 days, rather than continuous treatment as per recommendations, suggesting patients may use rifaximin during exacerbations of liver disease (p20).</w:t>
      </w:r>
    </w:p>
    <w:p w:rsidR="00B4494F" w:rsidRDefault="00661BA6">
      <w:pPr>
        <w:pStyle w:val="3Bodytext"/>
        <w:numPr>
          <w:ilvl w:val="2"/>
          <w:numId w:val="3"/>
        </w:numPr>
        <w:spacing w:before="120"/>
        <w:ind w:left="993" w:hanging="284"/>
        <w:rPr>
          <w:i/>
        </w:rPr>
      </w:pPr>
      <w:r>
        <w:t>More than half of all prescriptions (initial or subsequent) were written by a GP (p18).</w:t>
      </w:r>
    </w:p>
    <w:p w:rsidR="00B4494F" w:rsidRDefault="00661BA6">
      <w:pPr>
        <w:pStyle w:val="3Bodytext"/>
      </w:pPr>
      <w:r>
        <w:t xml:space="preserve">The </w:t>
      </w:r>
      <w:r w:rsidR="00004C5C">
        <w:t>submission suggested</w:t>
      </w:r>
      <w:r>
        <w:t xml:space="preserve"> that the episodic nature of treatment may reflect issues in accessing rifaximin under the current Authority restriction. As noted in the survey (paragraph 5.4), 18% of specialists felt the current Authority restriction prevented them from prescribing rifaximin for eligible patients to a moderate or large extent. </w:t>
      </w:r>
    </w:p>
    <w:p w:rsidR="00B4494F" w:rsidRDefault="00661BA6">
      <w:pPr>
        <w:pStyle w:val="3Bodytext"/>
        <w:spacing w:before="120"/>
      </w:pPr>
      <w:r>
        <w:t xml:space="preserve">The </w:t>
      </w:r>
      <w:r w:rsidR="00004C5C">
        <w:t>submission also</w:t>
      </w:r>
      <w:r>
        <w:t xml:space="preserve"> presented an updated literature review since the November 2011 and July 2012 PBAC (re)submissions. The submission and the pre-PBAC </w:t>
      </w:r>
      <w:r w:rsidR="00004C5C">
        <w:t>response stated</w:t>
      </w:r>
      <w:r>
        <w:t xml:space="preserve"> that the review showed little evidence to support the risk of developing AMR with rifaximin. As a minor submission, the literature review was not independently evaluated. </w:t>
      </w:r>
    </w:p>
    <w:p w:rsidR="00B4494F" w:rsidRDefault="00661BA6">
      <w:pPr>
        <w:pStyle w:val="3Bodytext"/>
        <w:spacing w:before="120"/>
      </w:pPr>
      <w:r>
        <w:t xml:space="preserve">The </w:t>
      </w:r>
      <w:r w:rsidR="00004C5C">
        <w:t>submission and</w:t>
      </w:r>
      <w:r>
        <w:t xml:space="preserve"> pre-PBAC </w:t>
      </w:r>
      <w:r w:rsidR="00004C5C">
        <w:t>response noted</w:t>
      </w:r>
      <w:r>
        <w:t xml:space="preserve"> that no changes to the risk management plan or other risk minimisation activities were required during the reporting period (30</w:t>
      </w:r>
      <w:r>
        <w:rPr>
          <w:vertAlign w:val="superscript"/>
        </w:rPr>
        <w:t xml:space="preserve"> </w:t>
      </w:r>
      <w:r>
        <w:t>May 2017 to 29 May 2018) in the most recent Periodic Safety Update Report (PSUR) for rifaximin. Additionally, only 6 cases of AMR had been reported over the 38-year cumulative period from April 1985 to May 2018.</w:t>
      </w:r>
    </w:p>
    <w:p w:rsidR="00B4494F" w:rsidRDefault="00661BA6">
      <w:pPr>
        <w:pStyle w:val="Heading2"/>
        <w:keepLines/>
        <w:spacing w:before="12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Estimated PBS usage &amp; financial implications</w:t>
      </w:r>
    </w:p>
    <w:p w:rsidR="00B4494F" w:rsidRDefault="00661BA6">
      <w:pPr>
        <w:pStyle w:val="3Bodytext"/>
        <w:spacing w:before="120"/>
      </w:pPr>
      <w:r>
        <w:t xml:space="preserve">The minor submission estimated a net cost to the PBS/RPBS of less than $10 </w:t>
      </w:r>
      <w:r w:rsidR="00004C5C">
        <w:t>million at</w:t>
      </w:r>
      <w:r>
        <w:t xml:space="preserve"> Year 6, with a total net cost to the PBS/RPBS of less than $10 </w:t>
      </w:r>
      <w:r w:rsidR="00004C5C">
        <w:t>million over</w:t>
      </w:r>
      <w:r>
        <w:t xml:space="preserve"> the first six years, following the proposed change to a STREAMLINED Authority. This is summarised in Table 1 below as well as the expected patient/packs numbers  </w:t>
      </w:r>
    </w:p>
    <w:p w:rsidR="00B4494F" w:rsidRDefault="00661BA6">
      <w:pPr>
        <w:pStyle w:val="3Bodytext"/>
        <w:spacing w:before="120"/>
      </w:pPr>
      <w:r>
        <w:t>The submission made the following assumptions regarding utilisation under the current listing:</w:t>
      </w:r>
    </w:p>
    <w:p w:rsidR="00B4494F" w:rsidRDefault="00661BA6">
      <w:pPr>
        <w:pStyle w:val="3Bodytext"/>
        <w:numPr>
          <w:ilvl w:val="0"/>
          <w:numId w:val="7"/>
        </w:numPr>
        <w:spacing w:before="120"/>
        <w:ind w:left="993" w:hanging="284"/>
      </w:pPr>
      <w:r>
        <w:t>Annual growth in the number of packs dispensed would continue to reduce by 2.5% each year, in line with the reduction in annual growth between 2017 and 2018.</w:t>
      </w:r>
    </w:p>
    <w:p w:rsidR="00B4494F" w:rsidRDefault="00661BA6">
      <w:pPr>
        <w:pStyle w:val="3Bodytext"/>
        <w:numPr>
          <w:ilvl w:val="0"/>
          <w:numId w:val="7"/>
        </w:numPr>
        <w:spacing w:before="120"/>
        <w:ind w:left="993" w:hanging="284"/>
      </w:pPr>
      <w:r>
        <w:t>The number of patients was estimated from the number of packs dispensed divided by the average number of packs per patient per year (</w:t>
      </w:r>
      <w:r w:rsidR="009E3043">
        <w:rPr>
          <w:noProof/>
          <w:color w:val="000000"/>
          <w:highlight w:val="black"/>
        </w:rPr>
        <w:t>''''''''</w:t>
      </w:r>
      <w:r>
        <w:t xml:space="preserve"> packs per patient per year) in 2017 based on the PBS 10% sample </w:t>
      </w:r>
      <w:r w:rsidR="00004C5C">
        <w:t>data.</w:t>
      </w:r>
    </w:p>
    <w:p w:rsidR="00B4494F" w:rsidRDefault="00661BA6">
      <w:pPr>
        <w:pStyle w:val="3Bodytext"/>
        <w:numPr>
          <w:ilvl w:val="0"/>
          <w:numId w:val="7"/>
        </w:numPr>
        <w:tabs>
          <w:tab w:val="left" w:pos="3686"/>
        </w:tabs>
        <w:spacing w:before="120"/>
        <w:ind w:left="993" w:hanging="284"/>
      </w:pPr>
      <w:r>
        <w:lastRenderedPageBreak/>
        <w:t xml:space="preserve">The cost to PBS/RPBS was calculated using the April 2019 published DPMQ ($466.72) and the average co-payment per pack ($11.62) which was derived based on the distribution of rifaximin across patient beneficiary categories in </w:t>
      </w:r>
      <w:r w:rsidR="00004C5C">
        <w:t>2018.</w:t>
      </w:r>
    </w:p>
    <w:p w:rsidR="00B4494F" w:rsidRDefault="00661BA6">
      <w:pPr>
        <w:pStyle w:val="3Bodytext"/>
        <w:spacing w:before="120"/>
      </w:pPr>
      <w:r>
        <w:t>The submission assumed that the change to a STREAMLINED Authority would result in an increase in the number of packs dispensed under the current listing by 1.5% in Year 1, and 3% in Year 2 and thereafter. This assumption was based on the weighted mean increase in patient numbers projected in the survey of 39 specialists.</w:t>
      </w:r>
    </w:p>
    <w:p w:rsidR="001C7151" w:rsidRPr="001C7151" w:rsidRDefault="001C7151" w:rsidP="001C7151">
      <w:pPr>
        <w:keepNext/>
        <w:rPr>
          <w:rStyle w:val="CommentReference"/>
          <w:rFonts w:ascii="Arial Narrow" w:hAnsi="Arial Narrow"/>
          <w:b/>
          <w:sz w:val="20"/>
          <w:szCs w:val="20"/>
        </w:rPr>
      </w:pPr>
      <w:r w:rsidRPr="001C7151">
        <w:rPr>
          <w:rStyle w:val="CommentReference"/>
          <w:rFonts w:ascii="Arial Narrow" w:hAnsi="Arial Narrow"/>
          <w:b/>
          <w:sz w:val="20"/>
          <w:szCs w:val="20"/>
        </w:rPr>
        <w:t xml:space="preserve">Table </w:t>
      </w:r>
      <w:r w:rsidRPr="001C7151">
        <w:rPr>
          <w:rStyle w:val="CommentReference"/>
          <w:rFonts w:ascii="Arial Narrow" w:hAnsi="Arial Narrow"/>
          <w:b/>
          <w:sz w:val="20"/>
          <w:szCs w:val="20"/>
        </w:rPr>
        <w:fldChar w:fldCharType="begin"/>
      </w:r>
      <w:r w:rsidRPr="001C7151">
        <w:rPr>
          <w:rStyle w:val="CommentReference"/>
          <w:rFonts w:ascii="Arial Narrow" w:hAnsi="Arial Narrow"/>
          <w:b/>
          <w:sz w:val="20"/>
          <w:szCs w:val="20"/>
        </w:rPr>
        <w:instrText xml:space="preserve"> SEQ Table \* ARABIC </w:instrText>
      </w:r>
      <w:r w:rsidRPr="001C7151">
        <w:rPr>
          <w:rStyle w:val="CommentReference"/>
          <w:rFonts w:ascii="Arial Narrow" w:hAnsi="Arial Narrow"/>
          <w:b/>
          <w:sz w:val="20"/>
          <w:szCs w:val="20"/>
        </w:rPr>
        <w:fldChar w:fldCharType="separate"/>
      </w:r>
      <w:r w:rsidR="00F868EF">
        <w:rPr>
          <w:rStyle w:val="CommentReference"/>
          <w:rFonts w:ascii="Arial Narrow" w:hAnsi="Arial Narrow"/>
          <w:b/>
          <w:noProof/>
          <w:sz w:val="20"/>
          <w:szCs w:val="20"/>
        </w:rPr>
        <w:t>1</w:t>
      </w:r>
      <w:r w:rsidRPr="001C7151">
        <w:rPr>
          <w:rStyle w:val="CommentReference"/>
          <w:rFonts w:ascii="Arial Narrow" w:hAnsi="Arial Narrow"/>
          <w:b/>
          <w:sz w:val="20"/>
          <w:szCs w:val="20"/>
        </w:rPr>
        <w:fldChar w:fldCharType="end"/>
      </w:r>
      <w:r w:rsidRPr="001C7151">
        <w:rPr>
          <w:rStyle w:val="CommentReference"/>
          <w:rFonts w:ascii="Arial Narrow" w:hAnsi="Arial Narrow"/>
          <w:b/>
          <w:sz w:val="20"/>
          <w:szCs w:val="20"/>
        </w:rPr>
        <w:t>: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 Estimated use and financial implications"/>
      </w:tblPr>
      <w:tblGrid>
        <w:gridCol w:w="1998"/>
        <w:gridCol w:w="1156"/>
        <w:gridCol w:w="1156"/>
        <w:gridCol w:w="1157"/>
        <w:gridCol w:w="1157"/>
        <w:gridCol w:w="1157"/>
        <w:gridCol w:w="1157"/>
      </w:tblGrid>
      <w:tr w:rsidR="00B4494F">
        <w:trPr>
          <w:tblHeader/>
        </w:trPr>
        <w:tc>
          <w:tcPr>
            <w:tcW w:w="1118" w:type="pct"/>
            <w:shd w:val="clear" w:color="auto" w:fill="auto"/>
            <w:vAlign w:val="center"/>
          </w:tcPr>
          <w:p w:rsidR="00B4494F" w:rsidRDefault="00B4494F">
            <w:pPr>
              <w:pStyle w:val="Tabletext"/>
              <w:keepNext/>
              <w:spacing w:after="0"/>
              <w:rPr>
                <w:rFonts w:ascii="Arial Narrow" w:hAnsi="Arial Narrow"/>
              </w:rPr>
            </w:pPr>
          </w:p>
        </w:tc>
        <w:tc>
          <w:tcPr>
            <w:tcW w:w="647" w:type="pct"/>
            <w:shd w:val="clear" w:color="auto" w:fill="auto"/>
            <w:vAlign w:val="center"/>
          </w:tcPr>
          <w:p w:rsidR="00B4494F" w:rsidRDefault="00661BA6">
            <w:pPr>
              <w:pStyle w:val="Tabletext"/>
              <w:keepNext/>
              <w:spacing w:after="0"/>
              <w:jc w:val="center"/>
              <w:rPr>
                <w:rFonts w:ascii="Arial Narrow" w:hAnsi="Arial Narrow"/>
                <w:b/>
              </w:rPr>
            </w:pPr>
            <w:r>
              <w:rPr>
                <w:rFonts w:ascii="Arial Narrow" w:hAnsi="Arial Narrow"/>
                <w:b/>
              </w:rPr>
              <w:t>Year 1</w:t>
            </w:r>
          </w:p>
        </w:tc>
        <w:tc>
          <w:tcPr>
            <w:tcW w:w="647" w:type="pct"/>
            <w:shd w:val="clear" w:color="auto" w:fill="auto"/>
            <w:vAlign w:val="center"/>
          </w:tcPr>
          <w:p w:rsidR="00B4494F" w:rsidRDefault="00661BA6">
            <w:pPr>
              <w:pStyle w:val="Tabletext"/>
              <w:keepNext/>
              <w:spacing w:after="0"/>
              <w:jc w:val="center"/>
              <w:rPr>
                <w:rFonts w:ascii="Arial Narrow" w:hAnsi="Arial Narrow"/>
                <w:b/>
              </w:rPr>
            </w:pPr>
            <w:r>
              <w:rPr>
                <w:rFonts w:ascii="Arial Narrow" w:hAnsi="Arial Narrow"/>
                <w:b/>
              </w:rPr>
              <w:t>Year 2</w:t>
            </w:r>
          </w:p>
        </w:tc>
        <w:tc>
          <w:tcPr>
            <w:tcW w:w="647" w:type="pct"/>
            <w:shd w:val="clear" w:color="auto" w:fill="auto"/>
            <w:vAlign w:val="center"/>
          </w:tcPr>
          <w:p w:rsidR="00B4494F" w:rsidRDefault="00661BA6">
            <w:pPr>
              <w:pStyle w:val="Tabletext"/>
              <w:keepNext/>
              <w:spacing w:after="0"/>
              <w:jc w:val="center"/>
              <w:rPr>
                <w:rFonts w:ascii="Arial Narrow" w:hAnsi="Arial Narrow"/>
                <w:b/>
              </w:rPr>
            </w:pPr>
            <w:r>
              <w:rPr>
                <w:rFonts w:ascii="Arial Narrow" w:hAnsi="Arial Narrow"/>
                <w:b/>
              </w:rPr>
              <w:t>Year 3</w:t>
            </w:r>
          </w:p>
        </w:tc>
        <w:tc>
          <w:tcPr>
            <w:tcW w:w="647" w:type="pct"/>
            <w:shd w:val="clear" w:color="auto" w:fill="auto"/>
            <w:vAlign w:val="center"/>
          </w:tcPr>
          <w:p w:rsidR="00B4494F" w:rsidRDefault="00661BA6">
            <w:pPr>
              <w:pStyle w:val="Tabletext"/>
              <w:keepNext/>
              <w:spacing w:after="0"/>
              <w:jc w:val="center"/>
              <w:rPr>
                <w:rFonts w:ascii="Arial Narrow" w:hAnsi="Arial Narrow"/>
                <w:b/>
              </w:rPr>
            </w:pPr>
            <w:r>
              <w:rPr>
                <w:rFonts w:ascii="Arial Narrow" w:hAnsi="Arial Narrow"/>
                <w:b/>
              </w:rPr>
              <w:t>Year 4</w:t>
            </w:r>
          </w:p>
        </w:tc>
        <w:tc>
          <w:tcPr>
            <w:tcW w:w="647" w:type="pct"/>
            <w:shd w:val="clear" w:color="auto" w:fill="auto"/>
            <w:vAlign w:val="center"/>
          </w:tcPr>
          <w:p w:rsidR="00B4494F" w:rsidRDefault="00661BA6">
            <w:pPr>
              <w:pStyle w:val="Tabletext"/>
              <w:keepNext/>
              <w:spacing w:after="0"/>
              <w:jc w:val="center"/>
              <w:rPr>
                <w:rFonts w:ascii="Arial Narrow" w:hAnsi="Arial Narrow"/>
                <w:b/>
              </w:rPr>
            </w:pPr>
            <w:r>
              <w:rPr>
                <w:rFonts w:ascii="Arial Narrow" w:hAnsi="Arial Narrow"/>
                <w:b/>
              </w:rPr>
              <w:t>Year 5</w:t>
            </w:r>
          </w:p>
        </w:tc>
        <w:tc>
          <w:tcPr>
            <w:tcW w:w="647" w:type="pct"/>
          </w:tcPr>
          <w:p w:rsidR="00B4494F" w:rsidRDefault="00661BA6">
            <w:pPr>
              <w:pStyle w:val="Tabletext"/>
              <w:keepNext/>
              <w:spacing w:after="0"/>
              <w:jc w:val="center"/>
              <w:rPr>
                <w:rFonts w:ascii="Arial Narrow" w:hAnsi="Arial Narrow"/>
                <w:b/>
              </w:rPr>
            </w:pPr>
            <w:r>
              <w:rPr>
                <w:rFonts w:ascii="Arial Narrow" w:hAnsi="Arial Narrow"/>
                <w:b/>
              </w:rPr>
              <w:t>Year 6</w:t>
            </w:r>
          </w:p>
        </w:tc>
      </w:tr>
      <w:tr w:rsidR="00B4494F">
        <w:trPr>
          <w:tblHeader/>
        </w:trPr>
        <w:tc>
          <w:tcPr>
            <w:tcW w:w="1118" w:type="pct"/>
            <w:shd w:val="clear" w:color="auto" w:fill="auto"/>
            <w:vAlign w:val="center"/>
          </w:tcPr>
          <w:p w:rsidR="00B4494F" w:rsidRDefault="00B4494F">
            <w:pPr>
              <w:pStyle w:val="Tabletext"/>
              <w:keepNext/>
              <w:spacing w:after="0"/>
              <w:rPr>
                <w:rFonts w:ascii="Arial Narrow" w:hAnsi="Arial Narrow"/>
              </w:rPr>
            </w:pPr>
          </w:p>
        </w:tc>
        <w:tc>
          <w:tcPr>
            <w:tcW w:w="647" w:type="pct"/>
            <w:shd w:val="clear" w:color="auto" w:fill="auto"/>
            <w:vAlign w:val="center"/>
          </w:tcPr>
          <w:p w:rsidR="00B4494F" w:rsidRDefault="00661BA6">
            <w:pPr>
              <w:pStyle w:val="Tabletext"/>
              <w:keepNext/>
              <w:spacing w:after="0"/>
              <w:jc w:val="center"/>
              <w:rPr>
                <w:rFonts w:ascii="Arial Narrow" w:hAnsi="Arial Narrow"/>
                <w:b/>
              </w:rPr>
            </w:pPr>
            <w:r>
              <w:rPr>
                <w:rFonts w:ascii="Arial Narrow" w:hAnsi="Arial Narrow"/>
                <w:b/>
              </w:rPr>
              <w:t>2019</w:t>
            </w:r>
          </w:p>
        </w:tc>
        <w:tc>
          <w:tcPr>
            <w:tcW w:w="647" w:type="pct"/>
            <w:shd w:val="clear" w:color="auto" w:fill="auto"/>
            <w:vAlign w:val="center"/>
          </w:tcPr>
          <w:p w:rsidR="00B4494F" w:rsidRDefault="00661BA6">
            <w:pPr>
              <w:pStyle w:val="Tabletext"/>
              <w:keepNext/>
              <w:spacing w:after="0"/>
              <w:jc w:val="center"/>
              <w:rPr>
                <w:rFonts w:ascii="Arial Narrow" w:hAnsi="Arial Narrow"/>
                <w:b/>
              </w:rPr>
            </w:pPr>
            <w:r>
              <w:rPr>
                <w:rFonts w:ascii="Arial Narrow" w:hAnsi="Arial Narrow"/>
                <w:b/>
              </w:rPr>
              <w:t>2020</w:t>
            </w:r>
          </w:p>
        </w:tc>
        <w:tc>
          <w:tcPr>
            <w:tcW w:w="647" w:type="pct"/>
            <w:shd w:val="clear" w:color="auto" w:fill="auto"/>
            <w:vAlign w:val="center"/>
          </w:tcPr>
          <w:p w:rsidR="00B4494F" w:rsidRDefault="00661BA6">
            <w:pPr>
              <w:pStyle w:val="Tabletext"/>
              <w:keepNext/>
              <w:spacing w:after="0"/>
              <w:jc w:val="center"/>
              <w:rPr>
                <w:rFonts w:ascii="Arial Narrow" w:hAnsi="Arial Narrow"/>
                <w:b/>
              </w:rPr>
            </w:pPr>
            <w:r>
              <w:rPr>
                <w:rFonts w:ascii="Arial Narrow" w:hAnsi="Arial Narrow"/>
                <w:b/>
              </w:rPr>
              <w:t>2021</w:t>
            </w:r>
          </w:p>
        </w:tc>
        <w:tc>
          <w:tcPr>
            <w:tcW w:w="647" w:type="pct"/>
            <w:shd w:val="clear" w:color="auto" w:fill="auto"/>
            <w:vAlign w:val="center"/>
          </w:tcPr>
          <w:p w:rsidR="00B4494F" w:rsidRDefault="00661BA6">
            <w:pPr>
              <w:pStyle w:val="Tabletext"/>
              <w:keepNext/>
              <w:spacing w:after="0"/>
              <w:jc w:val="center"/>
              <w:rPr>
                <w:rFonts w:ascii="Arial Narrow" w:hAnsi="Arial Narrow"/>
                <w:b/>
              </w:rPr>
            </w:pPr>
            <w:r>
              <w:rPr>
                <w:rFonts w:ascii="Arial Narrow" w:hAnsi="Arial Narrow"/>
                <w:b/>
              </w:rPr>
              <w:t>2022</w:t>
            </w:r>
          </w:p>
        </w:tc>
        <w:tc>
          <w:tcPr>
            <w:tcW w:w="647" w:type="pct"/>
            <w:shd w:val="clear" w:color="auto" w:fill="auto"/>
            <w:vAlign w:val="center"/>
          </w:tcPr>
          <w:p w:rsidR="00B4494F" w:rsidRDefault="00661BA6">
            <w:pPr>
              <w:pStyle w:val="Tabletext"/>
              <w:keepNext/>
              <w:spacing w:after="0"/>
              <w:jc w:val="center"/>
              <w:rPr>
                <w:rFonts w:ascii="Arial Narrow" w:hAnsi="Arial Narrow"/>
                <w:b/>
              </w:rPr>
            </w:pPr>
            <w:r>
              <w:rPr>
                <w:rFonts w:ascii="Arial Narrow" w:hAnsi="Arial Narrow"/>
                <w:b/>
              </w:rPr>
              <w:t>2023</w:t>
            </w:r>
          </w:p>
        </w:tc>
        <w:tc>
          <w:tcPr>
            <w:tcW w:w="647" w:type="pct"/>
          </w:tcPr>
          <w:p w:rsidR="00B4494F" w:rsidRDefault="00661BA6">
            <w:pPr>
              <w:pStyle w:val="Tabletext"/>
              <w:keepNext/>
              <w:spacing w:after="0"/>
              <w:jc w:val="center"/>
              <w:rPr>
                <w:rFonts w:ascii="Arial Narrow" w:hAnsi="Arial Narrow"/>
                <w:b/>
              </w:rPr>
            </w:pPr>
            <w:r>
              <w:rPr>
                <w:rFonts w:ascii="Arial Narrow" w:hAnsi="Arial Narrow"/>
                <w:b/>
              </w:rPr>
              <w:t>2024</w:t>
            </w:r>
          </w:p>
        </w:tc>
      </w:tr>
      <w:tr w:rsidR="00B4494F">
        <w:tc>
          <w:tcPr>
            <w:tcW w:w="5000" w:type="pct"/>
            <w:gridSpan w:val="7"/>
            <w:shd w:val="clear" w:color="auto" w:fill="auto"/>
            <w:vAlign w:val="center"/>
          </w:tcPr>
          <w:p w:rsidR="00B4494F" w:rsidRDefault="00661BA6">
            <w:pPr>
              <w:pStyle w:val="Tabletext"/>
              <w:keepNext/>
              <w:spacing w:after="0"/>
              <w:rPr>
                <w:rFonts w:ascii="Arial Narrow" w:hAnsi="Arial Narrow"/>
                <w:b/>
                <w:bCs/>
              </w:rPr>
            </w:pPr>
            <w:r>
              <w:rPr>
                <w:rFonts w:ascii="Arial Narrow" w:hAnsi="Arial Narrow"/>
                <w:b/>
                <w:bCs/>
              </w:rPr>
              <w:t xml:space="preserve">Estimated extent of use under the current Authority Required listing </w:t>
            </w:r>
          </w:p>
        </w:tc>
      </w:tr>
      <w:tr w:rsidR="00B4494F">
        <w:tc>
          <w:tcPr>
            <w:tcW w:w="1118" w:type="pct"/>
            <w:shd w:val="clear" w:color="auto" w:fill="auto"/>
            <w:vAlign w:val="center"/>
          </w:tcPr>
          <w:p w:rsidR="00B4494F" w:rsidRDefault="00661BA6">
            <w:pPr>
              <w:pStyle w:val="Tabletext"/>
              <w:keepNext/>
              <w:spacing w:after="0"/>
              <w:rPr>
                <w:rFonts w:ascii="Arial Narrow" w:hAnsi="Arial Narrow"/>
              </w:rPr>
            </w:pPr>
            <w:r>
              <w:rPr>
                <w:rFonts w:ascii="Arial Narrow" w:hAnsi="Arial Narrow"/>
              </w:rPr>
              <w:t>Number of patients treated</w:t>
            </w:r>
          </w:p>
        </w:tc>
        <w:tc>
          <w:tcPr>
            <w:tcW w:w="647" w:type="pct"/>
            <w:shd w:val="clear" w:color="auto" w:fill="auto"/>
            <w:vAlign w:val="bottom"/>
          </w:tcPr>
          <w:p w:rsidR="00B4494F" w:rsidRPr="009E3043" w:rsidRDefault="009E3043">
            <w:pPr>
              <w:pStyle w:val="Tabletext"/>
              <w:keepNext/>
              <w:spacing w:after="0"/>
              <w:jc w:val="center"/>
              <w:rPr>
                <w:rFonts w:ascii="Arial Narrow" w:hAnsi="Arial Narrow"/>
                <w:highlight w:val="black"/>
              </w:rPr>
            </w:pPr>
            <w:r>
              <w:rPr>
                <w:rFonts w:ascii="Arial Narrow" w:hAnsi="Arial Narrow"/>
                <w:noProof/>
                <w:color w:val="000000"/>
                <w:highlight w:val="black"/>
              </w:rPr>
              <w:t>''''''''''''''</w:t>
            </w:r>
          </w:p>
        </w:tc>
        <w:tc>
          <w:tcPr>
            <w:tcW w:w="647" w:type="pct"/>
            <w:shd w:val="clear" w:color="auto" w:fill="auto"/>
            <w:vAlign w:val="bottom"/>
          </w:tcPr>
          <w:p w:rsidR="00B4494F" w:rsidRPr="009E3043" w:rsidRDefault="009E3043">
            <w:pPr>
              <w:pStyle w:val="Tabletext"/>
              <w:keepNext/>
              <w:spacing w:after="0"/>
              <w:jc w:val="center"/>
              <w:rPr>
                <w:rFonts w:ascii="Arial Narrow" w:hAnsi="Arial Narrow"/>
                <w:highlight w:val="black"/>
              </w:rPr>
            </w:pPr>
            <w:r>
              <w:rPr>
                <w:rFonts w:ascii="Arial Narrow" w:hAnsi="Arial Narrow"/>
                <w:noProof/>
                <w:color w:val="000000"/>
                <w:highlight w:val="black"/>
              </w:rPr>
              <w:t>'''''''''''''''</w:t>
            </w:r>
          </w:p>
        </w:tc>
        <w:tc>
          <w:tcPr>
            <w:tcW w:w="647" w:type="pct"/>
            <w:shd w:val="clear" w:color="auto" w:fill="auto"/>
            <w:vAlign w:val="bottom"/>
          </w:tcPr>
          <w:p w:rsidR="00B4494F" w:rsidRPr="009E3043" w:rsidRDefault="009E3043">
            <w:pPr>
              <w:pStyle w:val="Tabletext"/>
              <w:keepNext/>
              <w:spacing w:after="0"/>
              <w:jc w:val="center"/>
              <w:rPr>
                <w:rFonts w:ascii="Arial Narrow" w:hAnsi="Arial Narrow"/>
                <w:highlight w:val="black"/>
              </w:rPr>
            </w:pPr>
            <w:r>
              <w:rPr>
                <w:rFonts w:ascii="Arial Narrow" w:hAnsi="Arial Narrow"/>
                <w:noProof/>
                <w:color w:val="000000"/>
                <w:highlight w:val="black"/>
              </w:rPr>
              <w:t>''''''''''''''</w:t>
            </w:r>
          </w:p>
        </w:tc>
        <w:tc>
          <w:tcPr>
            <w:tcW w:w="647" w:type="pct"/>
            <w:shd w:val="clear" w:color="auto" w:fill="auto"/>
            <w:vAlign w:val="bottom"/>
          </w:tcPr>
          <w:p w:rsidR="00B4494F" w:rsidRPr="009E3043" w:rsidRDefault="009E3043">
            <w:pPr>
              <w:pStyle w:val="Tabletext"/>
              <w:keepNext/>
              <w:spacing w:after="0"/>
              <w:jc w:val="center"/>
              <w:rPr>
                <w:rFonts w:ascii="Arial Narrow" w:hAnsi="Arial Narrow"/>
                <w:highlight w:val="black"/>
              </w:rPr>
            </w:pPr>
            <w:r>
              <w:rPr>
                <w:rFonts w:ascii="Arial Narrow" w:hAnsi="Arial Narrow"/>
                <w:noProof/>
                <w:color w:val="000000"/>
                <w:highlight w:val="black"/>
              </w:rPr>
              <w:t>''''''''''''''</w:t>
            </w:r>
          </w:p>
        </w:tc>
        <w:tc>
          <w:tcPr>
            <w:tcW w:w="647" w:type="pct"/>
            <w:shd w:val="clear" w:color="auto" w:fill="auto"/>
            <w:vAlign w:val="bottom"/>
          </w:tcPr>
          <w:p w:rsidR="00B4494F" w:rsidRPr="009E3043" w:rsidRDefault="009E3043">
            <w:pPr>
              <w:pStyle w:val="Tabletext"/>
              <w:keepNext/>
              <w:spacing w:after="0"/>
              <w:jc w:val="center"/>
              <w:rPr>
                <w:rFonts w:ascii="Arial Narrow" w:hAnsi="Arial Narrow"/>
                <w:highlight w:val="black"/>
              </w:rPr>
            </w:pPr>
            <w:r>
              <w:rPr>
                <w:rFonts w:ascii="Arial Narrow" w:hAnsi="Arial Narrow"/>
                <w:noProof/>
                <w:color w:val="000000"/>
                <w:highlight w:val="black"/>
              </w:rPr>
              <w:t>''''''''''''''</w:t>
            </w:r>
          </w:p>
        </w:tc>
        <w:tc>
          <w:tcPr>
            <w:tcW w:w="647" w:type="pct"/>
            <w:vAlign w:val="bottom"/>
          </w:tcPr>
          <w:p w:rsidR="00B4494F" w:rsidRPr="009E3043" w:rsidRDefault="009E3043">
            <w:pPr>
              <w:pStyle w:val="Tabletext"/>
              <w:keepNext/>
              <w:spacing w:after="0"/>
              <w:jc w:val="center"/>
              <w:rPr>
                <w:rFonts w:ascii="Arial Narrow" w:hAnsi="Arial Narrow"/>
                <w:highlight w:val="black"/>
              </w:rPr>
            </w:pPr>
            <w:r>
              <w:rPr>
                <w:rFonts w:ascii="Arial Narrow" w:hAnsi="Arial Narrow"/>
                <w:noProof/>
                <w:color w:val="000000"/>
                <w:highlight w:val="black"/>
              </w:rPr>
              <w:t>''''''''''''''</w:t>
            </w:r>
          </w:p>
        </w:tc>
      </w:tr>
      <w:tr w:rsidR="00B4494F">
        <w:tc>
          <w:tcPr>
            <w:tcW w:w="1118" w:type="pct"/>
            <w:shd w:val="clear" w:color="auto" w:fill="auto"/>
            <w:vAlign w:val="center"/>
          </w:tcPr>
          <w:p w:rsidR="00B4494F" w:rsidRDefault="00661BA6">
            <w:pPr>
              <w:pStyle w:val="Tabletext"/>
              <w:keepNext/>
              <w:spacing w:after="0"/>
              <w:rPr>
                <w:rFonts w:ascii="Arial Narrow" w:hAnsi="Arial Narrow"/>
              </w:rPr>
            </w:pPr>
            <w:r>
              <w:rPr>
                <w:rFonts w:ascii="Arial Narrow" w:hAnsi="Arial Narrow"/>
              </w:rPr>
              <w:t>Number of packs  dispensed</w:t>
            </w:r>
          </w:p>
        </w:tc>
        <w:tc>
          <w:tcPr>
            <w:tcW w:w="647" w:type="pct"/>
            <w:shd w:val="clear" w:color="auto" w:fill="auto"/>
            <w:vAlign w:val="center"/>
          </w:tcPr>
          <w:p w:rsidR="00B4494F" w:rsidRPr="009E3043" w:rsidRDefault="009E3043">
            <w:pPr>
              <w:pStyle w:val="Tabletext"/>
              <w:keepNext/>
              <w:spacing w:after="0"/>
              <w:jc w:val="center"/>
              <w:rPr>
                <w:rFonts w:ascii="Arial Narrow" w:hAnsi="Arial Narrow"/>
                <w:highlight w:val="black"/>
              </w:rPr>
            </w:pPr>
            <w:r>
              <w:rPr>
                <w:rFonts w:ascii="Arial Narrow" w:hAnsi="Arial Narrow"/>
                <w:noProof/>
                <w:color w:val="000000"/>
                <w:highlight w:val="black"/>
              </w:rPr>
              <w:t>'''''''''''''''''</w:t>
            </w:r>
          </w:p>
        </w:tc>
        <w:tc>
          <w:tcPr>
            <w:tcW w:w="647" w:type="pct"/>
            <w:shd w:val="clear" w:color="auto" w:fill="auto"/>
            <w:vAlign w:val="center"/>
          </w:tcPr>
          <w:p w:rsidR="00B4494F" w:rsidRPr="009E3043" w:rsidRDefault="009E3043">
            <w:pPr>
              <w:pStyle w:val="Tabletext"/>
              <w:keepNext/>
              <w:spacing w:after="0"/>
              <w:jc w:val="center"/>
              <w:rPr>
                <w:rFonts w:ascii="Arial Narrow" w:hAnsi="Arial Narrow"/>
                <w:highlight w:val="black"/>
              </w:rPr>
            </w:pPr>
            <w:r>
              <w:rPr>
                <w:rFonts w:ascii="Arial Narrow" w:hAnsi="Arial Narrow"/>
                <w:noProof/>
                <w:color w:val="000000"/>
                <w:highlight w:val="black"/>
              </w:rPr>
              <w:t>''''''''''''''''</w:t>
            </w:r>
          </w:p>
        </w:tc>
        <w:tc>
          <w:tcPr>
            <w:tcW w:w="647" w:type="pct"/>
            <w:shd w:val="clear" w:color="auto" w:fill="auto"/>
            <w:vAlign w:val="center"/>
          </w:tcPr>
          <w:p w:rsidR="00B4494F" w:rsidRPr="009E3043" w:rsidRDefault="009E3043">
            <w:pPr>
              <w:pStyle w:val="Tabletext"/>
              <w:keepNext/>
              <w:spacing w:after="0"/>
              <w:jc w:val="center"/>
              <w:rPr>
                <w:rFonts w:ascii="Arial Narrow" w:hAnsi="Arial Narrow"/>
                <w:highlight w:val="black"/>
              </w:rPr>
            </w:pPr>
            <w:r>
              <w:rPr>
                <w:rFonts w:ascii="Arial Narrow" w:hAnsi="Arial Narrow"/>
                <w:noProof/>
                <w:color w:val="000000"/>
                <w:highlight w:val="black"/>
              </w:rPr>
              <w:t>''''''''''''''''</w:t>
            </w:r>
          </w:p>
        </w:tc>
        <w:tc>
          <w:tcPr>
            <w:tcW w:w="647" w:type="pct"/>
            <w:shd w:val="clear" w:color="auto" w:fill="auto"/>
            <w:vAlign w:val="center"/>
          </w:tcPr>
          <w:p w:rsidR="00B4494F" w:rsidRPr="009E3043" w:rsidRDefault="009E3043">
            <w:pPr>
              <w:pStyle w:val="Tabletext"/>
              <w:keepNext/>
              <w:spacing w:after="0"/>
              <w:jc w:val="center"/>
              <w:rPr>
                <w:rFonts w:ascii="Arial Narrow" w:hAnsi="Arial Narrow"/>
                <w:highlight w:val="black"/>
              </w:rPr>
            </w:pPr>
            <w:r>
              <w:rPr>
                <w:rFonts w:ascii="Arial Narrow" w:hAnsi="Arial Narrow"/>
                <w:noProof/>
                <w:color w:val="000000"/>
                <w:highlight w:val="black"/>
              </w:rPr>
              <w:t>''''''''''''''''</w:t>
            </w:r>
          </w:p>
        </w:tc>
        <w:tc>
          <w:tcPr>
            <w:tcW w:w="647" w:type="pct"/>
            <w:shd w:val="clear" w:color="auto" w:fill="auto"/>
            <w:vAlign w:val="center"/>
          </w:tcPr>
          <w:p w:rsidR="00B4494F" w:rsidRPr="009E3043" w:rsidRDefault="009E3043">
            <w:pPr>
              <w:pStyle w:val="Tabletext"/>
              <w:keepNext/>
              <w:spacing w:after="0"/>
              <w:jc w:val="center"/>
              <w:rPr>
                <w:rFonts w:ascii="Arial Narrow" w:hAnsi="Arial Narrow"/>
                <w:highlight w:val="black"/>
              </w:rPr>
            </w:pPr>
            <w:r>
              <w:rPr>
                <w:rFonts w:ascii="Arial Narrow" w:hAnsi="Arial Narrow"/>
                <w:noProof/>
                <w:color w:val="000000"/>
                <w:highlight w:val="black"/>
              </w:rPr>
              <w:t>''''''''''''''''</w:t>
            </w:r>
          </w:p>
        </w:tc>
        <w:tc>
          <w:tcPr>
            <w:tcW w:w="647" w:type="pct"/>
            <w:vAlign w:val="center"/>
          </w:tcPr>
          <w:p w:rsidR="00B4494F" w:rsidRPr="009E3043" w:rsidRDefault="009E3043">
            <w:pPr>
              <w:pStyle w:val="Tabletext"/>
              <w:keepNext/>
              <w:spacing w:after="0"/>
              <w:jc w:val="center"/>
              <w:rPr>
                <w:rFonts w:ascii="Arial Narrow" w:hAnsi="Arial Narrow"/>
                <w:highlight w:val="black"/>
              </w:rPr>
            </w:pPr>
            <w:r>
              <w:rPr>
                <w:rFonts w:ascii="Arial Narrow" w:hAnsi="Arial Narrow"/>
                <w:noProof/>
                <w:color w:val="000000"/>
                <w:highlight w:val="black"/>
              </w:rPr>
              <w:t>''''''''''''''''</w:t>
            </w:r>
          </w:p>
        </w:tc>
      </w:tr>
      <w:tr w:rsidR="00B4494F">
        <w:tc>
          <w:tcPr>
            <w:tcW w:w="5000" w:type="pct"/>
            <w:gridSpan w:val="7"/>
            <w:shd w:val="clear" w:color="auto" w:fill="auto"/>
            <w:vAlign w:val="center"/>
          </w:tcPr>
          <w:p w:rsidR="00B4494F" w:rsidRDefault="00661BA6">
            <w:pPr>
              <w:pStyle w:val="Tabletext"/>
              <w:keepNext/>
              <w:spacing w:after="0"/>
              <w:rPr>
                <w:rFonts w:ascii="Arial Narrow" w:hAnsi="Arial Narrow"/>
                <w:b/>
              </w:rPr>
            </w:pPr>
            <w:r>
              <w:rPr>
                <w:rFonts w:ascii="Arial Narrow" w:hAnsi="Arial Narrow"/>
                <w:b/>
              </w:rPr>
              <w:t>Estimated additional extent of use under the proposed Authority Required (STREAMLINED) listing</w:t>
            </w:r>
          </w:p>
        </w:tc>
      </w:tr>
      <w:tr w:rsidR="00B4494F">
        <w:tc>
          <w:tcPr>
            <w:tcW w:w="1118" w:type="pct"/>
            <w:shd w:val="clear" w:color="auto" w:fill="auto"/>
            <w:vAlign w:val="center"/>
          </w:tcPr>
          <w:p w:rsidR="00B4494F" w:rsidRDefault="00661BA6">
            <w:pPr>
              <w:pStyle w:val="Tabletext"/>
              <w:keepNext/>
              <w:spacing w:after="0"/>
              <w:rPr>
                <w:rFonts w:ascii="Arial Narrow" w:hAnsi="Arial Narrow"/>
              </w:rPr>
            </w:pPr>
            <w:r>
              <w:rPr>
                <w:rFonts w:ascii="Arial Narrow" w:hAnsi="Arial Narrow"/>
              </w:rPr>
              <w:t>Number of additional patients treated</w:t>
            </w:r>
          </w:p>
        </w:tc>
        <w:tc>
          <w:tcPr>
            <w:tcW w:w="647" w:type="pct"/>
            <w:shd w:val="clear" w:color="auto" w:fill="auto"/>
            <w:vAlign w:val="center"/>
          </w:tcPr>
          <w:p w:rsidR="00B4494F" w:rsidRPr="009E3043" w:rsidRDefault="009E3043">
            <w:pPr>
              <w:pStyle w:val="Tabletext"/>
              <w:keepNext/>
              <w:spacing w:after="0"/>
              <w:jc w:val="center"/>
              <w:rPr>
                <w:rFonts w:ascii="Arial Narrow" w:hAnsi="Arial Narrow"/>
                <w:highlight w:val="black"/>
              </w:rPr>
            </w:pPr>
            <w:r>
              <w:rPr>
                <w:rFonts w:ascii="Arial Narrow" w:hAnsi="Arial Narrow"/>
                <w:noProof/>
                <w:color w:val="000000"/>
                <w:highlight w:val="black"/>
              </w:rPr>
              <w:t>''''''</w:t>
            </w:r>
          </w:p>
        </w:tc>
        <w:tc>
          <w:tcPr>
            <w:tcW w:w="647" w:type="pct"/>
            <w:shd w:val="clear" w:color="auto" w:fill="auto"/>
            <w:vAlign w:val="center"/>
          </w:tcPr>
          <w:p w:rsidR="00B4494F" w:rsidRPr="009E3043" w:rsidRDefault="009E3043">
            <w:pPr>
              <w:pStyle w:val="Tabletext"/>
              <w:keepNext/>
              <w:spacing w:after="0"/>
              <w:jc w:val="center"/>
              <w:rPr>
                <w:rFonts w:ascii="Arial Narrow" w:hAnsi="Arial Narrow"/>
                <w:highlight w:val="black"/>
              </w:rPr>
            </w:pPr>
            <w:r>
              <w:rPr>
                <w:rFonts w:ascii="Arial Narrow" w:hAnsi="Arial Narrow"/>
                <w:noProof/>
                <w:color w:val="000000"/>
                <w:highlight w:val="black"/>
              </w:rPr>
              <w:t>'''''''''</w:t>
            </w:r>
          </w:p>
        </w:tc>
        <w:tc>
          <w:tcPr>
            <w:tcW w:w="647" w:type="pct"/>
            <w:shd w:val="clear" w:color="auto" w:fill="auto"/>
            <w:vAlign w:val="center"/>
          </w:tcPr>
          <w:p w:rsidR="00B4494F" w:rsidRPr="009E3043" w:rsidRDefault="009E3043">
            <w:pPr>
              <w:pStyle w:val="Tabletext"/>
              <w:keepNext/>
              <w:spacing w:after="0"/>
              <w:jc w:val="center"/>
              <w:rPr>
                <w:rFonts w:ascii="Arial Narrow" w:hAnsi="Arial Narrow"/>
                <w:highlight w:val="black"/>
              </w:rPr>
            </w:pPr>
            <w:r>
              <w:rPr>
                <w:rFonts w:ascii="Arial Narrow" w:hAnsi="Arial Narrow"/>
                <w:noProof/>
                <w:color w:val="000000"/>
                <w:highlight w:val="black"/>
              </w:rPr>
              <w:t>'''''''''</w:t>
            </w:r>
          </w:p>
        </w:tc>
        <w:tc>
          <w:tcPr>
            <w:tcW w:w="647" w:type="pct"/>
            <w:shd w:val="clear" w:color="auto" w:fill="auto"/>
            <w:vAlign w:val="center"/>
          </w:tcPr>
          <w:p w:rsidR="00B4494F" w:rsidRPr="009E3043" w:rsidRDefault="009E3043">
            <w:pPr>
              <w:pStyle w:val="Tabletext"/>
              <w:keepNext/>
              <w:spacing w:after="0"/>
              <w:jc w:val="center"/>
              <w:rPr>
                <w:rFonts w:ascii="Arial Narrow" w:hAnsi="Arial Narrow"/>
                <w:highlight w:val="black"/>
              </w:rPr>
            </w:pPr>
            <w:r>
              <w:rPr>
                <w:rFonts w:ascii="Arial Narrow" w:hAnsi="Arial Narrow"/>
                <w:noProof/>
                <w:color w:val="000000"/>
                <w:highlight w:val="black"/>
              </w:rPr>
              <w:t>'''''''''</w:t>
            </w:r>
          </w:p>
        </w:tc>
        <w:tc>
          <w:tcPr>
            <w:tcW w:w="647" w:type="pct"/>
            <w:shd w:val="clear" w:color="auto" w:fill="auto"/>
            <w:vAlign w:val="center"/>
          </w:tcPr>
          <w:p w:rsidR="00B4494F" w:rsidRPr="009E3043" w:rsidRDefault="009E3043">
            <w:pPr>
              <w:pStyle w:val="Tabletext"/>
              <w:keepNext/>
              <w:spacing w:after="0"/>
              <w:jc w:val="center"/>
              <w:rPr>
                <w:rFonts w:ascii="Arial Narrow" w:hAnsi="Arial Narrow"/>
                <w:highlight w:val="black"/>
              </w:rPr>
            </w:pPr>
            <w:r>
              <w:rPr>
                <w:rFonts w:ascii="Arial Narrow" w:hAnsi="Arial Narrow"/>
                <w:noProof/>
                <w:color w:val="000000"/>
                <w:highlight w:val="black"/>
              </w:rPr>
              <w:t>'''''''''</w:t>
            </w:r>
          </w:p>
        </w:tc>
        <w:tc>
          <w:tcPr>
            <w:tcW w:w="647" w:type="pct"/>
            <w:vAlign w:val="center"/>
          </w:tcPr>
          <w:p w:rsidR="00B4494F" w:rsidRPr="009E3043" w:rsidRDefault="009E3043">
            <w:pPr>
              <w:pStyle w:val="Tabletext"/>
              <w:keepNext/>
              <w:spacing w:after="0"/>
              <w:jc w:val="center"/>
              <w:rPr>
                <w:rFonts w:ascii="Arial Narrow" w:hAnsi="Arial Narrow"/>
                <w:highlight w:val="black"/>
              </w:rPr>
            </w:pPr>
            <w:r>
              <w:rPr>
                <w:rFonts w:ascii="Arial Narrow" w:hAnsi="Arial Narrow"/>
                <w:noProof/>
                <w:color w:val="000000"/>
                <w:highlight w:val="black"/>
              </w:rPr>
              <w:t>'''''''''</w:t>
            </w:r>
          </w:p>
        </w:tc>
      </w:tr>
      <w:tr w:rsidR="00B4494F">
        <w:tc>
          <w:tcPr>
            <w:tcW w:w="1118" w:type="pct"/>
            <w:shd w:val="clear" w:color="auto" w:fill="auto"/>
            <w:vAlign w:val="center"/>
          </w:tcPr>
          <w:p w:rsidR="00B4494F" w:rsidRDefault="00661BA6">
            <w:pPr>
              <w:pStyle w:val="Tabletext"/>
              <w:keepNext/>
              <w:spacing w:after="0"/>
              <w:rPr>
                <w:rFonts w:ascii="Arial Narrow" w:hAnsi="Arial Narrow"/>
              </w:rPr>
            </w:pPr>
            <w:r>
              <w:rPr>
                <w:rFonts w:ascii="Arial Narrow" w:hAnsi="Arial Narrow"/>
              </w:rPr>
              <w:t>Number of additional packs dispensed</w:t>
            </w:r>
          </w:p>
        </w:tc>
        <w:tc>
          <w:tcPr>
            <w:tcW w:w="647" w:type="pct"/>
            <w:shd w:val="clear" w:color="auto" w:fill="auto"/>
            <w:vAlign w:val="center"/>
          </w:tcPr>
          <w:p w:rsidR="00B4494F" w:rsidRPr="009E3043" w:rsidRDefault="009E3043">
            <w:pPr>
              <w:pStyle w:val="Tabletext"/>
              <w:keepNext/>
              <w:spacing w:after="0"/>
              <w:jc w:val="center"/>
              <w:rPr>
                <w:rFonts w:ascii="Arial Narrow" w:hAnsi="Arial Narrow"/>
                <w:highlight w:val="black"/>
              </w:rPr>
            </w:pPr>
            <w:r>
              <w:rPr>
                <w:rFonts w:ascii="Arial Narrow" w:hAnsi="Arial Narrow"/>
                <w:noProof/>
                <w:color w:val="000000"/>
                <w:highlight w:val="black"/>
              </w:rPr>
              <w:t>'''''''''</w:t>
            </w:r>
          </w:p>
        </w:tc>
        <w:tc>
          <w:tcPr>
            <w:tcW w:w="647" w:type="pct"/>
            <w:shd w:val="clear" w:color="auto" w:fill="auto"/>
            <w:vAlign w:val="center"/>
          </w:tcPr>
          <w:p w:rsidR="00B4494F" w:rsidRPr="009E3043" w:rsidRDefault="009E3043">
            <w:pPr>
              <w:pStyle w:val="Tabletext"/>
              <w:keepNext/>
              <w:spacing w:after="0"/>
              <w:jc w:val="center"/>
              <w:rPr>
                <w:rFonts w:ascii="Arial Narrow" w:hAnsi="Arial Narrow"/>
                <w:highlight w:val="black"/>
              </w:rPr>
            </w:pPr>
            <w:r>
              <w:rPr>
                <w:rFonts w:ascii="Arial Narrow" w:hAnsi="Arial Narrow"/>
                <w:noProof/>
                <w:color w:val="000000"/>
                <w:highlight w:val="black"/>
              </w:rPr>
              <w:t>'''''''''</w:t>
            </w:r>
          </w:p>
        </w:tc>
        <w:tc>
          <w:tcPr>
            <w:tcW w:w="647" w:type="pct"/>
            <w:shd w:val="clear" w:color="auto" w:fill="auto"/>
            <w:vAlign w:val="center"/>
          </w:tcPr>
          <w:p w:rsidR="00B4494F" w:rsidRPr="009E3043" w:rsidRDefault="009E3043">
            <w:pPr>
              <w:pStyle w:val="Tabletext"/>
              <w:keepNext/>
              <w:spacing w:after="0"/>
              <w:jc w:val="center"/>
              <w:rPr>
                <w:rFonts w:ascii="Arial Narrow" w:hAnsi="Arial Narrow"/>
                <w:highlight w:val="black"/>
              </w:rPr>
            </w:pPr>
            <w:r>
              <w:rPr>
                <w:rFonts w:ascii="Arial Narrow" w:hAnsi="Arial Narrow"/>
                <w:noProof/>
                <w:color w:val="000000"/>
                <w:highlight w:val="black"/>
              </w:rPr>
              <w:t>'''''''''</w:t>
            </w:r>
          </w:p>
        </w:tc>
        <w:tc>
          <w:tcPr>
            <w:tcW w:w="647" w:type="pct"/>
            <w:shd w:val="clear" w:color="auto" w:fill="auto"/>
            <w:vAlign w:val="center"/>
          </w:tcPr>
          <w:p w:rsidR="00B4494F" w:rsidRPr="009E3043" w:rsidRDefault="009E3043">
            <w:pPr>
              <w:pStyle w:val="Tabletext"/>
              <w:keepNext/>
              <w:spacing w:after="0"/>
              <w:jc w:val="center"/>
              <w:rPr>
                <w:rFonts w:ascii="Arial Narrow" w:hAnsi="Arial Narrow"/>
                <w:highlight w:val="black"/>
              </w:rPr>
            </w:pPr>
            <w:r>
              <w:rPr>
                <w:rFonts w:ascii="Arial Narrow" w:hAnsi="Arial Narrow"/>
                <w:noProof/>
                <w:color w:val="000000"/>
                <w:highlight w:val="black"/>
              </w:rPr>
              <w:t>''''''''''''</w:t>
            </w:r>
          </w:p>
        </w:tc>
        <w:tc>
          <w:tcPr>
            <w:tcW w:w="647" w:type="pct"/>
            <w:shd w:val="clear" w:color="auto" w:fill="auto"/>
            <w:vAlign w:val="center"/>
          </w:tcPr>
          <w:p w:rsidR="00B4494F" w:rsidRPr="009E3043" w:rsidRDefault="009E3043">
            <w:pPr>
              <w:pStyle w:val="Tabletext"/>
              <w:keepNext/>
              <w:spacing w:after="0"/>
              <w:jc w:val="center"/>
              <w:rPr>
                <w:rFonts w:ascii="Arial Narrow" w:hAnsi="Arial Narrow"/>
                <w:highlight w:val="black"/>
              </w:rPr>
            </w:pPr>
            <w:r>
              <w:rPr>
                <w:rFonts w:ascii="Arial Narrow" w:hAnsi="Arial Narrow"/>
                <w:noProof/>
                <w:color w:val="000000"/>
                <w:highlight w:val="black"/>
              </w:rPr>
              <w:t>'''''''''''''''</w:t>
            </w:r>
          </w:p>
        </w:tc>
        <w:tc>
          <w:tcPr>
            <w:tcW w:w="647" w:type="pct"/>
            <w:vAlign w:val="center"/>
          </w:tcPr>
          <w:p w:rsidR="00B4494F" w:rsidRPr="009E3043" w:rsidRDefault="009E3043">
            <w:pPr>
              <w:pStyle w:val="Tabletext"/>
              <w:keepNext/>
              <w:spacing w:after="0"/>
              <w:jc w:val="center"/>
              <w:rPr>
                <w:rFonts w:ascii="Arial Narrow" w:hAnsi="Arial Narrow"/>
                <w:highlight w:val="black"/>
              </w:rPr>
            </w:pPr>
            <w:r>
              <w:rPr>
                <w:rFonts w:ascii="Arial Narrow" w:hAnsi="Arial Narrow"/>
                <w:noProof/>
                <w:color w:val="000000"/>
                <w:highlight w:val="black"/>
              </w:rPr>
              <w:t>''''''''''''''</w:t>
            </w:r>
          </w:p>
        </w:tc>
      </w:tr>
      <w:tr w:rsidR="00B4494F">
        <w:tc>
          <w:tcPr>
            <w:tcW w:w="5000" w:type="pct"/>
            <w:gridSpan w:val="7"/>
            <w:shd w:val="clear" w:color="auto" w:fill="auto"/>
            <w:vAlign w:val="center"/>
          </w:tcPr>
          <w:p w:rsidR="00B4494F" w:rsidRDefault="00661BA6">
            <w:pPr>
              <w:pStyle w:val="Tabletext"/>
              <w:keepNext/>
              <w:spacing w:after="0"/>
              <w:rPr>
                <w:rFonts w:ascii="Arial Narrow" w:hAnsi="Arial Narrow"/>
                <w:b/>
                <w:bCs/>
              </w:rPr>
            </w:pPr>
            <w:r>
              <w:rPr>
                <w:rFonts w:ascii="Arial Narrow" w:hAnsi="Arial Narrow"/>
                <w:b/>
                <w:bCs/>
              </w:rPr>
              <w:t xml:space="preserve">Estimated financial implications under the proposed Authority Required (STREAMLINED) listing </w:t>
            </w:r>
          </w:p>
        </w:tc>
      </w:tr>
      <w:tr w:rsidR="00B4494F">
        <w:tc>
          <w:tcPr>
            <w:tcW w:w="1118" w:type="pct"/>
            <w:shd w:val="clear" w:color="auto" w:fill="auto"/>
            <w:vAlign w:val="center"/>
          </w:tcPr>
          <w:p w:rsidR="00B4494F" w:rsidRDefault="00661BA6">
            <w:pPr>
              <w:pStyle w:val="Tabletext"/>
              <w:keepNext/>
              <w:spacing w:after="0"/>
              <w:rPr>
                <w:rFonts w:ascii="Arial Narrow" w:hAnsi="Arial Narrow"/>
              </w:rPr>
            </w:pPr>
            <w:r>
              <w:rPr>
                <w:rFonts w:ascii="Arial Narrow" w:hAnsi="Arial Narrow"/>
              </w:rPr>
              <w:t>Cost to PBS/RPBS</w:t>
            </w:r>
          </w:p>
        </w:tc>
        <w:tc>
          <w:tcPr>
            <w:tcW w:w="647" w:type="pct"/>
            <w:shd w:val="clear" w:color="auto" w:fill="auto"/>
            <w:vAlign w:val="center"/>
          </w:tcPr>
          <w:p w:rsidR="00B4494F" w:rsidRPr="009E3043" w:rsidRDefault="009E3043">
            <w:pPr>
              <w:pStyle w:val="Tabletext"/>
              <w:keepNext/>
              <w:spacing w:after="0"/>
              <w:jc w:val="center"/>
              <w:rPr>
                <w:rFonts w:ascii="Arial Narrow" w:hAnsi="Arial Narrow"/>
                <w:bCs/>
                <w:highlight w:val="black"/>
              </w:rPr>
            </w:pPr>
            <w:r>
              <w:rPr>
                <w:rFonts w:ascii="Arial Narrow" w:hAnsi="Arial Narrow"/>
                <w:noProof/>
                <w:color w:val="000000"/>
                <w:highlight w:val="black"/>
              </w:rPr>
              <w:t>''''''''''''''''''''''''''''''''</w:t>
            </w:r>
          </w:p>
        </w:tc>
        <w:tc>
          <w:tcPr>
            <w:tcW w:w="647" w:type="pct"/>
            <w:shd w:val="clear" w:color="auto" w:fill="auto"/>
            <w:vAlign w:val="center"/>
          </w:tcPr>
          <w:p w:rsidR="00B4494F" w:rsidRPr="009E3043" w:rsidRDefault="009E3043">
            <w:pPr>
              <w:pStyle w:val="Tabletext"/>
              <w:keepNext/>
              <w:spacing w:after="0"/>
              <w:jc w:val="center"/>
              <w:rPr>
                <w:rFonts w:ascii="Arial Narrow" w:hAnsi="Arial Narrow"/>
                <w:bCs/>
                <w:highlight w:val="black"/>
              </w:rPr>
            </w:pPr>
            <w:r>
              <w:rPr>
                <w:rFonts w:ascii="Arial Narrow" w:hAnsi="Arial Narrow"/>
                <w:noProof/>
                <w:color w:val="000000"/>
                <w:highlight w:val="black"/>
              </w:rPr>
              <w:t>'''''''''''''''''''''''''''''''</w:t>
            </w:r>
          </w:p>
        </w:tc>
        <w:tc>
          <w:tcPr>
            <w:tcW w:w="647" w:type="pct"/>
            <w:shd w:val="clear" w:color="auto" w:fill="auto"/>
            <w:vAlign w:val="center"/>
          </w:tcPr>
          <w:p w:rsidR="00B4494F" w:rsidRPr="009E3043" w:rsidRDefault="009E3043">
            <w:pPr>
              <w:pStyle w:val="Tabletext"/>
              <w:keepNext/>
              <w:spacing w:after="0"/>
              <w:jc w:val="center"/>
              <w:rPr>
                <w:rFonts w:ascii="Arial Narrow" w:hAnsi="Arial Narrow"/>
                <w:bCs/>
                <w:highlight w:val="black"/>
              </w:rPr>
            </w:pPr>
            <w:r>
              <w:rPr>
                <w:rFonts w:ascii="Arial Narrow" w:hAnsi="Arial Narrow"/>
                <w:noProof/>
                <w:color w:val="000000"/>
                <w:highlight w:val="black"/>
              </w:rPr>
              <w:t>'''''''''''''''''''''''''''''''</w:t>
            </w:r>
          </w:p>
        </w:tc>
        <w:tc>
          <w:tcPr>
            <w:tcW w:w="647" w:type="pct"/>
            <w:shd w:val="clear" w:color="auto" w:fill="auto"/>
            <w:vAlign w:val="center"/>
          </w:tcPr>
          <w:p w:rsidR="00B4494F" w:rsidRPr="009E3043" w:rsidRDefault="009E3043">
            <w:pPr>
              <w:pStyle w:val="Tabletext"/>
              <w:keepNext/>
              <w:spacing w:after="0"/>
              <w:jc w:val="center"/>
              <w:rPr>
                <w:rFonts w:ascii="Arial Narrow" w:hAnsi="Arial Narrow"/>
                <w:bCs/>
                <w:highlight w:val="black"/>
              </w:rPr>
            </w:pPr>
            <w:r>
              <w:rPr>
                <w:rFonts w:ascii="Arial Narrow" w:hAnsi="Arial Narrow"/>
                <w:noProof/>
                <w:color w:val="000000"/>
                <w:highlight w:val="black"/>
              </w:rPr>
              <w:t>'''''''''''''''''''''''''''''''</w:t>
            </w:r>
          </w:p>
        </w:tc>
        <w:tc>
          <w:tcPr>
            <w:tcW w:w="647" w:type="pct"/>
            <w:shd w:val="clear" w:color="auto" w:fill="auto"/>
            <w:vAlign w:val="center"/>
          </w:tcPr>
          <w:p w:rsidR="00B4494F" w:rsidRPr="009E3043" w:rsidRDefault="009E3043">
            <w:pPr>
              <w:pStyle w:val="Tabletext"/>
              <w:keepNext/>
              <w:spacing w:after="0"/>
              <w:jc w:val="center"/>
              <w:rPr>
                <w:rFonts w:ascii="Arial Narrow" w:hAnsi="Arial Narrow"/>
                <w:bCs/>
                <w:highlight w:val="black"/>
              </w:rPr>
            </w:pPr>
            <w:r>
              <w:rPr>
                <w:rFonts w:ascii="Arial Narrow" w:hAnsi="Arial Narrow"/>
                <w:noProof/>
                <w:color w:val="000000"/>
                <w:highlight w:val="black"/>
              </w:rPr>
              <w:t>''''''''''''''''''''''''''''''</w:t>
            </w:r>
          </w:p>
        </w:tc>
        <w:tc>
          <w:tcPr>
            <w:tcW w:w="647" w:type="pct"/>
            <w:vAlign w:val="center"/>
          </w:tcPr>
          <w:p w:rsidR="00B4494F" w:rsidRPr="009E3043" w:rsidRDefault="009E3043">
            <w:pPr>
              <w:pStyle w:val="Tabletext"/>
              <w:keepNext/>
              <w:spacing w:after="0"/>
              <w:jc w:val="center"/>
              <w:rPr>
                <w:rFonts w:ascii="Arial Narrow" w:hAnsi="Arial Narrow"/>
                <w:bCs/>
                <w:highlight w:val="black"/>
              </w:rPr>
            </w:pPr>
            <w:r>
              <w:rPr>
                <w:rFonts w:ascii="Arial Narrow" w:hAnsi="Arial Narrow"/>
                <w:noProof/>
                <w:color w:val="000000"/>
                <w:highlight w:val="black"/>
              </w:rPr>
              <w:t>'''''''''''''''''''''''''''</w:t>
            </w:r>
          </w:p>
        </w:tc>
      </w:tr>
      <w:tr w:rsidR="00B4494F">
        <w:tc>
          <w:tcPr>
            <w:tcW w:w="1118" w:type="pct"/>
            <w:shd w:val="clear" w:color="auto" w:fill="auto"/>
            <w:vAlign w:val="center"/>
          </w:tcPr>
          <w:p w:rsidR="00B4494F" w:rsidRDefault="00661BA6">
            <w:pPr>
              <w:pStyle w:val="Tabletext"/>
              <w:keepNext/>
              <w:spacing w:after="0"/>
              <w:rPr>
                <w:rFonts w:ascii="Arial Narrow" w:hAnsi="Arial Narrow"/>
              </w:rPr>
            </w:pPr>
            <w:r>
              <w:rPr>
                <w:rFonts w:ascii="Arial Narrow" w:hAnsi="Arial Narrow"/>
              </w:rPr>
              <w:t>Copayments</w:t>
            </w:r>
          </w:p>
        </w:tc>
        <w:tc>
          <w:tcPr>
            <w:tcW w:w="647" w:type="pct"/>
            <w:shd w:val="clear" w:color="auto" w:fill="auto"/>
            <w:vAlign w:val="center"/>
          </w:tcPr>
          <w:p w:rsidR="00B4494F" w:rsidRPr="009E3043" w:rsidRDefault="009E3043">
            <w:pPr>
              <w:pStyle w:val="Tabletext"/>
              <w:keepNext/>
              <w:spacing w:after="0"/>
              <w:jc w:val="center"/>
              <w:rPr>
                <w:rFonts w:ascii="Arial Narrow" w:hAnsi="Arial Narrow"/>
                <w:bCs/>
                <w:highlight w:val="black"/>
              </w:rPr>
            </w:pPr>
            <w:r>
              <w:rPr>
                <w:rFonts w:ascii="Arial Narrow" w:hAnsi="Arial Narrow"/>
                <w:noProof/>
                <w:color w:val="000000"/>
                <w:highlight w:val="black"/>
              </w:rPr>
              <w:t>'''''''''''''''''''''''</w:t>
            </w:r>
          </w:p>
        </w:tc>
        <w:tc>
          <w:tcPr>
            <w:tcW w:w="647" w:type="pct"/>
            <w:shd w:val="clear" w:color="auto" w:fill="auto"/>
            <w:vAlign w:val="center"/>
          </w:tcPr>
          <w:p w:rsidR="00B4494F" w:rsidRPr="009E3043" w:rsidRDefault="009E3043">
            <w:pPr>
              <w:pStyle w:val="Tabletext"/>
              <w:keepNext/>
              <w:spacing w:after="0"/>
              <w:jc w:val="center"/>
              <w:rPr>
                <w:rFonts w:ascii="Arial Narrow" w:hAnsi="Arial Narrow"/>
                <w:bCs/>
                <w:highlight w:val="black"/>
              </w:rPr>
            </w:pPr>
            <w:r>
              <w:rPr>
                <w:rFonts w:ascii="Arial Narrow" w:hAnsi="Arial Narrow"/>
                <w:noProof/>
                <w:color w:val="000000"/>
                <w:highlight w:val="black"/>
              </w:rPr>
              <w:t>''''''''''''''''''''''</w:t>
            </w:r>
          </w:p>
        </w:tc>
        <w:tc>
          <w:tcPr>
            <w:tcW w:w="647" w:type="pct"/>
            <w:shd w:val="clear" w:color="auto" w:fill="auto"/>
            <w:vAlign w:val="center"/>
          </w:tcPr>
          <w:p w:rsidR="00B4494F" w:rsidRPr="009E3043" w:rsidRDefault="009E3043">
            <w:pPr>
              <w:pStyle w:val="Tabletext"/>
              <w:keepNext/>
              <w:spacing w:after="0"/>
              <w:jc w:val="center"/>
              <w:rPr>
                <w:rFonts w:ascii="Arial Narrow" w:hAnsi="Arial Narrow"/>
                <w:bCs/>
                <w:highlight w:val="black"/>
              </w:rPr>
            </w:pPr>
            <w:r>
              <w:rPr>
                <w:rFonts w:ascii="Arial Narrow" w:hAnsi="Arial Narrow"/>
                <w:noProof/>
                <w:color w:val="000000"/>
                <w:highlight w:val="black"/>
              </w:rPr>
              <w:t>''''''''''''''''''''''''</w:t>
            </w:r>
          </w:p>
        </w:tc>
        <w:tc>
          <w:tcPr>
            <w:tcW w:w="647" w:type="pct"/>
            <w:shd w:val="clear" w:color="auto" w:fill="auto"/>
            <w:vAlign w:val="center"/>
          </w:tcPr>
          <w:p w:rsidR="00B4494F" w:rsidRPr="009E3043" w:rsidRDefault="009E3043">
            <w:pPr>
              <w:pStyle w:val="Tabletext"/>
              <w:keepNext/>
              <w:spacing w:after="0"/>
              <w:jc w:val="center"/>
              <w:rPr>
                <w:rFonts w:ascii="Arial Narrow" w:hAnsi="Arial Narrow"/>
                <w:bCs/>
                <w:highlight w:val="black"/>
              </w:rPr>
            </w:pPr>
            <w:r>
              <w:rPr>
                <w:rFonts w:ascii="Arial Narrow" w:hAnsi="Arial Narrow"/>
                <w:noProof/>
                <w:color w:val="000000"/>
                <w:highlight w:val="black"/>
              </w:rPr>
              <w:t>'''''''''''''''''''''''</w:t>
            </w:r>
          </w:p>
        </w:tc>
        <w:tc>
          <w:tcPr>
            <w:tcW w:w="647" w:type="pct"/>
            <w:shd w:val="clear" w:color="auto" w:fill="auto"/>
            <w:vAlign w:val="center"/>
          </w:tcPr>
          <w:p w:rsidR="00B4494F" w:rsidRPr="009E3043" w:rsidRDefault="009E3043">
            <w:pPr>
              <w:pStyle w:val="Tabletext"/>
              <w:keepNext/>
              <w:spacing w:after="0"/>
              <w:jc w:val="center"/>
              <w:rPr>
                <w:rFonts w:ascii="Arial Narrow" w:hAnsi="Arial Narrow"/>
                <w:bCs/>
                <w:highlight w:val="black"/>
              </w:rPr>
            </w:pPr>
            <w:r>
              <w:rPr>
                <w:rFonts w:ascii="Arial Narrow" w:hAnsi="Arial Narrow"/>
                <w:noProof/>
                <w:color w:val="000000"/>
                <w:highlight w:val="black"/>
              </w:rPr>
              <w:t>''''''''''''''''''''''''</w:t>
            </w:r>
          </w:p>
        </w:tc>
        <w:tc>
          <w:tcPr>
            <w:tcW w:w="647" w:type="pct"/>
            <w:vAlign w:val="center"/>
          </w:tcPr>
          <w:p w:rsidR="00B4494F" w:rsidRPr="009E3043" w:rsidRDefault="009E3043">
            <w:pPr>
              <w:pStyle w:val="Tabletext"/>
              <w:keepNext/>
              <w:spacing w:after="0"/>
              <w:jc w:val="center"/>
              <w:rPr>
                <w:rFonts w:ascii="Arial Narrow" w:hAnsi="Arial Narrow"/>
                <w:bCs/>
                <w:highlight w:val="black"/>
              </w:rPr>
            </w:pPr>
            <w:r>
              <w:rPr>
                <w:rFonts w:ascii="Arial Narrow" w:hAnsi="Arial Narrow"/>
                <w:noProof/>
                <w:color w:val="000000"/>
                <w:highlight w:val="black"/>
              </w:rPr>
              <w:t>'''''''''''''''''''''''</w:t>
            </w:r>
          </w:p>
        </w:tc>
      </w:tr>
      <w:tr w:rsidR="00B4494F">
        <w:tc>
          <w:tcPr>
            <w:tcW w:w="1118" w:type="pct"/>
            <w:shd w:val="clear" w:color="auto" w:fill="auto"/>
            <w:vAlign w:val="center"/>
          </w:tcPr>
          <w:p w:rsidR="00B4494F" w:rsidRDefault="00661BA6">
            <w:pPr>
              <w:pStyle w:val="Tabletext"/>
              <w:keepNext/>
              <w:spacing w:after="0"/>
              <w:rPr>
                <w:rFonts w:ascii="Arial Narrow" w:hAnsi="Arial Narrow"/>
              </w:rPr>
            </w:pPr>
            <w:r>
              <w:rPr>
                <w:rFonts w:ascii="Arial Narrow" w:hAnsi="Arial Narrow"/>
              </w:rPr>
              <w:t>Cost to PBS/RPBS less copayments</w:t>
            </w:r>
          </w:p>
        </w:tc>
        <w:tc>
          <w:tcPr>
            <w:tcW w:w="647" w:type="pct"/>
            <w:shd w:val="clear" w:color="auto" w:fill="auto"/>
            <w:vAlign w:val="center"/>
          </w:tcPr>
          <w:p w:rsidR="00B4494F" w:rsidRPr="009E3043" w:rsidRDefault="009E3043">
            <w:pPr>
              <w:pStyle w:val="Tabletext"/>
              <w:keepNext/>
              <w:spacing w:after="0"/>
              <w:jc w:val="center"/>
              <w:rPr>
                <w:rFonts w:ascii="Arial Narrow" w:hAnsi="Arial Narrow"/>
                <w:bCs/>
                <w:highlight w:val="black"/>
              </w:rPr>
            </w:pPr>
            <w:r>
              <w:rPr>
                <w:rFonts w:ascii="Arial Narrow" w:hAnsi="Arial Narrow"/>
                <w:noProof/>
                <w:color w:val="000000"/>
                <w:highlight w:val="black"/>
              </w:rPr>
              <w:t>''''''''''''''''''''''''''''</w:t>
            </w:r>
          </w:p>
        </w:tc>
        <w:tc>
          <w:tcPr>
            <w:tcW w:w="647" w:type="pct"/>
            <w:shd w:val="clear" w:color="auto" w:fill="auto"/>
            <w:vAlign w:val="center"/>
          </w:tcPr>
          <w:p w:rsidR="00B4494F" w:rsidRPr="009E3043" w:rsidRDefault="009E3043">
            <w:pPr>
              <w:pStyle w:val="Tabletext"/>
              <w:keepNext/>
              <w:spacing w:after="0"/>
              <w:jc w:val="center"/>
              <w:rPr>
                <w:rFonts w:ascii="Arial Narrow" w:hAnsi="Arial Narrow"/>
                <w:bCs/>
                <w:highlight w:val="black"/>
              </w:rPr>
            </w:pPr>
            <w:r>
              <w:rPr>
                <w:rFonts w:ascii="Arial Narrow" w:hAnsi="Arial Narrow"/>
                <w:noProof/>
                <w:color w:val="000000"/>
                <w:highlight w:val="black"/>
              </w:rPr>
              <w:t>'''''''''''''''''''''''''''''''</w:t>
            </w:r>
          </w:p>
        </w:tc>
        <w:tc>
          <w:tcPr>
            <w:tcW w:w="647" w:type="pct"/>
            <w:shd w:val="clear" w:color="auto" w:fill="auto"/>
            <w:vAlign w:val="center"/>
          </w:tcPr>
          <w:p w:rsidR="00B4494F" w:rsidRPr="009E3043" w:rsidRDefault="009E3043">
            <w:pPr>
              <w:pStyle w:val="Tabletext"/>
              <w:keepNext/>
              <w:spacing w:after="0"/>
              <w:jc w:val="center"/>
              <w:rPr>
                <w:rFonts w:ascii="Arial Narrow" w:hAnsi="Arial Narrow"/>
                <w:bCs/>
                <w:highlight w:val="black"/>
              </w:rPr>
            </w:pPr>
            <w:r>
              <w:rPr>
                <w:rFonts w:ascii="Arial Narrow" w:hAnsi="Arial Narrow"/>
                <w:noProof/>
                <w:color w:val="000000"/>
                <w:highlight w:val="black"/>
              </w:rPr>
              <w:t>''''''''''''''''''''''''''''''</w:t>
            </w:r>
          </w:p>
        </w:tc>
        <w:tc>
          <w:tcPr>
            <w:tcW w:w="647" w:type="pct"/>
            <w:shd w:val="clear" w:color="auto" w:fill="auto"/>
            <w:vAlign w:val="center"/>
          </w:tcPr>
          <w:p w:rsidR="00B4494F" w:rsidRPr="009E3043" w:rsidRDefault="009E3043">
            <w:pPr>
              <w:pStyle w:val="Tabletext"/>
              <w:keepNext/>
              <w:spacing w:after="0"/>
              <w:jc w:val="center"/>
              <w:rPr>
                <w:rFonts w:ascii="Arial Narrow" w:hAnsi="Arial Narrow"/>
                <w:bCs/>
                <w:highlight w:val="black"/>
              </w:rPr>
            </w:pPr>
            <w:r>
              <w:rPr>
                <w:rFonts w:ascii="Arial Narrow" w:hAnsi="Arial Narrow"/>
                <w:noProof/>
                <w:color w:val="000000"/>
                <w:highlight w:val="black"/>
              </w:rPr>
              <w:t>'''''''''''''''''''''''''''''</w:t>
            </w:r>
          </w:p>
        </w:tc>
        <w:tc>
          <w:tcPr>
            <w:tcW w:w="647" w:type="pct"/>
            <w:shd w:val="clear" w:color="auto" w:fill="auto"/>
            <w:vAlign w:val="center"/>
          </w:tcPr>
          <w:p w:rsidR="00B4494F" w:rsidRPr="009E3043" w:rsidRDefault="009E3043">
            <w:pPr>
              <w:pStyle w:val="Tabletext"/>
              <w:keepNext/>
              <w:spacing w:after="0"/>
              <w:jc w:val="center"/>
              <w:rPr>
                <w:rFonts w:ascii="Arial Narrow" w:hAnsi="Arial Narrow"/>
                <w:bCs/>
                <w:highlight w:val="black"/>
              </w:rPr>
            </w:pPr>
            <w:r>
              <w:rPr>
                <w:rFonts w:ascii="Arial Narrow" w:hAnsi="Arial Narrow"/>
                <w:noProof/>
                <w:color w:val="000000"/>
                <w:highlight w:val="black"/>
              </w:rPr>
              <w:t>'''''''''''''''''''''''''''''</w:t>
            </w:r>
          </w:p>
        </w:tc>
        <w:tc>
          <w:tcPr>
            <w:tcW w:w="647" w:type="pct"/>
            <w:vAlign w:val="center"/>
          </w:tcPr>
          <w:p w:rsidR="00B4494F" w:rsidRPr="009E3043" w:rsidRDefault="009E3043">
            <w:pPr>
              <w:pStyle w:val="Tabletext"/>
              <w:keepNext/>
              <w:spacing w:after="0"/>
              <w:jc w:val="center"/>
              <w:rPr>
                <w:rFonts w:ascii="Arial Narrow" w:hAnsi="Arial Narrow"/>
                <w:bCs/>
                <w:highlight w:val="black"/>
              </w:rPr>
            </w:pPr>
            <w:r>
              <w:rPr>
                <w:rFonts w:ascii="Arial Narrow" w:hAnsi="Arial Narrow"/>
                <w:noProof/>
                <w:color w:val="000000"/>
                <w:highlight w:val="black"/>
              </w:rPr>
              <w:t>'''''''''''''''''''''''''''''''</w:t>
            </w:r>
          </w:p>
        </w:tc>
      </w:tr>
      <w:tr w:rsidR="00B4494F">
        <w:tc>
          <w:tcPr>
            <w:tcW w:w="5000" w:type="pct"/>
            <w:gridSpan w:val="7"/>
            <w:shd w:val="clear" w:color="auto" w:fill="auto"/>
            <w:vAlign w:val="center"/>
          </w:tcPr>
          <w:p w:rsidR="00B4494F" w:rsidRDefault="00661BA6">
            <w:pPr>
              <w:pStyle w:val="Tabletext"/>
              <w:keepNext/>
              <w:spacing w:after="0"/>
              <w:rPr>
                <w:rFonts w:ascii="Arial Narrow" w:hAnsi="Arial Narrow"/>
                <w:bCs/>
              </w:rPr>
            </w:pPr>
            <w:r>
              <w:rPr>
                <w:rFonts w:ascii="Arial Narrow" w:hAnsi="Arial Narrow"/>
                <w:b/>
                <w:bCs/>
              </w:rPr>
              <w:t xml:space="preserve">Estimated financial implications for the current Authority Required listing </w:t>
            </w:r>
          </w:p>
        </w:tc>
      </w:tr>
      <w:tr w:rsidR="00B4494F">
        <w:tc>
          <w:tcPr>
            <w:tcW w:w="1118" w:type="pct"/>
            <w:shd w:val="clear" w:color="auto" w:fill="auto"/>
            <w:vAlign w:val="center"/>
          </w:tcPr>
          <w:p w:rsidR="00B4494F" w:rsidRDefault="00661BA6">
            <w:pPr>
              <w:pStyle w:val="Tabletext"/>
              <w:keepNext/>
              <w:spacing w:after="0"/>
              <w:rPr>
                <w:rFonts w:ascii="Arial Narrow" w:hAnsi="Arial Narrow"/>
              </w:rPr>
            </w:pPr>
            <w:r>
              <w:rPr>
                <w:rFonts w:ascii="Arial Narrow" w:hAnsi="Arial Narrow"/>
              </w:rPr>
              <w:t>Cost to PBS/RPBS</w:t>
            </w:r>
          </w:p>
        </w:tc>
        <w:tc>
          <w:tcPr>
            <w:tcW w:w="647" w:type="pct"/>
            <w:shd w:val="clear" w:color="auto" w:fill="auto"/>
            <w:vAlign w:val="center"/>
          </w:tcPr>
          <w:p w:rsidR="00B4494F" w:rsidRPr="009E3043" w:rsidRDefault="009E3043">
            <w:pPr>
              <w:pStyle w:val="Tabletext"/>
              <w:keepNext/>
              <w:spacing w:after="0"/>
              <w:jc w:val="center"/>
              <w:rPr>
                <w:rFonts w:ascii="Arial Narrow" w:hAnsi="Arial Narrow"/>
                <w:bCs/>
                <w:highlight w:val="black"/>
              </w:rPr>
            </w:pPr>
            <w:r>
              <w:rPr>
                <w:rFonts w:ascii="Arial Narrow" w:hAnsi="Arial Narrow"/>
                <w:noProof/>
                <w:color w:val="000000"/>
                <w:highlight w:val="black"/>
              </w:rPr>
              <w:t>''''''''''''''''''''''''''''</w:t>
            </w:r>
          </w:p>
        </w:tc>
        <w:tc>
          <w:tcPr>
            <w:tcW w:w="647" w:type="pct"/>
            <w:shd w:val="clear" w:color="auto" w:fill="auto"/>
            <w:vAlign w:val="center"/>
          </w:tcPr>
          <w:p w:rsidR="00B4494F" w:rsidRPr="009E3043" w:rsidRDefault="009E3043">
            <w:pPr>
              <w:pStyle w:val="Tabletext"/>
              <w:keepNext/>
              <w:spacing w:after="0"/>
              <w:jc w:val="center"/>
              <w:rPr>
                <w:rFonts w:ascii="Arial Narrow" w:hAnsi="Arial Narrow"/>
                <w:bCs/>
                <w:highlight w:val="black"/>
              </w:rPr>
            </w:pPr>
            <w:r>
              <w:rPr>
                <w:rFonts w:ascii="Arial Narrow" w:hAnsi="Arial Narrow"/>
                <w:noProof/>
                <w:color w:val="000000"/>
                <w:highlight w:val="black"/>
              </w:rPr>
              <w:t>'''''''''''''''''''''''''''''''</w:t>
            </w:r>
          </w:p>
        </w:tc>
        <w:tc>
          <w:tcPr>
            <w:tcW w:w="647" w:type="pct"/>
            <w:shd w:val="clear" w:color="auto" w:fill="auto"/>
            <w:vAlign w:val="center"/>
          </w:tcPr>
          <w:p w:rsidR="00B4494F" w:rsidRPr="009E3043" w:rsidRDefault="009E3043">
            <w:pPr>
              <w:pStyle w:val="Tabletext"/>
              <w:keepNext/>
              <w:spacing w:after="0"/>
              <w:jc w:val="center"/>
              <w:rPr>
                <w:rFonts w:ascii="Arial Narrow" w:hAnsi="Arial Narrow"/>
                <w:bCs/>
                <w:highlight w:val="black"/>
              </w:rPr>
            </w:pPr>
            <w:r>
              <w:rPr>
                <w:rFonts w:ascii="Arial Narrow" w:hAnsi="Arial Narrow"/>
                <w:noProof/>
                <w:color w:val="000000"/>
                <w:highlight w:val="black"/>
              </w:rPr>
              <w:t>''''''''''''''''''''''''''''''</w:t>
            </w:r>
          </w:p>
        </w:tc>
        <w:tc>
          <w:tcPr>
            <w:tcW w:w="647" w:type="pct"/>
            <w:shd w:val="clear" w:color="auto" w:fill="auto"/>
            <w:vAlign w:val="center"/>
          </w:tcPr>
          <w:p w:rsidR="00B4494F" w:rsidRPr="009E3043" w:rsidRDefault="009E3043">
            <w:pPr>
              <w:pStyle w:val="Tabletext"/>
              <w:keepNext/>
              <w:spacing w:after="0"/>
              <w:jc w:val="center"/>
              <w:rPr>
                <w:rFonts w:ascii="Arial Narrow" w:hAnsi="Arial Narrow"/>
                <w:bCs/>
                <w:highlight w:val="black"/>
              </w:rPr>
            </w:pPr>
            <w:r>
              <w:rPr>
                <w:rFonts w:ascii="Arial Narrow" w:hAnsi="Arial Narrow"/>
                <w:noProof/>
                <w:color w:val="000000"/>
                <w:highlight w:val="black"/>
              </w:rPr>
              <w:t>'''''''''''''''''''''''''''''</w:t>
            </w:r>
          </w:p>
        </w:tc>
        <w:tc>
          <w:tcPr>
            <w:tcW w:w="647" w:type="pct"/>
            <w:shd w:val="clear" w:color="auto" w:fill="auto"/>
            <w:vAlign w:val="center"/>
          </w:tcPr>
          <w:p w:rsidR="00B4494F" w:rsidRPr="009E3043" w:rsidRDefault="009E3043">
            <w:pPr>
              <w:pStyle w:val="Tabletext"/>
              <w:keepNext/>
              <w:spacing w:after="0"/>
              <w:jc w:val="center"/>
              <w:rPr>
                <w:rFonts w:ascii="Arial Narrow" w:hAnsi="Arial Narrow"/>
                <w:bCs/>
                <w:highlight w:val="black"/>
              </w:rPr>
            </w:pPr>
            <w:r>
              <w:rPr>
                <w:rFonts w:ascii="Arial Narrow" w:hAnsi="Arial Narrow"/>
                <w:noProof/>
                <w:color w:val="000000"/>
                <w:highlight w:val="black"/>
              </w:rPr>
              <w:t>'''''''''''''''''''''''''''''</w:t>
            </w:r>
          </w:p>
        </w:tc>
        <w:tc>
          <w:tcPr>
            <w:tcW w:w="647" w:type="pct"/>
            <w:vAlign w:val="center"/>
          </w:tcPr>
          <w:p w:rsidR="00B4494F" w:rsidRPr="009E3043" w:rsidRDefault="009E3043">
            <w:pPr>
              <w:pStyle w:val="Tabletext"/>
              <w:keepNext/>
              <w:spacing w:after="0"/>
              <w:jc w:val="center"/>
              <w:rPr>
                <w:rFonts w:ascii="Arial Narrow" w:hAnsi="Arial Narrow"/>
                <w:bCs/>
                <w:highlight w:val="black"/>
              </w:rPr>
            </w:pPr>
            <w:r>
              <w:rPr>
                <w:rFonts w:ascii="Arial Narrow" w:hAnsi="Arial Narrow"/>
                <w:noProof/>
                <w:color w:val="000000"/>
                <w:highlight w:val="black"/>
              </w:rPr>
              <w:t>'''''''''''''''''''''''''''''</w:t>
            </w:r>
          </w:p>
        </w:tc>
      </w:tr>
      <w:tr w:rsidR="00B4494F">
        <w:tc>
          <w:tcPr>
            <w:tcW w:w="1118" w:type="pct"/>
            <w:shd w:val="clear" w:color="auto" w:fill="auto"/>
            <w:vAlign w:val="center"/>
          </w:tcPr>
          <w:p w:rsidR="00B4494F" w:rsidRDefault="00661BA6">
            <w:pPr>
              <w:pStyle w:val="Tabletext"/>
              <w:keepNext/>
              <w:spacing w:after="0"/>
              <w:rPr>
                <w:rFonts w:ascii="Arial Narrow" w:hAnsi="Arial Narrow"/>
              </w:rPr>
            </w:pPr>
            <w:r>
              <w:rPr>
                <w:rFonts w:ascii="Arial Narrow" w:hAnsi="Arial Narrow"/>
              </w:rPr>
              <w:t>Copayments</w:t>
            </w:r>
          </w:p>
        </w:tc>
        <w:tc>
          <w:tcPr>
            <w:tcW w:w="647" w:type="pct"/>
            <w:shd w:val="clear" w:color="auto" w:fill="auto"/>
            <w:vAlign w:val="center"/>
          </w:tcPr>
          <w:p w:rsidR="00B4494F" w:rsidRPr="009E3043" w:rsidRDefault="009E3043">
            <w:pPr>
              <w:pStyle w:val="Tabletext"/>
              <w:keepNext/>
              <w:spacing w:after="0"/>
              <w:jc w:val="center"/>
              <w:rPr>
                <w:rFonts w:ascii="Arial Narrow" w:hAnsi="Arial Narrow"/>
                <w:bCs/>
                <w:highlight w:val="black"/>
              </w:rPr>
            </w:pPr>
            <w:r>
              <w:rPr>
                <w:rFonts w:ascii="Arial Narrow" w:hAnsi="Arial Narrow"/>
                <w:noProof/>
                <w:color w:val="000000"/>
                <w:highlight w:val="black"/>
              </w:rPr>
              <w:t>''''''''''''''''''''''</w:t>
            </w:r>
          </w:p>
        </w:tc>
        <w:tc>
          <w:tcPr>
            <w:tcW w:w="647" w:type="pct"/>
            <w:shd w:val="clear" w:color="auto" w:fill="auto"/>
            <w:vAlign w:val="center"/>
          </w:tcPr>
          <w:p w:rsidR="00B4494F" w:rsidRPr="009E3043" w:rsidRDefault="009E3043">
            <w:pPr>
              <w:pStyle w:val="Tabletext"/>
              <w:keepNext/>
              <w:spacing w:after="0"/>
              <w:jc w:val="center"/>
              <w:rPr>
                <w:rFonts w:ascii="Arial Narrow" w:hAnsi="Arial Narrow"/>
                <w:bCs/>
                <w:highlight w:val="black"/>
              </w:rPr>
            </w:pPr>
            <w:r>
              <w:rPr>
                <w:rFonts w:ascii="Arial Narrow" w:hAnsi="Arial Narrow"/>
                <w:noProof/>
                <w:color w:val="000000"/>
                <w:highlight w:val="black"/>
              </w:rPr>
              <w:t>''''''''''''''''''''''</w:t>
            </w:r>
          </w:p>
        </w:tc>
        <w:tc>
          <w:tcPr>
            <w:tcW w:w="647" w:type="pct"/>
            <w:shd w:val="clear" w:color="auto" w:fill="auto"/>
            <w:vAlign w:val="center"/>
          </w:tcPr>
          <w:p w:rsidR="00B4494F" w:rsidRPr="009E3043" w:rsidRDefault="009E3043">
            <w:pPr>
              <w:pStyle w:val="Tabletext"/>
              <w:keepNext/>
              <w:spacing w:after="0"/>
              <w:jc w:val="center"/>
              <w:rPr>
                <w:rFonts w:ascii="Arial Narrow" w:hAnsi="Arial Narrow"/>
                <w:bCs/>
                <w:highlight w:val="black"/>
              </w:rPr>
            </w:pPr>
            <w:r>
              <w:rPr>
                <w:rFonts w:ascii="Arial Narrow" w:hAnsi="Arial Narrow"/>
                <w:noProof/>
                <w:color w:val="000000"/>
                <w:highlight w:val="black"/>
              </w:rPr>
              <w:t>'''''''''''''''''''''</w:t>
            </w:r>
          </w:p>
        </w:tc>
        <w:tc>
          <w:tcPr>
            <w:tcW w:w="647" w:type="pct"/>
            <w:shd w:val="clear" w:color="auto" w:fill="auto"/>
            <w:vAlign w:val="center"/>
          </w:tcPr>
          <w:p w:rsidR="00B4494F" w:rsidRPr="009E3043" w:rsidRDefault="009E3043">
            <w:pPr>
              <w:pStyle w:val="Tabletext"/>
              <w:keepNext/>
              <w:spacing w:after="0"/>
              <w:jc w:val="center"/>
              <w:rPr>
                <w:rFonts w:ascii="Arial Narrow" w:hAnsi="Arial Narrow"/>
                <w:bCs/>
                <w:highlight w:val="black"/>
              </w:rPr>
            </w:pPr>
            <w:r>
              <w:rPr>
                <w:rFonts w:ascii="Arial Narrow" w:hAnsi="Arial Narrow"/>
                <w:noProof/>
                <w:color w:val="000000"/>
                <w:highlight w:val="black"/>
              </w:rPr>
              <w:t>'''''''''''''''''''''</w:t>
            </w:r>
          </w:p>
        </w:tc>
        <w:tc>
          <w:tcPr>
            <w:tcW w:w="647" w:type="pct"/>
            <w:shd w:val="clear" w:color="auto" w:fill="auto"/>
            <w:vAlign w:val="center"/>
          </w:tcPr>
          <w:p w:rsidR="00B4494F" w:rsidRPr="009E3043" w:rsidRDefault="009E3043">
            <w:pPr>
              <w:pStyle w:val="Tabletext"/>
              <w:keepNext/>
              <w:spacing w:after="0"/>
              <w:jc w:val="center"/>
              <w:rPr>
                <w:rFonts w:ascii="Arial Narrow" w:hAnsi="Arial Narrow"/>
                <w:bCs/>
                <w:highlight w:val="black"/>
              </w:rPr>
            </w:pPr>
            <w:r>
              <w:rPr>
                <w:rFonts w:ascii="Arial Narrow" w:hAnsi="Arial Narrow"/>
                <w:noProof/>
                <w:color w:val="000000"/>
                <w:highlight w:val="black"/>
              </w:rPr>
              <w:t>'''''''''''''''''''''''</w:t>
            </w:r>
          </w:p>
        </w:tc>
        <w:tc>
          <w:tcPr>
            <w:tcW w:w="647" w:type="pct"/>
            <w:vAlign w:val="center"/>
          </w:tcPr>
          <w:p w:rsidR="00B4494F" w:rsidRPr="009E3043" w:rsidRDefault="009E3043">
            <w:pPr>
              <w:pStyle w:val="Tabletext"/>
              <w:keepNext/>
              <w:spacing w:after="0"/>
              <w:jc w:val="center"/>
              <w:rPr>
                <w:rFonts w:ascii="Arial Narrow" w:hAnsi="Arial Narrow"/>
                <w:bCs/>
                <w:highlight w:val="black"/>
              </w:rPr>
            </w:pPr>
            <w:r>
              <w:rPr>
                <w:rFonts w:ascii="Arial Narrow" w:hAnsi="Arial Narrow"/>
                <w:noProof/>
                <w:color w:val="000000"/>
                <w:highlight w:val="black"/>
              </w:rPr>
              <w:t>''''''''''''''''''''''</w:t>
            </w:r>
          </w:p>
        </w:tc>
      </w:tr>
      <w:tr w:rsidR="00B4494F">
        <w:tc>
          <w:tcPr>
            <w:tcW w:w="1118" w:type="pct"/>
            <w:shd w:val="clear" w:color="auto" w:fill="auto"/>
            <w:vAlign w:val="center"/>
          </w:tcPr>
          <w:p w:rsidR="00B4494F" w:rsidRDefault="00661BA6">
            <w:pPr>
              <w:pStyle w:val="Tabletext"/>
              <w:keepNext/>
              <w:spacing w:after="0"/>
              <w:rPr>
                <w:rFonts w:ascii="Arial Narrow" w:hAnsi="Arial Narrow"/>
              </w:rPr>
            </w:pPr>
            <w:r>
              <w:rPr>
                <w:rFonts w:ascii="Arial Narrow" w:hAnsi="Arial Narrow"/>
              </w:rPr>
              <w:t>Cost to PBS/RPBS less copayments</w:t>
            </w:r>
          </w:p>
        </w:tc>
        <w:tc>
          <w:tcPr>
            <w:tcW w:w="647" w:type="pct"/>
            <w:shd w:val="clear" w:color="auto" w:fill="auto"/>
            <w:vAlign w:val="center"/>
          </w:tcPr>
          <w:p w:rsidR="00B4494F" w:rsidRPr="009E3043" w:rsidRDefault="009E3043">
            <w:pPr>
              <w:pStyle w:val="Tabletext"/>
              <w:keepNext/>
              <w:spacing w:after="0"/>
              <w:jc w:val="center"/>
              <w:rPr>
                <w:rFonts w:ascii="Arial Narrow" w:hAnsi="Arial Narrow"/>
                <w:bCs/>
                <w:highlight w:val="black"/>
              </w:rPr>
            </w:pPr>
            <w:r>
              <w:rPr>
                <w:rFonts w:ascii="Arial Narrow" w:hAnsi="Arial Narrow"/>
                <w:noProof/>
                <w:color w:val="000000"/>
                <w:highlight w:val="black"/>
              </w:rPr>
              <w:t>'''''''''''''''''''''''''''</w:t>
            </w:r>
          </w:p>
        </w:tc>
        <w:tc>
          <w:tcPr>
            <w:tcW w:w="647" w:type="pct"/>
            <w:shd w:val="clear" w:color="auto" w:fill="auto"/>
            <w:vAlign w:val="center"/>
          </w:tcPr>
          <w:p w:rsidR="00B4494F" w:rsidRPr="009E3043" w:rsidRDefault="009E3043">
            <w:pPr>
              <w:pStyle w:val="Tabletext"/>
              <w:keepNext/>
              <w:spacing w:after="0"/>
              <w:jc w:val="center"/>
              <w:rPr>
                <w:rFonts w:ascii="Arial Narrow" w:hAnsi="Arial Narrow"/>
                <w:bCs/>
                <w:highlight w:val="black"/>
              </w:rPr>
            </w:pPr>
            <w:r>
              <w:rPr>
                <w:rFonts w:ascii="Arial Narrow" w:hAnsi="Arial Narrow"/>
                <w:noProof/>
                <w:color w:val="000000"/>
                <w:highlight w:val="black"/>
              </w:rPr>
              <w:t>'''''''''''''''''''''''''''''</w:t>
            </w:r>
          </w:p>
        </w:tc>
        <w:tc>
          <w:tcPr>
            <w:tcW w:w="647" w:type="pct"/>
            <w:shd w:val="clear" w:color="auto" w:fill="auto"/>
            <w:vAlign w:val="center"/>
          </w:tcPr>
          <w:p w:rsidR="00B4494F" w:rsidRPr="009E3043" w:rsidRDefault="009E3043">
            <w:pPr>
              <w:pStyle w:val="Tabletext"/>
              <w:keepNext/>
              <w:spacing w:after="0"/>
              <w:jc w:val="center"/>
              <w:rPr>
                <w:rFonts w:ascii="Arial Narrow" w:hAnsi="Arial Narrow"/>
                <w:bCs/>
                <w:highlight w:val="black"/>
              </w:rPr>
            </w:pPr>
            <w:r>
              <w:rPr>
                <w:rFonts w:ascii="Arial Narrow" w:hAnsi="Arial Narrow"/>
                <w:noProof/>
                <w:color w:val="000000"/>
                <w:highlight w:val="black"/>
              </w:rPr>
              <w:t>'''''''''''''''''''''''''''''''''</w:t>
            </w:r>
          </w:p>
        </w:tc>
        <w:tc>
          <w:tcPr>
            <w:tcW w:w="647" w:type="pct"/>
            <w:shd w:val="clear" w:color="auto" w:fill="auto"/>
            <w:vAlign w:val="center"/>
          </w:tcPr>
          <w:p w:rsidR="00B4494F" w:rsidRPr="009E3043" w:rsidRDefault="009E3043">
            <w:pPr>
              <w:pStyle w:val="Tabletext"/>
              <w:keepNext/>
              <w:spacing w:after="0"/>
              <w:jc w:val="center"/>
              <w:rPr>
                <w:rFonts w:ascii="Arial Narrow" w:hAnsi="Arial Narrow"/>
                <w:bCs/>
                <w:highlight w:val="black"/>
              </w:rPr>
            </w:pPr>
            <w:r>
              <w:rPr>
                <w:rFonts w:ascii="Arial Narrow" w:hAnsi="Arial Narrow"/>
                <w:noProof/>
                <w:color w:val="000000"/>
                <w:highlight w:val="black"/>
              </w:rPr>
              <w:t>'''''''''''''''''''''''''''''</w:t>
            </w:r>
          </w:p>
        </w:tc>
        <w:tc>
          <w:tcPr>
            <w:tcW w:w="647" w:type="pct"/>
            <w:shd w:val="clear" w:color="auto" w:fill="auto"/>
            <w:vAlign w:val="center"/>
          </w:tcPr>
          <w:p w:rsidR="00B4494F" w:rsidRPr="009E3043" w:rsidRDefault="009E3043">
            <w:pPr>
              <w:pStyle w:val="Tabletext"/>
              <w:keepNext/>
              <w:spacing w:after="0"/>
              <w:jc w:val="center"/>
              <w:rPr>
                <w:rFonts w:ascii="Arial Narrow" w:hAnsi="Arial Narrow"/>
                <w:bCs/>
                <w:highlight w:val="black"/>
              </w:rPr>
            </w:pPr>
            <w:r>
              <w:rPr>
                <w:rFonts w:ascii="Arial Narrow" w:hAnsi="Arial Narrow"/>
                <w:noProof/>
                <w:color w:val="000000"/>
                <w:highlight w:val="black"/>
              </w:rPr>
              <w:t>''''''''''''''''''''''''''''''''</w:t>
            </w:r>
          </w:p>
        </w:tc>
        <w:tc>
          <w:tcPr>
            <w:tcW w:w="647" w:type="pct"/>
            <w:vAlign w:val="center"/>
          </w:tcPr>
          <w:p w:rsidR="00B4494F" w:rsidRPr="009E3043" w:rsidRDefault="009E3043">
            <w:pPr>
              <w:pStyle w:val="Tabletext"/>
              <w:keepNext/>
              <w:spacing w:after="0"/>
              <w:jc w:val="center"/>
              <w:rPr>
                <w:rFonts w:ascii="Arial Narrow" w:hAnsi="Arial Narrow"/>
                <w:bCs/>
                <w:highlight w:val="black"/>
              </w:rPr>
            </w:pPr>
            <w:r>
              <w:rPr>
                <w:rFonts w:ascii="Arial Narrow" w:hAnsi="Arial Narrow"/>
                <w:noProof/>
                <w:color w:val="000000"/>
                <w:highlight w:val="black"/>
              </w:rPr>
              <w:t>'''''''''''''''''''''''''''''''</w:t>
            </w:r>
          </w:p>
        </w:tc>
      </w:tr>
      <w:tr w:rsidR="00B4494F">
        <w:tc>
          <w:tcPr>
            <w:tcW w:w="5000" w:type="pct"/>
            <w:gridSpan w:val="7"/>
            <w:shd w:val="clear" w:color="auto" w:fill="auto"/>
            <w:vAlign w:val="center"/>
          </w:tcPr>
          <w:p w:rsidR="00B4494F" w:rsidRDefault="00661BA6">
            <w:pPr>
              <w:pStyle w:val="Tabletext"/>
              <w:keepNext/>
              <w:spacing w:after="0"/>
              <w:rPr>
                <w:rFonts w:ascii="Arial Narrow" w:hAnsi="Arial Narrow"/>
                <w:b/>
                <w:bCs/>
              </w:rPr>
            </w:pPr>
            <w:r>
              <w:rPr>
                <w:rFonts w:ascii="Arial Narrow" w:hAnsi="Arial Narrow"/>
                <w:b/>
                <w:bCs/>
              </w:rPr>
              <w:t xml:space="preserve">Net financial implications </w:t>
            </w:r>
          </w:p>
        </w:tc>
      </w:tr>
      <w:tr w:rsidR="00B4494F">
        <w:tc>
          <w:tcPr>
            <w:tcW w:w="1118" w:type="pct"/>
            <w:shd w:val="clear" w:color="auto" w:fill="auto"/>
            <w:vAlign w:val="center"/>
          </w:tcPr>
          <w:p w:rsidR="00B4494F" w:rsidRDefault="00661BA6">
            <w:pPr>
              <w:pStyle w:val="Tabletext"/>
              <w:keepNext/>
              <w:spacing w:after="0"/>
              <w:rPr>
                <w:rFonts w:ascii="Arial Narrow" w:hAnsi="Arial Narrow"/>
              </w:rPr>
            </w:pPr>
            <w:r>
              <w:rPr>
                <w:rFonts w:ascii="Arial Narrow" w:hAnsi="Arial Narrow"/>
              </w:rPr>
              <w:t>Net cost to PBS/RPBS</w:t>
            </w:r>
          </w:p>
        </w:tc>
        <w:tc>
          <w:tcPr>
            <w:tcW w:w="647" w:type="pct"/>
            <w:shd w:val="clear" w:color="auto" w:fill="auto"/>
            <w:vAlign w:val="center"/>
          </w:tcPr>
          <w:p w:rsidR="00B4494F" w:rsidRPr="009E3043" w:rsidRDefault="009E3043">
            <w:pPr>
              <w:pStyle w:val="Tabletext"/>
              <w:keepNext/>
              <w:spacing w:after="0"/>
              <w:jc w:val="center"/>
              <w:rPr>
                <w:rFonts w:ascii="Arial Narrow" w:hAnsi="Arial Narrow"/>
                <w:bCs/>
                <w:highlight w:val="black"/>
              </w:rPr>
            </w:pPr>
            <w:r>
              <w:rPr>
                <w:rFonts w:ascii="Arial Narrow" w:hAnsi="Arial Narrow"/>
                <w:noProof/>
                <w:color w:val="000000"/>
                <w:highlight w:val="black"/>
              </w:rPr>
              <w:t>'''''''''''''''''''''</w:t>
            </w:r>
          </w:p>
        </w:tc>
        <w:tc>
          <w:tcPr>
            <w:tcW w:w="647" w:type="pct"/>
            <w:shd w:val="clear" w:color="auto" w:fill="auto"/>
            <w:vAlign w:val="center"/>
          </w:tcPr>
          <w:p w:rsidR="00B4494F" w:rsidRPr="009E3043" w:rsidRDefault="009E3043">
            <w:pPr>
              <w:pStyle w:val="Tabletext"/>
              <w:keepNext/>
              <w:spacing w:after="0"/>
              <w:jc w:val="center"/>
              <w:rPr>
                <w:rFonts w:ascii="Arial Narrow" w:hAnsi="Arial Narrow"/>
                <w:bCs/>
                <w:highlight w:val="black"/>
              </w:rPr>
            </w:pPr>
            <w:r>
              <w:rPr>
                <w:rFonts w:ascii="Arial Narrow" w:hAnsi="Arial Narrow"/>
                <w:noProof/>
                <w:color w:val="000000"/>
                <w:highlight w:val="black"/>
              </w:rPr>
              <w:t>''''''''''''''''''''''''</w:t>
            </w:r>
          </w:p>
        </w:tc>
        <w:tc>
          <w:tcPr>
            <w:tcW w:w="647" w:type="pct"/>
            <w:shd w:val="clear" w:color="auto" w:fill="auto"/>
            <w:vAlign w:val="center"/>
          </w:tcPr>
          <w:p w:rsidR="00B4494F" w:rsidRPr="009E3043" w:rsidRDefault="009E3043">
            <w:pPr>
              <w:pStyle w:val="Tabletext"/>
              <w:keepNext/>
              <w:spacing w:after="0"/>
              <w:jc w:val="center"/>
              <w:rPr>
                <w:rFonts w:ascii="Arial Narrow" w:hAnsi="Arial Narrow"/>
                <w:bCs/>
                <w:highlight w:val="black"/>
              </w:rPr>
            </w:pPr>
            <w:r>
              <w:rPr>
                <w:rFonts w:ascii="Arial Narrow" w:hAnsi="Arial Narrow"/>
                <w:noProof/>
                <w:color w:val="000000"/>
                <w:highlight w:val="black"/>
              </w:rPr>
              <w:t>'''''''''''''''''''''''</w:t>
            </w:r>
          </w:p>
        </w:tc>
        <w:tc>
          <w:tcPr>
            <w:tcW w:w="647" w:type="pct"/>
            <w:shd w:val="clear" w:color="auto" w:fill="auto"/>
            <w:vAlign w:val="center"/>
          </w:tcPr>
          <w:p w:rsidR="00B4494F" w:rsidRPr="009E3043" w:rsidRDefault="009E3043">
            <w:pPr>
              <w:pStyle w:val="Tabletext"/>
              <w:keepNext/>
              <w:spacing w:after="0"/>
              <w:jc w:val="center"/>
              <w:rPr>
                <w:rFonts w:ascii="Arial Narrow" w:hAnsi="Arial Narrow"/>
                <w:bCs/>
                <w:highlight w:val="black"/>
              </w:rPr>
            </w:pPr>
            <w:r>
              <w:rPr>
                <w:rFonts w:ascii="Arial Narrow" w:hAnsi="Arial Narrow"/>
                <w:noProof/>
                <w:color w:val="000000"/>
                <w:highlight w:val="black"/>
              </w:rPr>
              <w:t>''''''''''''''''''''''</w:t>
            </w:r>
          </w:p>
        </w:tc>
        <w:tc>
          <w:tcPr>
            <w:tcW w:w="647" w:type="pct"/>
            <w:shd w:val="clear" w:color="auto" w:fill="auto"/>
            <w:vAlign w:val="center"/>
          </w:tcPr>
          <w:p w:rsidR="00B4494F" w:rsidRPr="009E3043" w:rsidRDefault="009E3043">
            <w:pPr>
              <w:pStyle w:val="Tabletext"/>
              <w:keepNext/>
              <w:spacing w:after="0"/>
              <w:jc w:val="center"/>
              <w:rPr>
                <w:rFonts w:ascii="Arial Narrow" w:hAnsi="Arial Narrow"/>
                <w:bCs/>
                <w:highlight w:val="black"/>
              </w:rPr>
            </w:pPr>
            <w:r>
              <w:rPr>
                <w:rFonts w:ascii="Arial Narrow" w:hAnsi="Arial Narrow"/>
                <w:noProof/>
                <w:color w:val="000000"/>
                <w:highlight w:val="black"/>
              </w:rPr>
              <w:t>''''''''''''''''''''''</w:t>
            </w:r>
          </w:p>
        </w:tc>
        <w:tc>
          <w:tcPr>
            <w:tcW w:w="647" w:type="pct"/>
            <w:vAlign w:val="center"/>
          </w:tcPr>
          <w:p w:rsidR="00B4494F" w:rsidRPr="009E3043" w:rsidRDefault="009E3043">
            <w:pPr>
              <w:pStyle w:val="Tabletext"/>
              <w:keepNext/>
              <w:spacing w:after="0"/>
              <w:jc w:val="center"/>
              <w:rPr>
                <w:rFonts w:ascii="Arial Narrow" w:hAnsi="Arial Narrow"/>
                <w:bCs/>
                <w:highlight w:val="black"/>
              </w:rPr>
            </w:pPr>
            <w:r>
              <w:rPr>
                <w:rFonts w:ascii="Arial Narrow" w:hAnsi="Arial Narrow"/>
                <w:noProof/>
                <w:color w:val="000000"/>
                <w:highlight w:val="black"/>
              </w:rPr>
              <w:t>''''''''''''''''''''</w:t>
            </w:r>
          </w:p>
        </w:tc>
      </w:tr>
    </w:tbl>
    <w:p w:rsidR="00B4494F" w:rsidRDefault="00661BA6">
      <w:pPr>
        <w:pStyle w:val="TableFooter"/>
        <w:widowControl/>
        <w:tabs>
          <w:tab w:val="left" w:pos="142"/>
        </w:tabs>
        <w:rPr>
          <w:sz w:val="20"/>
          <w:szCs w:val="20"/>
        </w:rPr>
      </w:pPr>
      <w:r>
        <w:rPr>
          <w:sz w:val="20"/>
          <w:szCs w:val="20"/>
        </w:rPr>
        <w:t>Source: Table 5.5, p33, Table 5.6, p34 and Table 5.7, p36 of the submission</w:t>
      </w:r>
    </w:p>
    <w:p w:rsidR="00B4494F" w:rsidRDefault="00661BA6">
      <w:pPr>
        <w:pStyle w:val="3Bodytext"/>
        <w:spacing w:before="120"/>
      </w:pPr>
      <w:r>
        <w:rPr>
          <w:szCs w:val="24"/>
        </w:rPr>
        <w:t xml:space="preserve">The minor submission stated that the increase in patient numbers because of the proposed change was uncertain. </w:t>
      </w:r>
      <w:r>
        <w:t xml:space="preserve">The submission presented a sensitivity analysis in which a higher increase in patient numbers (of 8%) was applied. In this scenario, the net cost to the PBS/RPBS in Year 6 following the proposed change would be around less than $10 </w:t>
      </w:r>
      <w:r w:rsidR="00004C5C">
        <w:t xml:space="preserve">million. </w:t>
      </w:r>
      <w:r>
        <w:t xml:space="preserve">However, the submission also </w:t>
      </w:r>
      <w:r>
        <w:rPr>
          <w:szCs w:val="24"/>
        </w:rPr>
        <w:t xml:space="preserve">noted that the median </w:t>
      </w:r>
      <w:r>
        <w:t>increase in patient numbers from the survey was 0%</w:t>
      </w:r>
      <w:r>
        <w:rPr>
          <w:szCs w:val="24"/>
        </w:rPr>
        <w:t xml:space="preserve"> in this scenario, there would be nil additional cost to the PBS/RPBS.</w:t>
      </w:r>
    </w:p>
    <w:p w:rsidR="00B4494F" w:rsidRDefault="00661BA6">
      <w:pPr>
        <w:pStyle w:val="ListParagraph"/>
        <w:widowControl/>
        <w:numPr>
          <w:ilvl w:val="1"/>
          <w:numId w:val="1"/>
        </w:numPr>
        <w:spacing w:before="120" w:after="120"/>
        <w:contextualSpacing w:val="0"/>
        <w:rPr>
          <w:rFonts w:asciiTheme="minorHAnsi" w:hAnsiTheme="minorHAnsi"/>
          <w:sz w:val="24"/>
          <w:szCs w:val="24"/>
        </w:rPr>
      </w:pPr>
      <w:r>
        <w:rPr>
          <w:rFonts w:asciiTheme="minorHAnsi" w:hAnsiTheme="minorHAnsi"/>
          <w:sz w:val="24"/>
          <w:szCs w:val="24"/>
        </w:rPr>
        <w:t>As a minor submission, the financial estimates have not been independently evaluated.</w:t>
      </w:r>
    </w:p>
    <w:p w:rsidR="00B4494F" w:rsidRDefault="00661BA6">
      <w:pPr>
        <w:pStyle w:val="Heading2"/>
        <w:keepLines/>
        <w:spacing w:before="120" w:after="120"/>
        <w:rPr>
          <w:rFonts w:asciiTheme="minorHAnsi" w:eastAsiaTheme="majorEastAsia" w:hAnsiTheme="minorHAnsi" w:cstheme="majorBidi"/>
          <w:sz w:val="28"/>
          <w:szCs w:val="28"/>
          <w:lang w:eastAsia="en-US"/>
        </w:rPr>
      </w:pPr>
      <w:bookmarkStart w:id="2" w:name="_Toc535943621"/>
      <w:r>
        <w:rPr>
          <w:rFonts w:asciiTheme="minorHAnsi" w:eastAsiaTheme="majorEastAsia" w:hAnsiTheme="minorHAnsi" w:cstheme="majorBidi"/>
          <w:sz w:val="28"/>
          <w:szCs w:val="28"/>
          <w:lang w:eastAsia="en-US"/>
        </w:rPr>
        <w:t>Financial Management – Risk Sharing Arrangements</w:t>
      </w:r>
      <w:bookmarkEnd w:id="2"/>
    </w:p>
    <w:p w:rsidR="00B4494F" w:rsidRDefault="00661BA6">
      <w:pPr>
        <w:pStyle w:val="3Bodytext"/>
        <w:numPr>
          <w:ilvl w:val="0"/>
          <w:numId w:val="0"/>
        </w:numPr>
        <w:spacing w:before="120"/>
        <w:ind w:left="720"/>
        <w:rPr>
          <w:i/>
        </w:rPr>
      </w:pPr>
      <w:r>
        <w:rPr>
          <w:i/>
        </w:rPr>
        <w:t>For more detail on PBAC’ view, see section 6 PBAC outcome.</w:t>
      </w:r>
    </w:p>
    <w:p w:rsidR="00B4494F" w:rsidRDefault="00661BA6">
      <w:pPr>
        <w:pStyle w:val="3Bodytext"/>
        <w:spacing w:before="120"/>
      </w:pPr>
      <w:r>
        <w:rPr>
          <w:szCs w:val="24"/>
        </w:rPr>
        <w:t xml:space="preserve">Rifaximin is listed on the PBS in conjunction with a Risk Sharing Arrangement that includes a two-tier subsidisation cap. </w:t>
      </w:r>
      <w:r>
        <w:rPr>
          <w:rFonts w:eastAsia="Times New Roman" w:cs="Arial"/>
          <w:snapToGrid w:val="0"/>
          <w:szCs w:val="24"/>
        </w:rPr>
        <w:t xml:space="preserve">Where Subsidisation Cap (SC) 1 is breached, it </w:t>
      </w:r>
      <w:r>
        <w:rPr>
          <w:rFonts w:eastAsia="Times New Roman" w:cs="Arial"/>
          <w:snapToGrid w:val="0"/>
          <w:szCs w:val="24"/>
        </w:rPr>
        <w:lastRenderedPageBreak/>
        <w:t xml:space="preserve">results in 30% of Commonwealth expenditure above SC1 being reimbursed by the sponsor. Where SC2 is breached, it results in 60% of Commonwealth expenditure above SC2 being reimbursed. The term of the current Deed ended on 30 November 2018 and will continue to operate under the terms of the last year of the Deed until the Deed is by mutual agreement, either terminated or a new Deed negotiated. SC1 was breached in Years 2 to 5 of the current Deed. </w:t>
      </w:r>
      <w:r>
        <w:t>The minor submission did not include the impact of the current RSA on the effective net cost to the PBS/RPBS.</w:t>
      </w:r>
    </w:p>
    <w:p w:rsidR="00B4494F" w:rsidRDefault="00661BA6">
      <w:pPr>
        <w:pStyle w:val="Heading1"/>
        <w:keepNext/>
        <w:keepLines/>
        <w:widowControl/>
        <w:numPr>
          <w:ilvl w:val="0"/>
          <w:numId w:val="1"/>
        </w:numPr>
        <w:spacing w:before="120" w:after="120"/>
        <w:ind w:left="709" w:hanging="709"/>
        <w:contextualSpacing w:val="0"/>
        <w:jc w:val="left"/>
        <w:rPr>
          <w:rFonts w:asciiTheme="minorHAnsi" w:hAnsiTheme="minorHAnsi"/>
          <w:sz w:val="32"/>
          <w:szCs w:val="32"/>
        </w:rPr>
      </w:pPr>
      <w:r>
        <w:rPr>
          <w:rFonts w:asciiTheme="minorHAnsi" w:hAnsiTheme="minorHAnsi"/>
          <w:sz w:val="32"/>
          <w:szCs w:val="32"/>
        </w:rPr>
        <w:t>PBAC Outcome</w:t>
      </w:r>
    </w:p>
    <w:p w:rsidR="00B4494F" w:rsidRDefault="00661BA6">
      <w:pPr>
        <w:pStyle w:val="3Bodytext"/>
        <w:rPr>
          <w:rFonts w:cs="Arial"/>
          <w:bCs/>
          <w:snapToGrid w:val="0"/>
        </w:rPr>
      </w:pPr>
      <w:r>
        <w:rPr>
          <w:rFonts w:cs="Arial"/>
          <w:bCs/>
          <w:snapToGrid w:val="0"/>
        </w:rPr>
        <w:t xml:space="preserve">The PBAC did not recommend the requested change to the PBS listing of rifaximin to lower the authority level from Authority Required to Authority Required (STREAMLINED) for prevention of recurrent HE. </w:t>
      </w:r>
    </w:p>
    <w:p w:rsidR="00B4494F" w:rsidRDefault="00661BA6">
      <w:pPr>
        <w:pStyle w:val="3Bodytext"/>
        <w:rPr>
          <w:rFonts w:cs="Arial"/>
          <w:bCs/>
          <w:snapToGrid w:val="0"/>
        </w:rPr>
      </w:pPr>
      <w:r>
        <w:rPr>
          <w:rFonts w:cs="Arial"/>
          <w:bCs/>
          <w:snapToGrid w:val="0"/>
        </w:rPr>
        <w:t>The PBAC recalled that it previously noted the potential for substantial leakage beyond the treatment of patients with recurrent HE into treatment of IBS and travellers’ diarrhoea (see paragraph 3.4). The PBAC also recalled expert advice expressing concerns about the potential for the development of AMR. The PBAC noted the 10% PBS sample dataset presented in the submission, and agreed with the submission that leakage of rifaximin was not evident in this data; however, the PBAC noted the data represents prescribing under the current authority level and considered that the data demonstrated the effectiveness of the current authority level. The PBAC advised the current authority should remain unchanged to assist in managing the risks of leakage and the potential for the development of AMR.</w:t>
      </w:r>
    </w:p>
    <w:p w:rsidR="00B4494F" w:rsidRDefault="00661BA6">
      <w:pPr>
        <w:pStyle w:val="3Bodytext"/>
        <w:rPr>
          <w:rFonts w:cs="Arial"/>
          <w:bCs/>
          <w:snapToGrid w:val="0"/>
        </w:rPr>
      </w:pPr>
      <w:r>
        <w:t>The PBAC noted the survey of 39 Australian specialists (gastroenterologists/ hepatologists) included in the submission, which indicated the median time taken to obtain an Authority approval number by telephone was 5 minutes. The</w:t>
      </w:r>
      <w:r>
        <w:rPr>
          <w:rFonts w:cstheme="minorHAnsi"/>
          <w:bCs/>
          <w:snapToGrid w:val="0"/>
        </w:rPr>
        <w:t xml:space="preserve"> PBAC noted that the survey did not include GPs, while over half of prescriptions for initial and continuing treatment were written by a GP</w:t>
      </w:r>
      <w:r>
        <w:rPr>
          <w:rFonts w:cs="Arial"/>
          <w:bCs/>
          <w:snapToGrid w:val="0"/>
        </w:rPr>
        <w:t xml:space="preserve">. </w:t>
      </w:r>
      <w:r>
        <w:t xml:space="preserve">The PBAC did not consider the </w:t>
      </w:r>
      <w:r>
        <w:rPr>
          <w:lang w:eastAsia="en-AU"/>
        </w:rPr>
        <w:t xml:space="preserve">current requirement for a telephone authority to be administratively burdensome. The PBAC considered it was unlikely that the requirement for a telephone authority would </w:t>
      </w:r>
      <w:r>
        <w:t xml:space="preserve">prevent clinically appropriate prescribing of rifaximin to eligible patients. </w:t>
      </w:r>
    </w:p>
    <w:p w:rsidR="00B4494F" w:rsidRDefault="00661BA6">
      <w:pPr>
        <w:pStyle w:val="3Bodytext"/>
        <w:rPr>
          <w:rFonts w:cs="Arial"/>
          <w:b/>
          <w:bCs/>
          <w:snapToGrid w:val="0"/>
        </w:rPr>
      </w:pPr>
      <w:r>
        <w:rPr>
          <w:rFonts w:cs="Arial"/>
          <w:bCs/>
          <w:snapToGrid w:val="0"/>
        </w:rPr>
        <w:t xml:space="preserve">The PBAC noted that this submission is not eligible for an Independent Review as it is not for an entirely different disease or an objectively different subtype of the same disease or the same condition but where treatment is targeting a different population or a different stage of disease. </w:t>
      </w:r>
    </w:p>
    <w:p w:rsidR="00B4494F" w:rsidRDefault="00661BA6">
      <w:pPr>
        <w:spacing w:before="120" w:after="120"/>
        <w:jc w:val="both"/>
        <w:rPr>
          <w:rFonts w:asciiTheme="minorHAnsi" w:hAnsiTheme="minorHAnsi" w:cs="Arial"/>
          <w:b/>
          <w:bCs/>
          <w:snapToGrid w:val="0"/>
        </w:rPr>
      </w:pPr>
      <w:r>
        <w:rPr>
          <w:rFonts w:asciiTheme="minorHAnsi" w:hAnsiTheme="minorHAnsi" w:cs="Arial"/>
          <w:b/>
          <w:bCs/>
          <w:snapToGrid w:val="0"/>
        </w:rPr>
        <w:t>Outcome:</w:t>
      </w:r>
    </w:p>
    <w:p w:rsidR="00B4494F" w:rsidRDefault="00661BA6">
      <w:pPr>
        <w:spacing w:before="120" w:after="120"/>
        <w:jc w:val="both"/>
        <w:rPr>
          <w:rFonts w:asciiTheme="minorHAnsi" w:hAnsiTheme="minorHAnsi" w:cs="Arial"/>
          <w:bCs/>
          <w:snapToGrid w:val="0"/>
        </w:rPr>
      </w:pPr>
      <w:r>
        <w:rPr>
          <w:rFonts w:asciiTheme="minorHAnsi" w:hAnsiTheme="minorHAnsi" w:cs="Arial"/>
          <w:bCs/>
          <w:snapToGrid w:val="0"/>
        </w:rPr>
        <w:t>Rejected</w:t>
      </w:r>
    </w:p>
    <w:p w:rsidR="00B4494F" w:rsidRDefault="00B4494F">
      <w:pPr>
        <w:spacing w:before="120" w:after="120"/>
        <w:jc w:val="both"/>
        <w:rPr>
          <w:rFonts w:asciiTheme="minorHAnsi" w:hAnsiTheme="minorHAnsi" w:cs="Arial"/>
          <w:bCs/>
          <w:snapToGrid w:val="0"/>
        </w:rPr>
      </w:pPr>
    </w:p>
    <w:p w:rsidR="00B4494F" w:rsidRDefault="00661BA6">
      <w:pPr>
        <w:pStyle w:val="Heading1"/>
        <w:keepNext/>
        <w:keepLines/>
        <w:widowControl/>
        <w:numPr>
          <w:ilvl w:val="0"/>
          <w:numId w:val="1"/>
        </w:numPr>
        <w:spacing w:before="120" w:after="120"/>
        <w:ind w:left="709" w:hanging="709"/>
        <w:contextualSpacing w:val="0"/>
        <w:jc w:val="left"/>
        <w:rPr>
          <w:rFonts w:asciiTheme="minorHAnsi" w:hAnsiTheme="minorHAnsi"/>
          <w:sz w:val="32"/>
          <w:szCs w:val="32"/>
        </w:rPr>
      </w:pPr>
      <w:r>
        <w:rPr>
          <w:rFonts w:asciiTheme="minorHAnsi" w:hAnsiTheme="minorHAnsi"/>
          <w:sz w:val="32"/>
          <w:szCs w:val="32"/>
        </w:rPr>
        <w:lastRenderedPageBreak/>
        <w:t>Context for Decision</w:t>
      </w:r>
    </w:p>
    <w:p w:rsidR="00B4494F" w:rsidRPr="001C7151" w:rsidRDefault="00661BA6" w:rsidP="001C7151">
      <w:pPr>
        <w:spacing w:line="276" w:lineRule="auto"/>
        <w:jc w:val="both"/>
        <w:rPr>
          <w:rFonts w:asciiTheme="minorHAnsi" w:eastAsiaTheme="minorHAnsi" w:hAnsiTheme="minorHAnsi" w:cs="Arial"/>
          <w:szCs w:val="22"/>
          <w:lang w:eastAsia="en-US"/>
        </w:rPr>
      </w:pPr>
      <w:r>
        <w:rPr>
          <w:rFonts w:asciiTheme="minorHAnsi" w:eastAsiaTheme="minorHAnsi" w:hAnsiTheme="minorHAns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B4494F" w:rsidRDefault="00661BA6">
      <w:pPr>
        <w:pStyle w:val="Heading1"/>
        <w:keepNext/>
        <w:keepLines/>
        <w:widowControl/>
        <w:numPr>
          <w:ilvl w:val="0"/>
          <w:numId w:val="1"/>
        </w:numPr>
        <w:spacing w:before="120" w:after="120"/>
        <w:ind w:left="709" w:hanging="709"/>
        <w:contextualSpacing w:val="0"/>
        <w:jc w:val="left"/>
        <w:rPr>
          <w:rFonts w:asciiTheme="minorHAnsi" w:hAnsiTheme="minorHAnsi"/>
          <w:sz w:val="32"/>
          <w:szCs w:val="32"/>
        </w:rPr>
      </w:pPr>
      <w:r>
        <w:rPr>
          <w:rFonts w:asciiTheme="minorHAnsi" w:hAnsiTheme="minorHAnsi"/>
          <w:sz w:val="32"/>
          <w:szCs w:val="32"/>
        </w:rPr>
        <w:t>Sponsor’s Comment</w:t>
      </w:r>
    </w:p>
    <w:p w:rsidR="00B4494F" w:rsidRDefault="00661BA6">
      <w:pPr>
        <w:spacing w:after="120" w:line="276" w:lineRule="auto"/>
        <w:jc w:val="both"/>
        <w:rPr>
          <w:rFonts w:asciiTheme="minorHAnsi" w:eastAsiaTheme="minorHAnsi" w:hAnsiTheme="minorHAnsi" w:cs="Arial"/>
          <w:bCs/>
          <w:szCs w:val="22"/>
          <w:lang w:eastAsia="en-US"/>
        </w:rPr>
      </w:pPr>
      <w:r>
        <w:rPr>
          <w:rFonts w:asciiTheme="minorHAnsi" w:eastAsiaTheme="minorHAnsi" w:hAnsiTheme="minorHAnsi" w:cs="Arial"/>
          <w:bCs/>
          <w:szCs w:val="22"/>
          <w:lang w:eastAsia="en-US"/>
        </w:rPr>
        <w:t>The sponsor had no comment.</w:t>
      </w:r>
    </w:p>
    <w:p w:rsidR="00B4494F" w:rsidRDefault="00B4494F">
      <w:pPr>
        <w:spacing w:before="120" w:after="120"/>
        <w:jc w:val="both"/>
        <w:rPr>
          <w:rFonts w:asciiTheme="minorHAnsi" w:hAnsiTheme="minorHAnsi" w:cs="Arial"/>
          <w:bCs/>
          <w:snapToGrid w:val="0"/>
        </w:rPr>
      </w:pPr>
      <w:bookmarkStart w:id="3" w:name="_GoBack"/>
      <w:bookmarkEnd w:id="3"/>
    </w:p>
    <w:sectPr w:rsidR="00B4494F">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043" w:rsidRDefault="009E3043">
      <w:r>
        <w:separator/>
      </w:r>
    </w:p>
    <w:p w:rsidR="009E3043" w:rsidRDefault="009E3043"/>
  </w:endnote>
  <w:endnote w:type="continuationSeparator" w:id="0">
    <w:p w:rsidR="009E3043" w:rsidRDefault="009E3043">
      <w:r>
        <w:continuationSeparator/>
      </w:r>
    </w:p>
    <w:p w:rsidR="009E3043" w:rsidRDefault="009E30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ACFFCFA" w:usb2="00000016" w:usb3="00000000" w:csb0="00100001" w:csb1="00000000"/>
  </w:font>
  <w:font w:name="Arial Bold">
    <w:altName w:val="Arial"/>
    <w:panose1 w:val="020B07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B4494F">
      <w:trPr>
        <w:trHeight w:val="151"/>
      </w:trPr>
      <w:tc>
        <w:tcPr>
          <w:tcW w:w="2250" w:type="pct"/>
          <w:tcBorders>
            <w:top w:val="nil"/>
            <w:left w:val="nil"/>
            <w:bottom w:val="single" w:sz="4" w:space="0" w:color="4F81BD"/>
            <w:right w:val="nil"/>
          </w:tcBorders>
        </w:tcPr>
        <w:p w:rsidR="00B4494F" w:rsidRDefault="00B4494F">
          <w:pPr>
            <w:pStyle w:val="Header"/>
            <w:spacing w:line="276" w:lineRule="auto"/>
            <w:rPr>
              <w:rFonts w:ascii="Calibri" w:eastAsia="MS Gothic" w:hAnsi="Calibri"/>
              <w:b/>
              <w:bCs/>
              <w:color w:val="4F81BD"/>
            </w:rPr>
          </w:pPr>
        </w:p>
      </w:tc>
      <w:tc>
        <w:tcPr>
          <w:tcW w:w="500" w:type="pct"/>
          <w:vMerge w:val="restart"/>
          <w:noWrap/>
          <w:vAlign w:val="center"/>
          <w:hideMark/>
        </w:tcPr>
        <w:p w:rsidR="00B4494F" w:rsidRDefault="00661BA6">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B4494F" w:rsidRDefault="00B4494F">
          <w:pPr>
            <w:pStyle w:val="Header"/>
            <w:spacing w:line="276" w:lineRule="auto"/>
            <w:rPr>
              <w:rFonts w:ascii="Calibri" w:eastAsia="MS Gothic" w:hAnsi="Calibri"/>
              <w:b/>
              <w:bCs/>
              <w:color w:val="4F81BD"/>
            </w:rPr>
          </w:pPr>
        </w:p>
      </w:tc>
    </w:tr>
    <w:tr w:rsidR="00B4494F">
      <w:trPr>
        <w:trHeight w:val="150"/>
      </w:trPr>
      <w:tc>
        <w:tcPr>
          <w:tcW w:w="2250" w:type="pct"/>
          <w:tcBorders>
            <w:top w:val="single" w:sz="4" w:space="0" w:color="4F81BD"/>
            <w:left w:val="nil"/>
            <w:bottom w:val="nil"/>
            <w:right w:val="nil"/>
          </w:tcBorders>
        </w:tcPr>
        <w:p w:rsidR="00B4494F" w:rsidRDefault="00B4494F">
          <w:pPr>
            <w:pStyle w:val="Header"/>
            <w:spacing w:line="276" w:lineRule="auto"/>
            <w:rPr>
              <w:rFonts w:ascii="Calibri" w:eastAsia="MS Gothic" w:hAnsi="Calibri"/>
              <w:b/>
              <w:bCs/>
              <w:color w:val="4F81BD"/>
            </w:rPr>
          </w:pPr>
        </w:p>
      </w:tc>
      <w:tc>
        <w:tcPr>
          <w:tcW w:w="0" w:type="auto"/>
          <w:vMerge/>
          <w:vAlign w:val="center"/>
          <w:hideMark/>
        </w:tcPr>
        <w:p w:rsidR="00B4494F" w:rsidRDefault="00B4494F">
          <w:pPr>
            <w:rPr>
              <w:rFonts w:ascii="Calibri" w:hAnsi="Calibri"/>
              <w:color w:val="365F91"/>
              <w:sz w:val="22"/>
              <w:szCs w:val="22"/>
            </w:rPr>
          </w:pPr>
        </w:p>
      </w:tc>
      <w:tc>
        <w:tcPr>
          <w:tcW w:w="2250" w:type="pct"/>
          <w:tcBorders>
            <w:top w:val="single" w:sz="4" w:space="0" w:color="4F81BD"/>
            <w:left w:val="nil"/>
            <w:bottom w:val="nil"/>
            <w:right w:val="nil"/>
          </w:tcBorders>
        </w:tcPr>
        <w:p w:rsidR="00B4494F" w:rsidRDefault="00B4494F">
          <w:pPr>
            <w:pStyle w:val="Header"/>
            <w:spacing w:line="276" w:lineRule="auto"/>
            <w:rPr>
              <w:rFonts w:ascii="Calibri" w:eastAsia="MS Gothic" w:hAnsi="Calibri"/>
              <w:b/>
              <w:bCs/>
              <w:color w:val="4F81BD"/>
            </w:rPr>
          </w:pPr>
        </w:p>
      </w:tc>
    </w:tr>
  </w:tbl>
  <w:p w:rsidR="00B4494F" w:rsidRDefault="00661B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4494F" w:rsidRDefault="00B4494F">
    <w:pPr>
      <w:pStyle w:val="Footer"/>
    </w:pPr>
  </w:p>
  <w:p w:rsidR="00B4494F" w:rsidRDefault="00B4494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94F" w:rsidRDefault="00B4494F">
    <w:pPr>
      <w:pStyle w:val="Footer"/>
      <w:jc w:val="center"/>
      <w:rPr>
        <w:rFonts w:asciiTheme="minorHAnsi" w:hAnsiTheme="minorHAnsi" w:cstheme="minorHAnsi"/>
        <w:b/>
        <w:caps/>
      </w:rPr>
    </w:pPr>
  </w:p>
  <w:p w:rsidR="00B4494F" w:rsidRDefault="00661BA6">
    <w:pPr>
      <w:pStyle w:val="Footer"/>
      <w:jc w:val="center"/>
      <w:rPr>
        <w:rFonts w:asciiTheme="minorHAnsi" w:hAnsiTheme="minorHAnsi" w:cstheme="minorHAnsi"/>
        <w:b/>
        <w:caps/>
        <w:noProof/>
      </w:rPr>
    </w:pPr>
    <w:r>
      <w:rPr>
        <w:rFonts w:asciiTheme="minorHAnsi" w:hAnsiTheme="minorHAnsi" w:cstheme="minorHAnsi"/>
        <w:b/>
        <w:caps/>
      </w:rPr>
      <w:fldChar w:fldCharType="begin"/>
    </w:r>
    <w:r>
      <w:rPr>
        <w:rFonts w:asciiTheme="minorHAnsi" w:hAnsiTheme="minorHAnsi" w:cstheme="minorHAnsi"/>
        <w:b/>
        <w:caps/>
      </w:rPr>
      <w:instrText xml:space="preserve"> PAGE   \* MERGEFORMAT </w:instrText>
    </w:r>
    <w:r>
      <w:rPr>
        <w:rFonts w:asciiTheme="minorHAnsi" w:hAnsiTheme="minorHAnsi" w:cstheme="minorHAnsi"/>
        <w:b/>
        <w:caps/>
      </w:rPr>
      <w:fldChar w:fldCharType="separate"/>
    </w:r>
    <w:r w:rsidR="00F868EF">
      <w:rPr>
        <w:rFonts w:asciiTheme="minorHAnsi" w:hAnsiTheme="minorHAnsi" w:cstheme="minorHAnsi"/>
        <w:b/>
        <w:caps/>
        <w:noProof/>
      </w:rPr>
      <w:t>8</w:t>
    </w:r>
    <w:r>
      <w:rPr>
        <w:rFonts w:asciiTheme="minorHAnsi" w:hAnsiTheme="minorHAnsi" w:cstheme="minorHAnsi"/>
        <w:b/>
        <w:cap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B4494F">
      <w:trPr>
        <w:trHeight w:val="151"/>
      </w:trPr>
      <w:tc>
        <w:tcPr>
          <w:tcW w:w="2250" w:type="pct"/>
          <w:tcBorders>
            <w:top w:val="nil"/>
            <w:left w:val="nil"/>
            <w:bottom w:val="single" w:sz="4" w:space="0" w:color="4F81BD"/>
            <w:right w:val="nil"/>
          </w:tcBorders>
        </w:tcPr>
        <w:p w:rsidR="00B4494F" w:rsidRDefault="00B4494F">
          <w:pPr>
            <w:pStyle w:val="Header"/>
            <w:spacing w:line="276" w:lineRule="auto"/>
            <w:rPr>
              <w:rFonts w:ascii="Calibri" w:eastAsia="MS Gothic" w:hAnsi="Calibri"/>
              <w:b/>
              <w:bCs/>
              <w:color w:val="4F81BD"/>
            </w:rPr>
          </w:pPr>
        </w:p>
      </w:tc>
      <w:tc>
        <w:tcPr>
          <w:tcW w:w="500" w:type="pct"/>
          <w:vMerge w:val="restart"/>
          <w:noWrap/>
          <w:vAlign w:val="center"/>
          <w:hideMark/>
        </w:tcPr>
        <w:p w:rsidR="00B4494F" w:rsidRDefault="00661BA6">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B4494F" w:rsidRDefault="00B4494F">
          <w:pPr>
            <w:pStyle w:val="Header"/>
            <w:spacing w:line="276" w:lineRule="auto"/>
            <w:rPr>
              <w:rFonts w:ascii="Calibri" w:eastAsia="MS Gothic" w:hAnsi="Calibri"/>
              <w:b/>
              <w:bCs/>
              <w:color w:val="4F81BD"/>
            </w:rPr>
          </w:pPr>
        </w:p>
      </w:tc>
    </w:tr>
    <w:tr w:rsidR="00B4494F">
      <w:trPr>
        <w:trHeight w:val="150"/>
      </w:trPr>
      <w:tc>
        <w:tcPr>
          <w:tcW w:w="2250" w:type="pct"/>
          <w:tcBorders>
            <w:top w:val="single" w:sz="4" w:space="0" w:color="4F81BD"/>
            <w:left w:val="nil"/>
            <w:bottom w:val="nil"/>
            <w:right w:val="nil"/>
          </w:tcBorders>
        </w:tcPr>
        <w:p w:rsidR="00B4494F" w:rsidRDefault="00B4494F">
          <w:pPr>
            <w:pStyle w:val="Header"/>
            <w:spacing w:line="276" w:lineRule="auto"/>
            <w:rPr>
              <w:rFonts w:ascii="Calibri" w:eastAsia="MS Gothic" w:hAnsi="Calibri"/>
              <w:b/>
              <w:bCs/>
              <w:color w:val="4F81BD"/>
            </w:rPr>
          </w:pPr>
        </w:p>
      </w:tc>
      <w:tc>
        <w:tcPr>
          <w:tcW w:w="0" w:type="auto"/>
          <w:vMerge/>
          <w:vAlign w:val="center"/>
          <w:hideMark/>
        </w:tcPr>
        <w:p w:rsidR="00B4494F" w:rsidRDefault="00B4494F">
          <w:pPr>
            <w:rPr>
              <w:rFonts w:ascii="Calibri" w:hAnsi="Calibri"/>
              <w:color w:val="365F91"/>
              <w:sz w:val="22"/>
              <w:szCs w:val="22"/>
            </w:rPr>
          </w:pPr>
        </w:p>
      </w:tc>
      <w:tc>
        <w:tcPr>
          <w:tcW w:w="2250" w:type="pct"/>
          <w:tcBorders>
            <w:top w:val="single" w:sz="4" w:space="0" w:color="4F81BD"/>
            <w:left w:val="nil"/>
            <w:bottom w:val="nil"/>
            <w:right w:val="nil"/>
          </w:tcBorders>
        </w:tcPr>
        <w:p w:rsidR="00B4494F" w:rsidRDefault="00B4494F">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B4494F">
      <w:trPr>
        <w:trHeight w:val="151"/>
      </w:trPr>
      <w:tc>
        <w:tcPr>
          <w:tcW w:w="2250" w:type="pct"/>
          <w:tcBorders>
            <w:top w:val="nil"/>
            <w:left w:val="nil"/>
            <w:bottom w:val="single" w:sz="4" w:space="0" w:color="4F81BD"/>
            <w:right w:val="nil"/>
          </w:tcBorders>
        </w:tcPr>
        <w:p w:rsidR="00B4494F" w:rsidRDefault="00B4494F">
          <w:pPr>
            <w:pStyle w:val="Header"/>
            <w:spacing w:line="276" w:lineRule="auto"/>
            <w:rPr>
              <w:rFonts w:ascii="Calibri" w:eastAsia="MS Gothic" w:hAnsi="Calibri"/>
              <w:b/>
              <w:bCs/>
              <w:color w:val="4F81BD"/>
            </w:rPr>
          </w:pPr>
        </w:p>
      </w:tc>
      <w:tc>
        <w:tcPr>
          <w:tcW w:w="500" w:type="pct"/>
          <w:vMerge w:val="restart"/>
          <w:noWrap/>
          <w:vAlign w:val="center"/>
          <w:hideMark/>
        </w:tcPr>
        <w:p w:rsidR="00B4494F" w:rsidRDefault="00661BA6">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B4494F" w:rsidRDefault="00B4494F">
          <w:pPr>
            <w:pStyle w:val="Header"/>
            <w:spacing w:line="276" w:lineRule="auto"/>
            <w:rPr>
              <w:rFonts w:ascii="Calibri" w:eastAsia="MS Gothic" w:hAnsi="Calibri"/>
              <w:b/>
              <w:bCs/>
              <w:color w:val="4F81BD"/>
            </w:rPr>
          </w:pPr>
        </w:p>
      </w:tc>
    </w:tr>
    <w:tr w:rsidR="00B4494F">
      <w:trPr>
        <w:trHeight w:val="150"/>
      </w:trPr>
      <w:tc>
        <w:tcPr>
          <w:tcW w:w="2250" w:type="pct"/>
          <w:tcBorders>
            <w:top w:val="single" w:sz="4" w:space="0" w:color="4F81BD"/>
            <w:left w:val="nil"/>
            <w:bottom w:val="nil"/>
            <w:right w:val="nil"/>
          </w:tcBorders>
        </w:tcPr>
        <w:p w:rsidR="00B4494F" w:rsidRDefault="00B4494F">
          <w:pPr>
            <w:pStyle w:val="Header"/>
            <w:spacing w:line="276" w:lineRule="auto"/>
            <w:rPr>
              <w:rFonts w:ascii="Calibri" w:eastAsia="MS Gothic" w:hAnsi="Calibri"/>
              <w:b/>
              <w:bCs/>
              <w:color w:val="4F81BD"/>
            </w:rPr>
          </w:pPr>
        </w:p>
      </w:tc>
      <w:tc>
        <w:tcPr>
          <w:tcW w:w="0" w:type="auto"/>
          <w:vMerge/>
          <w:vAlign w:val="center"/>
          <w:hideMark/>
        </w:tcPr>
        <w:p w:rsidR="00B4494F" w:rsidRDefault="00B4494F">
          <w:pPr>
            <w:rPr>
              <w:rFonts w:ascii="Calibri" w:hAnsi="Calibri"/>
              <w:color w:val="365F91"/>
              <w:sz w:val="22"/>
              <w:szCs w:val="22"/>
            </w:rPr>
          </w:pPr>
        </w:p>
      </w:tc>
      <w:tc>
        <w:tcPr>
          <w:tcW w:w="2250" w:type="pct"/>
          <w:tcBorders>
            <w:top w:val="single" w:sz="4" w:space="0" w:color="4F81BD"/>
            <w:left w:val="nil"/>
            <w:bottom w:val="nil"/>
            <w:right w:val="nil"/>
          </w:tcBorders>
        </w:tcPr>
        <w:p w:rsidR="00B4494F" w:rsidRDefault="00B4494F">
          <w:pPr>
            <w:pStyle w:val="Header"/>
            <w:spacing w:line="276" w:lineRule="auto"/>
            <w:rPr>
              <w:rFonts w:ascii="Calibri" w:eastAsia="MS Gothic" w:hAnsi="Calibri"/>
              <w:b/>
              <w:bCs/>
              <w:color w:val="4F81BD"/>
            </w:rPr>
          </w:pPr>
        </w:p>
      </w:tc>
    </w:tr>
  </w:tbl>
  <w:p w:rsidR="00B4494F" w:rsidRDefault="00661BA6">
    <w:pPr>
      <w:pStyle w:val="Footer"/>
      <w:jc w:val="center"/>
      <w:rPr>
        <w:b/>
        <w:i/>
        <w:sz w:val="20"/>
        <w:szCs w:val="20"/>
      </w:rPr>
    </w:pPr>
    <w:r>
      <w:rPr>
        <w:b/>
        <w:i/>
        <w:sz w:val="20"/>
        <w:szCs w:val="20"/>
      </w:rPr>
      <w:t>Draft Minutes November 2011 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b/>
        <w:i/>
        <w:sz w:val="20"/>
        <w:szCs w:val="20"/>
      </w:rPr>
      <w:t>BAC Meeting</w:t>
    </w:r>
  </w:p>
  <w:p w:rsidR="00B4494F" w:rsidRDefault="00661BA6">
    <w:pPr>
      <w:pStyle w:val="Footer"/>
      <w:jc w:val="center"/>
      <w:rPr>
        <w:b/>
        <w:i/>
        <w:sz w:val="20"/>
        <w:szCs w:val="20"/>
      </w:rPr>
    </w:pPr>
    <w:r>
      <w:rPr>
        <w:b/>
        <w:i/>
        <w:sz w:val="20"/>
        <w:szCs w:val="20"/>
      </w:rPr>
      <w:t>Commercial-in-Confidence</w:t>
    </w:r>
  </w:p>
  <w:p w:rsidR="00B4494F" w:rsidRDefault="00B4494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043" w:rsidRDefault="009E3043">
      <w:r>
        <w:separator/>
      </w:r>
    </w:p>
    <w:p w:rsidR="009E3043" w:rsidRDefault="009E3043"/>
  </w:footnote>
  <w:footnote w:type="continuationSeparator" w:id="0">
    <w:p w:rsidR="009E3043" w:rsidRDefault="009E3043">
      <w:r>
        <w:continuationSeparator/>
      </w:r>
    </w:p>
    <w:p w:rsidR="009E3043" w:rsidRDefault="009E3043"/>
  </w:footnote>
  <w:footnote w:id="1">
    <w:p w:rsidR="00B4494F" w:rsidRDefault="00661BA6">
      <w:pPr>
        <w:pStyle w:val="FootnoteText"/>
        <w:rPr>
          <w:rStyle w:val="Hyperlink"/>
          <w:rFonts w:ascii="Arial Narrow" w:hAnsi="Arial Narrow" w:cs="Arial"/>
          <w:snapToGrid w:val="0"/>
          <w:sz w:val="18"/>
          <w:szCs w:val="22"/>
          <w:lang w:eastAsia="en-US"/>
        </w:rPr>
      </w:pPr>
      <w:r>
        <w:rPr>
          <w:rStyle w:val="FootnoteReference"/>
        </w:rPr>
        <w:footnoteRef/>
      </w:r>
      <w:r>
        <w:t xml:space="preserve"> </w:t>
      </w:r>
      <w:r>
        <w:rPr>
          <w:rFonts w:ascii="Arial Narrow" w:hAnsi="Arial Narrow" w:cs="Arial"/>
          <w:snapToGrid w:val="0"/>
          <w:sz w:val="18"/>
          <w:szCs w:val="22"/>
          <w:lang w:eastAsia="en-US"/>
        </w:rPr>
        <w:t>URL:</w:t>
      </w:r>
      <w:r>
        <w:rPr>
          <w:lang w:val="en-US"/>
        </w:rPr>
        <w:t xml:space="preserve"> </w:t>
      </w:r>
      <w:hyperlink r:id="rId1" w:history="1">
        <w:r>
          <w:rPr>
            <w:rStyle w:val="Hyperlink"/>
            <w:rFonts w:ascii="Arial Narrow" w:hAnsi="Arial Narrow" w:cs="Arial"/>
            <w:snapToGrid w:val="0"/>
            <w:sz w:val="18"/>
            <w:szCs w:val="22"/>
            <w:lang w:eastAsia="en-US"/>
          </w:rPr>
          <w:t>http://www.pbs.gov.au/pbs/industry/listing/elements/pbac-meetings/psd/2013-04/rifaximin</w:t>
        </w:r>
      </w:hyperlink>
    </w:p>
  </w:footnote>
  <w:footnote w:id="2">
    <w:p w:rsidR="00B4494F" w:rsidRDefault="00661BA6">
      <w:pPr>
        <w:pStyle w:val="TableFooter"/>
      </w:pPr>
      <w:r>
        <w:rPr>
          <w:rStyle w:val="FootnoteReference"/>
        </w:rPr>
        <w:footnoteRef/>
      </w:r>
      <w:r>
        <w:t xml:space="preserve"> URL: </w:t>
      </w:r>
      <w:hyperlink r:id="rId2" w:history="1">
        <w:r>
          <w:rPr>
            <w:rStyle w:val="Hyperlink"/>
          </w:rPr>
          <w:t>http://www.pbs.gov.au/industry/listing/elements/pbac-meetings/pbac-outcomes/2016-11/dusc-report-2016-11.pdf</w:t>
        </w:r>
      </w:hyperlink>
      <w:r>
        <w:t xml:space="preserve"> </w:t>
      </w:r>
    </w:p>
  </w:footnote>
  <w:footnote w:id="3">
    <w:p w:rsidR="00B4494F" w:rsidRDefault="00661BA6">
      <w:pPr>
        <w:pStyle w:val="TableFooter"/>
      </w:pPr>
      <w:r>
        <w:rPr>
          <w:rStyle w:val="FootnoteReference"/>
        </w:rPr>
        <w:footnoteRef/>
      </w:r>
      <w:r>
        <w:t xml:space="preserve"> URL: </w:t>
      </w:r>
      <w:hyperlink r:id="rId3" w:history="1">
        <w:r>
          <w:rPr>
            <w:rStyle w:val="Hyperlink"/>
          </w:rPr>
          <w:t>http://www.pbs.gov.au/info/industry/listing/participants/public-release-docs/2016-09/rifaximin-24-month-review-2016-09</w:t>
        </w:r>
      </w:hyperlink>
      <w:r>
        <w:t xml:space="preserve"> </w:t>
      </w:r>
    </w:p>
  </w:footnote>
  <w:footnote w:id="4">
    <w:p w:rsidR="00B4494F" w:rsidRDefault="00661BA6">
      <w:pPr>
        <w:pStyle w:val="FootnoteText"/>
      </w:pPr>
      <w:r>
        <w:rPr>
          <w:rStyle w:val="FootnoteReference"/>
        </w:rPr>
        <w:footnoteRef/>
      </w:r>
      <w:r>
        <w:t xml:space="preserve"> </w:t>
      </w:r>
      <w:r>
        <w:rPr>
          <w:rStyle w:val="TableFooterChar"/>
        </w:rPr>
        <w:t>Waghray A1, Waghray N, Kanna S, Mullen K. Optimal treatment of hepatic encephalopathy. Minerva Gastroenterol Dietol. 2014 Mar;60(1):55-70.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B4494F">
      <w:trPr>
        <w:trHeight w:val="151"/>
      </w:trPr>
      <w:tc>
        <w:tcPr>
          <w:tcW w:w="2389" w:type="pct"/>
          <w:tcBorders>
            <w:top w:val="nil"/>
            <w:left w:val="nil"/>
            <w:bottom w:val="single" w:sz="4" w:space="0" w:color="4F81BD"/>
            <w:right w:val="nil"/>
          </w:tcBorders>
        </w:tcPr>
        <w:p w:rsidR="00B4494F" w:rsidRDefault="00B4494F">
          <w:pPr>
            <w:pStyle w:val="Header"/>
            <w:spacing w:line="276" w:lineRule="auto"/>
            <w:rPr>
              <w:rFonts w:ascii="Cambria" w:eastAsia="MS Gothic" w:hAnsi="Cambria"/>
              <w:b/>
              <w:bCs/>
              <w:color w:val="4F81BD"/>
            </w:rPr>
          </w:pPr>
        </w:p>
      </w:tc>
      <w:tc>
        <w:tcPr>
          <w:tcW w:w="333" w:type="pct"/>
          <w:vMerge w:val="restart"/>
          <w:noWrap/>
          <w:vAlign w:val="center"/>
          <w:hideMark/>
        </w:tcPr>
        <w:p w:rsidR="00B4494F" w:rsidRDefault="00661BA6">
          <w:pPr>
            <w:pStyle w:val="MediumGrid21"/>
            <w:rPr>
              <w:rFonts w:ascii="Cambria" w:hAnsi="Cambria"/>
              <w:color w:val="4F81BD"/>
              <w:szCs w:val="20"/>
            </w:rPr>
          </w:pPr>
          <w:r>
            <w:rPr>
              <w:rFonts w:ascii="Cambria" w:hAnsi="Cambria"/>
              <w:color w:val="4F81BD"/>
            </w:rPr>
            <w:t>[Type text]</w:t>
          </w:r>
        </w:p>
      </w:tc>
      <w:tc>
        <w:tcPr>
          <w:tcW w:w="2278" w:type="pct"/>
          <w:tcBorders>
            <w:top w:val="nil"/>
            <w:left w:val="nil"/>
            <w:bottom w:val="single" w:sz="4" w:space="0" w:color="4F81BD"/>
            <w:right w:val="nil"/>
          </w:tcBorders>
        </w:tcPr>
        <w:p w:rsidR="00B4494F" w:rsidRDefault="00B4494F">
          <w:pPr>
            <w:pStyle w:val="Header"/>
            <w:spacing w:line="276" w:lineRule="auto"/>
            <w:rPr>
              <w:rFonts w:ascii="Cambria" w:eastAsia="MS Gothic" w:hAnsi="Cambria"/>
              <w:b/>
              <w:bCs/>
              <w:color w:val="4F81BD"/>
            </w:rPr>
          </w:pPr>
        </w:p>
      </w:tc>
    </w:tr>
    <w:tr w:rsidR="00B4494F">
      <w:trPr>
        <w:trHeight w:val="150"/>
      </w:trPr>
      <w:tc>
        <w:tcPr>
          <w:tcW w:w="2389" w:type="pct"/>
          <w:tcBorders>
            <w:top w:val="single" w:sz="4" w:space="0" w:color="4F81BD"/>
            <w:left w:val="nil"/>
            <w:bottom w:val="nil"/>
            <w:right w:val="nil"/>
          </w:tcBorders>
        </w:tcPr>
        <w:p w:rsidR="00B4494F" w:rsidRDefault="00B4494F">
          <w:pPr>
            <w:pStyle w:val="Header"/>
            <w:spacing w:line="276" w:lineRule="auto"/>
            <w:rPr>
              <w:rFonts w:ascii="Cambria" w:eastAsia="MS Gothic" w:hAnsi="Cambria"/>
              <w:b/>
              <w:bCs/>
              <w:color w:val="4F81BD"/>
            </w:rPr>
          </w:pPr>
        </w:p>
      </w:tc>
      <w:tc>
        <w:tcPr>
          <w:tcW w:w="0" w:type="auto"/>
          <w:vMerge/>
          <w:vAlign w:val="center"/>
          <w:hideMark/>
        </w:tcPr>
        <w:p w:rsidR="00B4494F" w:rsidRDefault="00B4494F">
          <w:pPr>
            <w:rPr>
              <w:rFonts w:ascii="Cambria" w:hAnsi="Cambria"/>
              <w:color w:val="4F81BD"/>
              <w:sz w:val="22"/>
              <w:szCs w:val="22"/>
            </w:rPr>
          </w:pPr>
        </w:p>
      </w:tc>
      <w:tc>
        <w:tcPr>
          <w:tcW w:w="2278" w:type="pct"/>
          <w:tcBorders>
            <w:top w:val="single" w:sz="4" w:space="0" w:color="4F81BD"/>
            <w:left w:val="nil"/>
            <w:bottom w:val="nil"/>
            <w:right w:val="nil"/>
          </w:tcBorders>
        </w:tcPr>
        <w:p w:rsidR="00B4494F" w:rsidRDefault="00B4494F">
          <w:pPr>
            <w:pStyle w:val="Header"/>
            <w:spacing w:line="276" w:lineRule="auto"/>
            <w:rPr>
              <w:rFonts w:ascii="Cambria" w:eastAsia="MS Gothic" w:hAnsi="Cambria"/>
              <w:b/>
              <w:bCs/>
              <w:color w:val="4F81BD"/>
            </w:rPr>
          </w:pPr>
        </w:p>
      </w:tc>
    </w:tr>
  </w:tbl>
  <w:p w:rsidR="00B4494F" w:rsidRDefault="00B4494F">
    <w:pPr>
      <w:pStyle w:val="Header"/>
    </w:pPr>
  </w:p>
  <w:p w:rsidR="00B4494F" w:rsidRDefault="00B4494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94F" w:rsidRDefault="00661BA6">
    <w:pPr>
      <w:pStyle w:val="MinorOVRHeader"/>
      <w:jc w:val="center"/>
      <w:rPr>
        <w:i/>
      </w:rPr>
    </w:pPr>
    <w:r>
      <w:rPr>
        <w:i/>
      </w:rPr>
      <w:t>Public Summary Document – July 2019 PBAC Meeting</w:t>
    </w:r>
  </w:p>
  <w:p w:rsidR="00B4494F" w:rsidRDefault="00B4494F">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043" w:rsidRDefault="009E30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0A6659CA"/>
    <w:lvl w:ilvl="0">
      <w:start w:val="1"/>
      <w:numFmt w:val="decimal"/>
      <w:pStyle w:val="ListNumber"/>
      <w:lvlText w:val="%1."/>
      <w:lvlJc w:val="left"/>
      <w:pPr>
        <w:tabs>
          <w:tab w:val="num" w:pos="360"/>
        </w:tabs>
        <w:ind w:left="360" w:hanging="360"/>
      </w:p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976525"/>
    <w:multiLevelType w:val="multilevel"/>
    <w:tmpl w:val="665AEE3A"/>
    <w:lvl w:ilvl="0">
      <w:start w:val="1"/>
      <w:numFmt w:val="decimal"/>
      <w:lvlText w:val="%1"/>
      <w:lvlJc w:val="left"/>
      <w:pPr>
        <w:ind w:left="720" w:hanging="720"/>
      </w:pPr>
      <w:rPr>
        <w:rFonts w:hint="default"/>
        <w:b/>
        <w:color w:val="auto"/>
      </w:rPr>
    </w:lvl>
    <w:lvl w:ilvl="1">
      <w:start w:val="1"/>
      <w:numFmt w:val="bullet"/>
      <w:lvlText w:val=""/>
      <w:lvlJc w:val="left"/>
      <w:pPr>
        <w:ind w:left="720" w:hanging="720"/>
      </w:pPr>
      <w:rPr>
        <w:rFonts w:ascii="Symbol" w:hAnsi="Symbol"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C527E5"/>
    <w:multiLevelType w:val="hybridMultilevel"/>
    <w:tmpl w:val="4A5E8C2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6D855FC"/>
    <w:multiLevelType w:val="hybridMultilevel"/>
    <w:tmpl w:val="EE105B02"/>
    <w:lvl w:ilvl="0" w:tplc="EF2E5428">
      <w:start w:val="1"/>
      <w:numFmt w:val="bullet"/>
      <w:pStyle w:val="Tabletextbulletdas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220FF7"/>
    <w:multiLevelType w:val="multilevel"/>
    <w:tmpl w:val="665AEE3A"/>
    <w:lvl w:ilvl="0">
      <w:start w:val="1"/>
      <w:numFmt w:val="decimal"/>
      <w:lvlText w:val="%1"/>
      <w:lvlJc w:val="left"/>
      <w:pPr>
        <w:ind w:left="720" w:hanging="720"/>
      </w:pPr>
      <w:rPr>
        <w:rFonts w:hint="default"/>
        <w:b/>
        <w:color w:val="auto"/>
      </w:rPr>
    </w:lvl>
    <w:lvl w:ilvl="1">
      <w:start w:val="1"/>
      <w:numFmt w:val="bullet"/>
      <w:lvlText w:val=""/>
      <w:lvlJc w:val="left"/>
      <w:pPr>
        <w:ind w:left="720" w:hanging="720"/>
      </w:pPr>
      <w:rPr>
        <w:rFonts w:ascii="Symbol" w:hAnsi="Symbol"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3805812"/>
    <w:multiLevelType w:val="hybridMultilevel"/>
    <w:tmpl w:val="FEE4FF6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44442297"/>
    <w:multiLevelType w:val="hybridMultilevel"/>
    <w:tmpl w:val="40D22A0C"/>
    <w:lvl w:ilvl="0" w:tplc="6F161E42">
      <w:start w:val="1"/>
      <w:numFmt w:val="bullet"/>
      <w:pStyle w:val="Bulletpoints"/>
      <w:lvlText w:val=""/>
      <w:lvlJc w:val="left"/>
      <w:pPr>
        <w:ind w:left="2845" w:hanging="360"/>
      </w:pPr>
      <w:rPr>
        <w:rFonts w:ascii="Symbol" w:hAnsi="Symbol" w:hint="default"/>
      </w:rPr>
    </w:lvl>
    <w:lvl w:ilvl="1" w:tplc="04090003">
      <w:start w:val="1"/>
      <w:numFmt w:val="bullet"/>
      <w:lvlText w:val="o"/>
      <w:lvlJc w:val="left"/>
      <w:pPr>
        <w:ind w:left="3565" w:hanging="360"/>
      </w:pPr>
      <w:rPr>
        <w:rFonts w:ascii="Courier New" w:hAnsi="Courier New" w:hint="default"/>
      </w:rPr>
    </w:lvl>
    <w:lvl w:ilvl="2" w:tplc="04090005" w:tentative="1">
      <w:start w:val="1"/>
      <w:numFmt w:val="bullet"/>
      <w:lvlText w:val=""/>
      <w:lvlJc w:val="left"/>
      <w:pPr>
        <w:ind w:left="4285" w:hanging="360"/>
      </w:pPr>
      <w:rPr>
        <w:rFonts w:ascii="Wingdings" w:hAnsi="Wingdings" w:hint="default"/>
      </w:rPr>
    </w:lvl>
    <w:lvl w:ilvl="3" w:tplc="04090001" w:tentative="1">
      <w:start w:val="1"/>
      <w:numFmt w:val="bullet"/>
      <w:lvlText w:val=""/>
      <w:lvlJc w:val="left"/>
      <w:pPr>
        <w:ind w:left="5005" w:hanging="360"/>
      </w:pPr>
      <w:rPr>
        <w:rFonts w:ascii="Symbol" w:hAnsi="Symbol" w:hint="default"/>
      </w:rPr>
    </w:lvl>
    <w:lvl w:ilvl="4" w:tplc="04090003" w:tentative="1">
      <w:start w:val="1"/>
      <w:numFmt w:val="bullet"/>
      <w:lvlText w:val="o"/>
      <w:lvlJc w:val="left"/>
      <w:pPr>
        <w:ind w:left="5725" w:hanging="360"/>
      </w:pPr>
      <w:rPr>
        <w:rFonts w:ascii="Courier New" w:hAnsi="Courier New" w:hint="default"/>
      </w:rPr>
    </w:lvl>
    <w:lvl w:ilvl="5" w:tplc="04090005" w:tentative="1">
      <w:start w:val="1"/>
      <w:numFmt w:val="bullet"/>
      <w:lvlText w:val=""/>
      <w:lvlJc w:val="left"/>
      <w:pPr>
        <w:ind w:left="6445" w:hanging="360"/>
      </w:pPr>
      <w:rPr>
        <w:rFonts w:ascii="Wingdings" w:hAnsi="Wingdings" w:hint="default"/>
      </w:rPr>
    </w:lvl>
    <w:lvl w:ilvl="6" w:tplc="04090001" w:tentative="1">
      <w:start w:val="1"/>
      <w:numFmt w:val="bullet"/>
      <w:lvlText w:val=""/>
      <w:lvlJc w:val="left"/>
      <w:pPr>
        <w:ind w:left="7165" w:hanging="360"/>
      </w:pPr>
      <w:rPr>
        <w:rFonts w:ascii="Symbol" w:hAnsi="Symbol" w:hint="default"/>
      </w:rPr>
    </w:lvl>
    <w:lvl w:ilvl="7" w:tplc="04090003" w:tentative="1">
      <w:start w:val="1"/>
      <w:numFmt w:val="bullet"/>
      <w:lvlText w:val="o"/>
      <w:lvlJc w:val="left"/>
      <w:pPr>
        <w:ind w:left="7885" w:hanging="360"/>
      </w:pPr>
      <w:rPr>
        <w:rFonts w:ascii="Courier New" w:hAnsi="Courier New" w:hint="default"/>
      </w:rPr>
    </w:lvl>
    <w:lvl w:ilvl="8" w:tplc="04090005" w:tentative="1">
      <w:start w:val="1"/>
      <w:numFmt w:val="bullet"/>
      <w:lvlText w:val=""/>
      <w:lvlJc w:val="left"/>
      <w:pPr>
        <w:ind w:left="8605" w:hanging="360"/>
      </w:pPr>
      <w:rPr>
        <w:rFonts w:ascii="Wingdings" w:hAnsi="Wingdings" w:hint="default"/>
      </w:rPr>
    </w:lvl>
  </w:abstractNum>
  <w:abstractNum w:abstractNumId="13"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8F2869"/>
    <w:multiLevelType w:val="hybridMultilevel"/>
    <w:tmpl w:val="F7563272"/>
    <w:lvl w:ilvl="0" w:tplc="F35CAC32">
      <w:start w:val="1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9054D00"/>
    <w:multiLevelType w:val="hybridMultilevel"/>
    <w:tmpl w:val="A8BA6154"/>
    <w:lvl w:ilvl="0" w:tplc="42A4208C">
      <w:start w:val="1"/>
      <w:numFmt w:val="decimal"/>
      <w:lvlText w:val="%1."/>
      <w:lvlJc w:val="left"/>
      <w:pPr>
        <w:ind w:left="720" w:hanging="360"/>
      </w:pPr>
      <w:rPr>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62E94A80"/>
    <w:multiLevelType w:val="hybridMultilevel"/>
    <w:tmpl w:val="B9C06F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6849005A"/>
    <w:multiLevelType w:val="multilevel"/>
    <w:tmpl w:val="665AEE3A"/>
    <w:lvl w:ilvl="0">
      <w:start w:val="1"/>
      <w:numFmt w:val="decimal"/>
      <w:lvlText w:val="%1"/>
      <w:lvlJc w:val="left"/>
      <w:pPr>
        <w:ind w:left="720" w:hanging="720"/>
      </w:pPr>
      <w:rPr>
        <w:rFonts w:hint="default"/>
        <w:b/>
        <w:color w:val="auto"/>
      </w:rPr>
    </w:lvl>
    <w:lvl w:ilvl="1">
      <w:start w:val="1"/>
      <w:numFmt w:val="bullet"/>
      <w:lvlText w:val=""/>
      <w:lvlJc w:val="left"/>
      <w:pPr>
        <w:ind w:left="720" w:hanging="720"/>
      </w:pPr>
      <w:rPr>
        <w:rFonts w:ascii="Symbol" w:hAnsi="Symbol"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84D033C"/>
    <w:multiLevelType w:val="multilevel"/>
    <w:tmpl w:val="E6E0DD86"/>
    <w:lvl w:ilvl="0">
      <w:start w:val="1"/>
      <w:numFmt w:val="decimal"/>
      <w:pStyle w:val="2Sections"/>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b w:val="0"/>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0"/>
  </w:num>
  <w:num w:numId="3">
    <w:abstractNumId w:val="20"/>
  </w:num>
  <w:num w:numId="4">
    <w:abstractNumId w:val="17"/>
  </w:num>
  <w:num w:numId="5">
    <w:abstractNumId w:val="12"/>
  </w:num>
  <w:num w:numId="6">
    <w:abstractNumId w:val="7"/>
  </w:num>
  <w:num w:numId="7">
    <w:abstractNumId w:val="4"/>
  </w:num>
  <w:num w:numId="8">
    <w:abstractNumId w:val="9"/>
  </w:num>
  <w:num w:numId="9">
    <w:abstractNumId w:val="19"/>
  </w:num>
  <w:num w:numId="10">
    <w:abstractNumId w:val="3"/>
  </w:num>
  <w:num w:numId="11">
    <w:abstractNumId w:val="18"/>
  </w:num>
  <w:num w:numId="12">
    <w:abstractNumId w:val="20"/>
  </w:num>
  <w:num w:numId="13">
    <w:abstractNumId w:val="11"/>
  </w:num>
  <w:num w:numId="14">
    <w:abstractNumId w:val="20"/>
  </w:num>
  <w:num w:numId="15">
    <w:abstractNumId w:val="20"/>
  </w:num>
  <w:num w:numId="16">
    <w:abstractNumId w:val="20"/>
  </w:num>
  <w:num w:numId="17">
    <w:abstractNumId w:val="20"/>
  </w:num>
  <w:num w:numId="18">
    <w:abstractNumId w:val="20"/>
  </w:num>
  <w:num w:numId="19">
    <w:abstractNumId w:val="20"/>
  </w:num>
  <w:num w:numId="20">
    <w:abstractNumId w:val="20"/>
  </w:num>
  <w:num w:numId="21">
    <w:abstractNumId w:val="20"/>
  </w:num>
  <w:num w:numId="22">
    <w:abstractNumId w:val="20"/>
  </w:num>
  <w:num w:numId="23">
    <w:abstractNumId w:val="20"/>
  </w:num>
  <w:num w:numId="24">
    <w:abstractNumId w:val="20"/>
  </w:num>
  <w:num w:numId="25">
    <w:abstractNumId w:val="20"/>
  </w:num>
  <w:num w:numId="26">
    <w:abstractNumId w:val="20"/>
  </w:num>
  <w:num w:numId="27">
    <w:abstractNumId w:val="20"/>
  </w:num>
  <w:num w:numId="28">
    <w:abstractNumId w:val="20"/>
  </w:num>
  <w:num w:numId="29">
    <w:abstractNumId w:val="20"/>
  </w:num>
  <w:num w:numId="30">
    <w:abstractNumId w:val="8"/>
  </w:num>
  <w:num w:numId="31">
    <w:abstractNumId w:val="20"/>
  </w:num>
  <w:num w:numId="32">
    <w:abstractNumId w:val="20"/>
  </w:num>
  <w:num w:numId="33">
    <w:abstractNumId w:val="20"/>
  </w:num>
  <w:num w:numId="34">
    <w:abstractNumId w:val="20"/>
  </w:num>
  <w:num w:numId="35">
    <w:abstractNumId w:val="20"/>
  </w:num>
  <w:num w:numId="36">
    <w:abstractNumId w:val="20"/>
  </w:num>
  <w:num w:numId="37">
    <w:abstractNumId w:val="20"/>
  </w:num>
  <w:num w:numId="38">
    <w:abstractNumId w:val="13"/>
  </w:num>
  <w:num w:numId="39">
    <w:abstractNumId w:val="14"/>
  </w:num>
  <w:num w:numId="40">
    <w:abstractNumId w:val="2"/>
  </w:num>
  <w:num w:numId="41">
    <w:abstractNumId w:val="1"/>
  </w:num>
  <w:num w:numId="42">
    <w:abstractNumId w:val="6"/>
  </w:num>
  <w:num w:numId="43">
    <w:abstractNumId w:val="10"/>
  </w:num>
  <w:num w:numId="44">
    <w:abstractNumId w:val="5"/>
  </w:num>
  <w:num w:numId="45">
    <w:abstractNumId w:val="15"/>
  </w:num>
  <w:num w:numId="46">
    <w:abstractNumId w:val="16"/>
  </w:num>
  <w:num w:numId="47">
    <w:abstractNumId w:val="20"/>
  </w:num>
  <w:num w:numId="48">
    <w:abstractNumId w:val="20"/>
  </w:num>
  <w:num w:numId="49">
    <w:abstractNumId w:val="20"/>
  </w:num>
  <w:num w:numId="50">
    <w:abstractNumId w:val="20"/>
  </w:num>
  <w:num w:numId="51">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94F"/>
    <w:rsid w:val="00004C5C"/>
    <w:rsid w:val="001C7151"/>
    <w:rsid w:val="00661BA6"/>
    <w:rsid w:val="009E3043"/>
    <w:rsid w:val="00B4494F"/>
    <w:rsid w:val="00BE74A3"/>
    <w:rsid w:val="00F868E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50D1EA7"/>
  <w15:docId w15:val="{DF27835D-17E5-42B8-8E44-46D94F84D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pPr>
      <w:ind w:left="0"/>
      <w:outlineLvl w:val="0"/>
    </w:pPr>
    <w:rPr>
      <w:b/>
      <w:szCs w:val="22"/>
    </w:rPr>
  </w:style>
  <w:style w:type="paragraph" w:styleId="Heading2">
    <w:name w:val="heading 2"/>
    <w:aliases w:val="Subsection Headings"/>
    <w:basedOn w:val="Normal"/>
    <w:next w:val="Normal"/>
    <w:link w:val="Heading2Char"/>
    <w:qFormat/>
    <w:pPr>
      <w:keepNext/>
      <w:outlineLvl w:val="1"/>
    </w:pPr>
    <w:rPr>
      <w:rFonts w:ascii="Arial" w:hAnsi="Arial"/>
      <w:b/>
      <w:i/>
      <w:sz w:val="22"/>
    </w:rPr>
  </w:style>
  <w:style w:type="paragraph" w:styleId="Heading3">
    <w:name w:val="heading 3"/>
    <w:basedOn w:val="Normal"/>
    <w:next w:val="Normal"/>
    <w:link w:val="Heading3Char"/>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Pr>
      <w:sz w:val="24"/>
      <w:szCs w:val="24"/>
      <w:lang w:eastAsia="en-AU"/>
    </w:rPr>
  </w:style>
  <w:style w:type="paragraph" w:customStyle="1" w:styleId="MediumGrid21">
    <w:name w:val="Medium Grid 21"/>
    <w:link w:val="MediumGrid2Char"/>
    <w:rPr>
      <w:rFonts w:ascii="PMingLiU" w:eastAsia="MS Mincho" w:hAnsi="PMingLiU"/>
      <w:sz w:val="22"/>
      <w:szCs w:val="22"/>
      <w:lang w:val="en-US" w:eastAsia="en-US"/>
    </w:rPr>
  </w:style>
  <w:style w:type="character" w:customStyle="1" w:styleId="MediumGrid2Char">
    <w:name w:val="Medium Grid 2 Char"/>
    <w:link w:val="MediumGrid21"/>
    <w:rPr>
      <w:rFonts w:ascii="PMingLiU" w:eastAsia="MS Mincho" w:hAnsi="PMingLiU"/>
      <w:sz w:val="22"/>
      <w:szCs w:val="22"/>
      <w:lang w:val="en-US"/>
    </w:rPr>
  </w:style>
  <w:style w:type="table" w:customStyle="1" w:styleId="IntenseQuote1">
    <w:name w:val="Intense Quote1"/>
    <w:basedOn w:val="TableNormal"/>
    <w:uiPriority w:val="60"/>
    <w:qFormat/>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Pr>
      <w:sz w:val="24"/>
      <w:szCs w:val="24"/>
    </w:rPr>
  </w:style>
  <w:style w:type="paragraph" w:styleId="ListParagraph">
    <w:name w:val="List Paragraph"/>
    <w:aliases w:val="BulletPoints,Numbered para,Bullet point,List Paragraph1,List Paragraph11,Recommendation,Footnote,ES Paragraph,PBAC ES Paragraph,PBAC normal points,Bullet List,Styl moj,Akapit z listą11"/>
    <w:basedOn w:val="Normal"/>
    <w:link w:val="ListParagraphChar"/>
    <w:uiPriority w:val="34"/>
    <w:qFormat/>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style>
  <w:style w:type="paragraph" w:styleId="NoSpacing">
    <w:name w:val="No Spacing"/>
    <w:basedOn w:val="Normal"/>
    <w:link w:val="NoSpacingChar"/>
    <w:uiPriority w:val="1"/>
    <w:qFormat/>
    <w:pPr>
      <w:jc w:val="both"/>
    </w:pPr>
    <w:rPr>
      <w:rFonts w:ascii="Arial" w:hAnsi="Arial"/>
      <w:sz w:val="22"/>
      <w:szCs w:val="22"/>
    </w:rPr>
  </w:style>
  <w:style w:type="character" w:styleId="Hyperlink">
    <w:name w:val="Hyperlink"/>
    <w:uiPriority w:val="99"/>
    <w:rPr>
      <w:color w:val="0000FF"/>
      <w:u w:val="single"/>
    </w:rPr>
  </w:style>
  <w:style w:type="paragraph" w:styleId="Title">
    <w:name w:val="Title"/>
    <w:basedOn w:val="Normal"/>
    <w:next w:val="Normal"/>
    <w:link w:val="TitleChar"/>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pPr>
      <w:numPr>
        <w:numId w:val="2"/>
      </w:numPr>
      <w:contextualSpacing/>
    </w:pPr>
  </w:style>
  <w:style w:type="paragraph" w:styleId="ListContinue2">
    <w:name w:val="List Continue 2"/>
    <w:basedOn w:val="Normal"/>
    <w:pPr>
      <w:spacing w:after="120"/>
      <w:ind w:left="566"/>
      <w:contextualSpacing/>
    </w:pPr>
  </w:style>
  <w:style w:type="paragraph" w:styleId="ListNumber2">
    <w:name w:val="List Number 2"/>
    <w:basedOn w:val="Normal"/>
    <w:pPr>
      <w:tabs>
        <w:tab w:val="num" w:pos="643"/>
      </w:tabs>
      <w:ind w:left="643" w:hanging="360"/>
      <w:contextualSpacing/>
    </w:pPr>
  </w:style>
  <w:style w:type="character" w:customStyle="1" w:styleId="TitleChar">
    <w:name w:val="Title Char"/>
    <w:basedOn w:val="DefaultParagraphFont"/>
    <w:link w:val="Title"/>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ullet point Char,List Paragraph1 Char,List Paragraph11 Char,Recommendation Char,Footnote Char,ES Paragraph Char,PBAC ES Paragraph Char,PBAC normal points Char,Bullet List Char,Styl moj Char"/>
    <w:basedOn w:val="DefaultParagraphFont"/>
    <w:link w:val="ListParagraph"/>
    <w:uiPriority w:val="34"/>
    <w:qFormat/>
    <w:rPr>
      <w:rFonts w:ascii="Arial" w:hAnsi="Arial" w:cs="Arial"/>
      <w:snapToGrid w:val="0"/>
      <w:sz w:val="22"/>
      <w:lang w:eastAsia="en-US"/>
    </w:rPr>
  </w:style>
  <w:style w:type="paragraph" w:customStyle="1" w:styleId="2Sections">
    <w:name w:val="2. Sections"/>
    <w:basedOn w:val="Heading1"/>
    <w:qFormat/>
    <w:pPr>
      <w:keepNext/>
      <w:keepLines/>
      <w:widowControl/>
      <w:numPr>
        <w:numId w:val="3"/>
      </w:numPr>
      <w:spacing w:before="240" w:after="120"/>
      <w:contextualSpacing w:val="0"/>
      <w:jc w:val="left"/>
    </w:pPr>
    <w:rPr>
      <w:rFonts w:asciiTheme="minorHAnsi" w:hAnsiTheme="minorHAnsi"/>
      <w:sz w:val="32"/>
      <w:szCs w:val="32"/>
    </w:rPr>
  </w:style>
  <w:style w:type="character" w:customStyle="1" w:styleId="Heading1Char">
    <w:name w:val="Heading 1 Char"/>
    <w:basedOn w:val="DefaultParagraphFont"/>
    <w:link w:val="Heading1"/>
    <w:uiPriority w:val="1"/>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rPr>
      <w:rFonts w:ascii="Arial" w:hAnsi="Arial"/>
      <w:b/>
      <w:i/>
      <w:sz w:val="22"/>
      <w:szCs w:val="24"/>
    </w:rPr>
  </w:style>
  <w:style w:type="paragraph" w:customStyle="1" w:styleId="1MainTitle">
    <w:name w:val="1. Main Title"/>
    <w:basedOn w:val="Title"/>
    <w:link w:val="1MainTitleChar"/>
    <w:qFormat/>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pPr>
      <w:jc w:val="right"/>
    </w:pPr>
    <w:rPr>
      <w:rFonts w:asciiTheme="minorHAnsi" w:hAnsiTheme="minorHAnsi" w:cs="Arial"/>
    </w:rPr>
  </w:style>
  <w:style w:type="character" w:customStyle="1" w:styleId="1MainTitleChar">
    <w:name w:val="1. Main Title Char"/>
    <w:basedOn w:val="TitleChar"/>
    <w:link w:val="1MainTitle"/>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pPr>
      <w:spacing w:after="60"/>
    </w:pPr>
    <w:rPr>
      <w:rFonts w:ascii="Arial Narrow" w:hAnsi="Arial Narrow"/>
      <w:b/>
      <w:sz w:val="20"/>
    </w:rPr>
  </w:style>
  <w:style w:type="character" w:customStyle="1" w:styleId="MinorOVRHeaderChar">
    <w:name w:val="Minor OVR Header Char"/>
    <w:basedOn w:val="HeaderChar"/>
    <w:link w:val="MinorOVRHeader"/>
    <w:rPr>
      <w:rFonts w:asciiTheme="minorHAnsi" w:hAnsiTheme="minorHAnsi" w:cs="Arial"/>
      <w:sz w:val="24"/>
      <w:szCs w:val="24"/>
      <w:lang w:eastAsia="en-AU"/>
    </w:rPr>
  </w:style>
  <w:style w:type="character" w:customStyle="1" w:styleId="NoSpacingChar">
    <w:name w:val="No Spacing Char"/>
    <w:basedOn w:val="DefaultParagraphFont"/>
    <w:link w:val="NoSpacing"/>
    <w:uiPriority w:val="99"/>
    <w:rPr>
      <w:rFonts w:ascii="Arial" w:hAnsi="Arial"/>
      <w:sz w:val="22"/>
      <w:szCs w:val="22"/>
    </w:rPr>
  </w:style>
  <w:style w:type="character" w:customStyle="1" w:styleId="TabletitlesChar">
    <w:name w:val="Table titles Char"/>
    <w:basedOn w:val="NoSpacingChar"/>
    <w:link w:val="Tabletitles"/>
    <w:rPr>
      <w:rFonts w:ascii="Arial Narrow" w:hAnsi="Arial Narrow"/>
      <w:b/>
      <w:sz w:val="22"/>
      <w:szCs w:val="22"/>
    </w:rPr>
  </w:style>
  <w:style w:type="paragraph" w:customStyle="1" w:styleId="3Bodytext">
    <w:name w:val="3. Body text"/>
    <w:basedOn w:val="ListParagraph"/>
    <w:link w:val="3BodytextChar"/>
    <w:qFormat/>
    <w:pPr>
      <w:widowControl/>
      <w:numPr>
        <w:ilvl w:val="1"/>
        <w:numId w:val="3"/>
      </w:numPr>
      <w:spacing w:after="120"/>
      <w:contextualSpacing w:val="0"/>
    </w:pPr>
    <w:rPr>
      <w:rFonts w:asciiTheme="minorHAnsi" w:eastAsiaTheme="minorHAnsi" w:hAnsiTheme="minorHAnsi" w:cstheme="minorBidi"/>
      <w:snapToGrid/>
      <w:sz w:val="24"/>
      <w:szCs w:val="22"/>
    </w:rPr>
  </w:style>
  <w:style w:type="paragraph" w:customStyle="1" w:styleId="PBACFooter">
    <w:name w:val="PBAC Footer"/>
    <w:basedOn w:val="Footer"/>
    <w:link w:val="PBACFooterChar"/>
    <w:qFormat/>
    <w:pPr>
      <w:jc w:val="center"/>
    </w:pPr>
    <w:rPr>
      <w:rFonts w:ascii="Arial" w:hAnsi="Arial" w:cs="Arial"/>
      <w:b/>
      <w:sz w:val="20"/>
      <w:szCs w:val="20"/>
    </w:rPr>
  </w:style>
  <w:style w:type="character" w:customStyle="1" w:styleId="3BodytextChar">
    <w:name w:val="3. Body text Char"/>
    <w:basedOn w:val="ListParagraphChar"/>
    <w:link w:val="3Bodytext"/>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Pr>
      <w:rFonts w:ascii="Arial" w:hAnsi="Arial" w:cs="Arial"/>
      <w:b/>
      <w:sz w:val="24"/>
      <w:szCs w:val="24"/>
    </w:rPr>
  </w:style>
  <w:style w:type="paragraph" w:customStyle="1" w:styleId="PBACHeading1">
    <w:name w:val="PBAC Heading 1"/>
    <w:qFormat/>
    <w:pPr>
      <w:ind w:left="720" w:hanging="720"/>
      <w:outlineLvl w:val="0"/>
    </w:pPr>
    <w:rPr>
      <w:rFonts w:ascii="Arial" w:hAnsi="Arial" w:cs="Arial"/>
      <w:b/>
      <w:snapToGrid w:val="0"/>
      <w:sz w:val="22"/>
      <w:szCs w:val="22"/>
      <w:lang w:eastAsia="en-US"/>
    </w:rPr>
  </w:style>
  <w:style w:type="paragraph" w:customStyle="1" w:styleId="TableText0">
    <w:name w:val="Table Text"/>
    <w:basedOn w:val="NoSpacing"/>
    <w:link w:val="TableTextChar0"/>
    <w:qFormat/>
    <w:rPr>
      <w:rFonts w:ascii="Arial Narrow" w:hAnsi="Arial Narrow"/>
      <w:sz w:val="20"/>
    </w:rPr>
  </w:style>
  <w:style w:type="paragraph" w:customStyle="1" w:styleId="Lists">
    <w:name w:val="Lists"/>
    <w:basedOn w:val="3Bodytext"/>
    <w:link w:val="ListsChar"/>
    <w:qFormat/>
    <w:pPr>
      <w:numPr>
        <w:ilvl w:val="0"/>
        <w:numId w:val="4"/>
      </w:numPr>
    </w:pPr>
  </w:style>
  <w:style w:type="character" w:customStyle="1" w:styleId="TableTextChar0">
    <w:name w:val="Table Text Char"/>
    <w:basedOn w:val="NoSpacingChar"/>
    <w:link w:val="TableText0"/>
    <w:rPr>
      <w:rFonts w:ascii="Arial Narrow" w:hAnsi="Arial Narrow"/>
      <w:sz w:val="22"/>
      <w:szCs w:val="22"/>
    </w:rPr>
  </w:style>
  <w:style w:type="character" w:styleId="FollowedHyperlink">
    <w:name w:val="FollowedHyperlink"/>
    <w:basedOn w:val="DefaultParagraphFont"/>
    <w:semiHidden/>
    <w:unhideWhenUsed/>
    <w:rPr>
      <w:color w:val="800080" w:themeColor="followedHyperlink"/>
      <w:u w:val="single"/>
    </w:rPr>
  </w:style>
  <w:style w:type="character" w:customStyle="1" w:styleId="ListsChar">
    <w:name w:val="Lists Char"/>
    <w:basedOn w:val="3BodytextChar"/>
    <w:link w:val="Lists"/>
    <w:rPr>
      <w:rFonts w:asciiTheme="minorHAnsi" w:eastAsiaTheme="minorHAnsi" w:hAnsiTheme="minorHAnsi" w:cstheme="minorBidi"/>
      <w:snapToGrid/>
      <w:sz w:val="24"/>
      <w:szCs w:val="22"/>
      <w:lang w:eastAsia="en-US"/>
    </w:rPr>
  </w:style>
  <w:style w:type="paragraph" w:customStyle="1" w:styleId="Bulletpoints">
    <w:name w:val="Bullet points"/>
    <w:basedOn w:val="ListParagraph"/>
    <w:qFormat/>
    <w:pPr>
      <w:numPr>
        <w:numId w:val="5"/>
      </w:numPr>
      <w:ind w:left="425" w:hanging="425"/>
      <w:contextualSpacing w:val="0"/>
    </w:pPr>
    <w:rPr>
      <w:rFonts w:ascii="Calibri" w:hAnsi="Calibri"/>
      <w:sz w:val="24"/>
      <w:szCs w:val="24"/>
    </w:rPr>
  </w:style>
  <w:style w:type="paragraph" w:customStyle="1" w:styleId="TableFooter">
    <w:name w:val="Table Footer"/>
    <w:basedOn w:val="Normal"/>
    <w:link w:val="TableFooterChar"/>
    <w:qFormat/>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Pr>
      <w:rFonts w:ascii="Arial Narrow" w:hAnsi="Arial Narrow" w:cs="Arial"/>
      <w:snapToGrid w:val="0"/>
      <w:sz w:val="18"/>
      <w:szCs w:val="22"/>
      <w:lang w:eastAsia="en-US"/>
    </w:rPr>
  </w:style>
  <w:style w:type="character" w:customStyle="1" w:styleId="TabletextChar">
    <w:name w:val="Table text Char"/>
    <w:link w:val="Tabletext"/>
    <w:rPr>
      <w:rFonts w:ascii="Arial" w:hAnsi="Arial"/>
      <w:lang w:eastAsia="en-US"/>
    </w:rPr>
  </w:style>
  <w:style w:type="paragraph" w:customStyle="1" w:styleId="CharCharChar">
    <w:name w:val="Char Char Char"/>
    <w:basedOn w:val="Normal"/>
    <w:autoRedefine/>
    <w:pPr>
      <w:spacing w:before="120" w:after="160" w:line="360" w:lineRule="auto"/>
    </w:pPr>
    <w:rPr>
      <w:rFonts w:ascii="Calibri" w:hAnsi="Calibri" w:cs="Tahoma"/>
      <w:sz w:val="22"/>
      <w:szCs w:val="20"/>
      <w:lang w:val="en-US" w:eastAsia="en-US"/>
    </w:rPr>
  </w:style>
  <w:style w:type="paragraph" w:customStyle="1" w:styleId="CharCharChar0">
    <w:name w:val="Char Char Char"/>
    <w:basedOn w:val="Normal"/>
    <w:autoRedefine/>
    <w:pPr>
      <w:spacing w:before="120" w:after="160" w:line="360" w:lineRule="auto"/>
    </w:pPr>
    <w:rPr>
      <w:rFonts w:ascii="Calibri" w:hAnsi="Calibri" w:cs="Tahoma"/>
      <w:sz w:val="22"/>
      <w:szCs w:val="20"/>
      <w:lang w:val="en-US" w:eastAsia="en-US"/>
    </w:rPr>
  </w:style>
  <w:style w:type="paragraph" w:customStyle="1" w:styleId="Tabletextbulletdash">
    <w:name w:val="Table text bullet dash"/>
    <w:basedOn w:val="Tabletext"/>
    <w:qFormat/>
    <w:pPr>
      <w:numPr>
        <w:numId w:val="6"/>
      </w:numPr>
      <w:adjustRightInd w:val="0"/>
      <w:snapToGrid w:val="0"/>
      <w:spacing w:before="40" w:after="40"/>
    </w:pPr>
    <w:rPr>
      <w:rFonts w:ascii="Calibri" w:eastAsia="SimSun" w:hAnsi="Calibri"/>
      <w:sz w:val="18"/>
      <w:szCs w:val="22"/>
      <w:lang w:eastAsia="zh-CN"/>
    </w:rPr>
  </w:style>
  <w:style w:type="paragraph" w:styleId="Caption">
    <w:name w:val="caption"/>
    <w:basedOn w:val="Normal"/>
    <w:next w:val="Normal"/>
    <w:qFormat/>
    <w:pPr>
      <w:keepNext/>
      <w:spacing w:before="240" w:after="120"/>
    </w:pPr>
    <w:rPr>
      <w:rFonts w:ascii="Calibri" w:hAnsi="Calibri"/>
      <w:b/>
      <w:bCs/>
      <w:sz w:val="22"/>
      <w:szCs w:val="20"/>
      <w:lang w:val="en-GB" w:eastAsia="en-US"/>
    </w:rPr>
  </w:style>
  <w:style w:type="paragraph" w:styleId="NormalWeb">
    <w:name w:val="Normal (Web)"/>
    <w:basedOn w:val="Normal"/>
    <w:uiPriority w:val="99"/>
    <w:unhideWhenUsed/>
    <w:pPr>
      <w:spacing w:before="100" w:beforeAutospacing="1" w:after="100" w:afterAutospacing="1"/>
    </w:pPr>
  </w:style>
  <w:style w:type="paragraph" w:customStyle="1" w:styleId="CharCharChar1">
    <w:name w:val="Char Char Char"/>
    <w:basedOn w:val="Normal"/>
    <w:autoRedefine/>
    <w:pPr>
      <w:spacing w:before="120" w:after="160" w:line="360" w:lineRule="auto"/>
    </w:pPr>
    <w:rPr>
      <w:rFonts w:ascii="Calibri" w:hAnsi="Calibri" w:cs="Tahoma"/>
      <w:sz w:val="22"/>
      <w:szCs w:val="20"/>
      <w:lang w:val="en-US" w:eastAsia="en-US"/>
    </w:rPr>
  </w:style>
  <w:style w:type="paragraph" w:styleId="Revision">
    <w:name w:val="Revision"/>
    <w:hidden/>
    <w:uiPriority w:val="71"/>
    <w:semiHidden/>
    <w:rPr>
      <w:sz w:val="24"/>
      <w:szCs w:val="24"/>
    </w:rPr>
  </w:style>
  <w:style w:type="paragraph" w:customStyle="1" w:styleId="CharCharChar2">
    <w:name w:val="Char Char Char"/>
    <w:basedOn w:val="Normal"/>
    <w:autoRedefine/>
    <w:pPr>
      <w:spacing w:before="120" w:after="160" w:line="360" w:lineRule="auto"/>
    </w:pPr>
    <w:rPr>
      <w:rFonts w:ascii="Calibri" w:hAnsi="Calibri" w:cs="Tahoma"/>
      <w:sz w:val="22"/>
      <w:szCs w:val="20"/>
      <w:lang w:val="en-US" w:eastAsia="en-US"/>
    </w:rPr>
  </w:style>
  <w:style w:type="paragraph" w:customStyle="1" w:styleId="Default">
    <w:name w:val="Default"/>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basedOn w:val="DefaultParagraphFont"/>
    <w:link w:val="FootnoteText"/>
    <w:semiHidden/>
  </w:style>
  <w:style w:type="character" w:styleId="FootnoteReference">
    <w:name w:val="footnote reference"/>
    <w:basedOn w:val="DefaultParagraphFont"/>
    <w:semiHidden/>
    <w:unhideWhenUsed/>
    <w:rPr>
      <w:vertAlign w:val="superscript"/>
    </w:rPr>
  </w:style>
  <w:style w:type="character" w:customStyle="1" w:styleId="prod-title">
    <w:name w:val="prod-titl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342509013">
      <w:bodyDiv w:val="1"/>
      <w:marLeft w:val="0"/>
      <w:marRight w:val="0"/>
      <w:marTop w:val="0"/>
      <w:marBottom w:val="0"/>
      <w:divBdr>
        <w:top w:val="none" w:sz="0" w:space="0" w:color="auto"/>
        <w:left w:val="none" w:sz="0" w:space="0" w:color="auto"/>
        <w:bottom w:val="none" w:sz="0" w:space="0" w:color="auto"/>
        <w:right w:val="none" w:sz="0" w:space="0" w:color="auto"/>
      </w:divBdr>
    </w:div>
    <w:div w:id="1535340452">
      <w:bodyDiv w:val="1"/>
      <w:marLeft w:val="0"/>
      <w:marRight w:val="0"/>
      <w:marTop w:val="0"/>
      <w:marBottom w:val="0"/>
      <w:divBdr>
        <w:top w:val="none" w:sz="0" w:space="0" w:color="auto"/>
        <w:left w:val="none" w:sz="0" w:space="0" w:color="auto"/>
        <w:bottom w:val="none" w:sz="0" w:space="0" w:color="auto"/>
        <w:right w:val="none" w:sz="0" w:space="0" w:color="auto"/>
      </w:divBdr>
    </w:div>
    <w:div w:id="1564750857">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01433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pbs.gov.au/info/industry/listing/participants/public-release-docs/2016-09/rifaximin-24-month-review-2016-09" TargetMode="External"/><Relationship Id="rId2" Type="http://schemas.openxmlformats.org/officeDocument/2006/relationships/hyperlink" Target="http://www.pbs.gov.au/industry/listing/elements/pbac-meetings/pbac-outcomes/2016-11/dusc-report-2016-11.pdf" TargetMode="External"/><Relationship Id="rId1" Type="http://schemas.openxmlformats.org/officeDocument/2006/relationships/hyperlink" Target="http://www.pbs.gov.au/pbs/industry/listing/elements/pbac-meetings/psd/2013-04/rifaxi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80141-2D26-4060-B997-FB6B57AD1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2678</Words>
  <Characters>15776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KRSTIK, Dejan</dc:creator>
  <cp:lastModifiedBy>Author</cp:lastModifiedBy>
  <cp:revision>2</cp:revision>
  <cp:lastPrinted>2019-10-18T01:36:00Z</cp:lastPrinted>
  <dcterms:created xsi:type="dcterms:W3CDTF">2019-09-26T02:05:00Z</dcterms:created>
  <dcterms:modified xsi:type="dcterms:W3CDTF">2019-10-18T01:36:00Z</dcterms:modified>
</cp:coreProperties>
</file>