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A55" w:rsidRDefault="002B6519">
      <w:pPr>
        <w:pStyle w:val="1MainTitle"/>
      </w:pPr>
      <w:r>
        <w:t>7.18</w:t>
      </w:r>
      <w:r>
        <w:tab/>
        <w:t xml:space="preserve">RAMUCIRUMAB </w:t>
      </w:r>
      <w:r>
        <w:br/>
        <w:t xml:space="preserve">100 mg in 10 mL vial, 500 mg in 50 mL vial, </w:t>
      </w:r>
      <w:r>
        <w:br/>
        <w:t>Cyramza®, Eli Lilly Australia Pty Ltd.</w:t>
      </w:r>
    </w:p>
    <w:p w:rsidR="00261A55" w:rsidRDefault="002B6519">
      <w:pPr>
        <w:pStyle w:val="2Sections"/>
        <w:numPr>
          <w:ilvl w:val="0"/>
          <w:numId w:val="5"/>
        </w:numPr>
      </w:pPr>
      <w:r>
        <w:t xml:space="preserve">Purpose of Application </w:t>
      </w:r>
    </w:p>
    <w:p w:rsidR="00261A55" w:rsidRDefault="002B6519">
      <w:pPr>
        <w:pStyle w:val="3Bodytext"/>
      </w:pPr>
      <w:r>
        <w:t xml:space="preserve">The PBAC recommended an Authority Required (STREAMLINED) listing for ramucirumab in combination with paclitaxel (RAM+PAC) for the treatment of patients with gastric or gastro-oesophageal junction (G/GEJ) adenocarcinoma in March 2018. The PBAC considered that a substantial price reduction (of approximately </w:t>
      </w:r>
      <w:r w:rsidR="000C0C26">
        <w:rPr>
          <w:noProof/>
          <w:color w:val="000000"/>
          <w:highlight w:val="black"/>
        </w:rPr>
        <w:t>'''''</w:t>
      </w:r>
      <w:r>
        <w:t>%) would be required for RAM+PAC to be cost-effective against PAC in the proposed PBS population.</w:t>
      </w:r>
    </w:p>
    <w:p w:rsidR="00261A55" w:rsidRDefault="002B6519">
      <w:pPr>
        <w:pStyle w:val="3Bodytext"/>
      </w:pPr>
      <w:r>
        <w:t xml:space="preserve">The minor resubmission requested that the PBAC revise the basis of its March 2018 recommendation on the basis of a price reduction of around </w:t>
      </w:r>
      <w:r w:rsidR="000C0C26">
        <w:rPr>
          <w:noProof/>
          <w:color w:val="000000"/>
          <w:highlight w:val="black"/>
        </w:rPr>
        <w:t>'''''</w:t>
      </w:r>
      <w:r>
        <w:t>% and revisions to the economic model and the range of ICERs considered to be acceptably cost effective.</w:t>
      </w:r>
    </w:p>
    <w:p w:rsidR="00261A55" w:rsidRDefault="002B6519">
      <w:pPr>
        <w:pStyle w:val="2Sections"/>
        <w:numPr>
          <w:ilvl w:val="0"/>
          <w:numId w:val="5"/>
        </w:numPr>
      </w:pPr>
      <w:r>
        <w:t>Requested listing</w:t>
      </w:r>
    </w:p>
    <w:p w:rsidR="00261A55" w:rsidRDefault="002B6519">
      <w:pPr>
        <w:pStyle w:val="3Bodytext"/>
        <w:numPr>
          <w:ilvl w:val="1"/>
          <w:numId w:val="5"/>
        </w:numPr>
        <w:rPr>
          <w:i/>
        </w:rPr>
      </w:pPr>
      <w:r>
        <w:t>The submission did not request any changes to the restriction wording that was recommended in March 2018 (PSD, p26-7). The requested dispensed prices for the maximum amount (DPMAs) in the minor resubmission appeared to have been calculated based on a maximum amount of 551 mg, as per the requested listing in the March 2018 major submission. The Secretariat updated the requested DPMAs for the maximum amount of 1,920 mg using the published and effective approved ex-manufacturer prices (AEMPs) that were requested in the minor resubmission (see Table 1). Suggestions and additions proposed by the Secretariat are added in italics and suggested deletions are crossed out with strikethrough.</w:t>
      </w:r>
    </w:p>
    <w:tbl>
      <w:tblPr>
        <w:tblW w:w="9214" w:type="dxa"/>
        <w:tblInd w:w="108" w:type="dxa"/>
        <w:tblLayout w:type="fixed"/>
        <w:tblLook w:val="0000" w:firstRow="0" w:lastRow="0" w:firstColumn="0" w:lastColumn="0" w:noHBand="0" w:noVBand="0"/>
      </w:tblPr>
      <w:tblGrid>
        <w:gridCol w:w="2444"/>
        <w:gridCol w:w="391"/>
        <w:gridCol w:w="601"/>
        <w:gridCol w:w="709"/>
        <w:gridCol w:w="3118"/>
        <w:gridCol w:w="993"/>
        <w:gridCol w:w="958"/>
      </w:tblGrid>
      <w:tr w:rsidR="00261A55">
        <w:trPr>
          <w:cantSplit/>
          <w:trHeight w:val="471"/>
        </w:trPr>
        <w:tc>
          <w:tcPr>
            <w:tcW w:w="2444" w:type="dxa"/>
            <w:tcBorders>
              <w:bottom w:val="single" w:sz="4" w:space="0" w:color="auto"/>
            </w:tcBorders>
          </w:tcPr>
          <w:p w:rsidR="00261A55" w:rsidRDefault="002B6519">
            <w:pPr>
              <w:keepNext/>
              <w:ind w:left="-108"/>
              <w:rPr>
                <w:rFonts w:ascii="Arial Narrow" w:hAnsi="Arial Narrow"/>
                <w:b/>
                <w:sz w:val="20"/>
                <w:szCs w:val="20"/>
              </w:rPr>
            </w:pPr>
            <w:r>
              <w:rPr>
                <w:rFonts w:ascii="Arial Narrow" w:hAnsi="Arial Narrow"/>
                <w:b/>
                <w:sz w:val="20"/>
                <w:szCs w:val="20"/>
              </w:rPr>
              <w:t>Name, Restriction,</w:t>
            </w:r>
          </w:p>
          <w:p w:rsidR="00261A55" w:rsidRDefault="002B6519">
            <w:pPr>
              <w:keepNext/>
              <w:ind w:left="-108"/>
              <w:rPr>
                <w:rFonts w:ascii="Arial Narrow" w:hAnsi="Arial Narrow"/>
                <w:b/>
                <w:sz w:val="20"/>
                <w:szCs w:val="20"/>
              </w:rPr>
            </w:pPr>
            <w:r>
              <w:rPr>
                <w:rFonts w:ascii="Arial Narrow" w:hAnsi="Arial Narrow"/>
                <w:b/>
                <w:sz w:val="20"/>
                <w:szCs w:val="20"/>
              </w:rPr>
              <w:t>Manner of administration and form</w:t>
            </w:r>
          </w:p>
        </w:tc>
        <w:tc>
          <w:tcPr>
            <w:tcW w:w="992" w:type="dxa"/>
            <w:gridSpan w:val="2"/>
            <w:tcBorders>
              <w:bottom w:val="single" w:sz="4" w:space="0" w:color="auto"/>
            </w:tcBorders>
          </w:tcPr>
          <w:p w:rsidR="00261A55" w:rsidRDefault="002B6519">
            <w:pPr>
              <w:keepNext/>
              <w:ind w:left="-108"/>
              <w:rPr>
                <w:rFonts w:ascii="Arial Narrow" w:hAnsi="Arial Narrow"/>
                <w:b/>
                <w:sz w:val="20"/>
                <w:szCs w:val="20"/>
              </w:rPr>
            </w:pPr>
            <w:r>
              <w:rPr>
                <w:rFonts w:ascii="Arial Narrow" w:hAnsi="Arial Narrow"/>
                <w:b/>
                <w:sz w:val="20"/>
                <w:szCs w:val="20"/>
              </w:rPr>
              <w:t>Max.</w:t>
            </w:r>
          </w:p>
          <w:p w:rsidR="00261A55" w:rsidRDefault="002B6519">
            <w:pPr>
              <w:keepNext/>
              <w:ind w:left="-108"/>
              <w:rPr>
                <w:rFonts w:ascii="Arial Narrow" w:hAnsi="Arial Narrow"/>
                <w:b/>
                <w:sz w:val="20"/>
                <w:szCs w:val="20"/>
              </w:rPr>
            </w:pPr>
            <w:r>
              <w:rPr>
                <w:rFonts w:ascii="Arial Narrow" w:hAnsi="Arial Narrow"/>
                <w:b/>
                <w:sz w:val="20"/>
                <w:szCs w:val="20"/>
              </w:rPr>
              <w:t>Amt</w:t>
            </w:r>
          </w:p>
        </w:tc>
        <w:tc>
          <w:tcPr>
            <w:tcW w:w="709" w:type="dxa"/>
            <w:tcBorders>
              <w:bottom w:val="single" w:sz="4" w:space="0" w:color="auto"/>
            </w:tcBorders>
          </w:tcPr>
          <w:p w:rsidR="00261A55" w:rsidRDefault="002B6519">
            <w:pPr>
              <w:keepNext/>
              <w:ind w:left="-108"/>
              <w:rPr>
                <w:rFonts w:ascii="Arial Narrow" w:hAnsi="Arial Narrow"/>
                <w:b/>
                <w:sz w:val="20"/>
                <w:szCs w:val="20"/>
              </w:rPr>
            </w:pPr>
            <w:r>
              <w:rPr>
                <w:rFonts w:ascii="Arial Narrow" w:hAnsi="Arial Narrow"/>
                <w:b/>
                <w:sz w:val="20"/>
                <w:szCs w:val="20"/>
              </w:rPr>
              <w:t>№.of</w:t>
            </w:r>
          </w:p>
          <w:p w:rsidR="00261A55" w:rsidRDefault="002B6519">
            <w:pPr>
              <w:keepNext/>
              <w:ind w:left="-108"/>
              <w:rPr>
                <w:rFonts w:ascii="Arial Narrow" w:hAnsi="Arial Narrow"/>
                <w:b/>
                <w:sz w:val="20"/>
                <w:szCs w:val="20"/>
              </w:rPr>
            </w:pPr>
            <w:r>
              <w:rPr>
                <w:rFonts w:ascii="Arial Narrow" w:hAnsi="Arial Narrow"/>
                <w:b/>
                <w:sz w:val="20"/>
                <w:szCs w:val="20"/>
              </w:rPr>
              <w:t xml:space="preserve">Rpts </w:t>
            </w:r>
          </w:p>
        </w:tc>
        <w:tc>
          <w:tcPr>
            <w:tcW w:w="3118" w:type="dxa"/>
            <w:tcBorders>
              <w:bottom w:val="single" w:sz="4" w:space="0" w:color="auto"/>
            </w:tcBorders>
          </w:tcPr>
          <w:p w:rsidR="00261A55" w:rsidRDefault="002B6519">
            <w:pPr>
              <w:keepNext/>
              <w:ind w:left="-108"/>
              <w:rPr>
                <w:rFonts w:ascii="Arial Narrow" w:hAnsi="Arial Narrow"/>
                <w:b/>
                <w:sz w:val="20"/>
                <w:szCs w:val="20"/>
              </w:rPr>
            </w:pPr>
            <w:r>
              <w:rPr>
                <w:rFonts w:ascii="Arial Narrow" w:hAnsi="Arial Narrow"/>
                <w:b/>
                <w:sz w:val="20"/>
                <w:szCs w:val="20"/>
              </w:rPr>
              <w:t>Dispensed Price for Max. Amt</w:t>
            </w:r>
          </w:p>
        </w:tc>
        <w:tc>
          <w:tcPr>
            <w:tcW w:w="1951" w:type="dxa"/>
            <w:gridSpan w:val="2"/>
            <w:tcBorders>
              <w:bottom w:val="single" w:sz="4" w:space="0" w:color="auto"/>
            </w:tcBorders>
          </w:tcPr>
          <w:p w:rsidR="00261A55" w:rsidRDefault="002B6519">
            <w:pPr>
              <w:keepNext/>
              <w:rPr>
                <w:rFonts w:ascii="Arial Narrow" w:hAnsi="Arial Narrow"/>
                <w:b/>
                <w:sz w:val="20"/>
                <w:szCs w:val="20"/>
                <w:lang w:val="fr-FR"/>
              </w:rPr>
            </w:pPr>
            <w:r>
              <w:rPr>
                <w:rFonts w:ascii="Arial Narrow" w:hAnsi="Arial Narrow"/>
                <w:b/>
                <w:sz w:val="20"/>
                <w:szCs w:val="20"/>
              </w:rPr>
              <w:t>Proprietary Name and Manufacturer</w:t>
            </w:r>
          </w:p>
        </w:tc>
      </w:tr>
      <w:tr w:rsidR="00261A55">
        <w:trPr>
          <w:cantSplit/>
          <w:trHeight w:val="577"/>
        </w:trPr>
        <w:tc>
          <w:tcPr>
            <w:tcW w:w="2444" w:type="dxa"/>
          </w:tcPr>
          <w:p w:rsidR="00261A55" w:rsidRDefault="002B6519">
            <w:pPr>
              <w:keepNext/>
              <w:ind w:left="-108"/>
              <w:rPr>
                <w:rFonts w:ascii="Arial Narrow" w:hAnsi="Arial Narrow"/>
                <w:sz w:val="20"/>
                <w:szCs w:val="20"/>
              </w:rPr>
            </w:pPr>
            <w:r>
              <w:rPr>
                <w:rFonts w:ascii="Arial Narrow" w:hAnsi="Arial Narrow"/>
                <w:smallCaps/>
                <w:sz w:val="20"/>
                <w:szCs w:val="20"/>
              </w:rPr>
              <w:t>RAMUCIRUMAB</w:t>
            </w:r>
          </w:p>
          <w:p w:rsidR="00261A55" w:rsidRDefault="002B6519">
            <w:pPr>
              <w:keepNext/>
              <w:ind w:left="-108"/>
              <w:rPr>
                <w:rFonts w:ascii="Arial Narrow" w:hAnsi="Arial Narrow"/>
                <w:sz w:val="20"/>
                <w:szCs w:val="20"/>
              </w:rPr>
            </w:pPr>
            <w:r>
              <w:rPr>
                <w:rFonts w:ascii="Arial Narrow" w:hAnsi="Arial Narrow"/>
                <w:sz w:val="20"/>
                <w:szCs w:val="20"/>
              </w:rPr>
              <w:t>500 mg/50 mL injection, 1 vial</w:t>
            </w:r>
          </w:p>
          <w:p w:rsidR="00261A55" w:rsidRDefault="002B6519">
            <w:pPr>
              <w:keepNext/>
              <w:ind w:left="-108"/>
              <w:rPr>
                <w:rFonts w:ascii="Arial Narrow" w:hAnsi="Arial Narrow"/>
                <w:sz w:val="20"/>
                <w:szCs w:val="20"/>
              </w:rPr>
            </w:pPr>
            <w:r>
              <w:rPr>
                <w:rFonts w:ascii="Arial Narrow" w:hAnsi="Arial Narrow"/>
                <w:sz w:val="20"/>
                <w:szCs w:val="20"/>
              </w:rPr>
              <w:t>100 mg/10 mL injection, 1 vial</w:t>
            </w:r>
          </w:p>
        </w:tc>
        <w:tc>
          <w:tcPr>
            <w:tcW w:w="992" w:type="dxa"/>
            <w:gridSpan w:val="2"/>
          </w:tcPr>
          <w:p w:rsidR="00261A55" w:rsidRDefault="002B6519">
            <w:pPr>
              <w:keepNext/>
              <w:ind w:left="-108"/>
              <w:rPr>
                <w:rFonts w:ascii="Arial Narrow" w:hAnsi="Arial Narrow"/>
                <w:sz w:val="20"/>
                <w:szCs w:val="20"/>
              </w:rPr>
            </w:pPr>
            <w:r>
              <w:rPr>
                <w:rFonts w:ascii="Arial Narrow" w:hAnsi="Arial Narrow"/>
                <w:sz w:val="20"/>
                <w:szCs w:val="20"/>
              </w:rPr>
              <w:t>1,920 mg</w:t>
            </w:r>
          </w:p>
        </w:tc>
        <w:tc>
          <w:tcPr>
            <w:tcW w:w="709" w:type="dxa"/>
          </w:tcPr>
          <w:p w:rsidR="00261A55" w:rsidRDefault="002B6519">
            <w:pPr>
              <w:keepNext/>
              <w:ind w:left="-108"/>
              <w:rPr>
                <w:rFonts w:ascii="Arial Narrow" w:hAnsi="Arial Narrow"/>
                <w:sz w:val="20"/>
                <w:szCs w:val="20"/>
              </w:rPr>
            </w:pPr>
            <w:r>
              <w:rPr>
                <w:rFonts w:ascii="Arial Narrow" w:hAnsi="Arial Narrow"/>
                <w:sz w:val="20"/>
                <w:szCs w:val="20"/>
              </w:rPr>
              <w:t>10</w:t>
            </w:r>
          </w:p>
        </w:tc>
        <w:tc>
          <w:tcPr>
            <w:tcW w:w="3118" w:type="dxa"/>
          </w:tcPr>
          <w:p w:rsidR="00261A55" w:rsidRDefault="002B6519">
            <w:pPr>
              <w:ind w:left="-104"/>
              <w:rPr>
                <w:rFonts w:ascii="Arial Narrow" w:hAnsi="Arial Narrow"/>
                <w:sz w:val="20"/>
              </w:rPr>
            </w:pPr>
            <w:r>
              <w:rPr>
                <w:rFonts w:ascii="Arial Narrow" w:hAnsi="Arial Narrow"/>
                <w:sz w:val="20"/>
              </w:rPr>
              <w:t>Published price:</w:t>
            </w:r>
          </w:p>
          <w:p w:rsidR="00261A55" w:rsidRDefault="002B6519">
            <w:pPr>
              <w:ind w:left="-104"/>
              <w:rPr>
                <w:rFonts w:ascii="Arial Narrow" w:hAnsi="Arial Narrow"/>
                <w:sz w:val="20"/>
              </w:rPr>
            </w:pPr>
            <w:r>
              <w:rPr>
                <w:rFonts w:ascii="Arial Narrow" w:hAnsi="Arial Narrow"/>
                <w:strike/>
                <w:sz w:val="20"/>
              </w:rPr>
              <w:t>$</w:t>
            </w:r>
            <w:r w:rsidR="000C0C26">
              <w:rPr>
                <w:rFonts w:ascii="Arial Narrow" w:hAnsi="Arial Narrow"/>
                <w:strike/>
                <w:noProof/>
                <w:color w:val="000000"/>
                <w:sz w:val="20"/>
                <w:highlight w:val="black"/>
              </w:rPr>
              <w:t>'''''''''''''''''''''</w:t>
            </w:r>
            <w:r>
              <w:rPr>
                <w:rFonts w:ascii="Arial Narrow" w:hAnsi="Arial Narrow"/>
                <w:sz w:val="20"/>
              </w:rPr>
              <w:t xml:space="preserve"> </w:t>
            </w:r>
            <w:r>
              <w:rPr>
                <w:rFonts w:ascii="Arial Narrow" w:hAnsi="Arial Narrow"/>
                <w:i/>
                <w:sz w:val="20"/>
              </w:rPr>
              <w:t>$</w:t>
            </w:r>
            <w:r w:rsidR="000C0C26">
              <w:rPr>
                <w:rFonts w:ascii="Arial Narrow" w:hAnsi="Arial Narrow"/>
                <w:i/>
                <w:noProof/>
                <w:color w:val="000000"/>
                <w:sz w:val="20"/>
                <w:highlight w:val="black"/>
              </w:rPr>
              <w:t>'''''''''''''''''''''''</w:t>
            </w:r>
            <w:r>
              <w:rPr>
                <w:rFonts w:ascii="Arial Narrow" w:hAnsi="Arial Narrow"/>
                <w:i/>
                <w:sz w:val="20"/>
              </w:rPr>
              <w:t xml:space="preserve"> </w:t>
            </w:r>
            <w:r>
              <w:rPr>
                <w:rFonts w:ascii="Arial Narrow" w:hAnsi="Arial Narrow"/>
                <w:sz w:val="20"/>
              </w:rPr>
              <w:t>(Public Hospital)</w:t>
            </w:r>
          </w:p>
          <w:p w:rsidR="00261A55" w:rsidRDefault="002B6519">
            <w:pPr>
              <w:ind w:left="-104"/>
              <w:rPr>
                <w:rFonts w:ascii="Arial Narrow" w:hAnsi="Arial Narrow"/>
                <w:sz w:val="20"/>
              </w:rPr>
            </w:pPr>
            <w:r>
              <w:rPr>
                <w:rFonts w:ascii="Arial Narrow" w:hAnsi="Arial Narrow"/>
                <w:strike/>
                <w:sz w:val="20"/>
              </w:rPr>
              <w:t>$</w:t>
            </w:r>
            <w:r w:rsidR="000C0C26">
              <w:rPr>
                <w:rFonts w:ascii="Arial Narrow" w:hAnsi="Arial Narrow"/>
                <w:strike/>
                <w:noProof/>
                <w:color w:val="000000"/>
                <w:sz w:val="20"/>
                <w:highlight w:val="black"/>
              </w:rPr>
              <w:t>'''''''''''''''''''</w:t>
            </w:r>
            <w:r>
              <w:rPr>
                <w:rFonts w:ascii="Arial Narrow" w:hAnsi="Arial Narrow"/>
                <w:sz w:val="20"/>
              </w:rPr>
              <w:t xml:space="preserve"> </w:t>
            </w:r>
            <w:r>
              <w:rPr>
                <w:rFonts w:ascii="Arial Narrow" w:hAnsi="Arial Narrow"/>
                <w:i/>
                <w:sz w:val="20"/>
              </w:rPr>
              <w:t>$</w:t>
            </w:r>
            <w:r w:rsidR="000C0C26">
              <w:rPr>
                <w:rFonts w:ascii="Arial Narrow" w:hAnsi="Arial Narrow"/>
                <w:i/>
                <w:noProof/>
                <w:color w:val="000000"/>
                <w:sz w:val="20"/>
                <w:highlight w:val="black"/>
              </w:rPr>
              <w:t>''''''''''''''''''''''</w:t>
            </w:r>
            <w:r>
              <w:rPr>
                <w:rFonts w:ascii="Arial Narrow" w:hAnsi="Arial Narrow"/>
                <w:sz w:val="20"/>
              </w:rPr>
              <w:t xml:space="preserve"> (Private hospital)</w:t>
            </w:r>
          </w:p>
          <w:p w:rsidR="00261A55" w:rsidRDefault="002B6519">
            <w:pPr>
              <w:ind w:left="-104"/>
              <w:rPr>
                <w:rFonts w:ascii="Arial Narrow" w:hAnsi="Arial Narrow"/>
                <w:sz w:val="20"/>
              </w:rPr>
            </w:pPr>
            <w:r>
              <w:rPr>
                <w:rFonts w:ascii="Arial Narrow" w:hAnsi="Arial Narrow"/>
                <w:sz w:val="20"/>
              </w:rPr>
              <w:t>Effective price:</w:t>
            </w:r>
          </w:p>
          <w:p w:rsidR="00261A55" w:rsidRDefault="002B6519">
            <w:pPr>
              <w:ind w:left="-104"/>
              <w:rPr>
                <w:rFonts w:ascii="Arial Narrow" w:hAnsi="Arial Narrow"/>
                <w:sz w:val="20"/>
              </w:rPr>
            </w:pPr>
            <w:r>
              <w:rPr>
                <w:rFonts w:ascii="Arial Narrow" w:hAnsi="Arial Narrow"/>
                <w:strike/>
                <w:sz w:val="20"/>
              </w:rPr>
              <w:t>$</w:t>
            </w:r>
            <w:r w:rsidR="000C0C26">
              <w:rPr>
                <w:rFonts w:ascii="Arial Narrow" w:hAnsi="Arial Narrow"/>
                <w:strike/>
                <w:noProof/>
                <w:color w:val="000000"/>
                <w:sz w:val="20"/>
                <w:highlight w:val="black"/>
              </w:rPr>
              <w:t>''''''''''''''''''''''</w:t>
            </w:r>
            <w:r>
              <w:rPr>
                <w:rFonts w:ascii="Arial Narrow" w:hAnsi="Arial Narrow"/>
                <w:sz w:val="20"/>
              </w:rPr>
              <w:t xml:space="preserve"> </w:t>
            </w:r>
            <w:r>
              <w:rPr>
                <w:rFonts w:ascii="Arial Narrow" w:hAnsi="Arial Narrow"/>
                <w:i/>
                <w:sz w:val="20"/>
              </w:rPr>
              <w:t>$</w:t>
            </w:r>
            <w:r w:rsidR="000C0C26">
              <w:rPr>
                <w:rFonts w:ascii="Arial Narrow" w:hAnsi="Arial Narrow"/>
                <w:i/>
                <w:noProof/>
                <w:color w:val="000000"/>
                <w:sz w:val="20"/>
                <w:highlight w:val="black"/>
              </w:rPr>
              <w:t>''''''''''''''''''''''</w:t>
            </w:r>
            <w:r>
              <w:rPr>
                <w:rFonts w:ascii="Arial Narrow" w:hAnsi="Arial Narrow"/>
                <w:sz w:val="20"/>
              </w:rPr>
              <w:t xml:space="preserve"> (Public Hospital)</w:t>
            </w:r>
          </w:p>
          <w:p w:rsidR="00261A55" w:rsidRDefault="002B6519">
            <w:pPr>
              <w:keepNext/>
              <w:ind w:left="-104"/>
              <w:rPr>
                <w:rFonts w:ascii="Arial Narrow" w:hAnsi="Arial Narrow"/>
                <w:sz w:val="20"/>
                <w:szCs w:val="20"/>
              </w:rPr>
            </w:pPr>
            <w:r>
              <w:rPr>
                <w:rFonts w:ascii="Arial Narrow" w:hAnsi="Arial Narrow"/>
                <w:strike/>
                <w:sz w:val="20"/>
              </w:rPr>
              <w:t>$</w:t>
            </w:r>
            <w:r w:rsidR="000C0C26">
              <w:rPr>
                <w:rFonts w:ascii="Arial Narrow" w:hAnsi="Arial Narrow"/>
                <w:strike/>
                <w:noProof/>
                <w:color w:val="000000"/>
                <w:sz w:val="20"/>
                <w:highlight w:val="black"/>
              </w:rPr>
              <w:t>''''''''''''''''''''</w:t>
            </w:r>
            <w:r>
              <w:rPr>
                <w:rFonts w:ascii="Arial Narrow" w:hAnsi="Arial Narrow"/>
                <w:sz w:val="20"/>
              </w:rPr>
              <w:t xml:space="preserve"> </w:t>
            </w:r>
            <w:r>
              <w:rPr>
                <w:rFonts w:ascii="Arial Narrow" w:hAnsi="Arial Narrow"/>
                <w:i/>
                <w:sz w:val="20"/>
              </w:rPr>
              <w:t>$</w:t>
            </w:r>
            <w:r w:rsidR="000C0C26">
              <w:rPr>
                <w:rFonts w:ascii="Arial Narrow" w:hAnsi="Arial Narrow"/>
                <w:i/>
                <w:noProof/>
                <w:color w:val="000000"/>
                <w:sz w:val="20"/>
                <w:highlight w:val="black"/>
              </w:rPr>
              <w:t>''''''''''''''''''''</w:t>
            </w:r>
            <w:r>
              <w:rPr>
                <w:rFonts w:ascii="Arial Narrow" w:hAnsi="Arial Narrow"/>
                <w:i/>
                <w:sz w:val="20"/>
              </w:rPr>
              <w:t xml:space="preserve"> </w:t>
            </w:r>
            <w:r>
              <w:rPr>
                <w:rFonts w:ascii="Arial Narrow" w:hAnsi="Arial Narrow"/>
                <w:sz w:val="20"/>
              </w:rPr>
              <w:t>(Private hospital)</w:t>
            </w:r>
          </w:p>
        </w:tc>
        <w:tc>
          <w:tcPr>
            <w:tcW w:w="993" w:type="dxa"/>
          </w:tcPr>
          <w:p w:rsidR="00261A55" w:rsidRDefault="002B6519">
            <w:pPr>
              <w:keepNext/>
              <w:rPr>
                <w:rFonts w:ascii="Arial Narrow" w:hAnsi="Arial Narrow"/>
                <w:sz w:val="20"/>
                <w:szCs w:val="20"/>
              </w:rPr>
            </w:pPr>
            <w:r>
              <w:rPr>
                <w:rFonts w:ascii="Arial Narrow" w:hAnsi="Arial Narrow"/>
                <w:sz w:val="20"/>
              </w:rPr>
              <w:t>Cyramza®</w:t>
            </w:r>
          </w:p>
        </w:tc>
        <w:tc>
          <w:tcPr>
            <w:tcW w:w="958" w:type="dxa"/>
          </w:tcPr>
          <w:p w:rsidR="00261A55" w:rsidRDefault="002B6519">
            <w:pPr>
              <w:keepNext/>
              <w:rPr>
                <w:rFonts w:ascii="Arial Narrow" w:hAnsi="Arial Narrow"/>
                <w:sz w:val="20"/>
                <w:szCs w:val="20"/>
              </w:rPr>
            </w:pPr>
            <w:r>
              <w:rPr>
                <w:rFonts w:ascii="Arial Narrow" w:hAnsi="Arial Narrow"/>
                <w:sz w:val="20"/>
                <w:szCs w:val="20"/>
              </w:rPr>
              <w:t>Eli Lilly Australia Pty Ltd</w:t>
            </w:r>
          </w:p>
        </w:tc>
      </w:tr>
      <w:tr w:rsidR="00261A55">
        <w:trPr>
          <w:cantSplit/>
          <w:trHeight w:val="159"/>
        </w:trPr>
        <w:tc>
          <w:tcPr>
            <w:tcW w:w="2835" w:type="dxa"/>
            <w:gridSpan w:val="2"/>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b/>
                <w:sz w:val="20"/>
                <w:szCs w:val="20"/>
              </w:rPr>
            </w:pPr>
            <w:r>
              <w:rPr>
                <w:rFonts w:ascii="Arial Narrow" w:hAnsi="Arial Narrow"/>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sz w:val="20"/>
                <w:szCs w:val="20"/>
              </w:rPr>
            </w:pPr>
            <w:r>
              <w:rPr>
                <w:rFonts w:ascii="Arial Narrow" w:hAnsi="Arial Narrow"/>
                <w:sz w:val="20"/>
                <w:szCs w:val="20"/>
              </w:rPr>
              <w:t xml:space="preserve">Section 100 – Efficient funding of Chemotherapy </w:t>
            </w:r>
          </w:p>
        </w:tc>
      </w:tr>
      <w:tr w:rsidR="00261A55">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b/>
                <w:sz w:val="20"/>
                <w:szCs w:val="20"/>
              </w:rPr>
            </w:pPr>
            <w:r>
              <w:rPr>
                <w:rFonts w:ascii="Arial Narrow" w:hAnsi="Arial Narrow"/>
                <w:b/>
                <w:sz w:val="20"/>
                <w:szCs w:val="20"/>
              </w:rPr>
              <w:t>Prescriber type:</w:t>
            </w:r>
          </w:p>
          <w:p w:rsidR="00261A55" w:rsidRDefault="00261A55">
            <w:pPr>
              <w:rPr>
                <w:rFonts w:ascii="Arial Narrow" w:hAnsi="Arial Narrow"/>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742A2A">
              <w:rPr>
                <w:rFonts w:ascii="Arial Narrow" w:hAnsi="Arial Narrow"/>
                <w:sz w:val="20"/>
                <w:szCs w:val="20"/>
              </w:rPr>
            </w:r>
            <w:r w:rsidR="00742A2A">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742A2A">
              <w:rPr>
                <w:rFonts w:ascii="Arial Narrow" w:hAnsi="Arial Narrow"/>
                <w:sz w:val="20"/>
                <w:szCs w:val="20"/>
              </w:rPr>
            </w:r>
            <w:r w:rsidR="00742A2A">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742A2A">
              <w:rPr>
                <w:rFonts w:ascii="Arial Narrow" w:hAnsi="Arial Narrow"/>
                <w:sz w:val="20"/>
                <w:szCs w:val="20"/>
              </w:rPr>
            </w:r>
            <w:r w:rsidR="00742A2A">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Nurse practitioners  </w:t>
            </w: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742A2A">
              <w:rPr>
                <w:rFonts w:ascii="Arial Narrow" w:hAnsi="Arial Narrow"/>
                <w:sz w:val="20"/>
                <w:szCs w:val="20"/>
              </w:rPr>
            </w:r>
            <w:r w:rsidR="00742A2A">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Optometrists</w:t>
            </w:r>
          </w:p>
          <w:p w:rsidR="00261A55" w:rsidRDefault="002B6519">
            <w:p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742A2A">
              <w:rPr>
                <w:rFonts w:ascii="Arial Narrow" w:hAnsi="Arial Narrow"/>
                <w:sz w:val="20"/>
                <w:szCs w:val="20"/>
              </w:rPr>
            </w:r>
            <w:r w:rsidR="00742A2A">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261A55">
        <w:trPr>
          <w:cantSplit/>
          <w:trHeight w:val="204"/>
        </w:trPr>
        <w:tc>
          <w:tcPr>
            <w:tcW w:w="2835" w:type="dxa"/>
            <w:gridSpan w:val="2"/>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b/>
                <w:sz w:val="20"/>
                <w:szCs w:val="20"/>
              </w:rPr>
            </w:pPr>
            <w:r>
              <w:rPr>
                <w:rFonts w:ascii="Arial Narrow" w:hAnsi="Arial Narrow"/>
                <w:b/>
                <w:sz w:val="20"/>
                <w:szCs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sz w:val="20"/>
                <w:szCs w:val="20"/>
              </w:rPr>
            </w:pPr>
            <w:r>
              <w:rPr>
                <w:rFonts w:ascii="Arial Narrow" w:hAnsi="Arial Narrow"/>
                <w:sz w:val="20"/>
                <w:szCs w:val="20"/>
              </w:rPr>
              <w:t xml:space="preserve">Advanced or metastatic </w:t>
            </w:r>
          </w:p>
        </w:tc>
      </w:tr>
      <w:tr w:rsidR="00261A55">
        <w:trPr>
          <w:cantSplit/>
          <w:trHeight w:val="201"/>
        </w:trPr>
        <w:tc>
          <w:tcPr>
            <w:tcW w:w="2835" w:type="dxa"/>
            <w:gridSpan w:val="2"/>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b/>
                <w:sz w:val="20"/>
                <w:szCs w:val="20"/>
              </w:rPr>
            </w:pPr>
            <w:r>
              <w:rPr>
                <w:rFonts w:ascii="Arial Narrow" w:hAnsi="Arial Narrow"/>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sz w:val="20"/>
                <w:szCs w:val="20"/>
              </w:rPr>
            </w:pPr>
            <w:r>
              <w:rPr>
                <w:rFonts w:ascii="Arial Narrow" w:hAnsi="Arial Narrow"/>
                <w:sz w:val="20"/>
                <w:szCs w:val="20"/>
              </w:rPr>
              <w:t>gastric adenocarcinoma or gastro-oesophageal junction adenocarcinoma</w:t>
            </w:r>
          </w:p>
        </w:tc>
      </w:tr>
      <w:tr w:rsidR="00261A55">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b/>
                <w:sz w:val="20"/>
                <w:szCs w:val="20"/>
              </w:rPr>
            </w:pPr>
            <w:r>
              <w:rPr>
                <w:rFonts w:ascii="Arial Narrow" w:hAnsi="Arial Narrow"/>
                <w:b/>
                <w:sz w:val="20"/>
                <w:szCs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sz w:val="20"/>
                <w:szCs w:val="20"/>
              </w:rPr>
            </w:pPr>
            <w:r>
              <w:rPr>
                <w:rFonts w:ascii="Arial Narrow" w:hAnsi="Arial Narrow"/>
                <w:sz w:val="20"/>
                <w:szCs w:val="20"/>
              </w:rPr>
              <w:t>Advanced or metastatic gastric adenocarcinoma or gastro-oesophageal junction adenocarcinoma</w:t>
            </w:r>
          </w:p>
        </w:tc>
      </w:tr>
      <w:tr w:rsidR="00261A55">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b/>
                <w:sz w:val="20"/>
                <w:szCs w:val="20"/>
              </w:rPr>
            </w:pPr>
            <w:r>
              <w:rPr>
                <w:rFonts w:ascii="Arial Narrow" w:hAnsi="Arial Narrow"/>
                <w:b/>
                <w:sz w:val="20"/>
                <w:szCs w:val="20"/>
              </w:rPr>
              <w:lastRenderedPageBreak/>
              <w:t>Restriction Level / Method:</w:t>
            </w:r>
          </w:p>
          <w:p w:rsidR="00261A55" w:rsidRDefault="00261A55">
            <w:pPr>
              <w:rPr>
                <w:rFonts w:ascii="Arial Narrow" w:hAnsi="Arial Narrow"/>
                <w:sz w:val="20"/>
                <w:szCs w:val="20"/>
                <w:highlight w:val="yellow"/>
              </w:rPr>
            </w:pPr>
          </w:p>
          <w:p w:rsidR="00261A55" w:rsidRDefault="00261A55">
            <w:pPr>
              <w:rPr>
                <w:rFonts w:ascii="Arial Narrow" w:hAnsi="Arial Narrow"/>
                <w:sz w:val="20"/>
                <w:szCs w:val="20"/>
              </w:rPr>
            </w:pPr>
          </w:p>
          <w:p w:rsidR="00261A55" w:rsidRDefault="00261A55">
            <w:pPr>
              <w:rPr>
                <w:rFonts w:ascii="Arial Narrow" w:hAnsi="Arial Narrow"/>
                <w:sz w:val="20"/>
                <w:szCs w:val="20"/>
              </w:rPr>
            </w:pPr>
          </w:p>
          <w:p w:rsidR="00261A55" w:rsidRDefault="00261A55">
            <w:pPr>
              <w:rPr>
                <w:rFonts w:ascii="Arial Narrow" w:hAnsi="Arial Narrow"/>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742A2A">
              <w:rPr>
                <w:rFonts w:ascii="Arial Narrow" w:hAnsi="Arial Narrow"/>
                <w:sz w:val="20"/>
                <w:szCs w:val="20"/>
              </w:rPr>
            </w:r>
            <w:r w:rsidR="00742A2A">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261A55" w:rsidRDefault="002B6519">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742A2A">
              <w:rPr>
                <w:rFonts w:ascii="Arial Narrow" w:hAnsi="Arial Narrow"/>
                <w:sz w:val="20"/>
                <w:szCs w:val="20"/>
              </w:rPr>
            </w:r>
            <w:r w:rsidR="00742A2A">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261A55" w:rsidRDefault="002B6519">
            <w:pPr>
              <w:rPr>
                <w:rFonts w:ascii="Arial Narrow" w:hAnsi="Arial Narrow"/>
                <w:sz w:val="20"/>
                <w:szCs w:val="20"/>
              </w:rPr>
            </w:pPr>
            <w:r>
              <w:rPr>
                <w:rFonts w:ascii="Arial Narrow" w:hAnsi="Arial Narrow"/>
                <w:sz w:val="20"/>
                <w:szCs w:val="20"/>
                <w:bdr w:val="single" w:sz="4" w:space="0" w:color="auto"/>
              </w:rPr>
              <w:fldChar w:fldCharType="begin">
                <w:ffData>
                  <w:name w:val=""/>
                  <w:enabled/>
                  <w:calcOnExit w:val="0"/>
                  <w:checkBox>
                    <w:sizeAuto/>
                    <w:default w:val="0"/>
                  </w:checkBox>
                </w:ffData>
              </w:fldChar>
            </w:r>
            <w:r>
              <w:rPr>
                <w:rFonts w:ascii="Arial Narrow" w:hAnsi="Arial Narrow"/>
                <w:sz w:val="20"/>
                <w:szCs w:val="20"/>
                <w:bdr w:val="single" w:sz="4" w:space="0" w:color="auto"/>
              </w:rPr>
              <w:instrText xml:space="preserve"> FORMCHECKBOX </w:instrText>
            </w:r>
            <w:r w:rsidR="00742A2A">
              <w:rPr>
                <w:rFonts w:ascii="Arial Narrow" w:hAnsi="Arial Narrow"/>
                <w:sz w:val="20"/>
                <w:szCs w:val="20"/>
                <w:bdr w:val="single" w:sz="4" w:space="0" w:color="auto"/>
              </w:rPr>
            </w:r>
            <w:r w:rsidR="00742A2A">
              <w:rPr>
                <w:rFonts w:ascii="Arial Narrow" w:hAnsi="Arial Narrow"/>
                <w:sz w:val="20"/>
                <w:szCs w:val="20"/>
                <w:bdr w:val="single" w:sz="4" w:space="0" w:color="auto"/>
              </w:rPr>
              <w:fldChar w:fldCharType="separate"/>
            </w:r>
            <w:r>
              <w:rPr>
                <w:rFonts w:ascii="Arial Narrow" w:hAnsi="Arial Narrow"/>
                <w:sz w:val="20"/>
                <w:szCs w:val="20"/>
                <w:bdr w:val="single" w:sz="4" w:space="0" w:color="auto"/>
              </w:rPr>
              <w:fldChar w:fldCharType="end"/>
            </w:r>
            <w:r>
              <w:rPr>
                <w:rFonts w:ascii="Arial Narrow" w:hAnsi="Arial Narrow"/>
                <w:sz w:val="20"/>
                <w:szCs w:val="20"/>
              </w:rPr>
              <w:t>Authority Required - Telephone</w:t>
            </w:r>
          </w:p>
          <w:p w:rsidR="00261A55" w:rsidRDefault="002B6519">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742A2A">
              <w:rPr>
                <w:rFonts w:ascii="Arial Narrow" w:hAnsi="Arial Narrow"/>
                <w:sz w:val="20"/>
                <w:szCs w:val="20"/>
              </w:rPr>
            </w:r>
            <w:r w:rsidR="00742A2A">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261A55" w:rsidRDefault="002B6519">
            <w:p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742A2A">
              <w:rPr>
                <w:rFonts w:ascii="Arial Narrow" w:hAnsi="Arial Narrow"/>
                <w:sz w:val="20"/>
                <w:szCs w:val="20"/>
              </w:rPr>
            </w:r>
            <w:r w:rsidR="00742A2A">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261A55" w:rsidRDefault="002B6519">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742A2A">
              <w:rPr>
                <w:rFonts w:ascii="Arial Narrow" w:hAnsi="Arial Narrow"/>
                <w:sz w:val="20"/>
                <w:szCs w:val="20"/>
              </w:rPr>
            </w:r>
            <w:r w:rsidR="00742A2A">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261A55">
        <w:trPr>
          <w:cantSplit/>
          <w:trHeight w:val="202"/>
        </w:trPr>
        <w:tc>
          <w:tcPr>
            <w:tcW w:w="2835" w:type="dxa"/>
            <w:gridSpan w:val="2"/>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b/>
                <w:sz w:val="20"/>
                <w:szCs w:val="20"/>
              </w:rPr>
            </w:pPr>
            <w:r>
              <w:rPr>
                <w:rFonts w:ascii="Arial Narrow" w:hAnsi="Arial Narrow"/>
                <w:b/>
                <w:sz w:val="20"/>
                <w:szCs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sz w:val="20"/>
                <w:szCs w:val="20"/>
              </w:rPr>
            </w:pPr>
            <w:r>
              <w:rPr>
                <w:rFonts w:ascii="Arial Narrow" w:hAnsi="Arial Narrow"/>
                <w:sz w:val="20"/>
                <w:szCs w:val="20"/>
              </w:rPr>
              <w:t xml:space="preserve">Initial treatment </w:t>
            </w:r>
          </w:p>
        </w:tc>
      </w:tr>
      <w:tr w:rsidR="00261A55">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b/>
                <w:sz w:val="20"/>
                <w:szCs w:val="20"/>
              </w:rPr>
            </w:pPr>
            <w:r>
              <w:rPr>
                <w:rFonts w:ascii="Arial Narrow" w:hAnsi="Arial Narrow"/>
                <w:b/>
                <w:sz w:val="20"/>
                <w:szCs w:val="20"/>
              </w:rPr>
              <w:t>Clinical criteria:</w:t>
            </w:r>
          </w:p>
          <w:p w:rsidR="00261A55" w:rsidRDefault="00261A55">
            <w:pPr>
              <w:rPr>
                <w:rFonts w:ascii="Arial Narrow" w:hAnsi="Arial Narrow"/>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sz w:val="20"/>
                <w:szCs w:val="20"/>
              </w:rPr>
            </w:pPr>
            <w:r>
              <w:rPr>
                <w:rFonts w:ascii="Arial Narrow" w:hAnsi="Arial Narrow"/>
                <w:sz w:val="20"/>
                <w:szCs w:val="20"/>
              </w:rPr>
              <w:t xml:space="preserve">Patient must have progressive disease after prior platinum and fluoropyrimidine chemotherapy; </w:t>
            </w:r>
          </w:p>
          <w:p w:rsidR="00261A55" w:rsidRDefault="002B6519">
            <w:pPr>
              <w:rPr>
                <w:rFonts w:ascii="Arial Narrow" w:hAnsi="Arial Narrow"/>
                <w:sz w:val="20"/>
                <w:szCs w:val="20"/>
              </w:rPr>
            </w:pPr>
            <w:r>
              <w:rPr>
                <w:rFonts w:ascii="Arial Narrow" w:hAnsi="Arial Narrow"/>
                <w:sz w:val="20"/>
                <w:szCs w:val="20"/>
              </w:rPr>
              <w:t>AND</w:t>
            </w:r>
          </w:p>
          <w:p w:rsidR="00261A55" w:rsidRDefault="002B6519">
            <w:pPr>
              <w:rPr>
                <w:rFonts w:ascii="Arial Narrow" w:hAnsi="Arial Narrow"/>
                <w:sz w:val="20"/>
                <w:szCs w:val="20"/>
              </w:rPr>
            </w:pPr>
            <w:r>
              <w:rPr>
                <w:rFonts w:ascii="Arial Narrow" w:hAnsi="Arial Narrow"/>
                <w:sz w:val="20"/>
                <w:szCs w:val="20"/>
              </w:rPr>
              <w:t xml:space="preserve">Patient must have an ECOG performance status 0 or 1, </w:t>
            </w:r>
          </w:p>
          <w:p w:rsidR="00261A55" w:rsidRDefault="002B6519">
            <w:pPr>
              <w:rPr>
                <w:rFonts w:ascii="Arial Narrow" w:hAnsi="Arial Narrow"/>
                <w:sz w:val="20"/>
                <w:szCs w:val="20"/>
              </w:rPr>
            </w:pPr>
            <w:r>
              <w:rPr>
                <w:rFonts w:ascii="Arial Narrow" w:hAnsi="Arial Narrow"/>
                <w:sz w:val="20"/>
                <w:szCs w:val="20"/>
              </w:rPr>
              <w:t>AND</w:t>
            </w:r>
          </w:p>
          <w:p w:rsidR="00261A55" w:rsidRDefault="002B6519">
            <w:pPr>
              <w:rPr>
                <w:rFonts w:ascii="Arial Narrow" w:hAnsi="Arial Narrow"/>
                <w:sz w:val="20"/>
                <w:szCs w:val="20"/>
              </w:rPr>
            </w:pPr>
            <w:r>
              <w:rPr>
                <w:rFonts w:ascii="Arial Narrow" w:hAnsi="Arial Narrow"/>
                <w:sz w:val="20"/>
                <w:szCs w:val="20"/>
              </w:rPr>
              <w:t>Treatment must be in combination with paclitaxel</w:t>
            </w:r>
          </w:p>
        </w:tc>
      </w:tr>
      <w:tr w:rsidR="00261A55">
        <w:trPr>
          <w:cantSplit/>
          <w:trHeight w:val="284"/>
        </w:trPr>
        <w:tc>
          <w:tcPr>
            <w:tcW w:w="2835" w:type="dxa"/>
            <w:gridSpan w:val="2"/>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b/>
                <w:i/>
                <w:sz w:val="20"/>
                <w:szCs w:val="20"/>
              </w:rPr>
            </w:pPr>
            <w:r>
              <w:rPr>
                <w:rFonts w:ascii="Arial Narrow" w:hAnsi="Arial Narrow"/>
                <w:b/>
                <w:i/>
                <w:sz w:val="20"/>
                <w:szCs w:val="20"/>
              </w:rPr>
              <w:t>Administrative advice</w:t>
            </w:r>
          </w:p>
        </w:tc>
        <w:tc>
          <w:tcPr>
            <w:tcW w:w="6379" w:type="dxa"/>
            <w:gridSpan w:val="5"/>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i/>
                <w:sz w:val="20"/>
                <w:szCs w:val="20"/>
              </w:rPr>
            </w:pPr>
            <w:r>
              <w:rPr>
                <w:rFonts w:ascii="Arial Narrow" w:hAnsi="Arial Narrow"/>
                <w:i/>
                <w:sz w:val="20"/>
                <w:szCs w:val="20"/>
              </w:rPr>
              <w:t>Special pricing arrangements apply</w:t>
            </w:r>
          </w:p>
        </w:tc>
      </w:tr>
      <w:tr w:rsidR="00261A55">
        <w:trPr>
          <w:cantSplit/>
          <w:trHeight w:val="52"/>
        </w:trPr>
        <w:tc>
          <w:tcPr>
            <w:tcW w:w="2444" w:type="dxa"/>
          </w:tcPr>
          <w:p w:rsidR="00261A55" w:rsidRDefault="00261A55">
            <w:pPr>
              <w:keepNext/>
              <w:rPr>
                <w:rFonts w:ascii="Arial Narrow" w:hAnsi="Arial Narrow"/>
                <w:sz w:val="20"/>
                <w:szCs w:val="20"/>
              </w:rPr>
            </w:pPr>
          </w:p>
        </w:tc>
        <w:tc>
          <w:tcPr>
            <w:tcW w:w="992" w:type="dxa"/>
            <w:gridSpan w:val="2"/>
          </w:tcPr>
          <w:p w:rsidR="00261A55" w:rsidRDefault="00261A55">
            <w:pPr>
              <w:keepNext/>
              <w:ind w:left="-108"/>
              <w:rPr>
                <w:rFonts w:ascii="Arial Narrow" w:hAnsi="Arial Narrow"/>
                <w:sz w:val="20"/>
                <w:szCs w:val="20"/>
              </w:rPr>
            </w:pPr>
          </w:p>
        </w:tc>
        <w:tc>
          <w:tcPr>
            <w:tcW w:w="3827" w:type="dxa"/>
            <w:gridSpan w:val="2"/>
          </w:tcPr>
          <w:p w:rsidR="00261A55" w:rsidRDefault="00261A55">
            <w:pPr>
              <w:keepNext/>
              <w:ind w:left="-108"/>
              <w:rPr>
                <w:rFonts w:ascii="Arial Narrow" w:hAnsi="Arial Narrow"/>
                <w:sz w:val="20"/>
                <w:szCs w:val="20"/>
              </w:rPr>
            </w:pPr>
          </w:p>
        </w:tc>
        <w:tc>
          <w:tcPr>
            <w:tcW w:w="1951" w:type="dxa"/>
            <w:gridSpan w:val="2"/>
          </w:tcPr>
          <w:p w:rsidR="00261A55" w:rsidRDefault="00261A55">
            <w:pPr>
              <w:keepNext/>
              <w:rPr>
                <w:rFonts w:ascii="Arial Narrow" w:hAnsi="Arial Narrow"/>
                <w:sz w:val="20"/>
                <w:szCs w:val="20"/>
              </w:rPr>
            </w:pPr>
          </w:p>
        </w:tc>
      </w:tr>
      <w:tr w:rsidR="00261A55">
        <w:trPr>
          <w:cantSplit/>
          <w:trHeight w:val="178"/>
        </w:trPr>
        <w:tc>
          <w:tcPr>
            <w:tcW w:w="2835" w:type="dxa"/>
            <w:gridSpan w:val="2"/>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b/>
                <w:sz w:val="20"/>
                <w:szCs w:val="20"/>
              </w:rPr>
            </w:pPr>
            <w:r>
              <w:rPr>
                <w:rFonts w:ascii="Arial Narrow" w:hAnsi="Arial Narrow"/>
                <w:b/>
                <w:sz w:val="20"/>
                <w:szCs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sz w:val="20"/>
                <w:szCs w:val="20"/>
              </w:rPr>
            </w:pPr>
            <w:r>
              <w:rPr>
                <w:rFonts w:ascii="Arial Narrow" w:hAnsi="Arial Narrow"/>
                <w:sz w:val="20"/>
                <w:szCs w:val="20"/>
              </w:rPr>
              <w:t xml:space="preserve">Continuing treatment </w:t>
            </w:r>
          </w:p>
        </w:tc>
      </w:tr>
      <w:tr w:rsidR="00261A55">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b/>
                <w:sz w:val="20"/>
                <w:szCs w:val="20"/>
              </w:rPr>
            </w:pPr>
            <w:r>
              <w:rPr>
                <w:rFonts w:ascii="Arial Narrow" w:hAnsi="Arial Narrow"/>
                <w:b/>
                <w:sz w:val="20"/>
                <w:szCs w:val="20"/>
              </w:rPr>
              <w:t>Clinical criteria:</w:t>
            </w:r>
          </w:p>
          <w:p w:rsidR="00261A55" w:rsidRDefault="00261A55">
            <w:pPr>
              <w:rPr>
                <w:rFonts w:ascii="Arial Narrow" w:hAnsi="Arial Narrow"/>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sz w:val="20"/>
                <w:szCs w:val="20"/>
              </w:rPr>
            </w:pPr>
            <w:r>
              <w:rPr>
                <w:rFonts w:ascii="Arial Narrow" w:hAnsi="Arial Narrow"/>
                <w:sz w:val="20"/>
                <w:szCs w:val="20"/>
              </w:rPr>
              <w:t xml:space="preserve">Patient must have previously received PBS-subsidised treatment with this drug for this condition, </w:t>
            </w:r>
          </w:p>
          <w:p w:rsidR="00261A55" w:rsidRDefault="002B6519">
            <w:pPr>
              <w:rPr>
                <w:rFonts w:ascii="Arial Narrow" w:hAnsi="Arial Narrow"/>
                <w:sz w:val="20"/>
                <w:szCs w:val="20"/>
              </w:rPr>
            </w:pPr>
            <w:r>
              <w:rPr>
                <w:rFonts w:ascii="Arial Narrow" w:hAnsi="Arial Narrow"/>
                <w:sz w:val="20"/>
                <w:szCs w:val="20"/>
              </w:rPr>
              <w:t>AND</w:t>
            </w:r>
          </w:p>
          <w:p w:rsidR="00261A55" w:rsidRDefault="002B6519">
            <w:pPr>
              <w:rPr>
                <w:rFonts w:ascii="Arial Narrow" w:hAnsi="Arial Narrow"/>
                <w:sz w:val="20"/>
                <w:szCs w:val="20"/>
              </w:rPr>
            </w:pPr>
            <w:r>
              <w:rPr>
                <w:rFonts w:ascii="Arial Narrow" w:hAnsi="Arial Narrow"/>
                <w:sz w:val="20"/>
                <w:szCs w:val="20"/>
              </w:rPr>
              <w:t>Patient must not receive PBS-subsidised treatment with this drug if progressive disease develops while on this drug for this condition,</w:t>
            </w:r>
          </w:p>
          <w:p w:rsidR="00261A55" w:rsidRDefault="002B6519">
            <w:pPr>
              <w:rPr>
                <w:rFonts w:ascii="Arial Narrow" w:hAnsi="Arial Narrow"/>
                <w:sz w:val="20"/>
                <w:szCs w:val="20"/>
              </w:rPr>
            </w:pPr>
            <w:r>
              <w:rPr>
                <w:rFonts w:ascii="Arial Narrow" w:hAnsi="Arial Narrow"/>
                <w:sz w:val="20"/>
                <w:szCs w:val="20"/>
              </w:rPr>
              <w:t>AND</w:t>
            </w:r>
          </w:p>
          <w:p w:rsidR="00261A55" w:rsidRDefault="002B6519">
            <w:pPr>
              <w:rPr>
                <w:rFonts w:ascii="Arial Narrow" w:hAnsi="Arial Narrow"/>
                <w:sz w:val="20"/>
                <w:szCs w:val="20"/>
              </w:rPr>
            </w:pPr>
            <w:r>
              <w:rPr>
                <w:rFonts w:ascii="Arial Narrow" w:hAnsi="Arial Narrow"/>
                <w:sz w:val="20"/>
                <w:szCs w:val="20"/>
              </w:rPr>
              <w:t>Treatment must be in combination with paclitaxel</w:t>
            </w:r>
          </w:p>
        </w:tc>
      </w:tr>
      <w:tr w:rsidR="00261A55">
        <w:trPr>
          <w:cantSplit/>
          <w:trHeight w:val="236"/>
        </w:trPr>
        <w:tc>
          <w:tcPr>
            <w:tcW w:w="2835" w:type="dxa"/>
            <w:gridSpan w:val="2"/>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b/>
                <w:sz w:val="20"/>
                <w:szCs w:val="20"/>
              </w:rPr>
            </w:pPr>
            <w:r>
              <w:rPr>
                <w:rFonts w:ascii="Arial Narrow" w:hAnsi="Arial Narrow"/>
                <w:b/>
                <w:i/>
                <w:sz w:val="20"/>
                <w:szCs w:val="20"/>
              </w:rPr>
              <w:t>Administrative advice</w:t>
            </w:r>
          </w:p>
        </w:tc>
        <w:tc>
          <w:tcPr>
            <w:tcW w:w="6379" w:type="dxa"/>
            <w:gridSpan w:val="5"/>
            <w:tcBorders>
              <w:top w:val="single" w:sz="4" w:space="0" w:color="auto"/>
              <w:left w:val="single" w:sz="4" w:space="0" w:color="auto"/>
              <w:bottom w:val="single" w:sz="4" w:space="0" w:color="auto"/>
              <w:right w:val="single" w:sz="4" w:space="0" w:color="auto"/>
            </w:tcBorders>
          </w:tcPr>
          <w:p w:rsidR="00261A55" w:rsidRDefault="002B6519">
            <w:pPr>
              <w:rPr>
                <w:rFonts w:ascii="Arial Narrow" w:hAnsi="Arial Narrow"/>
                <w:sz w:val="20"/>
                <w:szCs w:val="20"/>
              </w:rPr>
            </w:pPr>
            <w:r>
              <w:rPr>
                <w:rFonts w:ascii="Arial Narrow" w:hAnsi="Arial Narrow"/>
                <w:i/>
                <w:sz w:val="20"/>
                <w:szCs w:val="20"/>
              </w:rPr>
              <w:t>Special pricing arrangements apply</w:t>
            </w:r>
          </w:p>
        </w:tc>
      </w:tr>
    </w:tbl>
    <w:p w:rsidR="00261A55" w:rsidRDefault="00261A55">
      <w:pPr>
        <w:pStyle w:val="3Bodytext"/>
        <w:numPr>
          <w:ilvl w:val="0"/>
          <w:numId w:val="0"/>
        </w:numPr>
        <w:spacing w:after="0"/>
        <w:ind w:left="720"/>
      </w:pPr>
    </w:p>
    <w:p w:rsidR="00261A55" w:rsidRDefault="002B6519">
      <w:pPr>
        <w:pStyle w:val="3Bodytext"/>
      </w:pPr>
      <w:r>
        <w:t>The requested published and effective AEMPs in the minor resubmission, compared with the previous submission, are presented in Table 1.</w:t>
      </w:r>
    </w:p>
    <w:p w:rsidR="00BD417A" w:rsidRDefault="00BD417A" w:rsidP="00BD417A">
      <w:pPr>
        <w:pStyle w:val="Caption"/>
        <w:keepNext/>
      </w:pPr>
      <w:r>
        <w:t xml:space="preserve">Table </w:t>
      </w:r>
      <w:fldSimple w:instr=" SEQ Table \* ARABIC ">
        <w:r w:rsidR="00742A2A">
          <w:rPr>
            <w:noProof/>
          </w:rPr>
          <w:t>1</w:t>
        </w:r>
      </w:fldSimple>
      <w:r w:rsidRPr="002A4EF1">
        <w:t>: Requested AEMPs in the previous and current submissions</w:t>
      </w:r>
    </w:p>
    <w:tbl>
      <w:tblPr>
        <w:tblStyle w:val="TableGrid"/>
        <w:tblW w:w="5000" w:type="pct"/>
        <w:tblLook w:val="04A0" w:firstRow="1" w:lastRow="0" w:firstColumn="1" w:lastColumn="0" w:noHBand="0" w:noVBand="1"/>
        <w:tblCaption w:val="Table 1: Requested AEMPs in the previous and current submissions "/>
      </w:tblPr>
      <w:tblGrid>
        <w:gridCol w:w="2405"/>
        <w:gridCol w:w="2409"/>
        <w:gridCol w:w="1560"/>
        <w:gridCol w:w="1560"/>
        <w:gridCol w:w="1082"/>
      </w:tblGrid>
      <w:tr w:rsidR="00261A55">
        <w:tc>
          <w:tcPr>
            <w:tcW w:w="1334" w:type="pct"/>
            <w:vMerge w:val="restart"/>
            <w:vAlign w:val="center"/>
          </w:tcPr>
          <w:p w:rsidR="00261A55" w:rsidRDefault="002B6519">
            <w:pPr>
              <w:rPr>
                <w:rFonts w:ascii="Arial Narrow" w:hAnsi="Arial Narrow"/>
                <w:b/>
                <w:sz w:val="20"/>
                <w:szCs w:val="20"/>
              </w:rPr>
            </w:pPr>
            <w:r>
              <w:rPr>
                <w:rFonts w:ascii="Arial Narrow" w:hAnsi="Arial Narrow"/>
                <w:b/>
                <w:sz w:val="20"/>
                <w:szCs w:val="20"/>
              </w:rPr>
              <w:t>Form</w:t>
            </w:r>
          </w:p>
        </w:tc>
        <w:tc>
          <w:tcPr>
            <w:tcW w:w="1336" w:type="pct"/>
            <w:vMerge w:val="restart"/>
            <w:vAlign w:val="center"/>
          </w:tcPr>
          <w:p w:rsidR="00261A55" w:rsidRDefault="002B6519">
            <w:pPr>
              <w:jc w:val="center"/>
              <w:rPr>
                <w:rFonts w:ascii="Arial Narrow" w:hAnsi="Arial Narrow"/>
                <w:b/>
                <w:sz w:val="20"/>
                <w:szCs w:val="20"/>
              </w:rPr>
            </w:pPr>
            <w:r>
              <w:rPr>
                <w:rFonts w:ascii="Arial Narrow" w:hAnsi="Arial Narrow"/>
                <w:b/>
                <w:sz w:val="20"/>
                <w:szCs w:val="20"/>
              </w:rPr>
              <w:t>March 2018 submission AEMP*</w:t>
            </w:r>
          </w:p>
        </w:tc>
        <w:tc>
          <w:tcPr>
            <w:tcW w:w="1730" w:type="pct"/>
            <w:gridSpan w:val="2"/>
            <w:vAlign w:val="center"/>
          </w:tcPr>
          <w:p w:rsidR="00261A55" w:rsidRDefault="002B6519">
            <w:pPr>
              <w:jc w:val="center"/>
              <w:rPr>
                <w:rFonts w:ascii="Arial Narrow" w:hAnsi="Arial Narrow"/>
                <w:b/>
                <w:sz w:val="20"/>
                <w:szCs w:val="20"/>
              </w:rPr>
            </w:pPr>
            <w:r>
              <w:rPr>
                <w:rFonts w:ascii="Arial Narrow" w:hAnsi="Arial Narrow"/>
                <w:b/>
                <w:sz w:val="20"/>
                <w:szCs w:val="20"/>
              </w:rPr>
              <w:t>July 2019 minor resubmission</w:t>
            </w:r>
          </w:p>
        </w:tc>
        <w:tc>
          <w:tcPr>
            <w:tcW w:w="600" w:type="pct"/>
            <w:vMerge w:val="restart"/>
            <w:vAlign w:val="center"/>
          </w:tcPr>
          <w:p w:rsidR="00261A55" w:rsidRDefault="002B6519">
            <w:pPr>
              <w:rPr>
                <w:rFonts w:ascii="Arial Narrow" w:hAnsi="Arial Narrow"/>
                <w:b/>
                <w:sz w:val="20"/>
                <w:szCs w:val="20"/>
              </w:rPr>
            </w:pPr>
            <w:r>
              <w:rPr>
                <w:rFonts w:ascii="Arial Narrow" w:hAnsi="Arial Narrow"/>
                <w:b/>
                <w:sz w:val="20"/>
                <w:szCs w:val="20"/>
              </w:rPr>
              <w:t>Price reduction</w:t>
            </w:r>
          </w:p>
        </w:tc>
      </w:tr>
      <w:tr w:rsidR="00261A55">
        <w:tc>
          <w:tcPr>
            <w:tcW w:w="1334" w:type="pct"/>
            <w:vMerge/>
          </w:tcPr>
          <w:p w:rsidR="00261A55" w:rsidRDefault="00261A55">
            <w:pPr>
              <w:rPr>
                <w:rFonts w:ascii="Arial Narrow" w:hAnsi="Arial Narrow"/>
                <w:b/>
                <w:sz w:val="20"/>
                <w:szCs w:val="20"/>
              </w:rPr>
            </w:pPr>
          </w:p>
        </w:tc>
        <w:tc>
          <w:tcPr>
            <w:tcW w:w="1336" w:type="pct"/>
            <w:vMerge/>
          </w:tcPr>
          <w:p w:rsidR="00261A55" w:rsidRDefault="00261A55">
            <w:pPr>
              <w:rPr>
                <w:rFonts w:ascii="Arial Narrow" w:hAnsi="Arial Narrow"/>
                <w:b/>
                <w:sz w:val="20"/>
                <w:szCs w:val="20"/>
              </w:rPr>
            </w:pPr>
          </w:p>
        </w:tc>
        <w:tc>
          <w:tcPr>
            <w:tcW w:w="865" w:type="pct"/>
          </w:tcPr>
          <w:p w:rsidR="00261A55" w:rsidRDefault="002B6519">
            <w:pPr>
              <w:rPr>
                <w:rFonts w:ascii="Arial Narrow" w:hAnsi="Arial Narrow"/>
                <w:b/>
                <w:sz w:val="20"/>
                <w:szCs w:val="20"/>
              </w:rPr>
            </w:pPr>
            <w:r>
              <w:rPr>
                <w:rFonts w:ascii="Arial Narrow" w:hAnsi="Arial Narrow"/>
                <w:b/>
                <w:sz w:val="20"/>
                <w:szCs w:val="20"/>
              </w:rPr>
              <w:t>Published AEMP</w:t>
            </w:r>
          </w:p>
        </w:tc>
        <w:tc>
          <w:tcPr>
            <w:tcW w:w="865" w:type="pct"/>
          </w:tcPr>
          <w:p w:rsidR="00261A55" w:rsidRDefault="002B6519">
            <w:pPr>
              <w:rPr>
                <w:rFonts w:ascii="Arial Narrow" w:hAnsi="Arial Narrow"/>
                <w:b/>
                <w:sz w:val="20"/>
                <w:szCs w:val="20"/>
              </w:rPr>
            </w:pPr>
            <w:r>
              <w:rPr>
                <w:rFonts w:ascii="Arial Narrow" w:hAnsi="Arial Narrow"/>
                <w:b/>
                <w:sz w:val="20"/>
                <w:szCs w:val="20"/>
              </w:rPr>
              <w:t>Effective AEMP</w:t>
            </w:r>
          </w:p>
        </w:tc>
        <w:tc>
          <w:tcPr>
            <w:tcW w:w="600" w:type="pct"/>
            <w:vMerge/>
          </w:tcPr>
          <w:p w:rsidR="00261A55" w:rsidRDefault="00261A55">
            <w:pPr>
              <w:rPr>
                <w:rFonts w:ascii="Arial Narrow" w:hAnsi="Arial Narrow"/>
                <w:b/>
                <w:sz w:val="20"/>
                <w:szCs w:val="20"/>
              </w:rPr>
            </w:pPr>
          </w:p>
        </w:tc>
      </w:tr>
      <w:tr w:rsidR="00261A55">
        <w:tc>
          <w:tcPr>
            <w:tcW w:w="1334" w:type="pct"/>
          </w:tcPr>
          <w:p w:rsidR="00261A55" w:rsidRDefault="002B6519">
            <w:pPr>
              <w:rPr>
                <w:rFonts w:ascii="Arial Narrow" w:hAnsi="Arial Narrow"/>
                <w:sz w:val="20"/>
                <w:szCs w:val="20"/>
              </w:rPr>
            </w:pPr>
            <w:r>
              <w:rPr>
                <w:rFonts w:ascii="Arial Narrow" w:hAnsi="Arial Narrow"/>
                <w:sz w:val="20"/>
                <w:szCs w:val="20"/>
              </w:rPr>
              <w:t>100 mg/10 mL injection, 1 vial</w:t>
            </w:r>
          </w:p>
        </w:tc>
        <w:tc>
          <w:tcPr>
            <w:tcW w:w="1336" w:type="pct"/>
          </w:tcPr>
          <w:p w:rsidR="00261A55" w:rsidRDefault="002B6519">
            <w:pPr>
              <w:rPr>
                <w:rFonts w:ascii="Arial Narrow" w:hAnsi="Arial Narrow"/>
                <w:sz w:val="20"/>
                <w:szCs w:val="20"/>
              </w:rPr>
            </w:pPr>
            <w:r>
              <w:rPr>
                <w:rFonts w:ascii="Arial Narrow" w:hAnsi="Arial Narrow"/>
                <w:sz w:val="20"/>
                <w:szCs w:val="20"/>
              </w:rPr>
              <w:t>$</w:t>
            </w:r>
            <w:r w:rsidR="000C0C26">
              <w:rPr>
                <w:rFonts w:ascii="Arial Narrow" w:hAnsi="Arial Narrow"/>
                <w:noProof/>
                <w:color w:val="000000"/>
                <w:sz w:val="20"/>
                <w:szCs w:val="20"/>
                <w:highlight w:val="black"/>
              </w:rPr>
              <w:t>'''''''''''''''''</w:t>
            </w:r>
          </w:p>
        </w:tc>
        <w:tc>
          <w:tcPr>
            <w:tcW w:w="865" w:type="pct"/>
          </w:tcPr>
          <w:p w:rsidR="00261A55" w:rsidRDefault="002B6519">
            <w:pPr>
              <w:rPr>
                <w:rFonts w:ascii="Arial Narrow" w:hAnsi="Arial Narrow"/>
                <w:sz w:val="20"/>
                <w:szCs w:val="20"/>
              </w:rPr>
            </w:pPr>
            <w:r>
              <w:rPr>
                <w:rFonts w:ascii="Arial Narrow" w:hAnsi="Arial Narrow"/>
                <w:sz w:val="20"/>
                <w:szCs w:val="20"/>
              </w:rPr>
              <w:t>$</w:t>
            </w:r>
            <w:r w:rsidR="000C0C26">
              <w:rPr>
                <w:rFonts w:ascii="Arial Narrow" w:hAnsi="Arial Narrow"/>
                <w:noProof/>
                <w:color w:val="000000"/>
                <w:sz w:val="20"/>
                <w:szCs w:val="20"/>
                <w:highlight w:val="black"/>
              </w:rPr>
              <w:t>'''''''''''''''</w:t>
            </w:r>
          </w:p>
        </w:tc>
        <w:tc>
          <w:tcPr>
            <w:tcW w:w="865" w:type="pct"/>
          </w:tcPr>
          <w:p w:rsidR="00261A55" w:rsidRDefault="002B6519">
            <w:pPr>
              <w:rPr>
                <w:rFonts w:ascii="Arial Narrow" w:hAnsi="Arial Narrow"/>
                <w:sz w:val="20"/>
                <w:szCs w:val="20"/>
              </w:rPr>
            </w:pPr>
            <w:r>
              <w:rPr>
                <w:rFonts w:ascii="Arial Narrow" w:hAnsi="Arial Narrow"/>
                <w:sz w:val="20"/>
                <w:szCs w:val="20"/>
              </w:rPr>
              <w:t>$</w:t>
            </w:r>
            <w:r w:rsidR="000C0C26">
              <w:rPr>
                <w:rFonts w:ascii="Arial Narrow" w:hAnsi="Arial Narrow"/>
                <w:noProof/>
                <w:color w:val="000000"/>
                <w:sz w:val="20"/>
                <w:szCs w:val="20"/>
                <w:highlight w:val="black"/>
              </w:rPr>
              <w:t>''''''''''''''''''</w:t>
            </w:r>
          </w:p>
        </w:tc>
        <w:tc>
          <w:tcPr>
            <w:tcW w:w="600" w:type="pct"/>
          </w:tcPr>
          <w:p w:rsidR="00261A55" w:rsidRDefault="000C0C26">
            <w:pPr>
              <w:rPr>
                <w:rFonts w:ascii="Arial Narrow" w:hAnsi="Arial Narrow"/>
                <w:sz w:val="20"/>
                <w:szCs w:val="20"/>
              </w:rPr>
            </w:pPr>
            <w:r>
              <w:rPr>
                <w:rFonts w:ascii="Arial Narrow" w:hAnsi="Arial Narrow"/>
                <w:noProof/>
                <w:color w:val="000000"/>
                <w:sz w:val="20"/>
                <w:szCs w:val="20"/>
                <w:highlight w:val="black"/>
              </w:rPr>
              <w:t>'''''</w:t>
            </w:r>
            <w:r w:rsidR="002B6519">
              <w:rPr>
                <w:rFonts w:ascii="Arial Narrow" w:hAnsi="Arial Narrow"/>
                <w:sz w:val="20"/>
                <w:szCs w:val="20"/>
              </w:rPr>
              <w:t>%</w:t>
            </w:r>
          </w:p>
        </w:tc>
      </w:tr>
      <w:tr w:rsidR="00261A55">
        <w:tc>
          <w:tcPr>
            <w:tcW w:w="1334" w:type="pct"/>
          </w:tcPr>
          <w:p w:rsidR="00261A55" w:rsidRDefault="002B6519">
            <w:pPr>
              <w:rPr>
                <w:rFonts w:ascii="Arial Narrow" w:hAnsi="Arial Narrow"/>
                <w:sz w:val="20"/>
                <w:szCs w:val="20"/>
              </w:rPr>
            </w:pPr>
            <w:r>
              <w:rPr>
                <w:rFonts w:ascii="Arial Narrow" w:hAnsi="Arial Narrow"/>
                <w:sz w:val="20"/>
                <w:szCs w:val="20"/>
              </w:rPr>
              <w:t>500 mg/50 mL injection, 1 vial</w:t>
            </w:r>
          </w:p>
        </w:tc>
        <w:tc>
          <w:tcPr>
            <w:tcW w:w="1336" w:type="pct"/>
          </w:tcPr>
          <w:p w:rsidR="00261A55" w:rsidRDefault="002B6519">
            <w:pPr>
              <w:rPr>
                <w:rFonts w:ascii="Arial Narrow" w:hAnsi="Arial Narrow"/>
                <w:sz w:val="20"/>
                <w:szCs w:val="20"/>
              </w:rPr>
            </w:pPr>
            <w:r>
              <w:rPr>
                <w:rFonts w:ascii="Arial Narrow" w:hAnsi="Arial Narrow"/>
                <w:sz w:val="20"/>
                <w:szCs w:val="20"/>
              </w:rPr>
              <w:t>$</w:t>
            </w:r>
            <w:r w:rsidR="000C0C26">
              <w:rPr>
                <w:rFonts w:ascii="Arial Narrow" w:hAnsi="Arial Narrow"/>
                <w:noProof/>
                <w:color w:val="000000"/>
                <w:sz w:val="20"/>
                <w:szCs w:val="20"/>
                <w:highlight w:val="black"/>
              </w:rPr>
              <w:t>'''''''''''''''''''</w:t>
            </w:r>
          </w:p>
        </w:tc>
        <w:tc>
          <w:tcPr>
            <w:tcW w:w="865" w:type="pct"/>
          </w:tcPr>
          <w:p w:rsidR="00261A55" w:rsidRDefault="002B6519">
            <w:pPr>
              <w:rPr>
                <w:rFonts w:ascii="Arial Narrow" w:hAnsi="Arial Narrow"/>
                <w:sz w:val="20"/>
                <w:szCs w:val="20"/>
              </w:rPr>
            </w:pPr>
            <w:r>
              <w:rPr>
                <w:rFonts w:ascii="Arial Narrow" w:hAnsi="Arial Narrow"/>
                <w:sz w:val="20"/>
                <w:szCs w:val="20"/>
              </w:rPr>
              <w:t>$</w:t>
            </w:r>
            <w:r w:rsidR="000C0C26">
              <w:rPr>
                <w:rFonts w:ascii="Arial Narrow" w:hAnsi="Arial Narrow"/>
                <w:noProof/>
                <w:color w:val="000000"/>
                <w:sz w:val="20"/>
                <w:szCs w:val="20"/>
                <w:highlight w:val="black"/>
              </w:rPr>
              <w:t>''''''''''''''''''''</w:t>
            </w:r>
          </w:p>
        </w:tc>
        <w:tc>
          <w:tcPr>
            <w:tcW w:w="865" w:type="pct"/>
          </w:tcPr>
          <w:p w:rsidR="00261A55" w:rsidRDefault="002B6519">
            <w:pPr>
              <w:rPr>
                <w:rFonts w:ascii="Arial Narrow" w:hAnsi="Arial Narrow"/>
                <w:sz w:val="20"/>
                <w:szCs w:val="20"/>
              </w:rPr>
            </w:pPr>
            <w:r>
              <w:rPr>
                <w:rFonts w:ascii="Arial Narrow" w:hAnsi="Arial Narrow"/>
                <w:sz w:val="20"/>
                <w:szCs w:val="20"/>
              </w:rPr>
              <w:t>$</w:t>
            </w:r>
            <w:r w:rsidR="000C0C26">
              <w:rPr>
                <w:rFonts w:ascii="Arial Narrow" w:hAnsi="Arial Narrow"/>
                <w:noProof/>
                <w:color w:val="000000"/>
                <w:sz w:val="20"/>
                <w:szCs w:val="20"/>
                <w:highlight w:val="black"/>
              </w:rPr>
              <w:t>'''''''''''''''''</w:t>
            </w:r>
          </w:p>
        </w:tc>
        <w:tc>
          <w:tcPr>
            <w:tcW w:w="600" w:type="pct"/>
          </w:tcPr>
          <w:p w:rsidR="00261A55" w:rsidRDefault="000C0C26">
            <w:pPr>
              <w:rPr>
                <w:rFonts w:ascii="Arial Narrow" w:hAnsi="Arial Narrow"/>
                <w:sz w:val="20"/>
                <w:szCs w:val="20"/>
              </w:rPr>
            </w:pPr>
            <w:r>
              <w:rPr>
                <w:rFonts w:ascii="Arial Narrow" w:hAnsi="Arial Narrow"/>
                <w:noProof/>
                <w:color w:val="000000"/>
                <w:sz w:val="20"/>
                <w:szCs w:val="20"/>
                <w:highlight w:val="black"/>
              </w:rPr>
              <w:t>''''''</w:t>
            </w:r>
            <w:r w:rsidR="002B6519">
              <w:rPr>
                <w:rFonts w:ascii="Arial Narrow" w:hAnsi="Arial Narrow"/>
                <w:sz w:val="20"/>
                <w:szCs w:val="20"/>
              </w:rPr>
              <w:t>%</w:t>
            </w:r>
          </w:p>
        </w:tc>
      </w:tr>
    </w:tbl>
    <w:p w:rsidR="00261A55" w:rsidRDefault="002B6519">
      <w:pPr>
        <w:rPr>
          <w:rFonts w:ascii="Arial Narrow" w:hAnsi="Arial Narrow"/>
          <w:sz w:val="20"/>
          <w:szCs w:val="20"/>
        </w:rPr>
      </w:pPr>
      <w:r>
        <w:rPr>
          <w:rFonts w:ascii="Arial Narrow" w:hAnsi="Arial Narrow"/>
          <w:sz w:val="20"/>
          <w:szCs w:val="20"/>
        </w:rPr>
        <w:t xml:space="preserve">Source: Table 1, p6 and Table 2, p7 of the minor resubmission. </w:t>
      </w:r>
    </w:p>
    <w:p w:rsidR="00261A55" w:rsidRDefault="002B6519">
      <w:pPr>
        <w:rPr>
          <w:rFonts w:ascii="Arial Narrow" w:hAnsi="Arial Narrow"/>
          <w:sz w:val="20"/>
          <w:szCs w:val="20"/>
        </w:rPr>
      </w:pPr>
      <w:r>
        <w:rPr>
          <w:rFonts w:ascii="Arial Narrow" w:hAnsi="Arial Narrow"/>
          <w:sz w:val="20"/>
          <w:szCs w:val="20"/>
        </w:rPr>
        <w:t>AEMP = approved ex-manufacturer price</w:t>
      </w:r>
    </w:p>
    <w:p w:rsidR="00261A55" w:rsidRDefault="002B6519">
      <w:pPr>
        <w:rPr>
          <w:rFonts w:ascii="Arial Narrow" w:hAnsi="Arial Narrow"/>
          <w:sz w:val="20"/>
          <w:szCs w:val="20"/>
        </w:rPr>
      </w:pPr>
      <w:r>
        <w:rPr>
          <w:rFonts w:ascii="Arial Narrow" w:hAnsi="Arial Narrow"/>
          <w:sz w:val="20"/>
          <w:szCs w:val="20"/>
        </w:rPr>
        <w:t>*The March 2018 submission did not request a Special Pricing Arrangement.</w:t>
      </w:r>
    </w:p>
    <w:p w:rsidR="00261A55" w:rsidRDefault="002B6519">
      <w:pPr>
        <w:pStyle w:val="2Sections"/>
        <w:keepNext/>
        <w:numPr>
          <w:ilvl w:val="0"/>
          <w:numId w:val="5"/>
        </w:numPr>
      </w:pPr>
      <w:r>
        <w:t>Background</w:t>
      </w:r>
    </w:p>
    <w:p w:rsidR="00261A55" w:rsidRDefault="002B6519">
      <w:pPr>
        <w:pStyle w:val="3Bodytext"/>
        <w:numPr>
          <w:ilvl w:val="1"/>
          <w:numId w:val="5"/>
        </w:numPr>
      </w:pPr>
      <w:r>
        <w:t>Ramucirumab was approved for registration by the TGA on 9th July 2015 for the following indications:</w:t>
      </w:r>
    </w:p>
    <w:p w:rsidR="00261A55" w:rsidRDefault="002B6519">
      <w:pPr>
        <w:pStyle w:val="ListParagraph"/>
        <w:widowControl/>
        <w:numPr>
          <w:ilvl w:val="0"/>
          <w:numId w:val="23"/>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Ramucirumab (CYRAMZA®), in combination with paclitaxel, is indicated for the treatment of adult patients with advanced or metastatic gastric or gastro-oesophageal junction adenocarcinoma with disease progression after prior platinum and fluoropyrimidine chemotherapy. </w:t>
      </w:r>
    </w:p>
    <w:p w:rsidR="00261A55" w:rsidRDefault="002B6519">
      <w:pPr>
        <w:pStyle w:val="ListParagraph"/>
        <w:widowControl/>
        <w:numPr>
          <w:ilvl w:val="0"/>
          <w:numId w:val="23"/>
        </w:numPr>
        <w:spacing w:after="120"/>
        <w:contextualSpacing w:val="0"/>
        <w:rPr>
          <w:rFonts w:asciiTheme="minorHAnsi" w:hAnsiTheme="minorHAnsi" w:cstheme="minorHAnsi"/>
          <w:sz w:val="24"/>
          <w:szCs w:val="24"/>
        </w:rPr>
      </w:pPr>
      <w:r>
        <w:rPr>
          <w:rFonts w:asciiTheme="minorHAnsi" w:hAnsiTheme="minorHAnsi" w:cstheme="minorHAnsi"/>
          <w:sz w:val="24"/>
          <w:szCs w:val="24"/>
        </w:rPr>
        <w:t>Ramucirumab (CYRAMZA®), as monotherapy, is indicated for the treatment of adult patients with advanced or metastatic gastric or gastro-oesophageal junction adenocarcinoma with disease progression after prior platinum or fluoropyrimidine chemotherapy when treatment in combination with paclitaxel is not appropriate.</w:t>
      </w:r>
    </w:p>
    <w:p w:rsidR="00261A55" w:rsidRDefault="002B6519">
      <w:pPr>
        <w:pStyle w:val="ListParagraph"/>
        <w:widowControl/>
        <w:spacing w:after="120"/>
        <w:contextualSpacing w:val="0"/>
        <w:rPr>
          <w:rFonts w:asciiTheme="minorHAnsi" w:hAnsiTheme="minorHAnsi" w:cstheme="minorHAnsi"/>
          <w:sz w:val="24"/>
          <w:szCs w:val="24"/>
        </w:rPr>
      </w:pPr>
      <w:bookmarkStart w:id="0" w:name="_Toc501621598"/>
      <w:r>
        <w:rPr>
          <w:rFonts w:asciiTheme="minorHAnsi" w:hAnsiTheme="minorHAnsi" w:cstheme="minorHAnsi"/>
          <w:sz w:val="24"/>
          <w:szCs w:val="24"/>
        </w:rPr>
        <w:lastRenderedPageBreak/>
        <w:t>The PBS listing sought in the previous and current submissions was for the former indication alone, i.e. in combination with paclitaxel</w:t>
      </w:r>
      <w:bookmarkEnd w:id="0"/>
      <w:r>
        <w:rPr>
          <w:rFonts w:asciiTheme="minorHAnsi" w:hAnsiTheme="minorHAnsi" w:cstheme="minorHAnsi"/>
          <w:sz w:val="24"/>
          <w:szCs w:val="24"/>
        </w:rPr>
        <w:t xml:space="preserve">. </w:t>
      </w:r>
    </w:p>
    <w:p w:rsidR="00261A55" w:rsidRDefault="002B6519">
      <w:pPr>
        <w:pStyle w:val="3Bodytext"/>
        <w:rPr>
          <w:snapToGrid w:val="0"/>
        </w:rPr>
      </w:pPr>
      <w:r>
        <w:t xml:space="preserve">In March 2018, the PBAC recommended RAM+PAC for the treatment of G/GEJ adenocarcinoma. The PBAC considered that a substantial price reduction would be required for RAM+PAC to be cost-effective against PAC in the proposed PBS population. </w:t>
      </w:r>
    </w:p>
    <w:p w:rsidR="00261A55" w:rsidRDefault="002B6519">
      <w:pPr>
        <w:pStyle w:val="3Bodytext"/>
        <w:numPr>
          <w:ilvl w:val="2"/>
          <w:numId w:val="14"/>
        </w:numPr>
        <w:ind w:left="1134" w:hanging="425"/>
      </w:pPr>
      <w:r>
        <w:t xml:space="preserve">The ESC considered that the use of differing hospitalisation rates between the two treatment arms in the economic model in the post-progression health state, based on data collected prior to disease progression, was inadequately justified (March 2018 PBAC minutes, paragraph 6.53). </w:t>
      </w:r>
    </w:p>
    <w:p w:rsidR="00261A55" w:rsidRDefault="002B6519">
      <w:pPr>
        <w:pStyle w:val="3Bodytext"/>
        <w:numPr>
          <w:ilvl w:val="2"/>
          <w:numId w:val="14"/>
        </w:numPr>
        <w:ind w:left="1134" w:hanging="425"/>
      </w:pPr>
      <w:r>
        <w:t xml:space="preserve">The pre-PBAC response presented a revised base case ICER of $105,000/QALY - $200,000/QALY gained which assumed equal rates of hospitalisation (4.7%) in the treatment arms in the post-progression health state (March 2018 PBAC minutes, paragraph 7.13). </w:t>
      </w:r>
    </w:p>
    <w:p w:rsidR="00261A55" w:rsidRDefault="002B6519">
      <w:pPr>
        <w:pStyle w:val="3Bodytext"/>
        <w:numPr>
          <w:ilvl w:val="2"/>
          <w:numId w:val="14"/>
        </w:numPr>
        <w:ind w:left="1134" w:hanging="425"/>
      </w:pPr>
      <w:r>
        <w:t xml:space="preserve">The PBAC noted that, despite the hospitalisation rates being the same, because these rates were applied on a per cycle basis and as the time spent in the post-progression state was longer with PAC than RAM+PAC, post-progression hospitalisation costs remained the main driver of cost offsets in the model (PSD, paragraph 7.14). The PBAC therefore considered it would be more reasonable to assume no hospitalisations in the post-progression health state; this change increased the ICER to more than $200,000/QALY  gained (March 2018 PBAC minutes, paragraph 7.15). </w:t>
      </w:r>
    </w:p>
    <w:p w:rsidR="00261A55" w:rsidRDefault="002B6519">
      <w:pPr>
        <w:pStyle w:val="3Bodytext"/>
        <w:numPr>
          <w:ilvl w:val="2"/>
          <w:numId w:val="14"/>
        </w:numPr>
        <w:ind w:left="1134" w:hanging="425"/>
      </w:pPr>
      <w:r>
        <w:t>The PBAC considered that the estimate of cost-effectiveness of ramucirumab was unacceptably high at more than $200,000/</w:t>
      </w:r>
      <w:r w:rsidR="00C861C4">
        <w:t>QALY gained</w:t>
      </w:r>
      <w:r>
        <w:t xml:space="preserve">, particularly in light of its modest clinical benefit and significant toxicity. Accordingly, the PBAC considered that a substantial price reduction, of around </w:t>
      </w:r>
      <w:r w:rsidR="000C0C26">
        <w:rPr>
          <w:noProof/>
          <w:color w:val="000000"/>
          <w:highlight w:val="black"/>
        </w:rPr>
        <w:t>''''''</w:t>
      </w:r>
      <w:r>
        <w:t>%, to reduce the ICER to an acceptable range of $15,000/QALY - $45,000/QALY  gained, would be required for RAM+PAC to be cost-effective against PAC in the proposed PBS population (March 2018 PBAC minutes, paragraph 7.15).</w:t>
      </w:r>
    </w:p>
    <w:p w:rsidR="00261A55" w:rsidRDefault="002B6519">
      <w:pPr>
        <w:pStyle w:val="3Bodytext"/>
        <w:numPr>
          <w:ilvl w:val="0"/>
          <w:numId w:val="0"/>
        </w:numPr>
        <w:ind w:left="709"/>
      </w:pPr>
      <w:r>
        <w:rPr>
          <w:i/>
        </w:rPr>
        <w:t>For more detail on PBAC’s view, see section 5 PBAC outcome.</w:t>
      </w:r>
    </w:p>
    <w:p w:rsidR="00261A55" w:rsidRDefault="002B6519">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261A55" w:rsidRDefault="002B6519">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261A55" w:rsidRDefault="002B6519">
      <w:pPr>
        <w:pStyle w:val="3Bodytext"/>
      </w:pPr>
      <w:r>
        <w:rPr>
          <w:snapToGrid w:val="0"/>
        </w:rPr>
        <w:t>There was no hearing for this item as it was a minor submission.</w:t>
      </w:r>
    </w:p>
    <w:p w:rsidR="00261A55" w:rsidRDefault="002B6519">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261A55" w:rsidRDefault="002B6519">
      <w:pPr>
        <w:pStyle w:val="3Bodytext"/>
      </w:pPr>
      <w:r>
        <w:rPr>
          <w:snapToGrid w:val="0"/>
        </w:rPr>
        <w:t xml:space="preserve">The Medical Oncology Group of Australia (MOGA) expressed its support for the </w:t>
      </w:r>
      <w:r>
        <w:t xml:space="preserve">RAM+PAC </w:t>
      </w:r>
      <w:r>
        <w:rPr>
          <w:snapToGrid w:val="0"/>
        </w:rPr>
        <w:t xml:space="preserve">resubmission. The PBAC noted that the MOGA presented the European Society for Medical Oncology Magnitude of Clinical Benefit Scale (ESMO-MCBS) for </w:t>
      </w:r>
      <w:r>
        <w:rPr>
          <w:snapToGrid w:val="0"/>
        </w:rPr>
        <w:lastRenderedPageBreak/>
        <w:t xml:space="preserve">ramucirumab </w:t>
      </w:r>
      <w:r>
        <w:t>in combination with paclitaxel</w:t>
      </w:r>
      <w:r>
        <w:rPr>
          <w:snapToGrid w:val="0"/>
        </w:rPr>
        <w:t>, which was limited to 2 (out of a maximum of 5, where 5 and 4 represent the grades with substantial improvement)</w:t>
      </w:r>
      <w:r>
        <w:rPr>
          <w:rStyle w:val="FootnoteReference"/>
          <w:snapToGrid w:val="0"/>
        </w:rPr>
        <w:footnoteReference w:id="1"/>
      </w:r>
      <w:r>
        <w:rPr>
          <w:snapToGrid w:val="0"/>
        </w:rPr>
        <w:t>, based on a comparison with PAC.</w:t>
      </w:r>
    </w:p>
    <w:p w:rsidR="00261A55" w:rsidRDefault="002B6519">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Economic analysis</w:t>
      </w:r>
    </w:p>
    <w:p w:rsidR="00261A55" w:rsidRDefault="002B6519">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resubmission presented a revised base case ICER of $45,000/QALY - $75,000/</w:t>
      </w:r>
      <w:r w:rsidR="00C861C4">
        <w:rPr>
          <w:rFonts w:asciiTheme="minorHAnsi" w:eastAsiaTheme="minorHAnsi" w:hAnsiTheme="minorHAnsi" w:cstheme="minorBidi"/>
          <w:snapToGrid/>
          <w:sz w:val="24"/>
          <w:szCs w:val="22"/>
        </w:rPr>
        <w:t>QALY gained</w:t>
      </w:r>
      <w:r>
        <w:rPr>
          <w:rFonts w:asciiTheme="minorHAnsi" w:eastAsiaTheme="minorHAnsi" w:hAnsiTheme="minorHAnsi" w:cstheme="minorBidi"/>
          <w:snapToGrid/>
          <w:sz w:val="24"/>
          <w:szCs w:val="22"/>
        </w:rPr>
        <w:t>. To achieve this ICER, the following changes were made to the model:</w:t>
      </w:r>
    </w:p>
    <w:p w:rsidR="00261A55" w:rsidRDefault="002B6519">
      <w:pPr>
        <w:pStyle w:val="3Bodytext"/>
        <w:numPr>
          <w:ilvl w:val="2"/>
          <w:numId w:val="14"/>
        </w:numPr>
        <w:ind w:left="1134" w:hanging="425"/>
      </w:pPr>
      <w:r>
        <w:t xml:space="preserve">a revised price that was around </w:t>
      </w:r>
      <w:r w:rsidR="000C0C26">
        <w:rPr>
          <w:noProof/>
          <w:color w:val="000000"/>
          <w:highlight w:val="black"/>
        </w:rPr>
        <w:t>'''''</w:t>
      </w:r>
      <w:r>
        <w:t>% lower than the price requested in the previous submission (see Table 1);</w:t>
      </w:r>
    </w:p>
    <w:p w:rsidR="00261A55" w:rsidRDefault="002B6519">
      <w:pPr>
        <w:pStyle w:val="3Bodytext"/>
        <w:numPr>
          <w:ilvl w:val="2"/>
          <w:numId w:val="14"/>
        </w:numPr>
        <w:ind w:left="1134" w:hanging="425"/>
      </w:pPr>
      <w:r>
        <w:t>updates to the public and private Efficient Funding of Chemotherapy dispensing fees; and</w:t>
      </w:r>
    </w:p>
    <w:p w:rsidR="00261A55" w:rsidRDefault="002B6519">
      <w:pPr>
        <w:pStyle w:val="3Bodytext"/>
        <w:numPr>
          <w:ilvl w:val="2"/>
          <w:numId w:val="14"/>
        </w:numPr>
        <w:ind w:left="1134" w:hanging="425"/>
      </w:pPr>
      <w:r>
        <w:t>equal rates of post-progression hospitalisation in the two treatment arms, of 3.1% (p8 of the minor resubmission).</w:t>
      </w:r>
    </w:p>
    <w:p w:rsidR="00261A55" w:rsidRDefault="002B6519">
      <w:pPr>
        <w:pStyle w:val="3Bodytext"/>
      </w:pPr>
      <w:r>
        <w:t xml:space="preserve">The minor resubmission  requested that the PBAC reconsider the post-progression hospitalisation rate in cancer patients to be greater than zero on the basis of the follow-up period hospitalisation rates from the key clinical trial, RAINBOW, as well as other publications citing hospitalisation rates and costs in cancer patients. </w:t>
      </w:r>
    </w:p>
    <w:p w:rsidR="00261A55" w:rsidRDefault="002B6519">
      <w:pPr>
        <w:pStyle w:val="3Bodytext"/>
      </w:pPr>
      <w:r>
        <w:t>Similar to the PBAC’s consideration in March 2018, the PBAC noted that these hospitalisation rates, despite being the same, were applied on a per cycle basis, and because the time spent in the post-progression state was longer with PAC than RAM+PAC, the post-progression hospitalisation costs in the economic model in the minor resubmission remained a key driver of cost offsets. If hospitalisation costs in the post-progression health state were equal in the two treatment arms, the ICER would increase to $105,000/QALY - $200,000/QALY gained (compared with the submission base case of $45,000/QALY - $75,000/QALY  gained). Table 2 presents the hospitalisation rates applied to the two treatment arms in the post-progression health state in the economic model, and the resulting post-progression hospitalisation costs and ICER per QALY gained.</w:t>
      </w:r>
    </w:p>
    <w:p w:rsidR="00261A55" w:rsidRDefault="00261A55">
      <w:pPr>
        <w:pStyle w:val="3Bodytext"/>
        <w:numPr>
          <w:ilvl w:val="0"/>
          <w:numId w:val="0"/>
        </w:numPr>
        <w:spacing w:after="0"/>
        <w:rPr>
          <w:rFonts w:ascii="Arial Narrow" w:hAnsi="Arial Narrow"/>
          <w:sz w:val="20"/>
          <w:szCs w:val="20"/>
        </w:rPr>
      </w:pPr>
    </w:p>
    <w:p w:rsidR="00BD417A" w:rsidRDefault="00BD417A">
      <w:pPr>
        <w:rPr>
          <w:rFonts w:ascii="Arial Narrow" w:hAnsi="Arial Narrow" w:cs="Arial"/>
          <w:b/>
          <w:bCs/>
          <w:color w:val="000000" w:themeColor="text1"/>
          <w:sz w:val="20"/>
          <w:szCs w:val="18"/>
          <w:lang w:eastAsia="en-US"/>
        </w:rPr>
      </w:pPr>
      <w:r>
        <w:br w:type="page"/>
      </w:r>
    </w:p>
    <w:p w:rsidR="00BD417A" w:rsidRDefault="00BD417A" w:rsidP="00BD417A">
      <w:pPr>
        <w:pStyle w:val="Caption"/>
        <w:keepNext/>
      </w:pPr>
      <w:r>
        <w:lastRenderedPageBreak/>
        <w:t xml:space="preserve">Table </w:t>
      </w:r>
      <w:fldSimple w:instr=" SEQ Table \* ARABIC ">
        <w:r w:rsidR="00742A2A">
          <w:rPr>
            <w:noProof/>
          </w:rPr>
          <w:t>2</w:t>
        </w:r>
      </w:fldSimple>
      <w:r w:rsidRPr="004755F0">
        <w:t>: Hospitalisation rates and costs in the post-progression health state and the results of the economic model by requested AEMP</w:t>
      </w:r>
    </w:p>
    <w:tbl>
      <w:tblPr>
        <w:tblW w:w="5000" w:type="pct"/>
        <w:tblLayout w:type="fixed"/>
        <w:tblLook w:val="04A0" w:firstRow="1" w:lastRow="0" w:firstColumn="1" w:lastColumn="0" w:noHBand="0" w:noVBand="1"/>
        <w:tblCaption w:val="Table 2: Hospitalisation rates and costs in the post-progression health state and the results of the economic model by requested AEMP"/>
      </w:tblPr>
      <w:tblGrid>
        <w:gridCol w:w="2689"/>
        <w:gridCol w:w="1134"/>
        <w:gridCol w:w="851"/>
        <w:gridCol w:w="1417"/>
        <w:gridCol w:w="849"/>
        <w:gridCol w:w="994"/>
        <w:gridCol w:w="1082"/>
      </w:tblGrid>
      <w:tr w:rsidR="00261A55">
        <w:trPr>
          <w:trHeight w:val="630"/>
        </w:trPr>
        <w:tc>
          <w:tcPr>
            <w:tcW w:w="149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1A55" w:rsidRDefault="002B6519">
            <w:pPr>
              <w:keepNext/>
              <w:jc w:val="center"/>
              <w:rPr>
                <w:rFonts w:ascii="Arial Narrow" w:hAnsi="Arial Narrow" w:cs="Calibri"/>
                <w:b/>
                <w:color w:val="000000"/>
                <w:sz w:val="20"/>
                <w:szCs w:val="20"/>
              </w:rPr>
            </w:pPr>
            <w:r>
              <w:rPr>
                <w:rFonts w:ascii="Arial Narrow" w:hAnsi="Arial Narrow" w:cs="Calibri"/>
                <w:color w:val="000000"/>
                <w:sz w:val="20"/>
                <w:szCs w:val="20"/>
              </w:rPr>
              <w:t> </w:t>
            </w:r>
            <w:r>
              <w:rPr>
                <w:rFonts w:ascii="Arial Narrow" w:hAnsi="Arial Narrow" w:cs="Calibri"/>
                <w:b/>
                <w:color w:val="000000"/>
                <w:sz w:val="20"/>
                <w:szCs w:val="20"/>
              </w:rPr>
              <w:t>Scenario</w:t>
            </w:r>
          </w:p>
        </w:tc>
        <w:tc>
          <w:tcPr>
            <w:tcW w:w="1101" w:type="pct"/>
            <w:gridSpan w:val="2"/>
            <w:tcBorders>
              <w:top w:val="single" w:sz="4" w:space="0" w:color="auto"/>
              <w:left w:val="nil"/>
              <w:bottom w:val="single" w:sz="4" w:space="0" w:color="auto"/>
              <w:right w:val="single" w:sz="4" w:space="0" w:color="auto"/>
            </w:tcBorders>
            <w:shd w:val="clear" w:color="auto" w:fill="auto"/>
            <w:vAlign w:val="center"/>
            <w:hideMark/>
          </w:tcPr>
          <w:p w:rsidR="00261A55" w:rsidRDefault="002B6519">
            <w:pPr>
              <w:keepNext/>
              <w:jc w:val="center"/>
              <w:rPr>
                <w:rFonts w:ascii="Arial Narrow" w:hAnsi="Arial Narrow" w:cs="Calibri"/>
                <w:b/>
                <w:bCs/>
                <w:color w:val="000000"/>
                <w:sz w:val="20"/>
                <w:szCs w:val="20"/>
              </w:rPr>
            </w:pPr>
            <w:r>
              <w:rPr>
                <w:rFonts w:ascii="Arial Narrow" w:hAnsi="Arial Narrow" w:cs="Calibri"/>
                <w:b/>
                <w:bCs/>
                <w:color w:val="000000"/>
                <w:sz w:val="20"/>
                <w:szCs w:val="20"/>
              </w:rPr>
              <w:t>Probability of hospitalisation post-progression</w:t>
            </w:r>
          </w:p>
        </w:tc>
        <w:tc>
          <w:tcPr>
            <w:tcW w:w="786" w:type="pct"/>
            <w:vMerge w:val="restart"/>
            <w:tcBorders>
              <w:top w:val="single" w:sz="4" w:space="0" w:color="auto"/>
              <w:left w:val="nil"/>
              <w:right w:val="single" w:sz="4" w:space="0" w:color="auto"/>
            </w:tcBorders>
            <w:shd w:val="clear" w:color="auto" w:fill="auto"/>
            <w:vAlign w:val="center"/>
            <w:hideMark/>
          </w:tcPr>
          <w:p w:rsidR="00261A55" w:rsidRDefault="002B6519">
            <w:pPr>
              <w:keepNext/>
              <w:jc w:val="center"/>
              <w:rPr>
                <w:rFonts w:ascii="Arial Narrow" w:hAnsi="Arial Narrow" w:cs="Calibri"/>
                <w:b/>
                <w:bCs/>
                <w:color w:val="000000"/>
                <w:sz w:val="20"/>
                <w:szCs w:val="20"/>
              </w:rPr>
            </w:pPr>
            <w:r>
              <w:rPr>
                <w:rFonts w:ascii="Arial Narrow" w:hAnsi="Arial Narrow" w:cs="Calibri"/>
                <w:b/>
                <w:bCs/>
                <w:color w:val="000000"/>
                <w:sz w:val="20"/>
                <w:szCs w:val="20"/>
              </w:rPr>
              <w:t>Incremental post-progression hospitalisation costs</w:t>
            </w:r>
          </w:p>
        </w:tc>
        <w:tc>
          <w:tcPr>
            <w:tcW w:w="1022" w:type="pct"/>
            <w:gridSpan w:val="2"/>
            <w:tcBorders>
              <w:top w:val="single" w:sz="4" w:space="0" w:color="auto"/>
              <w:left w:val="nil"/>
              <w:bottom w:val="single" w:sz="4" w:space="0" w:color="auto"/>
              <w:right w:val="single" w:sz="4" w:space="0" w:color="auto"/>
            </w:tcBorders>
            <w:vAlign w:val="center"/>
          </w:tcPr>
          <w:p w:rsidR="00261A55" w:rsidRDefault="002B6519">
            <w:pPr>
              <w:keepNext/>
              <w:jc w:val="center"/>
              <w:rPr>
                <w:rFonts w:ascii="Arial Narrow" w:hAnsi="Arial Narrow" w:cs="Calibri"/>
                <w:b/>
                <w:bCs/>
                <w:color w:val="000000"/>
                <w:sz w:val="20"/>
                <w:szCs w:val="20"/>
              </w:rPr>
            </w:pPr>
            <w:r>
              <w:rPr>
                <w:rFonts w:ascii="Arial Narrow" w:hAnsi="Arial Narrow" w:cs="Calibri"/>
                <w:b/>
                <w:bCs/>
                <w:color w:val="000000"/>
                <w:sz w:val="20"/>
                <w:szCs w:val="20"/>
              </w:rPr>
              <w:t>Requested AEMP</w:t>
            </w:r>
          </w:p>
        </w:tc>
        <w:tc>
          <w:tcPr>
            <w:tcW w:w="600" w:type="pct"/>
            <w:vMerge w:val="restart"/>
            <w:tcBorders>
              <w:top w:val="single" w:sz="4" w:space="0" w:color="auto"/>
              <w:left w:val="single" w:sz="4" w:space="0" w:color="auto"/>
              <w:right w:val="single" w:sz="4" w:space="0" w:color="auto"/>
            </w:tcBorders>
            <w:vAlign w:val="center"/>
          </w:tcPr>
          <w:p w:rsidR="00261A55" w:rsidRDefault="002B6519">
            <w:pPr>
              <w:keepNext/>
              <w:jc w:val="center"/>
              <w:rPr>
                <w:rFonts w:ascii="Arial Narrow" w:hAnsi="Arial Narrow" w:cs="Calibri"/>
                <w:b/>
                <w:bCs/>
                <w:color w:val="000000"/>
                <w:sz w:val="20"/>
                <w:szCs w:val="20"/>
              </w:rPr>
            </w:pPr>
            <w:r>
              <w:rPr>
                <w:rFonts w:ascii="Arial Narrow" w:hAnsi="Arial Narrow" w:cs="Calibri"/>
                <w:b/>
                <w:bCs/>
                <w:color w:val="000000"/>
                <w:sz w:val="20"/>
                <w:szCs w:val="20"/>
              </w:rPr>
              <w:t>ICER ($/QALY)</w:t>
            </w:r>
          </w:p>
        </w:tc>
      </w:tr>
      <w:tr w:rsidR="00261A55">
        <w:trPr>
          <w:trHeight w:val="300"/>
        </w:trPr>
        <w:tc>
          <w:tcPr>
            <w:tcW w:w="1491" w:type="pct"/>
            <w:vMerge/>
            <w:tcBorders>
              <w:top w:val="single" w:sz="4" w:space="0" w:color="auto"/>
              <w:left w:val="single" w:sz="4" w:space="0" w:color="auto"/>
              <w:bottom w:val="single" w:sz="4" w:space="0" w:color="000000"/>
              <w:right w:val="single" w:sz="4" w:space="0" w:color="auto"/>
            </w:tcBorders>
            <w:vAlign w:val="center"/>
            <w:hideMark/>
          </w:tcPr>
          <w:p w:rsidR="00261A55" w:rsidRDefault="00261A55">
            <w:pPr>
              <w:keepNext/>
              <w:rPr>
                <w:rFonts w:ascii="Arial Narrow" w:hAnsi="Arial Narrow" w:cs="Calibri"/>
                <w:color w:val="000000"/>
                <w:sz w:val="20"/>
                <w:szCs w:val="20"/>
              </w:rPr>
            </w:pPr>
          </w:p>
        </w:tc>
        <w:tc>
          <w:tcPr>
            <w:tcW w:w="629" w:type="pct"/>
            <w:tcBorders>
              <w:top w:val="nil"/>
              <w:left w:val="nil"/>
              <w:bottom w:val="single" w:sz="4" w:space="0" w:color="auto"/>
              <w:right w:val="single" w:sz="4" w:space="0" w:color="auto"/>
            </w:tcBorders>
            <w:shd w:val="clear" w:color="auto" w:fill="auto"/>
            <w:noWrap/>
            <w:vAlign w:val="center"/>
            <w:hideMark/>
          </w:tcPr>
          <w:p w:rsidR="00261A55" w:rsidRDefault="002B6519">
            <w:pPr>
              <w:keepNext/>
              <w:jc w:val="center"/>
              <w:rPr>
                <w:rFonts w:ascii="Arial Narrow" w:hAnsi="Arial Narrow" w:cs="Calibri"/>
                <w:b/>
                <w:bCs/>
                <w:color w:val="000000"/>
                <w:sz w:val="20"/>
                <w:szCs w:val="20"/>
              </w:rPr>
            </w:pPr>
            <w:r>
              <w:rPr>
                <w:rFonts w:ascii="Arial Narrow" w:hAnsi="Arial Narrow" w:cs="Calibri"/>
                <w:b/>
                <w:bCs/>
                <w:color w:val="000000"/>
                <w:sz w:val="20"/>
                <w:szCs w:val="20"/>
              </w:rPr>
              <w:t>RAM+ PAC</w:t>
            </w:r>
          </w:p>
        </w:tc>
        <w:tc>
          <w:tcPr>
            <w:tcW w:w="472" w:type="pct"/>
            <w:tcBorders>
              <w:top w:val="nil"/>
              <w:left w:val="nil"/>
              <w:bottom w:val="single" w:sz="4" w:space="0" w:color="auto"/>
              <w:right w:val="single" w:sz="4" w:space="0" w:color="auto"/>
            </w:tcBorders>
            <w:shd w:val="clear" w:color="auto" w:fill="auto"/>
            <w:noWrap/>
            <w:vAlign w:val="center"/>
            <w:hideMark/>
          </w:tcPr>
          <w:p w:rsidR="00261A55" w:rsidRDefault="002B6519">
            <w:pPr>
              <w:keepNext/>
              <w:jc w:val="center"/>
              <w:rPr>
                <w:rFonts w:ascii="Arial Narrow" w:hAnsi="Arial Narrow" w:cs="Calibri"/>
                <w:b/>
                <w:bCs/>
                <w:color w:val="000000"/>
                <w:sz w:val="20"/>
                <w:szCs w:val="20"/>
              </w:rPr>
            </w:pPr>
            <w:r>
              <w:rPr>
                <w:rFonts w:ascii="Arial Narrow" w:hAnsi="Arial Narrow" w:cs="Calibri"/>
                <w:b/>
                <w:bCs/>
                <w:color w:val="000000"/>
                <w:sz w:val="20"/>
                <w:szCs w:val="20"/>
              </w:rPr>
              <w:t>PAC</w:t>
            </w:r>
          </w:p>
        </w:tc>
        <w:tc>
          <w:tcPr>
            <w:tcW w:w="786" w:type="pct"/>
            <w:vMerge/>
            <w:tcBorders>
              <w:left w:val="nil"/>
              <w:bottom w:val="single" w:sz="4" w:space="0" w:color="auto"/>
              <w:right w:val="single" w:sz="4" w:space="0" w:color="auto"/>
            </w:tcBorders>
            <w:shd w:val="clear" w:color="auto" w:fill="auto"/>
            <w:noWrap/>
            <w:vAlign w:val="center"/>
          </w:tcPr>
          <w:p w:rsidR="00261A55" w:rsidRDefault="00261A55">
            <w:pPr>
              <w:keepNext/>
              <w:jc w:val="center"/>
              <w:rPr>
                <w:rFonts w:ascii="Arial Narrow" w:hAnsi="Arial Narrow" w:cs="Calibri"/>
                <w:b/>
                <w:bCs/>
                <w:color w:val="000000"/>
                <w:sz w:val="20"/>
                <w:szCs w:val="20"/>
              </w:rPr>
            </w:pPr>
          </w:p>
        </w:tc>
        <w:tc>
          <w:tcPr>
            <w:tcW w:w="471" w:type="pct"/>
            <w:tcBorders>
              <w:top w:val="single" w:sz="4" w:space="0" w:color="auto"/>
              <w:left w:val="nil"/>
              <w:bottom w:val="single" w:sz="4" w:space="0" w:color="auto"/>
              <w:right w:val="single" w:sz="4" w:space="0" w:color="auto"/>
            </w:tcBorders>
          </w:tcPr>
          <w:p w:rsidR="00261A55" w:rsidRDefault="002B6519">
            <w:pPr>
              <w:keepNext/>
              <w:jc w:val="center"/>
              <w:rPr>
                <w:rFonts w:ascii="Arial Narrow" w:hAnsi="Arial Narrow" w:cs="Calibri"/>
                <w:b/>
                <w:bCs/>
                <w:color w:val="000000"/>
                <w:sz w:val="20"/>
                <w:szCs w:val="20"/>
              </w:rPr>
            </w:pPr>
            <w:r>
              <w:rPr>
                <w:rFonts w:ascii="Arial Narrow" w:hAnsi="Arial Narrow" w:cs="Calibri"/>
                <w:b/>
                <w:bCs/>
                <w:color w:val="000000"/>
                <w:sz w:val="20"/>
                <w:szCs w:val="20"/>
              </w:rPr>
              <w:t>100 mg/ 10 mL</w:t>
            </w:r>
          </w:p>
        </w:tc>
        <w:tc>
          <w:tcPr>
            <w:tcW w:w="551" w:type="pct"/>
            <w:tcBorders>
              <w:top w:val="single" w:sz="4" w:space="0" w:color="auto"/>
              <w:left w:val="single" w:sz="4" w:space="0" w:color="auto"/>
              <w:bottom w:val="single" w:sz="4" w:space="0" w:color="auto"/>
              <w:right w:val="single" w:sz="4" w:space="0" w:color="auto"/>
            </w:tcBorders>
            <w:vAlign w:val="center"/>
          </w:tcPr>
          <w:p w:rsidR="00261A55" w:rsidRDefault="002B6519">
            <w:pPr>
              <w:keepNext/>
              <w:jc w:val="center"/>
              <w:rPr>
                <w:rFonts w:ascii="Arial Narrow" w:hAnsi="Arial Narrow" w:cs="Calibri"/>
                <w:b/>
                <w:bCs/>
                <w:color w:val="000000"/>
                <w:sz w:val="20"/>
                <w:szCs w:val="20"/>
              </w:rPr>
            </w:pPr>
            <w:r>
              <w:rPr>
                <w:rFonts w:ascii="Arial Narrow" w:hAnsi="Arial Narrow" w:cs="Calibri"/>
                <w:b/>
                <w:bCs/>
                <w:color w:val="000000"/>
                <w:sz w:val="20"/>
                <w:szCs w:val="20"/>
              </w:rPr>
              <w:t>500 mg/ 50 mL</w:t>
            </w:r>
          </w:p>
        </w:tc>
        <w:tc>
          <w:tcPr>
            <w:tcW w:w="600" w:type="pct"/>
            <w:vMerge/>
            <w:tcBorders>
              <w:left w:val="single" w:sz="4" w:space="0" w:color="auto"/>
              <w:bottom w:val="single" w:sz="4" w:space="0" w:color="auto"/>
              <w:right w:val="single" w:sz="4" w:space="0" w:color="auto"/>
            </w:tcBorders>
          </w:tcPr>
          <w:p w:rsidR="00261A55" w:rsidRDefault="00261A55">
            <w:pPr>
              <w:keepNext/>
              <w:jc w:val="center"/>
              <w:rPr>
                <w:rFonts w:ascii="Arial Narrow" w:hAnsi="Arial Narrow" w:cs="Calibri"/>
                <w:b/>
                <w:bCs/>
                <w:color w:val="000000"/>
                <w:sz w:val="20"/>
                <w:szCs w:val="20"/>
              </w:rPr>
            </w:pPr>
          </w:p>
        </w:tc>
      </w:tr>
      <w:tr w:rsidR="00261A55">
        <w:trPr>
          <w:trHeight w:val="459"/>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261A55" w:rsidRDefault="002B6519">
            <w:pPr>
              <w:keepNext/>
              <w:rPr>
                <w:rFonts w:ascii="Arial Narrow" w:hAnsi="Arial Narrow" w:cs="Calibri"/>
                <w:b/>
                <w:color w:val="000000"/>
                <w:sz w:val="20"/>
                <w:szCs w:val="20"/>
              </w:rPr>
            </w:pPr>
            <w:r>
              <w:rPr>
                <w:rFonts w:ascii="Arial Narrow" w:hAnsi="Arial Narrow" w:cs="Calibri"/>
                <w:b/>
                <w:color w:val="000000"/>
                <w:sz w:val="20"/>
                <w:szCs w:val="20"/>
              </w:rPr>
              <w:t>March 2018 major submission base case</w:t>
            </w:r>
          </w:p>
        </w:tc>
        <w:tc>
          <w:tcPr>
            <w:tcW w:w="629" w:type="pct"/>
            <w:tcBorders>
              <w:top w:val="nil"/>
              <w:left w:val="nil"/>
              <w:bottom w:val="single" w:sz="4" w:space="0" w:color="auto"/>
              <w:right w:val="single" w:sz="4" w:space="0" w:color="auto"/>
            </w:tcBorders>
            <w:shd w:val="clear" w:color="auto" w:fill="auto"/>
            <w:noWrap/>
            <w:vAlign w:val="center"/>
            <w:hideMark/>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3.1%</w:t>
            </w:r>
          </w:p>
        </w:tc>
        <w:tc>
          <w:tcPr>
            <w:tcW w:w="472" w:type="pct"/>
            <w:tcBorders>
              <w:top w:val="nil"/>
              <w:left w:val="nil"/>
              <w:bottom w:val="single" w:sz="4" w:space="0" w:color="auto"/>
              <w:right w:val="single" w:sz="4" w:space="0" w:color="auto"/>
            </w:tcBorders>
            <w:shd w:val="clear" w:color="auto" w:fill="auto"/>
            <w:noWrap/>
            <w:vAlign w:val="center"/>
            <w:hideMark/>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4.7%</w:t>
            </w:r>
          </w:p>
        </w:tc>
        <w:tc>
          <w:tcPr>
            <w:tcW w:w="786" w:type="pct"/>
            <w:tcBorders>
              <w:top w:val="nil"/>
              <w:left w:val="nil"/>
              <w:bottom w:val="single" w:sz="4" w:space="0" w:color="auto"/>
              <w:right w:val="single" w:sz="4" w:space="0" w:color="auto"/>
            </w:tcBorders>
            <w:shd w:val="clear" w:color="auto" w:fill="auto"/>
            <w:vAlign w:val="center"/>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w:t>
            </w:r>
            <w:r w:rsidR="000C0C26">
              <w:rPr>
                <w:rFonts w:ascii="Arial Narrow" w:hAnsi="Arial Narrow" w:cs="Calibri"/>
                <w:noProof/>
                <w:color w:val="000000"/>
                <w:sz w:val="20"/>
                <w:szCs w:val="20"/>
                <w:highlight w:val="black"/>
              </w:rPr>
              <w:t>'''''''''''''''</w:t>
            </w:r>
          </w:p>
        </w:tc>
        <w:tc>
          <w:tcPr>
            <w:tcW w:w="471" w:type="pct"/>
            <w:vMerge w:val="restart"/>
            <w:tcBorders>
              <w:top w:val="single" w:sz="4" w:space="0" w:color="auto"/>
              <w:left w:val="nil"/>
              <w:right w:val="single" w:sz="4" w:space="0" w:color="auto"/>
            </w:tcBorders>
            <w:vAlign w:val="center"/>
          </w:tcPr>
          <w:p w:rsidR="00261A55" w:rsidRDefault="002B6519">
            <w:pPr>
              <w:keepNext/>
              <w:jc w:val="center"/>
              <w:rPr>
                <w:rFonts w:ascii="Arial Narrow" w:hAnsi="Arial Narrow" w:cs="Calibri"/>
                <w:i/>
                <w:color w:val="000000"/>
                <w:sz w:val="20"/>
                <w:szCs w:val="20"/>
              </w:rPr>
            </w:pPr>
            <w:r>
              <w:rPr>
                <w:rFonts w:ascii="Arial Narrow" w:hAnsi="Arial Narrow"/>
                <w:sz w:val="20"/>
                <w:szCs w:val="20"/>
              </w:rPr>
              <w:t>$</w:t>
            </w:r>
            <w:r w:rsidR="000C0C26">
              <w:rPr>
                <w:rFonts w:ascii="Arial Narrow" w:hAnsi="Arial Narrow"/>
                <w:noProof/>
                <w:color w:val="000000"/>
                <w:sz w:val="20"/>
                <w:szCs w:val="20"/>
                <w:highlight w:val="black"/>
              </w:rPr>
              <w:t>'''''''''''''''''</w:t>
            </w:r>
          </w:p>
        </w:tc>
        <w:tc>
          <w:tcPr>
            <w:tcW w:w="551" w:type="pct"/>
            <w:vMerge w:val="restart"/>
            <w:tcBorders>
              <w:top w:val="single" w:sz="4" w:space="0" w:color="auto"/>
              <w:left w:val="single" w:sz="4" w:space="0" w:color="auto"/>
              <w:right w:val="single" w:sz="4" w:space="0" w:color="auto"/>
            </w:tcBorders>
            <w:vAlign w:val="center"/>
          </w:tcPr>
          <w:p w:rsidR="00261A55" w:rsidRDefault="002B6519">
            <w:pPr>
              <w:keepNext/>
              <w:jc w:val="center"/>
              <w:rPr>
                <w:rFonts w:ascii="Arial Narrow" w:hAnsi="Arial Narrow" w:cs="Calibri"/>
                <w:i/>
                <w:color w:val="000000"/>
                <w:sz w:val="20"/>
                <w:szCs w:val="20"/>
              </w:rPr>
            </w:pPr>
            <w:r>
              <w:rPr>
                <w:rFonts w:ascii="Arial Narrow" w:hAnsi="Arial Narrow"/>
                <w:sz w:val="20"/>
                <w:szCs w:val="20"/>
              </w:rPr>
              <w:t>$</w:t>
            </w:r>
            <w:r w:rsidR="000C0C26">
              <w:rPr>
                <w:rFonts w:ascii="Arial Narrow" w:hAnsi="Arial Narrow"/>
                <w:noProof/>
                <w:color w:val="000000"/>
                <w:sz w:val="20"/>
                <w:szCs w:val="20"/>
                <w:highlight w:val="black"/>
              </w:rPr>
              <w:t>'''''''''''''''''''''</w:t>
            </w:r>
          </w:p>
        </w:tc>
        <w:tc>
          <w:tcPr>
            <w:tcW w:w="600" w:type="pct"/>
            <w:tcBorders>
              <w:top w:val="single" w:sz="4" w:space="0" w:color="auto"/>
              <w:left w:val="single" w:sz="4" w:space="0" w:color="auto"/>
              <w:bottom w:val="single" w:sz="4" w:space="0" w:color="auto"/>
              <w:right w:val="single" w:sz="4" w:space="0" w:color="auto"/>
            </w:tcBorders>
            <w:vAlign w:val="center"/>
          </w:tcPr>
          <w:p w:rsidR="00261A55" w:rsidRDefault="002B6519">
            <w:pPr>
              <w:keepNext/>
              <w:jc w:val="center"/>
              <w:rPr>
                <w:rFonts w:ascii="Arial Narrow" w:hAnsi="Arial Narrow" w:cs="Calibri"/>
                <w:i/>
                <w:color w:val="000000"/>
                <w:sz w:val="20"/>
                <w:szCs w:val="20"/>
              </w:rPr>
            </w:pPr>
            <w:r>
              <w:rPr>
                <w:rFonts w:ascii="Arial Narrow" w:hAnsi="Arial Narrow" w:cs="Calibri"/>
                <w:color w:val="000000"/>
                <w:sz w:val="20"/>
                <w:szCs w:val="20"/>
              </w:rPr>
              <w:t>$</w:t>
            </w:r>
            <w:r w:rsidR="000C0C26">
              <w:rPr>
                <w:rFonts w:ascii="Arial Narrow" w:hAnsi="Arial Narrow" w:cs="Calibri"/>
                <w:noProof/>
                <w:color w:val="000000"/>
                <w:sz w:val="20"/>
                <w:szCs w:val="20"/>
                <w:highlight w:val="black"/>
              </w:rPr>
              <w:t>''''''''''''''''''''</w:t>
            </w:r>
          </w:p>
        </w:tc>
      </w:tr>
      <w:tr w:rsidR="00261A55">
        <w:trPr>
          <w:trHeight w:val="459"/>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261A55" w:rsidRDefault="002B6519">
            <w:pPr>
              <w:keepNext/>
              <w:ind w:left="166"/>
              <w:rPr>
                <w:rFonts w:ascii="Arial Narrow" w:hAnsi="Arial Narrow" w:cs="Calibri"/>
                <w:color w:val="000000"/>
                <w:sz w:val="20"/>
                <w:szCs w:val="20"/>
              </w:rPr>
            </w:pPr>
            <w:r>
              <w:rPr>
                <w:rFonts w:ascii="Arial Narrow" w:hAnsi="Arial Narrow" w:cs="Calibri"/>
                <w:color w:val="000000"/>
                <w:sz w:val="20"/>
                <w:szCs w:val="20"/>
              </w:rPr>
              <w:t>Pre-PBAC response revised base case</w:t>
            </w:r>
          </w:p>
        </w:tc>
        <w:tc>
          <w:tcPr>
            <w:tcW w:w="629" w:type="pct"/>
            <w:tcBorders>
              <w:top w:val="nil"/>
              <w:left w:val="nil"/>
              <w:bottom w:val="single" w:sz="4" w:space="0" w:color="auto"/>
              <w:right w:val="single" w:sz="4" w:space="0" w:color="auto"/>
            </w:tcBorders>
            <w:shd w:val="clear" w:color="auto" w:fill="auto"/>
            <w:noWrap/>
            <w:vAlign w:val="center"/>
            <w:hideMark/>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4.7%</w:t>
            </w:r>
          </w:p>
        </w:tc>
        <w:tc>
          <w:tcPr>
            <w:tcW w:w="472" w:type="pct"/>
            <w:tcBorders>
              <w:top w:val="nil"/>
              <w:left w:val="nil"/>
              <w:bottom w:val="single" w:sz="4" w:space="0" w:color="auto"/>
              <w:right w:val="single" w:sz="4" w:space="0" w:color="auto"/>
            </w:tcBorders>
            <w:shd w:val="clear" w:color="auto" w:fill="auto"/>
            <w:noWrap/>
            <w:vAlign w:val="center"/>
            <w:hideMark/>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4.7%</w:t>
            </w:r>
          </w:p>
        </w:tc>
        <w:tc>
          <w:tcPr>
            <w:tcW w:w="786" w:type="pct"/>
            <w:tcBorders>
              <w:top w:val="nil"/>
              <w:left w:val="nil"/>
              <w:bottom w:val="single" w:sz="4" w:space="0" w:color="auto"/>
              <w:right w:val="single" w:sz="4" w:space="0" w:color="auto"/>
            </w:tcBorders>
            <w:shd w:val="clear" w:color="auto" w:fill="auto"/>
            <w:vAlign w:val="center"/>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w:t>
            </w:r>
            <w:r w:rsidR="000C0C26">
              <w:rPr>
                <w:rFonts w:ascii="Arial Narrow" w:hAnsi="Arial Narrow" w:cs="Calibri"/>
                <w:noProof/>
                <w:color w:val="000000"/>
                <w:sz w:val="20"/>
                <w:szCs w:val="20"/>
                <w:highlight w:val="black"/>
              </w:rPr>
              <w:t>''''''''''''''''</w:t>
            </w:r>
          </w:p>
        </w:tc>
        <w:tc>
          <w:tcPr>
            <w:tcW w:w="471" w:type="pct"/>
            <w:vMerge/>
            <w:tcBorders>
              <w:left w:val="nil"/>
              <w:right w:val="single" w:sz="4" w:space="0" w:color="auto"/>
            </w:tcBorders>
            <w:vAlign w:val="center"/>
          </w:tcPr>
          <w:p w:rsidR="00261A55" w:rsidRDefault="00261A55">
            <w:pPr>
              <w:keepNext/>
              <w:jc w:val="center"/>
              <w:rPr>
                <w:rFonts w:ascii="Arial Narrow" w:hAnsi="Arial Narrow" w:cs="Calibri"/>
                <w:i/>
                <w:color w:val="000000"/>
                <w:sz w:val="20"/>
                <w:szCs w:val="20"/>
              </w:rPr>
            </w:pPr>
          </w:p>
        </w:tc>
        <w:tc>
          <w:tcPr>
            <w:tcW w:w="551" w:type="pct"/>
            <w:vMerge/>
            <w:tcBorders>
              <w:left w:val="single" w:sz="4" w:space="0" w:color="auto"/>
              <w:right w:val="single" w:sz="4" w:space="0" w:color="auto"/>
            </w:tcBorders>
            <w:vAlign w:val="center"/>
          </w:tcPr>
          <w:p w:rsidR="00261A55" w:rsidRDefault="00261A55">
            <w:pPr>
              <w:keepNext/>
              <w:jc w:val="center"/>
              <w:rPr>
                <w:rFonts w:ascii="Arial Narrow" w:hAnsi="Arial Narrow" w:cs="Calibri"/>
                <w:i/>
                <w:color w:val="000000"/>
                <w:sz w:val="20"/>
                <w:szCs w:val="20"/>
              </w:rPr>
            </w:pPr>
          </w:p>
        </w:tc>
        <w:tc>
          <w:tcPr>
            <w:tcW w:w="600" w:type="pct"/>
            <w:tcBorders>
              <w:top w:val="single" w:sz="4" w:space="0" w:color="auto"/>
              <w:left w:val="single" w:sz="4" w:space="0" w:color="auto"/>
              <w:bottom w:val="single" w:sz="4" w:space="0" w:color="auto"/>
              <w:right w:val="single" w:sz="4" w:space="0" w:color="auto"/>
            </w:tcBorders>
            <w:vAlign w:val="center"/>
          </w:tcPr>
          <w:p w:rsidR="00261A55" w:rsidRDefault="002B6519">
            <w:pPr>
              <w:keepNext/>
              <w:jc w:val="center"/>
              <w:rPr>
                <w:rFonts w:ascii="Arial Narrow" w:hAnsi="Arial Narrow" w:cs="Calibri"/>
                <w:i/>
                <w:color w:val="000000"/>
                <w:sz w:val="20"/>
                <w:szCs w:val="20"/>
              </w:rPr>
            </w:pPr>
            <w:r>
              <w:rPr>
                <w:rFonts w:ascii="Arial Narrow" w:hAnsi="Arial Narrow" w:cs="Calibri"/>
                <w:color w:val="000000"/>
                <w:sz w:val="20"/>
                <w:szCs w:val="20"/>
              </w:rPr>
              <w:t>$</w:t>
            </w:r>
            <w:r w:rsidR="000C0C26">
              <w:rPr>
                <w:rFonts w:ascii="Arial Narrow" w:hAnsi="Arial Narrow" w:cs="Calibri"/>
                <w:noProof/>
                <w:color w:val="000000"/>
                <w:sz w:val="20"/>
                <w:szCs w:val="20"/>
                <w:highlight w:val="black"/>
              </w:rPr>
              <w:t>''''''''''''''''''''</w:t>
            </w:r>
          </w:p>
        </w:tc>
      </w:tr>
      <w:tr w:rsidR="00261A55">
        <w:trPr>
          <w:trHeight w:val="459"/>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261A55" w:rsidRDefault="002B6519">
            <w:pPr>
              <w:keepNext/>
              <w:ind w:left="166"/>
              <w:rPr>
                <w:rFonts w:ascii="Arial Narrow" w:hAnsi="Arial Narrow" w:cs="Calibri"/>
                <w:color w:val="000000"/>
                <w:sz w:val="20"/>
                <w:szCs w:val="20"/>
              </w:rPr>
            </w:pPr>
            <w:r>
              <w:rPr>
                <w:rFonts w:ascii="Arial Narrow" w:hAnsi="Arial Narrow" w:cs="Calibri"/>
                <w:color w:val="000000"/>
                <w:sz w:val="20"/>
                <w:szCs w:val="20"/>
              </w:rPr>
              <w:t>PBAC revised base case^</w:t>
            </w:r>
          </w:p>
        </w:tc>
        <w:tc>
          <w:tcPr>
            <w:tcW w:w="629" w:type="pct"/>
            <w:tcBorders>
              <w:top w:val="nil"/>
              <w:left w:val="nil"/>
              <w:bottom w:val="single" w:sz="4" w:space="0" w:color="auto"/>
              <w:right w:val="single" w:sz="4" w:space="0" w:color="auto"/>
            </w:tcBorders>
            <w:shd w:val="clear" w:color="auto" w:fill="auto"/>
            <w:noWrap/>
            <w:vAlign w:val="center"/>
            <w:hideMark/>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0.0%</w:t>
            </w:r>
          </w:p>
        </w:tc>
        <w:tc>
          <w:tcPr>
            <w:tcW w:w="472" w:type="pct"/>
            <w:tcBorders>
              <w:top w:val="nil"/>
              <w:left w:val="nil"/>
              <w:bottom w:val="single" w:sz="4" w:space="0" w:color="auto"/>
              <w:right w:val="single" w:sz="4" w:space="0" w:color="auto"/>
            </w:tcBorders>
            <w:shd w:val="clear" w:color="auto" w:fill="auto"/>
            <w:noWrap/>
            <w:vAlign w:val="center"/>
            <w:hideMark/>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0.0%</w:t>
            </w:r>
          </w:p>
        </w:tc>
        <w:tc>
          <w:tcPr>
            <w:tcW w:w="786" w:type="pct"/>
            <w:tcBorders>
              <w:top w:val="nil"/>
              <w:left w:val="nil"/>
              <w:bottom w:val="single" w:sz="4" w:space="0" w:color="auto"/>
              <w:right w:val="single" w:sz="4" w:space="0" w:color="auto"/>
            </w:tcBorders>
            <w:shd w:val="clear" w:color="auto" w:fill="auto"/>
            <w:vAlign w:val="center"/>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w:t>
            </w:r>
            <w:r w:rsidR="000C0C26">
              <w:rPr>
                <w:rFonts w:ascii="Arial Narrow" w:hAnsi="Arial Narrow" w:cs="Calibri"/>
                <w:noProof/>
                <w:color w:val="000000"/>
                <w:sz w:val="20"/>
                <w:szCs w:val="20"/>
                <w:highlight w:val="black"/>
              </w:rPr>
              <w:t>'''</w:t>
            </w:r>
          </w:p>
        </w:tc>
        <w:tc>
          <w:tcPr>
            <w:tcW w:w="471" w:type="pct"/>
            <w:vMerge/>
            <w:tcBorders>
              <w:left w:val="nil"/>
              <w:bottom w:val="single" w:sz="4" w:space="0" w:color="auto"/>
              <w:right w:val="single" w:sz="4" w:space="0" w:color="auto"/>
            </w:tcBorders>
            <w:vAlign w:val="center"/>
          </w:tcPr>
          <w:p w:rsidR="00261A55" w:rsidRDefault="00261A55">
            <w:pPr>
              <w:keepNext/>
              <w:jc w:val="center"/>
              <w:rPr>
                <w:rFonts w:ascii="Arial Narrow" w:hAnsi="Arial Narrow" w:cs="Calibri"/>
                <w:i/>
                <w:color w:val="000000"/>
                <w:sz w:val="20"/>
                <w:szCs w:val="20"/>
              </w:rPr>
            </w:pPr>
          </w:p>
        </w:tc>
        <w:tc>
          <w:tcPr>
            <w:tcW w:w="551" w:type="pct"/>
            <w:vMerge/>
            <w:tcBorders>
              <w:left w:val="single" w:sz="4" w:space="0" w:color="auto"/>
              <w:bottom w:val="single" w:sz="4" w:space="0" w:color="auto"/>
              <w:right w:val="single" w:sz="4" w:space="0" w:color="auto"/>
            </w:tcBorders>
          </w:tcPr>
          <w:p w:rsidR="00261A55" w:rsidRDefault="00261A55">
            <w:pPr>
              <w:keepNext/>
              <w:jc w:val="center"/>
              <w:rPr>
                <w:rFonts w:ascii="Arial Narrow" w:hAnsi="Arial Narrow" w:cs="Calibri"/>
                <w:i/>
                <w:color w:val="000000"/>
                <w:sz w:val="20"/>
                <w:szCs w:val="20"/>
              </w:rPr>
            </w:pPr>
          </w:p>
        </w:tc>
        <w:tc>
          <w:tcPr>
            <w:tcW w:w="600" w:type="pct"/>
            <w:tcBorders>
              <w:top w:val="single" w:sz="4" w:space="0" w:color="auto"/>
              <w:left w:val="single" w:sz="4" w:space="0" w:color="auto"/>
              <w:bottom w:val="single" w:sz="4" w:space="0" w:color="auto"/>
              <w:right w:val="single" w:sz="4" w:space="0" w:color="auto"/>
            </w:tcBorders>
            <w:vAlign w:val="center"/>
          </w:tcPr>
          <w:p w:rsidR="00261A55" w:rsidRDefault="002B6519">
            <w:pPr>
              <w:keepNext/>
              <w:jc w:val="center"/>
              <w:rPr>
                <w:rFonts w:ascii="Arial Narrow" w:hAnsi="Arial Narrow" w:cs="Calibri"/>
                <w:i/>
                <w:color w:val="000000"/>
                <w:sz w:val="20"/>
                <w:szCs w:val="20"/>
              </w:rPr>
            </w:pPr>
            <w:r>
              <w:rPr>
                <w:rFonts w:ascii="Arial Narrow" w:hAnsi="Arial Narrow" w:cs="Calibri"/>
                <w:color w:val="000000"/>
                <w:sz w:val="20"/>
                <w:szCs w:val="20"/>
              </w:rPr>
              <w:t>$</w:t>
            </w:r>
            <w:r w:rsidR="000C0C26">
              <w:rPr>
                <w:rFonts w:ascii="Arial Narrow" w:hAnsi="Arial Narrow" w:cs="Calibri"/>
                <w:noProof/>
                <w:color w:val="000000"/>
                <w:sz w:val="20"/>
                <w:szCs w:val="20"/>
                <w:highlight w:val="black"/>
              </w:rPr>
              <w:t>'''''''''''''''''</w:t>
            </w:r>
          </w:p>
        </w:tc>
      </w:tr>
      <w:tr w:rsidR="00261A55">
        <w:trPr>
          <w:trHeight w:val="459"/>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261A55" w:rsidRDefault="002B6519">
            <w:pPr>
              <w:keepNext/>
              <w:rPr>
                <w:rFonts w:ascii="Arial Narrow" w:hAnsi="Arial Narrow" w:cs="Calibri"/>
                <w:b/>
                <w:color w:val="000000"/>
                <w:sz w:val="20"/>
                <w:szCs w:val="20"/>
              </w:rPr>
            </w:pPr>
            <w:r>
              <w:rPr>
                <w:rFonts w:ascii="Arial Narrow" w:hAnsi="Arial Narrow" w:cs="Calibri"/>
                <w:b/>
                <w:color w:val="000000"/>
                <w:sz w:val="20"/>
                <w:szCs w:val="20"/>
              </w:rPr>
              <w:t>July 2019 minor resubmission base case</w:t>
            </w:r>
          </w:p>
        </w:tc>
        <w:tc>
          <w:tcPr>
            <w:tcW w:w="629" w:type="pct"/>
            <w:tcBorders>
              <w:top w:val="nil"/>
              <w:left w:val="nil"/>
              <w:bottom w:val="single" w:sz="4" w:space="0" w:color="auto"/>
              <w:right w:val="single" w:sz="4" w:space="0" w:color="auto"/>
            </w:tcBorders>
            <w:shd w:val="clear" w:color="auto" w:fill="auto"/>
            <w:noWrap/>
            <w:vAlign w:val="center"/>
            <w:hideMark/>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3.1%</w:t>
            </w:r>
          </w:p>
        </w:tc>
        <w:tc>
          <w:tcPr>
            <w:tcW w:w="472" w:type="pct"/>
            <w:tcBorders>
              <w:top w:val="nil"/>
              <w:left w:val="nil"/>
              <w:bottom w:val="single" w:sz="4" w:space="0" w:color="auto"/>
              <w:right w:val="single" w:sz="4" w:space="0" w:color="auto"/>
            </w:tcBorders>
            <w:shd w:val="clear" w:color="auto" w:fill="auto"/>
            <w:noWrap/>
            <w:vAlign w:val="center"/>
            <w:hideMark/>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3.1%</w:t>
            </w:r>
          </w:p>
        </w:tc>
        <w:tc>
          <w:tcPr>
            <w:tcW w:w="786" w:type="pct"/>
            <w:tcBorders>
              <w:top w:val="nil"/>
              <w:left w:val="nil"/>
              <w:bottom w:val="single" w:sz="4" w:space="0" w:color="auto"/>
              <w:right w:val="single" w:sz="4" w:space="0" w:color="auto"/>
            </w:tcBorders>
            <w:shd w:val="clear" w:color="auto" w:fill="auto"/>
            <w:vAlign w:val="center"/>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w:t>
            </w:r>
            <w:r w:rsidR="000C0C26">
              <w:rPr>
                <w:rFonts w:ascii="Arial Narrow" w:hAnsi="Arial Narrow" w:cs="Calibri"/>
                <w:noProof/>
                <w:color w:val="000000"/>
                <w:sz w:val="20"/>
                <w:szCs w:val="20"/>
                <w:highlight w:val="black"/>
              </w:rPr>
              <w:t>'''''''''''''</w:t>
            </w:r>
          </w:p>
        </w:tc>
        <w:tc>
          <w:tcPr>
            <w:tcW w:w="471" w:type="pct"/>
            <w:vMerge w:val="restart"/>
            <w:tcBorders>
              <w:top w:val="single" w:sz="4" w:space="0" w:color="auto"/>
              <w:left w:val="nil"/>
              <w:right w:val="single" w:sz="4" w:space="0" w:color="auto"/>
            </w:tcBorders>
            <w:vAlign w:val="center"/>
          </w:tcPr>
          <w:p w:rsidR="00261A55" w:rsidRDefault="002B6519">
            <w:pPr>
              <w:keepNext/>
              <w:jc w:val="center"/>
              <w:rPr>
                <w:rFonts w:ascii="Arial Narrow" w:hAnsi="Arial Narrow" w:cs="Calibri"/>
                <w:i/>
                <w:color w:val="000000"/>
                <w:sz w:val="20"/>
                <w:szCs w:val="20"/>
              </w:rPr>
            </w:pPr>
            <w:r>
              <w:rPr>
                <w:rFonts w:ascii="Arial Narrow" w:hAnsi="Arial Narrow"/>
                <w:sz w:val="20"/>
                <w:szCs w:val="20"/>
              </w:rPr>
              <w:t>$</w:t>
            </w:r>
            <w:r w:rsidR="000C0C26">
              <w:rPr>
                <w:rFonts w:ascii="Arial Narrow" w:hAnsi="Arial Narrow"/>
                <w:noProof/>
                <w:color w:val="000000"/>
                <w:sz w:val="20"/>
                <w:szCs w:val="20"/>
                <w:highlight w:val="black"/>
              </w:rPr>
              <w:t>'''''''''''''''</w:t>
            </w:r>
          </w:p>
        </w:tc>
        <w:tc>
          <w:tcPr>
            <w:tcW w:w="551" w:type="pct"/>
            <w:vMerge w:val="restart"/>
            <w:tcBorders>
              <w:top w:val="single" w:sz="4" w:space="0" w:color="auto"/>
              <w:left w:val="single" w:sz="4" w:space="0" w:color="auto"/>
              <w:right w:val="single" w:sz="4" w:space="0" w:color="auto"/>
            </w:tcBorders>
            <w:vAlign w:val="center"/>
          </w:tcPr>
          <w:p w:rsidR="00261A55" w:rsidRDefault="002B6519">
            <w:pPr>
              <w:keepNext/>
              <w:jc w:val="center"/>
              <w:rPr>
                <w:rFonts w:ascii="Arial Narrow" w:hAnsi="Arial Narrow" w:cs="Calibri"/>
                <w:i/>
                <w:color w:val="000000"/>
                <w:sz w:val="20"/>
                <w:szCs w:val="20"/>
              </w:rPr>
            </w:pPr>
            <w:r>
              <w:rPr>
                <w:rFonts w:ascii="Arial Narrow" w:hAnsi="Arial Narrow"/>
                <w:sz w:val="20"/>
                <w:szCs w:val="20"/>
              </w:rPr>
              <w:t>$</w:t>
            </w:r>
            <w:r w:rsidR="000C0C26">
              <w:rPr>
                <w:rFonts w:ascii="Arial Narrow" w:hAnsi="Arial Narrow"/>
                <w:noProof/>
                <w:color w:val="000000"/>
                <w:sz w:val="20"/>
                <w:szCs w:val="20"/>
                <w:highlight w:val="black"/>
              </w:rPr>
              <w:t>'''''''''''''''''</w:t>
            </w:r>
          </w:p>
        </w:tc>
        <w:tc>
          <w:tcPr>
            <w:tcW w:w="600" w:type="pct"/>
            <w:tcBorders>
              <w:top w:val="single" w:sz="4" w:space="0" w:color="auto"/>
              <w:left w:val="single" w:sz="4" w:space="0" w:color="auto"/>
              <w:bottom w:val="single" w:sz="4" w:space="0" w:color="auto"/>
              <w:right w:val="single" w:sz="4" w:space="0" w:color="auto"/>
            </w:tcBorders>
            <w:vAlign w:val="center"/>
          </w:tcPr>
          <w:p w:rsidR="00261A55" w:rsidRDefault="002B6519">
            <w:pPr>
              <w:keepNext/>
              <w:jc w:val="center"/>
              <w:rPr>
                <w:rFonts w:ascii="Arial Narrow" w:hAnsi="Arial Narrow" w:cs="Calibri"/>
                <w:i/>
                <w:color w:val="000000"/>
                <w:sz w:val="20"/>
                <w:szCs w:val="20"/>
              </w:rPr>
            </w:pPr>
            <w:r>
              <w:rPr>
                <w:rFonts w:ascii="Arial Narrow" w:hAnsi="Arial Narrow" w:cs="Calibri"/>
                <w:color w:val="000000"/>
                <w:sz w:val="20"/>
                <w:szCs w:val="20"/>
              </w:rPr>
              <w:t>$</w:t>
            </w:r>
            <w:r w:rsidR="000C0C26">
              <w:rPr>
                <w:rFonts w:ascii="Arial Narrow" w:hAnsi="Arial Narrow" w:cs="Calibri"/>
                <w:noProof/>
                <w:color w:val="000000"/>
                <w:sz w:val="20"/>
                <w:szCs w:val="20"/>
                <w:highlight w:val="black"/>
              </w:rPr>
              <w:t>'''''''''''''''</w:t>
            </w:r>
          </w:p>
        </w:tc>
      </w:tr>
      <w:tr w:rsidR="00261A55">
        <w:trPr>
          <w:trHeight w:val="459"/>
        </w:trPr>
        <w:tc>
          <w:tcPr>
            <w:tcW w:w="14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61A55" w:rsidRDefault="002B6519">
            <w:pPr>
              <w:keepNext/>
              <w:ind w:left="166"/>
              <w:rPr>
                <w:rFonts w:ascii="Arial Narrow" w:hAnsi="Arial Narrow" w:cs="Calibri"/>
                <w:b/>
                <w:color w:val="000000"/>
                <w:sz w:val="20"/>
                <w:szCs w:val="20"/>
              </w:rPr>
            </w:pPr>
            <w:r>
              <w:rPr>
                <w:rFonts w:ascii="Arial Narrow" w:hAnsi="Arial Narrow" w:cs="Calibri"/>
                <w:color w:val="000000"/>
                <w:sz w:val="20"/>
                <w:szCs w:val="20"/>
              </w:rPr>
              <w:t>PBAC revised base case^</w:t>
            </w:r>
          </w:p>
        </w:tc>
        <w:tc>
          <w:tcPr>
            <w:tcW w:w="629" w:type="pct"/>
            <w:tcBorders>
              <w:top w:val="single" w:sz="4" w:space="0" w:color="auto"/>
              <w:left w:val="nil"/>
              <w:bottom w:val="single" w:sz="4" w:space="0" w:color="auto"/>
              <w:right w:val="single" w:sz="4" w:space="0" w:color="auto"/>
            </w:tcBorders>
            <w:shd w:val="clear" w:color="auto" w:fill="auto"/>
            <w:noWrap/>
            <w:vAlign w:val="center"/>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0.0%</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0.0%</w:t>
            </w:r>
          </w:p>
        </w:tc>
        <w:tc>
          <w:tcPr>
            <w:tcW w:w="786" w:type="pct"/>
            <w:tcBorders>
              <w:top w:val="single" w:sz="4" w:space="0" w:color="auto"/>
              <w:left w:val="nil"/>
              <w:bottom w:val="single" w:sz="4" w:space="0" w:color="auto"/>
              <w:right w:val="single" w:sz="4" w:space="0" w:color="auto"/>
            </w:tcBorders>
            <w:shd w:val="clear" w:color="auto" w:fill="auto"/>
            <w:vAlign w:val="center"/>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w:t>
            </w:r>
            <w:r w:rsidR="000C0C26">
              <w:rPr>
                <w:rFonts w:ascii="Arial Narrow" w:hAnsi="Arial Narrow" w:cs="Calibri"/>
                <w:noProof/>
                <w:color w:val="000000"/>
                <w:sz w:val="20"/>
                <w:szCs w:val="20"/>
                <w:highlight w:val="black"/>
              </w:rPr>
              <w:t>'''</w:t>
            </w:r>
          </w:p>
        </w:tc>
        <w:tc>
          <w:tcPr>
            <w:tcW w:w="471" w:type="pct"/>
            <w:vMerge/>
            <w:tcBorders>
              <w:left w:val="nil"/>
              <w:bottom w:val="single" w:sz="4" w:space="0" w:color="auto"/>
              <w:right w:val="single" w:sz="4" w:space="0" w:color="auto"/>
            </w:tcBorders>
            <w:vAlign w:val="center"/>
          </w:tcPr>
          <w:p w:rsidR="00261A55" w:rsidRDefault="00261A55">
            <w:pPr>
              <w:keepNext/>
              <w:jc w:val="center"/>
              <w:rPr>
                <w:rFonts w:ascii="Arial Narrow" w:hAnsi="Arial Narrow" w:cs="Calibri"/>
                <w:i/>
                <w:color w:val="000000"/>
                <w:sz w:val="20"/>
                <w:szCs w:val="20"/>
              </w:rPr>
            </w:pPr>
          </w:p>
        </w:tc>
        <w:tc>
          <w:tcPr>
            <w:tcW w:w="551" w:type="pct"/>
            <w:vMerge/>
            <w:tcBorders>
              <w:left w:val="single" w:sz="4" w:space="0" w:color="auto"/>
              <w:bottom w:val="single" w:sz="4" w:space="0" w:color="auto"/>
              <w:right w:val="single" w:sz="4" w:space="0" w:color="auto"/>
            </w:tcBorders>
          </w:tcPr>
          <w:p w:rsidR="00261A55" w:rsidRDefault="00261A55">
            <w:pPr>
              <w:keepNext/>
              <w:jc w:val="center"/>
              <w:rPr>
                <w:rFonts w:ascii="Arial Narrow" w:hAnsi="Arial Narrow" w:cs="Calibri"/>
                <w:i/>
                <w:color w:val="000000"/>
                <w:sz w:val="20"/>
                <w:szCs w:val="20"/>
              </w:rPr>
            </w:pPr>
          </w:p>
        </w:tc>
        <w:tc>
          <w:tcPr>
            <w:tcW w:w="600" w:type="pct"/>
            <w:tcBorders>
              <w:top w:val="single" w:sz="4" w:space="0" w:color="auto"/>
              <w:left w:val="single" w:sz="4" w:space="0" w:color="auto"/>
              <w:bottom w:val="single" w:sz="4" w:space="0" w:color="auto"/>
              <w:right w:val="single" w:sz="4" w:space="0" w:color="auto"/>
            </w:tcBorders>
            <w:vAlign w:val="center"/>
          </w:tcPr>
          <w:p w:rsidR="00261A55" w:rsidRDefault="002B6519">
            <w:pPr>
              <w:keepNext/>
              <w:jc w:val="center"/>
              <w:rPr>
                <w:rFonts w:ascii="Arial Narrow" w:hAnsi="Arial Narrow" w:cs="Calibri"/>
                <w:color w:val="000000"/>
                <w:sz w:val="20"/>
                <w:szCs w:val="20"/>
              </w:rPr>
            </w:pPr>
            <w:r>
              <w:rPr>
                <w:rFonts w:ascii="Arial Narrow" w:hAnsi="Arial Narrow" w:cs="Calibri"/>
                <w:color w:val="000000"/>
                <w:sz w:val="20"/>
                <w:szCs w:val="20"/>
              </w:rPr>
              <w:t>$</w:t>
            </w:r>
            <w:r w:rsidR="000C0C26">
              <w:rPr>
                <w:rFonts w:ascii="Arial Narrow" w:hAnsi="Arial Narrow" w:cs="Calibri"/>
                <w:noProof/>
                <w:color w:val="000000"/>
                <w:sz w:val="20"/>
                <w:szCs w:val="20"/>
                <w:highlight w:val="black"/>
              </w:rPr>
              <w:t>'''''''''''''''''''</w:t>
            </w:r>
          </w:p>
        </w:tc>
      </w:tr>
    </w:tbl>
    <w:p w:rsidR="00261A55" w:rsidRDefault="002B6519">
      <w:pPr>
        <w:pStyle w:val="3Bodytext"/>
        <w:numPr>
          <w:ilvl w:val="0"/>
          <w:numId w:val="0"/>
        </w:numPr>
        <w:spacing w:after="0"/>
        <w:rPr>
          <w:rFonts w:ascii="Arial Narrow" w:hAnsi="Arial Narrow"/>
          <w:sz w:val="20"/>
          <w:szCs w:val="20"/>
        </w:rPr>
      </w:pPr>
      <w:r>
        <w:rPr>
          <w:rFonts w:ascii="Arial Narrow" w:hAnsi="Arial Narrow"/>
          <w:sz w:val="20"/>
          <w:szCs w:val="20"/>
        </w:rPr>
        <w:t xml:space="preserve">Source: Compiled during the preparation of the minor overview using the March 2018 PBAC minutes and “Item 5.09_Updated_CE_Model_ ramucirumab (Cyramza Eli Lilly)_April 2019” excel workbook. </w:t>
      </w:r>
    </w:p>
    <w:p w:rsidR="00261A55" w:rsidRDefault="002B6519">
      <w:pPr>
        <w:pStyle w:val="3Bodytext"/>
        <w:numPr>
          <w:ilvl w:val="0"/>
          <w:numId w:val="0"/>
        </w:numPr>
        <w:spacing w:after="0"/>
        <w:rPr>
          <w:rFonts w:ascii="Arial Narrow" w:hAnsi="Arial Narrow"/>
          <w:sz w:val="20"/>
          <w:szCs w:val="20"/>
        </w:rPr>
      </w:pPr>
      <w:r>
        <w:rPr>
          <w:rFonts w:ascii="Arial Narrow" w:hAnsi="Arial Narrow"/>
          <w:sz w:val="20"/>
          <w:szCs w:val="20"/>
        </w:rPr>
        <w:t>AEMP = approved ex-manufacturer price; ICER = incremental cost effectiveness ratio; PAC = paclitaxel; RAM+PAC = ramucirumab in combination with paclitaxel; QALY = quality adjusted life year.</w:t>
      </w:r>
    </w:p>
    <w:p w:rsidR="00261A55" w:rsidRDefault="002B6519">
      <w:pPr>
        <w:pStyle w:val="3Bodytext"/>
        <w:numPr>
          <w:ilvl w:val="0"/>
          <w:numId w:val="0"/>
        </w:numPr>
        <w:spacing w:after="0"/>
        <w:rPr>
          <w:rFonts w:ascii="Arial Narrow" w:hAnsi="Arial Narrow"/>
          <w:sz w:val="20"/>
          <w:szCs w:val="20"/>
        </w:rPr>
      </w:pPr>
      <w:r>
        <w:rPr>
          <w:rFonts w:ascii="Arial Narrow" w:hAnsi="Arial Narrow"/>
          <w:sz w:val="20"/>
          <w:szCs w:val="20"/>
        </w:rPr>
        <w:t>*The March 2018 major submission presented a base case ICER of $</w:t>
      </w:r>
      <w:r w:rsidR="00DB25D0">
        <w:rPr>
          <w:rFonts w:ascii="Arial Narrow" w:hAnsi="Arial Narrow"/>
          <w:sz w:val="20"/>
          <w:szCs w:val="20"/>
        </w:rPr>
        <w:t>45,000-$75,000</w:t>
      </w:r>
      <w:r>
        <w:rPr>
          <w:rFonts w:ascii="Arial Narrow" w:hAnsi="Arial Narrow"/>
          <w:sz w:val="20"/>
          <w:szCs w:val="20"/>
        </w:rPr>
        <w:t xml:space="preserve"> per QALY gained. The Commentary corrected for an error during the evaluation (and was acknowledged in the Pre-Sub-Committee Response), which resulted in a revised base case ICER of $</w:t>
      </w:r>
      <w:r w:rsidR="00DB25D0">
        <w:rPr>
          <w:rFonts w:ascii="Arial Narrow" w:hAnsi="Arial Narrow"/>
          <w:sz w:val="20"/>
          <w:szCs w:val="20"/>
        </w:rPr>
        <w:t>$15,000-$</w:t>
      </w:r>
      <w:r w:rsidR="00C861C4">
        <w:rPr>
          <w:rFonts w:ascii="Arial Narrow" w:hAnsi="Arial Narrow"/>
          <w:sz w:val="20"/>
          <w:szCs w:val="20"/>
        </w:rPr>
        <w:t>45,000 per</w:t>
      </w:r>
      <w:r>
        <w:rPr>
          <w:rFonts w:ascii="Arial Narrow" w:hAnsi="Arial Narrow"/>
          <w:sz w:val="20"/>
          <w:szCs w:val="20"/>
        </w:rPr>
        <w:t xml:space="preserve"> QALY gained.</w:t>
      </w:r>
    </w:p>
    <w:p w:rsidR="00261A55" w:rsidRDefault="002B6519">
      <w:pPr>
        <w:pStyle w:val="3Bodytext"/>
        <w:numPr>
          <w:ilvl w:val="0"/>
          <w:numId w:val="0"/>
        </w:numPr>
        <w:spacing w:after="0"/>
        <w:rPr>
          <w:rFonts w:ascii="Arial Narrow" w:hAnsi="Arial Narrow"/>
          <w:sz w:val="20"/>
          <w:szCs w:val="20"/>
        </w:rPr>
      </w:pPr>
      <w:r>
        <w:rPr>
          <w:rFonts w:ascii="Arial Narrow" w:hAnsi="Arial Narrow"/>
          <w:sz w:val="20"/>
          <w:szCs w:val="20"/>
        </w:rPr>
        <w:t>^Calculated such that incremental post-progression hospitalisation costs were $0 (which was achieved by changing the probability of hospitalisation in the post-progression period for both treatment arms to 0%).</w:t>
      </w:r>
    </w:p>
    <w:p w:rsidR="00261A55" w:rsidRDefault="00261A55">
      <w:pPr>
        <w:pStyle w:val="3Bodytext"/>
        <w:numPr>
          <w:ilvl w:val="0"/>
          <w:numId w:val="0"/>
        </w:numPr>
        <w:spacing w:after="0"/>
        <w:rPr>
          <w:rFonts w:ascii="Arial Narrow" w:hAnsi="Arial Narrow"/>
          <w:i/>
          <w:sz w:val="20"/>
          <w:szCs w:val="20"/>
        </w:rPr>
      </w:pPr>
    </w:p>
    <w:p w:rsidR="00261A55" w:rsidRDefault="002B6519">
      <w:pPr>
        <w:pStyle w:val="3Bodytext"/>
      </w:pPr>
      <w:r>
        <w:t>The minor resubmission requested that the PBAC reconsider the range of ICERs considered to be acceptably cost effective in a high unmet need disease state to be $45,000-$105,000 per QALY gained (instead of $40,000</w:t>
      </w:r>
      <w:r>
        <w:noBreakHyphen/>
        <w:t xml:space="preserve">$45,000 per QALY gained), based on the precedent of trastuzumab for HER2 positive, metastatic (equivalent to stage IV) adenocarcinoma of the stomach or gastro-oesophageal junction in July 2015. </w:t>
      </w:r>
    </w:p>
    <w:p w:rsidR="00261A55" w:rsidRDefault="002B6519">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261A55" w:rsidRPr="00BD417A" w:rsidRDefault="002B6519" w:rsidP="00BD417A">
      <w:pPr>
        <w:pStyle w:val="3Bodytext"/>
        <w:numPr>
          <w:ilvl w:val="1"/>
          <w:numId w:val="5"/>
        </w:numPr>
        <w:rPr>
          <w:szCs w:val="24"/>
        </w:rPr>
      </w:pPr>
      <w:r>
        <w:rPr>
          <w:szCs w:val="24"/>
        </w:rPr>
        <w:t xml:space="preserve">The minor resubmission presented revised financial estimates with an estimated net cost to the PBS of less than $10 million in Year 6 of listing, with a total net cost to the PBS of $20-$30 million over the first six years of listing. This is summarised in the table below as well as the expected patient/prescription numbers. </w:t>
      </w:r>
    </w:p>
    <w:p w:rsidR="00BD417A" w:rsidRDefault="00BD417A" w:rsidP="00BD417A">
      <w:pPr>
        <w:pStyle w:val="Caption"/>
        <w:keepNext/>
      </w:pPr>
      <w:r>
        <w:lastRenderedPageBreak/>
        <w:t xml:space="preserve">Table </w:t>
      </w:r>
      <w:fldSimple w:instr=" SEQ Table \* ARABIC ">
        <w:r w:rsidR="00742A2A">
          <w:rPr>
            <w:noProof/>
          </w:rPr>
          <w:t>3</w:t>
        </w:r>
      </w:fldSimple>
      <w:r w:rsidRPr="00AC37C6">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w:tblPr>
      <w:tblGrid>
        <w:gridCol w:w="1998"/>
        <w:gridCol w:w="1156"/>
        <w:gridCol w:w="1156"/>
        <w:gridCol w:w="1157"/>
        <w:gridCol w:w="1157"/>
        <w:gridCol w:w="1157"/>
        <w:gridCol w:w="1157"/>
      </w:tblGrid>
      <w:tr w:rsidR="00261A55">
        <w:trPr>
          <w:tblHeader/>
        </w:trPr>
        <w:tc>
          <w:tcPr>
            <w:tcW w:w="1118" w:type="pct"/>
            <w:shd w:val="clear" w:color="auto" w:fill="auto"/>
            <w:vAlign w:val="center"/>
          </w:tcPr>
          <w:p w:rsidR="00261A55" w:rsidRDefault="00261A55">
            <w:pPr>
              <w:pStyle w:val="Tabletext"/>
              <w:keepNext/>
              <w:spacing w:after="0"/>
              <w:rPr>
                <w:rFonts w:ascii="Arial Narrow" w:hAnsi="Arial Narrow"/>
              </w:rPr>
            </w:pPr>
          </w:p>
        </w:tc>
        <w:tc>
          <w:tcPr>
            <w:tcW w:w="647" w:type="pct"/>
            <w:shd w:val="clear" w:color="auto" w:fill="auto"/>
            <w:vAlign w:val="center"/>
          </w:tcPr>
          <w:p w:rsidR="00261A55" w:rsidRDefault="002B6519">
            <w:pPr>
              <w:pStyle w:val="Tabletext"/>
              <w:keepNext/>
              <w:spacing w:after="0"/>
              <w:jc w:val="center"/>
              <w:rPr>
                <w:rFonts w:ascii="Arial Narrow" w:hAnsi="Arial Narrow"/>
                <w:b/>
              </w:rPr>
            </w:pPr>
            <w:r>
              <w:rPr>
                <w:rFonts w:ascii="Arial Narrow" w:hAnsi="Arial Narrow"/>
                <w:b/>
              </w:rPr>
              <w:t>Year 1</w:t>
            </w:r>
          </w:p>
        </w:tc>
        <w:tc>
          <w:tcPr>
            <w:tcW w:w="647" w:type="pct"/>
            <w:shd w:val="clear" w:color="auto" w:fill="auto"/>
            <w:vAlign w:val="center"/>
          </w:tcPr>
          <w:p w:rsidR="00261A55" w:rsidRDefault="002B6519">
            <w:pPr>
              <w:pStyle w:val="Tabletext"/>
              <w:keepNext/>
              <w:spacing w:after="0"/>
              <w:jc w:val="center"/>
              <w:rPr>
                <w:rFonts w:ascii="Arial Narrow" w:hAnsi="Arial Narrow"/>
                <w:b/>
              </w:rPr>
            </w:pPr>
            <w:r>
              <w:rPr>
                <w:rFonts w:ascii="Arial Narrow" w:hAnsi="Arial Narrow"/>
                <w:b/>
              </w:rPr>
              <w:t>Year 2</w:t>
            </w:r>
          </w:p>
        </w:tc>
        <w:tc>
          <w:tcPr>
            <w:tcW w:w="647" w:type="pct"/>
            <w:shd w:val="clear" w:color="auto" w:fill="auto"/>
            <w:vAlign w:val="center"/>
          </w:tcPr>
          <w:p w:rsidR="00261A55" w:rsidRDefault="002B6519">
            <w:pPr>
              <w:pStyle w:val="Tabletext"/>
              <w:keepNext/>
              <w:spacing w:after="0"/>
              <w:jc w:val="center"/>
              <w:rPr>
                <w:rFonts w:ascii="Arial Narrow" w:hAnsi="Arial Narrow"/>
                <w:b/>
              </w:rPr>
            </w:pPr>
            <w:r>
              <w:rPr>
                <w:rFonts w:ascii="Arial Narrow" w:hAnsi="Arial Narrow"/>
                <w:b/>
              </w:rPr>
              <w:t>Year 3</w:t>
            </w:r>
          </w:p>
        </w:tc>
        <w:tc>
          <w:tcPr>
            <w:tcW w:w="647" w:type="pct"/>
            <w:shd w:val="clear" w:color="auto" w:fill="auto"/>
            <w:vAlign w:val="center"/>
          </w:tcPr>
          <w:p w:rsidR="00261A55" w:rsidRDefault="002B6519">
            <w:pPr>
              <w:pStyle w:val="Tabletext"/>
              <w:keepNext/>
              <w:spacing w:after="0"/>
              <w:jc w:val="center"/>
              <w:rPr>
                <w:rFonts w:ascii="Arial Narrow" w:hAnsi="Arial Narrow"/>
                <w:b/>
              </w:rPr>
            </w:pPr>
            <w:r>
              <w:rPr>
                <w:rFonts w:ascii="Arial Narrow" w:hAnsi="Arial Narrow"/>
                <w:b/>
              </w:rPr>
              <w:t>Year 4</w:t>
            </w:r>
          </w:p>
        </w:tc>
        <w:tc>
          <w:tcPr>
            <w:tcW w:w="647" w:type="pct"/>
            <w:shd w:val="clear" w:color="auto" w:fill="auto"/>
            <w:vAlign w:val="center"/>
          </w:tcPr>
          <w:p w:rsidR="00261A55" w:rsidRDefault="002B6519">
            <w:pPr>
              <w:pStyle w:val="Tabletext"/>
              <w:keepNext/>
              <w:spacing w:after="0"/>
              <w:jc w:val="center"/>
              <w:rPr>
                <w:rFonts w:ascii="Arial Narrow" w:hAnsi="Arial Narrow"/>
                <w:b/>
              </w:rPr>
            </w:pPr>
            <w:r>
              <w:rPr>
                <w:rFonts w:ascii="Arial Narrow" w:hAnsi="Arial Narrow"/>
                <w:b/>
              </w:rPr>
              <w:t>Year 5</w:t>
            </w:r>
          </w:p>
        </w:tc>
        <w:tc>
          <w:tcPr>
            <w:tcW w:w="647" w:type="pct"/>
          </w:tcPr>
          <w:p w:rsidR="00261A55" w:rsidRDefault="002B6519">
            <w:pPr>
              <w:pStyle w:val="Tabletext"/>
              <w:keepNext/>
              <w:spacing w:after="0"/>
              <w:jc w:val="center"/>
              <w:rPr>
                <w:rFonts w:ascii="Arial Narrow" w:hAnsi="Arial Narrow"/>
                <w:b/>
              </w:rPr>
            </w:pPr>
            <w:r>
              <w:rPr>
                <w:rFonts w:ascii="Arial Narrow" w:hAnsi="Arial Narrow"/>
                <w:b/>
              </w:rPr>
              <w:t>Year 6</w:t>
            </w:r>
          </w:p>
        </w:tc>
      </w:tr>
      <w:tr w:rsidR="00261A55">
        <w:tc>
          <w:tcPr>
            <w:tcW w:w="5000" w:type="pct"/>
            <w:gridSpan w:val="7"/>
            <w:shd w:val="clear" w:color="auto" w:fill="auto"/>
            <w:vAlign w:val="center"/>
          </w:tcPr>
          <w:p w:rsidR="00261A55" w:rsidRDefault="002B6519">
            <w:pPr>
              <w:pStyle w:val="Tabletext"/>
              <w:keepNext/>
              <w:spacing w:after="0"/>
              <w:rPr>
                <w:rFonts w:ascii="Arial Narrow" w:hAnsi="Arial Narrow"/>
                <w:b/>
                <w:bCs/>
                <w:color w:val="000000"/>
              </w:rPr>
            </w:pPr>
            <w:r>
              <w:rPr>
                <w:rFonts w:ascii="Arial Narrow" w:hAnsi="Arial Narrow"/>
                <w:b/>
                <w:bCs/>
                <w:color w:val="000000"/>
              </w:rPr>
              <w:t>Estimated extent of use</w:t>
            </w:r>
          </w:p>
        </w:tc>
      </w:tr>
      <w:tr w:rsidR="00261A55">
        <w:tc>
          <w:tcPr>
            <w:tcW w:w="1118" w:type="pct"/>
            <w:shd w:val="clear" w:color="auto" w:fill="auto"/>
            <w:vAlign w:val="center"/>
          </w:tcPr>
          <w:p w:rsidR="00261A55" w:rsidRDefault="002B6519">
            <w:pPr>
              <w:pStyle w:val="Tabletext"/>
              <w:keepNext/>
              <w:spacing w:after="0"/>
              <w:rPr>
                <w:rFonts w:ascii="Arial Narrow" w:hAnsi="Arial Narrow"/>
              </w:rPr>
            </w:pPr>
            <w:r>
              <w:rPr>
                <w:rFonts w:ascii="Arial Narrow" w:hAnsi="Arial Narrow"/>
              </w:rPr>
              <w:t>Number of patients treated</w:t>
            </w:r>
          </w:p>
        </w:tc>
        <w:tc>
          <w:tcPr>
            <w:tcW w:w="647" w:type="pct"/>
            <w:shd w:val="clear" w:color="auto" w:fill="auto"/>
          </w:tcPr>
          <w:p w:rsidR="00261A55" w:rsidRPr="000C0C26" w:rsidRDefault="000C0C26">
            <w:pPr>
              <w:pStyle w:val="Tabletext"/>
              <w:keepNext/>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tcPr>
          <w:p w:rsidR="00261A55" w:rsidRPr="000C0C26" w:rsidRDefault="000C0C26">
            <w:pPr>
              <w:pStyle w:val="Tabletext"/>
              <w:keepNext/>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tcPr>
          <w:p w:rsidR="00261A55" w:rsidRPr="000C0C26" w:rsidRDefault="000C0C26">
            <w:pPr>
              <w:pStyle w:val="Tabletext"/>
              <w:keepNext/>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tcPr>
          <w:p w:rsidR="00261A55" w:rsidRPr="000C0C26" w:rsidRDefault="000C0C26">
            <w:pPr>
              <w:pStyle w:val="Tabletext"/>
              <w:keepNext/>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tcPr>
          <w:p w:rsidR="00261A55" w:rsidRPr="000C0C26" w:rsidRDefault="000C0C26">
            <w:pPr>
              <w:pStyle w:val="Tabletext"/>
              <w:keepNext/>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tcPr>
          <w:p w:rsidR="00261A55" w:rsidRPr="000C0C26" w:rsidRDefault="000C0C26">
            <w:pPr>
              <w:pStyle w:val="Tabletext"/>
              <w:keepNext/>
              <w:spacing w:after="0"/>
              <w:jc w:val="center"/>
              <w:rPr>
                <w:rFonts w:ascii="Arial Narrow" w:hAnsi="Arial Narrow"/>
                <w:bCs/>
                <w:color w:val="000000"/>
                <w:highlight w:val="black"/>
              </w:rPr>
            </w:pPr>
            <w:r>
              <w:rPr>
                <w:rFonts w:ascii="Arial Narrow" w:hAnsi="Arial Narrow" w:cs="Calibri"/>
                <w:noProof/>
                <w:color w:val="000000"/>
                <w:highlight w:val="black"/>
              </w:rPr>
              <w:t>''''''''''</w:t>
            </w:r>
          </w:p>
        </w:tc>
      </w:tr>
      <w:tr w:rsidR="00261A55">
        <w:tc>
          <w:tcPr>
            <w:tcW w:w="1118" w:type="pct"/>
            <w:shd w:val="clear" w:color="auto" w:fill="auto"/>
            <w:vAlign w:val="center"/>
          </w:tcPr>
          <w:p w:rsidR="00261A55" w:rsidRDefault="002B6519">
            <w:pPr>
              <w:pStyle w:val="Tabletext"/>
              <w:keepNext/>
              <w:spacing w:after="0"/>
              <w:rPr>
                <w:rFonts w:ascii="Arial Narrow" w:hAnsi="Arial Narrow"/>
              </w:rPr>
            </w:pPr>
            <w:r>
              <w:rPr>
                <w:rFonts w:ascii="Arial Narrow" w:hAnsi="Arial Narrow"/>
              </w:rPr>
              <w:t>Number of scripts dispensed</w:t>
            </w:r>
            <w:r>
              <w:rPr>
                <w:rFonts w:ascii="Arial Narrow" w:hAnsi="Arial Narrow"/>
                <w:vertAlign w:val="superscript"/>
              </w:rPr>
              <w:t>a</w:t>
            </w:r>
          </w:p>
        </w:tc>
        <w:tc>
          <w:tcPr>
            <w:tcW w:w="647" w:type="pct"/>
            <w:shd w:val="clear" w:color="auto" w:fill="auto"/>
          </w:tcPr>
          <w:p w:rsidR="00261A55" w:rsidRPr="000C0C26" w:rsidRDefault="000C0C26">
            <w:pPr>
              <w:pStyle w:val="Tabletext"/>
              <w:keepNext/>
              <w:spacing w:after="0"/>
              <w:jc w:val="center"/>
              <w:rPr>
                <w:rFonts w:ascii="Arial Narrow" w:hAnsi="Arial Narrow" w:cs="Calibri"/>
                <w:color w:val="000000"/>
                <w:highlight w:val="black"/>
              </w:rPr>
            </w:pPr>
            <w:r>
              <w:rPr>
                <w:rFonts w:ascii="Arial Narrow" w:hAnsi="Arial Narrow" w:cs="Calibri"/>
                <w:noProof/>
                <w:color w:val="000000"/>
                <w:highlight w:val="black"/>
              </w:rPr>
              <w:t>''''''''''''''</w:t>
            </w:r>
          </w:p>
        </w:tc>
        <w:tc>
          <w:tcPr>
            <w:tcW w:w="647" w:type="pct"/>
            <w:shd w:val="clear" w:color="auto" w:fill="auto"/>
          </w:tcPr>
          <w:p w:rsidR="00261A55" w:rsidRPr="000C0C26" w:rsidRDefault="000C0C26">
            <w:pPr>
              <w:pStyle w:val="Tabletext"/>
              <w:keepNext/>
              <w:spacing w:after="0"/>
              <w:jc w:val="center"/>
              <w:rPr>
                <w:rFonts w:ascii="Arial Narrow" w:hAnsi="Arial Narrow" w:cs="Calibri"/>
                <w:color w:val="000000"/>
                <w:highlight w:val="black"/>
              </w:rPr>
            </w:pPr>
            <w:r>
              <w:rPr>
                <w:rFonts w:ascii="Arial Narrow" w:hAnsi="Arial Narrow" w:cs="Calibri"/>
                <w:noProof/>
                <w:color w:val="000000"/>
                <w:highlight w:val="black"/>
              </w:rPr>
              <w:t>'''''''''''''''</w:t>
            </w:r>
          </w:p>
        </w:tc>
        <w:tc>
          <w:tcPr>
            <w:tcW w:w="647" w:type="pct"/>
            <w:shd w:val="clear" w:color="auto" w:fill="auto"/>
          </w:tcPr>
          <w:p w:rsidR="00261A55" w:rsidRPr="000C0C26" w:rsidRDefault="000C0C26">
            <w:pPr>
              <w:pStyle w:val="Tabletext"/>
              <w:keepNext/>
              <w:spacing w:after="0"/>
              <w:jc w:val="center"/>
              <w:rPr>
                <w:rFonts w:ascii="Arial Narrow" w:hAnsi="Arial Narrow" w:cs="Calibri"/>
                <w:color w:val="000000"/>
                <w:highlight w:val="black"/>
              </w:rPr>
            </w:pPr>
            <w:r>
              <w:rPr>
                <w:rFonts w:ascii="Arial Narrow" w:hAnsi="Arial Narrow" w:cs="Calibri"/>
                <w:noProof/>
                <w:color w:val="000000"/>
                <w:highlight w:val="black"/>
              </w:rPr>
              <w:t>'''''''''''''</w:t>
            </w:r>
          </w:p>
        </w:tc>
        <w:tc>
          <w:tcPr>
            <w:tcW w:w="647" w:type="pct"/>
            <w:shd w:val="clear" w:color="auto" w:fill="auto"/>
          </w:tcPr>
          <w:p w:rsidR="00261A55" w:rsidRPr="000C0C26" w:rsidRDefault="000C0C26">
            <w:pPr>
              <w:pStyle w:val="Tabletext"/>
              <w:keepNext/>
              <w:spacing w:after="0"/>
              <w:jc w:val="center"/>
              <w:rPr>
                <w:rFonts w:ascii="Arial Narrow" w:hAnsi="Arial Narrow" w:cs="Calibri"/>
                <w:color w:val="000000"/>
                <w:highlight w:val="black"/>
              </w:rPr>
            </w:pPr>
            <w:r>
              <w:rPr>
                <w:rFonts w:ascii="Arial Narrow" w:hAnsi="Arial Narrow" w:cs="Calibri"/>
                <w:noProof/>
                <w:color w:val="000000"/>
                <w:highlight w:val="black"/>
              </w:rPr>
              <w:t>'''''''''''''''</w:t>
            </w:r>
          </w:p>
        </w:tc>
        <w:tc>
          <w:tcPr>
            <w:tcW w:w="647" w:type="pct"/>
            <w:shd w:val="clear" w:color="auto" w:fill="auto"/>
          </w:tcPr>
          <w:p w:rsidR="00261A55" w:rsidRPr="000C0C26" w:rsidRDefault="000C0C26">
            <w:pPr>
              <w:pStyle w:val="Tabletext"/>
              <w:keepNext/>
              <w:spacing w:after="0"/>
              <w:jc w:val="center"/>
              <w:rPr>
                <w:rFonts w:ascii="Arial Narrow" w:hAnsi="Arial Narrow" w:cs="Calibri"/>
                <w:color w:val="000000"/>
                <w:highlight w:val="black"/>
              </w:rPr>
            </w:pPr>
            <w:r>
              <w:rPr>
                <w:rFonts w:ascii="Arial Narrow" w:hAnsi="Arial Narrow" w:cs="Calibri"/>
                <w:noProof/>
                <w:color w:val="000000"/>
                <w:highlight w:val="black"/>
              </w:rPr>
              <w:t>'''''''''''''</w:t>
            </w:r>
          </w:p>
        </w:tc>
        <w:tc>
          <w:tcPr>
            <w:tcW w:w="647" w:type="pct"/>
          </w:tcPr>
          <w:p w:rsidR="00261A55" w:rsidRPr="000C0C26" w:rsidRDefault="000C0C26">
            <w:pPr>
              <w:pStyle w:val="Tabletext"/>
              <w:keepNext/>
              <w:spacing w:after="0"/>
              <w:jc w:val="center"/>
              <w:rPr>
                <w:rFonts w:ascii="Arial Narrow" w:hAnsi="Arial Narrow" w:cs="Calibri"/>
                <w:color w:val="000000"/>
                <w:highlight w:val="black"/>
              </w:rPr>
            </w:pPr>
            <w:r>
              <w:rPr>
                <w:rFonts w:ascii="Arial Narrow" w:hAnsi="Arial Narrow" w:cs="Calibri"/>
                <w:noProof/>
                <w:color w:val="000000"/>
                <w:highlight w:val="black"/>
              </w:rPr>
              <w:t>'''''''''''''</w:t>
            </w:r>
          </w:p>
        </w:tc>
      </w:tr>
      <w:tr w:rsidR="00261A55">
        <w:tc>
          <w:tcPr>
            <w:tcW w:w="5000" w:type="pct"/>
            <w:gridSpan w:val="7"/>
            <w:shd w:val="clear" w:color="auto" w:fill="auto"/>
            <w:vAlign w:val="center"/>
          </w:tcPr>
          <w:p w:rsidR="00261A55" w:rsidRDefault="002B6519">
            <w:pPr>
              <w:pStyle w:val="Tabletext"/>
              <w:keepNext/>
              <w:spacing w:after="0"/>
              <w:rPr>
                <w:rFonts w:ascii="Arial Narrow" w:hAnsi="Arial Narrow"/>
                <w:b/>
                <w:bCs/>
                <w:color w:val="000000"/>
              </w:rPr>
            </w:pPr>
            <w:r>
              <w:rPr>
                <w:rFonts w:ascii="Arial Narrow" w:hAnsi="Arial Narrow"/>
                <w:b/>
                <w:bCs/>
                <w:color w:val="000000"/>
              </w:rPr>
              <w:t>Estimated financial implications of ramucirumab</w:t>
            </w:r>
          </w:p>
        </w:tc>
      </w:tr>
      <w:tr w:rsidR="00261A55">
        <w:tc>
          <w:tcPr>
            <w:tcW w:w="1118" w:type="pct"/>
            <w:shd w:val="clear" w:color="auto" w:fill="auto"/>
            <w:vAlign w:val="center"/>
          </w:tcPr>
          <w:p w:rsidR="00261A55" w:rsidRDefault="002B6519">
            <w:pPr>
              <w:pStyle w:val="Tabletext"/>
              <w:keepNext/>
              <w:spacing w:after="0"/>
              <w:rPr>
                <w:rFonts w:ascii="Arial Narrow" w:hAnsi="Arial Narrow"/>
              </w:rPr>
            </w:pPr>
            <w:r>
              <w:rPr>
                <w:rFonts w:ascii="Arial Narrow" w:hAnsi="Arial Narrow"/>
              </w:rPr>
              <w:t>Cost to PBS/RPBS</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r>
      <w:tr w:rsidR="00261A55">
        <w:tc>
          <w:tcPr>
            <w:tcW w:w="1118" w:type="pct"/>
            <w:shd w:val="clear" w:color="auto" w:fill="auto"/>
            <w:vAlign w:val="center"/>
          </w:tcPr>
          <w:p w:rsidR="00261A55" w:rsidRDefault="002B6519">
            <w:pPr>
              <w:pStyle w:val="Tabletext"/>
              <w:keepNext/>
              <w:spacing w:after="0"/>
              <w:rPr>
                <w:rFonts w:ascii="Arial Narrow" w:hAnsi="Arial Narrow"/>
              </w:rPr>
            </w:pPr>
            <w:r>
              <w:rPr>
                <w:rFonts w:ascii="Arial Narrow" w:hAnsi="Arial Narrow"/>
              </w:rPr>
              <w:t>Copayments</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$0</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r>
      <w:tr w:rsidR="00261A55">
        <w:tc>
          <w:tcPr>
            <w:tcW w:w="1118" w:type="pct"/>
            <w:shd w:val="clear" w:color="auto" w:fill="auto"/>
            <w:vAlign w:val="center"/>
          </w:tcPr>
          <w:p w:rsidR="00261A55" w:rsidRDefault="002B6519">
            <w:pPr>
              <w:pStyle w:val="Tabletext"/>
              <w:keepNext/>
              <w:spacing w:after="0"/>
              <w:rPr>
                <w:rFonts w:ascii="Arial Narrow" w:hAnsi="Arial Narrow"/>
              </w:rPr>
            </w:pPr>
            <w:r>
              <w:rPr>
                <w:rFonts w:ascii="Arial Narrow" w:hAnsi="Arial Narrow"/>
              </w:rPr>
              <w:t>Cost to PBS/RPBS less copayments</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c>
          <w:tcPr>
            <w:tcW w:w="647" w:type="pct"/>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p>
        </w:tc>
      </w:tr>
      <w:tr w:rsidR="00261A55">
        <w:tc>
          <w:tcPr>
            <w:tcW w:w="5000" w:type="pct"/>
            <w:gridSpan w:val="7"/>
            <w:shd w:val="clear" w:color="auto" w:fill="auto"/>
            <w:vAlign w:val="center"/>
          </w:tcPr>
          <w:p w:rsidR="00261A55" w:rsidRDefault="002B6519">
            <w:pPr>
              <w:pStyle w:val="Tabletext"/>
              <w:keepNext/>
              <w:spacing w:after="0"/>
              <w:rPr>
                <w:rFonts w:ascii="Arial Narrow" w:hAnsi="Arial Narrow"/>
                <w:bCs/>
                <w:color w:val="000000"/>
              </w:rPr>
            </w:pPr>
            <w:r>
              <w:rPr>
                <w:rFonts w:ascii="Arial Narrow" w:hAnsi="Arial Narrow"/>
                <w:b/>
                <w:bCs/>
                <w:color w:val="000000"/>
              </w:rPr>
              <w:t>Estimated financial implications for other medicines</w:t>
            </w:r>
          </w:p>
        </w:tc>
      </w:tr>
      <w:tr w:rsidR="00261A55">
        <w:tc>
          <w:tcPr>
            <w:tcW w:w="1118" w:type="pct"/>
            <w:shd w:val="clear" w:color="auto" w:fill="auto"/>
            <w:vAlign w:val="center"/>
          </w:tcPr>
          <w:p w:rsidR="00261A55" w:rsidRDefault="002B6519">
            <w:pPr>
              <w:pStyle w:val="Tabletext"/>
              <w:keepNext/>
              <w:spacing w:after="0"/>
              <w:rPr>
                <w:rFonts w:ascii="Arial Narrow" w:hAnsi="Arial Narrow"/>
              </w:rPr>
            </w:pPr>
            <w:r>
              <w:rPr>
                <w:rFonts w:ascii="Arial Narrow" w:hAnsi="Arial Narrow"/>
              </w:rPr>
              <w:t>Cost to PBS/RPBS less copayments</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r>
              <w:rPr>
                <w:rFonts w:ascii="Arial Narrow" w:hAnsi="Arial Narrow"/>
                <w:bCs/>
                <w:color w:val="000000"/>
              </w:rPr>
              <w:t xml:space="preserve"> </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r>
              <w:rPr>
                <w:rFonts w:ascii="Arial Narrow" w:hAnsi="Arial Narrow"/>
                <w:bCs/>
                <w:color w:val="000000"/>
              </w:rPr>
              <w:t xml:space="preserve"> </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r>
              <w:rPr>
                <w:rFonts w:ascii="Arial Narrow" w:hAnsi="Arial Narrow"/>
                <w:bCs/>
                <w:color w:val="000000"/>
              </w:rPr>
              <w:t xml:space="preserve"> </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r>
              <w:rPr>
                <w:rFonts w:ascii="Arial Narrow" w:hAnsi="Arial Narrow"/>
                <w:bCs/>
                <w:color w:val="000000"/>
              </w:rPr>
              <w:t xml:space="preserve"> </w:t>
            </w:r>
          </w:p>
        </w:tc>
        <w:tc>
          <w:tcPr>
            <w:tcW w:w="647" w:type="pct"/>
            <w:shd w:val="clear" w:color="auto" w:fill="auto"/>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r>
              <w:rPr>
                <w:rFonts w:ascii="Arial Narrow" w:hAnsi="Arial Narrow"/>
                <w:bCs/>
                <w:color w:val="000000"/>
              </w:rPr>
              <w:t xml:space="preserve"> </w:t>
            </w:r>
          </w:p>
        </w:tc>
        <w:tc>
          <w:tcPr>
            <w:tcW w:w="647" w:type="pct"/>
          </w:tcPr>
          <w:p w:rsidR="00261A55" w:rsidRDefault="002B6519">
            <w:pPr>
              <w:pStyle w:val="Tabletext"/>
              <w:keepNext/>
              <w:spacing w:after="0"/>
              <w:jc w:val="center"/>
              <w:rPr>
                <w:rFonts w:ascii="Arial Narrow" w:hAnsi="Arial Narrow"/>
                <w:bCs/>
                <w:color w:val="000000"/>
              </w:rPr>
            </w:pPr>
            <w:r>
              <w:rPr>
                <w:rFonts w:ascii="Arial Narrow" w:hAnsi="Arial Narrow"/>
                <w:bCs/>
                <w:color w:val="000000"/>
              </w:rPr>
              <w:t>$</w:t>
            </w:r>
            <w:r w:rsidR="000C0C26">
              <w:rPr>
                <w:rFonts w:ascii="Arial Narrow" w:hAnsi="Arial Narrow"/>
                <w:bCs/>
                <w:noProof/>
                <w:color w:val="000000"/>
                <w:highlight w:val="black"/>
              </w:rPr>
              <w:t>''''''''''''''''''</w:t>
            </w:r>
            <w:r>
              <w:rPr>
                <w:rFonts w:ascii="Arial Narrow" w:hAnsi="Arial Narrow"/>
                <w:bCs/>
                <w:color w:val="000000"/>
              </w:rPr>
              <w:t xml:space="preserve"> </w:t>
            </w:r>
          </w:p>
        </w:tc>
      </w:tr>
      <w:tr w:rsidR="00261A55">
        <w:tc>
          <w:tcPr>
            <w:tcW w:w="5000" w:type="pct"/>
            <w:gridSpan w:val="7"/>
            <w:tcBorders>
              <w:bottom w:val="single" w:sz="4" w:space="0" w:color="auto"/>
            </w:tcBorders>
            <w:shd w:val="clear" w:color="auto" w:fill="auto"/>
            <w:vAlign w:val="center"/>
          </w:tcPr>
          <w:p w:rsidR="00261A55" w:rsidRDefault="002B6519">
            <w:pPr>
              <w:pStyle w:val="Tabletext"/>
              <w:keepNext/>
              <w:spacing w:after="0"/>
              <w:rPr>
                <w:rFonts w:ascii="Arial Narrow" w:hAnsi="Arial Narrow"/>
                <w:b/>
                <w:bCs/>
                <w:color w:val="000000"/>
              </w:rPr>
            </w:pPr>
            <w:r>
              <w:rPr>
                <w:rFonts w:ascii="Arial Narrow" w:hAnsi="Arial Narrow"/>
                <w:b/>
                <w:bCs/>
                <w:color w:val="000000"/>
              </w:rPr>
              <w:t>Net financial implications</w:t>
            </w:r>
          </w:p>
        </w:tc>
      </w:tr>
      <w:tr w:rsidR="00261A55">
        <w:tc>
          <w:tcPr>
            <w:tcW w:w="1118" w:type="pct"/>
            <w:tcBorders>
              <w:bottom w:val="single" w:sz="4" w:space="0" w:color="auto"/>
            </w:tcBorders>
            <w:shd w:val="clear" w:color="auto" w:fill="auto"/>
            <w:vAlign w:val="center"/>
          </w:tcPr>
          <w:p w:rsidR="00261A55" w:rsidRDefault="002B6519">
            <w:pPr>
              <w:pStyle w:val="Tabletext"/>
              <w:keepNext/>
              <w:spacing w:after="0"/>
              <w:rPr>
                <w:rFonts w:ascii="Arial Narrow" w:hAnsi="Arial Narrow"/>
              </w:rPr>
            </w:pPr>
            <w:r>
              <w:rPr>
                <w:rFonts w:ascii="Arial Narrow" w:hAnsi="Arial Narrow"/>
              </w:rPr>
              <w:t>Net cost to PBS/RPBS</w:t>
            </w:r>
          </w:p>
        </w:tc>
        <w:tc>
          <w:tcPr>
            <w:tcW w:w="647" w:type="pct"/>
            <w:tcBorders>
              <w:bottom w:val="single" w:sz="4" w:space="0" w:color="auto"/>
            </w:tcBorders>
            <w:shd w:val="clear" w:color="auto" w:fill="auto"/>
          </w:tcPr>
          <w:p w:rsidR="00261A55" w:rsidRDefault="002B6519">
            <w:pPr>
              <w:pStyle w:val="Tabletext"/>
              <w:keepNext/>
              <w:spacing w:after="0"/>
              <w:jc w:val="center"/>
              <w:rPr>
                <w:rFonts w:ascii="Arial Narrow" w:hAnsi="Arial Narrow" w:cs="Calibri"/>
                <w:color w:val="000000"/>
              </w:rPr>
            </w:pPr>
            <w:r>
              <w:rPr>
                <w:rFonts w:ascii="Arial Narrow" w:hAnsi="Arial Narrow" w:cs="Calibri"/>
                <w:color w:val="000000"/>
              </w:rPr>
              <w:t xml:space="preserve"> $</w:t>
            </w:r>
            <w:r w:rsidR="000C0C26">
              <w:rPr>
                <w:rFonts w:ascii="Arial Narrow" w:hAnsi="Arial Narrow" w:cs="Calibri"/>
                <w:noProof/>
                <w:color w:val="000000"/>
                <w:highlight w:val="black"/>
              </w:rPr>
              <w:t>''''''''''''''''''''''''</w:t>
            </w:r>
          </w:p>
        </w:tc>
        <w:tc>
          <w:tcPr>
            <w:tcW w:w="647" w:type="pct"/>
            <w:tcBorders>
              <w:bottom w:val="single" w:sz="4" w:space="0" w:color="auto"/>
            </w:tcBorders>
            <w:shd w:val="clear" w:color="auto" w:fill="auto"/>
          </w:tcPr>
          <w:p w:rsidR="00261A55" w:rsidRDefault="002B6519">
            <w:pPr>
              <w:pStyle w:val="Tabletext"/>
              <w:keepNext/>
              <w:spacing w:after="0"/>
              <w:jc w:val="center"/>
              <w:rPr>
                <w:rFonts w:ascii="Arial Narrow" w:hAnsi="Arial Narrow" w:cs="Calibri"/>
                <w:color w:val="000000"/>
              </w:rPr>
            </w:pPr>
            <w:r>
              <w:rPr>
                <w:rFonts w:ascii="Arial Narrow" w:hAnsi="Arial Narrow" w:cs="Calibri"/>
                <w:color w:val="000000"/>
              </w:rPr>
              <w:t xml:space="preserve"> $</w:t>
            </w:r>
            <w:r w:rsidR="000C0C26">
              <w:rPr>
                <w:rFonts w:ascii="Arial Narrow" w:hAnsi="Arial Narrow" w:cs="Calibri"/>
                <w:noProof/>
                <w:color w:val="000000"/>
                <w:highlight w:val="black"/>
              </w:rPr>
              <w:t>''''''''''''''''''''''</w:t>
            </w:r>
          </w:p>
        </w:tc>
        <w:tc>
          <w:tcPr>
            <w:tcW w:w="647" w:type="pct"/>
            <w:tcBorders>
              <w:bottom w:val="single" w:sz="4" w:space="0" w:color="auto"/>
            </w:tcBorders>
            <w:shd w:val="clear" w:color="auto" w:fill="auto"/>
          </w:tcPr>
          <w:p w:rsidR="00261A55" w:rsidRDefault="002B6519">
            <w:pPr>
              <w:pStyle w:val="Tabletext"/>
              <w:keepNext/>
              <w:spacing w:after="0"/>
              <w:jc w:val="center"/>
              <w:rPr>
                <w:rFonts w:ascii="Arial Narrow" w:hAnsi="Arial Narrow" w:cs="Calibri"/>
                <w:color w:val="000000"/>
              </w:rPr>
            </w:pPr>
            <w:r>
              <w:rPr>
                <w:rFonts w:ascii="Arial Narrow" w:hAnsi="Arial Narrow" w:cs="Calibri"/>
                <w:color w:val="000000"/>
              </w:rPr>
              <w:t xml:space="preserve"> $</w:t>
            </w:r>
            <w:r w:rsidR="000C0C26">
              <w:rPr>
                <w:rFonts w:ascii="Arial Narrow" w:hAnsi="Arial Narrow" w:cs="Calibri"/>
                <w:noProof/>
                <w:color w:val="000000"/>
                <w:highlight w:val="black"/>
              </w:rPr>
              <w:t>'''''''''''''''''''''</w:t>
            </w:r>
          </w:p>
        </w:tc>
        <w:tc>
          <w:tcPr>
            <w:tcW w:w="647" w:type="pct"/>
            <w:tcBorders>
              <w:bottom w:val="single" w:sz="4" w:space="0" w:color="auto"/>
            </w:tcBorders>
            <w:shd w:val="clear" w:color="auto" w:fill="auto"/>
          </w:tcPr>
          <w:p w:rsidR="00261A55" w:rsidRDefault="002B6519">
            <w:pPr>
              <w:pStyle w:val="Tabletext"/>
              <w:keepNext/>
              <w:spacing w:after="0"/>
              <w:jc w:val="center"/>
              <w:rPr>
                <w:rFonts w:ascii="Arial Narrow" w:hAnsi="Arial Narrow" w:cs="Calibri"/>
                <w:color w:val="000000"/>
              </w:rPr>
            </w:pPr>
            <w:r>
              <w:rPr>
                <w:rFonts w:ascii="Arial Narrow" w:hAnsi="Arial Narrow" w:cs="Calibri"/>
                <w:color w:val="000000"/>
              </w:rPr>
              <w:t xml:space="preserve"> $</w:t>
            </w:r>
            <w:r w:rsidR="000C0C26">
              <w:rPr>
                <w:rFonts w:ascii="Arial Narrow" w:hAnsi="Arial Narrow" w:cs="Calibri"/>
                <w:noProof/>
                <w:color w:val="000000"/>
                <w:highlight w:val="black"/>
              </w:rPr>
              <w:t>'''''''''''''''''''''''''</w:t>
            </w:r>
          </w:p>
        </w:tc>
        <w:tc>
          <w:tcPr>
            <w:tcW w:w="647" w:type="pct"/>
            <w:tcBorders>
              <w:bottom w:val="single" w:sz="4" w:space="0" w:color="auto"/>
            </w:tcBorders>
            <w:shd w:val="clear" w:color="auto" w:fill="auto"/>
          </w:tcPr>
          <w:p w:rsidR="00261A55" w:rsidRDefault="002B6519">
            <w:pPr>
              <w:pStyle w:val="Tabletext"/>
              <w:keepNext/>
              <w:spacing w:after="0"/>
              <w:jc w:val="center"/>
              <w:rPr>
                <w:rFonts w:ascii="Arial Narrow" w:hAnsi="Arial Narrow" w:cs="Calibri"/>
                <w:color w:val="000000"/>
              </w:rPr>
            </w:pPr>
            <w:r>
              <w:rPr>
                <w:rFonts w:ascii="Arial Narrow" w:hAnsi="Arial Narrow" w:cs="Calibri"/>
                <w:color w:val="000000"/>
              </w:rPr>
              <w:t xml:space="preserve"> $</w:t>
            </w:r>
            <w:r w:rsidR="000C0C26">
              <w:rPr>
                <w:rFonts w:ascii="Arial Narrow" w:hAnsi="Arial Narrow" w:cs="Calibri"/>
                <w:noProof/>
                <w:color w:val="000000"/>
                <w:highlight w:val="black"/>
              </w:rPr>
              <w:t>''''''''''''''''''''''''</w:t>
            </w:r>
          </w:p>
        </w:tc>
        <w:tc>
          <w:tcPr>
            <w:tcW w:w="647" w:type="pct"/>
            <w:tcBorders>
              <w:bottom w:val="single" w:sz="4" w:space="0" w:color="auto"/>
            </w:tcBorders>
          </w:tcPr>
          <w:p w:rsidR="00261A55" w:rsidRDefault="002B6519">
            <w:pPr>
              <w:pStyle w:val="Tabletext"/>
              <w:keepNext/>
              <w:spacing w:after="0"/>
              <w:jc w:val="center"/>
              <w:rPr>
                <w:rFonts w:ascii="Arial Narrow" w:hAnsi="Arial Narrow" w:cs="Calibri"/>
                <w:color w:val="000000"/>
              </w:rPr>
            </w:pPr>
            <w:r>
              <w:rPr>
                <w:rFonts w:ascii="Arial Narrow" w:hAnsi="Arial Narrow" w:cs="Calibri"/>
                <w:color w:val="000000"/>
              </w:rPr>
              <w:t xml:space="preserve"> $</w:t>
            </w:r>
            <w:r w:rsidR="000C0C26">
              <w:rPr>
                <w:rFonts w:ascii="Arial Narrow" w:hAnsi="Arial Narrow" w:cs="Calibri"/>
                <w:noProof/>
                <w:color w:val="000000"/>
                <w:highlight w:val="black"/>
              </w:rPr>
              <w:t>''''''''''''''''''''''</w:t>
            </w:r>
          </w:p>
        </w:tc>
      </w:tr>
      <w:tr w:rsidR="00261A55">
        <w:tc>
          <w:tcPr>
            <w:tcW w:w="1118" w:type="pct"/>
            <w:tcBorders>
              <w:bottom w:val="single" w:sz="4" w:space="0" w:color="auto"/>
            </w:tcBorders>
            <w:shd w:val="clear" w:color="auto" w:fill="auto"/>
            <w:vAlign w:val="center"/>
          </w:tcPr>
          <w:p w:rsidR="00261A55" w:rsidRDefault="002B6519">
            <w:pPr>
              <w:pStyle w:val="Tabletext"/>
              <w:keepNext/>
              <w:spacing w:after="0"/>
              <w:rPr>
                <w:rFonts w:ascii="Arial Narrow" w:hAnsi="Arial Narrow"/>
              </w:rPr>
            </w:pPr>
            <w:r>
              <w:rPr>
                <w:rFonts w:ascii="Arial Narrow" w:hAnsi="Arial Narrow"/>
              </w:rPr>
              <w:t>Net cost to MBS</w:t>
            </w:r>
          </w:p>
        </w:tc>
        <w:tc>
          <w:tcPr>
            <w:tcW w:w="647" w:type="pct"/>
            <w:tcBorders>
              <w:bottom w:val="single" w:sz="4" w:space="0" w:color="auto"/>
            </w:tcBorders>
            <w:shd w:val="clear" w:color="auto" w:fill="auto"/>
          </w:tcPr>
          <w:p w:rsidR="00261A55" w:rsidRDefault="002B6519">
            <w:pPr>
              <w:pStyle w:val="Tabletext"/>
              <w:keepNext/>
              <w:spacing w:after="0"/>
              <w:jc w:val="center"/>
              <w:rPr>
                <w:rFonts w:ascii="Arial Narrow" w:hAnsi="Arial Narrow"/>
                <w:bCs/>
              </w:rPr>
            </w:pPr>
            <w:r>
              <w:rPr>
                <w:rFonts w:ascii="Arial Narrow" w:hAnsi="Arial Narrow"/>
              </w:rPr>
              <w:t>$</w:t>
            </w:r>
            <w:r w:rsidR="000C0C26">
              <w:rPr>
                <w:rFonts w:ascii="Arial Narrow" w:hAnsi="Arial Narrow"/>
                <w:noProof/>
                <w:color w:val="000000"/>
                <w:highlight w:val="black"/>
              </w:rPr>
              <w:t>'''''''''''''''''</w:t>
            </w:r>
          </w:p>
        </w:tc>
        <w:tc>
          <w:tcPr>
            <w:tcW w:w="647" w:type="pct"/>
            <w:tcBorders>
              <w:bottom w:val="single" w:sz="4" w:space="0" w:color="auto"/>
            </w:tcBorders>
            <w:shd w:val="clear" w:color="auto" w:fill="auto"/>
          </w:tcPr>
          <w:p w:rsidR="00261A55" w:rsidRDefault="002B6519">
            <w:pPr>
              <w:pStyle w:val="Tabletext"/>
              <w:keepNext/>
              <w:spacing w:after="0"/>
              <w:jc w:val="center"/>
              <w:rPr>
                <w:rFonts w:ascii="Arial Narrow" w:hAnsi="Arial Narrow"/>
                <w:bCs/>
              </w:rPr>
            </w:pPr>
            <w:r>
              <w:rPr>
                <w:rFonts w:ascii="Arial Narrow" w:hAnsi="Arial Narrow"/>
              </w:rPr>
              <w:t>$</w:t>
            </w:r>
            <w:r w:rsidR="000C0C26">
              <w:rPr>
                <w:rFonts w:ascii="Arial Narrow" w:hAnsi="Arial Narrow"/>
                <w:noProof/>
                <w:color w:val="000000"/>
                <w:highlight w:val="black"/>
              </w:rPr>
              <w:t>'''''''''''''''</w:t>
            </w:r>
          </w:p>
        </w:tc>
        <w:tc>
          <w:tcPr>
            <w:tcW w:w="647" w:type="pct"/>
            <w:tcBorders>
              <w:bottom w:val="single" w:sz="4" w:space="0" w:color="auto"/>
            </w:tcBorders>
            <w:shd w:val="clear" w:color="auto" w:fill="auto"/>
          </w:tcPr>
          <w:p w:rsidR="00261A55" w:rsidRDefault="002B6519">
            <w:pPr>
              <w:pStyle w:val="Tabletext"/>
              <w:keepNext/>
              <w:spacing w:after="0"/>
              <w:jc w:val="center"/>
              <w:rPr>
                <w:rFonts w:ascii="Arial Narrow" w:hAnsi="Arial Narrow"/>
                <w:bCs/>
              </w:rPr>
            </w:pPr>
            <w:r>
              <w:rPr>
                <w:rFonts w:ascii="Arial Narrow" w:hAnsi="Arial Narrow"/>
              </w:rPr>
              <w:t>$</w:t>
            </w:r>
            <w:r w:rsidR="000C0C26">
              <w:rPr>
                <w:rFonts w:ascii="Arial Narrow" w:hAnsi="Arial Narrow"/>
                <w:noProof/>
                <w:color w:val="000000"/>
                <w:highlight w:val="black"/>
              </w:rPr>
              <w:t>''''''''''''''''</w:t>
            </w:r>
          </w:p>
        </w:tc>
        <w:tc>
          <w:tcPr>
            <w:tcW w:w="647" w:type="pct"/>
            <w:tcBorders>
              <w:bottom w:val="single" w:sz="4" w:space="0" w:color="auto"/>
            </w:tcBorders>
            <w:shd w:val="clear" w:color="auto" w:fill="auto"/>
          </w:tcPr>
          <w:p w:rsidR="00261A55" w:rsidRDefault="002B6519">
            <w:pPr>
              <w:pStyle w:val="Tabletext"/>
              <w:keepNext/>
              <w:spacing w:after="0"/>
              <w:jc w:val="center"/>
              <w:rPr>
                <w:rFonts w:ascii="Arial Narrow" w:hAnsi="Arial Narrow"/>
                <w:bCs/>
              </w:rPr>
            </w:pPr>
            <w:r>
              <w:rPr>
                <w:rFonts w:ascii="Arial Narrow" w:hAnsi="Arial Narrow"/>
              </w:rPr>
              <w:t>$</w:t>
            </w:r>
            <w:r w:rsidR="000C0C26">
              <w:rPr>
                <w:rFonts w:ascii="Arial Narrow" w:hAnsi="Arial Narrow"/>
                <w:noProof/>
                <w:color w:val="000000"/>
                <w:highlight w:val="black"/>
              </w:rPr>
              <w:t>'''''''''''''''</w:t>
            </w:r>
          </w:p>
        </w:tc>
        <w:tc>
          <w:tcPr>
            <w:tcW w:w="647" w:type="pct"/>
            <w:tcBorders>
              <w:bottom w:val="single" w:sz="4" w:space="0" w:color="auto"/>
            </w:tcBorders>
            <w:shd w:val="clear" w:color="auto" w:fill="auto"/>
          </w:tcPr>
          <w:p w:rsidR="00261A55" w:rsidRDefault="002B6519">
            <w:pPr>
              <w:pStyle w:val="Tabletext"/>
              <w:keepNext/>
              <w:spacing w:after="0"/>
              <w:jc w:val="center"/>
              <w:rPr>
                <w:rFonts w:ascii="Arial Narrow" w:hAnsi="Arial Narrow"/>
                <w:bCs/>
              </w:rPr>
            </w:pPr>
            <w:r>
              <w:rPr>
                <w:rFonts w:ascii="Arial Narrow" w:hAnsi="Arial Narrow"/>
              </w:rPr>
              <w:t>$</w:t>
            </w:r>
            <w:r w:rsidR="000C0C26">
              <w:rPr>
                <w:rFonts w:ascii="Arial Narrow" w:hAnsi="Arial Narrow"/>
                <w:noProof/>
                <w:color w:val="000000"/>
                <w:highlight w:val="black"/>
              </w:rPr>
              <w:t>'''''''''''''''</w:t>
            </w:r>
          </w:p>
        </w:tc>
        <w:tc>
          <w:tcPr>
            <w:tcW w:w="647" w:type="pct"/>
            <w:tcBorders>
              <w:bottom w:val="single" w:sz="4" w:space="0" w:color="auto"/>
            </w:tcBorders>
          </w:tcPr>
          <w:p w:rsidR="00261A55" w:rsidRDefault="002B6519">
            <w:pPr>
              <w:pStyle w:val="Tabletext"/>
              <w:keepNext/>
              <w:spacing w:after="0"/>
              <w:jc w:val="center"/>
              <w:rPr>
                <w:rFonts w:ascii="Arial Narrow" w:hAnsi="Arial Narrow"/>
                <w:bCs/>
              </w:rPr>
            </w:pPr>
            <w:r>
              <w:rPr>
                <w:rFonts w:ascii="Arial Narrow" w:hAnsi="Arial Narrow"/>
              </w:rPr>
              <w:t>$</w:t>
            </w:r>
            <w:r w:rsidR="000C0C26">
              <w:rPr>
                <w:rFonts w:ascii="Arial Narrow" w:hAnsi="Arial Narrow"/>
                <w:noProof/>
                <w:color w:val="000000"/>
                <w:highlight w:val="black"/>
              </w:rPr>
              <w:t>'''''''''''''''''</w:t>
            </w:r>
          </w:p>
        </w:tc>
      </w:tr>
    </w:tbl>
    <w:p w:rsidR="00261A55" w:rsidRDefault="002B6519">
      <w:pPr>
        <w:jc w:val="both"/>
        <w:rPr>
          <w:rFonts w:ascii="Arial Narrow" w:hAnsi="Arial Narrow" w:cs="Arial"/>
          <w:sz w:val="20"/>
          <w:szCs w:val="20"/>
          <w:lang w:eastAsia="en-US"/>
        </w:rPr>
      </w:pPr>
      <w:r>
        <w:rPr>
          <w:rFonts w:ascii="Arial Narrow" w:hAnsi="Arial Narrow" w:cs="Arial"/>
          <w:sz w:val="20"/>
          <w:szCs w:val="20"/>
          <w:vertAlign w:val="superscript"/>
          <w:lang w:eastAsia="en-US"/>
        </w:rPr>
        <w:t>a</w:t>
      </w:r>
      <w:r>
        <w:rPr>
          <w:rFonts w:ascii="Arial Narrow" w:hAnsi="Arial Narrow" w:cs="Arial"/>
          <w:sz w:val="20"/>
          <w:szCs w:val="20"/>
          <w:lang w:eastAsia="en-US"/>
        </w:rPr>
        <w:t xml:space="preserve"> Assuming 10 scripts (of 1 x 100 mg vial and 1 x 500 mg vial) per year, as estimated by the submission. </w:t>
      </w:r>
    </w:p>
    <w:p w:rsidR="00261A55" w:rsidRDefault="002B6519">
      <w:pPr>
        <w:jc w:val="both"/>
        <w:rPr>
          <w:rFonts w:ascii="Arial Narrow" w:hAnsi="Arial Narrow"/>
          <w:sz w:val="20"/>
          <w:szCs w:val="20"/>
        </w:rPr>
      </w:pPr>
      <w:r>
        <w:rPr>
          <w:rFonts w:ascii="Arial Narrow" w:hAnsi="Arial Narrow"/>
          <w:sz w:val="20"/>
          <w:szCs w:val="20"/>
        </w:rPr>
        <w:t>Source: ‘Section 4 Workbook (Cyramza) update 27052019.xlsx’ excel workbook.</w:t>
      </w:r>
    </w:p>
    <w:p w:rsidR="00261A55" w:rsidRDefault="00261A55">
      <w:pPr>
        <w:rPr>
          <w:rFonts w:asciiTheme="minorHAnsi" w:hAnsiTheme="minorHAnsi"/>
          <w:sz w:val="22"/>
          <w:szCs w:val="22"/>
        </w:rPr>
      </w:pPr>
    </w:p>
    <w:p w:rsidR="00261A55" w:rsidRDefault="002B6519">
      <w:pPr>
        <w:pStyle w:val="3Bodytext"/>
      </w:pPr>
      <w:r>
        <w:t>As a minor submission, the financial estimates were not independently evaluated. The estimates provided by the sponsor did not include revisions made by the evaluators to the March 2018 major submission relating to copayments and the costs for administration and monitoring (</w:t>
      </w:r>
      <w:r>
        <w:rPr>
          <w:rFonts w:eastAsia="Times New Roman" w:cs="Arial"/>
          <w:snapToGrid w:val="0"/>
          <w:szCs w:val="24"/>
        </w:rPr>
        <w:t>PBAC minutes</w:t>
      </w:r>
      <w:r>
        <w:t>, Table 11)</w:t>
      </w:r>
      <w:r>
        <w:rPr>
          <w:snapToGrid w:val="0"/>
        </w:rPr>
        <w:t xml:space="preserve">. In March 2018, the PBAC </w:t>
      </w:r>
      <w:r>
        <w:t>considered</w:t>
      </w:r>
      <w:r>
        <w:rPr>
          <w:snapToGrid w:val="0"/>
        </w:rPr>
        <w:t xml:space="preserve"> that the estimated use of r</w:t>
      </w:r>
      <w:r>
        <w:t>amucirumab is highly uncertain and</w:t>
      </w:r>
      <w:r>
        <w:rPr>
          <w:snapToGrid w:val="0"/>
        </w:rPr>
        <w:t xml:space="preserve"> may </w:t>
      </w:r>
      <w:r>
        <w:t xml:space="preserve">have been </w:t>
      </w:r>
      <w:r>
        <w:rPr>
          <w:snapToGrid w:val="0"/>
        </w:rPr>
        <w:t>underestimated</w:t>
      </w:r>
      <w:r>
        <w:t xml:space="preserve"> (</w:t>
      </w:r>
      <w:r>
        <w:rPr>
          <w:rFonts w:eastAsia="Times New Roman" w:cs="Arial"/>
          <w:snapToGrid w:val="0"/>
          <w:szCs w:val="24"/>
        </w:rPr>
        <w:t>PBAC minutes</w:t>
      </w:r>
      <w:r>
        <w:t>, paragraph 7.16)</w:t>
      </w:r>
      <w:r>
        <w:rPr>
          <w:snapToGrid w:val="0"/>
        </w:rPr>
        <w:t xml:space="preserve">. </w:t>
      </w:r>
    </w:p>
    <w:p w:rsidR="00261A55" w:rsidRDefault="002B6519">
      <w:pPr>
        <w:pStyle w:val="3Bodytext"/>
        <w:numPr>
          <w:ilvl w:val="0"/>
          <w:numId w:val="0"/>
        </w:numPr>
        <w:ind w:left="709"/>
      </w:pPr>
      <w:r>
        <w:rPr>
          <w:i/>
        </w:rPr>
        <w:t>For more detail on PBAC’s view, see section 5 PBAC outcome.</w:t>
      </w:r>
    </w:p>
    <w:p w:rsidR="00261A55" w:rsidRDefault="002B6519">
      <w:pPr>
        <w:pStyle w:val="Heading1"/>
        <w:keepNext/>
        <w:keepLines/>
        <w:widowControl/>
        <w:numPr>
          <w:ilvl w:val="0"/>
          <w:numId w:val="5"/>
        </w:numPr>
        <w:spacing w:before="240" w:after="120"/>
        <w:ind w:left="709" w:hanging="709"/>
        <w:contextualSpacing w:val="0"/>
        <w:jc w:val="left"/>
        <w:rPr>
          <w:rFonts w:asciiTheme="minorHAnsi" w:hAnsiTheme="minorHAnsi" w:cstheme="minorHAnsi"/>
          <w:sz w:val="32"/>
          <w:szCs w:val="32"/>
        </w:rPr>
      </w:pPr>
      <w:r>
        <w:rPr>
          <w:rFonts w:asciiTheme="minorHAnsi" w:hAnsiTheme="minorHAnsi" w:cstheme="minorHAnsi"/>
          <w:sz w:val="32"/>
          <w:szCs w:val="32"/>
        </w:rPr>
        <w:t>PBAC Outcome</w:t>
      </w:r>
    </w:p>
    <w:p w:rsidR="00261A55" w:rsidRDefault="002B6519">
      <w:pPr>
        <w:pStyle w:val="3Bodytext"/>
      </w:pPr>
      <w:r>
        <w:t>The PBAC did not recommend a change to the basis of its March 2018 recommendation for ramucirumab in combination with paclitaxel (RAM+PAC) for the treatment of patients with gastric or gastro-oesophageal junction adenocarcinoma.</w:t>
      </w:r>
    </w:p>
    <w:p w:rsidR="00261A55" w:rsidRDefault="002B6519">
      <w:pPr>
        <w:pStyle w:val="3Bodytext"/>
      </w:pPr>
      <w:r>
        <w:t xml:space="preserve">The PBAC recalled that in March 2018 it recommended RAM+PAC for the treatment of G/GEJ adenocarcinoma on the basis that a substantial price reduction of around </w:t>
      </w:r>
      <w:r w:rsidR="000C0C26">
        <w:rPr>
          <w:noProof/>
          <w:color w:val="000000"/>
          <w:highlight w:val="black"/>
        </w:rPr>
        <w:t>''''''</w:t>
      </w:r>
      <w:r>
        <w:t>% would be required for RAM+PAC to be cost-effective against PAC in the proposed PBS population (see paragraph 3.2).</w:t>
      </w:r>
    </w:p>
    <w:p w:rsidR="00261A55" w:rsidRDefault="002B6519">
      <w:pPr>
        <w:pStyle w:val="3Bodytext"/>
      </w:pPr>
      <w:r>
        <w:t xml:space="preserve">The PBAC noted the argument in the minor resubmission that the rate of hospitalisation in the post-progression health state should be more than zero. The PBAC noted that despite applying the same rate of hospitalisation in both arms of the model (of 3.1% in the minor resubmission), because these were applied on a per cycle basis, and as time spent in post-progression state was longer with PAC than RAM+PAC, post-progression hospitalisation costs remained the main driver of cost offsets in the model. The PBAC noted that the minor resubmission did not provide a justification for why post-progression hospitalisation costs would be significantly higher for patients treated with PAC when compared to RAM+PAC in clinical practice. Accordingly, the </w:t>
      </w:r>
      <w:r>
        <w:lastRenderedPageBreak/>
        <w:t>PBAC considered that it was appropriate to set the hospitalisation rates in the post-progression health state such that the resulting incremental post-progression hospitalisations cost was $0. The PBAC noted that the model was sensitive to this assumption, resulting in an ICER of $105,000-$200,000 per QALY gained; the PBAC considered this to be the appropriate base case for decision making.</w:t>
      </w:r>
    </w:p>
    <w:p w:rsidR="00261A55" w:rsidRDefault="002B6519">
      <w:pPr>
        <w:pStyle w:val="3Bodytext"/>
      </w:pPr>
      <w:r>
        <w:t>The PBAC considered that the cost-effectiveness of ramucirumab was unacceptably high at this ICER, particularly in light of its modest clinical benefit and significant toxicity (paragraph 7.10, March 2018 PSD). The PBAC reiterated its advice from March 2018 that ramucirumab would be acceptably cost-effective at an ICER range of $40,000</w:t>
      </w:r>
      <w:r>
        <w:noBreakHyphen/>
        <w:t xml:space="preserve">$45,000 per QALY gained, incorporating the above change to hospitalisations in the post-progression health state. </w:t>
      </w:r>
    </w:p>
    <w:p w:rsidR="00261A55" w:rsidRDefault="002B6519">
      <w:pPr>
        <w:pStyle w:val="3Bodytext"/>
        <w:numPr>
          <w:ilvl w:val="1"/>
          <w:numId w:val="5"/>
        </w:numPr>
      </w:pPr>
      <w:r>
        <w:t>The PBAC noted that this submission is eligible for an Independent Review.</w:t>
      </w:r>
    </w:p>
    <w:p w:rsidR="00261A55" w:rsidRDefault="00261A55">
      <w:pPr>
        <w:pStyle w:val="ListParagraph"/>
        <w:rPr>
          <w:rFonts w:asciiTheme="minorHAnsi" w:hAnsiTheme="minorHAnsi"/>
        </w:rPr>
      </w:pPr>
    </w:p>
    <w:p w:rsidR="00261A55" w:rsidRDefault="002B6519">
      <w:pPr>
        <w:jc w:val="both"/>
        <w:rPr>
          <w:rFonts w:asciiTheme="minorHAnsi" w:hAnsiTheme="minorHAnsi" w:cs="Arial"/>
          <w:b/>
          <w:bCs/>
          <w:snapToGrid w:val="0"/>
          <w:lang w:val="en-GB"/>
        </w:rPr>
      </w:pPr>
      <w:r>
        <w:rPr>
          <w:rFonts w:asciiTheme="minorHAnsi" w:hAnsiTheme="minorHAnsi" w:cs="Arial"/>
          <w:b/>
          <w:bCs/>
          <w:snapToGrid w:val="0"/>
          <w:lang w:val="en-GB"/>
        </w:rPr>
        <w:t>Outcome:</w:t>
      </w:r>
    </w:p>
    <w:p w:rsidR="00261A55" w:rsidRDefault="002B6519">
      <w:pPr>
        <w:jc w:val="both"/>
        <w:rPr>
          <w:rFonts w:asciiTheme="minorHAnsi" w:hAnsiTheme="minorHAnsi" w:cs="Arial"/>
          <w:bCs/>
          <w:snapToGrid w:val="0"/>
          <w:lang w:val="en-GB"/>
        </w:rPr>
      </w:pPr>
      <w:r>
        <w:rPr>
          <w:rFonts w:asciiTheme="minorHAnsi" w:hAnsiTheme="minorHAnsi" w:cs="Arial"/>
          <w:bCs/>
          <w:snapToGrid w:val="0"/>
          <w:lang w:val="en-GB"/>
        </w:rPr>
        <w:t>Rejected</w:t>
      </w:r>
    </w:p>
    <w:p w:rsidR="00261A55" w:rsidRDefault="00261A55">
      <w:pPr>
        <w:rPr>
          <w:rFonts w:asciiTheme="minorHAnsi" w:hAnsiTheme="minorHAnsi" w:cs="Arial"/>
        </w:rPr>
      </w:pPr>
    </w:p>
    <w:p w:rsidR="00261A55" w:rsidRDefault="002B6519">
      <w:pPr>
        <w:pStyle w:val="Heading1"/>
        <w:keepNext/>
        <w:keepLines/>
        <w:widowControl/>
        <w:numPr>
          <w:ilvl w:val="0"/>
          <w:numId w:val="5"/>
        </w:numPr>
        <w:spacing w:before="240" w:after="120"/>
        <w:ind w:left="709" w:hanging="709"/>
        <w:contextualSpacing w:val="0"/>
        <w:jc w:val="left"/>
        <w:rPr>
          <w:rFonts w:asciiTheme="minorHAnsi" w:hAnsiTheme="minorHAnsi" w:cstheme="minorHAnsi"/>
          <w:sz w:val="32"/>
          <w:szCs w:val="32"/>
        </w:rPr>
      </w:pPr>
      <w:r>
        <w:rPr>
          <w:rFonts w:asciiTheme="minorHAnsi" w:hAnsiTheme="minorHAnsi" w:cstheme="minorHAnsi"/>
          <w:sz w:val="32"/>
          <w:szCs w:val="32"/>
        </w:rPr>
        <w:t>Context for Decision</w:t>
      </w:r>
    </w:p>
    <w:p w:rsidR="00261A55" w:rsidRPr="00BD417A" w:rsidRDefault="002B6519" w:rsidP="00BD417A">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bookmarkStart w:id="1" w:name="_GoBack"/>
      <w:bookmarkEnd w:id="1"/>
    </w:p>
    <w:p w:rsidR="00261A55" w:rsidRDefault="002B6519">
      <w:pPr>
        <w:pStyle w:val="Heading1"/>
        <w:keepNext/>
        <w:keepLines/>
        <w:widowControl/>
        <w:numPr>
          <w:ilvl w:val="0"/>
          <w:numId w:val="5"/>
        </w:numPr>
        <w:spacing w:before="240" w:after="120"/>
        <w:ind w:left="709" w:hanging="709"/>
        <w:contextualSpacing w:val="0"/>
        <w:jc w:val="left"/>
        <w:rPr>
          <w:rFonts w:asciiTheme="minorHAnsi" w:hAnsiTheme="minorHAnsi" w:cstheme="minorHAnsi"/>
          <w:sz w:val="32"/>
          <w:szCs w:val="32"/>
        </w:rPr>
      </w:pPr>
      <w:r>
        <w:rPr>
          <w:rFonts w:asciiTheme="minorHAnsi" w:hAnsiTheme="minorHAnsi" w:cstheme="minorHAnsi"/>
          <w:sz w:val="32"/>
          <w:szCs w:val="32"/>
        </w:rPr>
        <w:t>Sponsor’s Comment</w:t>
      </w:r>
    </w:p>
    <w:p w:rsidR="00261A55" w:rsidRDefault="002B6519">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The sponsor had no comment.</w:t>
      </w:r>
    </w:p>
    <w:p w:rsidR="00261A55" w:rsidRDefault="00261A55">
      <w:pPr>
        <w:rPr>
          <w:rFonts w:asciiTheme="minorHAnsi" w:hAnsiTheme="minorHAnsi" w:cs="Arial"/>
        </w:rPr>
      </w:pPr>
    </w:p>
    <w:sectPr w:rsidR="00261A5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C26" w:rsidRDefault="000C0C26">
      <w:r>
        <w:separator/>
      </w:r>
    </w:p>
    <w:p w:rsidR="000C0C26" w:rsidRDefault="000C0C26"/>
  </w:endnote>
  <w:endnote w:type="continuationSeparator" w:id="0">
    <w:p w:rsidR="000C0C26" w:rsidRDefault="000C0C26">
      <w:r>
        <w:continuationSeparator/>
      </w:r>
    </w:p>
    <w:p w:rsidR="000C0C26" w:rsidRDefault="000C0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61A55">
      <w:trPr>
        <w:trHeight w:val="151"/>
      </w:trPr>
      <w:tc>
        <w:tcPr>
          <w:tcW w:w="2250" w:type="pct"/>
          <w:tcBorders>
            <w:top w:val="nil"/>
            <w:left w:val="nil"/>
            <w:bottom w:val="single" w:sz="4" w:space="0" w:color="4F81BD"/>
            <w:right w:val="nil"/>
          </w:tcBorders>
        </w:tcPr>
        <w:p w:rsidR="00261A55" w:rsidRDefault="00261A55">
          <w:pPr>
            <w:pStyle w:val="Header"/>
            <w:spacing w:line="276" w:lineRule="auto"/>
            <w:rPr>
              <w:rFonts w:ascii="Calibri" w:eastAsia="MS Gothic" w:hAnsi="Calibri"/>
              <w:b/>
              <w:bCs/>
              <w:color w:val="4F81BD"/>
            </w:rPr>
          </w:pPr>
        </w:p>
      </w:tc>
      <w:tc>
        <w:tcPr>
          <w:tcW w:w="500" w:type="pct"/>
          <w:vMerge w:val="restart"/>
          <w:noWrap/>
          <w:vAlign w:val="center"/>
          <w:hideMark/>
        </w:tcPr>
        <w:p w:rsidR="00261A55" w:rsidRDefault="002B6519">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261A55" w:rsidRDefault="00261A55">
          <w:pPr>
            <w:pStyle w:val="Header"/>
            <w:spacing w:line="276" w:lineRule="auto"/>
            <w:rPr>
              <w:rFonts w:ascii="Calibri" w:eastAsia="MS Gothic" w:hAnsi="Calibri"/>
              <w:b/>
              <w:bCs/>
              <w:color w:val="4F81BD"/>
            </w:rPr>
          </w:pPr>
        </w:p>
      </w:tc>
    </w:tr>
    <w:tr w:rsidR="00261A55">
      <w:trPr>
        <w:trHeight w:val="150"/>
      </w:trPr>
      <w:tc>
        <w:tcPr>
          <w:tcW w:w="2250" w:type="pct"/>
          <w:tcBorders>
            <w:top w:val="single" w:sz="4" w:space="0" w:color="4F81BD"/>
            <w:left w:val="nil"/>
            <w:bottom w:val="nil"/>
            <w:right w:val="nil"/>
          </w:tcBorders>
        </w:tcPr>
        <w:p w:rsidR="00261A55" w:rsidRDefault="00261A55">
          <w:pPr>
            <w:pStyle w:val="Header"/>
            <w:spacing w:line="276" w:lineRule="auto"/>
            <w:rPr>
              <w:rFonts w:ascii="Calibri" w:eastAsia="MS Gothic" w:hAnsi="Calibri"/>
              <w:b/>
              <w:bCs/>
              <w:color w:val="4F81BD"/>
            </w:rPr>
          </w:pPr>
        </w:p>
      </w:tc>
      <w:tc>
        <w:tcPr>
          <w:tcW w:w="0" w:type="auto"/>
          <w:vMerge/>
          <w:vAlign w:val="center"/>
          <w:hideMark/>
        </w:tcPr>
        <w:p w:rsidR="00261A55" w:rsidRDefault="00261A55">
          <w:pPr>
            <w:rPr>
              <w:rFonts w:ascii="Calibri" w:hAnsi="Calibri"/>
              <w:color w:val="365F91"/>
              <w:sz w:val="22"/>
              <w:szCs w:val="22"/>
            </w:rPr>
          </w:pPr>
        </w:p>
      </w:tc>
      <w:tc>
        <w:tcPr>
          <w:tcW w:w="2250" w:type="pct"/>
          <w:tcBorders>
            <w:top w:val="single" w:sz="4" w:space="0" w:color="4F81BD"/>
            <w:left w:val="nil"/>
            <w:bottom w:val="nil"/>
            <w:right w:val="nil"/>
          </w:tcBorders>
        </w:tcPr>
        <w:p w:rsidR="00261A55" w:rsidRDefault="00261A55">
          <w:pPr>
            <w:pStyle w:val="Header"/>
            <w:spacing w:line="276" w:lineRule="auto"/>
            <w:rPr>
              <w:rFonts w:ascii="Calibri" w:eastAsia="MS Gothic" w:hAnsi="Calibri"/>
              <w:b/>
              <w:bCs/>
              <w:color w:val="4F81BD"/>
            </w:rPr>
          </w:pPr>
        </w:p>
      </w:tc>
    </w:tr>
  </w:tbl>
  <w:p w:rsidR="00261A55" w:rsidRDefault="002B65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1A55" w:rsidRDefault="00261A55">
    <w:pPr>
      <w:pStyle w:val="Footer"/>
    </w:pPr>
  </w:p>
  <w:p w:rsidR="00261A55" w:rsidRDefault="00261A5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55" w:rsidRDefault="00261A55">
    <w:pPr>
      <w:pStyle w:val="Footer"/>
      <w:jc w:val="center"/>
    </w:pPr>
  </w:p>
  <w:p w:rsidR="00261A55" w:rsidRDefault="00742A2A">
    <w:pPr>
      <w:pStyle w:val="Footer"/>
      <w:jc w:val="center"/>
    </w:pPr>
    <w:sdt>
      <w:sdtPr>
        <w:id w:val="-1811315316"/>
        <w:docPartObj>
          <w:docPartGallery w:val="Page Numbers (Bottom of Page)"/>
          <w:docPartUnique/>
        </w:docPartObj>
      </w:sdtPr>
      <w:sdtEndPr>
        <w:rPr>
          <w:rFonts w:asciiTheme="minorHAnsi" w:hAnsiTheme="minorHAnsi" w:cstheme="minorHAnsi"/>
          <w:b/>
          <w:noProof/>
        </w:rPr>
      </w:sdtEndPr>
      <w:sdtContent>
        <w:r w:rsidR="002B6519">
          <w:rPr>
            <w:rFonts w:asciiTheme="minorHAnsi" w:hAnsiTheme="minorHAnsi" w:cstheme="minorHAnsi"/>
            <w:b/>
          </w:rPr>
          <w:fldChar w:fldCharType="begin"/>
        </w:r>
        <w:r w:rsidR="002B6519">
          <w:rPr>
            <w:rFonts w:asciiTheme="minorHAnsi" w:hAnsiTheme="minorHAnsi" w:cstheme="minorHAnsi"/>
            <w:b/>
          </w:rPr>
          <w:instrText xml:space="preserve"> PAGE   \* MERGEFORMAT </w:instrText>
        </w:r>
        <w:r w:rsidR="002B6519">
          <w:rPr>
            <w:rFonts w:asciiTheme="minorHAnsi" w:hAnsiTheme="minorHAnsi" w:cstheme="minorHAnsi"/>
            <w:b/>
          </w:rPr>
          <w:fldChar w:fldCharType="separate"/>
        </w:r>
        <w:r>
          <w:rPr>
            <w:rFonts w:asciiTheme="minorHAnsi" w:hAnsiTheme="minorHAnsi" w:cstheme="minorHAnsi"/>
            <w:b/>
            <w:noProof/>
          </w:rPr>
          <w:t>6</w:t>
        </w:r>
        <w:r w:rsidR="002B6519">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261A55">
      <w:trPr>
        <w:trHeight w:val="151"/>
      </w:trPr>
      <w:tc>
        <w:tcPr>
          <w:tcW w:w="2250" w:type="pct"/>
          <w:tcBorders>
            <w:top w:val="nil"/>
            <w:left w:val="nil"/>
            <w:bottom w:val="single" w:sz="4" w:space="0" w:color="4F81BD"/>
            <w:right w:val="nil"/>
          </w:tcBorders>
        </w:tcPr>
        <w:p w:rsidR="00261A55" w:rsidRDefault="00261A55">
          <w:pPr>
            <w:pStyle w:val="Header"/>
            <w:spacing w:line="276" w:lineRule="auto"/>
            <w:rPr>
              <w:rFonts w:ascii="Calibri" w:eastAsia="MS Gothic" w:hAnsi="Calibri"/>
              <w:b/>
              <w:bCs/>
              <w:color w:val="4F81BD"/>
            </w:rPr>
          </w:pPr>
        </w:p>
      </w:tc>
      <w:tc>
        <w:tcPr>
          <w:tcW w:w="500" w:type="pct"/>
          <w:vMerge w:val="restart"/>
          <w:noWrap/>
          <w:vAlign w:val="center"/>
          <w:hideMark/>
        </w:tcPr>
        <w:p w:rsidR="00261A55" w:rsidRDefault="002B6519">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261A55" w:rsidRDefault="00261A55">
          <w:pPr>
            <w:pStyle w:val="Header"/>
            <w:spacing w:line="276" w:lineRule="auto"/>
            <w:rPr>
              <w:rFonts w:ascii="Calibri" w:eastAsia="MS Gothic" w:hAnsi="Calibri"/>
              <w:b/>
              <w:bCs/>
              <w:color w:val="4F81BD"/>
            </w:rPr>
          </w:pPr>
        </w:p>
      </w:tc>
    </w:tr>
    <w:tr w:rsidR="00261A55">
      <w:trPr>
        <w:trHeight w:val="150"/>
      </w:trPr>
      <w:tc>
        <w:tcPr>
          <w:tcW w:w="2250" w:type="pct"/>
          <w:tcBorders>
            <w:top w:val="single" w:sz="4" w:space="0" w:color="4F81BD"/>
            <w:left w:val="nil"/>
            <w:bottom w:val="nil"/>
            <w:right w:val="nil"/>
          </w:tcBorders>
        </w:tcPr>
        <w:p w:rsidR="00261A55" w:rsidRDefault="00261A55">
          <w:pPr>
            <w:pStyle w:val="Header"/>
            <w:spacing w:line="276" w:lineRule="auto"/>
            <w:rPr>
              <w:rFonts w:ascii="Calibri" w:eastAsia="MS Gothic" w:hAnsi="Calibri"/>
              <w:b/>
              <w:bCs/>
              <w:color w:val="4F81BD"/>
            </w:rPr>
          </w:pPr>
        </w:p>
      </w:tc>
      <w:tc>
        <w:tcPr>
          <w:tcW w:w="0" w:type="auto"/>
          <w:vMerge/>
          <w:vAlign w:val="center"/>
          <w:hideMark/>
        </w:tcPr>
        <w:p w:rsidR="00261A55" w:rsidRDefault="00261A55">
          <w:pPr>
            <w:rPr>
              <w:rFonts w:ascii="Calibri" w:hAnsi="Calibri"/>
              <w:color w:val="365F91"/>
              <w:sz w:val="22"/>
              <w:szCs w:val="22"/>
            </w:rPr>
          </w:pPr>
        </w:p>
      </w:tc>
      <w:tc>
        <w:tcPr>
          <w:tcW w:w="2250" w:type="pct"/>
          <w:tcBorders>
            <w:top w:val="single" w:sz="4" w:space="0" w:color="4F81BD"/>
            <w:left w:val="nil"/>
            <w:bottom w:val="nil"/>
            <w:right w:val="nil"/>
          </w:tcBorders>
        </w:tcPr>
        <w:p w:rsidR="00261A55" w:rsidRDefault="00261A55">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61A55">
      <w:trPr>
        <w:trHeight w:val="151"/>
      </w:trPr>
      <w:tc>
        <w:tcPr>
          <w:tcW w:w="2250" w:type="pct"/>
          <w:tcBorders>
            <w:top w:val="nil"/>
            <w:left w:val="nil"/>
            <w:bottom w:val="single" w:sz="4" w:space="0" w:color="4F81BD"/>
            <w:right w:val="nil"/>
          </w:tcBorders>
        </w:tcPr>
        <w:p w:rsidR="00261A55" w:rsidRDefault="00261A55">
          <w:pPr>
            <w:pStyle w:val="Header"/>
            <w:spacing w:line="276" w:lineRule="auto"/>
            <w:rPr>
              <w:rFonts w:ascii="Calibri" w:eastAsia="MS Gothic" w:hAnsi="Calibri"/>
              <w:b/>
              <w:bCs/>
              <w:color w:val="4F81BD"/>
            </w:rPr>
          </w:pPr>
        </w:p>
      </w:tc>
      <w:tc>
        <w:tcPr>
          <w:tcW w:w="500" w:type="pct"/>
          <w:vMerge w:val="restart"/>
          <w:noWrap/>
          <w:vAlign w:val="center"/>
          <w:hideMark/>
        </w:tcPr>
        <w:p w:rsidR="00261A55" w:rsidRDefault="002B6519">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261A55" w:rsidRDefault="00261A55">
          <w:pPr>
            <w:pStyle w:val="Header"/>
            <w:spacing w:line="276" w:lineRule="auto"/>
            <w:rPr>
              <w:rFonts w:ascii="Calibri" w:eastAsia="MS Gothic" w:hAnsi="Calibri"/>
              <w:b/>
              <w:bCs/>
              <w:color w:val="4F81BD"/>
            </w:rPr>
          </w:pPr>
        </w:p>
      </w:tc>
    </w:tr>
    <w:tr w:rsidR="00261A55">
      <w:trPr>
        <w:trHeight w:val="150"/>
      </w:trPr>
      <w:tc>
        <w:tcPr>
          <w:tcW w:w="2250" w:type="pct"/>
          <w:tcBorders>
            <w:top w:val="single" w:sz="4" w:space="0" w:color="4F81BD"/>
            <w:left w:val="nil"/>
            <w:bottom w:val="nil"/>
            <w:right w:val="nil"/>
          </w:tcBorders>
        </w:tcPr>
        <w:p w:rsidR="00261A55" w:rsidRDefault="00261A55">
          <w:pPr>
            <w:pStyle w:val="Header"/>
            <w:spacing w:line="276" w:lineRule="auto"/>
            <w:rPr>
              <w:rFonts w:ascii="Calibri" w:eastAsia="MS Gothic" w:hAnsi="Calibri"/>
              <w:b/>
              <w:bCs/>
              <w:color w:val="4F81BD"/>
            </w:rPr>
          </w:pPr>
        </w:p>
      </w:tc>
      <w:tc>
        <w:tcPr>
          <w:tcW w:w="0" w:type="auto"/>
          <w:vMerge/>
          <w:vAlign w:val="center"/>
          <w:hideMark/>
        </w:tcPr>
        <w:p w:rsidR="00261A55" w:rsidRDefault="00261A55">
          <w:pPr>
            <w:rPr>
              <w:rFonts w:ascii="Calibri" w:hAnsi="Calibri"/>
              <w:color w:val="365F91"/>
              <w:sz w:val="22"/>
              <w:szCs w:val="22"/>
            </w:rPr>
          </w:pPr>
        </w:p>
      </w:tc>
      <w:tc>
        <w:tcPr>
          <w:tcW w:w="2250" w:type="pct"/>
          <w:tcBorders>
            <w:top w:val="single" w:sz="4" w:space="0" w:color="4F81BD"/>
            <w:left w:val="nil"/>
            <w:bottom w:val="nil"/>
            <w:right w:val="nil"/>
          </w:tcBorders>
        </w:tcPr>
        <w:p w:rsidR="00261A55" w:rsidRDefault="00261A55">
          <w:pPr>
            <w:pStyle w:val="Header"/>
            <w:spacing w:line="276" w:lineRule="auto"/>
            <w:rPr>
              <w:rFonts w:ascii="Calibri" w:eastAsia="MS Gothic" w:hAnsi="Calibri"/>
              <w:b/>
              <w:bCs/>
              <w:color w:val="4F81BD"/>
            </w:rPr>
          </w:pPr>
        </w:p>
      </w:tc>
    </w:tr>
  </w:tbl>
  <w:p w:rsidR="00261A55" w:rsidRDefault="002B6519">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261A55" w:rsidRDefault="002B6519">
    <w:pPr>
      <w:pStyle w:val="Footer"/>
      <w:jc w:val="center"/>
      <w:rPr>
        <w:b/>
        <w:i/>
        <w:sz w:val="20"/>
        <w:szCs w:val="20"/>
      </w:rPr>
    </w:pPr>
    <w:r>
      <w:rPr>
        <w:b/>
        <w:i/>
        <w:sz w:val="20"/>
        <w:szCs w:val="20"/>
      </w:rPr>
      <w:t>Commercial-in-Confidence</w:t>
    </w:r>
  </w:p>
  <w:p w:rsidR="00261A55" w:rsidRDefault="00261A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C26" w:rsidRDefault="000C0C26">
      <w:r>
        <w:separator/>
      </w:r>
    </w:p>
    <w:p w:rsidR="000C0C26" w:rsidRDefault="000C0C26"/>
  </w:footnote>
  <w:footnote w:type="continuationSeparator" w:id="0">
    <w:p w:rsidR="000C0C26" w:rsidRDefault="000C0C26">
      <w:r>
        <w:continuationSeparator/>
      </w:r>
    </w:p>
    <w:p w:rsidR="000C0C26" w:rsidRDefault="000C0C26"/>
  </w:footnote>
  <w:footnote w:id="1">
    <w:p w:rsidR="00261A55" w:rsidRDefault="002B6519">
      <w:pPr>
        <w:pStyle w:val="FootnoteText"/>
      </w:pPr>
      <w:r>
        <w:rPr>
          <w:rStyle w:val="FootnoteReference"/>
        </w:rPr>
        <w:footnoteRef/>
      </w:r>
      <w:r>
        <w:t xml:space="preserve"> </w:t>
      </w:r>
      <w:r>
        <w:rPr>
          <w:rFonts w:asciiTheme="minorHAnsi" w:hAnsiTheme="minorHAnsi" w:cs="Arial"/>
          <w:bCs/>
          <w:snapToGrid w:val="0"/>
          <w:sz w:val="16"/>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61A55">
      <w:trPr>
        <w:trHeight w:val="151"/>
      </w:trPr>
      <w:tc>
        <w:tcPr>
          <w:tcW w:w="2389" w:type="pct"/>
          <w:tcBorders>
            <w:top w:val="nil"/>
            <w:left w:val="nil"/>
            <w:bottom w:val="single" w:sz="4" w:space="0" w:color="4F81BD"/>
            <w:right w:val="nil"/>
          </w:tcBorders>
        </w:tcPr>
        <w:p w:rsidR="00261A55" w:rsidRDefault="00261A55">
          <w:pPr>
            <w:pStyle w:val="Header"/>
            <w:spacing w:line="276" w:lineRule="auto"/>
            <w:rPr>
              <w:rFonts w:ascii="Cambria" w:eastAsia="MS Gothic" w:hAnsi="Cambria"/>
              <w:b/>
              <w:bCs/>
              <w:color w:val="4F81BD"/>
            </w:rPr>
          </w:pPr>
        </w:p>
      </w:tc>
      <w:tc>
        <w:tcPr>
          <w:tcW w:w="333" w:type="pct"/>
          <w:vMerge w:val="restart"/>
          <w:noWrap/>
          <w:vAlign w:val="center"/>
          <w:hideMark/>
        </w:tcPr>
        <w:p w:rsidR="00261A55" w:rsidRDefault="002B6519">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261A55" w:rsidRDefault="00261A55">
          <w:pPr>
            <w:pStyle w:val="Header"/>
            <w:spacing w:line="276" w:lineRule="auto"/>
            <w:rPr>
              <w:rFonts w:ascii="Cambria" w:eastAsia="MS Gothic" w:hAnsi="Cambria"/>
              <w:b/>
              <w:bCs/>
              <w:color w:val="4F81BD"/>
            </w:rPr>
          </w:pPr>
        </w:p>
      </w:tc>
    </w:tr>
    <w:tr w:rsidR="00261A55">
      <w:trPr>
        <w:trHeight w:val="150"/>
      </w:trPr>
      <w:tc>
        <w:tcPr>
          <w:tcW w:w="2389" w:type="pct"/>
          <w:tcBorders>
            <w:top w:val="single" w:sz="4" w:space="0" w:color="4F81BD"/>
            <w:left w:val="nil"/>
            <w:bottom w:val="nil"/>
            <w:right w:val="nil"/>
          </w:tcBorders>
        </w:tcPr>
        <w:p w:rsidR="00261A55" w:rsidRDefault="00261A55">
          <w:pPr>
            <w:pStyle w:val="Header"/>
            <w:spacing w:line="276" w:lineRule="auto"/>
            <w:rPr>
              <w:rFonts w:ascii="Cambria" w:eastAsia="MS Gothic" w:hAnsi="Cambria"/>
              <w:b/>
              <w:bCs/>
              <w:color w:val="4F81BD"/>
            </w:rPr>
          </w:pPr>
        </w:p>
      </w:tc>
      <w:tc>
        <w:tcPr>
          <w:tcW w:w="0" w:type="auto"/>
          <w:vMerge/>
          <w:vAlign w:val="center"/>
          <w:hideMark/>
        </w:tcPr>
        <w:p w:rsidR="00261A55" w:rsidRDefault="00261A55">
          <w:pPr>
            <w:rPr>
              <w:rFonts w:ascii="Cambria" w:hAnsi="Cambria"/>
              <w:color w:val="4F81BD"/>
              <w:sz w:val="22"/>
              <w:szCs w:val="22"/>
            </w:rPr>
          </w:pPr>
        </w:p>
      </w:tc>
      <w:tc>
        <w:tcPr>
          <w:tcW w:w="2278" w:type="pct"/>
          <w:tcBorders>
            <w:top w:val="single" w:sz="4" w:space="0" w:color="4F81BD"/>
            <w:left w:val="nil"/>
            <w:bottom w:val="nil"/>
            <w:right w:val="nil"/>
          </w:tcBorders>
        </w:tcPr>
        <w:p w:rsidR="00261A55" w:rsidRDefault="00261A55">
          <w:pPr>
            <w:pStyle w:val="Header"/>
            <w:spacing w:line="276" w:lineRule="auto"/>
            <w:rPr>
              <w:rFonts w:ascii="Cambria" w:eastAsia="MS Gothic" w:hAnsi="Cambria"/>
              <w:b/>
              <w:bCs/>
              <w:color w:val="4F81BD"/>
            </w:rPr>
          </w:pPr>
        </w:p>
      </w:tc>
    </w:tr>
  </w:tbl>
  <w:p w:rsidR="00261A55" w:rsidRDefault="00261A55">
    <w:pPr>
      <w:pStyle w:val="Header"/>
    </w:pPr>
  </w:p>
  <w:p w:rsidR="00261A55" w:rsidRDefault="00261A5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55" w:rsidRDefault="002B6519">
    <w:pPr>
      <w:pStyle w:val="MinorOVRHeader"/>
      <w:jc w:val="center"/>
      <w:rPr>
        <w:i/>
      </w:rPr>
    </w:pPr>
    <w:r>
      <w:rPr>
        <w:i/>
      </w:rPr>
      <w:t>Public Summary Document – July 2019 PBAC Meeting</w:t>
    </w:r>
  </w:p>
  <w:p w:rsidR="00261A55" w:rsidRDefault="00261A55">
    <w:pPr>
      <w:pStyle w:val="MinorOVR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C26" w:rsidRDefault="000C0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D87DD3"/>
    <w:multiLevelType w:val="hybridMultilevel"/>
    <w:tmpl w:val="90E4E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14770A"/>
    <w:multiLevelType w:val="hybridMultilevel"/>
    <w:tmpl w:val="03E47F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9CA6942"/>
    <w:multiLevelType w:val="hybridMultilevel"/>
    <w:tmpl w:val="B69E7F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340E4"/>
    <w:multiLevelType w:val="hybridMultilevel"/>
    <w:tmpl w:val="796481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C430CE"/>
    <w:multiLevelType w:val="hybridMultilevel"/>
    <w:tmpl w:val="FB8A8538"/>
    <w:lvl w:ilvl="0" w:tplc="2976D908">
      <w:start w:val="1"/>
      <w:numFmt w:val="decimal"/>
      <w:lvlText w:val="%1."/>
      <w:lvlJc w:val="left"/>
      <w:pPr>
        <w:tabs>
          <w:tab w:val="num" w:pos="360"/>
        </w:tabs>
        <w:ind w:left="360" w:hanging="360"/>
      </w:pPr>
      <w:rPr>
        <w:rFonts w:ascii="Arial" w:hAnsi="Arial"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33D30D5"/>
    <w:multiLevelType w:val="hybridMultilevel"/>
    <w:tmpl w:val="303CB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ABF8BBB8"/>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5"/>
  </w:num>
  <w:num w:numId="4">
    <w:abstractNumId w:val="15"/>
  </w:num>
  <w:num w:numId="5">
    <w:abstractNumId w:val="20"/>
  </w:num>
  <w:num w:numId="6">
    <w:abstractNumId w:val="6"/>
  </w:num>
  <w:num w:numId="7">
    <w:abstractNumId w:val="14"/>
  </w:num>
  <w:num w:numId="8">
    <w:abstractNumId w:val="3"/>
  </w:num>
  <w:num w:numId="9">
    <w:abstractNumId w:val="13"/>
  </w:num>
  <w:num w:numId="10">
    <w:abstractNumId w:val="11"/>
  </w:num>
  <w:num w:numId="11">
    <w:abstractNumId w:val="10"/>
  </w:num>
  <w:num w:numId="12">
    <w:abstractNumId w:val="1"/>
  </w:num>
  <w:num w:numId="13">
    <w:abstractNumId w:val="0"/>
  </w:num>
  <w:num w:numId="14">
    <w:abstractNumId w:val="20"/>
  </w:num>
  <w:num w:numId="15">
    <w:abstractNumId w:val="20"/>
  </w:num>
  <w:num w:numId="16">
    <w:abstractNumId w:val="20"/>
  </w:num>
  <w:num w:numId="17">
    <w:abstractNumId w:val="18"/>
  </w:num>
  <w:num w:numId="18">
    <w:abstractNumId w:val="12"/>
  </w:num>
  <w:num w:numId="19">
    <w:abstractNumId w:val="16"/>
  </w:num>
  <w:num w:numId="20">
    <w:abstractNumId w:val="19"/>
  </w:num>
  <w:num w:numId="21">
    <w:abstractNumId w:val="4"/>
  </w:num>
  <w:num w:numId="22">
    <w:abstractNumId w:val="4"/>
  </w:num>
  <w:num w:numId="23">
    <w:abstractNumId w:val="8"/>
  </w:num>
  <w:num w:numId="24">
    <w:abstractNumId w:val="20"/>
  </w:num>
  <w:num w:numId="25">
    <w:abstractNumId w:val="20"/>
  </w:num>
  <w:num w:numId="26">
    <w:abstractNumId w:val="20"/>
  </w:num>
  <w:num w:numId="27">
    <w:abstractNumId w:val="20"/>
  </w:num>
  <w:num w:numId="28">
    <w:abstractNumId w:val="20"/>
  </w:num>
  <w:num w:numId="29">
    <w:abstractNumId w:val="9"/>
  </w:num>
  <w:num w:numId="30">
    <w:abstractNumId w:val="4"/>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55"/>
    <w:rsid w:val="000C0C26"/>
    <w:rsid w:val="00261A55"/>
    <w:rsid w:val="002957BE"/>
    <w:rsid w:val="002B6519"/>
    <w:rsid w:val="00742A2A"/>
    <w:rsid w:val="009610A7"/>
    <w:rsid w:val="0098240D"/>
    <w:rsid w:val="00BD417A"/>
    <w:rsid w:val="00C861C4"/>
    <w:rsid w:val="00DB25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065B8F"/>
  <w15:docId w15:val="{1573B7A3-9B94-41AE-AE14-D1B6B807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99"/>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72"/>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character" w:customStyle="1" w:styleId="CaptionChar">
    <w:name w:val="Caption Char"/>
    <w:link w:val="Caption"/>
    <w:locked/>
    <w:rPr>
      <w:rFonts w:ascii="Arial Narrow" w:hAnsi="Arial Narrow" w:cs="Arial"/>
      <w:b/>
      <w:bCs/>
      <w:color w:val="000000" w:themeColor="text1"/>
      <w:szCs w:val="18"/>
      <w:lang w:eastAsia="en-US"/>
    </w:rPr>
  </w:style>
  <w:style w:type="paragraph" w:styleId="Caption">
    <w:name w:val="caption"/>
    <w:basedOn w:val="Normal"/>
    <w:next w:val="Normal"/>
    <w:link w:val="CaptionChar"/>
    <w:unhideWhenUsed/>
    <w:qFormat/>
    <w:pPr>
      <w:widowControl w:val="0"/>
      <w:snapToGrid w:val="0"/>
      <w:jc w:val="both"/>
    </w:pPr>
    <w:rPr>
      <w:rFonts w:ascii="Arial Narrow" w:hAnsi="Arial Narrow" w:cs="Arial"/>
      <w:b/>
      <w:bCs/>
      <w:color w:val="000000" w:themeColor="text1"/>
      <w:sz w:val="20"/>
      <w:szCs w:val="18"/>
      <w:lang w:eastAsia="en-US"/>
    </w:rPr>
  </w:style>
  <w:style w:type="paragraph" w:customStyle="1" w:styleId="TableFooter">
    <w:name w:val="Table Footer"/>
    <w:basedOn w:val="Normal"/>
    <w:link w:val="TableFooterChar"/>
    <w:qFormat/>
    <w:pPr>
      <w:widowControl w:val="0"/>
      <w:snapToGrid w:val="0"/>
      <w:jc w:val="both"/>
    </w:pPr>
    <w:rPr>
      <w:rFonts w:ascii="Arial Narrow" w:hAnsi="Arial Narrow" w:cs="Arial"/>
      <w:sz w:val="18"/>
      <w:szCs w:val="20"/>
      <w:lang w:eastAsia="en-US"/>
    </w:rPr>
  </w:style>
  <w:style w:type="character" w:customStyle="1" w:styleId="TableFooterChar">
    <w:name w:val="Table Footer Char"/>
    <w:link w:val="TableFooter"/>
    <w:rPr>
      <w:rFonts w:ascii="Arial Narrow" w:hAnsi="Arial Narrow" w:cs="Arial"/>
      <w:sz w:val="18"/>
      <w:lang w:eastAsia="en-US"/>
    </w:rPr>
  </w:style>
  <w:style w:type="character" w:customStyle="1" w:styleId="TabletextChar">
    <w:name w:val="Table text Char"/>
    <w:link w:val="Tabletext"/>
    <w:uiPriority w:val="2"/>
    <w:rPr>
      <w:rFonts w:ascii="Arial" w:hAnsi="Arial"/>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62838551">
      <w:bodyDiv w:val="1"/>
      <w:marLeft w:val="0"/>
      <w:marRight w:val="0"/>
      <w:marTop w:val="0"/>
      <w:marBottom w:val="0"/>
      <w:divBdr>
        <w:top w:val="none" w:sz="0" w:space="0" w:color="auto"/>
        <w:left w:val="none" w:sz="0" w:space="0" w:color="auto"/>
        <w:bottom w:val="none" w:sz="0" w:space="0" w:color="auto"/>
        <w:right w:val="none" w:sz="0" w:space="0" w:color="auto"/>
      </w:divBdr>
    </w:div>
    <w:div w:id="63321765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66294726">
      <w:bodyDiv w:val="1"/>
      <w:marLeft w:val="0"/>
      <w:marRight w:val="0"/>
      <w:marTop w:val="0"/>
      <w:marBottom w:val="0"/>
      <w:divBdr>
        <w:top w:val="none" w:sz="0" w:space="0" w:color="auto"/>
        <w:left w:val="none" w:sz="0" w:space="0" w:color="auto"/>
        <w:bottom w:val="none" w:sz="0" w:space="0" w:color="auto"/>
        <w:right w:val="none" w:sz="0" w:space="0" w:color="auto"/>
      </w:divBdr>
    </w:div>
    <w:div w:id="1189493319">
      <w:bodyDiv w:val="1"/>
      <w:marLeft w:val="0"/>
      <w:marRight w:val="0"/>
      <w:marTop w:val="0"/>
      <w:marBottom w:val="0"/>
      <w:divBdr>
        <w:top w:val="none" w:sz="0" w:space="0" w:color="auto"/>
        <w:left w:val="none" w:sz="0" w:space="0" w:color="auto"/>
        <w:bottom w:val="none" w:sz="0" w:space="0" w:color="auto"/>
        <w:right w:val="none" w:sz="0" w:space="0" w:color="auto"/>
      </w:divBdr>
    </w:div>
    <w:div w:id="1285162648">
      <w:bodyDiv w:val="1"/>
      <w:marLeft w:val="0"/>
      <w:marRight w:val="0"/>
      <w:marTop w:val="0"/>
      <w:marBottom w:val="0"/>
      <w:divBdr>
        <w:top w:val="none" w:sz="0" w:space="0" w:color="auto"/>
        <w:left w:val="none" w:sz="0" w:space="0" w:color="auto"/>
        <w:bottom w:val="none" w:sz="0" w:space="0" w:color="auto"/>
        <w:right w:val="none" w:sz="0" w:space="0" w:color="auto"/>
      </w:divBdr>
    </w:div>
    <w:div w:id="160263856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613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0B352-4AA9-408C-8A41-191F6B6D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2281</Words>
  <Characters>14161</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KRSTIK, Dejan</dc:creator>
  <cp:lastModifiedBy>Author</cp:lastModifiedBy>
  <cp:revision>4</cp:revision>
  <cp:lastPrinted>2019-10-18T05:07:00Z</cp:lastPrinted>
  <dcterms:created xsi:type="dcterms:W3CDTF">2019-10-04T00:05:00Z</dcterms:created>
  <dcterms:modified xsi:type="dcterms:W3CDTF">2019-10-18T05:07:00Z</dcterms:modified>
</cp:coreProperties>
</file>