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6CB" w:rsidRDefault="00D10D78">
      <w:pPr>
        <w:pStyle w:val="Title"/>
        <w:ind w:left="720" w:hanging="720"/>
        <w:jc w:val="left"/>
      </w:pPr>
      <w:r>
        <w:t>6.06</w:t>
      </w:r>
      <w:r>
        <w:tab/>
        <w:t>OCTREOTIDE,</w:t>
      </w:r>
      <w:r>
        <w:br/>
        <w:t>Injection (modified release) 30 mg (as acetate), vial and diluent syringe,</w:t>
      </w:r>
      <w:r>
        <w:br/>
        <w:t>Sandostatin</w:t>
      </w:r>
      <w:r>
        <w:rPr>
          <w:vertAlign w:val="superscript"/>
        </w:rPr>
        <w:t xml:space="preserve">® </w:t>
      </w:r>
      <w:r>
        <w:t>LAR,</w:t>
      </w:r>
      <w:r>
        <w:br/>
        <w:t>Novartis Pharmaceuticals Australia Pty Ltd</w:t>
      </w:r>
    </w:p>
    <w:p w:rsidR="006006CB" w:rsidRDefault="00D10D78">
      <w:pPr>
        <w:pStyle w:val="Heading1"/>
      </w:pPr>
      <w:bookmarkStart w:id="0" w:name="_Toc9329860"/>
      <w:r>
        <w:t>Purpose of Application</w:t>
      </w:r>
      <w:bookmarkEnd w:id="0"/>
    </w:p>
    <w:p w:rsidR="006006CB" w:rsidRDefault="00D10D78">
      <w:pPr>
        <w:pStyle w:val="ListParagraph"/>
        <w:widowControl/>
        <w:numPr>
          <w:ilvl w:val="1"/>
          <w:numId w:val="1"/>
        </w:numPr>
      </w:pPr>
      <w:r>
        <w:t>The submission requested a Section 100 (Highly Specialised Drugs (HSD) Program) listing for octreotide (modified release injection) for the treatment of midgut neuroendocrine tumours (NETs). Octreotide has not been considered by the PBAC previously for this indication.</w:t>
      </w:r>
    </w:p>
    <w:p w:rsidR="006006CB" w:rsidRDefault="00D10D78">
      <w:pPr>
        <w:pStyle w:val="ListParagraph"/>
        <w:widowControl/>
        <w:numPr>
          <w:ilvl w:val="1"/>
          <w:numId w:val="1"/>
        </w:numPr>
      </w:pPr>
      <w:r>
        <w:t>Listing was requested on a cost-minimisation basis compared with lanreotide.</w:t>
      </w:r>
    </w:p>
    <w:p w:rsidR="00EF25F3" w:rsidRDefault="00EF25F3" w:rsidP="00EF25F3">
      <w:pPr>
        <w:pStyle w:val="PBACTableTextBoldLeft"/>
      </w:pPr>
      <w:r>
        <w:t xml:space="preserve">Table </w:t>
      </w:r>
      <w:r>
        <w:fldChar w:fldCharType="begin"/>
      </w:r>
      <w:r>
        <w:instrText xml:space="preserve"> SEQ Table \* ARABIC </w:instrText>
      </w:r>
      <w:r>
        <w:fldChar w:fldCharType="separate"/>
      </w:r>
      <w:r w:rsidR="0000118A">
        <w:rPr>
          <w:noProof/>
        </w:rPr>
        <w:t>1</w:t>
      </w:r>
      <w:r>
        <w:fldChar w:fldCharType="end"/>
      </w:r>
      <w:r w:rsidRPr="00102BB6">
        <w:t>:  Key components of the clinical issue addressed in the 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w:tblPr>
      <w:tblGrid>
        <w:gridCol w:w="1668"/>
        <w:gridCol w:w="7399"/>
      </w:tblGrid>
      <w:tr w:rsidR="006006CB">
        <w:tc>
          <w:tcPr>
            <w:tcW w:w="1668" w:type="dxa"/>
            <w:vAlign w:val="center"/>
          </w:tcPr>
          <w:p w:rsidR="006006CB" w:rsidRDefault="00D10D78">
            <w:pPr>
              <w:pStyle w:val="Tabletext"/>
              <w:keepNext/>
              <w:rPr>
                <w:b/>
              </w:rPr>
            </w:pPr>
            <w:r>
              <w:rPr>
                <w:b/>
              </w:rPr>
              <w:t>Component</w:t>
            </w:r>
          </w:p>
        </w:tc>
        <w:tc>
          <w:tcPr>
            <w:tcW w:w="7399" w:type="dxa"/>
            <w:vAlign w:val="center"/>
          </w:tcPr>
          <w:p w:rsidR="006006CB" w:rsidRDefault="00D10D78">
            <w:pPr>
              <w:pStyle w:val="Tabletext"/>
              <w:keepNext/>
              <w:jc w:val="center"/>
              <w:rPr>
                <w:b/>
              </w:rPr>
            </w:pPr>
            <w:r>
              <w:rPr>
                <w:b/>
              </w:rPr>
              <w:t>Description</w:t>
            </w:r>
          </w:p>
        </w:tc>
      </w:tr>
      <w:tr w:rsidR="006006CB">
        <w:tc>
          <w:tcPr>
            <w:tcW w:w="1668" w:type="dxa"/>
          </w:tcPr>
          <w:p w:rsidR="006006CB" w:rsidRDefault="00D10D78">
            <w:pPr>
              <w:pStyle w:val="Tabletext"/>
              <w:keepNext/>
            </w:pPr>
            <w:r>
              <w:t>Population</w:t>
            </w:r>
          </w:p>
        </w:tc>
        <w:tc>
          <w:tcPr>
            <w:tcW w:w="7399" w:type="dxa"/>
          </w:tcPr>
          <w:p w:rsidR="006006CB" w:rsidRDefault="00D10D78">
            <w:pPr>
              <w:pStyle w:val="Tabletext"/>
              <w:keepNext/>
            </w:pPr>
            <w:r>
              <w:t>Patients with non-functional NETs of midgut or suspected midgut origin</w:t>
            </w:r>
          </w:p>
        </w:tc>
      </w:tr>
      <w:tr w:rsidR="006006CB">
        <w:tc>
          <w:tcPr>
            <w:tcW w:w="1668" w:type="dxa"/>
          </w:tcPr>
          <w:p w:rsidR="006006CB" w:rsidRDefault="00D10D78">
            <w:pPr>
              <w:pStyle w:val="Tabletext"/>
              <w:keepNext/>
            </w:pPr>
            <w:r>
              <w:t>Intervention</w:t>
            </w:r>
          </w:p>
        </w:tc>
        <w:tc>
          <w:tcPr>
            <w:tcW w:w="7399" w:type="dxa"/>
          </w:tcPr>
          <w:p w:rsidR="006006CB" w:rsidRDefault="00D10D78">
            <w:pPr>
              <w:pStyle w:val="Tabletext"/>
              <w:keepNext/>
            </w:pPr>
            <w:r>
              <w:t>Octreotide modified release injection 30 mg, every 28 days, ongoing</w:t>
            </w:r>
          </w:p>
        </w:tc>
      </w:tr>
      <w:tr w:rsidR="006006CB">
        <w:tc>
          <w:tcPr>
            <w:tcW w:w="1668" w:type="dxa"/>
          </w:tcPr>
          <w:p w:rsidR="006006CB" w:rsidRDefault="00D10D78">
            <w:pPr>
              <w:pStyle w:val="Tabletext"/>
              <w:keepNext/>
            </w:pPr>
            <w:r>
              <w:t>Comparator</w:t>
            </w:r>
          </w:p>
        </w:tc>
        <w:tc>
          <w:tcPr>
            <w:tcW w:w="7399" w:type="dxa"/>
          </w:tcPr>
          <w:p w:rsidR="006006CB" w:rsidRDefault="00D10D78">
            <w:pPr>
              <w:pStyle w:val="Tabletext"/>
              <w:keepNext/>
            </w:pPr>
            <w:r>
              <w:t>Lanreotide modified release injection 120 mg, every 28 days, ongoing</w:t>
            </w:r>
          </w:p>
        </w:tc>
      </w:tr>
      <w:tr w:rsidR="006006CB">
        <w:tc>
          <w:tcPr>
            <w:tcW w:w="1668" w:type="dxa"/>
          </w:tcPr>
          <w:p w:rsidR="006006CB" w:rsidRDefault="00D10D78">
            <w:pPr>
              <w:pStyle w:val="Tabletext"/>
              <w:keepNext/>
            </w:pPr>
            <w:r>
              <w:t>Outcomes</w:t>
            </w:r>
          </w:p>
        </w:tc>
        <w:tc>
          <w:tcPr>
            <w:tcW w:w="7399" w:type="dxa"/>
          </w:tcPr>
          <w:p w:rsidR="006006CB" w:rsidRDefault="00D10D78">
            <w:pPr>
              <w:pStyle w:val="Tabletext"/>
              <w:keepNext/>
            </w:pPr>
            <w:r>
              <w:t>Time to progression, progression free survival</w:t>
            </w:r>
          </w:p>
        </w:tc>
      </w:tr>
      <w:tr w:rsidR="006006CB">
        <w:tc>
          <w:tcPr>
            <w:tcW w:w="1668" w:type="dxa"/>
          </w:tcPr>
          <w:p w:rsidR="006006CB" w:rsidRDefault="00D10D78">
            <w:pPr>
              <w:pStyle w:val="Tabletext"/>
              <w:keepNext/>
            </w:pPr>
            <w:r>
              <w:t>Clinical claim</w:t>
            </w:r>
          </w:p>
        </w:tc>
        <w:tc>
          <w:tcPr>
            <w:tcW w:w="7399" w:type="dxa"/>
          </w:tcPr>
          <w:p w:rsidR="006006CB" w:rsidRDefault="00D10D78">
            <w:pPr>
              <w:pStyle w:val="Tabletext"/>
              <w:keepNext/>
            </w:pPr>
            <w:r>
              <w:t>In adults with non-functional midgut NETs, octreotide is no worse than lanreotide at improving time to progression and progression-free survival, with comparable safety profiles.</w:t>
            </w:r>
          </w:p>
        </w:tc>
      </w:tr>
    </w:tbl>
    <w:p w:rsidR="006006CB" w:rsidRDefault="00D10D78">
      <w:pPr>
        <w:pStyle w:val="TableFooter"/>
        <w:keepNext/>
        <w:widowControl/>
        <w:rPr>
          <w:snapToGrid/>
          <w:szCs w:val="20"/>
        </w:rPr>
      </w:pPr>
      <w:r>
        <w:t>Abbreviations: NETs, neuroendocrine tumours</w:t>
      </w:r>
    </w:p>
    <w:p w:rsidR="006006CB" w:rsidRDefault="00D10D78">
      <w:pPr>
        <w:pStyle w:val="TableFooter"/>
        <w:widowControl/>
      </w:pPr>
      <w:r>
        <w:t>Source: Constructed during the evaluation from information presented on p5, Section 1.3.3; p8, Section 1.4; p9, Section 1.5; p36, Section 2.6; and p47 Section 2.8 of the submission.</w:t>
      </w:r>
    </w:p>
    <w:p w:rsidR="006006CB" w:rsidRDefault="00D10D78">
      <w:pPr>
        <w:pStyle w:val="Heading1"/>
      </w:pPr>
      <w:bookmarkStart w:id="1" w:name="_Toc9329861"/>
      <w:r>
        <w:t>Requested listing</w:t>
      </w:r>
      <w:bookmarkEnd w:id="1"/>
    </w:p>
    <w:tbl>
      <w:tblPr>
        <w:tblW w:w="9013" w:type="dxa"/>
        <w:tblBorders>
          <w:top w:val="single" w:sz="4" w:space="0" w:color="auto"/>
          <w:bottom w:val="single" w:sz="4" w:space="0" w:color="auto"/>
          <w:insideH w:val="single" w:sz="4" w:space="0" w:color="auto"/>
        </w:tblBorders>
        <w:tblLook w:val="04A0" w:firstRow="1" w:lastRow="0" w:firstColumn="1" w:lastColumn="0" w:noHBand="0" w:noVBand="1"/>
      </w:tblPr>
      <w:tblGrid>
        <w:gridCol w:w="2166"/>
        <w:gridCol w:w="115"/>
        <w:gridCol w:w="858"/>
        <w:gridCol w:w="1114"/>
        <w:gridCol w:w="850"/>
        <w:gridCol w:w="2369"/>
        <w:gridCol w:w="1541"/>
      </w:tblGrid>
      <w:tr w:rsidR="006006CB">
        <w:tc>
          <w:tcPr>
            <w:tcW w:w="2166" w:type="dxa"/>
          </w:tcPr>
          <w:p w:rsidR="006006CB" w:rsidRDefault="00D10D78">
            <w:pPr>
              <w:pStyle w:val="Tabletext"/>
              <w:rPr>
                <w:b/>
                <w:bCs/>
              </w:rPr>
            </w:pPr>
            <w:r>
              <w:rPr>
                <w:b/>
              </w:rPr>
              <w:t>Name, restriction, manner of administration, form</w:t>
            </w:r>
          </w:p>
        </w:tc>
        <w:tc>
          <w:tcPr>
            <w:tcW w:w="973" w:type="dxa"/>
            <w:gridSpan w:val="2"/>
          </w:tcPr>
          <w:p w:rsidR="006006CB" w:rsidRDefault="00D10D78">
            <w:pPr>
              <w:pStyle w:val="Tabletext"/>
              <w:jc w:val="center"/>
              <w:rPr>
                <w:b/>
                <w:bCs/>
              </w:rPr>
            </w:pPr>
            <w:r>
              <w:rPr>
                <w:b/>
              </w:rPr>
              <w:t>Maximum quantity (packs)</w:t>
            </w:r>
          </w:p>
        </w:tc>
        <w:tc>
          <w:tcPr>
            <w:tcW w:w="1114" w:type="dxa"/>
          </w:tcPr>
          <w:p w:rsidR="006006CB" w:rsidRDefault="00D10D78">
            <w:pPr>
              <w:pStyle w:val="Tabletext"/>
              <w:jc w:val="center"/>
              <w:rPr>
                <w:b/>
                <w:bCs/>
              </w:rPr>
            </w:pPr>
            <w:r>
              <w:rPr>
                <w:b/>
              </w:rPr>
              <w:t>Maximum quantity (units)</w:t>
            </w:r>
          </w:p>
        </w:tc>
        <w:tc>
          <w:tcPr>
            <w:tcW w:w="850" w:type="dxa"/>
          </w:tcPr>
          <w:p w:rsidR="006006CB" w:rsidRDefault="00D10D78">
            <w:pPr>
              <w:pStyle w:val="Tabletext"/>
              <w:rPr>
                <w:b/>
                <w:bCs/>
              </w:rPr>
            </w:pPr>
            <w:r>
              <w:rPr>
                <w:b/>
              </w:rPr>
              <w:t>No. of repeats</w:t>
            </w:r>
          </w:p>
        </w:tc>
        <w:tc>
          <w:tcPr>
            <w:tcW w:w="2369" w:type="dxa"/>
          </w:tcPr>
          <w:p w:rsidR="006006CB" w:rsidRDefault="00D10D78">
            <w:pPr>
              <w:pStyle w:val="Tabletext"/>
              <w:rPr>
                <w:b/>
              </w:rPr>
            </w:pPr>
            <w:r>
              <w:rPr>
                <w:b/>
              </w:rPr>
              <w:t>Dispensed price for maximum quantity</w:t>
            </w:r>
          </w:p>
          <w:p w:rsidR="006006CB" w:rsidRDefault="00D10D78">
            <w:pPr>
              <w:pStyle w:val="Tabletext"/>
              <w:rPr>
                <w:b/>
                <w:bCs/>
              </w:rPr>
            </w:pPr>
            <w:r>
              <w:rPr>
                <w:b/>
              </w:rPr>
              <w:t>Published (effective)</w:t>
            </w:r>
          </w:p>
        </w:tc>
        <w:tc>
          <w:tcPr>
            <w:tcW w:w="1541" w:type="dxa"/>
          </w:tcPr>
          <w:p w:rsidR="006006CB" w:rsidRDefault="00D10D78">
            <w:pPr>
              <w:pStyle w:val="Tabletext"/>
              <w:rPr>
                <w:b/>
                <w:bCs/>
              </w:rPr>
            </w:pPr>
            <w:r>
              <w:rPr>
                <w:b/>
              </w:rPr>
              <w:t>Proprietary name and manufacturer</w:t>
            </w:r>
          </w:p>
        </w:tc>
      </w:tr>
      <w:tr w:rsidR="006006CB">
        <w:tc>
          <w:tcPr>
            <w:tcW w:w="2166" w:type="dxa"/>
          </w:tcPr>
          <w:p w:rsidR="006006CB" w:rsidRDefault="00D10D78">
            <w:pPr>
              <w:pStyle w:val="Tabletext"/>
              <w:rPr>
                <w:smallCaps/>
              </w:rPr>
            </w:pPr>
            <w:r>
              <w:rPr>
                <w:smallCaps/>
              </w:rPr>
              <w:t>Octreotide</w:t>
            </w:r>
          </w:p>
          <w:p w:rsidR="006006CB" w:rsidRDefault="00D10D78">
            <w:pPr>
              <w:pStyle w:val="Tabletext"/>
              <w:rPr>
                <w:b/>
                <w:bCs/>
              </w:rPr>
            </w:pPr>
            <w:r>
              <w:t>Modified release injection, 30 mg</w:t>
            </w:r>
          </w:p>
        </w:tc>
        <w:tc>
          <w:tcPr>
            <w:tcW w:w="973" w:type="dxa"/>
            <w:gridSpan w:val="2"/>
          </w:tcPr>
          <w:p w:rsidR="006006CB" w:rsidRDefault="00D10D78">
            <w:pPr>
              <w:pStyle w:val="Tabletext"/>
              <w:jc w:val="center"/>
            </w:pPr>
            <w:r>
              <w:t>2</w:t>
            </w:r>
          </w:p>
        </w:tc>
        <w:tc>
          <w:tcPr>
            <w:tcW w:w="1114" w:type="dxa"/>
          </w:tcPr>
          <w:p w:rsidR="006006CB" w:rsidRDefault="00D10D78">
            <w:pPr>
              <w:pStyle w:val="Tabletext"/>
              <w:jc w:val="center"/>
            </w:pPr>
            <w:r>
              <w:t>2</w:t>
            </w:r>
          </w:p>
        </w:tc>
        <w:tc>
          <w:tcPr>
            <w:tcW w:w="850" w:type="dxa"/>
          </w:tcPr>
          <w:p w:rsidR="006006CB" w:rsidRDefault="00D10D78">
            <w:pPr>
              <w:pStyle w:val="Tabletext"/>
              <w:jc w:val="center"/>
            </w:pPr>
            <w:r>
              <w:t>5</w:t>
            </w:r>
          </w:p>
        </w:tc>
        <w:tc>
          <w:tcPr>
            <w:tcW w:w="2369" w:type="dxa"/>
          </w:tcPr>
          <w:p w:rsidR="006006CB" w:rsidRDefault="00D10D78">
            <w:pPr>
              <w:pStyle w:val="Tabletext"/>
            </w:pPr>
            <w:r>
              <w:t>Public Hospital:</w:t>
            </w:r>
          </w:p>
          <w:p w:rsidR="006006CB" w:rsidRDefault="00D10D78">
            <w:pPr>
              <w:pStyle w:val="Tabletext"/>
            </w:pPr>
            <w:r>
              <w:t>$4354.92 (</w:t>
            </w:r>
            <w:r w:rsidR="003458F3">
              <w:rPr>
                <w:noProof/>
                <w:color w:val="000000"/>
                <w:highlight w:val="black"/>
              </w:rPr>
              <w:t>'''''''''''''''''''''''</w:t>
            </w:r>
            <w:r>
              <w:t>)</w:t>
            </w:r>
          </w:p>
          <w:p w:rsidR="006006CB" w:rsidRDefault="00D10D78">
            <w:pPr>
              <w:pStyle w:val="Tabletext"/>
            </w:pPr>
            <w:r>
              <w:t>Private Hospital:</w:t>
            </w:r>
          </w:p>
          <w:p w:rsidR="006006CB" w:rsidRDefault="00D10D78">
            <w:pPr>
              <w:pStyle w:val="Tabletext"/>
            </w:pPr>
            <w:r>
              <w:t>$4402.21 (</w:t>
            </w:r>
            <w:r w:rsidR="003458F3">
              <w:rPr>
                <w:noProof/>
                <w:color w:val="000000"/>
                <w:highlight w:val="black"/>
              </w:rPr>
              <w:t>'''''''''''''''''''''</w:t>
            </w:r>
            <w:r>
              <w:t>)</w:t>
            </w:r>
          </w:p>
          <w:p w:rsidR="006006CB" w:rsidRDefault="00D10D78">
            <w:pPr>
              <w:pStyle w:val="Tabletext"/>
            </w:pPr>
            <w:r>
              <w:t>Community access:</w:t>
            </w:r>
          </w:p>
          <w:p w:rsidR="006006CB" w:rsidRDefault="00D10D78">
            <w:pPr>
              <w:pStyle w:val="Tabletext"/>
              <w:spacing w:after="120"/>
            </w:pPr>
            <w:r>
              <w:t>$4402.21 (</w:t>
            </w:r>
            <w:r w:rsidR="003458F3">
              <w:rPr>
                <w:noProof/>
                <w:color w:val="000000"/>
                <w:highlight w:val="black"/>
              </w:rPr>
              <w:t>''''''''''''''''''''</w:t>
            </w:r>
            <w:r>
              <w:t>)</w:t>
            </w:r>
          </w:p>
        </w:tc>
        <w:tc>
          <w:tcPr>
            <w:tcW w:w="1541" w:type="dxa"/>
          </w:tcPr>
          <w:p w:rsidR="006006CB" w:rsidRDefault="00D10D78">
            <w:pPr>
              <w:pStyle w:val="Tabletext"/>
              <w:rPr>
                <w:vertAlign w:val="superscript"/>
              </w:rPr>
            </w:pPr>
            <w:r>
              <w:t>Sandostatin</w:t>
            </w:r>
            <w:r>
              <w:rPr>
                <w:vertAlign w:val="superscript"/>
              </w:rPr>
              <w:t xml:space="preserve">® </w:t>
            </w:r>
          </w:p>
          <w:p w:rsidR="006006CB" w:rsidRDefault="00D10D78">
            <w:pPr>
              <w:pStyle w:val="Tabletext"/>
            </w:pPr>
            <w:r>
              <w:t xml:space="preserve">LAR </w:t>
            </w:r>
            <w:r>
              <w:rPr>
                <w:vertAlign w:val="superscript"/>
              </w:rPr>
              <w:t>®</w:t>
            </w:r>
            <w:r>
              <w:t>,</w:t>
            </w:r>
          </w:p>
          <w:p w:rsidR="006006CB" w:rsidRDefault="00D10D78">
            <w:pPr>
              <w:pStyle w:val="Tabletext"/>
            </w:pPr>
            <w:r>
              <w:t>Novartis</w:t>
            </w:r>
          </w:p>
        </w:tc>
      </w:tr>
      <w:tr w:rsidR="006006CB">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81" w:type="dxa"/>
            <w:gridSpan w:val="2"/>
            <w:tcBorders>
              <w:top w:val="single" w:sz="4" w:space="0" w:color="auto"/>
              <w:left w:val="single" w:sz="4" w:space="0" w:color="auto"/>
              <w:bottom w:val="single" w:sz="4" w:space="0" w:color="auto"/>
              <w:right w:val="single" w:sz="4" w:space="0" w:color="auto"/>
            </w:tcBorders>
            <w:hideMark/>
          </w:tcPr>
          <w:p w:rsidR="006006CB" w:rsidRDefault="00D10D78">
            <w:pPr>
              <w:pStyle w:val="Tabletext"/>
              <w:spacing w:before="60" w:after="60"/>
              <w:rPr>
                <w:lang w:eastAsia="en-AU"/>
              </w:rPr>
            </w:pPr>
            <w:r>
              <w:rPr>
                <w:lang w:eastAsia="en-AU"/>
              </w:rPr>
              <w:t>Category/Program:</w:t>
            </w:r>
          </w:p>
        </w:tc>
        <w:tc>
          <w:tcPr>
            <w:tcW w:w="6732" w:type="dxa"/>
            <w:gridSpan w:val="5"/>
            <w:tcBorders>
              <w:top w:val="single" w:sz="4" w:space="0" w:color="auto"/>
              <w:left w:val="single" w:sz="4" w:space="0" w:color="auto"/>
              <w:bottom w:val="single" w:sz="4" w:space="0" w:color="auto"/>
              <w:right w:val="single" w:sz="4" w:space="0" w:color="auto"/>
            </w:tcBorders>
          </w:tcPr>
          <w:p w:rsidR="006006CB" w:rsidRDefault="00D10D78">
            <w:pPr>
              <w:pStyle w:val="Tabletext"/>
              <w:spacing w:before="60" w:after="60"/>
              <w:rPr>
                <w:lang w:eastAsia="en-AU"/>
              </w:rPr>
            </w:pPr>
            <w:r>
              <w:rPr>
                <w:lang w:eastAsia="en-AU"/>
              </w:rPr>
              <w:t>Section 100 (HSD program) and Section 100 (HSD program, community access)</w:t>
            </w:r>
          </w:p>
        </w:tc>
      </w:tr>
      <w:tr w:rsidR="006006CB">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81" w:type="dxa"/>
            <w:gridSpan w:val="2"/>
            <w:tcBorders>
              <w:top w:val="single" w:sz="4" w:space="0" w:color="auto"/>
              <w:left w:val="single" w:sz="4" w:space="0" w:color="auto"/>
              <w:bottom w:val="single" w:sz="4" w:space="0" w:color="auto"/>
              <w:right w:val="single" w:sz="4" w:space="0" w:color="auto"/>
            </w:tcBorders>
            <w:hideMark/>
          </w:tcPr>
          <w:p w:rsidR="006006CB" w:rsidRDefault="00D10D78">
            <w:pPr>
              <w:pStyle w:val="Tabletext"/>
              <w:spacing w:before="60" w:after="60"/>
              <w:rPr>
                <w:lang w:eastAsia="en-AU"/>
              </w:rPr>
            </w:pPr>
            <w:r>
              <w:rPr>
                <w:lang w:eastAsia="en-AU"/>
              </w:rPr>
              <w:t>PBS indication:</w:t>
            </w:r>
          </w:p>
        </w:tc>
        <w:tc>
          <w:tcPr>
            <w:tcW w:w="6732" w:type="dxa"/>
            <w:gridSpan w:val="5"/>
            <w:tcBorders>
              <w:top w:val="single" w:sz="4" w:space="0" w:color="auto"/>
              <w:left w:val="single" w:sz="4" w:space="0" w:color="auto"/>
              <w:bottom w:val="single" w:sz="4" w:space="0" w:color="auto"/>
              <w:right w:val="single" w:sz="4" w:space="0" w:color="auto"/>
            </w:tcBorders>
          </w:tcPr>
          <w:p w:rsidR="006006CB" w:rsidRDefault="00D10D78">
            <w:pPr>
              <w:pStyle w:val="Tabletext"/>
              <w:spacing w:before="60" w:after="60"/>
              <w:rPr>
                <w:lang w:eastAsia="en-AU"/>
              </w:rPr>
            </w:pPr>
            <w:r>
              <w:rPr>
                <w:lang w:eastAsia="en-AU"/>
              </w:rPr>
              <w:t>Non-functional neuroendocrine tumours of midgut or suspected midgut origin</w:t>
            </w:r>
          </w:p>
        </w:tc>
      </w:tr>
      <w:tr w:rsidR="006006CB">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81" w:type="dxa"/>
            <w:gridSpan w:val="2"/>
            <w:tcBorders>
              <w:top w:val="single" w:sz="4" w:space="0" w:color="auto"/>
              <w:left w:val="single" w:sz="4" w:space="0" w:color="auto"/>
              <w:bottom w:val="single" w:sz="4" w:space="0" w:color="auto"/>
              <w:right w:val="single" w:sz="4" w:space="0" w:color="auto"/>
            </w:tcBorders>
            <w:hideMark/>
          </w:tcPr>
          <w:p w:rsidR="006006CB" w:rsidRDefault="00D10D78">
            <w:pPr>
              <w:pStyle w:val="Tabletext"/>
              <w:spacing w:before="60" w:after="60"/>
              <w:rPr>
                <w:lang w:eastAsia="en-AU"/>
              </w:rPr>
            </w:pPr>
            <w:r>
              <w:rPr>
                <w:lang w:eastAsia="en-AU"/>
              </w:rPr>
              <w:t>Restriction:</w:t>
            </w:r>
          </w:p>
        </w:tc>
        <w:tc>
          <w:tcPr>
            <w:tcW w:w="6732" w:type="dxa"/>
            <w:gridSpan w:val="5"/>
            <w:tcBorders>
              <w:top w:val="single" w:sz="4" w:space="0" w:color="auto"/>
              <w:left w:val="single" w:sz="4" w:space="0" w:color="auto"/>
              <w:bottom w:val="single" w:sz="4" w:space="0" w:color="auto"/>
              <w:right w:val="single" w:sz="4" w:space="0" w:color="auto"/>
            </w:tcBorders>
          </w:tcPr>
          <w:p w:rsidR="006006CB" w:rsidRDefault="00D10D78">
            <w:pPr>
              <w:pStyle w:val="Tabletext"/>
              <w:spacing w:before="60" w:after="60"/>
              <w:rPr>
                <w:lang w:eastAsia="en-AU"/>
              </w:rPr>
            </w:pPr>
            <w:r>
              <w:rPr>
                <w:lang w:eastAsia="en-AU"/>
              </w:rPr>
              <w:t>Authority (STREAMLINED) for public hospitals and community access; Authority required (telephone) for private hospitals.</w:t>
            </w:r>
          </w:p>
        </w:tc>
      </w:tr>
      <w:tr w:rsidR="006006CB">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81" w:type="dxa"/>
            <w:gridSpan w:val="2"/>
            <w:tcBorders>
              <w:top w:val="single" w:sz="4" w:space="0" w:color="auto"/>
              <w:left w:val="single" w:sz="4" w:space="0" w:color="auto"/>
              <w:bottom w:val="single" w:sz="4" w:space="0" w:color="auto"/>
              <w:right w:val="single" w:sz="4" w:space="0" w:color="auto"/>
            </w:tcBorders>
            <w:hideMark/>
          </w:tcPr>
          <w:p w:rsidR="006006CB" w:rsidRDefault="00D10D78">
            <w:pPr>
              <w:pStyle w:val="Tabletext"/>
              <w:spacing w:before="60" w:after="60"/>
              <w:rPr>
                <w:lang w:eastAsia="en-AU"/>
              </w:rPr>
            </w:pPr>
            <w:r>
              <w:rPr>
                <w:lang w:eastAsia="en-AU"/>
              </w:rPr>
              <w:t>Clinical criteria:</w:t>
            </w:r>
          </w:p>
        </w:tc>
        <w:tc>
          <w:tcPr>
            <w:tcW w:w="6732" w:type="dxa"/>
            <w:gridSpan w:val="5"/>
            <w:tcBorders>
              <w:top w:val="single" w:sz="4" w:space="0" w:color="auto"/>
              <w:left w:val="single" w:sz="4" w:space="0" w:color="auto"/>
              <w:bottom w:val="single" w:sz="4" w:space="0" w:color="auto"/>
              <w:right w:val="single" w:sz="4" w:space="0" w:color="auto"/>
            </w:tcBorders>
          </w:tcPr>
          <w:p w:rsidR="006006CB" w:rsidRDefault="00D10D78">
            <w:pPr>
              <w:pStyle w:val="PBACTableText"/>
              <w:spacing w:before="60" w:after="60"/>
              <w:rPr>
                <w:lang w:val="en-AU" w:eastAsia="en-US"/>
              </w:rPr>
            </w:pPr>
            <w:r>
              <w:rPr>
                <w:lang w:val="en-AU"/>
              </w:rPr>
              <w:t>The condition must be WHO grade 1 or 2 unresectable locally advanced disease OR</w:t>
            </w:r>
          </w:p>
          <w:p w:rsidR="006006CB" w:rsidRDefault="00D10D78">
            <w:pPr>
              <w:pStyle w:val="PBACTableText"/>
              <w:spacing w:before="60" w:after="60"/>
              <w:rPr>
                <w:lang w:val="en-AU"/>
              </w:rPr>
            </w:pPr>
            <w:r>
              <w:rPr>
                <w:lang w:val="en-AU"/>
              </w:rPr>
              <w:t>The condition must be WHO grade 1 or 2 metastatic disease</w:t>
            </w:r>
          </w:p>
          <w:p w:rsidR="006006CB" w:rsidRDefault="00D10D78">
            <w:pPr>
              <w:pStyle w:val="PBACTableText"/>
              <w:spacing w:before="60" w:after="60"/>
              <w:rPr>
                <w:lang w:val="en-AU"/>
              </w:rPr>
            </w:pPr>
            <w:r>
              <w:rPr>
                <w:lang w:val="en-AU"/>
              </w:rPr>
              <w:t>AND</w:t>
            </w:r>
          </w:p>
          <w:p w:rsidR="006006CB" w:rsidRDefault="00D10D78">
            <w:pPr>
              <w:pStyle w:val="Tabletext"/>
              <w:spacing w:before="60" w:after="60"/>
              <w:rPr>
                <w:lang w:eastAsia="en-AU"/>
              </w:rPr>
            </w:pPr>
            <w:r>
              <w:rPr>
                <w:lang w:eastAsia="en-AU"/>
              </w:rPr>
              <w:t>The treatment must be as monotherapy</w:t>
            </w:r>
          </w:p>
        </w:tc>
      </w:tr>
      <w:tr w:rsidR="006006CB">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81" w:type="dxa"/>
            <w:gridSpan w:val="2"/>
            <w:tcBorders>
              <w:top w:val="single" w:sz="4" w:space="0" w:color="auto"/>
              <w:left w:val="single" w:sz="4" w:space="0" w:color="auto"/>
              <w:bottom w:val="single" w:sz="4" w:space="0" w:color="auto"/>
              <w:right w:val="single" w:sz="4" w:space="0" w:color="auto"/>
            </w:tcBorders>
          </w:tcPr>
          <w:p w:rsidR="006006CB" w:rsidRDefault="00D10D78">
            <w:pPr>
              <w:pStyle w:val="Tabletext"/>
              <w:spacing w:before="60" w:after="60"/>
              <w:rPr>
                <w:lang w:eastAsia="en-AU"/>
              </w:rPr>
            </w:pPr>
            <w:r>
              <w:rPr>
                <w:lang w:eastAsia="en-AU"/>
              </w:rPr>
              <w:lastRenderedPageBreak/>
              <w:t>Population criteria:</w:t>
            </w:r>
          </w:p>
        </w:tc>
        <w:tc>
          <w:tcPr>
            <w:tcW w:w="6732" w:type="dxa"/>
            <w:gridSpan w:val="5"/>
            <w:tcBorders>
              <w:top w:val="single" w:sz="4" w:space="0" w:color="auto"/>
              <w:left w:val="single" w:sz="4" w:space="0" w:color="auto"/>
              <w:bottom w:val="single" w:sz="4" w:space="0" w:color="auto"/>
              <w:right w:val="single" w:sz="4" w:space="0" w:color="auto"/>
            </w:tcBorders>
          </w:tcPr>
          <w:p w:rsidR="006006CB" w:rsidRDefault="00D10D78">
            <w:pPr>
              <w:pStyle w:val="Tabletext"/>
              <w:spacing w:before="60" w:after="60"/>
              <w:rPr>
                <w:color w:val="000000"/>
                <w:szCs w:val="24"/>
                <w:lang w:eastAsia="en-AU"/>
              </w:rPr>
            </w:pPr>
            <w:r>
              <w:t>Patient must be 18 years or older</w:t>
            </w:r>
          </w:p>
        </w:tc>
      </w:tr>
      <w:tr w:rsidR="006006CB">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2281" w:type="dxa"/>
            <w:gridSpan w:val="2"/>
            <w:tcBorders>
              <w:top w:val="single" w:sz="4" w:space="0" w:color="auto"/>
              <w:left w:val="single" w:sz="4" w:space="0" w:color="auto"/>
              <w:bottom w:val="single" w:sz="4" w:space="0" w:color="auto"/>
              <w:right w:val="single" w:sz="4" w:space="0" w:color="auto"/>
            </w:tcBorders>
            <w:hideMark/>
          </w:tcPr>
          <w:p w:rsidR="006006CB" w:rsidRDefault="00D10D78">
            <w:pPr>
              <w:pStyle w:val="Tabletext"/>
              <w:spacing w:before="60" w:after="60"/>
              <w:rPr>
                <w:lang w:eastAsia="en-AU"/>
              </w:rPr>
            </w:pPr>
            <w:r>
              <w:rPr>
                <w:lang w:eastAsia="en-AU"/>
              </w:rPr>
              <w:t>Prescriber criteria:</w:t>
            </w:r>
          </w:p>
        </w:tc>
        <w:tc>
          <w:tcPr>
            <w:tcW w:w="6732" w:type="dxa"/>
            <w:gridSpan w:val="5"/>
            <w:tcBorders>
              <w:top w:val="single" w:sz="4" w:space="0" w:color="auto"/>
              <w:left w:val="single" w:sz="4" w:space="0" w:color="auto"/>
              <w:bottom w:val="single" w:sz="4" w:space="0" w:color="auto"/>
              <w:right w:val="single" w:sz="4" w:space="0" w:color="auto"/>
            </w:tcBorders>
          </w:tcPr>
          <w:p w:rsidR="006006CB" w:rsidRDefault="00D10D78">
            <w:pPr>
              <w:pStyle w:val="PBACTableText"/>
              <w:spacing w:before="60" w:after="60"/>
              <w:rPr>
                <w:lang w:val="en-AU"/>
              </w:rPr>
            </w:pPr>
            <w:r>
              <w:rPr>
                <w:lang w:val="en-AU"/>
              </w:rPr>
              <w:t>Grade 1 midget NETs are defined by WHO as the following:</w:t>
            </w:r>
          </w:p>
          <w:p w:rsidR="006006CB" w:rsidRDefault="00D10D78">
            <w:pPr>
              <w:pStyle w:val="PBACTableText"/>
              <w:numPr>
                <w:ilvl w:val="0"/>
                <w:numId w:val="5"/>
              </w:numPr>
              <w:spacing w:before="60" w:after="60"/>
              <w:rPr>
                <w:lang w:val="en-AU"/>
              </w:rPr>
            </w:pPr>
            <w:r>
              <w:rPr>
                <w:lang w:val="en-AU"/>
              </w:rPr>
              <w:t>Mitotic count (10HPF) of less than 2 and</w:t>
            </w:r>
          </w:p>
          <w:p w:rsidR="006006CB" w:rsidRDefault="00D10D78">
            <w:pPr>
              <w:pStyle w:val="PBACTableText"/>
              <w:numPr>
                <w:ilvl w:val="0"/>
                <w:numId w:val="5"/>
              </w:numPr>
              <w:spacing w:before="60" w:after="60"/>
              <w:rPr>
                <w:lang w:val="en-AU"/>
              </w:rPr>
            </w:pPr>
            <w:r>
              <w:rPr>
                <w:lang w:val="en-AU"/>
              </w:rPr>
              <w:t>Ki-67 index (%) of less than or equal to 2</w:t>
            </w:r>
          </w:p>
          <w:p w:rsidR="006006CB" w:rsidRDefault="00D10D78">
            <w:pPr>
              <w:pStyle w:val="PBACTableText"/>
              <w:spacing w:before="60" w:after="60"/>
              <w:rPr>
                <w:lang w:val="en-AU"/>
              </w:rPr>
            </w:pPr>
            <w:r>
              <w:rPr>
                <w:lang w:val="en-AU"/>
              </w:rPr>
              <w:t>Grade 2 midget NETs are defined by WHO as the following:</w:t>
            </w:r>
          </w:p>
          <w:p w:rsidR="006006CB" w:rsidRDefault="00D10D78">
            <w:pPr>
              <w:pStyle w:val="PBACTableText"/>
              <w:numPr>
                <w:ilvl w:val="0"/>
                <w:numId w:val="6"/>
              </w:numPr>
              <w:spacing w:before="60" w:after="60"/>
              <w:rPr>
                <w:lang w:val="en-AU"/>
              </w:rPr>
            </w:pPr>
            <w:r>
              <w:rPr>
                <w:lang w:val="en-AU"/>
              </w:rPr>
              <w:t>Mitotic count (10HPF) of 2-20 and</w:t>
            </w:r>
          </w:p>
          <w:p w:rsidR="006006CB" w:rsidRDefault="00D10D78">
            <w:pPr>
              <w:pStyle w:val="PBACTableText"/>
              <w:numPr>
                <w:ilvl w:val="0"/>
                <w:numId w:val="6"/>
              </w:numPr>
              <w:spacing w:before="60" w:after="60"/>
              <w:rPr>
                <w:lang w:val="en-AU"/>
              </w:rPr>
            </w:pPr>
            <w:r>
              <w:rPr>
                <w:lang w:val="en-AU"/>
              </w:rPr>
              <w:t>Ki-67 index (%) of 3-20</w:t>
            </w:r>
          </w:p>
          <w:p w:rsidR="006006CB" w:rsidRDefault="00D10D78">
            <w:pPr>
              <w:pStyle w:val="PBACTableText"/>
              <w:spacing w:before="60" w:after="60"/>
              <w:rPr>
                <w:lang w:val="en-AU"/>
              </w:rPr>
            </w:pPr>
            <w:r>
              <w:rPr>
                <w:lang w:val="en-AU"/>
              </w:rPr>
              <w:t>Patients with progressive functional progressive disease are no longer eligible for this restriction.</w:t>
            </w:r>
          </w:p>
          <w:p w:rsidR="006006CB" w:rsidRDefault="00D10D78">
            <w:pPr>
              <w:pStyle w:val="Tabletext"/>
              <w:spacing w:before="60" w:after="60"/>
              <w:rPr>
                <w:color w:val="000000"/>
                <w:szCs w:val="24"/>
                <w:lang w:eastAsia="en-AU"/>
              </w:rPr>
            </w:pPr>
            <w:r>
              <w:t>The treatment must not be in combination with PBS-subsidised everolimus or sunitinib for this condition.</w:t>
            </w:r>
          </w:p>
        </w:tc>
      </w:tr>
    </w:tbl>
    <w:p w:rsidR="006006CB" w:rsidRDefault="006006CB">
      <w:pPr>
        <w:widowControl/>
        <w:rPr>
          <w:rFonts w:cs="Calibri"/>
          <w:bCs/>
          <w:i/>
        </w:rPr>
      </w:pPr>
    </w:p>
    <w:p w:rsidR="006006CB" w:rsidRDefault="00D10D78">
      <w:pPr>
        <w:pStyle w:val="ListParagraph"/>
        <w:widowControl/>
        <w:numPr>
          <w:ilvl w:val="1"/>
          <w:numId w:val="1"/>
        </w:numPr>
      </w:pPr>
      <w:r>
        <w:t xml:space="preserve">The sponsor proposed a Special Pricing Arrangement with a discount of </w:t>
      </w:r>
      <w:r w:rsidR="003458F3">
        <w:rPr>
          <w:noProof/>
          <w:color w:val="000000"/>
          <w:highlight w:val="black"/>
        </w:rPr>
        <w:t>''''''''</w:t>
      </w:r>
      <w:r>
        <w:t>% on the DPMQ for current octreotide PBS listings, in the form of a confidential rebate for the new non-functional midgut NETs restriction only.</w:t>
      </w:r>
    </w:p>
    <w:p w:rsidR="006006CB" w:rsidRDefault="00D10D78">
      <w:pPr>
        <w:pStyle w:val="ListParagraph"/>
        <w:widowControl/>
        <w:numPr>
          <w:ilvl w:val="1"/>
          <w:numId w:val="1"/>
        </w:numPr>
      </w:pPr>
      <w:r>
        <w:t xml:space="preserve">The requested restriction is narrower than the Therapeutic Goods Administration (TGA) indication, due to the inclusion of clinical criteria limiting use to World Health Organisation (WHO) grade 1 or 2 unresectable locally advanced or metastatic disease. </w:t>
      </w:r>
    </w:p>
    <w:p w:rsidR="006006CB" w:rsidRDefault="00D10D78">
      <w:pPr>
        <w:pStyle w:val="ListParagraph"/>
        <w:widowControl/>
        <w:numPr>
          <w:ilvl w:val="1"/>
          <w:numId w:val="1"/>
        </w:numPr>
      </w:pPr>
      <w:r>
        <w:t>There are differences between the requested restriction for octreotide and the PBS restriction for lanreotide, given differences between the populations in the lanreotide and octreotide clinical trials, and in the approved TGA indications. The PBS listing for lanreotide is for treatment of non-functional GEP-NETs in adults with well-differentiated, unresectable locally advanced or metastatic disease. The requested restriction for octreotide limits use to a sub-set of non-functional GEP</w:t>
      </w:r>
      <w:r>
        <w:noBreakHyphen/>
        <w:t xml:space="preserve">NETs (i.e. midgut tumours). </w:t>
      </w:r>
    </w:p>
    <w:p w:rsidR="006006CB" w:rsidRDefault="00D10D78">
      <w:pPr>
        <w:pStyle w:val="ListParagraph"/>
        <w:numPr>
          <w:ilvl w:val="1"/>
          <w:numId w:val="1"/>
        </w:numPr>
      </w:pPr>
      <w:r>
        <w:t xml:space="preserve">The submission requested an initial grandfather </w:t>
      </w:r>
      <w:r w:rsidR="003458F3">
        <w:rPr>
          <w:noProof/>
          <w:color w:val="000000"/>
          <w:highlight w:val="black"/>
        </w:rPr>
        <w:t>'''''''''''''''''' '''' ''''''''' '''''' ''''''''''''''' '''''''' '''''' '''''''''''''''''' ''''''''''''''''''' '''''' ''' ''''''''''''''''''' ''''''''''''''' '''''''''''' '''''''''''''''''' '''' '''''' '''''''''' '''' ''''''' '''''''''''''</w:t>
      </w:r>
      <w:r>
        <w:t xml:space="preserve"> The evaluation noted that the submission did not propose any restriction wording or explain why these patients would not be eligible under the proposed PBS listing. The pre-PBAC response  stated that the sponsor agreed that a grandfather restriction is not required.</w:t>
      </w:r>
    </w:p>
    <w:p w:rsidR="006006CB" w:rsidRDefault="00D10D78">
      <w:pPr>
        <w:pStyle w:val="ListParagraph"/>
        <w:widowControl/>
        <w:numPr>
          <w:ilvl w:val="1"/>
          <w:numId w:val="1"/>
        </w:numPr>
      </w:pPr>
      <w:r>
        <w:t>The sponsor proposed that the PBAC consider granting octreotide a broader listing to reflect that of lanreotide (that is, incorporating patients with GEP-NETs rather than only midgut NETs), based on a presumed class effect of somatostatin analogues.</w:t>
      </w:r>
    </w:p>
    <w:p w:rsidR="006006CB" w:rsidRDefault="00D10D78">
      <w:pPr>
        <w:pStyle w:val="ListParagraph"/>
        <w:widowControl/>
        <w:numPr>
          <w:ilvl w:val="1"/>
          <w:numId w:val="1"/>
        </w:numPr>
      </w:pPr>
      <w:r>
        <w:t xml:space="preserve">The submission suggested that the inclusion of the prescribing instruction that “patients with progressive disease need to be re-evaluated for their disease state and may no longer be eligible for this restriction” will ensure that patients receive the dose shown to have therapeutic benefits for their disease. The sponsor stated that they are willing to work with the Department to determine the best means of differentiating the non-functional GEP-NETs listing and the functional carcinoid tumour listings for managing disease symptoms. </w:t>
      </w:r>
    </w:p>
    <w:p w:rsidR="006006CB" w:rsidRDefault="00D10D78">
      <w:pPr>
        <w:pStyle w:val="ListParagraph"/>
        <w:widowControl/>
        <w:numPr>
          <w:ilvl w:val="2"/>
          <w:numId w:val="26"/>
        </w:numPr>
        <w:ind w:left="993" w:hanging="284"/>
      </w:pPr>
      <w:r>
        <w:lastRenderedPageBreak/>
        <w:t>The evaluation considered the wording of the prescribing instruction may cause confusion regarding the difference between disease progression (which may be associated with development of additional non-hormonal symptoms) and disease conversion (switching between non-functional (non-hormone secreting) and functional (hormone secreting) status). This prescribing instruction may be unnecessary if the intent is to differentiate functional and non-functional tumours, given the separate listing for functional tumours (10-30 mg every 4 weeks for control of hormonal symptoms) and proposed listing for non-functional tumours (30 mg every 4 weeks for anti-proliferative effects). However, if the intent is to stop treatment upon disease progression, this is consistent with the evidence and the clinical management algorithm presented in the submission, but is inconsistent with the listing for lanreotide for non-functional GEP</w:t>
      </w:r>
      <w:r>
        <w:noBreakHyphen/>
        <w:t xml:space="preserve">NETs. </w:t>
      </w:r>
      <w:bookmarkStart w:id="2" w:name="_Toc9329862"/>
    </w:p>
    <w:p w:rsidR="006006CB" w:rsidRDefault="00D10D78">
      <w:pPr>
        <w:pStyle w:val="ListParagraph"/>
        <w:widowControl/>
        <w:numPr>
          <w:ilvl w:val="2"/>
          <w:numId w:val="26"/>
        </w:numPr>
        <w:ind w:left="993" w:hanging="284"/>
      </w:pPr>
      <w:r>
        <w:t>The PSCR stated that the prescribing instruction was intended as a prompt for prescribers, in order to differentiate the listings for functional and non-functional disease and suggested the following alternative instruction: “patients with functional progressive disease are no longer eligible for this restriction”.</w:t>
      </w:r>
    </w:p>
    <w:p w:rsidR="006006CB" w:rsidRDefault="00D10D78">
      <w:pPr>
        <w:pStyle w:val="ListParagraph"/>
        <w:widowControl/>
      </w:pPr>
      <w:r>
        <w:rPr>
          <w:rFonts w:asciiTheme="minorHAnsi" w:hAnsiTheme="minorHAnsi"/>
          <w:i/>
        </w:rPr>
        <w:t>For more detail on PBAC’s view, see section 7 PBAC outcome.</w:t>
      </w:r>
    </w:p>
    <w:p w:rsidR="006006CB" w:rsidRDefault="00D10D78">
      <w:pPr>
        <w:pStyle w:val="Heading1"/>
      </w:pPr>
      <w:r>
        <w:t>Background</w:t>
      </w:r>
      <w:bookmarkEnd w:id="2"/>
    </w:p>
    <w:p w:rsidR="006006CB" w:rsidRDefault="00D10D78">
      <w:pPr>
        <w:pStyle w:val="Heading2"/>
      </w:pPr>
      <w:bookmarkStart w:id="3" w:name="_Toc9329863"/>
      <w:r>
        <w:t>Registration status</w:t>
      </w:r>
      <w:bookmarkEnd w:id="3"/>
    </w:p>
    <w:p w:rsidR="006006CB" w:rsidRDefault="00D10D78">
      <w:pPr>
        <w:pStyle w:val="ListParagraph"/>
        <w:widowControl/>
        <w:numPr>
          <w:ilvl w:val="1"/>
          <w:numId w:val="1"/>
        </w:numPr>
        <w:rPr>
          <w:color w:val="000000" w:themeColor="text1"/>
        </w:rPr>
      </w:pPr>
      <w:r>
        <w:rPr>
          <w:color w:val="000000" w:themeColor="text1"/>
        </w:rPr>
        <w:t xml:space="preserve">Octreotide was approved by the TGA for the treatment of patients with progression of well-differentiated, advanced NETs of the midgut or suspected midgut origin on 3 March 2015. </w:t>
      </w:r>
    </w:p>
    <w:p w:rsidR="006006CB" w:rsidRDefault="00D10D78">
      <w:pPr>
        <w:pStyle w:val="ListParagraph"/>
        <w:widowControl/>
        <w:numPr>
          <w:ilvl w:val="1"/>
          <w:numId w:val="1"/>
        </w:numPr>
      </w:pPr>
      <w:r>
        <w:t>Octreotide is also TGA-approved and PBS-listed for the treatment of acromegaly; and the relief of symptoms associated with carcinoid tumours (with features of carcinoid syndrome) or vasoactive intestinal peptide secreting tumours (VIPomas) in patients who are adequately controlled on subcutaneous treatment with immediate release octreotide.</w:t>
      </w:r>
    </w:p>
    <w:p w:rsidR="006006CB" w:rsidRDefault="00D10D78">
      <w:pPr>
        <w:widowControl/>
        <w:spacing w:after="120"/>
        <w:ind w:left="720"/>
      </w:pPr>
      <w:r>
        <w:rPr>
          <w:rFonts w:asciiTheme="minorHAnsi" w:hAnsiTheme="minorHAnsi"/>
          <w:i/>
        </w:rPr>
        <w:t>For more detail on PBAC’s view, see section 7 PBAC outcome.</w:t>
      </w:r>
    </w:p>
    <w:p w:rsidR="006006CB" w:rsidRDefault="00D10D78">
      <w:pPr>
        <w:pStyle w:val="Heading1"/>
      </w:pPr>
      <w:bookmarkStart w:id="4" w:name="_Toc9329864"/>
      <w:r>
        <w:t>Population and disease</w:t>
      </w:r>
      <w:bookmarkEnd w:id="4"/>
    </w:p>
    <w:p w:rsidR="006006CB" w:rsidRDefault="00D10D78">
      <w:pPr>
        <w:pStyle w:val="ListParagraph"/>
        <w:widowControl/>
        <w:numPr>
          <w:ilvl w:val="1"/>
          <w:numId w:val="1"/>
        </w:numPr>
      </w:pPr>
      <w:r>
        <w:t xml:space="preserve">NETs are a group of rare tumours arising from the neuroendocrine cells, predominantly in the gastrointestinal tract, pancreas and lungs. NETs can be broadly classified by: </w:t>
      </w:r>
    </w:p>
    <w:p w:rsidR="006006CB" w:rsidRDefault="00D10D78">
      <w:pPr>
        <w:pStyle w:val="ListParagraph"/>
        <w:widowControl/>
        <w:numPr>
          <w:ilvl w:val="1"/>
          <w:numId w:val="10"/>
        </w:numPr>
        <w:ind w:left="993" w:hanging="284"/>
      </w:pPr>
      <w:r>
        <w:t>anatomical location (midgut NETs are those that affect the jejunum, ileum, appendix and ascending colon);</w:t>
      </w:r>
    </w:p>
    <w:p w:rsidR="006006CB" w:rsidRDefault="00D10D78">
      <w:pPr>
        <w:pStyle w:val="ListParagraph"/>
        <w:widowControl/>
        <w:numPr>
          <w:ilvl w:val="1"/>
          <w:numId w:val="10"/>
        </w:numPr>
        <w:ind w:left="993" w:hanging="284"/>
      </w:pPr>
      <w:r>
        <w:t xml:space="preserve">hormonal symptoms (functional [hormone-secreting], or non-functional [not hormone-secreting]); and </w:t>
      </w:r>
    </w:p>
    <w:p w:rsidR="006006CB" w:rsidRDefault="00D10D78">
      <w:pPr>
        <w:pStyle w:val="ListParagraph"/>
        <w:widowControl/>
        <w:numPr>
          <w:ilvl w:val="1"/>
          <w:numId w:val="10"/>
        </w:numPr>
        <w:ind w:left="993" w:hanging="284"/>
      </w:pPr>
      <w:r>
        <w:lastRenderedPageBreak/>
        <w:t xml:space="preserve">pathology (Grade 1 [well-differentiated tumour, mitotic index &lt; 2 and/or Ki-67 index &lt; 3%], Grade 2 [well-differentiated tumour, mitotic index 2-20 and/or Ki-67 index 3-20%] and Grade 3 [poorly differentiated tumour, mitotic index &gt; 20 and/or Ki-67 index &gt; 20%]). </w:t>
      </w:r>
    </w:p>
    <w:p w:rsidR="006006CB" w:rsidRDefault="00D10D78">
      <w:pPr>
        <w:pStyle w:val="ListParagraph"/>
        <w:widowControl/>
        <w:numPr>
          <w:ilvl w:val="1"/>
          <w:numId w:val="1"/>
        </w:numPr>
      </w:pPr>
      <w:r>
        <w:t>All NETs regardless of functional status have the potential to directly (through tumour load) or indirectly (through metastases) cause non-hormonal symptoms.</w:t>
      </w:r>
    </w:p>
    <w:p w:rsidR="006006CB" w:rsidRDefault="00D10D78">
      <w:pPr>
        <w:pStyle w:val="ListParagraph"/>
        <w:widowControl/>
        <w:numPr>
          <w:ilvl w:val="1"/>
          <w:numId w:val="1"/>
        </w:numPr>
      </w:pPr>
      <w:r>
        <w:t>The submission positioned octreotide 30 mg every 28 days as an alternative to lanreotide 120 mg every 28 days in the first-line treatment of patients with metastatic or non-resectable (Grade 1 or 2) non-functional midgut NETs. This position is consistent with guideline recommendations for midgut NETs.</w:t>
      </w:r>
    </w:p>
    <w:p w:rsidR="006006CB" w:rsidRDefault="00D10D78">
      <w:pPr>
        <w:pStyle w:val="ListParagraph"/>
        <w:widowControl/>
      </w:pPr>
      <w:r>
        <w:rPr>
          <w:rFonts w:asciiTheme="minorHAnsi" w:hAnsiTheme="minorHAnsi"/>
          <w:i/>
        </w:rPr>
        <w:t>For more detail on PBAC’s view, see section 7 PBAC outcome.</w:t>
      </w:r>
    </w:p>
    <w:p w:rsidR="006006CB" w:rsidRDefault="00D10D78">
      <w:pPr>
        <w:pStyle w:val="Heading1"/>
      </w:pPr>
      <w:bookmarkStart w:id="5" w:name="_Toc9329865"/>
      <w:r>
        <w:t>Comparator</w:t>
      </w:r>
      <w:bookmarkEnd w:id="5"/>
    </w:p>
    <w:p w:rsidR="006006CB" w:rsidRDefault="00D10D78">
      <w:pPr>
        <w:pStyle w:val="ListParagraph"/>
        <w:widowControl/>
        <w:numPr>
          <w:ilvl w:val="1"/>
          <w:numId w:val="1"/>
        </w:numPr>
      </w:pPr>
      <w:r>
        <w:t>The submission nominated lanreotide as the main comparator, on the basis that lanreotide was PBS-listed for the treatment of adults with well-differentiated, unresectable locally advanced or metastatic non- GEP-NETs in December 2018. This was appropriate.</w:t>
      </w:r>
    </w:p>
    <w:p w:rsidR="006006CB" w:rsidRDefault="00D10D78">
      <w:pPr>
        <w:pStyle w:val="ListParagraph"/>
        <w:widowControl/>
      </w:pPr>
      <w:r>
        <w:rPr>
          <w:rFonts w:asciiTheme="minorHAnsi" w:hAnsiTheme="minorHAnsi"/>
          <w:i/>
        </w:rPr>
        <w:t>For more detail on PBAC’s view, see section 7 PBAC outcome.</w:t>
      </w:r>
    </w:p>
    <w:p w:rsidR="006006CB" w:rsidRDefault="00D10D78">
      <w:pPr>
        <w:pStyle w:val="Heading1"/>
      </w:pPr>
      <w:bookmarkStart w:id="6" w:name="_Toc9329866"/>
      <w:r>
        <w:t>Consideration of the evidence</w:t>
      </w:r>
      <w:bookmarkEnd w:id="6"/>
    </w:p>
    <w:p w:rsidR="006006CB" w:rsidRDefault="00D10D78">
      <w:pPr>
        <w:pStyle w:val="Heading2"/>
      </w:pPr>
      <w:bookmarkStart w:id="7" w:name="_Toc9329867"/>
      <w:r>
        <w:t>Sponsor hearing</w:t>
      </w:r>
    </w:p>
    <w:p w:rsidR="006006CB" w:rsidRDefault="00D10D78">
      <w:pPr>
        <w:numPr>
          <w:ilvl w:val="1"/>
          <w:numId w:val="1"/>
        </w:numPr>
        <w:spacing w:after="120"/>
        <w:rPr>
          <w:rFonts w:asciiTheme="minorHAnsi" w:hAnsiTheme="minorHAnsi"/>
          <w:bCs/>
        </w:rPr>
      </w:pPr>
      <w:r>
        <w:rPr>
          <w:rFonts w:asciiTheme="minorHAnsi" w:hAnsiTheme="minorHAnsi"/>
          <w:bCs/>
        </w:rPr>
        <w:t>There was no hearing for this item.</w:t>
      </w:r>
    </w:p>
    <w:p w:rsidR="006006CB" w:rsidRDefault="00D10D78">
      <w:pPr>
        <w:pStyle w:val="Heading2"/>
      </w:pPr>
      <w:r>
        <w:t>Consumer comments</w:t>
      </w:r>
    </w:p>
    <w:p w:rsidR="006006CB" w:rsidRDefault="00D10D78">
      <w:pPr>
        <w:numPr>
          <w:ilvl w:val="1"/>
          <w:numId w:val="1"/>
        </w:numPr>
        <w:spacing w:after="120"/>
        <w:rPr>
          <w:rFonts w:asciiTheme="minorHAnsi" w:hAnsiTheme="minorHAnsi"/>
          <w:bCs/>
        </w:rPr>
      </w:pPr>
      <w:r>
        <w:rPr>
          <w:rFonts w:asciiTheme="minorHAnsi" w:hAnsiTheme="minorHAnsi"/>
          <w:bCs/>
        </w:rPr>
        <w:t xml:space="preserve"> The PBAC noted that no consumer comments were received for this item.</w:t>
      </w:r>
    </w:p>
    <w:p w:rsidR="006006CB" w:rsidRDefault="00D10D78">
      <w:pPr>
        <w:pStyle w:val="Heading2"/>
      </w:pPr>
      <w:r>
        <w:t>Clinical trials</w:t>
      </w:r>
      <w:bookmarkEnd w:id="7"/>
    </w:p>
    <w:p w:rsidR="006006CB" w:rsidRDefault="00D10D78">
      <w:pPr>
        <w:pStyle w:val="ListParagraph"/>
        <w:widowControl/>
        <w:numPr>
          <w:ilvl w:val="1"/>
          <w:numId w:val="1"/>
        </w:numPr>
      </w:pPr>
      <w:r>
        <w:rPr>
          <w:rFonts w:cs="Calibri"/>
          <w:snapToGrid/>
          <w:szCs w:val="24"/>
          <w:lang w:val="en-US" w:eastAsia="en-AU"/>
        </w:rPr>
        <w:t xml:space="preserve">The submission was based on an indirect comparison of subgroups from one octreotide trial in patients with functional and non-functional midgut NETs (PROMID, n=85) and one lanreotide trial in patients with non-functional GEP-NETs (CLARINET, n=204), with placebo as the common comparator. The subgroup analysis consisted of patients more closely matching the requested PBS population, with non-functional disease from the PROMID trial (n=52) and patients with midgut GEP-NETs from the CLARINET trial (n=73). </w:t>
      </w:r>
      <w:r>
        <w:t>The non-functional subgroup and tumour origin subgroups were pre-specified in PROMID and CLARINET, respectively.</w:t>
      </w:r>
    </w:p>
    <w:p w:rsidR="006006CB" w:rsidRDefault="00D10D78">
      <w:pPr>
        <w:pStyle w:val="ListParagraph"/>
        <w:widowControl/>
        <w:numPr>
          <w:ilvl w:val="1"/>
          <w:numId w:val="1"/>
        </w:numPr>
      </w:pPr>
      <w:r>
        <w:rPr>
          <w:rFonts w:cs="Calibri"/>
          <w:snapToGrid/>
          <w:szCs w:val="24"/>
          <w:lang w:val="en-US" w:eastAsia="en-AU"/>
        </w:rPr>
        <w:t>Details of the trials presented in the submission are provided in the table below.</w:t>
      </w:r>
    </w:p>
    <w:p w:rsidR="00EF25F3" w:rsidRDefault="00EF25F3" w:rsidP="00EF25F3">
      <w:pPr>
        <w:pStyle w:val="PBACTableTextBoldLeft"/>
      </w:pPr>
      <w:r>
        <w:lastRenderedPageBreak/>
        <w:t xml:space="preserve">Table </w:t>
      </w:r>
      <w:r>
        <w:fldChar w:fldCharType="begin"/>
      </w:r>
      <w:r>
        <w:instrText xml:space="preserve"> SEQ Table \* ARABIC </w:instrText>
      </w:r>
      <w:r>
        <w:fldChar w:fldCharType="separate"/>
      </w:r>
      <w:r w:rsidR="0000118A">
        <w:rPr>
          <w:noProof/>
        </w:rPr>
        <w:t>2</w:t>
      </w:r>
      <w:r>
        <w:fldChar w:fldCharType="end"/>
      </w:r>
      <w:r w:rsidRPr="003C706A">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6006CB">
        <w:trPr>
          <w:tblHeader/>
        </w:trPr>
        <w:tc>
          <w:tcPr>
            <w:tcW w:w="796" w:type="pct"/>
            <w:vAlign w:val="center"/>
          </w:tcPr>
          <w:p w:rsidR="006006CB" w:rsidRDefault="00D10D78">
            <w:pPr>
              <w:pStyle w:val="Tabletext"/>
              <w:keepNext/>
              <w:rPr>
                <w:b/>
              </w:rPr>
            </w:pPr>
            <w:r>
              <w:rPr>
                <w:b/>
              </w:rPr>
              <w:t>Trial ID</w:t>
            </w:r>
          </w:p>
        </w:tc>
        <w:tc>
          <w:tcPr>
            <w:tcW w:w="3027" w:type="pct"/>
            <w:vAlign w:val="center"/>
          </w:tcPr>
          <w:p w:rsidR="006006CB" w:rsidRDefault="00D10D78">
            <w:pPr>
              <w:pStyle w:val="Tabletext"/>
              <w:keepNext/>
              <w:jc w:val="center"/>
              <w:rPr>
                <w:b/>
              </w:rPr>
            </w:pPr>
            <w:r>
              <w:rPr>
                <w:b/>
              </w:rPr>
              <w:t>Protocol title/ Publication title</w:t>
            </w:r>
          </w:p>
        </w:tc>
        <w:tc>
          <w:tcPr>
            <w:tcW w:w="1177" w:type="pct"/>
            <w:vAlign w:val="center"/>
          </w:tcPr>
          <w:p w:rsidR="006006CB" w:rsidRDefault="00D10D78">
            <w:pPr>
              <w:pStyle w:val="Tabletext"/>
              <w:keepNext/>
              <w:jc w:val="center"/>
              <w:rPr>
                <w:b/>
              </w:rPr>
            </w:pPr>
            <w:r>
              <w:rPr>
                <w:b/>
              </w:rPr>
              <w:t>Publication citation</w:t>
            </w:r>
          </w:p>
        </w:tc>
      </w:tr>
      <w:tr w:rsidR="006006CB">
        <w:tc>
          <w:tcPr>
            <w:tcW w:w="5000" w:type="pct"/>
            <w:gridSpan w:val="3"/>
            <w:tcBorders>
              <w:bottom w:val="nil"/>
            </w:tcBorders>
            <w:vAlign w:val="center"/>
          </w:tcPr>
          <w:p w:rsidR="006006CB" w:rsidRDefault="00D10D78">
            <w:pPr>
              <w:pStyle w:val="Tabletext"/>
              <w:keepNext/>
              <w:rPr>
                <w:b/>
              </w:rPr>
            </w:pPr>
            <w:r>
              <w:rPr>
                <w:b/>
                <w:szCs w:val="18"/>
              </w:rPr>
              <w:t>Octreotide</w:t>
            </w:r>
          </w:p>
        </w:tc>
      </w:tr>
      <w:tr w:rsidR="006006CB">
        <w:tc>
          <w:tcPr>
            <w:tcW w:w="796" w:type="pct"/>
            <w:vMerge w:val="restart"/>
            <w:vAlign w:val="center"/>
          </w:tcPr>
          <w:p w:rsidR="006006CB" w:rsidRDefault="00D10D78">
            <w:pPr>
              <w:pStyle w:val="Tabletext"/>
              <w:keepNext/>
              <w:rPr>
                <w:rFonts w:ascii="Times" w:hAnsi="Times"/>
              </w:rPr>
            </w:pPr>
            <w:r>
              <w:t>PROMID</w:t>
            </w:r>
          </w:p>
        </w:tc>
        <w:tc>
          <w:tcPr>
            <w:tcW w:w="3027" w:type="pct"/>
            <w:tcBorders>
              <w:bottom w:val="nil"/>
            </w:tcBorders>
            <w:vAlign w:val="center"/>
          </w:tcPr>
          <w:p w:rsidR="006006CB" w:rsidRDefault="00D10D78">
            <w:pPr>
              <w:pStyle w:val="Tabletext"/>
              <w:keepNext/>
              <w:rPr>
                <w:szCs w:val="18"/>
              </w:rPr>
            </w:pPr>
            <w:r>
              <w:rPr>
                <w:szCs w:val="18"/>
              </w:rPr>
              <w:t>Miller N, Blaeuer A, Donica M et al. CSMS995ADE05. Placebo-controlled prospective randomised study on the antiproliferative efficacy of octreotide in patients with metastasized neuroendocrine tumours of the midgut (PROMID).</w:t>
            </w:r>
          </w:p>
        </w:tc>
        <w:tc>
          <w:tcPr>
            <w:tcW w:w="1177" w:type="pct"/>
            <w:tcBorders>
              <w:bottom w:val="nil"/>
            </w:tcBorders>
          </w:tcPr>
          <w:p w:rsidR="006006CB" w:rsidRDefault="00D10D78">
            <w:pPr>
              <w:pStyle w:val="Tabletext"/>
              <w:keepNext/>
              <w:rPr>
                <w:rFonts w:ascii="Times" w:hAnsi="Times"/>
              </w:rPr>
            </w:pPr>
            <w:r>
              <w:t>July 2013</w:t>
            </w:r>
          </w:p>
        </w:tc>
      </w:tr>
      <w:tr w:rsidR="006006CB">
        <w:tc>
          <w:tcPr>
            <w:tcW w:w="796" w:type="pct"/>
            <w:vMerge/>
            <w:vAlign w:val="center"/>
          </w:tcPr>
          <w:p w:rsidR="006006CB" w:rsidRDefault="006006CB">
            <w:pPr>
              <w:pStyle w:val="Tabletext"/>
              <w:keepNext/>
            </w:pPr>
          </w:p>
        </w:tc>
        <w:tc>
          <w:tcPr>
            <w:tcW w:w="3027" w:type="pct"/>
            <w:tcBorders>
              <w:top w:val="nil"/>
              <w:bottom w:val="nil"/>
            </w:tcBorders>
            <w:vAlign w:val="center"/>
          </w:tcPr>
          <w:p w:rsidR="006006CB" w:rsidRDefault="00D10D78">
            <w:pPr>
              <w:pStyle w:val="Tabletext"/>
              <w:keepNext/>
              <w:rPr>
                <w:szCs w:val="18"/>
                <w:lang w:eastAsia="en-AU"/>
              </w:rPr>
            </w:pPr>
            <w:r>
              <w:rPr>
                <w:szCs w:val="18"/>
                <w:lang w:eastAsia="en-AU"/>
              </w:rPr>
              <w:t>Rinke A, Müller H-H, Schade-Brittinger C et al. Placebo-controlled, double-blind, prospective, randomised study on the effect of octreotide LAR in the control of tumour growth in patients with metastatic neuroendocrine midgut tumours: a report from the PROMID Study Group.</w:t>
            </w:r>
          </w:p>
        </w:tc>
        <w:tc>
          <w:tcPr>
            <w:tcW w:w="1177" w:type="pct"/>
            <w:tcBorders>
              <w:top w:val="nil"/>
              <w:bottom w:val="nil"/>
            </w:tcBorders>
          </w:tcPr>
          <w:p w:rsidR="006006CB" w:rsidRDefault="00D10D78">
            <w:pPr>
              <w:pStyle w:val="Tabletext"/>
              <w:keepNext/>
              <w:rPr>
                <w:szCs w:val="18"/>
                <w:lang w:eastAsia="en-AU"/>
              </w:rPr>
            </w:pPr>
            <w:r>
              <w:rPr>
                <w:i/>
                <w:szCs w:val="18"/>
                <w:lang w:eastAsia="en-AU"/>
              </w:rPr>
              <w:t>J Clin Oncol</w:t>
            </w:r>
            <w:r>
              <w:rPr>
                <w:szCs w:val="18"/>
                <w:lang w:eastAsia="en-AU"/>
              </w:rPr>
              <w:t xml:space="preserve"> 2009; 27: 4656–4663.</w:t>
            </w:r>
          </w:p>
        </w:tc>
      </w:tr>
      <w:tr w:rsidR="006006CB">
        <w:tc>
          <w:tcPr>
            <w:tcW w:w="796" w:type="pct"/>
            <w:vMerge/>
            <w:vAlign w:val="center"/>
          </w:tcPr>
          <w:p w:rsidR="006006CB" w:rsidRDefault="006006CB">
            <w:pPr>
              <w:pStyle w:val="Tabletext"/>
              <w:keepNext/>
            </w:pPr>
          </w:p>
        </w:tc>
        <w:tc>
          <w:tcPr>
            <w:tcW w:w="3027" w:type="pct"/>
            <w:tcBorders>
              <w:top w:val="nil"/>
              <w:bottom w:val="nil"/>
            </w:tcBorders>
            <w:vAlign w:val="center"/>
          </w:tcPr>
          <w:p w:rsidR="006006CB" w:rsidRDefault="00D10D78">
            <w:pPr>
              <w:pStyle w:val="Tabletext"/>
              <w:keepNext/>
              <w:rPr>
                <w:szCs w:val="18"/>
                <w:lang w:val="en-US" w:eastAsia="en-AU"/>
              </w:rPr>
            </w:pPr>
            <w:r>
              <w:t>Sarp S, Donica M, van Huizen F. Addendum 1 to Clinical Study Report CSMS995ADE05 (Overall survival).</w:t>
            </w:r>
          </w:p>
        </w:tc>
        <w:tc>
          <w:tcPr>
            <w:tcW w:w="1177" w:type="pct"/>
            <w:tcBorders>
              <w:top w:val="nil"/>
              <w:bottom w:val="nil"/>
            </w:tcBorders>
          </w:tcPr>
          <w:p w:rsidR="006006CB" w:rsidRDefault="00D10D78">
            <w:pPr>
              <w:pStyle w:val="Tabletext"/>
              <w:keepNext/>
              <w:rPr>
                <w:i/>
                <w:szCs w:val="18"/>
                <w:lang w:val="en-US" w:eastAsia="en-AU"/>
              </w:rPr>
            </w:pPr>
            <w:r>
              <w:rPr>
                <w:szCs w:val="18"/>
                <w:lang w:val="en-US" w:eastAsia="en-AU"/>
              </w:rPr>
              <w:t>August 2013</w:t>
            </w:r>
          </w:p>
        </w:tc>
      </w:tr>
      <w:tr w:rsidR="006006CB">
        <w:tc>
          <w:tcPr>
            <w:tcW w:w="796" w:type="pct"/>
            <w:vMerge/>
            <w:tcBorders>
              <w:bottom w:val="nil"/>
            </w:tcBorders>
            <w:vAlign w:val="center"/>
          </w:tcPr>
          <w:p w:rsidR="006006CB" w:rsidRDefault="006006CB">
            <w:pPr>
              <w:pStyle w:val="Tabletext"/>
              <w:keepNext/>
            </w:pPr>
          </w:p>
        </w:tc>
        <w:tc>
          <w:tcPr>
            <w:tcW w:w="3027" w:type="pct"/>
            <w:tcBorders>
              <w:top w:val="nil"/>
              <w:bottom w:val="nil"/>
            </w:tcBorders>
            <w:vAlign w:val="center"/>
          </w:tcPr>
          <w:p w:rsidR="006006CB" w:rsidRDefault="00D10D78">
            <w:pPr>
              <w:pStyle w:val="Tabletext"/>
              <w:keepNext/>
            </w:pPr>
            <w:r>
              <w:t>Rinke A, Wittenberg M, Schade-Brittinger C et al. Placebo-controlled, double-blind, prospective, randomised study on the effect of octreotide LAR in the control of tumour growth in patients with metastatic neuroendocrine midgut tumours (PROMID): results of long-term survival.</w:t>
            </w:r>
          </w:p>
        </w:tc>
        <w:tc>
          <w:tcPr>
            <w:tcW w:w="1177" w:type="pct"/>
            <w:tcBorders>
              <w:top w:val="nil"/>
              <w:bottom w:val="nil"/>
            </w:tcBorders>
          </w:tcPr>
          <w:p w:rsidR="006006CB" w:rsidRDefault="00D10D78">
            <w:pPr>
              <w:pStyle w:val="Tabletext"/>
              <w:keepNext/>
              <w:rPr>
                <w:szCs w:val="18"/>
                <w:lang w:val="en-US" w:eastAsia="en-AU"/>
              </w:rPr>
            </w:pPr>
            <w:r>
              <w:rPr>
                <w:i/>
                <w:szCs w:val="18"/>
                <w:lang w:val="en-US" w:eastAsia="en-AU"/>
              </w:rPr>
              <w:t xml:space="preserve">Neuroendocrinology </w:t>
            </w:r>
            <w:r>
              <w:rPr>
                <w:szCs w:val="18"/>
                <w:lang w:val="en-US" w:eastAsia="en-AU"/>
              </w:rPr>
              <w:t>2017; 104(1): 26-32.</w:t>
            </w:r>
          </w:p>
        </w:tc>
      </w:tr>
      <w:tr w:rsidR="006006CB">
        <w:tc>
          <w:tcPr>
            <w:tcW w:w="5000" w:type="pct"/>
            <w:gridSpan w:val="3"/>
            <w:tcBorders>
              <w:bottom w:val="single" w:sz="4" w:space="0" w:color="auto"/>
            </w:tcBorders>
            <w:vAlign w:val="center"/>
          </w:tcPr>
          <w:p w:rsidR="006006CB" w:rsidRDefault="00D10D78">
            <w:pPr>
              <w:pStyle w:val="Tabletext"/>
              <w:keepNext/>
            </w:pPr>
            <w:r>
              <w:rPr>
                <w:b/>
                <w:szCs w:val="18"/>
              </w:rPr>
              <w:t>Lanreotide</w:t>
            </w:r>
          </w:p>
        </w:tc>
      </w:tr>
      <w:tr w:rsidR="006006CB">
        <w:tc>
          <w:tcPr>
            <w:tcW w:w="796" w:type="pct"/>
            <w:vMerge w:val="restart"/>
            <w:vAlign w:val="center"/>
          </w:tcPr>
          <w:p w:rsidR="006006CB" w:rsidRDefault="00D10D78">
            <w:pPr>
              <w:pStyle w:val="Tabletext"/>
              <w:keepNext/>
              <w:rPr>
                <w:rFonts w:ascii="Times" w:hAnsi="Times"/>
              </w:rPr>
            </w:pPr>
            <w:r>
              <w:t>CLARINET</w:t>
            </w:r>
          </w:p>
        </w:tc>
        <w:tc>
          <w:tcPr>
            <w:tcW w:w="3027" w:type="pct"/>
            <w:tcBorders>
              <w:bottom w:val="nil"/>
            </w:tcBorders>
            <w:vAlign w:val="center"/>
          </w:tcPr>
          <w:p w:rsidR="006006CB" w:rsidRDefault="00D10D78">
            <w:pPr>
              <w:pStyle w:val="Tabletext"/>
              <w:keepNext/>
              <w:rPr>
                <w:rFonts w:ascii="Times" w:hAnsi="Times"/>
              </w:rPr>
            </w:pPr>
            <w:r>
              <w:rPr>
                <w:szCs w:val="18"/>
              </w:rPr>
              <w:t>Caplin ME, Pavel M, Ćwikła JB et al. Lanreotide in metastatic enteropancreatic neuroendocrine tumours. (plus supplementary appendix)</w:t>
            </w:r>
          </w:p>
        </w:tc>
        <w:tc>
          <w:tcPr>
            <w:tcW w:w="1177" w:type="pct"/>
            <w:tcBorders>
              <w:bottom w:val="nil"/>
            </w:tcBorders>
          </w:tcPr>
          <w:p w:rsidR="006006CB" w:rsidRDefault="00D10D78">
            <w:pPr>
              <w:pStyle w:val="Tabletext"/>
              <w:keepNext/>
            </w:pPr>
            <w:r>
              <w:rPr>
                <w:i/>
              </w:rPr>
              <w:t>NEJM</w:t>
            </w:r>
            <w:r>
              <w:t xml:space="preserve"> 2014; 371: 224-233.</w:t>
            </w:r>
          </w:p>
        </w:tc>
      </w:tr>
      <w:tr w:rsidR="006006CB">
        <w:tc>
          <w:tcPr>
            <w:tcW w:w="796" w:type="pct"/>
            <w:vMerge/>
            <w:tcBorders>
              <w:bottom w:val="single" w:sz="4" w:space="0" w:color="auto"/>
            </w:tcBorders>
            <w:vAlign w:val="center"/>
          </w:tcPr>
          <w:p w:rsidR="006006CB" w:rsidRDefault="006006CB">
            <w:pPr>
              <w:pStyle w:val="Tabletext"/>
            </w:pPr>
          </w:p>
        </w:tc>
        <w:tc>
          <w:tcPr>
            <w:tcW w:w="3027" w:type="pct"/>
            <w:tcBorders>
              <w:top w:val="nil"/>
              <w:bottom w:val="single" w:sz="4" w:space="0" w:color="auto"/>
            </w:tcBorders>
            <w:vAlign w:val="center"/>
          </w:tcPr>
          <w:p w:rsidR="006006CB" w:rsidRDefault="00D10D78">
            <w:pPr>
              <w:pStyle w:val="Tabletext"/>
              <w:rPr>
                <w:szCs w:val="18"/>
              </w:rPr>
            </w:pPr>
            <w:r>
              <w:rPr>
                <w:szCs w:val="18"/>
              </w:rPr>
              <w:t>Caplin ME, Pavel M, Ćwikła JB et al. Anti-tumour effects of lanreotide for pancreatic and intestinal neuroendocrine tumours: the CLARINET open-label extension study. Endocr Relat Cancer 2016; 23(3): 191–199.</w:t>
            </w:r>
          </w:p>
        </w:tc>
        <w:tc>
          <w:tcPr>
            <w:tcW w:w="1177" w:type="pct"/>
            <w:tcBorders>
              <w:top w:val="nil"/>
              <w:bottom w:val="single" w:sz="4" w:space="0" w:color="auto"/>
            </w:tcBorders>
          </w:tcPr>
          <w:p w:rsidR="006006CB" w:rsidRDefault="00D10D78">
            <w:pPr>
              <w:pStyle w:val="Tabletext"/>
              <w:rPr>
                <w:i/>
              </w:rPr>
            </w:pPr>
            <w:r>
              <w:rPr>
                <w:i/>
                <w:szCs w:val="18"/>
              </w:rPr>
              <w:t xml:space="preserve">Endocr Relat Cancer </w:t>
            </w:r>
            <w:r>
              <w:rPr>
                <w:szCs w:val="18"/>
              </w:rPr>
              <w:t>2016; 23(3): 191-199.</w:t>
            </w:r>
          </w:p>
        </w:tc>
      </w:tr>
    </w:tbl>
    <w:p w:rsidR="006006CB" w:rsidRDefault="00D10D78">
      <w:pPr>
        <w:pStyle w:val="TableFooter"/>
        <w:widowControl/>
      </w:pPr>
      <w:r>
        <w:t>Source: Table 7, pp20-21 of the submission.</w:t>
      </w:r>
    </w:p>
    <w:p w:rsidR="00EF25F3" w:rsidRDefault="00EF25F3">
      <w:pPr>
        <w:pStyle w:val="TableFooter"/>
        <w:widowControl/>
        <w:rPr>
          <w:sz w:val="20"/>
        </w:rPr>
      </w:pPr>
    </w:p>
    <w:p w:rsidR="006006CB" w:rsidRDefault="00D10D78">
      <w:pPr>
        <w:pStyle w:val="ListParagraph"/>
        <w:widowControl/>
        <w:numPr>
          <w:ilvl w:val="1"/>
          <w:numId w:val="1"/>
        </w:numPr>
      </w:pPr>
      <w:r>
        <w:t>The key features of the randomised trials are summarised in the table below.</w:t>
      </w:r>
    </w:p>
    <w:p w:rsidR="00EF25F3" w:rsidRDefault="00EF25F3" w:rsidP="00EF25F3">
      <w:pPr>
        <w:pStyle w:val="PBACTableTextBoldLeft"/>
      </w:pPr>
      <w:r>
        <w:t xml:space="preserve">Table </w:t>
      </w:r>
      <w:r>
        <w:fldChar w:fldCharType="begin"/>
      </w:r>
      <w:r>
        <w:instrText xml:space="preserve"> SEQ Table \* ARABIC </w:instrText>
      </w:r>
      <w:r>
        <w:fldChar w:fldCharType="separate"/>
      </w:r>
      <w:r w:rsidR="0000118A">
        <w:rPr>
          <w:noProof/>
        </w:rPr>
        <w:t>3</w:t>
      </w:r>
      <w:r>
        <w:fldChar w:fldCharType="end"/>
      </w:r>
      <w:r w:rsidRPr="0090756A">
        <w:t>: Key features of the included evidence</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867"/>
        <w:gridCol w:w="548"/>
        <w:gridCol w:w="3929"/>
        <w:gridCol w:w="796"/>
        <w:gridCol w:w="1599"/>
        <w:gridCol w:w="1283"/>
      </w:tblGrid>
      <w:tr w:rsidR="006006CB" w:rsidTr="00EF25F3">
        <w:tc>
          <w:tcPr>
            <w:tcW w:w="480" w:type="pct"/>
            <w:shd w:val="clear" w:color="auto" w:fill="auto"/>
            <w:vAlign w:val="center"/>
          </w:tcPr>
          <w:p w:rsidR="006006CB" w:rsidRDefault="00D10D78">
            <w:pPr>
              <w:keepNext/>
              <w:widowControl/>
              <w:jc w:val="center"/>
              <w:rPr>
                <w:rFonts w:ascii="Arial Narrow" w:hAnsi="Arial Narrow"/>
                <w:b/>
                <w:sz w:val="20"/>
                <w:lang w:val="en-US"/>
              </w:rPr>
            </w:pPr>
            <w:r>
              <w:rPr>
                <w:rFonts w:ascii="Arial Narrow" w:hAnsi="Arial Narrow"/>
                <w:b/>
                <w:sz w:val="20"/>
                <w:lang w:val="en-US"/>
              </w:rPr>
              <w:t>Trial</w:t>
            </w:r>
          </w:p>
        </w:tc>
        <w:tc>
          <w:tcPr>
            <w:tcW w:w="304" w:type="pct"/>
            <w:shd w:val="clear" w:color="auto" w:fill="auto"/>
            <w:vAlign w:val="center"/>
          </w:tcPr>
          <w:p w:rsidR="006006CB" w:rsidRDefault="00D10D78">
            <w:pPr>
              <w:keepNext/>
              <w:widowControl/>
              <w:jc w:val="center"/>
              <w:rPr>
                <w:rFonts w:ascii="Arial Narrow" w:hAnsi="Arial Narrow"/>
                <w:b/>
                <w:sz w:val="20"/>
                <w:lang w:val="en-US"/>
              </w:rPr>
            </w:pPr>
            <w:r>
              <w:rPr>
                <w:rFonts w:ascii="Arial Narrow" w:hAnsi="Arial Narrow"/>
                <w:b/>
                <w:sz w:val="20"/>
                <w:lang w:val="en-US"/>
              </w:rPr>
              <w:t>N</w:t>
            </w:r>
          </w:p>
        </w:tc>
        <w:tc>
          <w:tcPr>
            <w:tcW w:w="2178" w:type="pct"/>
            <w:shd w:val="clear" w:color="auto" w:fill="auto"/>
            <w:vAlign w:val="center"/>
          </w:tcPr>
          <w:p w:rsidR="006006CB" w:rsidRDefault="00D10D78">
            <w:pPr>
              <w:keepNext/>
              <w:widowControl/>
              <w:jc w:val="center"/>
              <w:rPr>
                <w:rFonts w:ascii="Arial Narrow" w:hAnsi="Arial Narrow"/>
                <w:b/>
                <w:sz w:val="20"/>
                <w:lang w:val="en-US"/>
              </w:rPr>
            </w:pPr>
            <w:r>
              <w:rPr>
                <w:rFonts w:ascii="Arial Narrow" w:hAnsi="Arial Narrow"/>
                <w:b/>
                <w:sz w:val="20"/>
                <w:lang w:val="en-US"/>
              </w:rPr>
              <w:t>Design/ duration</w:t>
            </w:r>
          </w:p>
        </w:tc>
        <w:tc>
          <w:tcPr>
            <w:tcW w:w="441" w:type="pct"/>
            <w:shd w:val="clear" w:color="auto" w:fill="auto"/>
            <w:vAlign w:val="center"/>
          </w:tcPr>
          <w:p w:rsidR="006006CB" w:rsidRDefault="00D10D78">
            <w:pPr>
              <w:keepNext/>
              <w:widowControl/>
              <w:jc w:val="center"/>
              <w:rPr>
                <w:rFonts w:ascii="Arial Narrow" w:hAnsi="Arial Narrow"/>
                <w:b/>
                <w:sz w:val="20"/>
                <w:lang w:val="en-US"/>
              </w:rPr>
            </w:pPr>
            <w:r>
              <w:rPr>
                <w:rFonts w:ascii="Arial Narrow" w:hAnsi="Arial Narrow"/>
                <w:b/>
                <w:sz w:val="20"/>
                <w:lang w:val="en-US"/>
              </w:rPr>
              <w:t>Risk of bias</w:t>
            </w:r>
          </w:p>
        </w:tc>
        <w:tc>
          <w:tcPr>
            <w:tcW w:w="886" w:type="pct"/>
            <w:shd w:val="clear" w:color="auto" w:fill="auto"/>
            <w:vAlign w:val="center"/>
          </w:tcPr>
          <w:p w:rsidR="006006CB" w:rsidRDefault="00D10D78">
            <w:pPr>
              <w:keepNext/>
              <w:widowControl/>
              <w:jc w:val="center"/>
              <w:rPr>
                <w:rFonts w:ascii="Arial Narrow" w:hAnsi="Arial Narrow"/>
                <w:b/>
                <w:sz w:val="20"/>
                <w:lang w:val="en-US"/>
              </w:rPr>
            </w:pPr>
            <w:r>
              <w:rPr>
                <w:rFonts w:ascii="Arial Narrow" w:hAnsi="Arial Narrow"/>
                <w:b/>
                <w:sz w:val="20"/>
                <w:lang w:val="en-US"/>
              </w:rPr>
              <w:t>Patient population</w:t>
            </w:r>
          </w:p>
        </w:tc>
        <w:tc>
          <w:tcPr>
            <w:tcW w:w="710" w:type="pct"/>
            <w:shd w:val="clear" w:color="auto" w:fill="auto"/>
            <w:vAlign w:val="center"/>
          </w:tcPr>
          <w:p w:rsidR="006006CB" w:rsidRDefault="00D10D78">
            <w:pPr>
              <w:keepNext/>
              <w:widowControl/>
              <w:jc w:val="center"/>
              <w:rPr>
                <w:rFonts w:ascii="Arial Narrow" w:hAnsi="Arial Narrow"/>
                <w:b/>
                <w:sz w:val="20"/>
                <w:lang w:val="en-US"/>
              </w:rPr>
            </w:pPr>
            <w:r>
              <w:rPr>
                <w:rFonts w:ascii="Arial Narrow" w:hAnsi="Arial Narrow"/>
                <w:b/>
                <w:sz w:val="20"/>
                <w:lang w:val="en-US"/>
              </w:rPr>
              <w:t>Outcomes</w:t>
            </w:r>
          </w:p>
        </w:tc>
      </w:tr>
      <w:tr w:rsidR="006006CB">
        <w:tc>
          <w:tcPr>
            <w:tcW w:w="5000" w:type="pct"/>
            <w:gridSpan w:val="6"/>
          </w:tcPr>
          <w:p w:rsidR="006006CB" w:rsidRDefault="00D10D78">
            <w:pPr>
              <w:keepNext/>
              <w:widowControl/>
              <w:jc w:val="left"/>
              <w:rPr>
                <w:rFonts w:ascii="Arial Narrow" w:hAnsi="Arial Narrow"/>
                <w:b/>
                <w:sz w:val="20"/>
                <w:lang w:val="en-US"/>
              </w:rPr>
            </w:pPr>
            <w:r>
              <w:rPr>
                <w:rFonts w:ascii="Arial Narrow" w:hAnsi="Arial Narrow"/>
                <w:b/>
                <w:sz w:val="20"/>
                <w:lang w:val="en-US"/>
              </w:rPr>
              <w:t>Octreotide vs placebo</w:t>
            </w:r>
          </w:p>
        </w:tc>
      </w:tr>
      <w:tr w:rsidR="006006CB" w:rsidTr="00EF25F3">
        <w:tc>
          <w:tcPr>
            <w:tcW w:w="480" w:type="pct"/>
            <w:shd w:val="clear" w:color="auto" w:fill="auto"/>
            <w:vAlign w:val="center"/>
          </w:tcPr>
          <w:p w:rsidR="006006CB" w:rsidRDefault="00D10D78">
            <w:pPr>
              <w:keepNext/>
              <w:widowControl/>
              <w:jc w:val="center"/>
              <w:rPr>
                <w:rFonts w:ascii="Arial Narrow" w:hAnsi="Arial Narrow"/>
                <w:sz w:val="20"/>
                <w:lang w:val="en-US"/>
              </w:rPr>
            </w:pPr>
            <w:r>
              <w:rPr>
                <w:rFonts w:ascii="Arial Narrow" w:hAnsi="Arial Narrow"/>
                <w:sz w:val="20"/>
                <w:lang w:val="en-US"/>
              </w:rPr>
              <w:t>PROMID</w:t>
            </w:r>
          </w:p>
        </w:tc>
        <w:tc>
          <w:tcPr>
            <w:tcW w:w="304" w:type="pct"/>
            <w:shd w:val="clear" w:color="auto" w:fill="auto"/>
            <w:vAlign w:val="center"/>
          </w:tcPr>
          <w:p w:rsidR="006006CB" w:rsidRDefault="00D10D78">
            <w:pPr>
              <w:keepNext/>
              <w:widowControl/>
              <w:jc w:val="center"/>
              <w:rPr>
                <w:rFonts w:ascii="Arial Narrow" w:hAnsi="Arial Narrow"/>
                <w:sz w:val="20"/>
                <w:lang w:val="en-US"/>
              </w:rPr>
            </w:pPr>
            <w:r>
              <w:rPr>
                <w:rFonts w:ascii="Arial Narrow" w:hAnsi="Arial Narrow"/>
                <w:sz w:val="20"/>
                <w:lang w:val="en-US"/>
              </w:rPr>
              <w:t>85</w:t>
            </w:r>
          </w:p>
        </w:tc>
        <w:tc>
          <w:tcPr>
            <w:tcW w:w="2178" w:type="pct"/>
            <w:shd w:val="clear" w:color="auto" w:fill="auto"/>
            <w:vAlign w:val="center"/>
          </w:tcPr>
          <w:p w:rsidR="006006CB" w:rsidRDefault="00D10D78">
            <w:pPr>
              <w:keepNext/>
              <w:widowControl/>
              <w:jc w:val="center"/>
              <w:rPr>
                <w:rFonts w:ascii="Arial Narrow" w:hAnsi="Arial Narrow"/>
                <w:sz w:val="20"/>
                <w:lang w:val="en-US"/>
              </w:rPr>
            </w:pPr>
            <w:r>
              <w:rPr>
                <w:rFonts w:ascii="Arial Narrow" w:hAnsi="Arial Narrow"/>
                <w:sz w:val="20"/>
                <w:lang w:val="en-US"/>
              </w:rPr>
              <w:t>Randomised, double blind, parallel group trial</w:t>
            </w:r>
          </w:p>
          <w:p w:rsidR="006006CB" w:rsidRDefault="00D10D78">
            <w:pPr>
              <w:keepNext/>
              <w:widowControl/>
              <w:jc w:val="center"/>
              <w:rPr>
                <w:rFonts w:ascii="Arial Narrow" w:hAnsi="Arial Narrow"/>
                <w:sz w:val="20"/>
                <w:lang w:val="en-US"/>
              </w:rPr>
            </w:pPr>
            <w:r>
              <w:rPr>
                <w:rFonts w:ascii="Arial Narrow" w:hAnsi="Arial Narrow"/>
                <w:sz w:val="20"/>
                <w:lang w:val="en-US"/>
              </w:rPr>
              <w:t>Treatment continued until tumour progression or death (median duration 13.5 months octreotide, 5.8 months placebo)</w:t>
            </w:r>
          </w:p>
        </w:tc>
        <w:tc>
          <w:tcPr>
            <w:tcW w:w="441" w:type="pct"/>
            <w:shd w:val="clear" w:color="auto" w:fill="auto"/>
            <w:vAlign w:val="center"/>
          </w:tcPr>
          <w:p w:rsidR="006006CB" w:rsidRDefault="00D10D78">
            <w:pPr>
              <w:keepNext/>
              <w:widowControl/>
              <w:jc w:val="center"/>
              <w:rPr>
                <w:rFonts w:ascii="Arial Narrow" w:hAnsi="Arial Narrow"/>
                <w:sz w:val="20"/>
                <w:lang w:val="en-US"/>
              </w:rPr>
            </w:pPr>
            <w:r>
              <w:rPr>
                <w:rFonts w:ascii="Arial Narrow" w:hAnsi="Arial Narrow"/>
                <w:sz w:val="20"/>
                <w:lang w:val="en-US"/>
              </w:rPr>
              <w:t>Low</w:t>
            </w:r>
          </w:p>
        </w:tc>
        <w:tc>
          <w:tcPr>
            <w:tcW w:w="886" w:type="pct"/>
            <w:shd w:val="clear" w:color="auto" w:fill="auto"/>
            <w:vAlign w:val="center"/>
          </w:tcPr>
          <w:p w:rsidR="006006CB" w:rsidRDefault="00D10D78">
            <w:pPr>
              <w:keepNext/>
              <w:widowControl/>
              <w:jc w:val="center"/>
              <w:rPr>
                <w:rFonts w:ascii="Arial Narrow" w:hAnsi="Arial Narrow"/>
                <w:sz w:val="20"/>
                <w:lang w:val="en-US"/>
              </w:rPr>
            </w:pPr>
            <w:r>
              <w:rPr>
                <w:rFonts w:ascii="Arial Narrow" w:hAnsi="Arial Narrow"/>
                <w:sz w:val="20"/>
                <w:lang w:val="en-US"/>
              </w:rPr>
              <w:t>Metastasised NETs of known or suspected midgut origin</w:t>
            </w:r>
          </w:p>
        </w:tc>
        <w:tc>
          <w:tcPr>
            <w:tcW w:w="710" w:type="pct"/>
            <w:shd w:val="clear" w:color="auto" w:fill="auto"/>
            <w:vAlign w:val="center"/>
          </w:tcPr>
          <w:p w:rsidR="006006CB" w:rsidRDefault="00D10D78">
            <w:pPr>
              <w:keepNext/>
              <w:widowControl/>
              <w:jc w:val="center"/>
              <w:rPr>
                <w:rFonts w:ascii="Arial Narrow" w:hAnsi="Arial Narrow"/>
                <w:sz w:val="20"/>
                <w:lang w:val="en-US"/>
              </w:rPr>
            </w:pPr>
            <w:r>
              <w:rPr>
                <w:rFonts w:ascii="Arial Narrow" w:hAnsi="Arial Narrow"/>
                <w:sz w:val="20"/>
                <w:lang w:val="en-US"/>
              </w:rPr>
              <w:t>TTP, PFS</w:t>
            </w:r>
          </w:p>
        </w:tc>
      </w:tr>
      <w:tr w:rsidR="006006CB">
        <w:tc>
          <w:tcPr>
            <w:tcW w:w="5000" w:type="pct"/>
            <w:gridSpan w:val="6"/>
          </w:tcPr>
          <w:p w:rsidR="006006CB" w:rsidRDefault="00D10D78">
            <w:pPr>
              <w:keepNext/>
              <w:widowControl/>
              <w:jc w:val="left"/>
              <w:rPr>
                <w:rFonts w:ascii="Arial Narrow" w:hAnsi="Arial Narrow"/>
                <w:sz w:val="20"/>
                <w:lang w:val="en-US"/>
              </w:rPr>
            </w:pPr>
            <w:r>
              <w:rPr>
                <w:rFonts w:ascii="Arial Narrow" w:hAnsi="Arial Narrow"/>
                <w:b/>
                <w:sz w:val="20"/>
                <w:lang w:val="en-US"/>
              </w:rPr>
              <w:t>Lanreotide vs placebo</w:t>
            </w:r>
          </w:p>
        </w:tc>
      </w:tr>
      <w:tr w:rsidR="006006CB" w:rsidTr="00EF25F3">
        <w:tc>
          <w:tcPr>
            <w:tcW w:w="480" w:type="pct"/>
            <w:shd w:val="clear" w:color="auto" w:fill="auto"/>
            <w:vAlign w:val="center"/>
          </w:tcPr>
          <w:p w:rsidR="006006CB" w:rsidRDefault="00D10D78">
            <w:pPr>
              <w:keepNext/>
              <w:widowControl/>
              <w:jc w:val="center"/>
              <w:rPr>
                <w:rFonts w:ascii="Arial Narrow" w:hAnsi="Arial Narrow"/>
                <w:sz w:val="20"/>
                <w:lang w:val="en-US"/>
              </w:rPr>
            </w:pPr>
            <w:r>
              <w:rPr>
                <w:rFonts w:ascii="Arial Narrow" w:hAnsi="Arial Narrow"/>
                <w:sz w:val="20"/>
                <w:lang w:val="en-US"/>
              </w:rPr>
              <w:t>CLARINET</w:t>
            </w:r>
          </w:p>
        </w:tc>
        <w:tc>
          <w:tcPr>
            <w:tcW w:w="304" w:type="pct"/>
            <w:shd w:val="clear" w:color="auto" w:fill="auto"/>
            <w:vAlign w:val="center"/>
          </w:tcPr>
          <w:p w:rsidR="006006CB" w:rsidRDefault="00D10D78">
            <w:pPr>
              <w:keepNext/>
              <w:widowControl/>
              <w:jc w:val="center"/>
              <w:rPr>
                <w:rFonts w:ascii="Arial Narrow" w:hAnsi="Arial Narrow"/>
                <w:sz w:val="20"/>
                <w:lang w:val="en-US"/>
              </w:rPr>
            </w:pPr>
            <w:r>
              <w:rPr>
                <w:rFonts w:ascii="Arial Narrow" w:hAnsi="Arial Narrow"/>
                <w:sz w:val="20"/>
                <w:lang w:val="en-US"/>
              </w:rPr>
              <w:t>204</w:t>
            </w:r>
          </w:p>
        </w:tc>
        <w:tc>
          <w:tcPr>
            <w:tcW w:w="2178" w:type="pct"/>
            <w:shd w:val="clear" w:color="auto" w:fill="auto"/>
            <w:vAlign w:val="center"/>
          </w:tcPr>
          <w:p w:rsidR="006006CB" w:rsidRDefault="00D10D78">
            <w:pPr>
              <w:keepNext/>
              <w:widowControl/>
              <w:jc w:val="center"/>
              <w:rPr>
                <w:rFonts w:ascii="Arial Narrow" w:hAnsi="Arial Narrow"/>
                <w:sz w:val="20"/>
                <w:lang w:val="en-US"/>
              </w:rPr>
            </w:pPr>
            <w:r>
              <w:rPr>
                <w:rFonts w:ascii="Arial Narrow" w:hAnsi="Arial Narrow"/>
                <w:sz w:val="20"/>
                <w:lang w:val="en-US"/>
              </w:rPr>
              <w:t>Multicentre, randomized, double blind, parallel group trial.</w:t>
            </w:r>
          </w:p>
          <w:p w:rsidR="006006CB" w:rsidRDefault="00D10D78">
            <w:pPr>
              <w:keepNext/>
              <w:widowControl/>
              <w:jc w:val="center"/>
              <w:rPr>
                <w:rFonts w:ascii="Arial Narrow" w:hAnsi="Arial Narrow"/>
                <w:sz w:val="20"/>
                <w:lang w:val="en-US"/>
              </w:rPr>
            </w:pPr>
            <w:r>
              <w:rPr>
                <w:rFonts w:ascii="Arial Narrow" w:hAnsi="Arial Narrow"/>
                <w:sz w:val="20"/>
                <w:lang w:val="en-US"/>
              </w:rPr>
              <w:t>96 weeks + extension</w:t>
            </w:r>
          </w:p>
        </w:tc>
        <w:tc>
          <w:tcPr>
            <w:tcW w:w="441" w:type="pct"/>
            <w:shd w:val="clear" w:color="auto" w:fill="auto"/>
            <w:vAlign w:val="center"/>
          </w:tcPr>
          <w:p w:rsidR="006006CB" w:rsidRDefault="00D10D78">
            <w:pPr>
              <w:keepNext/>
              <w:widowControl/>
              <w:jc w:val="center"/>
              <w:rPr>
                <w:rFonts w:ascii="Arial Narrow" w:hAnsi="Arial Narrow"/>
                <w:sz w:val="20"/>
                <w:lang w:val="en-US"/>
              </w:rPr>
            </w:pPr>
            <w:r>
              <w:rPr>
                <w:rFonts w:ascii="Arial Narrow" w:hAnsi="Arial Narrow"/>
                <w:sz w:val="20"/>
                <w:lang w:val="en-US"/>
              </w:rPr>
              <w:t>Low</w:t>
            </w:r>
          </w:p>
        </w:tc>
        <w:tc>
          <w:tcPr>
            <w:tcW w:w="886" w:type="pct"/>
            <w:shd w:val="clear" w:color="auto" w:fill="auto"/>
            <w:vAlign w:val="center"/>
          </w:tcPr>
          <w:p w:rsidR="006006CB" w:rsidRDefault="00D10D78">
            <w:pPr>
              <w:keepNext/>
              <w:widowControl/>
              <w:jc w:val="center"/>
              <w:rPr>
                <w:rFonts w:ascii="Arial Narrow" w:hAnsi="Arial Narrow"/>
                <w:sz w:val="20"/>
                <w:lang w:val="en-US"/>
              </w:rPr>
            </w:pPr>
            <w:r>
              <w:rPr>
                <w:rFonts w:ascii="Arial Narrow" w:hAnsi="Arial Narrow"/>
                <w:sz w:val="20"/>
                <w:lang w:val="en-US"/>
              </w:rPr>
              <w:t>Stable, non-functional GEP-NETs</w:t>
            </w:r>
          </w:p>
        </w:tc>
        <w:tc>
          <w:tcPr>
            <w:tcW w:w="710" w:type="pct"/>
            <w:shd w:val="clear" w:color="auto" w:fill="auto"/>
            <w:vAlign w:val="center"/>
          </w:tcPr>
          <w:p w:rsidR="006006CB" w:rsidRDefault="00D10D78">
            <w:pPr>
              <w:keepNext/>
              <w:widowControl/>
              <w:jc w:val="center"/>
              <w:rPr>
                <w:rFonts w:ascii="Arial Narrow" w:hAnsi="Arial Narrow"/>
                <w:sz w:val="20"/>
                <w:lang w:val="en-US"/>
              </w:rPr>
            </w:pPr>
            <w:r>
              <w:rPr>
                <w:rFonts w:ascii="Arial Narrow" w:hAnsi="Arial Narrow"/>
                <w:sz w:val="20"/>
                <w:lang w:val="en-US"/>
              </w:rPr>
              <w:t>PFS, OS</w:t>
            </w:r>
          </w:p>
        </w:tc>
      </w:tr>
    </w:tbl>
    <w:p w:rsidR="006006CB" w:rsidRDefault="00D10D78">
      <w:pPr>
        <w:pStyle w:val="TableFooter"/>
        <w:widowControl/>
      </w:pPr>
      <w:r>
        <w:t>Abbreviations: GEP, gastroenteropancreatic; NETs, neuroendocrine tumours; OS, overall survival; PFS, progression-free survival; TTP, time to tumour progression</w:t>
      </w:r>
    </w:p>
    <w:p w:rsidR="006006CB" w:rsidRDefault="00D10D78">
      <w:pPr>
        <w:widowControl/>
        <w:rPr>
          <w:rFonts w:ascii="Arial Narrow" w:hAnsi="Arial Narrow"/>
          <w:sz w:val="18"/>
        </w:rPr>
      </w:pPr>
      <w:r>
        <w:rPr>
          <w:rFonts w:ascii="Arial Narrow" w:hAnsi="Arial Narrow"/>
          <w:sz w:val="18"/>
        </w:rPr>
        <w:t>Source: Table 7, pp20-21 of the submission; relevant trial reports or publications</w:t>
      </w:r>
    </w:p>
    <w:p w:rsidR="006006CB" w:rsidRDefault="006006CB">
      <w:pPr>
        <w:widowControl/>
        <w:rPr>
          <w:rFonts w:ascii="Arial Narrow" w:hAnsi="Arial Narrow"/>
          <w:sz w:val="18"/>
        </w:rPr>
      </w:pPr>
    </w:p>
    <w:p w:rsidR="006006CB" w:rsidRDefault="00D10D78">
      <w:pPr>
        <w:pStyle w:val="ListParagraph"/>
        <w:widowControl/>
        <w:numPr>
          <w:ilvl w:val="1"/>
          <w:numId w:val="1"/>
        </w:numPr>
      </w:pPr>
      <w:r>
        <w:t>The primary outcome in PROMID was time to tumour progression (TTP), while in CLARINET, progression-free survival (PFS) was the primary outcome measure (TTP was presented as a secondary outcome). A post-hoc analysis calculating PFS was undertaken for PROMID, resulting in identical values for TTP and PFS, given there were no non-tumour related deaths in either treatment group.</w:t>
      </w:r>
    </w:p>
    <w:p w:rsidR="006006CB" w:rsidRDefault="00D10D78">
      <w:pPr>
        <w:pStyle w:val="ListParagraph"/>
        <w:widowControl/>
        <w:numPr>
          <w:ilvl w:val="1"/>
          <w:numId w:val="1"/>
        </w:numPr>
      </w:pPr>
      <w:r>
        <w:t>Patients in the PROMID trial tended towards a shorter time since diagnosis, a higher Ki67 score (a cellular marker of tumour proliferation) at baseline but less proportional liver involvement compared with the patients in the CLARINET trial.</w:t>
      </w:r>
    </w:p>
    <w:p w:rsidR="006006CB" w:rsidRDefault="00D10D78">
      <w:pPr>
        <w:pStyle w:val="ListParagraph"/>
        <w:widowControl/>
        <w:numPr>
          <w:ilvl w:val="1"/>
          <w:numId w:val="1"/>
        </w:numPr>
      </w:pPr>
      <w:r>
        <w:lastRenderedPageBreak/>
        <w:t>Patients with non-functional tumours tended to have lower Ki67 scores than the overall PROMID population but other characteristics were otherwise generally comparable. It was not possible to compare the baseline patient characteristics for the relevant subgroups in the trials, as there was limited information available for the CLARINET subgroup.</w:t>
      </w:r>
    </w:p>
    <w:p w:rsidR="006006CB" w:rsidRDefault="00D10D78">
      <w:pPr>
        <w:pStyle w:val="ListParagraph"/>
        <w:widowControl/>
        <w:numPr>
          <w:ilvl w:val="1"/>
          <w:numId w:val="1"/>
        </w:numPr>
      </w:pPr>
      <w:r>
        <w:t>For the indirect analysis, the submission used a non-inferiority margin of 1.67 (=1/0.6), based on the hazard ratio of 0.6 from the PROMID trial power calculation and supported by the power calculation in the CLARINET trial. These estimates of clinically important differences in the PROMID and CLARINET trials resulted in differences in PFS of 6 and 7.2 months, respectively. The non-inferiority margin based on comparisons against placebo was not appropriate and incorporates clinically important differences between treatments. Assuming median PFS of 24 months for lanreotide (median PFS was not reached after 24 months in the CLARINET trial), the non-inferiority margin would allow median PFS of 14.4 months for octreotide (24 months/1.67); and octreotide would still be considered non-inferior to lanreotide, despite the almost 10 month difference in PFS. The non-inferiority margin is therefore too wide to exclude clinically important differences between treatments. The PSCR</w:t>
      </w:r>
      <w:bookmarkStart w:id="8" w:name="_GoBack"/>
      <w:bookmarkEnd w:id="8"/>
      <w:r>
        <w:t xml:space="preserve"> acknowledged the limitations in the non-inferiority margin applied in the submission. </w:t>
      </w:r>
    </w:p>
    <w:p w:rsidR="006006CB" w:rsidRDefault="00D10D78">
      <w:pPr>
        <w:pStyle w:val="ListParagraph"/>
        <w:widowControl/>
        <w:numPr>
          <w:ilvl w:val="1"/>
          <w:numId w:val="1"/>
        </w:numPr>
      </w:pPr>
      <w:r>
        <w:t>The submission argued that it is unlikely that a study of large size comparing the two treatments for a rare cancer, such as non-functioning NETs of the mid-gut, can ever be conducted, and that assessment of the likely effects of treatments has to be undertaken with relatively little data. The submission suggested that more weight may need to be given to the underlying biological rationale of treatment than to the precision of the estimates of differences in outcomes. The evaluation considered it was unclear whether this claim was reasonable as no evidence was provided in the submission for this, or other indications, to demonstrate that somatostatin analogues consistently have similar treatment effects.</w:t>
      </w:r>
    </w:p>
    <w:p w:rsidR="006006CB" w:rsidRDefault="00D10D78">
      <w:pPr>
        <w:pStyle w:val="Heading2"/>
      </w:pPr>
      <w:bookmarkStart w:id="9" w:name="_Toc9329868"/>
      <w:r>
        <w:t>Comparative effectiveness</w:t>
      </w:r>
      <w:bookmarkEnd w:id="9"/>
    </w:p>
    <w:p w:rsidR="006006CB" w:rsidRDefault="00D10D78">
      <w:pPr>
        <w:pStyle w:val="ListParagraph"/>
        <w:widowControl/>
        <w:numPr>
          <w:ilvl w:val="1"/>
          <w:numId w:val="1"/>
        </w:numPr>
      </w:pPr>
      <w:r>
        <w:t>Results of key primary and secondary outcomes, including TTP, PFS and OS for the full analysis set for the octreotide trial (PROMID) are presented in Table 4. Kaplan Meier curves for time to progression from PROMID are presented in Figure 1.</w:t>
      </w:r>
    </w:p>
    <w:p w:rsidR="00EF25F3" w:rsidRDefault="00EF25F3" w:rsidP="00EF25F3">
      <w:pPr>
        <w:pStyle w:val="PBACTableTextBoldLeft"/>
      </w:pPr>
      <w:r>
        <w:lastRenderedPageBreak/>
        <w:t xml:space="preserve">Table </w:t>
      </w:r>
      <w:r>
        <w:fldChar w:fldCharType="begin"/>
      </w:r>
      <w:r>
        <w:instrText xml:space="preserve"> SEQ Table \* ARABIC </w:instrText>
      </w:r>
      <w:r>
        <w:fldChar w:fldCharType="separate"/>
      </w:r>
      <w:r w:rsidR="0000118A">
        <w:rPr>
          <w:noProof/>
        </w:rPr>
        <w:t>4</w:t>
      </w:r>
      <w:r>
        <w:fldChar w:fldCharType="end"/>
      </w:r>
      <w:r w:rsidRPr="001126B1">
        <w:t>: Results of progression and survival outcomes from PROMID core study (full analysis set)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4: Results of progression and survival outcomes from PROMID core study (full analysis set)"/>
      </w:tblPr>
      <w:tblGrid>
        <w:gridCol w:w="3407"/>
        <w:gridCol w:w="1870"/>
        <w:gridCol w:w="1870"/>
        <w:gridCol w:w="1870"/>
      </w:tblGrid>
      <w:tr w:rsidR="006006CB">
        <w:tc>
          <w:tcPr>
            <w:tcW w:w="1889" w:type="pct"/>
            <w:vAlign w:val="center"/>
          </w:tcPr>
          <w:p w:rsidR="006006CB" w:rsidRDefault="00D10D78">
            <w:pPr>
              <w:keepNext/>
              <w:widowControl/>
              <w:jc w:val="left"/>
              <w:rPr>
                <w:rFonts w:ascii="Arial Narrow" w:hAnsi="Arial Narrow"/>
                <w:b/>
                <w:sz w:val="20"/>
              </w:rPr>
            </w:pPr>
            <w:r>
              <w:rPr>
                <w:rFonts w:ascii="Arial Narrow" w:hAnsi="Arial Narrow"/>
                <w:b/>
                <w:sz w:val="20"/>
              </w:rPr>
              <w:t>Outcome</w:t>
            </w:r>
          </w:p>
        </w:tc>
        <w:tc>
          <w:tcPr>
            <w:tcW w:w="1037" w:type="pct"/>
            <w:vAlign w:val="center"/>
          </w:tcPr>
          <w:p w:rsidR="006006CB" w:rsidRDefault="00D10D78">
            <w:pPr>
              <w:keepNext/>
              <w:widowControl/>
              <w:ind w:right="-108"/>
              <w:jc w:val="center"/>
              <w:rPr>
                <w:rFonts w:ascii="Arial Narrow" w:hAnsi="Arial Narrow"/>
                <w:b/>
                <w:sz w:val="20"/>
              </w:rPr>
            </w:pPr>
            <w:r>
              <w:rPr>
                <w:rFonts w:ascii="Arial Narrow" w:hAnsi="Arial Narrow"/>
                <w:b/>
                <w:sz w:val="20"/>
              </w:rPr>
              <w:t>Octreotide</w:t>
            </w:r>
          </w:p>
          <w:p w:rsidR="006006CB" w:rsidRDefault="00D10D78">
            <w:pPr>
              <w:keepNext/>
              <w:widowControl/>
              <w:ind w:right="-108"/>
              <w:jc w:val="center"/>
              <w:rPr>
                <w:rFonts w:ascii="Arial Narrow" w:hAnsi="Arial Narrow"/>
                <w:b/>
                <w:sz w:val="20"/>
              </w:rPr>
            </w:pPr>
            <w:r>
              <w:rPr>
                <w:rFonts w:ascii="Arial Narrow" w:hAnsi="Arial Narrow"/>
                <w:b/>
                <w:sz w:val="20"/>
              </w:rPr>
              <w:t>N=42</w:t>
            </w:r>
          </w:p>
        </w:tc>
        <w:tc>
          <w:tcPr>
            <w:tcW w:w="1037" w:type="pct"/>
            <w:vAlign w:val="center"/>
          </w:tcPr>
          <w:p w:rsidR="006006CB" w:rsidRDefault="00D10D78">
            <w:pPr>
              <w:keepNext/>
              <w:widowControl/>
              <w:jc w:val="center"/>
              <w:rPr>
                <w:rFonts w:ascii="Arial Narrow" w:hAnsi="Arial Narrow"/>
                <w:b/>
                <w:sz w:val="20"/>
              </w:rPr>
            </w:pPr>
            <w:r>
              <w:rPr>
                <w:rFonts w:ascii="Arial Narrow" w:hAnsi="Arial Narrow"/>
                <w:b/>
                <w:sz w:val="20"/>
              </w:rPr>
              <w:t>Placebo</w:t>
            </w:r>
          </w:p>
          <w:p w:rsidR="006006CB" w:rsidRDefault="00D10D78">
            <w:pPr>
              <w:keepNext/>
              <w:widowControl/>
              <w:jc w:val="center"/>
              <w:rPr>
                <w:rFonts w:ascii="Arial Narrow" w:hAnsi="Arial Narrow"/>
                <w:b/>
                <w:sz w:val="20"/>
              </w:rPr>
            </w:pPr>
            <w:r>
              <w:rPr>
                <w:rFonts w:ascii="Arial Narrow" w:hAnsi="Arial Narrow"/>
                <w:b/>
                <w:sz w:val="20"/>
              </w:rPr>
              <w:t>N=43</w:t>
            </w:r>
          </w:p>
        </w:tc>
        <w:tc>
          <w:tcPr>
            <w:tcW w:w="1037" w:type="pct"/>
            <w:vAlign w:val="center"/>
          </w:tcPr>
          <w:p w:rsidR="006006CB" w:rsidRDefault="00D10D78">
            <w:pPr>
              <w:keepNext/>
              <w:widowControl/>
              <w:jc w:val="center"/>
              <w:rPr>
                <w:rFonts w:ascii="Arial Narrow" w:hAnsi="Arial Narrow"/>
                <w:b/>
                <w:sz w:val="20"/>
              </w:rPr>
            </w:pPr>
            <w:r>
              <w:rPr>
                <w:rFonts w:ascii="Arial Narrow" w:hAnsi="Arial Narrow"/>
                <w:b/>
                <w:sz w:val="20"/>
              </w:rPr>
              <w:t>HR (95% CI)</w:t>
            </w:r>
          </w:p>
        </w:tc>
      </w:tr>
      <w:tr w:rsidR="006006CB">
        <w:tc>
          <w:tcPr>
            <w:tcW w:w="1889" w:type="pct"/>
            <w:vAlign w:val="center"/>
          </w:tcPr>
          <w:p w:rsidR="006006CB" w:rsidRDefault="00D10D78">
            <w:pPr>
              <w:keepNext/>
              <w:widowControl/>
              <w:jc w:val="left"/>
              <w:rPr>
                <w:rFonts w:ascii="Arial Narrow" w:hAnsi="Arial Narrow"/>
                <w:sz w:val="20"/>
              </w:rPr>
            </w:pPr>
            <w:r>
              <w:rPr>
                <w:rFonts w:ascii="Arial Narrow" w:hAnsi="Arial Narrow"/>
                <w:sz w:val="20"/>
              </w:rPr>
              <w:t>Time to progression</w:t>
            </w:r>
          </w:p>
          <w:p w:rsidR="006006CB" w:rsidRDefault="00D10D78">
            <w:pPr>
              <w:keepNext/>
              <w:widowControl/>
              <w:jc w:val="left"/>
              <w:rPr>
                <w:rFonts w:ascii="Arial Narrow" w:hAnsi="Arial Narrow"/>
                <w:sz w:val="20"/>
              </w:rPr>
            </w:pPr>
            <w:r>
              <w:rPr>
                <w:rFonts w:ascii="Arial Narrow" w:hAnsi="Arial Narrow"/>
                <w:sz w:val="20"/>
              </w:rPr>
              <w:t>- Events n (%)</w:t>
            </w:r>
          </w:p>
          <w:p w:rsidR="006006CB" w:rsidRDefault="00D10D78">
            <w:pPr>
              <w:keepNext/>
              <w:widowControl/>
              <w:jc w:val="left"/>
              <w:rPr>
                <w:rFonts w:ascii="Arial Narrow" w:hAnsi="Arial Narrow"/>
                <w:sz w:val="20"/>
              </w:rPr>
            </w:pPr>
            <w:r>
              <w:rPr>
                <w:rFonts w:ascii="Arial Narrow" w:hAnsi="Arial Narrow"/>
                <w:sz w:val="20"/>
              </w:rPr>
              <w:t>- Median (95% CI) time (months)</w:t>
            </w:r>
          </w:p>
        </w:tc>
        <w:tc>
          <w:tcPr>
            <w:tcW w:w="1037" w:type="pct"/>
            <w:vAlign w:val="center"/>
          </w:tcPr>
          <w:p w:rsidR="006006CB" w:rsidRDefault="006006CB">
            <w:pPr>
              <w:keepNext/>
              <w:widowControl/>
              <w:jc w:val="center"/>
              <w:rPr>
                <w:rFonts w:ascii="Arial Narrow" w:hAnsi="Arial Narrow"/>
                <w:sz w:val="20"/>
              </w:rPr>
            </w:pPr>
          </w:p>
          <w:p w:rsidR="006006CB" w:rsidRDefault="00D10D78">
            <w:pPr>
              <w:keepNext/>
              <w:widowControl/>
              <w:jc w:val="center"/>
              <w:rPr>
                <w:rFonts w:ascii="Arial Narrow" w:hAnsi="Arial Narrow"/>
                <w:sz w:val="20"/>
              </w:rPr>
            </w:pPr>
            <w:r>
              <w:rPr>
                <w:rFonts w:ascii="Arial Narrow" w:hAnsi="Arial Narrow"/>
                <w:sz w:val="20"/>
              </w:rPr>
              <w:t>26 (61.9%)</w:t>
            </w:r>
          </w:p>
          <w:p w:rsidR="006006CB" w:rsidRDefault="00D10D78">
            <w:pPr>
              <w:keepNext/>
              <w:widowControl/>
              <w:jc w:val="center"/>
              <w:rPr>
                <w:rFonts w:ascii="Arial Narrow" w:hAnsi="Arial Narrow"/>
                <w:sz w:val="20"/>
              </w:rPr>
            </w:pPr>
            <w:r>
              <w:rPr>
                <w:rFonts w:ascii="Arial Narrow" w:hAnsi="Arial Narrow"/>
                <w:sz w:val="20"/>
              </w:rPr>
              <w:t>14.3 (11.0, 28.8)</w:t>
            </w:r>
          </w:p>
        </w:tc>
        <w:tc>
          <w:tcPr>
            <w:tcW w:w="1037" w:type="pct"/>
            <w:vAlign w:val="center"/>
          </w:tcPr>
          <w:p w:rsidR="006006CB" w:rsidRDefault="006006CB">
            <w:pPr>
              <w:keepNext/>
              <w:widowControl/>
              <w:jc w:val="center"/>
              <w:rPr>
                <w:rFonts w:ascii="Arial Narrow" w:hAnsi="Arial Narrow"/>
                <w:sz w:val="20"/>
              </w:rPr>
            </w:pPr>
          </w:p>
          <w:p w:rsidR="006006CB" w:rsidRDefault="00D10D78">
            <w:pPr>
              <w:keepNext/>
              <w:widowControl/>
              <w:jc w:val="center"/>
              <w:rPr>
                <w:rFonts w:ascii="Arial Narrow" w:hAnsi="Arial Narrow"/>
                <w:sz w:val="20"/>
              </w:rPr>
            </w:pPr>
            <w:r>
              <w:rPr>
                <w:rFonts w:ascii="Arial Narrow" w:hAnsi="Arial Narrow"/>
                <w:sz w:val="20"/>
              </w:rPr>
              <w:t>38 (88.4%)</w:t>
            </w:r>
          </w:p>
          <w:p w:rsidR="006006CB" w:rsidRDefault="00D10D78">
            <w:pPr>
              <w:keepNext/>
              <w:widowControl/>
              <w:jc w:val="center"/>
              <w:rPr>
                <w:rFonts w:ascii="Arial Narrow" w:hAnsi="Arial Narrow"/>
                <w:sz w:val="20"/>
              </w:rPr>
            </w:pPr>
            <w:r>
              <w:rPr>
                <w:rFonts w:ascii="Arial Narrow" w:hAnsi="Arial Narrow"/>
                <w:sz w:val="20"/>
              </w:rPr>
              <w:t>5.9 (3.7, 9.2)</w:t>
            </w:r>
          </w:p>
        </w:tc>
        <w:tc>
          <w:tcPr>
            <w:tcW w:w="1037" w:type="pct"/>
            <w:vAlign w:val="center"/>
          </w:tcPr>
          <w:p w:rsidR="006006CB" w:rsidRDefault="00D10D78">
            <w:pPr>
              <w:keepNext/>
              <w:widowControl/>
              <w:jc w:val="center"/>
              <w:rPr>
                <w:rFonts w:ascii="Arial Narrow" w:hAnsi="Arial Narrow"/>
                <w:sz w:val="20"/>
              </w:rPr>
            </w:pPr>
            <w:r>
              <w:rPr>
                <w:rFonts w:ascii="Arial Narrow" w:hAnsi="Arial Narrow"/>
                <w:sz w:val="20"/>
              </w:rPr>
              <w:t>0.36 (0.21, 0.61)</w:t>
            </w:r>
          </w:p>
        </w:tc>
      </w:tr>
      <w:tr w:rsidR="006006CB">
        <w:tc>
          <w:tcPr>
            <w:tcW w:w="1889" w:type="pct"/>
            <w:vAlign w:val="center"/>
          </w:tcPr>
          <w:p w:rsidR="006006CB" w:rsidRDefault="00D10D78">
            <w:pPr>
              <w:keepNext/>
              <w:widowControl/>
              <w:jc w:val="left"/>
              <w:rPr>
                <w:rFonts w:ascii="Arial Narrow" w:hAnsi="Arial Narrow"/>
                <w:sz w:val="20"/>
              </w:rPr>
            </w:pPr>
            <w:r>
              <w:rPr>
                <w:rFonts w:ascii="Arial Narrow" w:hAnsi="Arial Narrow"/>
                <w:sz w:val="20"/>
              </w:rPr>
              <w:t>Progression free survival</w:t>
            </w:r>
          </w:p>
          <w:p w:rsidR="006006CB" w:rsidRDefault="00D10D78">
            <w:pPr>
              <w:keepNext/>
              <w:widowControl/>
              <w:jc w:val="left"/>
              <w:rPr>
                <w:rFonts w:ascii="Arial Narrow" w:hAnsi="Arial Narrow"/>
                <w:sz w:val="20"/>
              </w:rPr>
            </w:pPr>
            <w:r>
              <w:rPr>
                <w:rFonts w:ascii="Arial Narrow" w:hAnsi="Arial Narrow"/>
                <w:sz w:val="20"/>
              </w:rPr>
              <w:t>- Events n (%)</w:t>
            </w:r>
          </w:p>
          <w:p w:rsidR="006006CB" w:rsidRDefault="00D10D78">
            <w:pPr>
              <w:keepNext/>
              <w:widowControl/>
              <w:jc w:val="left"/>
              <w:rPr>
                <w:rFonts w:ascii="Arial Narrow" w:hAnsi="Arial Narrow"/>
                <w:sz w:val="20"/>
              </w:rPr>
            </w:pPr>
            <w:r>
              <w:rPr>
                <w:rFonts w:ascii="Arial Narrow" w:hAnsi="Arial Narrow"/>
                <w:sz w:val="20"/>
              </w:rPr>
              <w:t>- Median (95% CI) time (months)</w:t>
            </w:r>
          </w:p>
        </w:tc>
        <w:tc>
          <w:tcPr>
            <w:tcW w:w="1037" w:type="pct"/>
            <w:vAlign w:val="center"/>
          </w:tcPr>
          <w:p w:rsidR="006006CB" w:rsidRDefault="006006CB">
            <w:pPr>
              <w:keepNext/>
              <w:widowControl/>
              <w:jc w:val="center"/>
              <w:rPr>
                <w:rFonts w:ascii="Arial Narrow" w:hAnsi="Arial Narrow"/>
                <w:sz w:val="20"/>
              </w:rPr>
            </w:pPr>
          </w:p>
          <w:p w:rsidR="006006CB" w:rsidRDefault="00D10D78">
            <w:pPr>
              <w:keepNext/>
              <w:widowControl/>
              <w:jc w:val="center"/>
              <w:rPr>
                <w:rFonts w:ascii="Arial Narrow" w:hAnsi="Arial Narrow"/>
                <w:sz w:val="20"/>
              </w:rPr>
            </w:pPr>
            <w:r>
              <w:rPr>
                <w:rFonts w:ascii="Arial Narrow" w:hAnsi="Arial Narrow"/>
                <w:sz w:val="20"/>
              </w:rPr>
              <w:t>26 (61.9%)</w:t>
            </w:r>
          </w:p>
          <w:p w:rsidR="006006CB" w:rsidRDefault="00D10D78">
            <w:pPr>
              <w:keepNext/>
              <w:widowControl/>
              <w:jc w:val="center"/>
              <w:rPr>
                <w:rFonts w:ascii="Arial Narrow" w:hAnsi="Arial Narrow"/>
                <w:sz w:val="20"/>
              </w:rPr>
            </w:pPr>
            <w:r>
              <w:rPr>
                <w:rFonts w:ascii="Arial Narrow" w:hAnsi="Arial Narrow"/>
                <w:sz w:val="20"/>
              </w:rPr>
              <w:t>14.3 (11.0, 28.8)</w:t>
            </w:r>
          </w:p>
        </w:tc>
        <w:tc>
          <w:tcPr>
            <w:tcW w:w="1037" w:type="pct"/>
            <w:vAlign w:val="center"/>
          </w:tcPr>
          <w:p w:rsidR="006006CB" w:rsidRDefault="006006CB">
            <w:pPr>
              <w:keepNext/>
              <w:widowControl/>
              <w:jc w:val="center"/>
              <w:rPr>
                <w:rFonts w:ascii="Arial Narrow" w:hAnsi="Arial Narrow"/>
                <w:sz w:val="20"/>
              </w:rPr>
            </w:pPr>
          </w:p>
          <w:p w:rsidR="006006CB" w:rsidRDefault="00D10D78">
            <w:pPr>
              <w:keepNext/>
              <w:widowControl/>
              <w:jc w:val="center"/>
              <w:rPr>
                <w:rFonts w:ascii="Arial Narrow" w:hAnsi="Arial Narrow"/>
                <w:sz w:val="20"/>
              </w:rPr>
            </w:pPr>
            <w:r>
              <w:rPr>
                <w:rFonts w:ascii="Arial Narrow" w:hAnsi="Arial Narrow"/>
                <w:sz w:val="20"/>
              </w:rPr>
              <w:t>38 (88.4%)</w:t>
            </w:r>
          </w:p>
          <w:p w:rsidR="006006CB" w:rsidRDefault="00D10D78">
            <w:pPr>
              <w:keepNext/>
              <w:widowControl/>
              <w:jc w:val="center"/>
              <w:rPr>
                <w:rFonts w:ascii="Arial Narrow" w:hAnsi="Arial Narrow"/>
                <w:sz w:val="20"/>
              </w:rPr>
            </w:pPr>
            <w:r>
              <w:rPr>
                <w:rFonts w:ascii="Arial Narrow" w:hAnsi="Arial Narrow"/>
                <w:sz w:val="20"/>
              </w:rPr>
              <w:t>5.9 (3.7, 9.2)</w:t>
            </w:r>
          </w:p>
        </w:tc>
        <w:tc>
          <w:tcPr>
            <w:tcW w:w="1037" w:type="pct"/>
            <w:vAlign w:val="center"/>
          </w:tcPr>
          <w:p w:rsidR="006006CB" w:rsidRDefault="00D10D78">
            <w:pPr>
              <w:keepNext/>
              <w:widowControl/>
              <w:jc w:val="center"/>
              <w:rPr>
                <w:rFonts w:ascii="Arial Narrow" w:hAnsi="Arial Narrow"/>
                <w:sz w:val="20"/>
              </w:rPr>
            </w:pPr>
            <w:r>
              <w:rPr>
                <w:rFonts w:ascii="Arial Narrow" w:hAnsi="Arial Narrow"/>
                <w:sz w:val="20"/>
              </w:rPr>
              <w:t>0.36 (0.21, 0.61)</w:t>
            </w:r>
          </w:p>
        </w:tc>
      </w:tr>
      <w:tr w:rsidR="006006CB">
        <w:tc>
          <w:tcPr>
            <w:tcW w:w="1889" w:type="pct"/>
            <w:vAlign w:val="center"/>
          </w:tcPr>
          <w:p w:rsidR="006006CB" w:rsidRDefault="00D10D78">
            <w:pPr>
              <w:keepNext/>
              <w:widowControl/>
              <w:jc w:val="left"/>
              <w:rPr>
                <w:rFonts w:ascii="Arial Narrow" w:hAnsi="Arial Narrow"/>
                <w:sz w:val="20"/>
              </w:rPr>
            </w:pPr>
            <w:r>
              <w:rPr>
                <w:rFonts w:ascii="Arial Narrow" w:hAnsi="Arial Narrow"/>
                <w:sz w:val="20"/>
              </w:rPr>
              <w:t>Overall survival</w:t>
            </w:r>
          </w:p>
          <w:p w:rsidR="006006CB" w:rsidRDefault="00D10D78">
            <w:pPr>
              <w:keepNext/>
              <w:widowControl/>
              <w:jc w:val="left"/>
              <w:rPr>
                <w:rFonts w:ascii="Arial Narrow" w:hAnsi="Arial Narrow"/>
                <w:sz w:val="20"/>
              </w:rPr>
            </w:pPr>
            <w:r>
              <w:rPr>
                <w:rFonts w:ascii="Arial Narrow" w:hAnsi="Arial Narrow"/>
                <w:sz w:val="20"/>
              </w:rPr>
              <w:t>- Events n (%)</w:t>
            </w:r>
          </w:p>
          <w:p w:rsidR="006006CB" w:rsidRDefault="00D10D78">
            <w:pPr>
              <w:keepNext/>
              <w:widowControl/>
              <w:jc w:val="left"/>
              <w:rPr>
                <w:rFonts w:ascii="Arial Narrow" w:hAnsi="Arial Narrow"/>
                <w:sz w:val="20"/>
                <w:vertAlign w:val="superscript"/>
              </w:rPr>
            </w:pPr>
            <w:r>
              <w:rPr>
                <w:rFonts w:ascii="Arial Narrow" w:hAnsi="Arial Narrow"/>
                <w:sz w:val="20"/>
              </w:rPr>
              <w:t>- Median (95% CI) time (months)</w:t>
            </w:r>
          </w:p>
        </w:tc>
        <w:tc>
          <w:tcPr>
            <w:tcW w:w="1037" w:type="pct"/>
            <w:vAlign w:val="center"/>
          </w:tcPr>
          <w:p w:rsidR="006006CB" w:rsidRDefault="006006CB">
            <w:pPr>
              <w:keepNext/>
              <w:widowControl/>
              <w:jc w:val="center"/>
              <w:rPr>
                <w:rFonts w:ascii="Arial Narrow" w:hAnsi="Arial Narrow"/>
                <w:sz w:val="20"/>
              </w:rPr>
            </w:pPr>
          </w:p>
          <w:p w:rsidR="006006CB" w:rsidRDefault="00D10D78">
            <w:pPr>
              <w:keepNext/>
              <w:widowControl/>
              <w:jc w:val="center"/>
              <w:rPr>
                <w:rFonts w:ascii="Arial Narrow" w:hAnsi="Arial Narrow"/>
                <w:sz w:val="20"/>
              </w:rPr>
            </w:pPr>
            <w:r>
              <w:rPr>
                <w:rFonts w:ascii="Arial Narrow" w:hAnsi="Arial Narrow"/>
                <w:sz w:val="20"/>
              </w:rPr>
              <w:t>7 (16.7%)</w:t>
            </w:r>
          </w:p>
          <w:p w:rsidR="006006CB" w:rsidRDefault="00D10D78">
            <w:pPr>
              <w:keepNext/>
              <w:widowControl/>
              <w:jc w:val="center"/>
              <w:rPr>
                <w:rFonts w:ascii="Arial Narrow" w:hAnsi="Arial Narrow"/>
                <w:sz w:val="20"/>
              </w:rPr>
            </w:pPr>
            <w:r>
              <w:rPr>
                <w:rFonts w:ascii="Arial Narrow" w:hAnsi="Arial Narrow"/>
                <w:sz w:val="20"/>
              </w:rPr>
              <w:t>NE</w:t>
            </w:r>
          </w:p>
        </w:tc>
        <w:tc>
          <w:tcPr>
            <w:tcW w:w="1037" w:type="pct"/>
            <w:vAlign w:val="center"/>
          </w:tcPr>
          <w:p w:rsidR="006006CB" w:rsidRDefault="006006CB">
            <w:pPr>
              <w:keepNext/>
              <w:widowControl/>
              <w:jc w:val="center"/>
              <w:rPr>
                <w:rFonts w:ascii="Arial Narrow" w:hAnsi="Arial Narrow"/>
                <w:sz w:val="20"/>
              </w:rPr>
            </w:pPr>
          </w:p>
          <w:p w:rsidR="006006CB" w:rsidRDefault="00D10D78">
            <w:pPr>
              <w:keepNext/>
              <w:widowControl/>
              <w:jc w:val="center"/>
              <w:rPr>
                <w:rFonts w:ascii="Arial Narrow" w:hAnsi="Arial Narrow"/>
                <w:sz w:val="20"/>
              </w:rPr>
            </w:pPr>
            <w:r>
              <w:rPr>
                <w:rFonts w:ascii="Arial Narrow" w:hAnsi="Arial Narrow"/>
                <w:sz w:val="20"/>
              </w:rPr>
              <w:t>9 (20.9%)</w:t>
            </w:r>
          </w:p>
          <w:p w:rsidR="006006CB" w:rsidRDefault="00D10D78">
            <w:pPr>
              <w:keepNext/>
              <w:widowControl/>
              <w:jc w:val="center"/>
              <w:rPr>
                <w:rFonts w:ascii="Arial Narrow" w:hAnsi="Arial Narrow"/>
                <w:sz w:val="20"/>
              </w:rPr>
            </w:pPr>
            <w:r>
              <w:rPr>
                <w:rFonts w:ascii="Arial Narrow" w:hAnsi="Arial Narrow"/>
                <w:sz w:val="20"/>
              </w:rPr>
              <w:t>73.7 (48.39, NE)</w:t>
            </w:r>
          </w:p>
        </w:tc>
        <w:tc>
          <w:tcPr>
            <w:tcW w:w="1037" w:type="pct"/>
            <w:vAlign w:val="center"/>
          </w:tcPr>
          <w:p w:rsidR="006006CB" w:rsidRDefault="00D10D78">
            <w:pPr>
              <w:keepNext/>
              <w:widowControl/>
              <w:jc w:val="center"/>
              <w:rPr>
                <w:rFonts w:ascii="Arial Narrow" w:hAnsi="Arial Narrow"/>
                <w:sz w:val="20"/>
              </w:rPr>
            </w:pPr>
            <w:r>
              <w:rPr>
                <w:rFonts w:ascii="Arial Narrow" w:hAnsi="Arial Narrow"/>
                <w:sz w:val="20"/>
              </w:rPr>
              <w:t>0.78 (0.29, 2.10)</w:t>
            </w:r>
          </w:p>
        </w:tc>
      </w:tr>
    </w:tbl>
    <w:p w:rsidR="006006CB" w:rsidRDefault="00D10D78">
      <w:pPr>
        <w:pStyle w:val="TableFooter"/>
        <w:keepNext/>
        <w:widowControl/>
      </w:pPr>
      <w:r>
        <w:t>Note: Data cut-off June 2008 (core study phase)</w:t>
      </w:r>
    </w:p>
    <w:p w:rsidR="006006CB" w:rsidRDefault="00D10D78">
      <w:pPr>
        <w:pStyle w:val="TableFooter"/>
        <w:widowControl/>
      </w:pPr>
      <w:r>
        <w:t>Abbreviations: CI, confidence interval; HR, hazard ratio; NE, not estimable</w:t>
      </w:r>
    </w:p>
    <w:p w:rsidR="006006CB" w:rsidRDefault="00D10D78">
      <w:pPr>
        <w:pStyle w:val="TableFooter"/>
        <w:widowControl/>
      </w:pPr>
      <w:r>
        <w:t>Source: Table 16, p36; Table 17, p37; Table 18, pp37-38 of the submission; PROMID clinical study report</w:t>
      </w:r>
    </w:p>
    <w:p w:rsidR="006006CB" w:rsidRDefault="006006CB">
      <w:pPr>
        <w:pStyle w:val="TableFooter"/>
        <w:widowControl/>
      </w:pPr>
    </w:p>
    <w:p w:rsidR="006006CB" w:rsidRDefault="00D10D78">
      <w:pPr>
        <w:keepNext/>
        <w:widowControl/>
        <w:rPr>
          <w:rStyle w:val="CommentReference"/>
        </w:rPr>
      </w:pPr>
      <w:r>
        <w:rPr>
          <w:rStyle w:val="CommentReference"/>
        </w:rPr>
        <w:t>Figure 1: Kaplan-Meier curve comparing time to progression for octreotide and placebo, PROMID study</w:t>
      </w:r>
    </w:p>
    <w:p w:rsidR="00EF25F3" w:rsidRDefault="00D10D78" w:rsidP="00EF25F3">
      <w:pPr>
        <w:pStyle w:val="BodyText"/>
        <w:keepNext/>
        <w:widowControl/>
        <w:kinsoku w:val="0"/>
        <w:overflowPunct w:val="0"/>
      </w:pPr>
      <w:r>
        <w:rPr>
          <w:noProof/>
          <w:sz w:val="20"/>
          <w:szCs w:val="20"/>
          <w:lang w:eastAsia="en-AU"/>
        </w:rPr>
        <w:drawing>
          <wp:inline distT="0" distB="0" distL="0" distR="0" wp14:anchorId="502B75E3" wp14:editId="2E565A23">
            <wp:extent cx="5732145" cy="5007005"/>
            <wp:effectExtent l="0" t="0" r="1905" b="3175"/>
            <wp:docPr id="4" name="Picture 4" title="Figure 1: Kaplan-Meier curve comparing time to progression for octreotide and placebo, PROMID 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2145" cy="5007005"/>
                    </a:xfrm>
                    <a:prstGeom prst="rect">
                      <a:avLst/>
                    </a:prstGeom>
                    <a:noFill/>
                    <a:ln>
                      <a:noFill/>
                    </a:ln>
                  </pic:spPr>
                </pic:pic>
              </a:graphicData>
            </a:graphic>
          </wp:inline>
        </w:drawing>
      </w:r>
    </w:p>
    <w:p w:rsidR="006006CB" w:rsidRDefault="00EF25F3" w:rsidP="00EF25F3">
      <w:pPr>
        <w:pStyle w:val="Caption"/>
        <w:jc w:val="left"/>
        <w:rPr>
          <w:sz w:val="20"/>
          <w:szCs w:val="20"/>
        </w:rPr>
      </w:pPr>
      <w:r>
        <w:t xml:space="preserve">Figure </w:t>
      </w:r>
      <w:fldSimple w:instr=" SEQ Figure \* ARABIC ">
        <w:r w:rsidR="0000118A">
          <w:rPr>
            <w:noProof/>
          </w:rPr>
          <w:t>1</w:t>
        </w:r>
      </w:fldSimple>
      <w:r w:rsidRPr="007F17FA">
        <w:t>: Kaplan-Meier curve comparing time to progression for octreotide and placebo, PROMID study</w:t>
      </w:r>
    </w:p>
    <w:p w:rsidR="006006CB" w:rsidRDefault="00D10D78">
      <w:pPr>
        <w:pStyle w:val="TableFooter"/>
        <w:widowControl/>
      </w:pPr>
      <w:r>
        <w:t>Source: Figure 11-1, p63 PROMID clinical study report</w:t>
      </w:r>
    </w:p>
    <w:p w:rsidR="006006CB" w:rsidRDefault="006006CB">
      <w:pPr>
        <w:widowControl/>
      </w:pPr>
    </w:p>
    <w:p w:rsidR="006006CB" w:rsidRDefault="00D10D78">
      <w:pPr>
        <w:pStyle w:val="ListParagraph"/>
        <w:widowControl/>
        <w:numPr>
          <w:ilvl w:val="1"/>
          <w:numId w:val="1"/>
        </w:numPr>
      </w:pPr>
      <w:r>
        <w:lastRenderedPageBreak/>
        <w:t>TTP and PFS results were identical as no non-tumour related deaths occurred in either arm of the PROMID trial prior to documented disease progression. Patients in the octreotide treatment arm had a statistically significantly longer TTP and PFS compared with the placebo-treated patients (14.3 versus 5.9 months; HR 0.36, 95% CI 0.21, 0.61).</w:t>
      </w:r>
    </w:p>
    <w:p w:rsidR="006006CB" w:rsidRDefault="00D10D78">
      <w:pPr>
        <w:pStyle w:val="ListParagraph"/>
        <w:widowControl/>
        <w:numPr>
          <w:ilvl w:val="1"/>
          <w:numId w:val="1"/>
        </w:numPr>
      </w:pPr>
      <w:r>
        <w:t>OS was a secondary outcome in the PROMID trial. Results were affected by patients in the placebo group crossing over to octreotide on disease progression. Upon disease progression, 38 of 43 placebo patients (88.4%) received octreotide. Median survival in the extension phase was 84.7 months for patients originally randomised to octreotide, and 83.7 months for patients originally randomised to placebo (HR 0.83, 95% CI 0.47, 1.46).</w:t>
      </w:r>
    </w:p>
    <w:p w:rsidR="006006CB" w:rsidRDefault="00D10D78">
      <w:pPr>
        <w:pStyle w:val="ListParagraph"/>
        <w:widowControl/>
        <w:numPr>
          <w:ilvl w:val="1"/>
          <w:numId w:val="1"/>
        </w:numPr>
      </w:pPr>
      <w:r>
        <w:t xml:space="preserve">Subgroup results for the relevant patient population (and their complement) from PROMID and CLARINET are presented in Tables 5 and 6, respectively. </w:t>
      </w:r>
    </w:p>
    <w:p w:rsidR="00EF25F3" w:rsidRDefault="00EF25F3" w:rsidP="00EF25F3">
      <w:pPr>
        <w:pStyle w:val="PBACTableTextBoldLeft"/>
      </w:pPr>
      <w:r>
        <w:t xml:space="preserve">Table </w:t>
      </w:r>
      <w:r>
        <w:fldChar w:fldCharType="begin"/>
      </w:r>
      <w:r>
        <w:instrText xml:space="preserve"> SEQ Table \* ARABIC </w:instrText>
      </w:r>
      <w:r>
        <w:fldChar w:fldCharType="separate"/>
      </w:r>
      <w:r w:rsidR="0000118A">
        <w:rPr>
          <w:noProof/>
        </w:rPr>
        <w:t>5</w:t>
      </w:r>
      <w:r>
        <w:fldChar w:fldCharType="end"/>
      </w:r>
      <w:r w:rsidRPr="00F56900">
        <w:t>: Subgroup analysis of progression-free survival from PROMID core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5: Subgroup analysis of progression-free survival from PROMID core study"/>
      </w:tblPr>
      <w:tblGrid>
        <w:gridCol w:w="3407"/>
        <w:gridCol w:w="1870"/>
        <w:gridCol w:w="1870"/>
        <w:gridCol w:w="1870"/>
      </w:tblGrid>
      <w:tr w:rsidR="006006CB">
        <w:tc>
          <w:tcPr>
            <w:tcW w:w="1889" w:type="pct"/>
            <w:vMerge w:val="restart"/>
            <w:vAlign w:val="center"/>
          </w:tcPr>
          <w:p w:rsidR="006006CB" w:rsidRDefault="00D10D78">
            <w:pPr>
              <w:keepNext/>
              <w:widowControl/>
              <w:jc w:val="left"/>
              <w:rPr>
                <w:rFonts w:ascii="Arial Narrow" w:hAnsi="Arial Narrow"/>
                <w:b/>
                <w:sz w:val="20"/>
              </w:rPr>
            </w:pPr>
            <w:r>
              <w:rPr>
                <w:rFonts w:ascii="Arial Narrow" w:hAnsi="Arial Narrow"/>
                <w:b/>
                <w:sz w:val="20"/>
              </w:rPr>
              <w:t>Outcome</w:t>
            </w:r>
          </w:p>
        </w:tc>
        <w:tc>
          <w:tcPr>
            <w:tcW w:w="2074" w:type="pct"/>
            <w:gridSpan w:val="2"/>
            <w:vAlign w:val="center"/>
          </w:tcPr>
          <w:p w:rsidR="006006CB" w:rsidRDefault="00D10D78">
            <w:pPr>
              <w:keepNext/>
              <w:widowControl/>
              <w:jc w:val="center"/>
              <w:rPr>
                <w:rFonts w:ascii="Arial Narrow" w:hAnsi="Arial Narrow"/>
                <w:b/>
                <w:sz w:val="20"/>
              </w:rPr>
            </w:pPr>
            <w:r>
              <w:rPr>
                <w:rFonts w:ascii="Arial Narrow" w:hAnsi="Arial Narrow"/>
                <w:b/>
                <w:sz w:val="20"/>
              </w:rPr>
              <w:t>Median months (95% CI)</w:t>
            </w:r>
          </w:p>
        </w:tc>
        <w:tc>
          <w:tcPr>
            <w:tcW w:w="1037" w:type="pct"/>
            <w:vMerge w:val="restart"/>
            <w:vAlign w:val="center"/>
          </w:tcPr>
          <w:p w:rsidR="006006CB" w:rsidRDefault="00D10D78">
            <w:pPr>
              <w:keepNext/>
              <w:widowControl/>
              <w:jc w:val="center"/>
              <w:rPr>
                <w:rFonts w:ascii="Arial Narrow" w:hAnsi="Arial Narrow"/>
                <w:b/>
                <w:sz w:val="20"/>
              </w:rPr>
            </w:pPr>
            <w:r>
              <w:rPr>
                <w:rFonts w:ascii="Arial Narrow" w:hAnsi="Arial Narrow"/>
                <w:b/>
                <w:sz w:val="20"/>
              </w:rPr>
              <w:t>HR (95% CI)</w:t>
            </w:r>
          </w:p>
        </w:tc>
      </w:tr>
      <w:tr w:rsidR="006006CB">
        <w:tc>
          <w:tcPr>
            <w:tcW w:w="1889" w:type="pct"/>
            <w:vMerge/>
            <w:vAlign w:val="center"/>
          </w:tcPr>
          <w:p w:rsidR="006006CB" w:rsidRDefault="006006CB">
            <w:pPr>
              <w:keepNext/>
              <w:widowControl/>
              <w:jc w:val="left"/>
              <w:rPr>
                <w:rFonts w:ascii="Arial Narrow" w:hAnsi="Arial Narrow"/>
                <w:b/>
                <w:sz w:val="20"/>
              </w:rPr>
            </w:pPr>
          </w:p>
        </w:tc>
        <w:tc>
          <w:tcPr>
            <w:tcW w:w="1037" w:type="pct"/>
            <w:vAlign w:val="center"/>
          </w:tcPr>
          <w:p w:rsidR="006006CB" w:rsidRDefault="00D10D78">
            <w:pPr>
              <w:keepNext/>
              <w:widowControl/>
              <w:ind w:right="-108"/>
              <w:jc w:val="center"/>
              <w:rPr>
                <w:rFonts w:ascii="Arial Narrow" w:hAnsi="Arial Narrow"/>
                <w:b/>
                <w:sz w:val="20"/>
              </w:rPr>
            </w:pPr>
            <w:r>
              <w:rPr>
                <w:rFonts w:ascii="Arial Narrow" w:hAnsi="Arial Narrow"/>
                <w:b/>
                <w:sz w:val="20"/>
              </w:rPr>
              <w:t>Octreotide</w:t>
            </w:r>
          </w:p>
        </w:tc>
        <w:tc>
          <w:tcPr>
            <w:tcW w:w="1037" w:type="pct"/>
            <w:vAlign w:val="center"/>
          </w:tcPr>
          <w:p w:rsidR="006006CB" w:rsidRDefault="00D10D78">
            <w:pPr>
              <w:keepNext/>
              <w:widowControl/>
              <w:jc w:val="center"/>
              <w:rPr>
                <w:rFonts w:ascii="Arial Narrow" w:hAnsi="Arial Narrow"/>
                <w:b/>
                <w:sz w:val="20"/>
              </w:rPr>
            </w:pPr>
            <w:r>
              <w:rPr>
                <w:rFonts w:ascii="Arial Narrow" w:hAnsi="Arial Narrow"/>
                <w:b/>
                <w:sz w:val="20"/>
              </w:rPr>
              <w:t>Placebo</w:t>
            </w:r>
          </w:p>
        </w:tc>
        <w:tc>
          <w:tcPr>
            <w:tcW w:w="1037" w:type="pct"/>
            <w:vMerge/>
            <w:vAlign w:val="center"/>
          </w:tcPr>
          <w:p w:rsidR="006006CB" w:rsidRDefault="006006CB">
            <w:pPr>
              <w:keepNext/>
              <w:widowControl/>
              <w:jc w:val="center"/>
              <w:rPr>
                <w:rFonts w:ascii="Arial Narrow" w:hAnsi="Arial Narrow"/>
                <w:b/>
                <w:sz w:val="20"/>
              </w:rPr>
            </w:pPr>
          </w:p>
        </w:tc>
      </w:tr>
      <w:tr w:rsidR="006006CB">
        <w:tc>
          <w:tcPr>
            <w:tcW w:w="1889" w:type="pct"/>
            <w:vAlign w:val="center"/>
          </w:tcPr>
          <w:p w:rsidR="006006CB" w:rsidRDefault="00D10D78">
            <w:pPr>
              <w:widowControl/>
              <w:jc w:val="left"/>
              <w:rPr>
                <w:rFonts w:ascii="Arial Narrow" w:hAnsi="Arial Narrow"/>
                <w:b/>
                <w:sz w:val="20"/>
              </w:rPr>
            </w:pPr>
            <w:r>
              <w:rPr>
                <w:rFonts w:ascii="Arial Narrow" w:hAnsi="Arial Narrow"/>
                <w:b/>
                <w:sz w:val="20"/>
              </w:rPr>
              <w:t>Full analysis set</w:t>
            </w:r>
          </w:p>
        </w:tc>
        <w:tc>
          <w:tcPr>
            <w:tcW w:w="1037" w:type="pct"/>
            <w:vAlign w:val="center"/>
          </w:tcPr>
          <w:p w:rsidR="006006CB" w:rsidRDefault="00D10D78">
            <w:pPr>
              <w:widowControl/>
              <w:jc w:val="center"/>
              <w:rPr>
                <w:rFonts w:ascii="Arial Narrow" w:hAnsi="Arial Narrow"/>
                <w:b/>
                <w:sz w:val="20"/>
              </w:rPr>
            </w:pPr>
            <w:r>
              <w:rPr>
                <w:rFonts w:ascii="Arial Narrow" w:hAnsi="Arial Narrow"/>
                <w:b/>
                <w:sz w:val="20"/>
              </w:rPr>
              <w:t>N=42</w:t>
            </w:r>
          </w:p>
        </w:tc>
        <w:tc>
          <w:tcPr>
            <w:tcW w:w="1037" w:type="pct"/>
            <w:vAlign w:val="center"/>
          </w:tcPr>
          <w:p w:rsidR="006006CB" w:rsidRDefault="00D10D78">
            <w:pPr>
              <w:widowControl/>
              <w:jc w:val="center"/>
              <w:rPr>
                <w:rFonts w:ascii="Arial Narrow" w:hAnsi="Arial Narrow"/>
                <w:b/>
                <w:sz w:val="20"/>
              </w:rPr>
            </w:pPr>
            <w:r>
              <w:rPr>
                <w:rFonts w:ascii="Arial Narrow" w:hAnsi="Arial Narrow"/>
                <w:b/>
                <w:sz w:val="20"/>
              </w:rPr>
              <w:t>N=43</w:t>
            </w:r>
          </w:p>
        </w:tc>
        <w:tc>
          <w:tcPr>
            <w:tcW w:w="1037" w:type="pct"/>
            <w:vAlign w:val="center"/>
          </w:tcPr>
          <w:p w:rsidR="006006CB" w:rsidRDefault="006006CB">
            <w:pPr>
              <w:widowControl/>
              <w:jc w:val="center"/>
              <w:rPr>
                <w:rFonts w:ascii="Arial Narrow" w:hAnsi="Arial Narrow"/>
                <w:sz w:val="20"/>
              </w:rPr>
            </w:pPr>
          </w:p>
        </w:tc>
      </w:tr>
      <w:tr w:rsidR="006006CB">
        <w:tc>
          <w:tcPr>
            <w:tcW w:w="1889" w:type="pct"/>
            <w:vAlign w:val="center"/>
          </w:tcPr>
          <w:p w:rsidR="006006CB" w:rsidRDefault="00D10D78">
            <w:pPr>
              <w:widowControl/>
              <w:jc w:val="left"/>
              <w:rPr>
                <w:rFonts w:ascii="Arial Narrow" w:hAnsi="Arial Narrow"/>
                <w:sz w:val="20"/>
              </w:rPr>
            </w:pPr>
            <w:r>
              <w:rPr>
                <w:rFonts w:ascii="Arial Narrow" w:hAnsi="Arial Narrow"/>
                <w:sz w:val="20"/>
              </w:rPr>
              <w:t>Progression free survival</w:t>
            </w:r>
          </w:p>
        </w:tc>
        <w:tc>
          <w:tcPr>
            <w:tcW w:w="1037" w:type="pct"/>
            <w:vAlign w:val="center"/>
          </w:tcPr>
          <w:p w:rsidR="006006CB" w:rsidRDefault="00D10D78">
            <w:pPr>
              <w:widowControl/>
              <w:jc w:val="center"/>
              <w:rPr>
                <w:rFonts w:ascii="Arial Narrow" w:hAnsi="Arial Narrow"/>
                <w:sz w:val="20"/>
              </w:rPr>
            </w:pPr>
            <w:r>
              <w:rPr>
                <w:rFonts w:ascii="Arial Narrow" w:hAnsi="Arial Narrow"/>
                <w:sz w:val="20"/>
              </w:rPr>
              <w:t>14.3 (11.0, 28.8)</w:t>
            </w:r>
          </w:p>
        </w:tc>
        <w:tc>
          <w:tcPr>
            <w:tcW w:w="1037" w:type="pct"/>
            <w:vAlign w:val="center"/>
          </w:tcPr>
          <w:p w:rsidR="006006CB" w:rsidRDefault="00D10D78">
            <w:pPr>
              <w:widowControl/>
              <w:jc w:val="center"/>
              <w:rPr>
                <w:rFonts w:ascii="Arial Narrow" w:hAnsi="Arial Narrow"/>
                <w:sz w:val="20"/>
              </w:rPr>
            </w:pPr>
            <w:r>
              <w:rPr>
                <w:rFonts w:ascii="Arial Narrow" w:hAnsi="Arial Narrow"/>
                <w:sz w:val="20"/>
              </w:rPr>
              <w:t>5.9 (3.7, 9.2)</w:t>
            </w:r>
          </w:p>
        </w:tc>
        <w:tc>
          <w:tcPr>
            <w:tcW w:w="1037" w:type="pct"/>
            <w:vAlign w:val="center"/>
          </w:tcPr>
          <w:p w:rsidR="006006CB" w:rsidRDefault="00D10D78">
            <w:pPr>
              <w:widowControl/>
              <w:jc w:val="center"/>
              <w:rPr>
                <w:rFonts w:ascii="Arial Narrow" w:hAnsi="Arial Narrow"/>
                <w:sz w:val="20"/>
              </w:rPr>
            </w:pPr>
            <w:r>
              <w:rPr>
                <w:rFonts w:ascii="Arial Narrow" w:hAnsi="Arial Narrow"/>
                <w:sz w:val="20"/>
              </w:rPr>
              <w:t>0.36 (0.21, 0.61)</w:t>
            </w:r>
          </w:p>
        </w:tc>
      </w:tr>
      <w:tr w:rsidR="006006CB">
        <w:tc>
          <w:tcPr>
            <w:tcW w:w="1889" w:type="pct"/>
            <w:vAlign w:val="center"/>
          </w:tcPr>
          <w:p w:rsidR="006006CB" w:rsidRDefault="00D10D78">
            <w:pPr>
              <w:widowControl/>
              <w:jc w:val="left"/>
              <w:rPr>
                <w:rFonts w:ascii="Arial Narrow" w:hAnsi="Arial Narrow"/>
                <w:b/>
                <w:sz w:val="20"/>
              </w:rPr>
            </w:pPr>
            <w:r>
              <w:rPr>
                <w:rFonts w:ascii="Arial Narrow" w:hAnsi="Arial Narrow"/>
                <w:b/>
                <w:sz w:val="20"/>
              </w:rPr>
              <w:t>Functionally non-active tumours</w:t>
            </w:r>
          </w:p>
        </w:tc>
        <w:tc>
          <w:tcPr>
            <w:tcW w:w="1037" w:type="pct"/>
            <w:vAlign w:val="center"/>
          </w:tcPr>
          <w:p w:rsidR="006006CB" w:rsidRDefault="00D10D78">
            <w:pPr>
              <w:widowControl/>
              <w:jc w:val="center"/>
              <w:rPr>
                <w:rFonts w:ascii="Arial Narrow" w:hAnsi="Arial Narrow"/>
                <w:b/>
                <w:sz w:val="20"/>
              </w:rPr>
            </w:pPr>
            <w:r>
              <w:rPr>
                <w:rFonts w:ascii="Arial Narrow" w:hAnsi="Arial Narrow"/>
                <w:b/>
                <w:sz w:val="20"/>
              </w:rPr>
              <w:t>N=25</w:t>
            </w:r>
          </w:p>
        </w:tc>
        <w:tc>
          <w:tcPr>
            <w:tcW w:w="1037" w:type="pct"/>
            <w:vAlign w:val="center"/>
          </w:tcPr>
          <w:p w:rsidR="006006CB" w:rsidRDefault="00D10D78">
            <w:pPr>
              <w:widowControl/>
              <w:jc w:val="center"/>
              <w:rPr>
                <w:rFonts w:ascii="Arial Narrow" w:hAnsi="Arial Narrow"/>
                <w:b/>
                <w:sz w:val="20"/>
              </w:rPr>
            </w:pPr>
            <w:r>
              <w:rPr>
                <w:rFonts w:ascii="Arial Narrow" w:hAnsi="Arial Narrow"/>
                <w:b/>
                <w:sz w:val="20"/>
              </w:rPr>
              <w:t>N=27</w:t>
            </w:r>
          </w:p>
        </w:tc>
        <w:tc>
          <w:tcPr>
            <w:tcW w:w="1037" w:type="pct"/>
            <w:vAlign w:val="center"/>
          </w:tcPr>
          <w:p w:rsidR="006006CB" w:rsidRDefault="006006CB">
            <w:pPr>
              <w:widowControl/>
              <w:jc w:val="center"/>
              <w:rPr>
                <w:rFonts w:ascii="Arial Narrow" w:hAnsi="Arial Narrow"/>
                <w:b/>
                <w:sz w:val="20"/>
              </w:rPr>
            </w:pPr>
          </w:p>
        </w:tc>
      </w:tr>
      <w:tr w:rsidR="006006CB">
        <w:tc>
          <w:tcPr>
            <w:tcW w:w="1889" w:type="pct"/>
            <w:vAlign w:val="center"/>
          </w:tcPr>
          <w:p w:rsidR="006006CB" w:rsidRDefault="00D10D78">
            <w:pPr>
              <w:widowControl/>
              <w:jc w:val="left"/>
              <w:rPr>
                <w:rFonts w:ascii="Arial Narrow" w:hAnsi="Arial Narrow"/>
                <w:sz w:val="20"/>
              </w:rPr>
            </w:pPr>
            <w:r>
              <w:rPr>
                <w:rFonts w:ascii="Arial Narrow" w:hAnsi="Arial Narrow"/>
                <w:sz w:val="20"/>
              </w:rPr>
              <w:t>Progression free survival</w:t>
            </w:r>
          </w:p>
        </w:tc>
        <w:tc>
          <w:tcPr>
            <w:tcW w:w="1037" w:type="pct"/>
            <w:vAlign w:val="center"/>
          </w:tcPr>
          <w:p w:rsidR="006006CB" w:rsidRDefault="00D10D78">
            <w:pPr>
              <w:widowControl/>
              <w:jc w:val="center"/>
              <w:rPr>
                <w:rFonts w:ascii="Arial Narrow" w:hAnsi="Arial Narrow"/>
                <w:sz w:val="20"/>
              </w:rPr>
            </w:pPr>
            <w:r>
              <w:rPr>
                <w:rFonts w:ascii="Arial Narrow" w:hAnsi="Arial Narrow"/>
                <w:sz w:val="20"/>
              </w:rPr>
              <w:t>11.7 (8.2, 28.8)</w:t>
            </w:r>
          </w:p>
        </w:tc>
        <w:tc>
          <w:tcPr>
            <w:tcW w:w="1037" w:type="pct"/>
            <w:vAlign w:val="center"/>
          </w:tcPr>
          <w:p w:rsidR="006006CB" w:rsidRDefault="00D10D78">
            <w:pPr>
              <w:widowControl/>
              <w:jc w:val="center"/>
              <w:rPr>
                <w:rFonts w:ascii="Arial Narrow" w:hAnsi="Arial Narrow"/>
                <w:sz w:val="20"/>
              </w:rPr>
            </w:pPr>
            <w:r>
              <w:rPr>
                <w:rFonts w:ascii="Arial Narrow" w:hAnsi="Arial Narrow"/>
                <w:sz w:val="20"/>
              </w:rPr>
              <w:t>5.9 (3.6, 10.6)</w:t>
            </w:r>
          </w:p>
        </w:tc>
        <w:tc>
          <w:tcPr>
            <w:tcW w:w="1037" w:type="pct"/>
            <w:vAlign w:val="center"/>
          </w:tcPr>
          <w:p w:rsidR="006006CB" w:rsidRDefault="00D10D78">
            <w:pPr>
              <w:widowControl/>
              <w:jc w:val="center"/>
              <w:rPr>
                <w:rFonts w:ascii="Arial Narrow" w:hAnsi="Arial Narrow"/>
                <w:sz w:val="20"/>
              </w:rPr>
            </w:pPr>
            <w:r>
              <w:rPr>
                <w:rFonts w:ascii="Arial Narrow" w:hAnsi="Arial Narrow"/>
                <w:sz w:val="20"/>
              </w:rPr>
              <w:t>0.32 (0.15, 0.66)</w:t>
            </w:r>
          </w:p>
        </w:tc>
      </w:tr>
      <w:tr w:rsidR="006006CB">
        <w:tc>
          <w:tcPr>
            <w:tcW w:w="1889" w:type="pct"/>
            <w:vAlign w:val="center"/>
          </w:tcPr>
          <w:p w:rsidR="006006CB" w:rsidRDefault="00D10D78">
            <w:pPr>
              <w:widowControl/>
              <w:jc w:val="left"/>
              <w:rPr>
                <w:rFonts w:ascii="Arial Narrow" w:hAnsi="Arial Narrow"/>
                <w:sz w:val="20"/>
              </w:rPr>
            </w:pPr>
            <w:r>
              <w:rPr>
                <w:rFonts w:ascii="Arial Narrow" w:hAnsi="Arial Narrow"/>
                <w:b/>
                <w:sz w:val="20"/>
              </w:rPr>
              <w:t>Functionally active tumours</w:t>
            </w:r>
          </w:p>
        </w:tc>
        <w:tc>
          <w:tcPr>
            <w:tcW w:w="1037" w:type="pct"/>
            <w:vAlign w:val="center"/>
          </w:tcPr>
          <w:p w:rsidR="006006CB" w:rsidRDefault="00D10D78">
            <w:pPr>
              <w:widowControl/>
              <w:jc w:val="center"/>
              <w:rPr>
                <w:rFonts w:ascii="Arial Narrow" w:hAnsi="Arial Narrow"/>
                <w:sz w:val="20"/>
              </w:rPr>
            </w:pPr>
            <w:r>
              <w:rPr>
                <w:rFonts w:ascii="Arial Narrow" w:hAnsi="Arial Narrow"/>
                <w:b/>
                <w:sz w:val="20"/>
              </w:rPr>
              <w:t>N=17</w:t>
            </w:r>
          </w:p>
        </w:tc>
        <w:tc>
          <w:tcPr>
            <w:tcW w:w="1037" w:type="pct"/>
            <w:vAlign w:val="center"/>
          </w:tcPr>
          <w:p w:rsidR="006006CB" w:rsidRDefault="00D10D78">
            <w:pPr>
              <w:widowControl/>
              <w:jc w:val="center"/>
              <w:rPr>
                <w:rFonts w:ascii="Arial Narrow" w:hAnsi="Arial Narrow"/>
                <w:sz w:val="20"/>
              </w:rPr>
            </w:pPr>
            <w:r>
              <w:rPr>
                <w:rFonts w:ascii="Arial Narrow" w:hAnsi="Arial Narrow"/>
                <w:b/>
                <w:sz w:val="20"/>
              </w:rPr>
              <w:t>N=16</w:t>
            </w:r>
          </w:p>
        </w:tc>
        <w:tc>
          <w:tcPr>
            <w:tcW w:w="1037" w:type="pct"/>
            <w:vAlign w:val="center"/>
          </w:tcPr>
          <w:p w:rsidR="006006CB" w:rsidRDefault="006006CB">
            <w:pPr>
              <w:widowControl/>
              <w:jc w:val="center"/>
              <w:rPr>
                <w:rFonts w:ascii="Arial Narrow" w:hAnsi="Arial Narrow"/>
                <w:sz w:val="20"/>
              </w:rPr>
            </w:pPr>
          </w:p>
        </w:tc>
      </w:tr>
      <w:tr w:rsidR="006006CB">
        <w:tc>
          <w:tcPr>
            <w:tcW w:w="1889" w:type="pct"/>
            <w:vAlign w:val="center"/>
          </w:tcPr>
          <w:p w:rsidR="006006CB" w:rsidRDefault="00D10D78">
            <w:pPr>
              <w:widowControl/>
              <w:jc w:val="left"/>
              <w:rPr>
                <w:rFonts w:ascii="Arial Narrow" w:hAnsi="Arial Narrow"/>
                <w:sz w:val="20"/>
              </w:rPr>
            </w:pPr>
            <w:r>
              <w:rPr>
                <w:rFonts w:ascii="Arial Narrow" w:hAnsi="Arial Narrow"/>
                <w:sz w:val="20"/>
              </w:rPr>
              <w:t>Progression free survival</w:t>
            </w:r>
          </w:p>
        </w:tc>
        <w:tc>
          <w:tcPr>
            <w:tcW w:w="1037" w:type="pct"/>
            <w:vAlign w:val="center"/>
          </w:tcPr>
          <w:p w:rsidR="006006CB" w:rsidRDefault="00D10D78">
            <w:pPr>
              <w:widowControl/>
              <w:jc w:val="center"/>
              <w:rPr>
                <w:rFonts w:ascii="Arial Narrow" w:hAnsi="Arial Narrow"/>
                <w:sz w:val="20"/>
              </w:rPr>
            </w:pPr>
            <w:r>
              <w:rPr>
                <w:rFonts w:ascii="Arial Narrow" w:hAnsi="Arial Narrow"/>
                <w:sz w:val="20"/>
              </w:rPr>
              <w:t>14.3 (5.6, 60.1)</w:t>
            </w:r>
          </w:p>
        </w:tc>
        <w:tc>
          <w:tcPr>
            <w:tcW w:w="1037" w:type="pct"/>
            <w:vAlign w:val="center"/>
          </w:tcPr>
          <w:p w:rsidR="006006CB" w:rsidRDefault="00D10D78">
            <w:pPr>
              <w:widowControl/>
              <w:jc w:val="center"/>
              <w:rPr>
                <w:rFonts w:ascii="Arial Narrow" w:hAnsi="Arial Narrow"/>
                <w:sz w:val="20"/>
              </w:rPr>
            </w:pPr>
            <w:r>
              <w:rPr>
                <w:rFonts w:ascii="Arial Narrow" w:hAnsi="Arial Narrow"/>
                <w:sz w:val="20"/>
              </w:rPr>
              <w:t>5.8 (3.6, 9.2)</w:t>
            </w:r>
          </w:p>
        </w:tc>
        <w:tc>
          <w:tcPr>
            <w:tcW w:w="1037" w:type="pct"/>
            <w:vAlign w:val="center"/>
          </w:tcPr>
          <w:p w:rsidR="006006CB" w:rsidRDefault="00D10D78">
            <w:pPr>
              <w:widowControl/>
              <w:jc w:val="center"/>
              <w:rPr>
                <w:rFonts w:ascii="Arial Narrow" w:hAnsi="Arial Narrow"/>
                <w:sz w:val="20"/>
              </w:rPr>
            </w:pPr>
            <w:r>
              <w:rPr>
                <w:rFonts w:ascii="Arial Narrow" w:hAnsi="Arial Narrow"/>
                <w:sz w:val="20"/>
              </w:rPr>
              <w:t>0.41 (0.18, 0.92)</w:t>
            </w:r>
          </w:p>
        </w:tc>
      </w:tr>
    </w:tbl>
    <w:p w:rsidR="006006CB" w:rsidRDefault="00D10D78">
      <w:pPr>
        <w:pStyle w:val="TableFooter"/>
        <w:widowControl/>
      </w:pPr>
      <w:r>
        <w:t>Note: Data cut-off June 2008 (core study phase)</w:t>
      </w:r>
    </w:p>
    <w:p w:rsidR="006006CB" w:rsidRDefault="00D10D78">
      <w:pPr>
        <w:pStyle w:val="TableFooter"/>
        <w:widowControl/>
      </w:pPr>
      <w:r>
        <w:t>Abbreviations: CI, confidence interval; HR, hazard ratio; NE, not estimable; NR, not reported; SD, standard deviation</w:t>
      </w:r>
    </w:p>
    <w:p w:rsidR="006006CB" w:rsidRDefault="00D10D78">
      <w:pPr>
        <w:pStyle w:val="TableFooter"/>
        <w:widowControl/>
      </w:pPr>
      <w:r>
        <w:t>Source: Table 16, p36; Table 17, p37; Table 18, pp37-38 of the submission; PROMID clinical study report</w:t>
      </w:r>
    </w:p>
    <w:p w:rsidR="006006CB" w:rsidRDefault="006006CB">
      <w:pPr>
        <w:pStyle w:val="TableFooter"/>
        <w:widowControl/>
      </w:pPr>
    </w:p>
    <w:p w:rsidR="006006CB" w:rsidRDefault="00D10D78">
      <w:pPr>
        <w:pStyle w:val="ListParagraph"/>
        <w:widowControl/>
        <w:numPr>
          <w:ilvl w:val="1"/>
          <w:numId w:val="1"/>
        </w:numPr>
      </w:pPr>
      <w:r>
        <w:t>In the octreotide arm in PROMID, patients with functionally non-active tumours had a slightly shorter time to progression than patients with functionally active tumours; however, small patient numbers and wide confidence intervals mean these subgroup results should be interpreted with caution.</w:t>
      </w:r>
    </w:p>
    <w:p w:rsidR="00EF25F3" w:rsidRDefault="00EF25F3" w:rsidP="00EF25F3">
      <w:pPr>
        <w:pStyle w:val="PBACTableTextBoldLeft"/>
      </w:pPr>
      <w:r>
        <w:t xml:space="preserve">Table </w:t>
      </w:r>
      <w:r>
        <w:fldChar w:fldCharType="begin"/>
      </w:r>
      <w:r>
        <w:instrText xml:space="preserve"> SEQ Table \* ARABIC </w:instrText>
      </w:r>
      <w:r>
        <w:fldChar w:fldCharType="separate"/>
      </w:r>
      <w:r w:rsidR="0000118A">
        <w:rPr>
          <w:noProof/>
        </w:rPr>
        <w:t>6</w:t>
      </w:r>
      <w:r>
        <w:fldChar w:fldCharType="end"/>
      </w:r>
      <w:r w:rsidRPr="00A62F80">
        <w:t>: Subgroup analysis of progression-free survival from CLARINET core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6: Subgroup analysis of progression-free survival from CLARINET core study "/>
      </w:tblPr>
      <w:tblGrid>
        <w:gridCol w:w="3407"/>
        <w:gridCol w:w="1830"/>
        <w:gridCol w:w="1969"/>
        <w:gridCol w:w="1811"/>
      </w:tblGrid>
      <w:tr w:rsidR="006006CB" w:rsidTr="00EF25F3">
        <w:tc>
          <w:tcPr>
            <w:tcW w:w="1889" w:type="pct"/>
            <w:vMerge w:val="restart"/>
            <w:vAlign w:val="center"/>
          </w:tcPr>
          <w:p w:rsidR="006006CB" w:rsidRDefault="00D10D78">
            <w:pPr>
              <w:widowControl/>
              <w:jc w:val="left"/>
              <w:rPr>
                <w:rFonts w:ascii="Arial Narrow" w:hAnsi="Arial Narrow"/>
                <w:b/>
                <w:sz w:val="20"/>
              </w:rPr>
            </w:pPr>
            <w:r>
              <w:rPr>
                <w:rFonts w:ascii="Arial Narrow" w:hAnsi="Arial Narrow"/>
                <w:b/>
                <w:sz w:val="20"/>
              </w:rPr>
              <w:t>Outcome</w:t>
            </w:r>
          </w:p>
        </w:tc>
        <w:tc>
          <w:tcPr>
            <w:tcW w:w="2107" w:type="pct"/>
            <w:gridSpan w:val="2"/>
            <w:vAlign w:val="center"/>
          </w:tcPr>
          <w:p w:rsidR="006006CB" w:rsidRDefault="00D10D78">
            <w:pPr>
              <w:widowControl/>
              <w:jc w:val="center"/>
              <w:rPr>
                <w:rFonts w:ascii="Arial Narrow" w:hAnsi="Arial Narrow"/>
                <w:b/>
                <w:sz w:val="20"/>
              </w:rPr>
            </w:pPr>
            <w:r>
              <w:rPr>
                <w:rFonts w:ascii="Arial Narrow" w:hAnsi="Arial Narrow"/>
                <w:b/>
                <w:sz w:val="20"/>
              </w:rPr>
              <w:t>Median months (95% CI)</w:t>
            </w:r>
          </w:p>
        </w:tc>
        <w:tc>
          <w:tcPr>
            <w:tcW w:w="1004" w:type="pct"/>
            <w:vMerge w:val="restart"/>
            <w:vAlign w:val="center"/>
          </w:tcPr>
          <w:p w:rsidR="006006CB" w:rsidRDefault="00D10D78">
            <w:pPr>
              <w:widowControl/>
              <w:jc w:val="center"/>
              <w:rPr>
                <w:rFonts w:ascii="Arial Narrow" w:hAnsi="Arial Narrow"/>
                <w:b/>
                <w:sz w:val="20"/>
              </w:rPr>
            </w:pPr>
            <w:r>
              <w:rPr>
                <w:rFonts w:ascii="Arial Narrow" w:hAnsi="Arial Narrow"/>
                <w:b/>
                <w:sz w:val="20"/>
              </w:rPr>
              <w:t>HR (95% CI)</w:t>
            </w:r>
          </w:p>
        </w:tc>
      </w:tr>
      <w:tr w:rsidR="006006CB" w:rsidTr="00EF25F3">
        <w:tc>
          <w:tcPr>
            <w:tcW w:w="1889" w:type="pct"/>
            <w:vMerge/>
            <w:vAlign w:val="center"/>
          </w:tcPr>
          <w:p w:rsidR="006006CB" w:rsidRDefault="006006CB">
            <w:pPr>
              <w:widowControl/>
              <w:jc w:val="left"/>
              <w:rPr>
                <w:rFonts w:ascii="Arial Narrow" w:hAnsi="Arial Narrow"/>
                <w:b/>
                <w:sz w:val="20"/>
              </w:rPr>
            </w:pPr>
          </w:p>
        </w:tc>
        <w:tc>
          <w:tcPr>
            <w:tcW w:w="1015" w:type="pct"/>
            <w:vAlign w:val="center"/>
          </w:tcPr>
          <w:p w:rsidR="006006CB" w:rsidRDefault="00D10D78">
            <w:pPr>
              <w:widowControl/>
              <w:jc w:val="center"/>
              <w:rPr>
                <w:rFonts w:ascii="Arial Narrow" w:hAnsi="Arial Narrow"/>
                <w:b/>
                <w:sz w:val="20"/>
              </w:rPr>
            </w:pPr>
            <w:r>
              <w:rPr>
                <w:rFonts w:ascii="Arial Narrow" w:hAnsi="Arial Narrow"/>
                <w:b/>
                <w:sz w:val="20"/>
              </w:rPr>
              <w:t>Lanreotide</w:t>
            </w:r>
          </w:p>
        </w:tc>
        <w:tc>
          <w:tcPr>
            <w:tcW w:w="1092" w:type="pct"/>
          </w:tcPr>
          <w:p w:rsidR="006006CB" w:rsidRDefault="00D10D78">
            <w:pPr>
              <w:widowControl/>
              <w:jc w:val="center"/>
              <w:rPr>
                <w:rFonts w:ascii="Arial Narrow" w:hAnsi="Arial Narrow"/>
                <w:b/>
                <w:sz w:val="20"/>
              </w:rPr>
            </w:pPr>
            <w:r>
              <w:rPr>
                <w:rFonts w:ascii="Arial Narrow" w:hAnsi="Arial Narrow"/>
                <w:b/>
                <w:sz w:val="20"/>
              </w:rPr>
              <w:t>Placebo</w:t>
            </w:r>
          </w:p>
        </w:tc>
        <w:tc>
          <w:tcPr>
            <w:tcW w:w="1004" w:type="pct"/>
            <w:vMerge/>
            <w:vAlign w:val="center"/>
          </w:tcPr>
          <w:p w:rsidR="006006CB" w:rsidRDefault="006006CB">
            <w:pPr>
              <w:widowControl/>
              <w:jc w:val="center"/>
              <w:rPr>
                <w:rFonts w:ascii="Arial Narrow" w:hAnsi="Arial Narrow"/>
                <w:b/>
                <w:sz w:val="20"/>
              </w:rPr>
            </w:pPr>
          </w:p>
        </w:tc>
      </w:tr>
      <w:tr w:rsidR="006006CB" w:rsidTr="00EF25F3">
        <w:tc>
          <w:tcPr>
            <w:tcW w:w="1889" w:type="pct"/>
            <w:vAlign w:val="center"/>
          </w:tcPr>
          <w:p w:rsidR="006006CB" w:rsidRDefault="00D10D78">
            <w:pPr>
              <w:widowControl/>
              <w:jc w:val="left"/>
              <w:rPr>
                <w:rFonts w:ascii="Arial Narrow" w:hAnsi="Arial Narrow"/>
                <w:b/>
                <w:sz w:val="20"/>
              </w:rPr>
            </w:pPr>
            <w:r>
              <w:rPr>
                <w:rFonts w:ascii="Arial Narrow" w:hAnsi="Arial Narrow"/>
                <w:b/>
                <w:sz w:val="20"/>
              </w:rPr>
              <w:t>Full analysis set</w:t>
            </w:r>
          </w:p>
        </w:tc>
        <w:tc>
          <w:tcPr>
            <w:tcW w:w="1015" w:type="pct"/>
            <w:vAlign w:val="center"/>
          </w:tcPr>
          <w:p w:rsidR="006006CB" w:rsidRDefault="00D10D78">
            <w:pPr>
              <w:widowControl/>
              <w:jc w:val="center"/>
              <w:rPr>
                <w:rFonts w:ascii="Arial Narrow" w:hAnsi="Arial Narrow"/>
                <w:b/>
                <w:sz w:val="20"/>
              </w:rPr>
            </w:pPr>
            <w:r>
              <w:rPr>
                <w:rFonts w:ascii="Arial Narrow" w:hAnsi="Arial Narrow"/>
                <w:b/>
                <w:sz w:val="20"/>
              </w:rPr>
              <w:t>N=101</w:t>
            </w:r>
          </w:p>
        </w:tc>
        <w:tc>
          <w:tcPr>
            <w:tcW w:w="1092" w:type="pct"/>
            <w:vAlign w:val="center"/>
          </w:tcPr>
          <w:p w:rsidR="006006CB" w:rsidRDefault="00D10D78">
            <w:pPr>
              <w:widowControl/>
              <w:jc w:val="center"/>
              <w:rPr>
                <w:rFonts w:ascii="Arial Narrow" w:hAnsi="Arial Narrow"/>
                <w:b/>
                <w:sz w:val="20"/>
              </w:rPr>
            </w:pPr>
            <w:r>
              <w:rPr>
                <w:rFonts w:ascii="Arial Narrow" w:hAnsi="Arial Narrow"/>
                <w:b/>
                <w:sz w:val="20"/>
              </w:rPr>
              <w:t>N=103</w:t>
            </w:r>
          </w:p>
        </w:tc>
        <w:tc>
          <w:tcPr>
            <w:tcW w:w="1004" w:type="pct"/>
            <w:vAlign w:val="center"/>
          </w:tcPr>
          <w:p w:rsidR="006006CB" w:rsidRDefault="006006CB">
            <w:pPr>
              <w:widowControl/>
              <w:jc w:val="left"/>
              <w:rPr>
                <w:rFonts w:ascii="Arial Narrow" w:hAnsi="Arial Narrow"/>
                <w:b/>
                <w:sz w:val="20"/>
              </w:rPr>
            </w:pPr>
          </w:p>
        </w:tc>
      </w:tr>
      <w:tr w:rsidR="006006CB" w:rsidTr="00EF25F3">
        <w:tc>
          <w:tcPr>
            <w:tcW w:w="1889" w:type="pct"/>
            <w:vAlign w:val="center"/>
          </w:tcPr>
          <w:p w:rsidR="006006CB" w:rsidRDefault="00D10D78">
            <w:pPr>
              <w:widowControl/>
              <w:jc w:val="left"/>
              <w:rPr>
                <w:rFonts w:ascii="Arial Narrow" w:hAnsi="Arial Narrow"/>
                <w:sz w:val="20"/>
              </w:rPr>
            </w:pPr>
            <w:r>
              <w:rPr>
                <w:rFonts w:ascii="Arial Narrow" w:hAnsi="Arial Narrow"/>
                <w:sz w:val="20"/>
              </w:rPr>
              <w:t>Progression free survival</w:t>
            </w:r>
          </w:p>
        </w:tc>
        <w:tc>
          <w:tcPr>
            <w:tcW w:w="1015" w:type="pct"/>
            <w:vAlign w:val="center"/>
          </w:tcPr>
          <w:p w:rsidR="006006CB" w:rsidRDefault="00D10D78">
            <w:pPr>
              <w:widowControl/>
              <w:jc w:val="center"/>
              <w:rPr>
                <w:rFonts w:ascii="Arial Narrow" w:hAnsi="Arial Narrow"/>
                <w:sz w:val="20"/>
              </w:rPr>
            </w:pPr>
            <w:r>
              <w:rPr>
                <w:rFonts w:ascii="Arial Narrow" w:hAnsi="Arial Narrow"/>
                <w:sz w:val="20"/>
              </w:rPr>
              <w:t>Not reached</w:t>
            </w:r>
          </w:p>
        </w:tc>
        <w:tc>
          <w:tcPr>
            <w:tcW w:w="1092" w:type="pct"/>
            <w:vAlign w:val="center"/>
          </w:tcPr>
          <w:p w:rsidR="006006CB" w:rsidRDefault="00D10D78">
            <w:pPr>
              <w:widowControl/>
              <w:jc w:val="center"/>
              <w:rPr>
                <w:rFonts w:ascii="Arial Narrow" w:hAnsi="Arial Narrow"/>
                <w:sz w:val="20"/>
              </w:rPr>
            </w:pPr>
            <w:r>
              <w:rPr>
                <w:rFonts w:ascii="Arial Narrow" w:hAnsi="Arial Narrow"/>
                <w:sz w:val="20"/>
              </w:rPr>
              <w:t>18.0 (12.1, 24.0)</w:t>
            </w:r>
          </w:p>
        </w:tc>
        <w:tc>
          <w:tcPr>
            <w:tcW w:w="1004" w:type="pct"/>
            <w:vAlign w:val="center"/>
          </w:tcPr>
          <w:p w:rsidR="006006CB" w:rsidRDefault="00D10D78">
            <w:pPr>
              <w:widowControl/>
              <w:jc w:val="center"/>
              <w:rPr>
                <w:rFonts w:ascii="Arial Narrow" w:hAnsi="Arial Narrow"/>
                <w:sz w:val="20"/>
              </w:rPr>
            </w:pPr>
            <w:r>
              <w:rPr>
                <w:rFonts w:ascii="Arial Narrow" w:hAnsi="Arial Narrow"/>
                <w:sz w:val="20"/>
              </w:rPr>
              <w:t>0.47 (0.30, 0.73)</w:t>
            </w:r>
          </w:p>
        </w:tc>
      </w:tr>
      <w:tr w:rsidR="006006CB" w:rsidTr="00EF25F3">
        <w:tc>
          <w:tcPr>
            <w:tcW w:w="1889" w:type="pct"/>
            <w:vAlign w:val="center"/>
          </w:tcPr>
          <w:p w:rsidR="006006CB" w:rsidRDefault="00D10D78">
            <w:pPr>
              <w:widowControl/>
              <w:ind w:right="-108"/>
              <w:jc w:val="left"/>
              <w:rPr>
                <w:rFonts w:ascii="Arial Narrow" w:hAnsi="Arial Narrow"/>
                <w:sz w:val="20"/>
              </w:rPr>
            </w:pPr>
            <w:r>
              <w:rPr>
                <w:rFonts w:ascii="Arial Narrow" w:hAnsi="Arial Narrow"/>
                <w:b/>
                <w:sz w:val="20"/>
              </w:rPr>
              <w:t>Midgut tumours only</w:t>
            </w:r>
          </w:p>
        </w:tc>
        <w:tc>
          <w:tcPr>
            <w:tcW w:w="1015" w:type="pct"/>
            <w:vAlign w:val="center"/>
          </w:tcPr>
          <w:p w:rsidR="006006CB" w:rsidRDefault="00D10D78">
            <w:pPr>
              <w:widowControl/>
              <w:jc w:val="center"/>
              <w:rPr>
                <w:rFonts w:ascii="Arial Narrow" w:hAnsi="Arial Narrow"/>
                <w:sz w:val="20"/>
              </w:rPr>
            </w:pPr>
            <w:r>
              <w:rPr>
                <w:rFonts w:ascii="Arial Narrow" w:hAnsi="Arial Narrow"/>
                <w:b/>
                <w:sz w:val="20"/>
              </w:rPr>
              <w:t>N=33</w:t>
            </w:r>
          </w:p>
        </w:tc>
        <w:tc>
          <w:tcPr>
            <w:tcW w:w="1092" w:type="pct"/>
            <w:vAlign w:val="center"/>
          </w:tcPr>
          <w:p w:rsidR="006006CB" w:rsidRDefault="00D10D78">
            <w:pPr>
              <w:widowControl/>
              <w:jc w:val="center"/>
              <w:rPr>
                <w:rFonts w:ascii="Arial Narrow" w:hAnsi="Arial Narrow"/>
                <w:sz w:val="20"/>
              </w:rPr>
            </w:pPr>
            <w:r>
              <w:rPr>
                <w:rFonts w:ascii="Arial Narrow" w:hAnsi="Arial Narrow"/>
                <w:b/>
                <w:sz w:val="20"/>
              </w:rPr>
              <w:t>N=40</w:t>
            </w:r>
          </w:p>
        </w:tc>
        <w:tc>
          <w:tcPr>
            <w:tcW w:w="1004" w:type="pct"/>
            <w:vAlign w:val="center"/>
          </w:tcPr>
          <w:p w:rsidR="006006CB" w:rsidRDefault="006006CB">
            <w:pPr>
              <w:widowControl/>
              <w:jc w:val="center"/>
              <w:rPr>
                <w:rFonts w:ascii="Arial Narrow" w:hAnsi="Arial Narrow"/>
                <w:sz w:val="20"/>
              </w:rPr>
            </w:pPr>
          </w:p>
        </w:tc>
      </w:tr>
      <w:tr w:rsidR="006006CB" w:rsidTr="00EF25F3">
        <w:tc>
          <w:tcPr>
            <w:tcW w:w="1889" w:type="pct"/>
            <w:vAlign w:val="center"/>
          </w:tcPr>
          <w:p w:rsidR="006006CB" w:rsidRDefault="00D10D78">
            <w:pPr>
              <w:widowControl/>
              <w:ind w:right="-108"/>
              <w:jc w:val="left"/>
              <w:rPr>
                <w:rFonts w:ascii="Arial Narrow" w:hAnsi="Arial Narrow"/>
                <w:sz w:val="20"/>
              </w:rPr>
            </w:pPr>
            <w:r>
              <w:rPr>
                <w:rFonts w:ascii="Arial Narrow" w:hAnsi="Arial Narrow"/>
                <w:sz w:val="20"/>
              </w:rPr>
              <w:t>Progression free survival</w:t>
            </w:r>
          </w:p>
        </w:tc>
        <w:tc>
          <w:tcPr>
            <w:tcW w:w="1015" w:type="pct"/>
          </w:tcPr>
          <w:p w:rsidR="006006CB" w:rsidRDefault="00D10D78">
            <w:pPr>
              <w:widowControl/>
              <w:jc w:val="center"/>
              <w:rPr>
                <w:rFonts w:ascii="Arial Narrow" w:hAnsi="Arial Narrow"/>
                <w:sz w:val="20"/>
              </w:rPr>
            </w:pPr>
            <w:r>
              <w:rPr>
                <w:rFonts w:ascii="Arial Narrow" w:hAnsi="Arial Narrow"/>
                <w:sz w:val="20"/>
              </w:rPr>
              <w:t>Not reached</w:t>
            </w:r>
          </w:p>
        </w:tc>
        <w:tc>
          <w:tcPr>
            <w:tcW w:w="1092" w:type="pct"/>
          </w:tcPr>
          <w:p w:rsidR="006006CB" w:rsidRDefault="00D10D78">
            <w:pPr>
              <w:widowControl/>
              <w:jc w:val="center"/>
              <w:rPr>
                <w:rFonts w:ascii="Arial Narrow" w:hAnsi="Arial Narrow"/>
                <w:sz w:val="20"/>
              </w:rPr>
            </w:pPr>
            <w:r>
              <w:rPr>
                <w:rFonts w:ascii="Arial Narrow" w:hAnsi="Arial Narrow"/>
                <w:sz w:val="20"/>
              </w:rPr>
              <w:t>21.1 (17.0, NE)</w:t>
            </w:r>
          </w:p>
        </w:tc>
        <w:tc>
          <w:tcPr>
            <w:tcW w:w="1004" w:type="pct"/>
            <w:vAlign w:val="center"/>
          </w:tcPr>
          <w:p w:rsidR="006006CB" w:rsidRDefault="00D10D78">
            <w:pPr>
              <w:widowControl/>
              <w:jc w:val="center"/>
              <w:rPr>
                <w:rFonts w:ascii="Arial Narrow" w:hAnsi="Arial Narrow"/>
                <w:sz w:val="20"/>
              </w:rPr>
            </w:pPr>
            <w:r>
              <w:rPr>
                <w:rFonts w:ascii="Arial Narrow" w:hAnsi="Arial Narrow"/>
                <w:sz w:val="20"/>
              </w:rPr>
              <w:t>0.35 (0.16, 0.80)</w:t>
            </w:r>
          </w:p>
        </w:tc>
      </w:tr>
      <w:tr w:rsidR="006006CB" w:rsidTr="00EF25F3">
        <w:tc>
          <w:tcPr>
            <w:tcW w:w="1889" w:type="pct"/>
            <w:vAlign w:val="center"/>
          </w:tcPr>
          <w:p w:rsidR="006006CB" w:rsidRDefault="00D10D78">
            <w:pPr>
              <w:widowControl/>
              <w:ind w:right="-108"/>
              <w:jc w:val="left"/>
              <w:rPr>
                <w:rFonts w:ascii="Arial Narrow" w:hAnsi="Arial Narrow"/>
                <w:sz w:val="20"/>
              </w:rPr>
            </w:pPr>
            <w:r>
              <w:rPr>
                <w:rFonts w:ascii="Arial Narrow" w:hAnsi="Arial Narrow"/>
                <w:b/>
                <w:sz w:val="20"/>
              </w:rPr>
              <w:t>Non-midgut tumours</w:t>
            </w:r>
          </w:p>
        </w:tc>
        <w:tc>
          <w:tcPr>
            <w:tcW w:w="1015" w:type="pct"/>
            <w:vAlign w:val="center"/>
          </w:tcPr>
          <w:p w:rsidR="006006CB" w:rsidRDefault="00D10D78">
            <w:pPr>
              <w:widowControl/>
              <w:jc w:val="center"/>
              <w:rPr>
                <w:rFonts w:ascii="Arial Narrow" w:hAnsi="Arial Narrow"/>
                <w:b/>
                <w:sz w:val="20"/>
              </w:rPr>
            </w:pPr>
            <w:r>
              <w:rPr>
                <w:rFonts w:ascii="Arial Narrow" w:hAnsi="Arial Narrow"/>
                <w:b/>
                <w:sz w:val="20"/>
              </w:rPr>
              <w:t>N=68</w:t>
            </w:r>
          </w:p>
        </w:tc>
        <w:tc>
          <w:tcPr>
            <w:tcW w:w="1092" w:type="pct"/>
            <w:vAlign w:val="center"/>
          </w:tcPr>
          <w:p w:rsidR="006006CB" w:rsidRDefault="00D10D78">
            <w:pPr>
              <w:widowControl/>
              <w:jc w:val="center"/>
              <w:rPr>
                <w:rFonts w:ascii="Arial Narrow" w:hAnsi="Arial Narrow"/>
                <w:b/>
                <w:sz w:val="20"/>
              </w:rPr>
            </w:pPr>
            <w:r>
              <w:rPr>
                <w:rFonts w:ascii="Arial Narrow" w:hAnsi="Arial Narrow"/>
                <w:b/>
                <w:sz w:val="20"/>
              </w:rPr>
              <w:t>N=63</w:t>
            </w:r>
          </w:p>
        </w:tc>
        <w:tc>
          <w:tcPr>
            <w:tcW w:w="1004" w:type="pct"/>
            <w:vAlign w:val="center"/>
          </w:tcPr>
          <w:p w:rsidR="006006CB" w:rsidRDefault="006006CB">
            <w:pPr>
              <w:widowControl/>
              <w:jc w:val="center"/>
              <w:rPr>
                <w:rFonts w:ascii="Arial Narrow" w:hAnsi="Arial Narrow"/>
                <w:sz w:val="20"/>
              </w:rPr>
            </w:pPr>
          </w:p>
        </w:tc>
      </w:tr>
      <w:tr w:rsidR="006006CB" w:rsidTr="00EF25F3">
        <w:tc>
          <w:tcPr>
            <w:tcW w:w="1889" w:type="pct"/>
            <w:vAlign w:val="center"/>
          </w:tcPr>
          <w:p w:rsidR="006006CB" w:rsidRDefault="00D10D78">
            <w:pPr>
              <w:widowControl/>
              <w:ind w:right="-108"/>
              <w:jc w:val="left"/>
              <w:rPr>
                <w:rFonts w:ascii="Arial Narrow" w:hAnsi="Arial Narrow"/>
                <w:sz w:val="20"/>
              </w:rPr>
            </w:pPr>
            <w:r>
              <w:rPr>
                <w:rFonts w:ascii="Arial Narrow" w:hAnsi="Arial Narrow"/>
                <w:sz w:val="20"/>
              </w:rPr>
              <w:t>Progression free survival</w:t>
            </w:r>
          </w:p>
          <w:p w:rsidR="006006CB" w:rsidRDefault="00D10D78">
            <w:pPr>
              <w:widowControl/>
              <w:ind w:left="284" w:right="-108" w:hanging="284"/>
              <w:jc w:val="left"/>
              <w:rPr>
                <w:rFonts w:ascii="Arial Narrow" w:hAnsi="Arial Narrow"/>
                <w:sz w:val="20"/>
              </w:rPr>
            </w:pPr>
            <w:r>
              <w:rPr>
                <w:rFonts w:ascii="Arial Narrow" w:hAnsi="Arial Narrow"/>
                <w:sz w:val="20"/>
              </w:rPr>
              <w:tab/>
              <w:t>Pancreatic (n=91)</w:t>
            </w:r>
          </w:p>
          <w:p w:rsidR="006006CB" w:rsidRDefault="00D10D78">
            <w:pPr>
              <w:widowControl/>
              <w:ind w:left="284" w:right="-108" w:hanging="284"/>
              <w:jc w:val="left"/>
              <w:rPr>
                <w:rFonts w:ascii="Arial Narrow" w:hAnsi="Arial Narrow"/>
                <w:sz w:val="20"/>
              </w:rPr>
            </w:pPr>
            <w:r>
              <w:rPr>
                <w:rFonts w:ascii="Arial Narrow" w:hAnsi="Arial Narrow"/>
                <w:sz w:val="20"/>
              </w:rPr>
              <w:tab/>
              <w:t>Hindgut (n=14)</w:t>
            </w:r>
          </w:p>
          <w:p w:rsidR="006006CB" w:rsidRDefault="00D10D78">
            <w:pPr>
              <w:widowControl/>
              <w:ind w:left="284" w:right="-108" w:hanging="284"/>
              <w:jc w:val="left"/>
              <w:rPr>
                <w:rFonts w:ascii="Arial Narrow" w:hAnsi="Arial Narrow"/>
                <w:sz w:val="20"/>
              </w:rPr>
            </w:pPr>
            <w:r>
              <w:rPr>
                <w:rFonts w:ascii="Arial Narrow" w:hAnsi="Arial Narrow"/>
                <w:sz w:val="20"/>
              </w:rPr>
              <w:tab/>
              <w:t>Other/unknown (n=26)</w:t>
            </w:r>
          </w:p>
        </w:tc>
        <w:tc>
          <w:tcPr>
            <w:tcW w:w="1015" w:type="pct"/>
            <w:vAlign w:val="center"/>
          </w:tcPr>
          <w:p w:rsidR="006006CB" w:rsidRDefault="006006CB">
            <w:pPr>
              <w:widowControl/>
              <w:jc w:val="center"/>
              <w:rPr>
                <w:rFonts w:ascii="Arial Narrow" w:hAnsi="Arial Narrow"/>
                <w:sz w:val="20"/>
              </w:rPr>
            </w:pPr>
          </w:p>
          <w:p w:rsidR="006006CB" w:rsidRDefault="00D10D78">
            <w:pPr>
              <w:widowControl/>
              <w:jc w:val="center"/>
              <w:rPr>
                <w:rFonts w:ascii="Arial Narrow" w:hAnsi="Arial Narrow"/>
                <w:sz w:val="20"/>
              </w:rPr>
            </w:pPr>
            <w:r>
              <w:rPr>
                <w:rFonts w:ascii="Arial Narrow" w:hAnsi="Arial Narrow"/>
                <w:sz w:val="20"/>
              </w:rPr>
              <w:t>Not reached (n=42)</w:t>
            </w:r>
          </w:p>
          <w:p w:rsidR="006006CB" w:rsidRDefault="00D10D78">
            <w:pPr>
              <w:widowControl/>
              <w:jc w:val="center"/>
              <w:rPr>
                <w:rFonts w:ascii="Arial Narrow" w:hAnsi="Arial Narrow"/>
                <w:sz w:val="20"/>
              </w:rPr>
            </w:pPr>
            <w:r>
              <w:rPr>
                <w:rFonts w:ascii="Arial Narrow" w:hAnsi="Arial Narrow"/>
                <w:sz w:val="20"/>
              </w:rPr>
              <w:t>Not reached (n=11)</w:t>
            </w:r>
          </w:p>
          <w:p w:rsidR="006006CB" w:rsidRDefault="00D10D78">
            <w:pPr>
              <w:widowControl/>
              <w:jc w:val="center"/>
              <w:rPr>
                <w:rFonts w:ascii="Arial Narrow" w:hAnsi="Arial Narrow"/>
                <w:sz w:val="20"/>
              </w:rPr>
            </w:pPr>
            <w:r>
              <w:rPr>
                <w:rFonts w:ascii="Arial Narrow" w:hAnsi="Arial Narrow"/>
                <w:sz w:val="20"/>
              </w:rPr>
              <w:t>Not reached (n=15)</w:t>
            </w:r>
          </w:p>
        </w:tc>
        <w:tc>
          <w:tcPr>
            <w:tcW w:w="1092" w:type="pct"/>
          </w:tcPr>
          <w:p w:rsidR="006006CB" w:rsidRDefault="006006CB">
            <w:pPr>
              <w:widowControl/>
              <w:jc w:val="center"/>
              <w:rPr>
                <w:rFonts w:ascii="Arial Narrow" w:hAnsi="Arial Narrow"/>
                <w:sz w:val="20"/>
              </w:rPr>
            </w:pPr>
          </w:p>
          <w:p w:rsidR="006006CB" w:rsidRDefault="00D10D78">
            <w:pPr>
              <w:widowControl/>
              <w:jc w:val="center"/>
              <w:rPr>
                <w:rFonts w:ascii="Arial Narrow" w:hAnsi="Arial Narrow"/>
                <w:sz w:val="20"/>
              </w:rPr>
            </w:pPr>
            <w:r>
              <w:rPr>
                <w:rFonts w:ascii="Arial Narrow" w:hAnsi="Arial Narrow"/>
                <w:sz w:val="20"/>
              </w:rPr>
              <w:t>12.1 (9.4, 18.3), (n=49)</w:t>
            </w:r>
          </w:p>
          <w:p w:rsidR="006006CB" w:rsidRDefault="00D10D78">
            <w:pPr>
              <w:widowControl/>
              <w:jc w:val="center"/>
              <w:rPr>
                <w:rFonts w:ascii="Arial Narrow" w:hAnsi="Arial Narrow"/>
                <w:sz w:val="20"/>
              </w:rPr>
            </w:pPr>
            <w:r>
              <w:rPr>
                <w:rFonts w:ascii="Arial Narrow" w:hAnsi="Arial Narrow"/>
                <w:sz w:val="20"/>
              </w:rPr>
              <w:t>24.0 (NR), (n=3)</w:t>
            </w:r>
          </w:p>
          <w:p w:rsidR="006006CB" w:rsidRDefault="00D10D78">
            <w:pPr>
              <w:widowControl/>
              <w:jc w:val="center"/>
              <w:rPr>
                <w:rFonts w:ascii="Arial Narrow" w:hAnsi="Arial Narrow"/>
                <w:sz w:val="20"/>
              </w:rPr>
            </w:pPr>
            <w:r>
              <w:rPr>
                <w:rFonts w:ascii="Arial Narrow" w:hAnsi="Arial Narrow"/>
                <w:sz w:val="20"/>
              </w:rPr>
              <w:t>15.0 (NR), (n=11)</w:t>
            </w:r>
          </w:p>
        </w:tc>
        <w:tc>
          <w:tcPr>
            <w:tcW w:w="1004" w:type="pct"/>
          </w:tcPr>
          <w:p w:rsidR="006006CB" w:rsidRDefault="006006CB">
            <w:pPr>
              <w:widowControl/>
              <w:jc w:val="center"/>
              <w:rPr>
                <w:rFonts w:ascii="Arial Narrow" w:hAnsi="Arial Narrow"/>
                <w:sz w:val="20"/>
              </w:rPr>
            </w:pPr>
          </w:p>
          <w:p w:rsidR="006006CB" w:rsidRDefault="00D10D78">
            <w:pPr>
              <w:widowControl/>
              <w:jc w:val="center"/>
              <w:rPr>
                <w:rFonts w:ascii="Arial Narrow" w:hAnsi="Arial Narrow"/>
                <w:sz w:val="20"/>
              </w:rPr>
            </w:pPr>
            <w:r>
              <w:rPr>
                <w:rFonts w:ascii="Arial Narrow" w:hAnsi="Arial Narrow"/>
                <w:sz w:val="20"/>
              </w:rPr>
              <w:t>0.58 (0.32, 1.04)</w:t>
            </w:r>
          </w:p>
          <w:p w:rsidR="006006CB" w:rsidRDefault="00D10D78">
            <w:pPr>
              <w:widowControl/>
              <w:jc w:val="center"/>
              <w:rPr>
                <w:rFonts w:ascii="Arial Narrow" w:hAnsi="Arial Narrow"/>
                <w:sz w:val="20"/>
              </w:rPr>
            </w:pPr>
            <w:r>
              <w:rPr>
                <w:rFonts w:ascii="Arial Narrow" w:hAnsi="Arial Narrow"/>
                <w:sz w:val="20"/>
              </w:rPr>
              <w:t>1.47 (0.16, 13.24)</w:t>
            </w:r>
          </w:p>
          <w:p w:rsidR="006006CB" w:rsidRDefault="00D10D78">
            <w:pPr>
              <w:widowControl/>
              <w:jc w:val="center"/>
              <w:rPr>
                <w:rFonts w:ascii="Arial Narrow" w:hAnsi="Arial Narrow"/>
                <w:sz w:val="20"/>
              </w:rPr>
            </w:pPr>
            <w:r>
              <w:rPr>
                <w:rFonts w:ascii="Arial Narrow" w:hAnsi="Arial Narrow"/>
                <w:sz w:val="20"/>
              </w:rPr>
              <w:t>0.21 (0.04, 1.03)</w:t>
            </w:r>
          </w:p>
        </w:tc>
      </w:tr>
    </w:tbl>
    <w:p w:rsidR="006006CB" w:rsidRDefault="00D10D78">
      <w:pPr>
        <w:pStyle w:val="TableFooter"/>
        <w:widowControl/>
      </w:pPr>
      <w:r>
        <w:t>Abbreviations: CI, confidence interval; HR, hazard ratio; NE, not estimable; NR, not reported</w:t>
      </w:r>
    </w:p>
    <w:p w:rsidR="006006CB" w:rsidRDefault="00D10D78">
      <w:pPr>
        <w:pStyle w:val="TableFooter"/>
        <w:widowControl/>
      </w:pPr>
      <w:r>
        <w:t>Source: Table 16, p36; Table 17, p37; Table 18, pp37-38 of the submission, relevant CLARINET publications</w:t>
      </w:r>
    </w:p>
    <w:p w:rsidR="006006CB" w:rsidRDefault="006006CB">
      <w:pPr>
        <w:pStyle w:val="TableFooter"/>
        <w:widowControl/>
      </w:pPr>
    </w:p>
    <w:p w:rsidR="006006CB" w:rsidRDefault="00D10D78">
      <w:pPr>
        <w:pStyle w:val="ListParagraph"/>
        <w:widowControl/>
        <w:numPr>
          <w:ilvl w:val="1"/>
          <w:numId w:val="1"/>
        </w:numPr>
      </w:pPr>
      <w:r>
        <w:t xml:space="preserve">Similar results to the overall CLARINET population were observed for PFS in the subgroup of patients with midgut tumours. It is difficult to compare the results across tumours of different origins given the small sample sizes and wide confidence </w:t>
      </w:r>
      <w:r>
        <w:lastRenderedPageBreak/>
        <w:t>intervals, and due to median PFS not being reached for the lanreotide arm of any sub-group in the trial.</w:t>
      </w:r>
    </w:p>
    <w:p w:rsidR="006006CB" w:rsidRDefault="00D10D78">
      <w:pPr>
        <w:pStyle w:val="ListParagraph"/>
        <w:widowControl/>
        <w:numPr>
          <w:ilvl w:val="1"/>
          <w:numId w:val="1"/>
        </w:numPr>
      </w:pPr>
      <w:r>
        <w:t xml:space="preserve">Results of the indirect comparison of octreotide and lanreotide for PFS for all patients and for the more PBS-relevant patient subgroups are presented in Table 7. There were insufficient data to enable an indirect comparison of octreotide and lanreotide for OS. Similar to the octreotide PROMID trial, there were no statistically significant differences in overall survival between the lanreotide and placebo treatment arms in CLARINET and the analysis was complicated by crossover from the placebo group to the lanreotide group. </w:t>
      </w:r>
    </w:p>
    <w:p w:rsidR="006006CB" w:rsidRDefault="00D10D78">
      <w:pPr>
        <w:pStyle w:val="ListParagraph"/>
        <w:widowControl/>
        <w:numPr>
          <w:ilvl w:val="1"/>
          <w:numId w:val="1"/>
        </w:numPr>
      </w:pPr>
      <w:r>
        <w:t>The submission presented results from PROMID that excluded those patients with tumours of “other” or “unknown” origin, which were all of suspected midgut origin. PFS results for tumours of midgut and suspected midgut origin were included during the evaluation.</w:t>
      </w:r>
    </w:p>
    <w:p w:rsidR="00EF25F3" w:rsidRDefault="00EF25F3" w:rsidP="00EF25F3">
      <w:pPr>
        <w:pStyle w:val="PBACTableTextBoldLeft"/>
      </w:pPr>
      <w:r>
        <w:t xml:space="preserve">Table </w:t>
      </w:r>
      <w:r>
        <w:fldChar w:fldCharType="begin"/>
      </w:r>
      <w:r>
        <w:instrText xml:space="preserve"> SEQ Table \* ARABIC </w:instrText>
      </w:r>
      <w:r>
        <w:fldChar w:fldCharType="separate"/>
      </w:r>
      <w:r w:rsidR="0000118A">
        <w:rPr>
          <w:noProof/>
        </w:rPr>
        <w:t>7</w:t>
      </w:r>
      <w:r>
        <w:fldChar w:fldCharType="end"/>
      </w:r>
      <w:r w:rsidRPr="00B87B8C">
        <w:t>: Results of the indirect comparison for progression-free survival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7: Results of the indirect comparison for progression-free survival"/>
      </w:tblPr>
      <w:tblGrid>
        <w:gridCol w:w="1290"/>
        <w:gridCol w:w="1546"/>
        <w:gridCol w:w="1546"/>
        <w:gridCol w:w="1546"/>
        <w:gridCol w:w="1547"/>
        <w:gridCol w:w="1542"/>
      </w:tblGrid>
      <w:tr w:rsidR="006006CB" w:rsidTr="00EF25F3">
        <w:tc>
          <w:tcPr>
            <w:tcW w:w="716" w:type="pct"/>
            <w:vMerge w:val="restart"/>
            <w:tcBorders>
              <w:top w:val="single" w:sz="4" w:space="0" w:color="auto"/>
              <w:left w:val="single" w:sz="4" w:space="0" w:color="auto"/>
              <w:right w:val="single" w:sz="4" w:space="0" w:color="auto"/>
            </w:tcBorders>
            <w:tcMar>
              <w:right w:w="28" w:type="dxa"/>
            </w:tcMar>
            <w:vAlign w:val="center"/>
          </w:tcPr>
          <w:p w:rsidR="006006CB" w:rsidRDefault="00D10D78">
            <w:pPr>
              <w:pStyle w:val="TableText1"/>
              <w:spacing w:before="0" w:after="0"/>
              <w:rPr>
                <w:rFonts w:cs="Arial"/>
                <w:b/>
              </w:rPr>
            </w:pPr>
            <w:r>
              <w:rPr>
                <w:rFonts w:cs="Arial"/>
                <w:b/>
              </w:rPr>
              <w:t>Trial</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Heading"/>
              <w:spacing w:before="0" w:after="0"/>
              <w:jc w:val="center"/>
              <w:rPr>
                <w:rFonts w:cs="Arial"/>
              </w:rPr>
            </w:pPr>
            <w:r>
              <w:rPr>
                <w:rFonts w:cs="Arial"/>
              </w:rPr>
              <w:t>Octreotide</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Heading"/>
              <w:spacing w:before="0" w:after="0"/>
              <w:jc w:val="center"/>
              <w:rPr>
                <w:rFonts w:cs="Arial"/>
              </w:rPr>
            </w:pPr>
            <w:r>
              <w:rPr>
                <w:rFonts w:cs="Arial"/>
              </w:rPr>
              <w:t>Placebo</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Heading"/>
              <w:spacing w:before="0" w:after="0"/>
              <w:jc w:val="center"/>
              <w:rPr>
                <w:rFonts w:cs="Arial"/>
              </w:rPr>
            </w:pPr>
            <w:r>
              <w:rPr>
                <w:rFonts w:cs="Arial"/>
              </w:rPr>
              <w:t>Lanreotide</w:t>
            </w:r>
          </w:p>
        </w:tc>
        <w:tc>
          <w:tcPr>
            <w:tcW w:w="857" w:type="pct"/>
            <w:vMerge w:val="restart"/>
            <w:tcBorders>
              <w:top w:val="single" w:sz="4" w:space="0" w:color="auto"/>
              <w:left w:val="single" w:sz="4" w:space="0" w:color="auto"/>
              <w:right w:val="single" w:sz="4" w:space="0" w:color="auto"/>
            </w:tcBorders>
            <w:vAlign w:val="center"/>
          </w:tcPr>
          <w:p w:rsidR="006006CB" w:rsidRDefault="00D10D78">
            <w:pPr>
              <w:pStyle w:val="TableHeading"/>
              <w:spacing w:before="0" w:after="0"/>
              <w:jc w:val="center"/>
              <w:rPr>
                <w:rFonts w:cs="Arial"/>
              </w:rPr>
            </w:pPr>
            <w:r>
              <w:rPr>
                <w:rFonts w:cs="Arial"/>
              </w:rPr>
              <w:t>HR</w:t>
            </w:r>
            <w:r>
              <w:rPr>
                <w:rFonts w:cs="Arial"/>
              </w:rPr>
              <w:br/>
              <w:t>(95% CI)</w:t>
            </w:r>
          </w:p>
        </w:tc>
        <w:tc>
          <w:tcPr>
            <w:tcW w:w="855" w:type="pct"/>
            <w:vMerge w:val="restart"/>
            <w:tcBorders>
              <w:top w:val="single" w:sz="4" w:space="0" w:color="auto"/>
              <w:left w:val="single" w:sz="4" w:space="0" w:color="auto"/>
              <w:right w:val="single" w:sz="4" w:space="0" w:color="auto"/>
            </w:tcBorders>
            <w:vAlign w:val="center"/>
          </w:tcPr>
          <w:p w:rsidR="006006CB" w:rsidRDefault="00D10D78">
            <w:pPr>
              <w:pStyle w:val="TableHeading"/>
              <w:spacing w:before="0" w:after="0"/>
              <w:jc w:val="center"/>
              <w:rPr>
                <w:rFonts w:cs="Arial"/>
              </w:rPr>
            </w:pPr>
            <w:r>
              <w:rPr>
                <w:rFonts w:cs="Arial"/>
              </w:rPr>
              <w:t>Indirect HR</w:t>
            </w:r>
          </w:p>
          <w:p w:rsidR="006006CB" w:rsidRDefault="00D10D78">
            <w:pPr>
              <w:pStyle w:val="TableHeading"/>
              <w:spacing w:before="0" w:after="0"/>
              <w:jc w:val="center"/>
              <w:rPr>
                <w:rFonts w:cs="Arial"/>
              </w:rPr>
            </w:pPr>
            <w:r>
              <w:rPr>
                <w:rFonts w:cs="Arial"/>
              </w:rPr>
              <w:t>(95% CI)</w:t>
            </w:r>
          </w:p>
        </w:tc>
      </w:tr>
      <w:tr w:rsidR="006006CB" w:rsidTr="00EF25F3">
        <w:tc>
          <w:tcPr>
            <w:tcW w:w="716" w:type="pct"/>
            <w:vMerge/>
            <w:tcBorders>
              <w:left w:val="single" w:sz="4" w:space="0" w:color="auto"/>
              <w:bottom w:val="single" w:sz="4" w:space="0" w:color="auto"/>
              <w:right w:val="single" w:sz="4" w:space="0" w:color="auto"/>
            </w:tcBorders>
            <w:tcMar>
              <w:right w:w="28" w:type="dxa"/>
            </w:tcMar>
            <w:vAlign w:val="center"/>
          </w:tcPr>
          <w:p w:rsidR="006006CB" w:rsidRDefault="006006CB">
            <w:pPr>
              <w:pStyle w:val="TableText1"/>
              <w:spacing w:before="0" w:after="0"/>
              <w:rPr>
                <w:rFonts w:cs="Arial"/>
                <w:b/>
              </w:rPr>
            </w:pPr>
          </w:p>
        </w:tc>
        <w:tc>
          <w:tcPr>
            <w:tcW w:w="2571" w:type="pct"/>
            <w:gridSpan w:val="3"/>
            <w:tcBorders>
              <w:top w:val="single" w:sz="4" w:space="0" w:color="auto"/>
              <w:left w:val="single" w:sz="4" w:space="0" w:color="auto"/>
              <w:bottom w:val="single" w:sz="4" w:space="0" w:color="auto"/>
              <w:right w:val="single" w:sz="4" w:space="0" w:color="auto"/>
            </w:tcBorders>
            <w:vAlign w:val="center"/>
          </w:tcPr>
          <w:p w:rsidR="006006CB" w:rsidRDefault="00D10D78">
            <w:pPr>
              <w:pStyle w:val="TableHeading"/>
              <w:spacing w:before="0" w:after="0"/>
              <w:jc w:val="center"/>
              <w:rPr>
                <w:rFonts w:cs="Arial"/>
              </w:rPr>
            </w:pPr>
            <w:r>
              <w:rPr>
                <w:rFonts w:cs="Arial"/>
              </w:rPr>
              <w:t>Patients with progression, n (%)</w:t>
            </w:r>
          </w:p>
        </w:tc>
        <w:tc>
          <w:tcPr>
            <w:tcW w:w="857" w:type="pct"/>
            <w:vMerge/>
            <w:tcBorders>
              <w:left w:val="single" w:sz="4" w:space="0" w:color="auto"/>
              <w:bottom w:val="single" w:sz="4" w:space="0" w:color="auto"/>
              <w:right w:val="single" w:sz="4" w:space="0" w:color="auto"/>
            </w:tcBorders>
            <w:vAlign w:val="center"/>
          </w:tcPr>
          <w:p w:rsidR="006006CB" w:rsidRDefault="006006CB">
            <w:pPr>
              <w:pStyle w:val="TableHeading"/>
              <w:spacing w:before="0" w:after="0"/>
              <w:jc w:val="center"/>
              <w:rPr>
                <w:rFonts w:cs="Arial"/>
              </w:rPr>
            </w:pPr>
          </w:p>
        </w:tc>
        <w:tc>
          <w:tcPr>
            <w:tcW w:w="855" w:type="pct"/>
            <w:vMerge/>
            <w:tcBorders>
              <w:left w:val="single" w:sz="4" w:space="0" w:color="auto"/>
              <w:bottom w:val="single" w:sz="4" w:space="0" w:color="auto"/>
              <w:right w:val="single" w:sz="4" w:space="0" w:color="auto"/>
            </w:tcBorders>
            <w:vAlign w:val="center"/>
          </w:tcPr>
          <w:p w:rsidR="006006CB" w:rsidRDefault="006006CB">
            <w:pPr>
              <w:pStyle w:val="TableHeading"/>
              <w:spacing w:before="0" w:after="0"/>
              <w:jc w:val="center"/>
              <w:rPr>
                <w:rFonts w:cs="Arial"/>
              </w:rPr>
            </w:pPr>
          </w:p>
        </w:tc>
      </w:tr>
      <w:tr w:rsidR="006006CB">
        <w:tc>
          <w:tcPr>
            <w:tcW w:w="5000" w:type="pct"/>
            <w:gridSpan w:val="6"/>
            <w:tcBorders>
              <w:top w:val="single" w:sz="4" w:space="0" w:color="auto"/>
              <w:left w:val="single" w:sz="4" w:space="0" w:color="auto"/>
              <w:bottom w:val="single" w:sz="4" w:space="0" w:color="auto"/>
            </w:tcBorders>
            <w:tcMar>
              <w:right w:w="28" w:type="dxa"/>
            </w:tcMar>
            <w:vAlign w:val="center"/>
          </w:tcPr>
          <w:p w:rsidR="006006CB" w:rsidRDefault="00D10D78">
            <w:pPr>
              <w:pStyle w:val="TableText1"/>
              <w:spacing w:before="0" w:after="0"/>
              <w:rPr>
                <w:rFonts w:cs="Arial"/>
                <w:b/>
              </w:rPr>
            </w:pPr>
            <w:r>
              <w:rPr>
                <w:rFonts w:cs="Arial"/>
                <w:b/>
              </w:rPr>
              <w:t>All patients (full analysis set)</w:t>
            </w:r>
          </w:p>
        </w:tc>
      </w:tr>
      <w:tr w:rsidR="006006CB" w:rsidTr="00EF25F3">
        <w:tc>
          <w:tcPr>
            <w:tcW w:w="716" w:type="pct"/>
            <w:tcBorders>
              <w:top w:val="single" w:sz="4" w:space="0" w:color="auto"/>
              <w:left w:val="single" w:sz="4" w:space="0" w:color="auto"/>
              <w:bottom w:val="single" w:sz="4" w:space="0" w:color="auto"/>
              <w:right w:val="single" w:sz="4" w:space="0" w:color="auto"/>
            </w:tcBorders>
            <w:tcMar>
              <w:right w:w="28" w:type="dxa"/>
            </w:tcMar>
            <w:vAlign w:val="center"/>
          </w:tcPr>
          <w:p w:rsidR="006006CB" w:rsidRDefault="00D10D78">
            <w:pPr>
              <w:pStyle w:val="TableText1"/>
              <w:spacing w:before="0" w:after="0"/>
              <w:rPr>
                <w:rFonts w:cs="Arial"/>
              </w:rPr>
            </w:pPr>
            <w:r>
              <w:rPr>
                <w:rFonts w:cs="Arial"/>
              </w:rPr>
              <w:t>PROMID</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26/42 (61.9)</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38/43 (88.4)</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highlight w:val="yellow"/>
              </w:rPr>
            </w:pPr>
            <w:r>
              <w:rPr>
                <w:rFonts w:cs="Arial"/>
              </w:rPr>
              <w:t>-</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0.36 (0.21, 0.61)</w:t>
            </w:r>
          </w:p>
        </w:tc>
        <w:tc>
          <w:tcPr>
            <w:tcW w:w="855"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w:t>
            </w:r>
          </w:p>
        </w:tc>
      </w:tr>
      <w:tr w:rsidR="006006CB" w:rsidTr="00EF25F3">
        <w:tc>
          <w:tcPr>
            <w:tcW w:w="716" w:type="pct"/>
            <w:tcBorders>
              <w:top w:val="single" w:sz="4" w:space="0" w:color="auto"/>
              <w:left w:val="single" w:sz="4" w:space="0" w:color="auto"/>
              <w:bottom w:val="single" w:sz="4" w:space="0" w:color="auto"/>
              <w:right w:val="single" w:sz="4" w:space="0" w:color="auto"/>
            </w:tcBorders>
            <w:tcMar>
              <w:right w:w="28" w:type="dxa"/>
            </w:tcMar>
            <w:vAlign w:val="center"/>
          </w:tcPr>
          <w:p w:rsidR="006006CB" w:rsidRDefault="00D10D78">
            <w:pPr>
              <w:pStyle w:val="TableText1"/>
              <w:spacing w:before="0" w:after="0"/>
              <w:rPr>
                <w:rFonts w:cs="Arial"/>
              </w:rPr>
            </w:pPr>
            <w:r>
              <w:rPr>
                <w:rFonts w:cs="Arial"/>
              </w:rPr>
              <w:t>CLARINET</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highlight w:val="yellow"/>
              </w:rPr>
            </w:pPr>
            <w:r>
              <w:rPr>
                <w:rFonts w:cs="Arial"/>
              </w:rPr>
              <w:t>-</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60/103 (58.3)</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32/101 (31.7)</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0.47 (0.30, 0.73)</w:t>
            </w:r>
          </w:p>
        </w:tc>
        <w:tc>
          <w:tcPr>
            <w:tcW w:w="855"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w:t>
            </w:r>
          </w:p>
        </w:tc>
      </w:tr>
      <w:tr w:rsidR="006006CB">
        <w:tc>
          <w:tcPr>
            <w:tcW w:w="4145" w:type="pct"/>
            <w:gridSpan w:val="5"/>
            <w:tcBorders>
              <w:top w:val="single" w:sz="4" w:space="0" w:color="auto"/>
              <w:left w:val="single" w:sz="4" w:space="0" w:color="auto"/>
              <w:bottom w:val="single" w:sz="4" w:space="0" w:color="auto"/>
              <w:right w:val="single" w:sz="4" w:space="0" w:color="auto"/>
            </w:tcBorders>
            <w:tcMar>
              <w:right w:w="28" w:type="dxa"/>
            </w:tcMar>
            <w:vAlign w:val="center"/>
          </w:tcPr>
          <w:p w:rsidR="006006CB" w:rsidRDefault="00D10D78">
            <w:pPr>
              <w:pStyle w:val="TableText1"/>
              <w:spacing w:before="0" w:after="0"/>
              <w:jc w:val="right"/>
              <w:rPr>
                <w:rFonts w:cs="Arial"/>
              </w:rPr>
            </w:pPr>
            <w:r>
              <w:rPr>
                <w:rFonts w:cs="Arial"/>
              </w:rPr>
              <w:t>Indirect analysis</w:t>
            </w:r>
          </w:p>
        </w:tc>
        <w:tc>
          <w:tcPr>
            <w:tcW w:w="855"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0.77 (0.38, 1.53)</w:t>
            </w:r>
          </w:p>
        </w:tc>
      </w:tr>
      <w:tr w:rsidR="006006CB">
        <w:tc>
          <w:tcPr>
            <w:tcW w:w="5000" w:type="pct"/>
            <w:gridSpan w:val="6"/>
            <w:tcBorders>
              <w:top w:val="single" w:sz="4" w:space="0" w:color="auto"/>
              <w:left w:val="single" w:sz="4" w:space="0" w:color="auto"/>
              <w:bottom w:val="single" w:sz="4" w:space="0" w:color="auto"/>
            </w:tcBorders>
            <w:tcMar>
              <w:right w:w="28" w:type="dxa"/>
            </w:tcMar>
            <w:vAlign w:val="center"/>
          </w:tcPr>
          <w:p w:rsidR="006006CB" w:rsidRDefault="00D10D78">
            <w:pPr>
              <w:pStyle w:val="TableText1"/>
              <w:spacing w:before="0" w:after="0"/>
              <w:rPr>
                <w:rFonts w:cs="Arial"/>
                <w:b/>
              </w:rPr>
            </w:pPr>
            <w:r>
              <w:rPr>
                <w:rFonts w:cs="Arial"/>
                <w:b/>
              </w:rPr>
              <w:t>Non-functional midgut tumours only</w:t>
            </w:r>
          </w:p>
        </w:tc>
      </w:tr>
      <w:tr w:rsidR="006006CB" w:rsidTr="00EF25F3">
        <w:tc>
          <w:tcPr>
            <w:tcW w:w="716" w:type="pct"/>
            <w:tcBorders>
              <w:top w:val="single" w:sz="4" w:space="0" w:color="auto"/>
              <w:left w:val="single" w:sz="4" w:space="0" w:color="auto"/>
              <w:bottom w:val="single" w:sz="4" w:space="0" w:color="auto"/>
              <w:right w:val="single" w:sz="4" w:space="0" w:color="auto"/>
            </w:tcBorders>
            <w:tcMar>
              <w:right w:w="28" w:type="dxa"/>
            </w:tcMar>
            <w:vAlign w:val="center"/>
          </w:tcPr>
          <w:p w:rsidR="006006CB" w:rsidRDefault="00D10D78">
            <w:pPr>
              <w:pStyle w:val="TableText1"/>
              <w:spacing w:before="0" w:after="0"/>
              <w:rPr>
                <w:rFonts w:cs="Arial"/>
              </w:rPr>
            </w:pPr>
            <w:r>
              <w:rPr>
                <w:rFonts w:cs="Arial"/>
              </w:rPr>
              <w:t>PROMID</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(NR)</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(NR)</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0.18 (0.07, 0.52)</w:t>
            </w:r>
          </w:p>
        </w:tc>
        <w:tc>
          <w:tcPr>
            <w:tcW w:w="855"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w:t>
            </w:r>
          </w:p>
        </w:tc>
      </w:tr>
      <w:tr w:rsidR="006006CB" w:rsidTr="00EF25F3">
        <w:tc>
          <w:tcPr>
            <w:tcW w:w="716" w:type="pct"/>
            <w:tcBorders>
              <w:top w:val="single" w:sz="4" w:space="0" w:color="auto"/>
              <w:left w:val="single" w:sz="4" w:space="0" w:color="auto"/>
              <w:bottom w:val="single" w:sz="4" w:space="0" w:color="auto"/>
              <w:right w:val="single" w:sz="4" w:space="0" w:color="auto"/>
            </w:tcBorders>
            <w:tcMar>
              <w:right w:w="28" w:type="dxa"/>
            </w:tcMar>
            <w:vAlign w:val="center"/>
          </w:tcPr>
          <w:p w:rsidR="006006CB" w:rsidRDefault="00D10D78">
            <w:pPr>
              <w:pStyle w:val="TableText1"/>
              <w:spacing w:before="0" w:after="0"/>
              <w:rPr>
                <w:rFonts w:cs="Arial"/>
              </w:rPr>
            </w:pPr>
            <w:r>
              <w:rPr>
                <w:rFonts w:cs="Arial"/>
              </w:rPr>
              <w:t>CLARINET</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21/40 (52.5)</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8/33 (24.2)</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0.35 (0.16, 0.80)</w:t>
            </w:r>
          </w:p>
        </w:tc>
        <w:tc>
          <w:tcPr>
            <w:tcW w:w="855"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w:t>
            </w:r>
          </w:p>
        </w:tc>
      </w:tr>
      <w:tr w:rsidR="006006CB">
        <w:tc>
          <w:tcPr>
            <w:tcW w:w="4145" w:type="pct"/>
            <w:gridSpan w:val="5"/>
            <w:tcBorders>
              <w:top w:val="single" w:sz="4" w:space="0" w:color="auto"/>
              <w:left w:val="single" w:sz="4" w:space="0" w:color="auto"/>
              <w:bottom w:val="single" w:sz="4" w:space="0" w:color="auto"/>
              <w:right w:val="single" w:sz="4" w:space="0" w:color="auto"/>
            </w:tcBorders>
            <w:tcMar>
              <w:right w:w="28" w:type="dxa"/>
            </w:tcMar>
            <w:vAlign w:val="center"/>
          </w:tcPr>
          <w:p w:rsidR="006006CB" w:rsidRDefault="00D10D78">
            <w:pPr>
              <w:pStyle w:val="TableText1"/>
              <w:spacing w:before="0" w:after="0"/>
              <w:jc w:val="right"/>
              <w:rPr>
                <w:rFonts w:cs="Arial"/>
              </w:rPr>
            </w:pPr>
            <w:r>
              <w:rPr>
                <w:rFonts w:cs="Arial"/>
              </w:rPr>
              <w:t>Indirect analysis</w:t>
            </w:r>
          </w:p>
        </w:tc>
        <w:tc>
          <w:tcPr>
            <w:tcW w:w="855"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0.51 (0.14, 1.86)</w:t>
            </w:r>
          </w:p>
        </w:tc>
      </w:tr>
      <w:tr w:rsidR="006006CB">
        <w:tc>
          <w:tcPr>
            <w:tcW w:w="5000" w:type="pct"/>
            <w:gridSpan w:val="6"/>
            <w:tcBorders>
              <w:top w:val="single" w:sz="4" w:space="0" w:color="auto"/>
              <w:left w:val="single" w:sz="4" w:space="0" w:color="auto"/>
              <w:bottom w:val="single" w:sz="4" w:space="0" w:color="auto"/>
              <w:right w:val="single" w:sz="4" w:space="0" w:color="auto"/>
            </w:tcBorders>
            <w:tcMar>
              <w:right w:w="28" w:type="dxa"/>
            </w:tcMar>
            <w:vAlign w:val="center"/>
          </w:tcPr>
          <w:p w:rsidR="006006CB" w:rsidRDefault="00D10D78">
            <w:pPr>
              <w:pStyle w:val="TableText1"/>
              <w:spacing w:before="0" w:after="0"/>
              <w:rPr>
                <w:rFonts w:cs="Arial"/>
              </w:rPr>
            </w:pPr>
            <w:r>
              <w:rPr>
                <w:rFonts w:cs="Arial"/>
                <w:b/>
              </w:rPr>
              <w:t>Non-functional tumours originating in the midgut (including other/unknown origin for PROMID)</w:t>
            </w:r>
          </w:p>
        </w:tc>
      </w:tr>
      <w:tr w:rsidR="006006CB" w:rsidTr="00EF25F3">
        <w:tc>
          <w:tcPr>
            <w:tcW w:w="716" w:type="pct"/>
            <w:tcBorders>
              <w:top w:val="single" w:sz="4" w:space="0" w:color="auto"/>
              <w:left w:val="single" w:sz="4" w:space="0" w:color="auto"/>
              <w:bottom w:val="single" w:sz="4" w:space="0" w:color="auto"/>
              <w:right w:val="single" w:sz="4" w:space="0" w:color="auto"/>
            </w:tcBorders>
            <w:tcMar>
              <w:right w:w="28" w:type="dxa"/>
            </w:tcMar>
            <w:vAlign w:val="center"/>
          </w:tcPr>
          <w:p w:rsidR="006006CB" w:rsidRDefault="00D10D78">
            <w:pPr>
              <w:pStyle w:val="TableText1"/>
              <w:spacing w:before="0" w:after="0"/>
              <w:rPr>
                <w:rFonts w:cs="Arial"/>
                <w:b/>
              </w:rPr>
            </w:pPr>
            <w:r>
              <w:rPr>
                <w:rFonts w:cs="Arial"/>
              </w:rPr>
              <w:t>PROMID*</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14/25 (56.0)</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24/27 (88.9)</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0.32 (0.15, 0.66)</w:t>
            </w:r>
          </w:p>
        </w:tc>
        <w:tc>
          <w:tcPr>
            <w:tcW w:w="855"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w:t>
            </w:r>
          </w:p>
        </w:tc>
      </w:tr>
      <w:tr w:rsidR="006006CB" w:rsidTr="00EF25F3">
        <w:tc>
          <w:tcPr>
            <w:tcW w:w="716" w:type="pct"/>
            <w:tcBorders>
              <w:top w:val="single" w:sz="4" w:space="0" w:color="auto"/>
              <w:left w:val="single" w:sz="4" w:space="0" w:color="auto"/>
              <w:bottom w:val="single" w:sz="4" w:space="0" w:color="auto"/>
              <w:right w:val="single" w:sz="4" w:space="0" w:color="auto"/>
            </w:tcBorders>
            <w:tcMar>
              <w:right w:w="28" w:type="dxa"/>
            </w:tcMar>
            <w:vAlign w:val="center"/>
          </w:tcPr>
          <w:p w:rsidR="006006CB" w:rsidRDefault="00D10D78">
            <w:pPr>
              <w:pStyle w:val="TableText1"/>
              <w:spacing w:before="0" w:after="0"/>
              <w:rPr>
                <w:rFonts w:cs="Arial"/>
              </w:rPr>
            </w:pPr>
            <w:r>
              <w:rPr>
                <w:rFonts w:cs="Arial"/>
              </w:rPr>
              <w:t>CLARINET</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21/40 (52.5)</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8/33 (24.2)</w:t>
            </w:r>
          </w:p>
        </w:tc>
        <w:tc>
          <w:tcPr>
            <w:tcW w:w="857"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0.35 (0.16, 0.80)</w:t>
            </w:r>
          </w:p>
        </w:tc>
        <w:tc>
          <w:tcPr>
            <w:tcW w:w="855"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w:t>
            </w:r>
          </w:p>
        </w:tc>
      </w:tr>
      <w:tr w:rsidR="006006CB">
        <w:tc>
          <w:tcPr>
            <w:tcW w:w="4145" w:type="pct"/>
            <w:gridSpan w:val="5"/>
            <w:tcBorders>
              <w:top w:val="single" w:sz="4" w:space="0" w:color="auto"/>
              <w:left w:val="single" w:sz="4" w:space="0" w:color="auto"/>
              <w:bottom w:val="single" w:sz="4" w:space="0" w:color="auto"/>
              <w:right w:val="single" w:sz="4" w:space="0" w:color="auto"/>
            </w:tcBorders>
            <w:tcMar>
              <w:right w:w="28" w:type="dxa"/>
            </w:tcMar>
            <w:vAlign w:val="center"/>
          </w:tcPr>
          <w:p w:rsidR="006006CB" w:rsidRDefault="00D10D78">
            <w:pPr>
              <w:pStyle w:val="TableText1"/>
              <w:spacing w:before="0" w:after="0"/>
              <w:jc w:val="right"/>
              <w:rPr>
                <w:rFonts w:cs="Arial"/>
              </w:rPr>
            </w:pPr>
            <w:r>
              <w:rPr>
                <w:rFonts w:cs="Arial"/>
              </w:rPr>
              <w:t>Indirect analysis</w:t>
            </w:r>
          </w:p>
        </w:tc>
        <w:tc>
          <w:tcPr>
            <w:tcW w:w="855" w:type="pct"/>
            <w:tcBorders>
              <w:top w:val="single" w:sz="4" w:space="0" w:color="auto"/>
              <w:left w:val="single" w:sz="4" w:space="0" w:color="auto"/>
              <w:bottom w:val="single" w:sz="4" w:space="0" w:color="auto"/>
              <w:right w:val="single" w:sz="4" w:space="0" w:color="auto"/>
            </w:tcBorders>
            <w:vAlign w:val="center"/>
          </w:tcPr>
          <w:p w:rsidR="006006CB" w:rsidRDefault="00D10D78">
            <w:pPr>
              <w:pStyle w:val="TableText1"/>
              <w:spacing w:before="0" w:after="0"/>
              <w:jc w:val="center"/>
              <w:rPr>
                <w:rFonts w:cs="Arial"/>
              </w:rPr>
            </w:pPr>
            <w:r>
              <w:rPr>
                <w:rFonts w:cs="Arial"/>
              </w:rPr>
              <w:t>0.91 (0.31, 2.73)*</w:t>
            </w:r>
          </w:p>
        </w:tc>
      </w:tr>
    </w:tbl>
    <w:p w:rsidR="006006CB" w:rsidRDefault="00D10D78">
      <w:pPr>
        <w:pStyle w:val="TableFooter"/>
        <w:widowControl/>
      </w:pPr>
      <w:r>
        <w:t>Note: Data cut-off June 2008.</w:t>
      </w:r>
    </w:p>
    <w:p w:rsidR="006006CB" w:rsidRDefault="00D10D78">
      <w:pPr>
        <w:pStyle w:val="TableFooter"/>
        <w:widowControl/>
      </w:pPr>
      <w:r>
        <w:t>*Results added during the evaluation.</w:t>
      </w:r>
    </w:p>
    <w:p w:rsidR="006006CB" w:rsidRDefault="00D10D78">
      <w:pPr>
        <w:pStyle w:val="TableFooter"/>
        <w:widowControl/>
      </w:pPr>
      <w:r>
        <w:t>Abbreviations: CI, confidence interval; HR, hazard ratio; NR, not reported</w:t>
      </w:r>
    </w:p>
    <w:p w:rsidR="006006CB" w:rsidRDefault="00D10D78">
      <w:pPr>
        <w:pStyle w:val="TableFooter"/>
        <w:widowControl/>
      </w:pPr>
      <w:r>
        <w:t>Source: Table 21, p41 of the submission; relevant trial reports and publications</w:t>
      </w:r>
    </w:p>
    <w:p w:rsidR="006006CB" w:rsidRDefault="006006CB">
      <w:pPr>
        <w:pStyle w:val="TableFooter"/>
        <w:widowControl/>
      </w:pPr>
    </w:p>
    <w:p w:rsidR="006006CB" w:rsidRDefault="00D10D78">
      <w:pPr>
        <w:pStyle w:val="ListParagraph"/>
        <w:widowControl/>
        <w:numPr>
          <w:ilvl w:val="1"/>
          <w:numId w:val="1"/>
        </w:numPr>
      </w:pPr>
      <w:r>
        <w:t>Point estimates and confidence intervals for octreotide and lanreotide versus placebo were similar for the subgroups of non-functional tumours of midgut or suspected midgut origin.</w:t>
      </w:r>
    </w:p>
    <w:p w:rsidR="006006CB" w:rsidRDefault="00D10D78">
      <w:pPr>
        <w:pStyle w:val="ListParagraph"/>
        <w:widowControl/>
        <w:numPr>
          <w:ilvl w:val="1"/>
          <w:numId w:val="1"/>
        </w:numPr>
      </w:pPr>
      <w:r>
        <w:t xml:space="preserve">There was limited power in the indirect comparisons of trial subgroups, resulting in wide confidence intervals that cannot exclude the possibility of inferiority. However, the sponsor acknowledged the limitations of the indirect comparison, given the two trials are not directly comparable, with different inclusion criteria, patients with different baseline characteristics, small patient numbers, and different measures of disease progression. The submission argued that the indirect analysis aimed to compare the most closely matched patients from each trial, and given the rarity of the condition, it is unlikely that there will be additional trial data generated in the future to enable a more robust comparison to be made. Nevertheless, differences in progression events in the placebo groups of the two trials suggest that the trials were </w:t>
      </w:r>
      <w:r>
        <w:lastRenderedPageBreak/>
        <w:t>not sufficiently comparable to conduct a reliable indirect analysis. Placebo group differences remained when trial subgroups were considered.</w:t>
      </w:r>
    </w:p>
    <w:p w:rsidR="006006CB" w:rsidRDefault="00D10D78">
      <w:pPr>
        <w:pStyle w:val="ListParagraph"/>
        <w:widowControl/>
        <w:numPr>
          <w:ilvl w:val="1"/>
          <w:numId w:val="1"/>
        </w:numPr>
      </w:pPr>
      <w:r>
        <w:t>Mean change from baseline in global quality of life scores were reported in the PROMID and CLARINET trials. Neither octreotide nor lanreotide treatment demonstrated a statistically significant difference in quality of life outcomes compared with placebo.</w:t>
      </w:r>
    </w:p>
    <w:p w:rsidR="006006CB" w:rsidRDefault="00D10D78">
      <w:pPr>
        <w:pStyle w:val="Heading2"/>
      </w:pPr>
      <w:bookmarkStart w:id="10" w:name="_Toc9329869"/>
      <w:r>
        <w:t>Comparative harms</w:t>
      </w:r>
      <w:bookmarkEnd w:id="10"/>
    </w:p>
    <w:p w:rsidR="006006CB" w:rsidRDefault="00D10D78">
      <w:pPr>
        <w:pStyle w:val="ListParagraph"/>
        <w:widowControl/>
        <w:numPr>
          <w:ilvl w:val="1"/>
          <w:numId w:val="1"/>
        </w:numPr>
      </w:pPr>
      <w:r>
        <w:t>Key adverse events from the PROMID and CLARINET trials are summarised in Table 8 below.</w:t>
      </w:r>
    </w:p>
    <w:p w:rsidR="00EF25F3" w:rsidRDefault="00EF25F3" w:rsidP="00EF25F3">
      <w:pPr>
        <w:pStyle w:val="PBACTableTextBoldLeft"/>
      </w:pPr>
      <w:r>
        <w:t xml:space="preserve">Table </w:t>
      </w:r>
      <w:r>
        <w:fldChar w:fldCharType="begin"/>
      </w:r>
      <w:r>
        <w:instrText xml:space="preserve"> SEQ Table \* ARABIC </w:instrText>
      </w:r>
      <w:r>
        <w:fldChar w:fldCharType="separate"/>
      </w:r>
      <w:r w:rsidR="0000118A">
        <w:rPr>
          <w:noProof/>
        </w:rPr>
        <w:t>8</w:t>
      </w:r>
      <w:r>
        <w:fldChar w:fldCharType="end"/>
      </w:r>
      <w:r w:rsidRPr="002A3FDA">
        <w:t>:  Summary of key adverse events in the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8:  Summary of key adverse events in the trials"/>
      </w:tblPr>
      <w:tblGrid>
        <w:gridCol w:w="3435"/>
        <w:gridCol w:w="1340"/>
        <w:gridCol w:w="1342"/>
        <w:gridCol w:w="1342"/>
        <w:gridCol w:w="1558"/>
      </w:tblGrid>
      <w:tr w:rsidR="006006CB">
        <w:trPr>
          <w:cantSplit/>
          <w:tblHeader/>
        </w:trPr>
        <w:tc>
          <w:tcPr>
            <w:tcW w:w="1905" w:type="pct"/>
            <w:vMerge w:val="restart"/>
            <w:shd w:val="clear" w:color="auto" w:fill="auto"/>
            <w:vAlign w:val="center"/>
          </w:tcPr>
          <w:p w:rsidR="006006CB" w:rsidRDefault="00D10D78">
            <w:pPr>
              <w:pStyle w:val="PBACTableTextBoldLeft"/>
              <w:spacing w:before="0" w:after="0"/>
              <w:rPr>
                <w:lang w:val="en-AU"/>
              </w:rPr>
            </w:pPr>
            <w:r>
              <w:rPr>
                <w:lang w:val="en-AU"/>
              </w:rPr>
              <w:t>Adverse event</w:t>
            </w:r>
          </w:p>
        </w:tc>
        <w:tc>
          <w:tcPr>
            <w:tcW w:w="1487" w:type="pct"/>
            <w:gridSpan w:val="2"/>
            <w:shd w:val="clear" w:color="auto" w:fill="auto"/>
          </w:tcPr>
          <w:p w:rsidR="006006CB" w:rsidRDefault="00D10D78">
            <w:pPr>
              <w:pStyle w:val="PBACTableTextBoldCentered"/>
              <w:spacing w:before="0" w:after="0"/>
              <w:rPr>
                <w:lang w:val="en-AU"/>
              </w:rPr>
            </w:pPr>
            <w:r>
              <w:rPr>
                <w:lang w:val="en-AU"/>
              </w:rPr>
              <w:t>PROMID</w:t>
            </w:r>
          </w:p>
        </w:tc>
        <w:tc>
          <w:tcPr>
            <w:tcW w:w="1608" w:type="pct"/>
            <w:gridSpan w:val="2"/>
          </w:tcPr>
          <w:p w:rsidR="006006CB" w:rsidRDefault="00D10D78">
            <w:pPr>
              <w:pStyle w:val="PBACTableTextBoldCentered"/>
              <w:spacing w:before="0" w:after="0"/>
              <w:rPr>
                <w:lang w:val="en-AU"/>
              </w:rPr>
            </w:pPr>
            <w:r>
              <w:rPr>
                <w:lang w:val="en-AU"/>
              </w:rPr>
              <w:t>CLARINET</w:t>
            </w:r>
          </w:p>
        </w:tc>
      </w:tr>
      <w:tr w:rsidR="006006CB">
        <w:trPr>
          <w:cantSplit/>
          <w:tblHeader/>
        </w:trPr>
        <w:tc>
          <w:tcPr>
            <w:tcW w:w="1905" w:type="pct"/>
            <w:vMerge/>
            <w:shd w:val="clear" w:color="auto" w:fill="auto"/>
            <w:vAlign w:val="center"/>
          </w:tcPr>
          <w:p w:rsidR="006006CB" w:rsidRDefault="006006CB">
            <w:pPr>
              <w:pStyle w:val="PBACTableTextBoldLeft"/>
              <w:spacing w:before="0" w:after="0"/>
              <w:rPr>
                <w:lang w:val="en-AU"/>
              </w:rPr>
            </w:pPr>
          </w:p>
        </w:tc>
        <w:tc>
          <w:tcPr>
            <w:tcW w:w="743" w:type="pct"/>
            <w:shd w:val="clear" w:color="auto" w:fill="auto"/>
          </w:tcPr>
          <w:p w:rsidR="006006CB" w:rsidRDefault="00D10D78">
            <w:pPr>
              <w:pStyle w:val="PBACTableTextBoldCentered"/>
              <w:spacing w:before="0" w:after="0"/>
              <w:rPr>
                <w:lang w:val="en-AU"/>
              </w:rPr>
            </w:pPr>
            <w:r>
              <w:rPr>
                <w:lang w:val="en-AU"/>
              </w:rPr>
              <w:t>Octreotide</w:t>
            </w:r>
            <w:r>
              <w:rPr>
                <w:lang w:val="en-AU"/>
              </w:rPr>
              <w:br/>
              <w:t>N=42</w:t>
            </w:r>
          </w:p>
          <w:p w:rsidR="006006CB" w:rsidRDefault="00D10D78">
            <w:pPr>
              <w:pStyle w:val="PBACTableTextBoldCentered"/>
              <w:spacing w:before="0" w:after="0"/>
              <w:rPr>
                <w:lang w:val="en-AU"/>
              </w:rPr>
            </w:pPr>
            <w:r>
              <w:rPr>
                <w:lang w:val="en-AU"/>
              </w:rPr>
              <w:t>n (%)</w:t>
            </w:r>
          </w:p>
        </w:tc>
        <w:tc>
          <w:tcPr>
            <w:tcW w:w="744" w:type="pct"/>
          </w:tcPr>
          <w:p w:rsidR="006006CB" w:rsidRDefault="00D10D78">
            <w:pPr>
              <w:pStyle w:val="PBACTableTextBoldCentered"/>
              <w:spacing w:before="0" w:after="0"/>
              <w:rPr>
                <w:lang w:val="en-AU"/>
              </w:rPr>
            </w:pPr>
            <w:r>
              <w:rPr>
                <w:lang w:val="en-AU"/>
              </w:rPr>
              <w:t>Placebo</w:t>
            </w:r>
          </w:p>
          <w:p w:rsidR="006006CB" w:rsidRDefault="00D10D78">
            <w:pPr>
              <w:pStyle w:val="PBACTableTextBoldCentered"/>
              <w:spacing w:before="0" w:after="0"/>
              <w:rPr>
                <w:lang w:val="en-AU"/>
              </w:rPr>
            </w:pPr>
            <w:r>
              <w:rPr>
                <w:lang w:val="en-AU"/>
              </w:rPr>
              <w:t>N=41</w:t>
            </w:r>
          </w:p>
          <w:p w:rsidR="006006CB" w:rsidRDefault="00D10D78">
            <w:pPr>
              <w:pStyle w:val="PBACTableTextBoldCentered"/>
              <w:spacing w:before="0" w:after="0"/>
              <w:rPr>
                <w:lang w:val="en-AU"/>
              </w:rPr>
            </w:pPr>
            <w:r>
              <w:rPr>
                <w:lang w:val="en-AU"/>
              </w:rPr>
              <w:t>n (%)</w:t>
            </w:r>
          </w:p>
        </w:tc>
        <w:tc>
          <w:tcPr>
            <w:tcW w:w="744" w:type="pct"/>
          </w:tcPr>
          <w:p w:rsidR="006006CB" w:rsidRDefault="00D10D78">
            <w:pPr>
              <w:pStyle w:val="PBACTableTextBoldCentered"/>
              <w:spacing w:before="0" w:after="0"/>
              <w:rPr>
                <w:lang w:val="en-AU"/>
              </w:rPr>
            </w:pPr>
            <w:r>
              <w:rPr>
                <w:lang w:val="en-AU"/>
              </w:rPr>
              <w:t>Placebo</w:t>
            </w:r>
          </w:p>
          <w:p w:rsidR="006006CB" w:rsidRDefault="00D10D78">
            <w:pPr>
              <w:pStyle w:val="PBACTableTextBoldCentered"/>
              <w:spacing w:before="0" w:after="0"/>
              <w:rPr>
                <w:lang w:val="en-AU"/>
              </w:rPr>
            </w:pPr>
            <w:r>
              <w:rPr>
                <w:lang w:val="en-AU"/>
              </w:rPr>
              <w:t>N=103</w:t>
            </w:r>
          </w:p>
          <w:p w:rsidR="006006CB" w:rsidRDefault="00D10D78">
            <w:pPr>
              <w:pStyle w:val="PBACTableTextBoldCentered"/>
              <w:spacing w:before="0" w:after="0"/>
              <w:rPr>
                <w:lang w:val="en-AU"/>
              </w:rPr>
            </w:pPr>
            <w:r>
              <w:rPr>
                <w:lang w:val="en-AU"/>
              </w:rPr>
              <w:t>n (%)</w:t>
            </w:r>
          </w:p>
        </w:tc>
        <w:tc>
          <w:tcPr>
            <w:tcW w:w="864" w:type="pct"/>
          </w:tcPr>
          <w:p w:rsidR="006006CB" w:rsidRDefault="00D10D78">
            <w:pPr>
              <w:pStyle w:val="PBACTableTextBoldCentered"/>
              <w:spacing w:before="0" w:after="0"/>
              <w:rPr>
                <w:lang w:val="en-AU"/>
              </w:rPr>
            </w:pPr>
            <w:r>
              <w:rPr>
                <w:lang w:val="en-AU"/>
              </w:rPr>
              <w:t>Lanreotide</w:t>
            </w:r>
            <w:r>
              <w:rPr>
                <w:lang w:val="en-AU"/>
              </w:rPr>
              <w:br/>
              <w:t>N=101</w:t>
            </w:r>
          </w:p>
          <w:p w:rsidR="006006CB" w:rsidRDefault="00D10D78">
            <w:pPr>
              <w:pStyle w:val="PBACTableTextBoldCentered"/>
              <w:spacing w:before="0" w:after="0"/>
              <w:rPr>
                <w:lang w:val="en-AU"/>
              </w:rPr>
            </w:pPr>
            <w:r>
              <w:rPr>
                <w:lang w:val="en-AU"/>
              </w:rPr>
              <w:t>n (%)</w:t>
            </w: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Any adverse event</w:t>
            </w:r>
          </w:p>
        </w:tc>
        <w:tc>
          <w:tcPr>
            <w:tcW w:w="743" w:type="pct"/>
            <w:shd w:val="clear" w:color="auto" w:fill="auto"/>
          </w:tcPr>
          <w:p w:rsidR="006006CB" w:rsidRDefault="00D10D78">
            <w:pPr>
              <w:pStyle w:val="PBACTableText"/>
              <w:keepNext/>
              <w:spacing w:before="0" w:after="0"/>
              <w:jc w:val="center"/>
              <w:rPr>
                <w:lang w:val="en-AU"/>
              </w:rPr>
            </w:pPr>
            <w:r>
              <w:rPr>
                <w:lang w:val="en-AU"/>
              </w:rPr>
              <w:t>40 (95.2)</w:t>
            </w:r>
          </w:p>
        </w:tc>
        <w:tc>
          <w:tcPr>
            <w:tcW w:w="744" w:type="pct"/>
          </w:tcPr>
          <w:p w:rsidR="006006CB" w:rsidRDefault="00D10D78">
            <w:pPr>
              <w:pStyle w:val="PBACTableText"/>
              <w:keepNext/>
              <w:spacing w:before="0" w:after="0"/>
              <w:jc w:val="center"/>
              <w:rPr>
                <w:lang w:val="en-AU"/>
              </w:rPr>
            </w:pPr>
            <w:r>
              <w:rPr>
                <w:lang w:val="en-AU"/>
              </w:rPr>
              <w:t>31 (75.6)</w:t>
            </w:r>
          </w:p>
        </w:tc>
        <w:tc>
          <w:tcPr>
            <w:tcW w:w="744" w:type="pct"/>
          </w:tcPr>
          <w:p w:rsidR="006006CB" w:rsidRDefault="00D10D78">
            <w:pPr>
              <w:pStyle w:val="PBACTableText"/>
              <w:keepNext/>
              <w:spacing w:before="0" w:after="0"/>
              <w:jc w:val="center"/>
              <w:rPr>
                <w:lang w:val="en-AU"/>
              </w:rPr>
            </w:pPr>
            <w:r>
              <w:rPr>
                <w:lang w:val="en-AU"/>
              </w:rPr>
              <w:t>93 (90.3)</w:t>
            </w:r>
          </w:p>
        </w:tc>
        <w:tc>
          <w:tcPr>
            <w:tcW w:w="864" w:type="pct"/>
          </w:tcPr>
          <w:p w:rsidR="006006CB" w:rsidRDefault="00D10D78">
            <w:pPr>
              <w:pStyle w:val="PBACTableText"/>
              <w:keepNext/>
              <w:spacing w:before="0" w:after="0"/>
              <w:jc w:val="center"/>
              <w:rPr>
                <w:lang w:val="en-AU"/>
              </w:rPr>
            </w:pPr>
            <w:r>
              <w:rPr>
                <w:lang w:val="en-AU"/>
              </w:rPr>
              <w:t>89 (88.1)</w:t>
            </w: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Any serious adverse event</w:t>
            </w:r>
          </w:p>
        </w:tc>
        <w:tc>
          <w:tcPr>
            <w:tcW w:w="743" w:type="pct"/>
            <w:shd w:val="clear" w:color="auto" w:fill="auto"/>
          </w:tcPr>
          <w:p w:rsidR="006006CB" w:rsidRDefault="00D10D78">
            <w:pPr>
              <w:pStyle w:val="PBACTableText"/>
              <w:keepNext/>
              <w:spacing w:before="0" w:after="0"/>
              <w:jc w:val="center"/>
              <w:rPr>
                <w:lang w:val="en-AU"/>
              </w:rPr>
            </w:pPr>
            <w:r>
              <w:rPr>
                <w:lang w:val="en-AU"/>
              </w:rPr>
              <w:t>9 (21.4)</w:t>
            </w:r>
          </w:p>
        </w:tc>
        <w:tc>
          <w:tcPr>
            <w:tcW w:w="744" w:type="pct"/>
          </w:tcPr>
          <w:p w:rsidR="006006CB" w:rsidRDefault="00D10D78">
            <w:pPr>
              <w:pStyle w:val="PBACTableText"/>
              <w:keepNext/>
              <w:spacing w:before="0" w:after="0"/>
              <w:jc w:val="center"/>
              <w:rPr>
                <w:lang w:val="en-AU"/>
              </w:rPr>
            </w:pPr>
            <w:r>
              <w:rPr>
                <w:lang w:val="en-AU"/>
              </w:rPr>
              <w:t>9 (22.0)</w:t>
            </w:r>
          </w:p>
        </w:tc>
        <w:tc>
          <w:tcPr>
            <w:tcW w:w="744" w:type="pct"/>
          </w:tcPr>
          <w:p w:rsidR="006006CB" w:rsidRDefault="00D10D78">
            <w:pPr>
              <w:pStyle w:val="PBACTableText"/>
              <w:keepNext/>
              <w:spacing w:before="0" w:after="0"/>
              <w:jc w:val="center"/>
              <w:rPr>
                <w:lang w:val="en-AU"/>
              </w:rPr>
            </w:pPr>
            <w:r>
              <w:rPr>
                <w:lang w:val="en-AU"/>
              </w:rPr>
              <w:t>32 (31.1)</w:t>
            </w:r>
          </w:p>
        </w:tc>
        <w:tc>
          <w:tcPr>
            <w:tcW w:w="864" w:type="pct"/>
          </w:tcPr>
          <w:p w:rsidR="006006CB" w:rsidRDefault="00D10D78">
            <w:pPr>
              <w:pStyle w:val="PBACTableText"/>
              <w:keepNext/>
              <w:spacing w:before="0" w:after="0"/>
              <w:jc w:val="center"/>
              <w:rPr>
                <w:lang w:val="en-AU"/>
              </w:rPr>
            </w:pPr>
            <w:r>
              <w:rPr>
                <w:lang w:val="en-AU"/>
              </w:rPr>
              <w:t>25 (24.8)</w:t>
            </w: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Treatment related adverse event</w:t>
            </w:r>
          </w:p>
        </w:tc>
        <w:tc>
          <w:tcPr>
            <w:tcW w:w="743" w:type="pct"/>
            <w:shd w:val="clear" w:color="auto" w:fill="auto"/>
          </w:tcPr>
          <w:p w:rsidR="006006CB" w:rsidRDefault="00D10D78">
            <w:pPr>
              <w:pStyle w:val="PBACTableText"/>
              <w:keepNext/>
              <w:spacing w:before="0" w:after="0"/>
              <w:jc w:val="center"/>
              <w:rPr>
                <w:lang w:val="en-AU"/>
              </w:rPr>
            </w:pPr>
            <w:r>
              <w:rPr>
                <w:lang w:val="en-AU"/>
              </w:rPr>
              <w:t>24 (57.1)</w:t>
            </w:r>
          </w:p>
        </w:tc>
        <w:tc>
          <w:tcPr>
            <w:tcW w:w="744" w:type="pct"/>
          </w:tcPr>
          <w:p w:rsidR="006006CB" w:rsidRDefault="00D10D78">
            <w:pPr>
              <w:pStyle w:val="PBACTableText"/>
              <w:keepNext/>
              <w:spacing w:before="0" w:after="0"/>
              <w:jc w:val="center"/>
              <w:rPr>
                <w:lang w:val="en-AU"/>
              </w:rPr>
            </w:pPr>
            <w:r>
              <w:rPr>
                <w:lang w:val="en-AU"/>
              </w:rPr>
              <w:t>8 (19.5)</w:t>
            </w:r>
          </w:p>
        </w:tc>
        <w:tc>
          <w:tcPr>
            <w:tcW w:w="744" w:type="pct"/>
          </w:tcPr>
          <w:p w:rsidR="006006CB" w:rsidRDefault="00D10D78">
            <w:pPr>
              <w:pStyle w:val="PBACTableText"/>
              <w:keepNext/>
              <w:spacing w:before="0" w:after="0"/>
              <w:jc w:val="center"/>
              <w:rPr>
                <w:lang w:val="en-AU"/>
              </w:rPr>
            </w:pPr>
            <w:r>
              <w:rPr>
                <w:lang w:val="en-AU"/>
              </w:rPr>
              <w:t>29 (28.2)</w:t>
            </w:r>
          </w:p>
        </w:tc>
        <w:tc>
          <w:tcPr>
            <w:tcW w:w="864" w:type="pct"/>
          </w:tcPr>
          <w:p w:rsidR="006006CB" w:rsidRDefault="00D10D78">
            <w:pPr>
              <w:pStyle w:val="PBACTableText"/>
              <w:keepNext/>
              <w:spacing w:before="0" w:after="0"/>
              <w:jc w:val="center"/>
              <w:rPr>
                <w:lang w:val="en-AU"/>
              </w:rPr>
            </w:pPr>
            <w:r>
              <w:rPr>
                <w:lang w:val="en-AU"/>
              </w:rPr>
              <w:t>50 (49.5)</w:t>
            </w: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Treatment related serious adverse event</w:t>
            </w:r>
          </w:p>
        </w:tc>
        <w:tc>
          <w:tcPr>
            <w:tcW w:w="743" w:type="pct"/>
            <w:shd w:val="clear" w:color="auto" w:fill="auto"/>
          </w:tcPr>
          <w:p w:rsidR="006006CB" w:rsidRDefault="00D10D78">
            <w:pPr>
              <w:pStyle w:val="PBACTableText"/>
              <w:keepNext/>
              <w:spacing w:before="0" w:after="0"/>
              <w:jc w:val="center"/>
              <w:rPr>
                <w:lang w:val="en-AU"/>
              </w:rPr>
            </w:pPr>
            <w:r>
              <w:rPr>
                <w:lang w:val="en-AU"/>
              </w:rPr>
              <w:t>1 (2.4)</w:t>
            </w:r>
          </w:p>
        </w:tc>
        <w:tc>
          <w:tcPr>
            <w:tcW w:w="744" w:type="pct"/>
          </w:tcPr>
          <w:p w:rsidR="006006CB" w:rsidRDefault="00D10D78">
            <w:pPr>
              <w:pStyle w:val="PBACTableText"/>
              <w:keepNext/>
              <w:spacing w:before="0" w:after="0"/>
              <w:jc w:val="center"/>
              <w:rPr>
                <w:lang w:val="en-AU"/>
              </w:rPr>
            </w:pPr>
            <w:r>
              <w:rPr>
                <w:lang w:val="en-AU"/>
              </w:rPr>
              <w:t>0</w:t>
            </w:r>
          </w:p>
        </w:tc>
        <w:tc>
          <w:tcPr>
            <w:tcW w:w="744" w:type="pct"/>
          </w:tcPr>
          <w:p w:rsidR="006006CB" w:rsidRDefault="00D10D78">
            <w:pPr>
              <w:pStyle w:val="PBACTableText"/>
              <w:keepNext/>
              <w:spacing w:before="0" w:after="0"/>
              <w:jc w:val="center"/>
              <w:rPr>
                <w:lang w:val="en-AU"/>
              </w:rPr>
            </w:pPr>
            <w:r>
              <w:rPr>
                <w:lang w:val="en-AU"/>
              </w:rPr>
              <w:t>1 (1.0)</w:t>
            </w:r>
          </w:p>
        </w:tc>
        <w:tc>
          <w:tcPr>
            <w:tcW w:w="864" w:type="pct"/>
          </w:tcPr>
          <w:p w:rsidR="006006CB" w:rsidRDefault="00D10D78">
            <w:pPr>
              <w:pStyle w:val="PBACTableText"/>
              <w:keepNext/>
              <w:spacing w:before="0" w:after="0"/>
              <w:jc w:val="center"/>
              <w:rPr>
                <w:lang w:val="en-AU"/>
              </w:rPr>
            </w:pPr>
            <w:r>
              <w:rPr>
                <w:lang w:val="en-AU"/>
              </w:rPr>
              <w:t>3 (3.0)</w:t>
            </w: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Discontinuation due to adverse event</w:t>
            </w:r>
          </w:p>
        </w:tc>
        <w:tc>
          <w:tcPr>
            <w:tcW w:w="743" w:type="pct"/>
            <w:shd w:val="clear" w:color="auto" w:fill="auto"/>
          </w:tcPr>
          <w:p w:rsidR="006006CB" w:rsidRDefault="00D10D78">
            <w:pPr>
              <w:pStyle w:val="PBACTableText"/>
              <w:keepNext/>
              <w:spacing w:before="0" w:after="0"/>
              <w:jc w:val="center"/>
              <w:rPr>
                <w:lang w:val="en-AU"/>
              </w:rPr>
            </w:pPr>
            <w:r>
              <w:rPr>
                <w:lang w:val="en-AU"/>
              </w:rPr>
              <w:t>2 (4.8)</w:t>
            </w:r>
          </w:p>
        </w:tc>
        <w:tc>
          <w:tcPr>
            <w:tcW w:w="744" w:type="pct"/>
          </w:tcPr>
          <w:p w:rsidR="006006CB" w:rsidRDefault="00D10D78">
            <w:pPr>
              <w:pStyle w:val="PBACTableText"/>
              <w:keepNext/>
              <w:spacing w:before="0" w:after="0"/>
              <w:jc w:val="center"/>
              <w:rPr>
                <w:lang w:val="en-AU"/>
              </w:rPr>
            </w:pPr>
            <w:r>
              <w:rPr>
                <w:lang w:val="en-AU"/>
              </w:rPr>
              <w:t>0</w:t>
            </w:r>
          </w:p>
        </w:tc>
        <w:tc>
          <w:tcPr>
            <w:tcW w:w="744" w:type="pct"/>
          </w:tcPr>
          <w:p w:rsidR="006006CB" w:rsidRDefault="00D10D78">
            <w:pPr>
              <w:pStyle w:val="PBACTableText"/>
              <w:keepNext/>
              <w:spacing w:before="0" w:after="0"/>
              <w:jc w:val="center"/>
              <w:rPr>
                <w:lang w:val="en-AU"/>
              </w:rPr>
            </w:pPr>
            <w:r>
              <w:rPr>
                <w:lang w:val="en-AU"/>
              </w:rPr>
              <w:t>3 (2.9)</w:t>
            </w:r>
          </w:p>
        </w:tc>
        <w:tc>
          <w:tcPr>
            <w:tcW w:w="864" w:type="pct"/>
          </w:tcPr>
          <w:p w:rsidR="006006CB" w:rsidRDefault="00D10D78">
            <w:pPr>
              <w:pStyle w:val="PBACTableText"/>
              <w:keepNext/>
              <w:spacing w:before="0" w:after="0"/>
              <w:jc w:val="center"/>
              <w:rPr>
                <w:lang w:val="en-AU"/>
              </w:rPr>
            </w:pPr>
            <w:r>
              <w:rPr>
                <w:lang w:val="en-AU"/>
              </w:rPr>
              <w:t>3 (3.0)</w:t>
            </w: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All deaths</w:t>
            </w:r>
          </w:p>
        </w:tc>
        <w:tc>
          <w:tcPr>
            <w:tcW w:w="743" w:type="pct"/>
            <w:shd w:val="clear" w:color="auto" w:fill="auto"/>
          </w:tcPr>
          <w:p w:rsidR="006006CB" w:rsidRDefault="00D10D78">
            <w:pPr>
              <w:pStyle w:val="PBACTableText"/>
              <w:keepNext/>
              <w:spacing w:before="0" w:after="0"/>
              <w:jc w:val="center"/>
              <w:rPr>
                <w:lang w:val="en-AU"/>
              </w:rPr>
            </w:pPr>
            <w:r>
              <w:rPr>
                <w:lang w:val="en-AU"/>
              </w:rPr>
              <w:t>7 (16.7)</w:t>
            </w:r>
          </w:p>
        </w:tc>
        <w:tc>
          <w:tcPr>
            <w:tcW w:w="744" w:type="pct"/>
          </w:tcPr>
          <w:p w:rsidR="006006CB" w:rsidRDefault="00D10D78">
            <w:pPr>
              <w:pStyle w:val="PBACTableText"/>
              <w:keepNext/>
              <w:spacing w:before="0" w:after="0"/>
              <w:jc w:val="center"/>
              <w:rPr>
                <w:lang w:val="en-AU"/>
              </w:rPr>
            </w:pPr>
            <w:r>
              <w:rPr>
                <w:lang w:val="en-AU"/>
              </w:rPr>
              <w:t>9 (22.0)</w:t>
            </w:r>
          </w:p>
        </w:tc>
        <w:tc>
          <w:tcPr>
            <w:tcW w:w="744" w:type="pct"/>
          </w:tcPr>
          <w:p w:rsidR="006006CB" w:rsidRDefault="00D10D78">
            <w:pPr>
              <w:pStyle w:val="PBACTableText"/>
              <w:keepNext/>
              <w:spacing w:before="0" w:after="0"/>
              <w:jc w:val="center"/>
              <w:rPr>
                <w:lang w:val="en-AU"/>
              </w:rPr>
            </w:pPr>
            <w:r>
              <w:rPr>
                <w:lang w:val="en-AU"/>
              </w:rPr>
              <w:t>2 (1.9)</w:t>
            </w:r>
          </w:p>
        </w:tc>
        <w:tc>
          <w:tcPr>
            <w:tcW w:w="864" w:type="pct"/>
          </w:tcPr>
          <w:p w:rsidR="006006CB" w:rsidRDefault="00D10D78">
            <w:pPr>
              <w:pStyle w:val="PBACTableText"/>
              <w:keepNext/>
              <w:spacing w:before="0" w:after="0"/>
              <w:jc w:val="center"/>
              <w:rPr>
                <w:lang w:val="en-AU"/>
              </w:rPr>
            </w:pPr>
            <w:r>
              <w:rPr>
                <w:lang w:val="en-AU"/>
              </w:rPr>
              <w:t>2 (2.0)</w:t>
            </w:r>
          </w:p>
        </w:tc>
      </w:tr>
      <w:tr w:rsidR="006006CB">
        <w:trPr>
          <w:cantSplit/>
        </w:trPr>
        <w:tc>
          <w:tcPr>
            <w:tcW w:w="1905" w:type="pct"/>
            <w:shd w:val="clear" w:color="auto" w:fill="auto"/>
          </w:tcPr>
          <w:p w:rsidR="006006CB" w:rsidRDefault="00D10D78">
            <w:pPr>
              <w:pStyle w:val="PBACTableText"/>
              <w:keepNext/>
              <w:spacing w:before="0" w:after="0"/>
              <w:rPr>
                <w:b/>
                <w:lang w:val="en-AU"/>
              </w:rPr>
            </w:pPr>
            <w:r>
              <w:rPr>
                <w:b/>
                <w:lang w:val="en-AU"/>
              </w:rPr>
              <w:t>Key treatment-emergent adverse events</w:t>
            </w:r>
          </w:p>
        </w:tc>
        <w:tc>
          <w:tcPr>
            <w:tcW w:w="743" w:type="pct"/>
            <w:shd w:val="clear" w:color="auto" w:fill="auto"/>
          </w:tcPr>
          <w:p w:rsidR="006006CB" w:rsidRDefault="006006CB">
            <w:pPr>
              <w:pStyle w:val="PBACTableText"/>
              <w:keepNext/>
              <w:spacing w:before="0" w:after="0"/>
              <w:jc w:val="center"/>
              <w:rPr>
                <w:lang w:val="en-AU"/>
              </w:rPr>
            </w:pPr>
          </w:p>
        </w:tc>
        <w:tc>
          <w:tcPr>
            <w:tcW w:w="744" w:type="pct"/>
          </w:tcPr>
          <w:p w:rsidR="006006CB" w:rsidRDefault="006006CB">
            <w:pPr>
              <w:pStyle w:val="PBACTableText"/>
              <w:keepNext/>
              <w:spacing w:before="0" w:after="0"/>
              <w:jc w:val="center"/>
              <w:rPr>
                <w:lang w:val="en-AU"/>
              </w:rPr>
            </w:pPr>
          </w:p>
        </w:tc>
        <w:tc>
          <w:tcPr>
            <w:tcW w:w="744" w:type="pct"/>
          </w:tcPr>
          <w:p w:rsidR="006006CB" w:rsidRDefault="006006CB">
            <w:pPr>
              <w:pStyle w:val="PBACTableText"/>
              <w:keepNext/>
              <w:spacing w:before="0" w:after="0"/>
              <w:jc w:val="center"/>
              <w:rPr>
                <w:lang w:val="en-AU"/>
              </w:rPr>
            </w:pPr>
          </w:p>
        </w:tc>
        <w:tc>
          <w:tcPr>
            <w:tcW w:w="864" w:type="pct"/>
          </w:tcPr>
          <w:p w:rsidR="006006CB" w:rsidRDefault="006006CB">
            <w:pPr>
              <w:pStyle w:val="PBACTableText"/>
              <w:keepNext/>
              <w:spacing w:before="0" w:after="0"/>
              <w:jc w:val="center"/>
              <w:rPr>
                <w:lang w:val="en-AU"/>
              </w:rPr>
            </w:pP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Diarrhoea</w:t>
            </w:r>
          </w:p>
        </w:tc>
        <w:tc>
          <w:tcPr>
            <w:tcW w:w="743" w:type="pct"/>
            <w:shd w:val="clear" w:color="auto" w:fill="auto"/>
          </w:tcPr>
          <w:p w:rsidR="006006CB" w:rsidRDefault="00D10D78">
            <w:pPr>
              <w:pStyle w:val="PBACTableText"/>
              <w:keepNext/>
              <w:spacing w:before="0" w:after="0"/>
              <w:jc w:val="center"/>
              <w:rPr>
                <w:lang w:val="en-AU"/>
              </w:rPr>
            </w:pPr>
            <w:r>
              <w:rPr>
                <w:lang w:val="en-AU"/>
              </w:rPr>
              <w:t>20 (47.6)</w:t>
            </w:r>
          </w:p>
        </w:tc>
        <w:tc>
          <w:tcPr>
            <w:tcW w:w="744" w:type="pct"/>
          </w:tcPr>
          <w:p w:rsidR="006006CB" w:rsidRDefault="00D10D78">
            <w:pPr>
              <w:pStyle w:val="PBACTableText"/>
              <w:keepNext/>
              <w:spacing w:before="0" w:after="0"/>
              <w:jc w:val="center"/>
              <w:rPr>
                <w:lang w:val="en-AU"/>
              </w:rPr>
            </w:pPr>
            <w:r>
              <w:rPr>
                <w:lang w:val="en-AU"/>
              </w:rPr>
              <w:t>9 (22.0)</w:t>
            </w:r>
          </w:p>
        </w:tc>
        <w:tc>
          <w:tcPr>
            <w:tcW w:w="744" w:type="pct"/>
          </w:tcPr>
          <w:p w:rsidR="006006CB" w:rsidRDefault="00D10D78">
            <w:pPr>
              <w:pStyle w:val="PBACTableText"/>
              <w:keepNext/>
              <w:spacing w:before="0" w:after="0"/>
              <w:jc w:val="center"/>
              <w:rPr>
                <w:lang w:val="en-AU"/>
              </w:rPr>
            </w:pPr>
            <w:r>
              <w:rPr>
                <w:lang w:val="en-AU"/>
              </w:rPr>
              <w:t>9 (8.7)</w:t>
            </w:r>
          </w:p>
        </w:tc>
        <w:tc>
          <w:tcPr>
            <w:tcW w:w="864" w:type="pct"/>
          </w:tcPr>
          <w:p w:rsidR="006006CB" w:rsidRDefault="00D10D78">
            <w:pPr>
              <w:pStyle w:val="PBACTableText"/>
              <w:keepNext/>
              <w:spacing w:before="0" w:after="0"/>
              <w:jc w:val="center"/>
              <w:rPr>
                <w:lang w:val="en-AU"/>
              </w:rPr>
            </w:pPr>
            <w:r>
              <w:rPr>
                <w:lang w:val="en-AU"/>
              </w:rPr>
              <w:t>26 (25.7)</w:t>
            </w: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Abdominal pain</w:t>
            </w:r>
          </w:p>
        </w:tc>
        <w:tc>
          <w:tcPr>
            <w:tcW w:w="743" w:type="pct"/>
            <w:shd w:val="clear" w:color="auto" w:fill="auto"/>
          </w:tcPr>
          <w:p w:rsidR="006006CB" w:rsidRDefault="00D10D78">
            <w:pPr>
              <w:pStyle w:val="PBACTableText"/>
              <w:keepNext/>
              <w:spacing w:before="0" w:after="0"/>
              <w:jc w:val="center"/>
              <w:rPr>
                <w:lang w:val="en-AU"/>
              </w:rPr>
            </w:pPr>
            <w:r>
              <w:rPr>
                <w:lang w:val="en-AU"/>
              </w:rPr>
              <w:t>11 (26.2)</w:t>
            </w:r>
          </w:p>
        </w:tc>
        <w:tc>
          <w:tcPr>
            <w:tcW w:w="744" w:type="pct"/>
          </w:tcPr>
          <w:p w:rsidR="006006CB" w:rsidRDefault="00D10D78">
            <w:pPr>
              <w:pStyle w:val="PBACTableText"/>
              <w:keepNext/>
              <w:spacing w:before="0" w:after="0"/>
              <w:jc w:val="center"/>
              <w:rPr>
                <w:lang w:val="en-AU"/>
              </w:rPr>
            </w:pPr>
            <w:r>
              <w:rPr>
                <w:lang w:val="en-AU"/>
              </w:rPr>
              <w:t>8 (19.5)</w:t>
            </w:r>
          </w:p>
        </w:tc>
        <w:tc>
          <w:tcPr>
            <w:tcW w:w="744" w:type="pct"/>
          </w:tcPr>
          <w:p w:rsidR="006006CB" w:rsidRDefault="00D10D78">
            <w:pPr>
              <w:pStyle w:val="PBACTableText"/>
              <w:keepNext/>
              <w:spacing w:before="0" w:after="0"/>
              <w:jc w:val="center"/>
              <w:rPr>
                <w:lang w:val="en-AU"/>
              </w:rPr>
            </w:pPr>
            <w:r>
              <w:rPr>
                <w:lang w:val="en-AU"/>
              </w:rPr>
              <w:t>2 (1.9)</w:t>
            </w:r>
          </w:p>
        </w:tc>
        <w:tc>
          <w:tcPr>
            <w:tcW w:w="864" w:type="pct"/>
          </w:tcPr>
          <w:p w:rsidR="006006CB" w:rsidRDefault="00D10D78">
            <w:pPr>
              <w:pStyle w:val="PBACTableText"/>
              <w:keepNext/>
              <w:spacing w:before="0" w:after="0"/>
              <w:jc w:val="center"/>
              <w:rPr>
                <w:lang w:val="en-AU"/>
              </w:rPr>
            </w:pPr>
            <w:r>
              <w:rPr>
                <w:lang w:val="en-AU"/>
              </w:rPr>
              <w:t>14 (13.9)</w:t>
            </w: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Cholelithiasis</w:t>
            </w:r>
          </w:p>
        </w:tc>
        <w:tc>
          <w:tcPr>
            <w:tcW w:w="743" w:type="pct"/>
            <w:shd w:val="clear" w:color="auto" w:fill="auto"/>
          </w:tcPr>
          <w:p w:rsidR="006006CB" w:rsidRDefault="00D10D78">
            <w:pPr>
              <w:pStyle w:val="PBACTableText"/>
              <w:keepNext/>
              <w:spacing w:before="0" w:after="0"/>
              <w:jc w:val="center"/>
              <w:rPr>
                <w:lang w:val="en-AU"/>
              </w:rPr>
            </w:pPr>
            <w:r>
              <w:rPr>
                <w:lang w:val="en-AU"/>
              </w:rPr>
              <w:t>6 (14.3)</w:t>
            </w:r>
          </w:p>
        </w:tc>
        <w:tc>
          <w:tcPr>
            <w:tcW w:w="744" w:type="pct"/>
          </w:tcPr>
          <w:p w:rsidR="006006CB" w:rsidRDefault="00D10D78">
            <w:pPr>
              <w:pStyle w:val="PBACTableText"/>
              <w:keepNext/>
              <w:spacing w:before="0" w:after="0"/>
              <w:jc w:val="center"/>
              <w:rPr>
                <w:lang w:val="en-AU"/>
              </w:rPr>
            </w:pPr>
            <w:r>
              <w:rPr>
                <w:lang w:val="en-AU"/>
              </w:rPr>
              <w:t>2 (4.9)</w:t>
            </w:r>
          </w:p>
        </w:tc>
        <w:tc>
          <w:tcPr>
            <w:tcW w:w="744" w:type="pct"/>
          </w:tcPr>
          <w:p w:rsidR="006006CB" w:rsidRDefault="00D10D78">
            <w:pPr>
              <w:pStyle w:val="PBACTableText"/>
              <w:keepNext/>
              <w:spacing w:before="0" w:after="0"/>
              <w:jc w:val="center"/>
              <w:rPr>
                <w:lang w:val="en-AU"/>
              </w:rPr>
            </w:pPr>
            <w:r>
              <w:rPr>
                <w:lang w:val="en-AU"/>
              </w:rPr>
              <w:t>3 (2.9)</w:t>
            </w:r>
          </w:p>
        </w:tc>
        <w:tc>
          <w:tcPr>
            <w:tcW w:w="864" w:type="pct"/>
          </w:tcPr>
          <w:p w:rsidR="006006CB" w:rsidRDefault="00D10D78">
            <w:pPr>
              <w:pStyle w:val="PBACTableText"/>
              <w:keepNext/>
              <w:spacing w:before="0" w:after="0"/>
              <w:jc w:val="center"/>
              <w:rPr>
                <w:lang w:val="en-AU"/>
              </w:rPr>
            </w:pPr>
            <w:r>
              <w:rPr>
                <w:lang w:val="en-AU"/>
              </w:rPr>
              <w:t>10 (9.9)</w:t>
            </w: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Flatulence</w:t>
            </w:r>
          </w:p>
        </w:tc>
        <w:tc>
          <w:tcPr>
            <w:tcW w:w="743" w:type="pct"/>
            <w:shd w:val="clear" w:color="auto" w:fill="auto"/>
          </w:tcPr>
          <w:p w:rsidR="006006CB" w:rsidRDefault="00D10D78">
            <w:pPr>
              <w:pStyle w:val="PBACTableText"/>
              <w:keepNext/>
              <w:spacing w:before="0" w:after="0"/>
              <w:jc w:val="center"/>
              <w:rPr>
                <w:lang w:val="en-AU"/>
              </w:rPr>
            </w:pPr>
            <w:r>
              <w:rPr>
                <w:lang w:val="en-AU"/>
              </w:rPr>
              <w:t>9 (21.4)</w:t>
            </w:r>
          </w:p>
        </w:tc>
        <w:tc>
          <w:tcPr>
            <w:tcW w:w="744" w:type="pct"/>
          </w:tcPr>
          <w:p w:rsidR="006006CB" w:rsidRDefault="00D10D78">
            <w:pPr>
              <w:pStyle w:val="PBACTableText"/>
              <w:keepNext/>
              <w:spacing w:before="0" w:after="0"/>
              <w:jc w:val="center"/>
              <w:rPr>
                <w:lang w:val="en-AU"/>
              </w:rPr>
            </w:pPr>
            <w:r>
              <w:rPr>
                <w:lang w:val="en-AU"/>
              </w:rPr>
              <w:t>7 (17.1)</w:t>
            </w:r>
          </w:p>
        </w:tc>
        <w:tc>
          <w:tcPr>
            <w:tcW w:w="744" w:type="pct"/>
          </w:tcPr>
          <w:p w:rsidR="006006CB" w:rsidRDefault="00D10D78">
            <w:pPr>
              <w:pStyle w:val="PBACTableText"/>
              <w:keepNext/>
              <w:spacing w:before="0" w:after="0"/>
              <w:jc w:val="center"/>
              <w:rPr>
                <w:lang w:val="en-AU"/>
              </w:rPr>
            </w:pPr>
            <w:r>
              <w:rPr>
                <w:lang w:val="en-AU"/>
              </w:rPr>
              <w:t>5 (4.9)</w:t>
            </w:r>
          </w:p>
        </w:tc>
        <w:tc>
          <w:tcPr>
            <w:tcW w:w="864" w:type="pct"/>
          </w:tcPr>
          <w:p w:rsidR="006006CB" w:rsidRDefault="00D10D78">
            <w:pPr>
              <w:pStyle w:val="PBACTableText"/>
              <w:keepNext/>
              <w:spacing w:before="0" w:after="0"/>
              <w:jc w:val="center"/>
              <w:rPr>
                <w:lang w:val="en-AU"/>
              </w:rPr>
            </w:pPr>
            <w:r>
              <w:rPr>
                <w:lang w:val="en-AU"/>
              </w:rPr>
              <w:t>8 (7.9)</w:t>
            </w: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Injection-site pain</w:t>
            </w:r>
          </w:p>
        </w:tc>
        <w:tc>
          <w:tcPr>
            <w:tcW w:w="743" w:type="pct"/>
            <w:shd w:val="clear" w:color="auto" w:fill="auto"/>
          </w:tcPr>
          <w:p w:rsidR="006006CB" w:rsidRDefault="00D10D78">
            <w:pPr>
              <w:pStyle w:val="PBACTableText"/>
              <w:keepNext/>
              <w:spacing w:before="0" w:after="0"/>
              <w:jc w:val="center"/>
              <w:rPr>
                <w:lang w:val="en-AU"/>
              </w:rPr>
            </w:pPr>
            <w:r>
              <w:rPr>
                <w:lang w:val="en-AU"/>
              </w:rPr>
              <w:t>4 (9.5)</w:t>
            </w:r>
          </w:p>
        </w:tc>
        <w:tc>
          <w:tcPr>
            <w:tcW w:w="744" w:type="pct"/>
          </w:tcPr>
          <w:p w:rsidR="006006CB" w:rsidRDefault="00D10D78">
            <w:pPr>
              <w:pStyle w:val="PBACTableText"/>
              <w:keepNext/>
              <w:spacing w:before="0" w:after="0"/>
              <w:jc w:val="center"/>
              <w:rPr>
                <w:lang w:val="en-AU"/>
              </w:rPr>
            </w:pPr>
            <w:r>
              <w:rPr>
                <w:lang w:val="en-AU"/>
              </w:rPr>
              <w:t>0</w:t>
            </w:r>
          </w:p>
        </w:tc>
        <w:tc>
          <w:tcPr>
            <w:tcW w:w="744" w:type="pct"/>
          </w:tcPr>
          <w:p w:rsidR="006006CB" w:rsidRDefault="00D10D78">
            <w:pPr>
              <w:pStyle w:val="PBACTableText"/>
              <w:keepNext/>
              <w:spacing w:before="0" w:after="0"/>
              <w:jc w:val="center"/>
              <w:rPr>
                <w:lang w:val="en-AU"/>
              </w:rPr>
            </w:pPr>
            <w:r>
              <w:rPr>
                <w:lang w:val="en-AU"/>
              </w:rPr>
              <w:t>3 (2.9)</w:t>
            </w:r>
          </w:p>
        </w:tc>
        <w:tc>
          <w:tcPr>
            <w:tcW w:w="864" w:type="pct"/>
          </w:tcPr>
          <w:p w:rsidR="006006CB" w:rsidRDefault="00D10D78">
            <w:pPr>
              <w:pStyle w:val="PBACTableText"/>
              <w:keepNext/>
              <w:spacing w:before="0" w:after="0"/>
              <w:jc w:val="center"/>
              <w:rPr>
                <w:lang w:val="en-AU"/>
              </w:rPr>
            </w:pPr>
            <w:r>
              <w:rPr>
                <w:lang w:val="en-AU"/>
              </w:rPr>
              <w:t>7 (6.9)</w:t>
            </w: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Nausea</w:t>
            </w:r>
          </w:p>
        </w:tc>
        <w:tc>
          <w:tcPr>
            <w:tcW w:w="743" w:type="pct"/>
            <w:shd w:val="clear" w:color="auto" w:fill="auto"/>
          </w:tcPr>
          <w:p w:rsidR="006006CB" w:rsidRDefault="00D10D78">
            <w:pPr>
              <w:pStyle w:val="PBACTableText"/>
              <w:keepNext/>
              <w:spacing w:before="0" w:after="0"/>
              <w:jc w:val="center"/>
              <w:rPr>
                <w:lang w:val="en-AU"/>
              </w:rPr>
            </w:pPr>
            <w:r>
              <w:rPr>
                <w:lang w:val="en-AU"/>
              </w:rPr>
              <w:t>4 (9.5)</w:t>
            </w:r>
          </w:p>
        </w:tc>
        <w:tc>
          <w:tcPr>
            <w:tcW w:w="744" w:type="pct"/>
          </w:tcPr>
          <w:p w:rsidR="006006CB" w:rsidRDefault="00D10D78">
            <w:pPr>
              <w:pStyle w:val="PBACTableText"/>
              <w:keepNext/>
              <w:spacing w:before="0" w:after="0"/>
              <w:jc w:val="center"/>
              <w:rPr>
                <w:lang w:val="en-AU"/>
              </w:rPr>
            </w:pPr>
            <w:r>
              <w:rPr>
                <w:lang w:val="en-AU"/>
              </w:rPr>
              <w:t>4 (9.8)</w:t>
            </w:r>
          </w:p>
        </w:tc>
        <w:tc>
          <w:tcPr>
            <w:tcW w:w="744" w:type="pct"/>
          </w:tcPr>
          <w:p w:rsidR="006006CB" w:rsidRDefault="00D10D78">
            <w:pPr>
              <w:pStyle w:val="PBACTableText"/>
              <w:keepNext/>
              <w:spacing w:before="0" w:after="0"/>
              <w:jc w:val="center"/>
              <w:rPr>
                <w:lang w:val="en-AU"/>
              </w:rPr>
            </w:pPr>
            <w:r>
              <w:rPr>
                <w:lang w:val="en-AU"/>
              </w:rPr>
              <w:t>2 (1.9)</w:t>
            </w:r>
          </w:p>
        </w:tc>
        <w:tc>
          <w:tcPr>
            <w:tcW w:w="864" w:type="pct"/>
          </w:tcPr>
          <w:p w:rsidR="006006CB" w:rsidRDefault="00D10D78">
            <w:pPr>
              <w:pStyle w:val="PBACTableText"/>
              <w:keepNext/>
              <w:spacing w:before="0" w:after="0"/>
              <w:jc w:val="center"/>
              <w:rPr>
                <w:lang w:val="en-AU"/>
              </w:rPr>
            </w:pPr>
            <w:r>
              <w:rPr>
                <w:lang w:val="en-AU"/>
              </w:rPr>
              <w:t>7 (6.9)</w:t>
            </w: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Vomiting</w:t>
            </w:r>
          </w:p>
        </w:tc>
        <w:tc>
          <w:tcPr>
            <w:tcW w:w="743" w:type="pct"/>
            <w:shd w:val="clear" w:color="auto" w:fill="auto"/>
          </w:tcPr>
          <w:p w:rsidR="006006CB" w:rsidRDefault="00D10D78">
            <w:pPr>
              <w:pStyle w:val="PBACTableText"/>
              <w:keepNext/>
              <w:spacing w:before="0" w:after="0"/>
              <w:jc w:val="center"/>
              <w:rPr>
                <w:lang w:val="en-AU"/>
              </w:rPr>
            </w:pPr>
            <w:r>
              <w:rPr>
                <w:lang w:val="en-AU"/>
              </w:rPr>
              <w:t>3 (7.1)</w:t>
            </w:r>
          </w:p>
        </w:tc>
        <w:tc>
          <w:tcPr>
            <w:tcW w:w="744" w:type="pct"/>
          </w:tcPr>
          <w:p w:rsidR="006006CB" w:rsidRDefault="00D10D78">
            <w:pPr>
              <w:pStyle w:val="PBACTableText"/>
              <w:keepNext/>
              <w:spacing w:before="0" w:after="0"/>
              <w:jc w:val="center"/>
              <w:rPr>
                <w:lang w:val="en-AU"/>
              </w:rPr>
            </w:pPr>
            <w:r>
              <w:rPr>
                <w:lang w:val="en-AU"/>
              </w:rPr>
              <w:t>2 (4.9)</w:t>
            </w:r>
          </w:p>
        </w:tc>
        <w:tc>
          <w:tcPr>
            <w:tcW w:w="744" w:type="pct"/>
          </w:tcPr>
          <w:p w:rsidR="006006CB" w:rsidRDefault="00D10D78">
            <w:pPr>
              <w:pStyle w:val="PBACTableText"/>
              <w:keepNext/>
              <w:spacing w:before="0" w:after="0"/>
              <w:jc w:val="center"/>
              <w:rPr>
                <w:lang w:val="en-AU"/>
              </w:rPr>
            </w:pPr>
            <w:r>
              <w:rPr>
                <w:lang w:val="en-AU"/>
              </w:rPr>
              <w:t>0</w:t>
            </w:r>
          </w:p>
        </w:tc>
        <w:tc>
          <w:tcPr>
            <w:tcW w:w="864" w:type="pct"/>
          </w:tcPr>
          <w:p w:rsidR="006006CB" w:rsidRDefault="00D10D78">
            <w:pPr>
              <w:pStyle w:val="PBACTableText"/>
              <w:keepNext/>
              <w:spacing w:before="0" w:after="0"/>
              <w:jc w:val="center"/>
              <w:rPr>
                <w:lang w:val="en-AU"/>
              </w:rPr>
            </w:pPr>
            <w:r>
              <w:rPr>
                <w:lang w:val="en-AU"/>
              </w:rPr>
              <w:t>7 (6.9)</w:t>
            </w: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Abdominal discomfort</w:t>
            </w:r>
          </w:p>
        </w:tc>
        <w:tc>
          <w:tcPr>
            <w:tcW w:w="743" w:type="pct"/>
            <w:shd w:val="clear" w:color="auto" w:fill="auto"/>
          </w:tcPr>
          <w:p w:rsidR="006006CB" w:rsidRDefault="00D10D78">
            <w:pPr>
              <w:pStyle w:val="PBACTableText"/>
              <w:keepNext/>
              <w:spacing w:before="0" w:after="0"/>
              <w:jc w:val="center"/>
              <w:rPr>
                <w:lang w:val="en-AU"/>
              </w:rPr>
            </w:pPr>
            <w:r>
              <w:rPr>
                <w:lang w:val="en-AU"/>
              </w:rPr>
              <w:t>4 (9.5)</w:t>
            </w:r>
          </w:p>
        </w:tc>
        <w:tc>
          <w:tcPr>
            <w:tcW w:w="744" w:type="pct"/>
          </w:tcPr>
          <w:p w:rsidR="006006CB" w:rsidRDefault="00D10D78">
            <w:pPr>
              <w:pStyle w:val="PBACTableText"/>
              <w:keepNext/>
              <w:spacing w:before="0" w:after="0"/>
              <w:jc w:val="center"/>
              <w:rPr>
                <w:lang w:val="en-AU"/>
              </w:rPr>
            </w:pPr>
            <w:r>
              <w:rPr>
                <w:lang w:val="en-AU"/>
              </w:rPr>
              <w:t>1 (2.4)</w:t>
            </w:r>
          </w:p>
        </w:tc>
        <w:tc>
          <w:tcPr>
            <w:tcW w:w="744" w:type="pct"/>
          </w:tcPr>
          <w:p w:rsidR="006006CB" w:rsidRDefault="00D10D78">
            <w:pPr>
              <w:pStyle w:val="PBACTableText"/>
              <w:keepNext/>
              <w:spacing w:before="0" w:after="0"/>
              <w:jc w:val="center"/>
              <w:rPr>
                <w:lang w:val="en-AU"/>
              </w:rPr>
            </w:pPr>
            <w:r>
              <w:rPr>
                <w:lang w:val="en-AU"/>
              </w:rPr>
              <w:t>NR</w:t>
            </w:r>
          </w:p>
        </w:tc>
        <w:tc>
          <w:tcPr>
            <w:tcW w:w="864" w:type="pct"/>
          </w:tcPr>
          <w:p w:rsidR="006006CB" w:rsidRDefault="00D10D78">
            <w:pPr>
              <w:pStyle w:val="PBACTableText"/>
              <w:keepNext/>
              <w:spacing w:before="0" w:after="0"/>
              <w:jc w:val="center"/>
              <w:rPr>
                <w:lang w:val="en-AU"/>
              </w:rPr>
            </w:pPr>
            <w:r>
              <w:rPr>
                <w:lang w:val="en-AU"/>
              </w:rPr>
              <w:t>NR</w:t>
            </w:r>
          </w:p>
        </w:tc>
      </w:tr>
      <w:tr w:rsidR="006006CB">
        <w:trPr>
          <w:cantSplit/>
        </w:trPr>
        <w:tc>
          <w:tcPr>
            <w:tcW w:w="1905" w:type="pct"/>
            <w:shd w:val="clear" w:color="auto" w:fill="auto"/>
          </w:tcPr>
          <w:p w:rsidR="006006CB" w:rsidRDefault="00D10D78">
            <w:pPr>
              <w:pStyle w:val="PBACTableText"/>
              <w:keepNext/>
              <w:spacing w:before="0" w:after="0"/>
              <w:rPr>
                <w:lang w:val="en-AU"/>
              </w:rPr>
            </w:pPr>
            <w:r>
              <w:rPr>
                <w:lang w:val="en-AU"/>
              </w:rPr>
              <w:t>Abdominal pain upper</w:t>
            </w:r>
          </w:p>
        </w:tc>
        <w:tc>
          <w:tcPr>
            <w:tcW w:w="743" w:type="pct"/>
            <w:shd w:val="clear" w:color="auto" w:fill="auto"/>
          </w:tcPr>
          <w:p w:rsidR="006006CB" w:rsidRDefault="00D10D78">
            <w:pPr>
              <w:pStyle w:val="PBACTableText"/>
              <w:keepNext/>
              <w:spacing w:before="0" w:after="0"/>
              <w:jc w:val="center"/>
              <w:rPr>
                <w:lang w:val="en-AU"/>
              </w:rPr>
            </w:pPr>
            <w:r>
              <w:rPr>
                <w:lang w:val="en-AU"/>
              </w:rPr>
              <w:t>4 (9.5)</w:t>
            </w:r>
          </w:p>
        </w:tc>
        <w:tc>
          <w:tcPr>
            <w:tcW w:w="744" w:type="pct"/>
          </w:tcPr>
          <w:p w:rsidR="006006CB" w:rsidRDefault="00D10D78">
            <w:pPr>
              <w:pStyle w:val="PBACTableText"/>
              <w:keepNext/>
              <w:spacing w:before="0" w:after="0"/>
              <w:jc w:val="center"/>
              <w:rPr>
                <w:lang w:val="en-AU"/>
              </w:rPr>
            </w:pPr>
            <w:r>
              <w:rPr>
                <w:lang w:val="en-AU"/>
              </w:rPr>
              <w:t>6 (14.6)</w:t>
            </w:r>
          </w:p>
        </w:tc>
        <w:tc>
          <w:tcPr>
            <w:tcW w:w="744" w:type="pct"/>
          </w:tcPr>
          <w:p w:rsidR="006006CB" w:rsidRDefault="00D10D78">
            <w:pPr>
              <w:pStyle w:val="PBACTableText"/>
              <w:keepNext/>
              <w:spacing w:before="0" w:after="0"/>
              <w:jc w:val="center"/>
              <w:rPr>
                <w:lang w:val="en-AU"/>
              </w:rPr>
            </w:pPr>
            <w:r>
              <w:rPr>
                <w:lang w:val="en-AU"/>
              </w:rPr>
              <w:t>NR</w:t>
            </w:r>
          </w:p>
        </w:tc>
        <w:tc>
          <w:tcPr>
            <w:tcW w:w="864" w:type="pct"/>
          </w:tcPr>
          <w:p w:rsidR="006006CB" w:rsidRDefault="00D10D78">
            <w:pPr>
              <w:pStyle w:val="PBACTableText"/>
              <w:keepNext/>
              <w:spacing w:before="0" w:after="0"/>
              <w:jc w:val="center"/>
              <w:rPr>
                <w:lang w:val="en-AU"/>
              </w:rPr>
            </w:pPr>
            <w:r>
              <w:rPr>
                <w:lang w:val="en-AU"/>
              </w:rPr>
              <w:t>NR</w:t>
            </w:r>
          </w:p>
        </w:tc>
      </w:tr>
    </w:tbl>
    <w:p w:rsidR="006006CB" w:rsidRDefault="00D10D78">
      <w:pPr>
        <w:pStyle w:val="TableFooter"/>
        <w:keepNext/>
        <w:widowControl/>
      </w:pPr>
      <w:r>
        <w:t>Abbreviations: NR, not reported</w:t>
      </w:r>
    </w:p>
    <w:p w:rsidR="006006CB" w:rsidRDefault="00D10D78">
      <w:pPr>
        <w:pStyle w:val="TableFooter"/>
        <w:widowControl/>
      </w:pPr>
      <w:r>
        <w:t>Source: Table 22, pp43-44 of the submission; PROMID clinical study report, relevant publications</w:t>
      </w:r>
    </w:p>
    <w:p w:rsidR="006006CB" w:rsidRDefault="006006CB">
      <w:pPr>
        <w:widowControl/>
      </w:pPr>
    </w:p>
    <w:p w:rsidR="006006CB" w:rsidRDefault="00D10D78">
      <w:pPr>
        <w:pStyle w:val="ListParagraph"/>
        <w:widowControl/>
        <w:numPr>
          <w:ilvl w:val="1"/>
          <w:numId w:val="1"/>
        </w:numPr>
      </w:pPr>
      <w:r>
        <w:t xml:space="preserve">In the PROMID trial, octreotide was associated with a higher incidence of gastrointestinal-related adverse events (diarrhoea, abdominal pain, flatulence), cholelithiasis and injection site pain compared with placebo. Nine patients treated with octreotide experienced a serious adverse event, with only one patient experiencing treatment-related serious events (pyrexia, cholecystitis and cholelithiasis). The majority of events were mild to moderate in severity and were consistent with the known safety profile of octreotide. </w:t>
      </w:r>
    </w:p>
    <w:p w:rsidR="006006CB" w:rsidRDefault="00D10D78">
      <w:pPr>
        <w:pStyle w:val="ListParagraph"/>
        <w:widowControl/>
        <w:numPr>
          <w:ilvl w:val="1"/>
          <w:numId w:val="1"/>
        </w:numPr>
      </w:pPr>
      <w:r>
        <w:t>In CLARINET, lanreotide was associated with higher rates of diarrhoea, abdominal pain, flatulence and cholelithiasis compared with placebo. The majority of events were mild to moderate in severity and consistent with the known safety profile of lanreotide.</w:t>
      </w:r>
      <w:r>
        <w:rPr>
          <w:color w:val="3366FF"/>
        </w:rPr>
        <w:t xml:space="preserve"> </w:t>
      </w:r>
    </w:p>
    <w:p w:rsidR="006006CB" w:rsidRDefault="00D10D78">
      <w:pPr>
        <w:pStyle w:val="ListParagraph"/>
        <w:widowControl/>
        <w:numPr>
          <w:ilvl w:val="1"/>
          <w:numId w:val="1"/>
        </w:numPr>
      </w:pPr>
      <w:r>
        <w:lastRenderedPageBreak/>
        <w:t>Based on a naïve indirect comparison, the rate of diarrhoea appeared to be higher in the octreotide arm of PROMID than in the lanreotide arm of CLARINET, which the submission suggested was likely to reflect the inclusion of patients with functional NETs in PROMID (diarrhoea is one of the key hormonal symptoms experienced by patients with functional NETs).</w:t>
      </w:r>
    </w:p>
    <w:p w:rsidR="006006CB" w:rsidRDefault="00D10D78">
      <w:pPr>
        <w:pStyle w:val="ListParagraph"/>
        <w:widowControl/>
        <w:numPr>
          <w:ilvl w:val="1"/>
          <w:numId w:val="1"/>
        </w:numPr>
      </w:pPr>
      <w:r>
        <w:t>Based on an expanded assessment of harms, important ongoing safety topics for octreotide include cardiac disorders, liver disorders, hyperkalaemia, thrombocytopenia, and octreotide used in combination with pegvisomant.</w:t>
      </w:r>
    </w:p>
    <w:p w:rsidR="006006CB" w:rsidRDefault="00D10D78">
      <w:pPr>
        <w:pStyle w:val="Heading2"/>
      </w:pPr>
      <w:bookmarkStart w:id="11" w:name="_Toc9329871"/>
      <w:r>
        <w:t>Clinical claim</w:t>
      </w:r>
      <w:bookmarkEnd w:id="11"/>
    </w:p>
    <w:p w:rsidR="006006CB" w:rsidRDefault="00D10D78">
      <w:pPr>
        <w:pStyle w:val="ListParagraph"/>
        <w:widowControl/>
        <w:numPr>
          <w:ilvl w:val="1"/>
          <w:numId w:val="1"/>
        </w:numPr>
      </w:pPr>
      <w:r>
        <w:t xml:space="preserve">The submission described octreotide as non-inferior in terms of effectiveness and non-inferior in terms of safety compared with lanreotide in the treatment of patients with metastatic non-functioning NETs of midgut or suspected midgut origin. The evaluation considered this claim was not adequately supported by the submission, as the included trials were not sufficiently similar to determine reliable estimates of comparative efficacy and safety. </w:t>
      </w:r>
    </w:p>
    <w:p w:rsidR="006006CB" w:rsidRDefault="00D10D78">
      <w:pPr>
        <w:pStyle w:val="ListParagraph"/>
        <w:widowControl/>
        <w:numPr>
          <w:ilvl w:val="1"/>
          <w:numId w:val="1"/>
        </w:numPr>
      </w:pPr>
      <w:r>
        <w:t>The PSCR acknowledged the uncertainty in the indirect comparison with lanreotide but argued that the claim of non-inferiority is reasonable, noting that international guidelines, such as those published by the European Neuroendocrine Tumour Society (ENETS)</w:t>
      </w:r>
      <w:r>
        <w:rPr>
          <w:rStyle w:val="FootnoteReference"/>
        </w:rPr>
        <w:footnoteReference w:id="1"/>
      </w:r>
      <w:r>
        <w:t>, suggest that when NETs of midgut or suspected midgut origin metastasise, there are two options: watch and wait, or first-line somatostatin analogues, i.e., octreotide or lanreotide.</w:t>
      </w:r>
    </w:p>
    <w:p w:rsidR="006006CB" w:rsidRDefault="00D10D78">
      <w:pPr>
        <w:pStyle w:val="ListParagraph"/>
        <w:widowControl/>
        <w:numPr>
          <w:ilvl w:val="1"/>
          <w:numId w:val="1"/>
        </w:numPr>
      </w:pPr>
      <w:r>
        <w:t>The PBAC noted that the included trials were not sufficiently similar to determine reliable estimates of comparative efficacy and safety.</w:t>
      </w:r>
    </w:p>
    <w:p w:rsidR="006006CB" w:rsidRDefault="00D10D78">
      <w:pPr>
        <w:pStyle w:val="Heading2"/>
      </w:pPr>
      <w:bookmarkStart w:id="12" w:name="_Toc9329872"/>
      <w:r>
        <w:t>Economic analysis</w:t>
      </w:r>
      <w:bookmarkEnd w:id="12"/>
      <w:r>
        <w:t xml:space="preserve"> </w:t>
      </w:r>
    </w:p>
    <w:p w:rsidR="006006CB" w:rsidRDefault="00D10D78">
      <w:pPr>
        <w:pStyle w:val="ListParagraph"/>
        <w:widowControl/>
        <w:numPr>
          <w:ilvl w:val="1"/>
          <w:numId w:val="1"/>
        </w:numPr>
      </w:pPr>
      <w:r>
        <w:t>The equi-effective doses were estimated as octreotide 30 mg every 28 days and lanreotide 120 mg every 28 days, based on the doses of each medication used in the trials. While there was insufficient evidence to confirm equi-effectiveness of these dose strengths, for both medications they are the only dose strengths recommended for this indication.</w:t>
      </w:r>
    </w:p>
    <w:p w:rsidR="006006CB" w:rsidRDefault="00D10D78">
      <w:pPr>
        <w:pStyle w:val="ListParagraph"/>
        <w:widowControl/>
        <w:numPr>
          <w:ilvl w:val="1"/>
          <w:numId w:val="1"/>
        </w:numPr>
      </w:pPr>
      <w:r>
        <w:t xml:space="preserve">The submission presented a cost-minimisation analysis of octreotide versus lanreotide based on a non-inferiority claim for clinical effectiveness and safety (see Table 9). The cost-minimisation analysis was based on drug costs only, with no differences assumed in the use of other health care resources. </w:t>
      </w:r>
    </w:p>
    <w:p w:rsidR="00EF25F3" w:rsidRDefault="00EF25F3" w:rsidP="00EF25F3">
      <w:pPr>
        <w:pStyle w:val="PBACTableTextBoldLeft"/>
      </w:pPr>
      <w:r>
        <w:lastRenderedPageBreak/>
        <w:t xml:space="preserve">Table </w:t>
      </w:r>
      <w:r>
        <w:fldChar w:fldCharType="begin"/>
      </w:r>
      <w:r>
        <w:instrText xml:space="preserve"> SEQ Table \* ARABIC </w:instrText>
      </w:r>
      <w:r>
        <w:fldChar w:fldCharType="separate"/>
      </w:r>
      <w:r w:rsidR="0000118A">
        <w:rPr>
          <w:noProof/>
        </w:rPr>
        <w:t>9</w:t>
      </w:r>
      <w:r>
        <w:fldChar w:fldCharType="end"/>
      </w:r>
      <w:r w:rsidRPr="00BB63C5">
        <w:t>: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9: Cost-minimisation analysis"/>
      </w:tblPr>
      <w:tblGrid>
        <w:gridCol w:w="2255"/>
        <w:gridCol w:w="2254"/>
        <w:gridCol w:w="2254"/>
        <w:gridCol w:w="2254"/>
      </w:tblGrid>
      <w:tr w:rsidR="006006CB">
        <w:tc>
          <w:tcPr>
            <w:tcW w:w="1250" w:type="pct"/>
            <w:tcBorders>
              <w:top w:val="single" w:sz="4" w:space="0" w:color="auto"/>
              <w:left w:val="single" w:sz="4" w:space="0" w:color="auto"/>
              <w:bottom w:val="single" w:sz="4" w:space="0" w:color="auto"/>
              <w:right w:val="single" w:sz="4" w:space="0" w:color="auto"/>
            </w:tcBorders>
            <w:vAlign w:val="center"/>
          </w:tcPr>
          <w:p w:rsidR="006006CB" w:rsidRDefault="006006CB">
            <w:pPr>
              <w:keepNext/>
              <w:widowControl/>
              <w:jc w:val="left"/>
              <w:rPr>
                <w:rFonts w:ascii="Arial Narrow" w:hAnsi="Arial Narrow"/>
                <w:b/>
                <w:sz w:val="20"/>
                <w:highlight w:val="yellow"/>
              </w:rPr>
            </w:pPr>
          </w:p>
        </w:tc>
        <w:tc>
          <w:tcPr>
            <w:tcW w:w="1250" w:type="pct"/>
            <w:tcBorders>
              <w:top w:val="single" w:sz="4" w:space="0" w:color="auto"/>
              <w:left w:val="single" w:sz="4" w:space="0" w:color="auto"/>
              <w:bottom w:val="single" w:sz="4" w:space="0" w:color="auto"/>
              <w:right w:val="single" w:sz="4" w:space="0" w:color="auto"/>
            </w:tcBorders>
            <w:vAlign w:val="center"/>
            <w:hideMark/>
          </w:tcPr>
          <w:p w:rsidR="006006CB" w:rsidRDefault="00D10D78">
            <w:pPr>
              <w:keepNext/>
              <w:widowControl/>
              <w:ind w:right="-108"/>
              <w:jc w:val="center"/>
              <w:rPr>
                <w:rFonts w:ascii="Arial Narrow" w:hAnsi="Arial Narrow"/>
                <w:b/>
                <w:sz w:val="20"/>
              </w:rPr>
            </w:pPr>
            <w:r>
              <w:rPr>
                <w:rFonts w:ascii="Arial Narrow" w:hAnsi="Arial Narrow"/>
                <w:b/>
                <w:sz w:val="20"/>
              </w:rPr>
              <w:t>Ex-manufacturer price</w:t>
            </w:r>
          </w:p>
        </w:tc>
        <w:tc>
          <w:tcPr>
            <w:tcW w:w="1250" w:type="pct"/>
            <w:tcBorders>
              <w:top w:val="single" w:sz="4" w:space="0" w:color="auto"/>
              <w:left w:val="single" w:sz="4" w:space="0" w:color="auto"/>
              <w:bottom w:val="single" w:sz="4" w:space="0" w:color="auto"/>
              <w:right w:val="single" w:sz="4" w:space="0" w:color="auto"/>
            </w:tcBorders>
            <w:vAlign w:val="center"/>
            <w:hideMark/>
          </w:tcPr>
          <w:p w:rsidR="006006CB" w:rsidRDefault="00D10D78">
            <w:pPr>
              <w:keepNext/>
              <w:widowControl/>
              <w:jc w:val="center"/>
              <w:rPr>
                <w:rFonts w:ascii="Arial Narrow" w:hAnsi="Arial Narrow"/>
                <w:b/>
                <w:sz w:val="20"/>
              </w:rPr>
            </w:pPr>
            <w:r>
              <w:rPr>
                <w:rFonts w:ascii="Arial Narrow" w:hAnsi="Arial Narrow"/>
                <w:b/>
                <w:sz w:val="20"/>
              </w:rPr>
              <w:t>DPMQ</w:t>
            </w:r>
          </w:p>
          <w:p w:rsidR="006006CB" w:rsidRDefault="00D10D78">
            <w:pPr>
              <w:keepNext/>
              <w:widowControl/>
              <w:jc w:val="center"/>
              <w:rPr>
                <w:rFonts w:ascii="Arial Narrow" w:hAnsi="Arial Narrow"/>
                <w:b/>
                <w:sz w:val="20"/>
              </w:rPr>
            </w:pPr>
            <w:r>
              <w:rPr>
                <w:rFonts w:ascii="Arial Narrow" w:hAnsi="Arial Narrow"/>
                <w:b/>
                <w:sz w:val="20"/>
              </w:rPr>
              <w:t>(Public Hospital)</w:t>
            </w:r>
          </w:p>
        </w:tc>
        <w:tc>
          <w:tcPr>
            <w:tcW w:w="1250" w:type="pct"/>
            <w:tcBorders>
              <w:top w:val="single" w:sz="4" w:space="0" w:color="auto"/>
              <w:left w:val="single" w:sz="4" w:space="0" w:color="auto"/>
              <w:bottom w:val="single" w:sz="4" w:space="0" w:color="auto"/>
              <w:right w:val="single" w:sz="4" w:space="0" w:color="auto"/>
            </w:tcBorders>
            <w:hideMark/>
          </w:tcPr>
          <w:p w:rsidR="006006CB" w:rsidRDefault="00D10D78">
            <w:pPr>
              <w:keepNext/>
              <w:widowControl/>
              <w:jc w:val="center"/>
              <w:rPr>
                <w:rFonts w:ascii="Arial Narrow" w:hAnsi="Arial Narrow"/>
                <w:b/>
                <w:sz w:val="20"/>
              </w:rPr>
            </w:pPr>
            <w:r>
              <w:rPr>
                <w:rFonts w:ascii="Arial Narrow" w:hAnsi="Arial Narrow"/>
                <w:b/>
                <w:sz w:val="20"/>
              </w:rPr>
              <w:t>DPMQ</w:t>
            </w:r>
          </w:p>
          <w:p w:rsidR="006006CB" w:rsidRDefault="00D10D78">
            <w:pPr>
              <w:keepNext/>
              <w:widowControl/>
              <w:jc w:val="center"/>
              <w:rPr>
                <w:rFonts w:ascii="Arial Narrow" w:hAnsi="Arial Narrow"/>
                <w:b/>
                <w:sz w:val="20"/>
              </w:rPr>
            </w:pPr>
            <w:r>
              <w:rPr>
                <w:rFonts w:ascii="Arial Narrow" w:hAnsi="Arial Narrow"/>
                <w:b/>
                <w:sz w:val="20"/>
              </w:rPr>
              <w:t>(Private Hospital, Community Access)</w:t>
            </w:r>
          </w:p>
        </w:tc>
      </w:tr>
      <w:tr w:rsidR="006006CB">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006CB" w:rsidRDefault="00D10D78">
            <w:pPr>
              <w:keepNext/>
              <w:widowControl/>
              <w:jc w:val="left"/>
              <w:rPr>
                <w:rFonts w:ascii="Arial Narrow" w:hAnsi="Arial Narrow"/>
                <w:sz w:val="20"/>
              </w:rPr>
            </w:pPr>
            <w:r>
              <w:rPr>
                <w:rFonts w:ascii="Arial Narrow" w:hAnsi="Arial Narrow"/>
                <w:b/>
                <w:sz w:val="20"/>
              </w:rPr>
              <w:t>PBS-listed or recommended dose strengths for requested restriction</w:t>
            </w:r>
          </w:p>
        </w:tc>
      </w:tr>
      <w:tr w:rsidR="006006CB">
        <w:tc>
          <w:tcPr>
            <w:tcW w:w="1250" w:type="pct"/>
            <w:tcBorders>
              <w:top w:val="single" w:sz="4" w:space="0" w:color="auto"/>
              <w:left w:val="single" w:sz="4" w:space="0" w:color="auto"/>
              <w:bottom w:val="single" w:sz="4" w:space="0" w:color="auto"/>
              <w:right w:val="single" w:sz="4" w:space="0" w:color="auto"/>
            </w:tcBorders>
            <w:vAlign w:val="center"/>
            <w:hideMark/>
          </w:tcPr>
          <w:p w:rsidR="006006CB" w:rsidRDefault="00D10D78">
            <w:pPr>
              <w:keepNext/>
              <w:widowControl/>
              <w:jc w:val="left"/>
              <w:rPr>
                <w:rFonts w:ascii="Arial Narrow" w:hAnsi="Arial Narrow"/>
                <w:sz w:val="20"/>
              </w:rPr>
            </w:pPr>
            <w:r>
              <w:rPr>
                <w:rFonts w:ascii="Arial Narrow" w:hAnsi="Arial Narrow"/>
                <w:sz w:val="20"/>
              </w:rPr>
              <w:t>Lanreotide 120 mg injection</w:t>
            </w:r>
          </w:p>
          <w:p w:rsidR="006006CB" w:rsidRDefault="00D10D78">
            <w:pPr>
              <w:keepNext/>
              <w:widowControl/>
              <w:jc w:val="left"/>
              <w:rPr>
                <w:rFonts w:ascii="Arial Narrow" w:hAnsi="Arial Narrow"/>
                <w:sz w:val="20"/>
              </w:rPr>
            </w:pPr>
            <w:r>
              <w:rPr>
                <w:rFonts w:ascii="Arial Narrow" w:hAnsi="Arial Narrow"/>
                <w:sz w:val="20"/>
              </w:rPr>
              <w:t>(published price)</w:t>
            </w:r>
          </w:p>
        </w:tc>
        <w:tc>
          <w:tcPr>
            <w:tcW w:w="1250" w:type="pct"/>
            <w:tcBorders>
              <w:top w:val="single" w:sz="4" w:space="0" w:color="auto"/>
              <w:left w:val="single" w:sz="4" w:space="0" w:color="auto"/>
              <w:bottom w:val="single" w:sz="4" w:space="0" w:color="auto"/>
              <w:right w:val="single" w:sz="4" w:space="0" w:color="auto"/>
            </w:tcBorders>
            <w:vAlign w:val="center"/>
            <w:hideMark/>
          </w:tcPr>
          <w:p w:rsidR="006006CB" w:rsidRDefault="00D10D78">
            <w:pPr>
              <w:keepNext/>
              <w:widowControl/>
              <w:jc w:val="center"/>
              <w:rPr>
                <w:rFonts w:ascii="Arial Narrow" w:hAnsi="Arial Narrow"/>
                <w:sz w:val="20"/>
              </w:rPr>
            </w:pPr>
            <w:r>
              <w:rPr>
                <w:rFonts w:ascii="Arial Narrow" w:hAnsi="Arial Narrow"/>
                <w:sz w:val="20"/>
              </w:rPr>
              <w:t>$1,819.44</w:t>
            </w:r>
          </w:p>
        </w:tc>
        <w:tc>
          <w:tcPr>
            <w:tcW w:w="1250" w:type="pct"/>
            <w:tcBorders>
              <w:top w:val="single" w:sz="4" w:space="0" w:color="auto"/>
              <w:left w:val="single" w:sz="4" w:space="0" w:color="auto"/>
              <w:bottom w:val="single" w:sz="4" w:space="0" w:color="auto"/>
              <w:right w:val="single" w:sz="4" w:space="0" w:color="auto"/>
            </w:tcBorders>
            <w:vAlign w:val="center"/>
            <w:hideMark/>
          </w:tcPr>
          <w:p w:rsidR="006006CB" w:rsidRDefault="00D10D78">
            <w:pPr>
              <w:keepNext/>
              <w:widowControl/>
              <w:jc w:val="center"/>
              <w:rPr>
                <w:rFonts w:ascii="Arial Narrow" w:hAnsi="Arial Narrow"/>
                <w:sz w:val="20"/>
              </w:rPr>
            </w:pPr>
            <w:r>
              <w:rPr>
                <w:rFonts w:ascii="Arial Narrow" w:hAnsi="Arial Narrow"/>
                <w:sz w:val="20"/>
              </w:rPr>
              <w:t>$3,638.88</w:t>
            </w:r>
          </w:p>
        </w:tc>
        <w:tc>
          <w:tcPr>
            <w:tcW w:w="1250" w:type="pct"/>
            <w:tcBorders>
              <w:top w:val="single" w:sz="4" w:space="0" w:color="auto"/>
              <w:left w:val="single" w:sz="4" w:space="0" w:color="auto"/>
              <w:bottom w:val="single" w:sz="4" w:space="0" w:color="auto"/>
              <w:right w:val="single" w:sz="4" w:space="0" w:color="auto"/>
            </w:tcBorders>
            <w:vAlign w:val="center"/>
            <w:hideMark/>
          </w:tcPr>
          <w:p w:rsidR="006006CB" w:rsidRDefault="00D10D78">
            <w:pPr>
              <w:keepNext/>
              <w:widowControl/>
              <w:jc w:val="center"/>
              <w:rPr>
                <w:rFonts w:ascii="Arial Narrow" w:hAnsi="Arial Narrow"/>
                <w:sz w:val="20"/>
              </w:rPr>
            </w:pPr>
            <w:r>
              <w:rPr>
                <w:rFonts w:ascii="Arial Narrow" w:hAnsi="Arial Narrow"/>
                <w:sz w:val="20"/>
              </w:rPr>
              <w:t>$3,686.17</w:t>
            </w:r>
          </w:p>
        </w:tc>
      </w:tr>
      <w:tr w:rsidR="006006CB">
        <w:tc>
          <w:tcPr>
            <w:tcW w:w="1250" w:type="pct"/>
            <w:tcBorders>
              <w:top w:val="single" w:sz="4" w:space="0" w:color="auto"/>
              <w:left w:val="single" w:sz="4" w:space="0" w:color="auto"/>
              <w:bottom w:val="single" w:sz="4" w:space="0" w:color="auto"/>
              <w:right w:val="single" w:sz="4" w:space="0" w:color="auto"/>
            </w:tcBorders>
            <w:vAlign w:val="center"/>
          </w:tcPr>
          <w:p w:rsidR="006006CB" w:rsidRDefault="00D10D78">
            <w:pPr>
              <w:keepNext/>
              <w:widowControl/>
              <w:jc w:val="left"/>
              <w:rPr>
                <w:rFonts w:ascii="Arial Narrow" w:hAnsi="Arial Narrow"/>
                <w:sz w:val="20"/>
              </w:rPr>
            </w:pPr>
            <w:r>
              <w:rPr>
                <w:rFonts w:ascii="Arial Narrow" w:hAnsi="Arial Narrow"/>
                <w:sz w:val="20"/>
              </w:rPr>
              <w:t>Octreotide 30 mg injection (published price)</w:t>
            </w:r>
          </w:p>
        </w:tc>
        <w:tc>
          <w:tcPr>
            <w:tcW w:w="1250" w:type="pct"/>
            <w:tcBorders>
              <w:top w:val="single" w:sz="4" w:space="0" w:color="auto"/>
              <w:left w:val="single" w:sz="4" w:space="0" w:color="auto"/>
              <w:bottom w:val="single" w:sz="4" w:space="0" w:color="auto"/>
              <w:right w:val="single" w:sz="4" w:space="0" w:color="auto"/>
            </w:tcBorders>
            <w:vAlign w:val="center"/>
          </w:tcPr>
          <w:p w:rsidR="006006CB" w:rsidRDefault="00D10D78">
            <w:pPr>
              <w:keepNext/>
              <w:widowControl/>
              <w:jc w:val="center"/>
              <w:rPr>
                <w:rFonts w:ascii="Arial Narrow" w:hAnsi="Arial Narrow"/>
                <w:sz w:val="20"/>
                <w:highlight w:val="yellow"/>
              </w:rPr>
            </w:pPr>
            <w:r>
              <w:rPr>
                <w:rFonts w:ascii="Arial Narrow" w:hAnsi="Arial Narrow"/>
                <w:sz w:val="20"/>
              </w:rPr>
              <w:t>$2,177.46</w:t>
            </w:r>
          </w:p>
        </w:tc>
        <w:tc>
          <w:tcPr>
            <w:tcW w:w="1250" w:type="pct"/>
            <w:tcBorders>
              <w:top w:val="single" w:sz="4" w:space="0" w:color="auto"/>
              <w:left w:val="single" w:sz="4" w:space="0" w:color="auto"/>
              <w:bottom w:val="single" w:sz="4" w:space="0" w:color="auto"/>
              <w:right w:val="single" w:sz="4" w:space="0" w:color="auto"/>
            </w:tcBorders>
            <w:vAlign w:val="center"/>
          </w:tcPr>
          <w:p w:rsidR="006006CB" w:rsidRDefault="00D10D78">
            <w:pPr>
              <w:keepNext/>
              <w:widowControl/>
              <w:jc w:val="center"/>
              <w:rPr>
                <w:rFonts w:ascii="Arial Narrow" w:hAnsi="Arial Narrow"/>
                <w:sz w:val="20"/>
              </w:rPr>
            </w:pPr>
            <w:r>
              <w:rPr>
                <w:rFonts w:ascii="Arial Narrow" w:hAnsi="Arial Narrow"/>
                <w:sz w:val="20"/>
              </w:rPr>
              <w:t>$4,354.92</w:t>
            </w:r>
          </w:p>
        </w:tc>
        <w:tc>
          <w:tcPr>
            <w:tcW w:w="1250" w:type="pct"/>
            <w:tcBorders>
              <w:top w:val="single" w:sz="4" w:space="0" w:color="auto"/>
              <w:left w:val="single" w:sz="4" w:space="0" w:color="auto"/>
              <w:bottom w:val="single" w:sz="4" w:space="0" w:color="auto"/>
              <w:right w:val="single" w:sz="4" w:space="0" w:color="auto"/>
            </w:tcBorders>
            <w:vAlign w:val="center"/>
          </w:tcPr>
          <w:p w:rsidR="006006CB" w:rsidRDefault="00D10D78">
            <w:pPr>
              <w:keepNext/>
              <w:widowControl/>
              <w:jc w:val="center"/>
              <w:rPr>
                <w:rFonts w:ascii="Arial Narrow" w:hAnsi="Arial Narrow"/>
                <w:sz w:val="20"/>
              </w:rPr>
            </w:pPr>
            <w:r>
              <w:rPr>
                <w:rFonts w:ascii="Arial Narrow" w:hAnsi="Arial Narrow"/>
                <w:sz w:val="20"/>
              </w:rPr>
              <w:t>$4,402.21</w:t>
            </w:r>
          </w:p>
        </w:tc>
      </w:tr>
      <w:tr w:rsidR="006006CB">
        <w:tc>
          <w:tcPr>
            <w:tcW w:w="1250" w:type="pct"/>
            <w:tcBorders>
              <w:top w:val="single" w:sz="4" w:space="0" w:color="auto"/>
              <w:left w:val="single" w:sz="4" w:space="0" w:color="auto"/>
              <w:bottom w:val="single" w:sz="4" w:space="0" w:color="auto"/>
              <w:right w:val="single" w:sz="4" w:space="0" w:color="auto"/>
            </w:tcBorders>
            <w:vAlign w:val="center"/>
            <w:hideMark/>
          </w:tcPr>
          <w:p w:rsidR="006006CB" w:rsidRDefault="00D10D78">
            <w:pPr>
              <w:keepNext/>
              <w:widowControl/>
              <w:jc w:val="left"/>
              <w:rPr>
                <w:rFonts w:ascii="Arial Narrow" w:hAnsi="Arial Narrow"/>
                <w:sz w:val="20"/>
                <w:highlight w:val="yellow"/>
              </w:rPr>
            </w:pPr>
            <w:r>
              <w:rPr>
                <w:rFonts w:ascii="Arial Narrow" w:hAnsi="Arial Narrow"/>
                <w:sz w:val="20"/>
              </w:rPr>
              <w:t>Octreotide 30 mg injection (effective price)</w:t>
            </w:r>
          </w:p>
        </w:tc>
        <w:tc>
          <w:tcPr>
            <w:tcW w:w="1250" w:type="pct"/>
            <w:tcBorders>
              <w:top w:val="single" w:sz="4" w:space="0" w:color="auto"/>
              <w:left w:val="single" w:sz="4" w:space="0" w:color="auto"/>
              <w:bottom w:val="single" w:sz="4" w:space="0" w:color="auto"/>
              <w:right w:val="single" w:sz="4" w:space="0" w:color="auto"/>
            </w:tcBorders>
            <w:vAlign w:val="center"/>
            <w:hideMark/>
          </w:tcPr>
          <w:p w:rsidR="006006CB" w:rsidRPr="003458F3" w:rsidRDefault="003458F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6006CB" w:rsidRPr="003458F3" w:rsidRDefault="003458F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6006CB" w:rsidRPr="003458F3" w:rsidRDefault="003458F3">
            <w:pPr>
              <w:keepNext/>
              <w:widowControl/>
              <w:jc w:val="center"/>
              <w:rPr>
                <w:rFonts w:ascii="Arial Narrow" w:hAnsi="Arial Narrow"/>
                <w:sz w:val="20"/>
                <w:highlight w:val="black"/>
              </w:rPr>
            </w:pPr>
            <w:r>
              <w:rPr>
                <w:rFonts w:ascii="Arial Narrow" w:hAnsi="Arial Narrow"/>
                <w:noProof/>
                <w:color w:val="000000"/>
                <w:sz w:val="20"/>
                <w:highlight w:val="black"/>
              </w:rPr>
              <w:t>''''''''''''''''''''''''</w:t>
            </w:r>
          </w:p>
        </w:tc>
      </w:tr>
      <w:tr w:rsidR="006006CB">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6006CB" w:rsidRDefault="00D10D78">
            <w:pPr>
              <w:keepNext/>
              <w:widowControl/>
              <w:jc w:val="left"/>
              <w:rPr>
                <w:rFonts w:ascii="Arial Narrow" w:hAnsi="Arial Narrow"/>
                <w:b/>
                <w:sz w:val="20"/>
              </w:rPr>
            </w:pPr>
            <w:r>
              <w:rPr>
                <w:rFonts w:ascii="Arial Narrow" w:hAnsi="Arial Narrow"/>
                <w:b/>
                <w:sz w:val="20"/>
              </w:rPr>
              <w:t>Cost calculation using dose relativity</w:t>
            </w:r>
          </w:p>
        </w:tc>
      </w:tr>
      <w:tr w:rsidR="006006CB">
        <w:tc>
          <w:tcPr>
            <w:tcW w:w="1250" w:type="pct"/>
            <w:tcBorders>
              <w:top w:val="single" w:sz="4" w:space="0" w:color="auto"/>
              <w:left w:val="single" w:sz="4" w:space="0" w:color="auto"/>
              <w:bottom w:val="single" w:sz="4" w:space="0" w:color="auto"/>
              <w:right w:val="single" w:sz="4" w:space="0" w:color="auto"/>
            </w:tcBorders>
            <w:vAlign w:val="center"/>
            <w:hideMark/>
          </w:tcPr>
          <w:p w:rsidR="006006CB" w:rsidRDefault="00D10D78">
            <w:pPr>
              <w:keepNext/>
              <w:widowControl/>
              <w:jc w:val="left"/>
              <w:rPr>
                <w:rFonts w:ascii="Arial Narrow" w:hAnsi="Arial Narrow"/>
                <w:sz w:val="20"/>
                <w:highlight w:val="yellow"/>
              </w:rPr>
            </w:pPr>
            <w:r>
              <w:rPr>
                <w:rFonts w:ascii="Arial Narrow" w:hAnsi="Arial Narrow"/>
                <w:sz w:val="20"/>
              </w:rPr>
              <w:t>Dose of 30 mg octreotide equivalent to 120 mg lanreotide</w:t>
            </w:r>
          </w:p>
        </w:tc>
        <w:tc>
          <w:tcPr>
            <w:tcW w:w="1250" w:type="pct"/>
            <w:tcBorders>
              <w:top w:val="single" w:sz="4" w:space="0" w:color="auto"/>
              <w:left w:val="single" w:sz="4" w:space="0" w:color="auto"/>
              <w:bottom w:val="single" w:sz="4" w:space="0" w:color="auto"/>
              <w:right w:val="single" w:sz="4" w:space="0" w:color="auto"/>
            </w:tcBorders>
            <w:vAlign w:val="center"/>
            <w:hideMark/>
          </w:tcPr>
          <w:p w:rsidR="006006CB" w:rsidRPr="003458F3" w:rsidRDefault="003458F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6006CB" w:rsidRPr="003458F3" w:rsidRDefault="003458F3">
            <w:pPr>
              <w:keepNext/>
              <w:widowControl/>
              <w:jc w:val="center"/>
              <w:rPr>
                <w:rFonts w:ascii="Arial Narrow" w:hAnsi="Arial Narrow"/>
                <w:sz w:val="20"/>
                <w:highlight w:val="black"/>
              </w:rPr>
            </w:pPr>
            <w:r>
              <w:rPr>
                <w:rFonts w:ascii="Arial Narrow" w:hAnsi="Arial Narrow"/>
                <w:noProof/>
                <w:color w:val="000000"/>
                <w:sz w:val="20"/>
                <w:highlight w:val="black"/>
              </w:rPr>
              <w:t>''''''''''''''''''''''''</w:t>
            </w:r>
          </w:p>
        </w:tc>
        <w:tc>
          <w:tcPr>
            <w:tcW w:w="1250" w:type="pct"/>
            <w:tcBorders>
              <w:top w:val="single" w:sz="4" w:space="0" w:color="auto"/>
              <w:left w:val="single" w:sz="4" w:space="0" w:color="auto"/>
              <w:bottom w:val="single" w:sz="4" w:space="0" w:color="auto"/>
              <w:right w:val="single" w:sz="4" w:space="0" w:color="auto"/>
            </w:tcBorders>
            <w:vAlign w:val="center"/>
            <w:hideMark/>
          </w:tcPr>
          <w:p w:rsidR="006006CB" w:rsidRPr="003458F3" w:rsidRDefault="003458F3">
            <w:pPr>
              <w:keepNext/>
              <w:widowControl/>
              <w:jc w:val="center"/>
              <w:rPr>
                <w:rFonts w:ascii="Arial Narrow" w:hAnsi="Arial Narrow"/>
                <w:sz w:val="20"/>
                <w:highlight w:val="black"/>
              </w:rPr>
            </w:pPr>
            <w:r>
              <w:rPr>
                <w:rFonts w:ascii="Arial Narrow" w:hAnsi="Arial Narrow"/>
                <w:noProof/>
                <w:color w:val="000000"/>
                <w:sz w:val="20"/>
                <w:highlight w:val="black"/>
              </w:rPr>
              <w:t>''''''''''''''''''''''''''</w:t>
            </w:r>
          </w:p>
        </w:tc>
      </w:tr>
    </w:tbl>
    <w:p w:rsidR="006006CB" w:rsidRDefault="00D10D78">
      <w:pPr>
        <w:pStyle w:val="PBACTableFootnote"/>
        <w:keepNext/>
        <w:spacing w:before="0" w:after="0"/>
        <w:rPr>
          <w:rFonts w:ascii="Arial Narrow" w:hAnsi="Arial Narrow"/>
          <w:sz w:val="18"/>
          <w:szCs w:val="18"/>
          <w:lang w:val="en-AU"/>
        </w:rPr>
      </w:pPr>
      <w:r>
        <w:rPr>
          <w:rFonts w:ascii="Arial Narrow" w:hAnsi="Arial Narrow"/>
          <w:sz w:val="18"/>
          <w:szCs w:val="18"/>
          <w:lang w:val="en-AU"/>
        </w:rPr>
        <w:t>Abbreviations: DPMQ, dispensed price for maximum quantity</w:t>
      </w:r>
    </w:p>
    <w:p w:rsidR="006006CB" w:rsidRDefault="00D10D78">
      <w:pPr>
        <w:pStyle w:val="PBACTableFootnote"/>
        <w:spacing w:before="0" w:after="0"/>
        <w:rPr>
          <w:rFonts w:ascii="Arial Narrow" w:hAnsi="Arial Narrow"/>
          <w:sz w:val="18"/>
          <w:szCs w:val="18"/>
          <w:lang w:val="en-AU"/>
        </w:rPr>
      </w:pPr>
      <w:r>
        <w:rPr>
          <w:rFonts w:ascii="Arial Narrow" w:hAnsi="Arial Narrow"/>
          <w:sz w:val="18"/>
          <w:szCs w:val="18"/>
          <w:lang w:val="en-AU"/>
        </w:rPr>
        <w:t>Source: Table 26, Table 27, p49 of the submission; Section E excel spreadsheet</w:t>
      </w:r>
    </w:p>
    <w:p w:rsidR="006006CB" w:rsidRDefault="006006CB">
      <w:pPr>
        <w:pStyle w:val="PBACTableFootnote"/>
        <w:spacing w:before="0" w:after="0"/>
        <w:rPr>
          <w:rFonts w:ascii="Arial Narrow" w:hAnsi="Arial Narrow"/>
          <w:sz w:val="18"/>
          <w:szCs w:val="18"/>
          <w:lang w:val="en-AU"/>
        </w:rPr>
      </w:pPr>
    </w:p>
    <w:p w:rsidR="006006CB" w:rsidRDefault="00D10D78">
      <w:pPr>
        <w:pStyle w:val="ListParagraph"/>
        <w:widowControl/>
        <w:numPr>
          <w:ilvl w:val="1"/>
          <w:numId w:val="1"/>
        </w:numPr>
      </w:pPr>
      <w:r>
        <w:t xml:space="preserve">Given that the sponsor was not aware of the current effective price for lanreotide, the cost-minimisation analysis presented in the submission compared the published price of lanreotide for the treatment of GEP-NETs with the proposed effective price for octreotide. A revised cost-minimisation analysis was conducted during the evaluation using the effective price of lanreotide. </w:t>
      </w:r>
      <w:r>
        <w:rPr>
          <w:iCs/>
        </w:rPr>
        <w:t>The submission stated that the sponsor is willing to work with the PBAC to determine the equivalent price for octreotide for this indication. Given both treatments are administered with the same dosage schedule with the same number of injections per script, the effective price for octreotide will be the same as for lanreotide.</w:t>
      </w:r>
    </w:p>
    <w:p w:rsidR="006006CB" w:rsidRDefault="00D10D78">
      <w:pPr>
        <w:pStyle w:val="Heading2"/>
      </w:pPr>
      <w:bookmarkStart w:id="13" w:name="_Toc9329873"/>
      <w:r>
        <w:t>Drug cost/patient/year</w:t>
      </w:r>
      <w:bookmarkEnd w:id="13"/>
    </w:p>
    <w:p w:rsidR="006006CB" w:rsidRDefault="00D10D78">
      <w:pPr>
        <w:pStyle w:val="ListParagraph"/>
        <w:widowControl/>
        <w:numPr>
          <w:ilvl w:val="1"/>
          <w:numId w:val="1"/>
        </w:numPr>
      </w:pPr>
      <w:r>
        <w:t>The estimated annual costs for octreotide 30 mg are $28,525.00 (</w:t>
      </w:r>
      <w:r w:rsidR="003458F3">
        <w:rPr>
          <w:noProof/>
          <w:color w:val="000000"/>
          <w:highlight w:val="black"/>
        </w:rPr>
        <w:t xml:space="preserve">''''''''''''''''''''''' </w:t>
      </w:r>
      <w:r>
        <w:t xml:space="preserve">effective price), using the weighted average DPMQ of $4,375.00 for public/private hospital use (57.5% public, 42.5% private/community access). The costs are based on 13.04 injections per year (i.e. 6.52 scripts of the maximum quantity of 2 x 30 mg injections at the requested price of $4,354.92 per script for public hospital </w:t>
      </w:r>
      <w:r w:rsidR="003458F3">
        <w:rPr>
          <w:noProof/>
          <w:color w:val="000000"/>
          <w:highlight w:val="black"/>
        </w:rPr>
        <w:t>''''''''''''''''''''</w:t>
      </w:r>
      <w:r>
        <w:t xml:space="preserve"> effective) and $4,402.21 per script for private hospital/community access </w:t>
      </w:r>
      <w:r w:rsidR="003458F3">
        <w:rPr>
          <w:noProof/>
          <w:color w:val="000000"/>
          <w:highlight w:val="black"/>
        </w:rPr>
        <w:t>'''''''''''''''''''</w:t>
      </w:r>
      <w:r>
        <w:t xml:space="preserve"> effective). </w:t>
      </w:r>
    </w:p>
    <w:p w:rsidR="006006CB" w:rsidRDefault="00D10D78">
      <w:pPr>
        <w:pStyle w:val="ListParagraph"/>
        <w:widowControl/>
        <w:numPr>
          <w:ilvl w:val="1"/>
          <w:numId w:val="1"/>
        </w:numPr>
      </w:pPr>
      <w:r>
        <w:t xml:space="preserve">The equivalent annual cost of lanreotide 120 mg, at the current PBS-listed price is $23,856.42 (based on the weighted average DPMQ for public/private hospital use, and costs of </w:t>
      </w:r>
      <w:r w:rsidR="003458F3">
        <w:rPr>
          <w:noProof/>
          <w:color w:val="000000"/>
          <w:highlight w:val="black"/>
        </w:rPr>
        <w:t>'''''''''''''''''''</w:t>
      </w:r>
      <w:r>
        <w:t xml:space="preserve"> per script for public hospital and </w:t>
      </w:r>
      <w:r w:rsidR="003458F3">
        <w:rPr>
          <w:noProof/>
          <w:color w:val="000000"/>
          <w:highlight w:val="black"/>
        </w:rPr>
        <w:t>''''''''''''''''''''</w:t>
      </w:r>
      <w:r>
        <w:t xml:space="preserve"> for private hospital/community access). </w:t>
      </w:r>
    </w:p>
    <w:p w:rsidR="006006CB" w:rsidRDefault="00D10D78">
      <w:pPr>
        <w:pStyle w:val="ListParagraph"/>
        <w:widowControl/>
        <w:numPr>
          <w:ilvl w:val="1"/>
          <w:numId w:val="1"/>
        </w:numPr>
      </w:pPr>
      <w:r>
        <w:t>The costs are consistent between the sections of the submission, based on full adherence (one injection every 28 days). The submission stated that an adherence rate of 90% was included in Section 4 estimates, similar to the lanreotide November 2017 submission for GEP-NETs (Lanreotide November 2017 PSD). However, the included spreadsheet did not apply this rate in the calculations, thus the reported estimates represent 100% adherence to treatment.</w:t>
      </w:r>
    </w:p>
    <w:p w:rsidR="006006CB" w:rsidRDefault="00D10D78">
      <w:pPr>
        <w:pStyle w:val="Heading2"/>
      </w:pPr>
      <w:bookmarkStart w:id="14" w:name="_Toc9329874"/>
      <w:r>
        <w:lastRenderedPageBreak/>
        <w:t>Estimated PBS usage &amp; financial implications</w:t>
      </w:r>
      <w:bookmarkEnd w:id="14"/>
    </w:p>
    <w:p w:rsidR="006006CB" w:rsidRDefault="00D10D78">
      <w:pPr>
        <w:pStyle w:val="ListParagraph"/>
        <w:widowControl/>
        <w:numPr>
          <w:ilvl w:val="1"/>
          <w:numId w:val="1"/>
        </w:numPr>
      </w:pPr>
      <w:r>
        <w:t>This submission was not considered by DUSC. The submission took an epidemiological approach to estimating use and costs of listing octreotide, given the comparator, lanreotide, has only been PBS listed for GEP-NETs since December 2018 and there were insufficient data available to use a market share approach. The submission used estimates sourced from the November 2017 lanreotide submission and United States patient registry publications to determine the eligible patient population.</w:t>
      </w:r>
    </w:p>
    <w:p w:rsidR="006006CB" w:rsidRDefault="00D10D78">
      <w:pPr>
        <w:pStyle w:val="ListParagraph"/>
        <w:widowControl/>
        <w:numPr>
          <w:ilvl w:val="1"/>
          <w:numId w:val="1"/>
        </w:numPr>
      </w:pPr>
      <w:r>
        <w:t>The submission’s utilisation estimates were based on an assumed uptake rate for both somatostatin analogues (octreotide and lanreotide), with the market share for octreotide estimated using a 10% Medicare sample analysis of the existing PBS-listed indications for both octreotide and lanreotide.</w:t>
      </w:r>
    </w:p>
    <w:p w:rsidR="006006CB" w:rsidRDefault="00D10D78">
      <w:pPr>
        <w:pStyle w:val="ListParagraph"/>
        <w:widowControl/>
        <w:numPr>
          <w:ilvl w:val="1"/>
          <w:numId w:val="1"/>
        </w:numPr>
      </w:pPr>
      <w:r>
        <w:t xml:space="preserve">The submission’s estimates of uptake included </w:t>
      </w:r>
      <w:r w:rsidR="003458F3">
        <w:rPr>
          <w:noProof/>
          <w:color w:val="000000"/>
          <w:highlight w:val="black"/>
        </w:rPr>
        <w:t>'''''</w:t>
      </w:r>
      <w:r>
        <w:t xml:space="preserve"> patients to be grandfathered onto the listing via a Patient Access Scheme. The submission stated that the market share split for octreotide and lanreotide allowed for the inclusion of these patients. However, these patients were not taken into consideration when calculating the estimates of eligible patients, but were added to the total number of patients electing treatment with octreotide, and only in Year 1 of listing.</w:t>
      </w:r>
    </w:p>
    <w:p w:rsidR="006006CB" w:rsidRDefault="00D10D78">
      <w:pPr>
        <w:pStyle w:val="ListParagraph"/>
        <w:widowControl/>
        <w:numPr>
          <w:ilvl w:val="1"/>
          <w:numId w:val="1"/>
        </w:numPr>
      </w:pPr>
      <w:r>
        <w:t>The submission’s budget impact estimates were derived using the octreotide effective DPMQ against the lanreotide published DPMQ, which resulted in a cost-neutral financial impact. However, using the octreotide published DPMQ against the lanreotide published DPMQ, the net cost of listing octreotide for the PBS/RPBS was less than $10 million  in Year 1 of listing, increasing to less than $10 million  in Year 6, a total cost of less than $10  million over the first 6 years of listing.</w:t>
      </w:r>
    </w:p>
    <w:p w:rsidR="006006CB" w:rsidRDefault="00D10D78">
      <w:pPr>
        <w:pStyle w:val="ListParagraph"/>
        <w:widowControl/>
        <w:numPr>
          <w:ilvl w:val="1"/>
          <w:numId w:val="1"/>
        </w:numPr>
      </w:pPr>
      <w:r>
        <w:t>The submission’s estimates of use and financial implications were uncertain, as the proportions of patients with different tumour characteristics (i.e., metastatic, well</w:t>
      </w:r>
      <w:r>
        <w:noBreakHyphen/>
        <w:t>differentiated, non-functional) were derived from rates for overall NETs and applied separately and may have over- or under-estimated the rates applicable to the midgut NETs population. However, the evaluation noted that with all patient uptake of octreotide expected to come from patients who would otherwise be treated with lanreotide, changes to the eligible patient population based on the effective prices of lanreotide and octreotide would have a nil net financial impact to Government health budgets.</w:t>
      </w:r>
      <w:r>
        <w:rPr>
          <w:color w:val="3366FF"/>
        </w:rPr>
        <w:t xml:space="preserve"> </w:t>
      </w:r>
    </w:p>
    <w:p w:rsidR="00EF25F3" w:rsidRDefault="00EF25F3" w:rsidP="00EF25F3">
      <w:pPr>
        <w:pStyle w:val="PBACTableTextBoldLeft"/>
      </w:pPr>
      <w:r>
        <w:lastRenderedPageBreak/>
        <w:t xml:space="preserve">Table </w:t>
      </w:r>
      <w:r>
        <w:fldChar w:fldCharType="begin"/>
      </w:r>
      <w:r>
        <w:instrText xml:space="preserve"> SEQ Table \* ARABIC </w:instrText>
      </w:r>
      <w:r>
        <w:fldChar w:fldCharType="separate"/>
      </w:r>
      <w:r w:rsidR="0000118A">
        <w:rPr>
          <w:noProof/>
        </w:rPr>
        <w:t>10</w:t>
      </w:r>
      <w:r>
        <w:fldChar w:fldCharType="end"/>
      </w:r>
      <w:r w:rsidRPr="008631BE">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Estimated use and financial implications"/>
      </w:tblPr>
      <w:tblGrid>
        <w:gridCol w:w="2015"/>
        <w:gridCol w:w="1167"/>
        <w:gridCol w:w="1167"/>
        <w:gridCol w:w="1167"/>
        <w:gridCol w:w="1167"/>
        <w:gridCol w:w="1167"/>
        <w:gridCol w:w="1167"/>
      </w:tblGrid>
      <w:tr w:rsidR="006006CB" w:rsidTr="00EF25F3">
        <w:trPr>
          <w:tblHeader/>
        </w:trPr>
        <w:tc>
          <w:tcPr>
            <w:tcW w:w="1118" w:type="pct"/>
            <w:shd w:val="clear" w:color="auto" w:fill="auto"/>
            <w:vAlign w:val="center"/>
          </w:tcPr>
          <w:p w:rsidR="006006CB" w:rsidRDefault="006006CB">
            <w:pPr>
              <w:pStyle w:val="Tabletext"/>
              <w:keepNext/>
              <w:rPr>
                <w:szCs w:val="20"/>
              </w:rPr>
            </w:pPr>
          </w:p>
        </w:tc>
        <w:tc>
          <w:tcPr>
            <w:tcW w:w="647" w:type="pct"/>
            <w:shd w:val="clear" w:color="auto" w:fill="auto"/>
            <w:vAlign w:val="center"/>
          </w:tcPr>
          <w:p w:rsidR="006006CB" w:rsidRDefault="00D10D78">
            <w:pPr>
              <w:pStyle w:val="Tabletext"/>
              <w:keepNext/>
              <w:jc w:val="center"/>
              <w:rPr>
                <w:b/>
                <w:szCs w:val="20"/>
              </w:rPr>
            </w:pPr>
            <w:r>
              <w:rPr>
                <w:b/>
                <w:szCs w:val="20"/>
              </w:rPr>
              <w:t>Year 1</w:t>
            </w:r>
          </w:p>
        </w:tc>
        <w:tc>
          <w:tcPr>
            <w:tcW w:w="647" w:type="pct"/>
            <w:shd w:val="clear" w:color="auto" w:fill="auto"/>
            <w:vAlign w:val="center"/>
          </w:tcPr>
          <w:p w:rsidR="006006CB" w:rsidRDefault="00D10D78">
            <w:pPr>
              <w:pStyle w:val="Tabletext"/>
              <w:keepNext/>
              <w:jc w:val="center"/>
              <w:rPr>
                <w:b/>
                <w:szCs w:val="20"/>
              </w:rPr>
            </w:pPr>
            <w:r>
              <w:rPr>
                <w:b/>
                <w:szCs w:val="20"/>
              </w:rPr>
              <w:t>Year 2</w:t>
            </w:r>
          </w:p>
        </w:tc>
        <w:tc>
          <w:tcPr>
            <w:tcW w:w="647" w:type="pct"/>
            <w:shd w:val="clear" w:color="auto" w:fill="auto"/>
            <w:vAlign w:val="center"/>
          </w:tcPr>
          <w:p w:rsidR="006006CB" w:rsidRDefault="00D10D78">
            <w:pPr>
              <w:pStyle w:val="Tabletext"/>
              <w:keepNext/>
              <w:jc w:val="center"/>
              <w:rPr>
                <w:b/>
                <w:szCs w:val="20"/>
              </w:rPr>
            </w:pPr>
            <w:r>
              <w:rPr>
                <w:b/>
                <w:szCs w:val="20"/>
              </w:rPr>
              <w:t>Year 3</w:t>
            </w:r>
          </w:p>
        </w:tc>
        <w:tc>
          <w:tcPr>
            <w:tcW w:w="647" w:type="pct"/>
            <w:shd w:val="clear" w:color="auto" w:fill="auto"/>
            <w:vAlign w:val="center"/>
          </w:tcPr>
          <w:p w:rsidR="006006CB" w:rsidRDefault="00D10D78">
            <w:pPr>
              <w:pStyle w:val="Tabletext"/>
              <w:keepNext/>
              <w:jc w:val="center"/>
              <w:rPr>
                <w:b/>
                <w:szCs w:val="20"/>
              </w:rPr>
            </w:pPr>
            <w:r>
              <w:rPr>
                <w:b/>
                <w:szCs w:val="20"/>
              </w:rPr>
              <w:t>Year 4</w:t>
            </w:r>
          </w:p>
        </w:tc>
        <w:tc>
          <w:tcPr>
            <w:tcW w:w="647" w:type="pct"/>
            <w:shd w:val="clear" w:color="auto" w:fill="auto"/>
            <w:vAlign w:val="center"/>
          </w:tcPr>
          <w:p w:rsidR="006006CB" w:rsidRDefault="00D10D78">
            <w:pPr>
              <w:pStyle w:val="Tabletext"/>
              <w:keepNext/>
              <w:jc w:val="center"/>
              <w:rPr>
                <w:b/>
                <w:szCs w:val="20"/>
              </w:rPr>
            </w:pPr>
            <w:r>
              <w:rPr>
                <w:b/>
                <w:szCs w:val="20"/>
              </w:rPr>
              <w:t>Year 5</w:t>
            </w:r>
          </w:p>
        </w:tc>
        <w:tc>
          <w:tcPr>
            <w:tcW w:w="646" w:type="pct"/>
          </w:tcPr>
          <w:p w:rsidR="006006CB" w:rsidRDefault="00D10D78">
            <w:pPr>
              <w:pStyle w:val="Tabletext"/>
              <w:keepNext/>
              <w:jc w:val="center"/>
              <w:rPr>
                <w:b/>
                <w:szCs w:val="20"/>
              </w:rPr>
            </w:pPr>
            <w:r>
              <w:rPr>
                <w:b/>
                <w:szCs w:val="20"/>
              </w:rPr>
              <w:t>Year 6</w:t>
            </w:r>
          </w:p>
        </w:tc>
      </w:tr>
      <w:tr w:rsidR="006006CB">
        <w:tc>
          <w:tcPr>
            <w:tcW w:w="5000" w:type="pct"/>
            <w:gridSpan w:val="7"/>
            <w:shd w:val="clear" w:color="auto" w:fill="auto"/>
            <w:vAlign w:val="center"/>
          </w:tcPr>
          <w:p w:rsidR="006006CB" w:rsidRDefault="00D10D78">
            <w:pPr>
              <w:pStyle w:val="Tabletext"/>
              <w:keepNext/>
              <w:rPr>
                <w:b/>
                <w:szCs w:val="20"/>
              </w:rPr>
            </w:pPr>
            <w:r>
              <w:rPr>
                <w:b/>
                <w:bCs/>
                <w:color w:val="000000"/>
                <w:szCs w:val="20"/>
              </w:rPr>
              <w:t>Estimated number of eligible patients</w:t>
            </w:r>
          </w:p>
        </w:tc>
      </w:tr>
      <w:tr w:rsidR="006006CB" w:rsidTr="00EF25F3">
        <w:tc>
          <w:tcPr>
            <w:tcW w:w="1118" w:type="pct"/>
            <w:shd w:val="clear" w:color="auto" w:fill="auto"/>
            <w:vAlign w:val="center"/>
          </w:tcPr>
          <w:p w:rsidR="006006CB" w:rsidRDefault="00D10D78">
            <w:pPr>
              <w:pStyle w:val="Tabletext"/>
              <w:keepNext/>
              <w:rPr>
                <w:szCs w:val="20"/>
              </w:rPr>
            </w:pPr>
            <w:r>
              <w:t>Australian adult population</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6" w:type="pct"/>
            <w:vAlign w:val="center"/>
          </w:tcPr>
          <w:p w:rsidR="006006CB" w:rsidRPr="003458F3" w:rsidRDefault="003458F3">
            <w:pPr>
              <w:pStyle w:val="Tabletext"/>
              <w:keepNext/>
              <w:jc w:val="center"/>
              <w:rPr>
                <w:b/>
                <w:szCs w:val="20"/>
                <w:highlight w:val="black"/>
              </w:rPr>
            </w:pPr>
            <w:r>
              <w:rPr>
                <w:noProof/>
                <w:color w:val="00000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t>Prevalence of all NETs (35/100,000)</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6" w:type="pct"/>
            <w:vAlign w:val="center"/>
          </w:tcPr>
          <w:p w:rsidR="006006CB" w:rsidRPr="003458F3" w:rsidRDefault="003458F3">
            <w:pPr>
              <w:pStyle w:val="Tabletext"/>
              <w:keepNext/>
              <w:jc w:val="center"/>
              <w:rPr>
                <w:b/>
                <w:szCs w:val="20"/>
                <w:highlight w:val="black"/>
              </w:rPr>
            </w:pPr>
            <w:r>
              <w:rPr>
                <w:noProof/>
                <w:color w:val="00000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t>Midgut NETs (20.4%)</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6" w:type="pct"/>
            <w:vAlign w:val="center"/>
          </w:tcPr>
          <w:p w:rsidR="006006CB" w:rsidRPr="003458F3" w:rsidRDefault="003458F3">
            <w:pPr>
              <w:pStyle w:val="Tabletext"/>
              <w:keepNext/>
              <w:jc w:val="center"/>
              <w:rPr>
                <w:b/>
                <w:szCs w:val="20"/>
                <w:highlight w:val="black"/>
              </w:rPr>
            </w:pPr>
            <w:r>
              <w:rPr>
                <w:noProof/>
                <w:color w:val="00000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t>Metastatic / locally advanced (65%)</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6" w:type="pct"/>
            <w:vAlign w:val="center"/>
          </w:tcPr>
          <w:p w:rsidR="006006CB" w:rsidRPr="003458F3" w:rsidRDefault="003458F3">
            <w:pPr>
              <w:pStyle w:val="Tabletext"/>
              <w:keepNext/>
              <w:jc w:val="center"/>
              <w:rPr>
                <w:b/>
                <w:szCs w:val="20"/>
                <w:highlight w:val="black"/>
              </w:rPr>
            </w:pPr>
            <w:r>
              <w:rPr>
                <w:noProof/>
                <w:color w:val="00000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t>Non-functional disease (68.19%)</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6" w:type="pct"/>
            <w:vAlign w:val="center"/>
          </w:tcPr>
          <w:p w:rsidR="006006CB" w:rsidRPr="003458F3" w:rsidRDefault="003458F3">
            <w:pPr>
              <w:pStyle w:val="Tabletext"/>
              <w:keepNext/>
              <w:jc w:val="center"/>
              <w:rPr>
                <w:b/>
                <w:szCs w:val="20"/>
                <w:highlight w:val="black"/>
              </w:rPr>
            </w:pPr>
            <w:r>
              <w:rPr>
                <w:noProof/>
                <w:color w:val="00000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t>WHO Grade 1 or 2 tumour (68.79%)</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6" w:type="pct"/>
            <w:vAlign w:val="center"/>
          </w:tcPr>
          <w:p w:rsidR="006006CB" w:rsidRPr="003458F3" w:rsidRDefault="003458F3">
            <w:pPr>
              <w:pStyle w:val="Tabletext"/>
              <w:keepNext/>
              <w:jc w:val="center"/>
              <w:rPr>
                <w:b/>
                <w:szCs w:val="20"/>
                <w:highlight w:val="black"/>
              </w:rPr>
            </w:pPr>
            <w:r>
              <w:rPr>
                <w:noProof/>
                <w:color w:val="00000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t>Not suitable for watchful waiting/ total eligible patients (77%)</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b/>
                <w:szCs w:val="20"/>
                <w:highlight w:val="black"/>
              </w:rPr>
            </w:pPr>
            <w:r>
              <w:rPr>
                <w:noProof/>
                <w:color w:val="000000"/>
                <w:highlight w:val="black"/>
              </w:rPr>
              <w:t>''''''''''</w:t>
            </w:r>
          </w:p>
        </w:tc>
        <w:tc>
          <w:tcPr>
            <w:tcW w:w="646" w:type="pct"/>
            <w:vAlign w:val="center"/>
          </w:tcPr>
          <w:p w:rsidR="006006CB" w:rsidRPr="003458F3" w:rsidRDefault="003458F3">
            <w:pPr>
              <w:pStyle w:val="Tabletext"/>
              <w:keepNext/>
              <w:jc w:val="center"/>
              <w:rPr>
                <w:b/>
                <w:szCs w:val="20"/>
                <w:highlight w:val="black"/>
              </w:rPr>
            </w:pPr>
            <w:r>
              <w:rPr>
                <w:noProof/>
                <w:color w:val="000000"/>
                <w:highlight w:val="black"/>
              </w:rPr>
              <w:t>''''''''''</w:t>
            </w:r>
          </w:p>
        </w:tc>
      </w:tr>
      <w:tr w:rsidR="006006CB">
        <w:tc>
          <w:tcPr>
            <w:tcW w:w="5000" w:type="pct"/>
            <w:gridSpan w:val="7"/>
            <w:shd w:val="clear" w:color="auto" w:fill="auto"/>
            <w:vAlign w:val="center"/>
          </w:tcPr>
          <w:p w:rsidR="006006CB" w:rsidRDefault="00D10D78">
            <w:pPr>
              <w:pStyle w:val="Tabletext"/>
              <w:keepNext/>
              <w:rPr>
                <w:b/>
                <w:bCs/>
                <w:color w:val="000000"/>
                <w:szCs w:val="20"/>
              </w:rPr>
            </w:pPr>
            <w:r>
              <w:rPr>
                <w:b/>
                <w:bCs/>
                <w:color w:val="000000"/>
                <w:szCs w:val="20"/>
              </w:rPr>
              <w:t>Estimated extent of use</w:t>
            </w:r>
          </w:p>
        </w:tc>
      </w:tr>
      <w:tr w:rsidR="006006CB" w:rsidTr="00EF25F3">
        <w:tc>
          <w:tcPr>
            <w:tcW w:w="1118" w:type="pct"/>
            <w:shd w:val="clear" w:color="auto" w:fill="auto"/>
            <w:vAlign w:val="center"/>
          </w:tcPr>
          <w:p w:rsidR="006006CB" w:rsidRDefault="00D10D78">
            <w:pPr>
              <w:pStyle w:val="Tabletext"/>
              <w:keepNext/>
              <w:rPr>
                <w:szCs w:val="20"/>
              </w:rPr>
            </w:pPr>
            <w:r>
              <w:t>Uptake rate for all somatostatin analogues</w:t>
            </w:r>
          </w:p>
        </w:tc>
        <w:tc>
          <w:tcPr>
            <w:tcW w:w="647" w:type="pct"/>
            <w:shd w:val="clear" w:color="auto" w:fill="auto"/>
            <w:vAlign w:val="center"/>
          </w:tcPr>
          <w:p w:rsidR="006006CB" w:rsidRDefault="003458F3">
            <w:pPr>
              <w:pStyle w:val="Tabletext"/>
              <w:keepNext/>
              <w:jc w:val="center"/>
              <w:rPr>
                <w:bCs/>
                <w:color w:val="000000"/>
                <w:szCs w:val="20"/>
              </w:rPr>
            </w:pPr>
            <w:r>
              <w:rPr>
                <w:noProof/>
                <w:color w:val="000000"/>
                <w:highlight w:val="black"/>
              </w:rPr>
              <w:t>'''''''</w:t>
            </w:r>
            <w:r w:rsidR="00D10D78">
              <w:t>%</w:t>
            </w:r>
          </w:p>
        </w:tc>
        <w:tc>
          <w:tcPr>
            <w:tcW w:w="647" w:type="pct"/>
            <w:shd w:val="clear" w:color="auto" w:fill="auto"/>
            <w:vAlign w:val="center"/>
          </w:tcPr>
          <w:p w:rsidR="006006CB" w:rsidRDefault="003458F3">
            <w:pPr>
              <w:pStyle w:val="Tabletext"/>
              <w:keepNext/>
              <w:jc w:val="center"/>
              <w:rPr>
                <w:bCs/>
                <w:color w:val="000000"/>
                <w:szCs w:val="20"/>
              </w:rPr>
            </w:pPr>
            <w:r>
              <w:rPr>
                <w:noProof/>
                <w:color w:val="000000"/>
                <w:highlight w:val="black"/>
              </w:rPr>
              <w:t>''''''</w:t>
            </w:r>
            <w:r w:rsidR="00D10D78">
              <w:t>%</w:t>
            </w:r>
          </w:p>
        </w:tc>
        <w:tc>
          <w:tcPr>
            <w:tcW w:w="647" w:type="pct"/>
            <w:shd w:val="clear" w:color="auto" w:fill="auto"/>
            <w:vAlign w:val="center"/>
          </w:tcPr>
          <w:p w:rsidR="006006CB" w:rsidRDefault="003458F3">
            <w:pPr>
              <w:pStyle w:val="Tabletext"/>
              <w:keepNext/>
              <w:jc w:val="center"/>
              <w:rPr>
                <w:bCs/>
                <w:color w:val="000000"/>
                <w:szCs w:val="20"/>
              </w:rPr>
            </w:pPr>
            <w:r>
              <w:rPr>
                <w:noProof/>
                <w:color w:val="000000"/>
                <w:highlight w:val="black"/>
              </w:rPr>
              <w:t>'''''''</w:t>
            </w:r>
            <w:r w:rsidR="00D10D78">
              <w:t>%</w:t>
            </w:r>
          </w:p>
        </w:tc>
        <w:tc>
          <w:tcPr>
            <w:tcW w:w="647" w:type="pct"/>
            <w:shd w:val="clear" w:color="auto" w:fill="auto"/>
            <w:vAlign w:val="center"/>
          </w:tcPr>
          <w:p w:rsidR="006006CB" w:rsidRDefault="003458F3">
            <w:pPr>
              <w:pStyle w:val="Tabletext"/>
              <w:keepNext/>
              <w:jc w:val="center"/>
              <w:rPr>
                <w:bCs/>
                <w:color w:val="000000"/>
                <w:szCs w:val="20"/>
              </w:rPr>
            </w:pPr>
            <w:r>
              <w:rPr>
                <w:noProof/>
                <w:color w:val="000000"/>
                <w:highlight w:val="black"/>
              </w:rPr>
              <w:t>'''''</w:t>
            </w:r>
            <w:r w:rsidR="00D10D78">
              <w:t>%</w:t>
            </w:r>
          </w:p>
        </w:tc>
        <w:tc>
          <w:tcPr>
            <w:tcW w:w="647" w:type="pct"/>
            <w:shd w:val="clear" w:color="auto" w:fill="auto"/>
            <w:vAlign w:val="center"/>
          </w:tcPr>
          <w:p w:rsidR="006006CB" w:rsidRDefault="003458F3">
            <w:pPr>
              <w:pStyle w:val="Tabletext"/>
              <w:keepNext/>
              <w:jc w:val="center"/>
              <w:rPr>
                <w:bCs/>
                <w:color w:val="000000"/>
                <w:szCs w:val="20"/>
              </w:rPr>
            </w:pPr>
            <w:r>
              <w:rPr>
                <w:noProof/>
                <w:color w:val="000000"/>
                <w:highlight w:val="black"/>
              </w:rPr>
              <w:t>''''''</w:t>
            </w:r>
            <w:r w:rsidR="00D10D78">
              <w:t>%</w:t>
            </w:r>
          </w:p>
        </w:tc>
        <w:tc>
          <w:tcPr>
            <w:tcW w:w="646" w:type="pct"/>
            <w:vAlign w:val="center"/>
          </w:tcPr>
          <w:p w:rsidR="006006CB" w:rsidRDefault="003458F3">
            <w:pPr>
              <w:pStyle w:val="Tabletext"/>
              <w:keepNext/>
              <w:jc w:val="center"/>
              <w:rPr>
                <w:bCs/>
                <w:color w:val="000000"/>
                <w:szCs w:val="20"/>
              </w:rPr>
            </w:pPr>
            <w:r>
              <w:rPr>
                <w:noProof/>
                <w:color w:val="000000"/>
                <w:highlight w:val="black"/>
              </w:rPr>
              <w:t>'''''</w:t>
            </w:r>
            <w:r w:rsidR="00D10D78">
              <w:t>%</w:t>
            </w:r>
          </w:p>
        </w:tc>
      </w:tr>
      <w:tr w:rsidR="006006CB" w:rsidTr="00EF25F3">
        <w:tc>
          <w:tcPr>
            <w:tcW w:w="1118" w:type="pct"/>
            <w:shd w:val="clear" w:color="auto" w:fill="auto"/>
            <w:vAlign w:val="center"/>
          </w:tcPr>
          <w:p w:rsidR="006006CB" w:rsidRDefault="00D10D78">
            <w:pPr>
              <w:pStyle w:val="Tabletext"/>
              <w:keepNext/>
              <w:rPr>
                <w:szCs w:val="20"/>
              </w:rPr>
            </w:pPr>
            <w:r>
              <w:t>Octreotide market share (50-60%)</w:t>
            </w:r>
          </w:p>
        </w:tc>
        <w:tc>
          <w:tcPr>
            <w:tcW w:w="647" w:type="pct"/>
            <w:shd w:val="clear" w:color="auto" w:fill="auto"/>
            <w:vAlign w:val="center"/>
          </w:tcPr>
          <w:p w:rsidR="006006CB" w:rsidRPr="003458F3" w:rsidRDefault="003458F3">
            <w:pPr>
              <w:pStyle w:val="Tabletext"/>
              <w:keepNext/>
              <w:jc w:val="center"/>
              <w:rPr>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szCs w:val="20"/>
                <w:highlight w:val="black"/>
              </w:rPr>
            </w:pPr>
            <w:r>
              <w:rPr>
                <w:noProof/>
                <w:color w:val="000000"/>
                <w:highlight w:val="black"/>
              </w:rPr>
              <w:t>'''''''''</w:t>
            </w:r>
          </w:p>
        </w:tc>
        <w:tc>
          <w:tcPr>
            <w:tcW w:w="647" w:type="pct"/>
            <w:shd w:val="clear" w:color="auto" w:fill="auto"/>
            <w:vAlign w:val="center"/>
          </w:tcPr>
          <w:p w:rsidR="006006CB" w:rsidRPr="003458F3" w:rsidRDefault="003458F3">
            <w:pPr>
              <w:pStyle w:val="Tabletext"/>
              <w:keepNext/>
              <w:jc w:val="center"/>
              <w:rPr>
                <w:szCs w:val="20"/>
                <w:highlight w:val="black"/>
              </w:rPr>
            </w:pPr>
            <w:r>
              <w:rPr>
                <w:noProof/>
                <w:color w:val="000000"/>
                <w:highlight w:val="black"/>
              </w:rPr>
              <w:t>''''''''</w:t>
            </w:r>
          </w:p>
        </w:tc>
        <w:tc>
          <w:tcPr>
            <w:tcW w:w="646" w:type="pct"/>
            <w:vAlign w:val="center"/>
          </w:tcPr>
          <w:p w:rsidR="006006CB" w:rsidRPr="003458F3" w:rsidRDefault="003458F3">
            <w:pPr>
              <w:pStyle w:val="Tabletext"/>
              <w:keepNext/>
              <w:jc w:val="center"/>
              <w:rPr>
                <w:szCs w:val="20"/>
                <w:highlight w:val="black"/>
              </w:rPr>
            </w:pPr>
            <w:r>
              <w:rPr>
                <w:noProof/>
                <w:color w:val="00000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rPr>
                <w:szCs w:val="20"/>
              </w:rPr>
              <w:t>Number of patients treated</w:t>
            </w:r>
          </w:p>
        </w:tc>
        <w:tc>
          <w:tcPr>
            <w:tcW w:w="647" w:type="pct"/>
            <w:shd w:val="clear" w:color="auto" w:fill="auto"/>
            <w:vAlign w:val="center"/>
          </w:tcPr>
          <w:p w:rsidR="006006CB" w:rsidRPr="003458F3" w:rsidRDefault="003458F3">
            <w:pPr>
              <w:pStyle w:val="Tabletext"/>
              <w:keepNext/>
              <w:jc w:val="center"/>
              <w:rPr>
                <w:szCs w:val="20"/>
                <w:highlight w:val="black"/>
              </w:rPr>
            </w:pPr>
            <w:r>
              <w:rPr>
                <w:noProof/>
                <w:color w:val="000000"/>
                <w:szCs w:val="20"/>
                <w:highlight w:val="black"/>
              </w:rPr>
              <w:t>'''''''''</w:t>
            </w:r>
          </w:p>
        </w:tc>
        <w:tc>
          <w:tcPr>
            <w:tcW w:w="647" w:type="pct"/>
            <w:shd w:val="clear" w:color="auto" w:fill="auto"/>
            <w:vAlign w:val="center"/>
          </w:tcPr>
          <w:p w:rsidR="006006CB" w:rsidRPr="003458F3" w:rsidRDefault="003458F3">
            <w:pPr>
              <w:pStyle w:val="Tabletext"/>
              <w:keepNext/>
              <w:jc w:val="center"/>
              <w:rPr>
                <w:szCs w:val="20"/>
                <w:highlight w:val="black"/>
              </w:rPr>
            </w:pPr>
            <w:r>
              <w:rPr>
                <w:noProof/>
                <w:color w:val="000000"/>
                <w:szCs w:val="20"/>
                <w:highlight w:val="black"/>
              </w:rPr>
              <w:t>''''''''''</w:t>
            </w:r>
          </w:p>
        </w:tc>
        <w:tc>
          <w:tcPr>
            <w:tcW w:w="647" w:type="pct"/>
            <w:shd w:val="clear" w:color="auto" w:fill="auto"/>
            <w:vAlign w:val="center"/>
          </w:tcPr>
          <w:p w:rsidR="006006CB" w:rsidRPr="003458F3" w:rsidRDefault="003458F3">
            <w:pPr>
              <w:pStyle w:val="Tabletext"/>
              <w:keepNext/>
              <w:jc w:val="center"/>
              <w:rPr>
                <w:szCs w:val="20"/>
                <w:highlight w:val="black"/>
              </w:rPr>
            </w:pPr>
            <w:r>
              <w:rPr>
                <w:noProof/>
                <w:color w:val="000000"/>
                <w:szCs w:val="20"/>
                <w:highlight w:val="black"/>
              </w:rPr>
              <w:t>'''''''''</w:t>
            </w:r>
          </w:p>
        </w:tc>
        <w:tc>
          <w:tcPr>
            <w:tcW w:w="647" w:type="pct"/>
            <w:shd w:val="clear" w:color="auto" w:fill="auto"/>
            <w:vAlign w:val="center"/>
          </w:tcPr>
          <w:p w:rsidR="006006CB" w:rsidRPr="003458F3" w:rsidRDefault="003458F3">
            <w:pPr>
              <w:pStyle w:val="Tabletext"/>
              <w:keepNext/>
              <w:jc w:val="center"/>
              <w:rPr>
                <w:szCs w:val="20"/>
                <w:highlight w:val="black"/>
              </w:rPr>
            </w:pPr>
            <w:r>
              <w:rPr>
                <w:noProof/>
                <w:color w:val="000000"/>
                <w:szCs w:val="20"/>
                <w:highlight w:val="black"/>
              </w:rPr>
              <w:t>''''''''''</w:t>
            </w:r>
          </w:p>
        </w:tc>
        <w:tc>
          <w:tcPr>
            <w:tcW w:w="647" w:type="pct"/>
            <w:shd w:val="clear" w:color="auto" w:fill="auto"/>
            <w:vAlign w:val="center"/>
          </w:tcPr>
          <w:p w:rsidR="006006CB" w:rsidRPr="003458F3" w:rsidRDefault="003458F3">
            <w:pPr>
              <w:pStyle w:val="Tabletext"/>
              <w:keepNext/>
              <w:jc w:val="center"/>
              <w:rPr>
                <w:szCs w:val="20"/>
                <w:highlight w:val="black"/>
              </w:rPr>
            </w:pPr>
            <w:r>
              <w:rPr>
                <w:noProof/>
                <w:color w:val="000000"/>
                <w:szCs w:val="20"/>
                <w:highlight w:val="black"/>
              </w:rPr>
              <w:t>'''''''''</w:t>
            </w:r>
          </w:p>
        </w:tc>
        <w:tc>
          <w:tcPr>
            <w:tcW w:w="646" w:type="pct"/>
            <w:vAlign w:val="center"/>
          </w:tcPr>
          <w:p w:rsidR="006006CB" w:rsidRPr="003458F3" w:rsidRDefault="003458F3">
            <w:pPr>
              <w:pStyle w:val="Tabletext"/>
              <w:keepNext/>
              <w:jc w:val="center"/>
              <w:rPr>
                <w:szCs w:val="20"/>
                <w:highlight w:val="black"/>
              </w:rPr>
            </w:pPr>
            <w:r>
              <w:rPr>
                <w:noProof/>
                <w:color w:val="000000"/>
                <w:szCs w:val="2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rPr>
                <w:szCs w:val="20"/>
              </w:rPr>
              <w:t>Number of scripts dispensed</w:t>
            </w:r>
            <w:r>
              <w:rPr>
                <w:szCs w:val="20"/>
                <w:vertAlign w:val="superscript"/>
              </w:rPr>
              <w:t>a</w:t>
            </w:r>
          </w:p>
        </w:tc>
        <w:tc>
          <w:tcPr>
            <w:tcW w:w="647" w:type="pct"/>
            <w:shd w:val="clear" w:color="auto" w:fill="auto"/>
            <w:vAlign w:val="center"/>
          </w:tcPr>
          <w:p w:rsidR="006006CB" w:rsidRPr="003458F3" w:rsidRDefault="003458F3">
            <w:pPr>
              <w:pStyle w:val="Tabletext"/>
              <w:keepN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6006CB" w:rsidRPr="003458F3" w:rsidRDefault="003458F3">
            <w:pPr>
              <w:pStyle w:val="Tabletext"/>
              <w:keepN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6006CB" w:rsidRPr="003458F3" w:rsidRDefault="003458F3">
            <w:pPr>
              <w:pStyle w:val="Tabletext"/>
              <w:keepN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6006CB" w:rsidRPr="003458F3" w:rsidRDefault="003458F3">
            <w:pPr>
              <w:pStyle w:val="Tabletext"/>
              <w:keepNext/>
              <w:jc w:val="center"/>
              <w:rPr>
                <w:bCs/>
                <w:color w:val="000000"/>
                <w:szCs w:val="20"/>
                <w:highlight w:val="black"/>
              </w:rPr>
            </w:pPr>
            <w:r>
              <w:rPr>
                <w:noProof/>
                <w:color w:val="000000"/>
                <w:szCs w:val="20"/>
                <w:highlight w:val="black"/>
              </w:rPr>
              <w:t>''''''''''''''</w:t>
            </w:r>
          </w:p>
        </w:tc>
        <w:tc>
          <w:tcPr>
            <w:tcW w:w="647" w:type="pct"/>
            <w:shd w:val="clear" w:color="auto" w:fill="auto"/>
            <w:vAlign w:val="center"/>
          </w:tcPr>
          <w:p w:rsidR="006006CB" w:rsidRPr="003458F3" w:rsidRDefault="003458F3">
            <w:pPr>
              <w:pStyle w:val="Tabletext"/>
              <w:keepNext/>
              <w:jc w:val="center"/>
              <w:rPr>
                <w:bCs/>
                <w:color w:val="000000"/>
                <w:szCs w:val="20"/>
                <w:highlight w:val="black"/>
              </w:rPr>
            </w:pPr>
            <w:r>
              <w:rPr>
                <w:noProof/>
                <w:color w:val="000000"/>
                <w:szCs w:val="20"/>
                <w:highlight w:val="black"/>
              </w:rPr>
              <w:t>''''''''''''''</w:t>
            </w:r>
          </w:p>
        </w:tc>
        <w:tc>
          <w:tcPr>
            <w:tcW w:w="646" w:type="pct"/>
            <w:vAlign w:val="center"/>
          </w:tcPr>
          <w:p w:rsidR="006006CB" w:rsidRPr="003458F3" w:rsidRDefault="003458F3">
            <w:pPr>
              <w:pStyle w:val="Tabletext"/>
              <w:keepNext/>
              <w:jc w:val="center"/>
              <w:rPr>
                <w:bCs/>
                <w:color w:val="000000"/>
                <w:szCs w:val="20"/>
                <w:highlight w:val="black"/>
              </w:rPr>
            </w:pPr>
            <w:r>
              <w:rPr>
                <w:noProof/>
                <w:color w:val="000000"/>
                <w:szCs w:val="20"/>
                <w:highlight w:val="black"/>
              </w:rPr>
              <w:t>'''''''''''</w:t>
            </w:r>
          </w:p>
        </w:tc>
      </w:tr>
      <w:tr w:rsidR="006006CB">
        <w:tc>
          <w:tcPr>
            <w:tcW w:w="5000" w:type="pct"/>
            <w:gridSpan w:val="7"/>
            <w:shd w:val="clear" w:color="auto" w:fill="auto"/>
            <w:vAlign w:val="center"/>
          </w:tcPr>
          <w:p w:rsidR="006006CB" w:rsidRDefault="00D10D78">
            <w:pPr>
              <w:pStyle w:val="Tabletext"/>
              <w:keepNext/>
              <w:rPr>
                <w:b/>
                <w:bCs/>
                <w:color w:val="000000"/>
                <w:szCs w:val="20"/>
                <w:vertAlign w:val="superscript"/>
              </w:rPr>
            </w:pPr>
            <w:r>
              <w:rPr>
                <w:b/>
                <w:bCs/>
                <w:color w:val="000000"/>
                <w:szCs w:val="20"/>
              </w:rPr>
              <w:t xml:space="preserve">Estimated financial implications for octreotide (published) </w:t>
            </w:r>
            <w:r>
              <w:rPr>
                <w:b/>
                <w:bCs/>
                <w:color w:val="000000"/>
                <w:szCs w:val="20"/>
                <w:vertAlign w:val="superscript"/>
              </w:rPr>
              <w:t>b</w:t>
            </w:r>
          </w:p>
        </w:tc>
      </w:tr>
      <w:tr w:rsidR="006006CB" w:rsidTr="00EF25F3">
        <w:tc>
          <w:tcPr>
            <w:tcW w:w="1118" w:type="pct"/>
            <w:shd w:val="clear" w:color="auto" w:fill="auto"/>
            <w:vAlign w:val="center"/>
          </w:tcPr>
          <w:p w:rsidR="006006CB" w:rsidRDefault="00D10D78">
            <w:pPr>
              <w:pStyle w:val="Tabletext"/>
              <w:keepNext/>
              <w:rPr>
                <w:szCs w:val="20"/>
              </w:rPr>
            </w:pPr>
            <w:r>
              <w:rPr>
                <w:szCs w:val="20"/>
              </w:rPr>
              <w:t>Cost to PBS/RPBS</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$4</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$4</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$4</w:t>
            </w:r>
            <w:r w:rsidR="003458F3">
              <w:rPr>
                <w:noProof/>
                <w:color w:val="000000"/>
                <w:highlight w:val="black"/>
              </w:rPr>
              <w:t>''''''''''''''''''''</w:t>
            </w:r>
          </w:p>
        </w:tc>
        <w:tc>
          <w:tcPr>
            <w:tcW w:w="646" w:type="pct"/>
            <w:vAlign w:val="center"/>
          </w:tcPr>
          <w:p w:rsidR="006006CB" w:rsidRDefault="00D10D78">
            <w:pPr>
              <w:pStyle w:val="Tabletext"/>
              <w:keepNext/>
              <w:jc w:val="center"/>
              <w:rPr>
                <w:bCs/>
                <w:color w:val="000000"/>
                <w:szCs w:val="20"/>
              </w:rPr>
            </w:pPr>
            <w:r>
              <w:t>$</w:t>
            </w:r>
            <w:r w:rsidR="003458F3">
              <w:rPr>
                <w:noProof/>
                <w:color w:val="00000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rPr>
                <w:szCs w:val="20"/>
              </w:rPr>
              <w:t>Copayments</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6" w:type="pct"/>
            <w:vAlign w:val="center"/>
          </w:tcPr>
          <w:p w:rsidR="006006CB" w:rsidRDefault="00D10D78">
            <w:pPr>
              <w:pStyle w:val="Tabletext"/>
              <w:keepNext/>
              <w:jc w:val="center"/>
              <w:rPr>
                <w:bCs/>
                <w:color w:val="000000"/>
                <w:szCs w:val="20"/>
              </w:rPr>
            </w:pPr>
            <w:r>
              <w:t>$</w:t>
            </w:r>
            <w:r w:rsidR="003458F3">
              <w:rPr>
                <w:noProof/>
                <w:color w:val="00000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rPr>
                <w:szCs w:val="20"/>
              </w:rPr>
              <w:t>Cost to PBS/RPBS less copayments</w:t>
            </w:r>
          </w:p>
        </w:tc>
        <w:tc>
          <w:tcPr>
            <w:tcW w:w="647" w:type="pct"/>
            <w:shd w:val="clear" w:color="auto" w:fill="auto"/>
            <w:vAlign w:val="center"/>
          </w:tcPr>
          <w:p w:rsidR="006006CB" w:rsidRDefault="00D10D78">
            <w:pPr>
              <w:pStyle w:val="Tabletext"/>
              <w:keepNext/>
              <w:jc w:val="center"/>
              <w:rPr>
                <w:bCs/>
                <w:i/>
                <w:color w:val="000000"/>
                <w:szCs w:val="20"/>
              </w:rPr>
            </w:pPr>
            <w:r>
              <w:rPr>
                <w:i/>
              </w:rPr>
              <w:t>$4</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$4,</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$4</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$4</w:t>
            </w:r>
            <w:r w:rsidR="003458F3">
              <w:rPr>
                <w:i/>
                <w:noProof/>
                <w:color w:val="000000"/>
                <w:highlight w:val="black"/>
              </w:rPr>
              <w:t>'''''''''''''''''''''</w:t>
            </w:r>
          </w:p>
        </w:tc>
        <w:tc>
          <w:tcPr>
            <w:tcW w:w="646" w:type="pct"/>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r>
      <w:tr w:rsidR="006006CB">
        <w:tc>
          <w:tcPr>
            <w:tcW w:w="5000" w:type="pct"/>
            <w:gridSpan w:val="7"/>
            <w:shd w:val="clear" w:color="auto" w:fill="auto"/>
            <w:vAlign w:val="center"/>
          </w:tcPr>
          <w:p w:rsidR="006006CB" w:rsidRDefault="00D10D78">
            <w:pPr>
              <w:pStyle w:val="Tabletext"/>
              <w:keepNext/>
              <w:rPr>
                <w:b/>
                <w:bCs/>
                <w:color w:val="000000"/>
                <w:szCs w:val="20"/>
                <w:vertAlign w:val="superscript"/>
              </w:rPr>
            </w:pPr>
            <w:r>
              <w:rPr>
                <w:b/>
                <w:bCs/>
                <w:color w:val="000000"/>
                <w:szCs w:val="20"/>
              </w:rPr>
              <w:t xml:space="preserve">Estimated financial implications for octreotide (effective) </w:t>
            </w:r>
            <w:r>
              <w:rPr>
                <w:b/>
                <w:bCs/>
                <w:color w:val="000000"/>
                <w:szCs w:val="20"/>
                <w:vertAlign w:val="superscript"/>
              </w:rPr>
              <w:t>b</w:t>
            </w:r>
          </w:p>
        </w:tc>
      </w:tr>
      <w:tr w:rsidR="006006CB" w:rsidTr="00EF25F3">
        <w:tc>
          <w:tcPr>
            <w:tcW w:w="1118" w:type="pct"/>
            <w:shd w:val="clear" w:color="auto" w:fill="auto"/>
            <w:vAlign w:val="center"/>
          </w:tcPr>
          <w:p w:rsidR="006006CB" w:rsidRDefault="00D10D78">
            <w:pPr>
              <w:pStyle w:val="Tabletext"/>
              <w:keepNext/>
              <w:rPr>
                <w:szCs w:val="20"/>
              </w:rPr>
            </w:pPr>
            <w:r>
              <w:rPr>
                <w:szCs w:val="20"/>
              </w:rPr>
              <w:t>Cost to PBS/RPBS</w:t>
            </w:r>
          </w:p>
        </w:tc>
        <w:tc>
          <w:tcPr>
            <w:tcW w:w="647" w:type="pct"/>
            <w:shd w:val="clear" w:color="auto" w:fill="auto"/>
            <w:vAlign w:val="center"/>
          </w:tcPr>
          <w:p w:rsidR="006006CB" w:rsidRDefault="00D10D78">
            <w:pPr>
              <w:pStyle w:val="Tabletext"/>
              <w:keepNext/>
              <w:jc w:val="center"/>
              <w:rPr>
                <w:bCs/>
                <w:color w:val="000000"/>
                <w:szCs w:val="20"/>
              </w:rPr>
            </w:pPr>
            <w:r>
              <w:t>$4</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$3</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6" w:type="pct"/>
            <w:vAlign w:val="center"/>
          </w:tcPr>
          <w:p w:rsidR="006006CB" w:rsidRDefault="00D10D78">
            <w:pPr>
              <w:pStyle w:val="Tabletext"/>
              <w:keepNext/>
              <w:jc w:val="center"/>
              <w:rPr>
                <w:bCs/>
                <w:color w:val="000000"/>
                <w:szCs w:val="20"/>
              </w:rPr>
            </w:pPr>
            <w:r>
              <w:t>$</w:t>
            </w:r>
            <w:r w:rsidR="003458F3">
              <w:rPr>
                <w:noProof/>
                <w:color w:val="00000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rPr>
                <w:szCs w:val="20"/>
              </w:rPr>
              <w:t>Copayments</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6" w:type="pct"/>
            <w:vAlign w:val="center"/>
          </w:tcPr>
          <w:p w:rsidR="006006CB" w:rsidRDefault="00D10D78">
            <w:pPr>
              <w:pStyle w:val="Tabletext"/>
              <w:keepNext/>
              <w:jc w:val="center"/>
              <w:rPr>
                <w:bCs/>
                <w:color w:val="000000"/>
                <w:szCs w:val="20"/>
              </w:rPr>
            </w:pPr>
            <w:r>
              <w:t>$</w:t>
            </w:r>
            <w:r w:rsidR="003458F3">
              <w:rPr>
                <w:noProof/>
                <w:color w:val="00000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rPr>
                <w:szCs w:val="20"/>
              </w:rPr>
              <w:t>Cost to PBS/RPBS less copayments</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6" w:type="pct"/>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r>
      <w:tr w:rsidR="006006CB">
        <w:tc>
          <w:tcPr>
            <w:tcW w:w="5000" w:type="pct"/>
            <w:gridSpan w:val="7"/>
            <w:shd w:val="clear" w:color="auto" w:fill="auto"/>
            <w:vAlign w:val="center"/>
          </w:tcPr>
          <w:p w:rsidR="006006CB" w:rsidRDefault="00D10D78">
            <w:pPr>
              <w:pStyle w:val="Tabletext"/>
              <w:keepNext/>
              <w:rPr>
                <w:bCs/>
                <w:color w:val="000000"/>
                <w:szCs w:val="20"/>
              </w:rPr>
            </w:pPr>
            <w:r>
              <w:rPr>
                <w:b/>
                <w:bCs/>
                <w:color w:val="000000"/>
                <w:szCs w:val="20"/>
              </w:rPr>
              <w:t xml:space="preserve">Estimated cost-offsets for lanreotide (published) </w:t>
            </w:r>
            <w:r>
              <w:rPr>
                <w:b/>
                <w:bCs/>
                <w:color w:val="000000"/>
                <w:szCs w:val="20"/>
                <w:vertAlign w:val="superscript"/>
              </w:rPr>
              <w:t>b</w:t>
            </w:r>
          </w:p>
        </w:tc>
      </w:tr>
      <w:tr w:rsidR="006006CB" w:rsidTr="00EF25F3">
        <w:tc>
          <w:tcPr>
            <w:tcW w:w="1118" w:type="pct"/>
            <w:shd w:val="clear" w:color="auto" w:fill="auto"/>
            <w:vAlign w:val="center"/>
          </w:tcPr>
          <w:p w:rsidR="006006CB" w:rsidRDefault="00D10D78">
            <w:pPr>
              <w:pStyle w:val="Tabletext"/>
              <w:keepNext/>
              <w:rPr>
                <w:szCs w:val="20"/>
              </w:rPr>
            </w:pPr>
            <w:r>
              <w:rPr>
                <w:szCs w:val="20"/>
              </w:rPr>
              <w:t>Cost to PBS/RPBS</w:t>
            </w:r>
          </w:p>
        </w:tc>
        <w:tc>
          <w:tcPr>
            <w:tcW w:w="647" w:type="pct"/>
            <w:shd w:val="clear" w:color="auto" w:fill="auto"/>
            <w:vAlign w:val="center"/>
          </w:tcPr>
          <w:p w:rsidR="006006CB" w:rsidRDefault="00D10D78">
            <w:pPr>
              <w:pStyle w:val="Tabletext"/>
              <w:keepNext/>
              <w:jc w:val="center"/>
              <w:rPr>
                <w:bCs/>
                <w:color w:val="000000"/>
                <w:szCs w:val="20"/>
              </w:rPr>
            </w:pPr>
            <w:r>
              <w:rPr>
                <w:szCs w:val="20"/>
              </w:rPr>
              <w:t>$</w:t>
            </w:r>
            <w:r w:rsidR="003458F3">
              <w:rPr>
                <w:noProof/>
                <w:color w:val="000000"/>
                <w:szCs w:val="2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rPr>
                <w:szCs w:val="20"/>
              </w:rPr>
              <w:t>$</w:t>
            </w:r>
            <w:r w:rsidR="003458F3">
              <w:rPr>
                <w:noProof/>
                <w:color w:val="000000"/>
                <w:szCs w:val="2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rPr>
                <w:szCs w:val="20"/>
              </w:rPr>
              <w:t>$</w:t>
            </w:r>
            <w:r w:rsidR="003458F3">
              <w:rPr>
                <w:noProof/>
                <w:color w:val="000000"/>
                <w:szCs w:val="2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rPr>
                <w:szCs w:val="20"/>
              </w:rPr>
              <w:t>$</w:t>
            </w:r>
            <w:r w:rsidR="003458F3">
              <w:rPr>
                <w:noProof/>
                <w:color w:val="000000"/>
                <w:szCs w:val="2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rPr>
                <w:szCs w:val="20"/>
              </w:rPr>
              <w:t>$</w:t>
            </w:r>
            <w:r w:rsidR="003458F3">
              <w:rPr>
                <w:noProof/>
                <w:color w:val="000000"/>
                <w:szCs w:val="20"/>
                <w:highlight w:val="black"/>
              </w:rPr>
              <w:t>''''''''''''''''''''''''</w:t>
            </w:r>
          </w:p>
        </w:tc>
        <w:tc>
          <w:tcPr>
            <w:tcW w:w="646" w:type="pct"/>
            <w:vAlign w:val="center"/>
          </w:tcPr>
          <w:p w:rsidR="006006CB" w:rsidRDefault="00D10D78">
            <w:pPr>
              <w:pStyle w:val="Tabletext"/>
              <w:keepNext/>
              <w:jc w:val="center"/>
              <w:rPr>
                <w:bCs/>
                <w:color w:val="000000"/>
                <w:szCs w:val="20"/>
              </w:rPr>
            </w:pPr>
            <w:r>
              <w:rPr>
                <w:szCs w:val="20"/>
              </w:rPr>
              <w:t>$</w:t>
            </w:r>
            <w:r w:rsidR="003458F3">
              <w:rPr>
                <w:noProof/>
                <w:color w:val="000000"/>
                <w:szCs w:val="2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rPr>
                <w:szCs w:val="20"/>
              </w:rPr>
              <w:t>Copayments</w:t>
            </w:r>
          </w:p>
        </w:tc>
        <w:tc>
          <w:tcPr>
            <w:tcW w:w="647" w:type="pct"/>
            <w:shd w:val="clear" w:color="auto" w:fill="auto"/>
            <w:vAlign w:val="center"/>
          </w:tcPr>
          <w:p w:rsidR="006006CB" w:rsidRDefault="00D10D78">
            <w:pPr>
              <w:pStyle w:val="Tabletext"/>
              <w:keepNext/>
              <w:jc w:val="center"/>
              <w:rPr>
                <w:bCs/>
                <w:color w:val="000000"/>
                <w:szCs w:val="20"/>
              </w:rPr>
            </w:pPr>
            <w:r>
              <w:rPr>
                <w:szCs w:val="20"/>
              </w:rPr>
              <w:t>$</w:t>
            </w:r>
            <w:r w:rsidR="003458F3">
              <w:rPr>
                <w:noProof/>
                <w:color w:val="000000"/>
                <w:szCs w:val="2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rPr>
                <w:szCs w:val="20"/>
              </w:rPr>
              <w:t>$</w:t>
            </w:r>
            <w:r w:rsidR="003458F3">
              <w:rPr>
                <w:noProof/>
                <w:color w:val="000000"/>
                <w:szCs w:val="2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rPr>
                <w:szCs w:val="20"/>
              </w:rPr>
              <w:t>$</w:t>
            </w:r>
            <w:r w:rsidR="003458F3">
              <w:rPr>
                <w:noProof/>
                <w:color w:val="000000"/>
                <w:szCs w:val="2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rPr>
                <w:szCs w:val="20"/>
              </w:rPr>
              <w:t>$</w:t>
            </w:r>
            <w:r w:rsidR="003458F3">
              <w:rPr>
                <w:noProof/>
                <w:color w:val="000000"/>
                <w:szCs w:val="2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rPr>
                <w:szCs w:val="20"/>
              </w:rPr>
              <w:t>$</w:t>
            </w:r>
            <w:r w:rsidR="003458F3">
              <w:rPr>
                <w:noProof/>
                <w:color w:val="000000"/>
                <w:szCs w:val="20"/>
                <w:highlight w:val="black"/>
              </w:rPr>
              <w:t>''''''''''''''''</w:t>
            </w:r>
          </w:p>
        </w:tc>
        <w:tc>
          <w:tcPr>
            <w:tcW w:w="646" w:type="pct"/>
            <w:vAlign w:val="center"/>
          </w:tcPr>
          <w:p w:rsidR="006006CB" w:rsidRDefault="00D10D78">
            <w:pPr>
              <w:pStyle w:val="Tabletext"/>
              <w:keepNext/>
              <w:jc w:val="center"/>
              <w:rPr>
                <w:bCs/>
                <w:color w:val="000000"/>
                <w:szCs w:val="20"/>
              </w:rPr>
            </w:pPr>
            <w:r>
              <w:rPr>
                <w:szCs w:val="20"/>
              </w:rPr>
              <w:t>$</w:t>
            </w:r>
            <w:r w:rsidR="003458F3">
              <w:rPr>
                <w:noProof/>
                <w:color w:val="000000"/>
                <w:szCs w:val="2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rPr>
                <w:szCs w:val="20"/>
              </w:rPr>
              <w:t>Cost to PBS/RPBS less copayments</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6" w:type="pct"/>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r>
      <w:tr w:rsidR="006006CB">
        <w:tc>
          <w:tcPr>
            <w:tcW w:w="5000" w:type="pct"/>
            <w:gridSpan w:val="7"/>
            <w:shd w:val="clear" w:color="auto" w:fill="auto"/>
            <w:vAlign w:val="center"/>
          </w:tcPr>
          <w:p w:rsidR="006006CB" w:rsidRDefault="00D10D78">
            <w:pPr>
              <w:pStyle w:val="Tabletext"/>
              <w:keepNext/>
              <w:rPr>
                <w:b/>
                <w:bCs/>
                <w:color w:val="000000"/>
                <w:szCs w:val="20"/>
              </w:rPr>
            </w:pPr>
            <w:r>
              <w:rPr>
                <w:b/>
                <w:bCs/>
                <w:color w:val="000000"/>
                <w:szCs w:val="20"/>
              </w:rPr>
              <w:t>Net financial implications</w:t>
            </w:r>
            <w:r>
              <w:rPr>
                <w:szCs w:val="20"/>
                <w:vertAlign w:val="superscript"/>
              </w:rPr>
              <w:t>c</w:t>
            </w:r>
          </w:p>
        </w:tc>
      </w:tr>
      <w:tr w:rsidR="006006CB" w:rsidTr="00EF25F3">
        <w:tc>
          <w:tcPr>
            <w:tcW w:w="1118" w:type="pct"/>
            <w:shd w:val="clear" w:color="auto" w:fill="auto"/>
            <w:vAlign w:val="center"/>
          </w:tcPr>
          <w:p w:rsidR="006006CB" w:rsidRDefault="00D10D78">
            <w:pPr>
              <w:pStyle w:val="Tabletext"/>
              <w:keepNext/>
              <w:rPr>
                <w:szCs w:val="20"/>
              </w:rPr>
            </w:pPr>
            <w:r>
              <w:rPr>
                <w:szCs w:val="20"/>
              </w:rPr>
              <w:t>Net cost to PBS/RPBS</w:t>
            </w:r>
          </w:p>
          <w:p w:rsidR="006006CB" w:rsidRDefault="00D10D78">
            <w:pPr>
              <w:pStyle w:val="Tabletext"/>
              <w:keepNext/>
              <w:rPr>
                <w:szCs w:val="20"/>
              </w:rPr>
            </w:pPr>
            <w:r>
              <w:rPr>
                <w:szCs w:val="20"/>
              </w:rPr>
              <w:t>(published DPMQ)</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7" w:type="pct"/>
            <w:shd w:val="clear" w:color="auto" w:fill="auto"/>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c>
          <w:tcPr>
            <w:tcW w:w="646" w:type="pct"/>
            <w:vAlign w:val="center"/>
          </w:tcPr>
          <w:p w:rsidR="006006CB" w:rsidRDefault="00D10D78">
            <w:pPr>
              <w:pStyle w:val="Tabletext"/>
              <w:keepNext/>
              <w:jc w:val="center"/>
              <w:rPr>
                <w:bCs/>
                <w:i/>
                <w:color w:val="000000"/>
                <w:szCs w:val="20"/>
              </w:rPr>
            </w:pPr>
            <w:r>
              <w:rPr>
                <w:i/>
              </w:rPr>
              <w:t>$</w:t>
            </w:r>
            <w:r w:rsidR="003458F3">
              <w:rPr>
                <w:i/>
                <w:noProof/>
                <w:color w:val="000000"/>
                <w:highlight w:val="black"/>
              </w:rPr>
              <w:t>''''''''''''''''''</w:t>
            </w:r>
          </w:p>
        </w:tc>
      </w:tr>
      <w:tr w:rsidR="006006CB" w:rsidTr="00EF25F3">
        <w:tc>
          <w:tcPr>
            <w:tcW w:w="1118" w:type="pct"/>
            <w:shd w:val="clear" w:color="auto" w:fill="auto"/>
            <w:vAlign w:val="center"/>
          </w:tcPr>
          <w:p w:rsidR="006006CB" w:rsidRDefault="00D10D78">
            <w:pPr>
              <w:pStyle w:val="Tabletext"/>
              <w:keepNext/>
              <w:rPr>
                <w:szCs w:val="20"/>
              </w:rPr>
            </w:pPr>
            <w:r>
              <w:rPr>
                <w:szCs w:val="20"/>
              </w:rPr>
              <w:t xml:space="preserve">Net cost to PBS/RPBS (effective DPMQ) </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7" w:type="pct"/>
            <w:shd w:val="clear" w:color="auto" w:fill="auto"/>
            <w:vAlign w:val="center"/>
          </w:tcPr>
          <w:p w:rsidR="006006CB" w:rsidRDefault="00D10D78">
            <w:pPr>
              <w:pStyle w:val="Tabletext"/>
              <w:keepNext/>
              <w:jc w:val="center"/>
              <w:rPr>
                <w:bCs/>
                <w:color w:val="000000"/>
                <w:szCs w:val="20"/>
              </w:rPr>
            </w:pPr>
            <w:r>
              <w:t>$</w:t>
            </w:r>
            <w:r w:rsidR="003458F3">
              <w:rPr>
                <w:noProof/>
                <w:color w:val="000000"/>
                <w:highlight w:val="black"/>
              </w:rPr>
              <w:t>''''</w:t>
            </w:r>
          </w:p>
        </w:tc>
        <w:tc>
          <w:tcPr>
            <w:tcW w:w="646" w:type="pct"/>
            <w:vAlign w:val="center"/>
          </w:tcPr>
          <w:p w:rsidR="006006CB" w:rsidRDefault="00D10D78">
            <w:pPr>
              <w:pStyle w:val="Tabletext"/>
              <w:keepNext/>
              <w:jc w:val="center"/>
              <w:rPr>
                <w:bCs/>
                <w:color w:val="000000"/>
                <w:szCs w:val="20"/>
              </w:rPr>
            </w:pPr>
            <w:r>
              <w:t>$</w:t>
            </w:r>
            <w:r w:rsidR="003458F3">
              <w:rPr>
                <w:noProof/>
                <w:color w:val="000000"/>
                <w:highlight w:val="black"/>
              </w:rPr>
              <w:t>''''</w:t>
            </w:r>
          </w:p>
        </w:tc>
      </w:tr>
    </w:tbl>
    <w:p w:rsidR="006006CB" w:rsidRDefault="00D10D78">
      <w:pPr>
        <w:widowControl/>
        <w:rPr>
          <w:rFonts w:ascii="Arial Narrow" w:hAnsi="Arial Narrow"/>
          <w:i/>
          <w:snapToGrid/>
          <w:sz w:val="18"/>
          <w:szCs w:val="18"/>
          <w:lang w:val="en-US" w:eastAsia="en-AU"/>
        </w:rPr>
      </w:pPr>
      <w:r>
        <w:rPr>
          <w:rFonts w:ascii="Arial Narrow" w:hAnsi="Arial Narrow"/>
          <w:i/>
          <w:snapToGrid/>
          <w:sz w:val="18"/>
          <w:szCs w:val="18"/>
          <w:lang w:val="en-US" w:eastAsia="en-AU"/>
        </w:rPr>
        <w:t xml:space="preserve">Note: The submission’s Section 4 spreadsheet incorrectly added (rather than subtracted) the patient copayments in calculating the net financial impact of octreotide. Numbers in italics were corrected during the evaluation. </w:t>
      </w:r>
    </w:p>
    <w:p w:rsidR="006006CB" w:rsidRDefault="00D10D78">
      <w:pPr>
        <w:pStyle w:val="TableFooter"/>
        <w:widowControl/>
        <w:tabs>
          <w:tab w:val="left" w:pos="142"/>
        </w:tabs>
      </w:pPr>
      <w:r>
        <w:rPr>
          <w:vertAlign w:val="superscript"/>
        </w:rPr>
        <w:t>a</w:t>
      </w:r>
      <w:r>
        <w:tab/>
        <w:t>Assuming 6.52 scripts per year as estimated by the submission.</w:t>
      </w:r>
    </w:p>
    <w:p w:rsidR="006006CB" w:rsidRDefault="00D10D78">
      <w:pPr>
        <w:pStyle w:val="TableFooter"/>
        <w:widowControl/>
        <w:tabs>
          <w:tab w:val="left" w:pos="142"/>
        </w:tabs>
      </w:pPr>
      <w:r>
        <w:rPr>
          <w:vertAlign w:val="superscript"/>
        </w:rPr>
        <w:t>b</w:t>
      </w:r>
      <w:r>
        <w:t xml:space="preserve"> Costs are weighted average DPMQ for public/private hospital use.</w:t>
      </w:r>
    </w:p>
    <w:p w:rsidR="006006CB" w:rsidRDefault="00D10D78">
      <w:pPr>
        <w:pStyle w:val="TableFooter"/>
        <w:widowControl/>
        <w:tabs>
          <w:tab w:val="left" w:pos="142"/>
        </w:tabs>
      </w:pPr>
      <w:r>
        <w:rPr>
          <w:vertAlign w:val="superscript"/>
        </w:rPr>
        <w:t>c</w:t>
      </w:r>
      <w:r>
        <w:t> The submission presented net costs based on a comparison of the effective cost for octreotide vs the published cost for lanreotide.</w:t>
      </w:r>
    </w:p>
    <w:p w:rsidR="006006CB" w:rsidRDefault="00D10D78">
      <w:pPr>
        <w:pStyle w:val="TableFooter"/>
        <w:widowControl/>
      </w:pPr>
      <w:r>
        <w:t>Source: Table 35, p59 of the submission; Novartis OctLAR Section4 worksheet July 2019 PBAC.xlsx spreadsheet.</w:t>
      </w:r>
    </w:p>
    <w:p w:rsidR="006006CB" w:rsidRDefault="006006CB">
      <w:pPr>
        <w:pStyle w:val="TableFooter"/>
        <w:widowControl/>
      </w:pPr>
    </w:p>
    <w:p w:rsidR="006006CB" w:rsidRDefault="00D10D78">
      <w:pPr>
        <w:pStyle w:val="TableFooter"/>
        <w:widowControl/>
        <w:rPr>
          <w:rFonts w:asciiTheme="minorHAnsi" w:hAnsiTheme="minorHAnsi"/>
          <w:bCs/>
          <w:sz w:val="24"/>
          <w:szCs w:val="24"/>
          <w:lang w:val="en-GB"/>
        </w:rPr>
      </w:pPr>
      <w:r>
        <w:rPr>
          <w:rFonts w:asciiTheme="minorHAnsi" w:hAnsiTheme="minorHAnsi"/>
          <w:bCs/>
          <w:sz w:val="24"/>
          <w:szCs w:val="24"/>
          <w:lang w:val="en-GB"/>
        </w:rPr>
        <w:t xml:space="preserve">The redacted table shows that at Year 6, the estimated number of patients treated was less than 10,000, and the net cost to PBS would be less than $10 million. </w:t>
      </w:r>
    </w:p>
    <w:p w:rsidR="006006CB" w:rsidRDefault="00D10D78">
      <w:pPr>
        <w:pStyle w:val="Heading2"/>
      </w:pPr>
      <w:bookmarkStart w:id="15" w:name="_Toc9329876"/>
      <w:r>
        <w:lastRenderedPageBreak/>
        <w:t>Financial Management – Risk Sharing Arrangements</w:t>
      </w:r>
      <w:bookmarkEnd w:id="15"/>
    </w:p>
    <w:p w:rsidR="006006CB" w:rsidRDefault="00D10D78">
      <w:pPr>
        <w:pStyle w:val="ListParagraph"/>
        <w:widowControl/>
        <w:numPr>
          <w:ilvl w:val="1"/>
          <w:numId w:val="1"/>
        </w:numPr>
      </w:pPr>
      <w:r>
        <w:t xml:space="preserve">The sponsor noted that a Risk Sharing Agreement (RSA) was proposed for lanreotide in the November 2017 resubmission, with the PBAC advising that an RSA with 100% rebate above the financial caps would be required to manage the risk of any use above what was expected (November 2017 lanreotide PSD). The submission indicated a willingness to work with the PBAC to determine the equivalent price and RSA terms for octreotide for non-functional midgut NETs. </w:t>
      </w:r>
    </w:p>
    <w:p w:rsidR="006006CB" w:rsidRDefault="00D10D78">
      <w:pPr>
        <w:pStyle w:val="ListParagraph"/>
        <w:widowControl/>
        <w:numPr>
          <w:ilvl w:val="1"/>
          <w:numId w:val="1"/>
        </w:numPr>
      </w:pPr>
      <w:r>
        <w:t xml:space="preserve">The PBAC advised that it considered it would likely be appropriate, and it supported octreotide joining the existing RSA subsidisation cap for lanreotide for non-functional GEP-NETs as this would ensure no further financial costs, it was a matter for the Minister to determine if  octreotide was eligible for a rebate based Deed under current policy. </w:t>
      </w:r>
    </w:p>
    <w:p w:rsidR="006006CB" w:rsidRDefault="00D10D78">
      <w:pPr>
        <w:pStyle w:val="Heading1"/>
      </w:pPr>
      <w:r>
        <w:t>PBAC Outcomes</w:t>
      </w:r>
    </w:p>
    <w:p w:rsidR="006006CB" w:rsidRDefault="00D10D78">
      <w:pPr>
        <w:widowControl/>
        <w:numPr>
          <w:ilvl w:val="1"/>
          <w:numId w:val="1"/>
        </w:numPr>
        <w:spacing w:after="120"/>
        <w:rPr>
          <w:rFonts w:asciiTheme="minorHAnsi" w:hAnsiTheme="minorHAnsi"/>
          <w:bCs/>
          <w:szCs w:val="24"/>
          <w:lang w:val="en-GB"/>
        </w:rPr>
      </w:pPr>
      <w:r>
        <w:rPr>
          <w:rFonts w:asciiTheme="minorHAnsi" w:hAnsiTheme="minorHAnsi"/>
          <w:bCs/>
          <w:szCs w:val="24"/>
          <w:lang w:val="en-GB"/>
        </w:rPr>
        <w:t>The PBAC recommended the Authority Required (STREAMLINED) listing for octreotide on a cost minimisation basis with lanreotide for the treatment of patients with non-functional GEP-NET, in line with the current listing for lanreotide. The PBAC recommendation was made on the basis that octreotide should be available only under special arrangements under Section 100 (HSD Program). The PBAC considered that the equi-effective doses are octreotide 30 mg every 28 days and lanreotide 120 mg every 28 days.  The PBAC was of the view that this listing should be at worst cost neutral for Government.</w:t>
      </w:r>
    </w:p>
    <w:p w:rsidR="006006CB" w:rsidRDefault="00D10D78">
      <w:pPr>
        <w:pStyle w:val="ListParagraph"/>
        <w:widowControl/>
        <w:numPr>
          <w:ilvl w:val="1"/>
          <w:numId w:val="1"/>
        </w:numPr>
      </w:pPr>
      <w:r>
        <w:t>The PBAC noted that the submission positioned octreotide as an alternative treatment to lanreotide in the first-line treatment of patients with metastatic or non-resectable (Grade 1 or 2) non-functional midgut NET (a sub-set of non-functional GEP</w:t>
      </w:r>
      <w:r>
        <w:noBreakHyphen/>
        <w:t xml:space="preserve">NET) based on the patient population in the key trial for octreotide, PROMID. </w:t>
      </w:r>
      <w:r>
        <w:rPr>
          <w:rFonts w:asciiTheme="minorHAnsi" w:hAnsiTheme="minorHAnsi"/>
          <w:bCs/>
          <w:szCs w:val="24"/>
          <w:lang w:val="en-GB"/>
        </w:rPr>
        <w:t xml:space="preserve">However, the submission also requested that the PBAC consider granting octreotide a broader listing to reflect that of lanreotide (that is, incorporating patients with GEP-NET rather than only the sub-set of midgut NET) based on a presumed class effect of somatostatin analogues. The PBAC noted that both drugs, as somatostatin analogues, have the same mode of action (i.e. both bind to the same receptors and act in the same way). The PBAC therefore considered that if octreotide and lanreotide result in similar clinical outcomes for the sub-set of non-functional midgut NET, it would be biologically plausible to also expect similar clinical outcomes for the broader group of non-functional GEP-NET. The PBAC therefore considered that the appropriate clinical place for octreotide was as an alternative therapy for the treatment of patients with non-functional GEP-NET and accepted lanreotide as the appropriate comparator. </w:t>
      </w:r>
    </w:p>
    <w:p w:rsidR="006006CB" w:rsidRDefault="00D10D78">
      <w:pPr>
        <w:numPr>
          <w:ilvl w:val="1"/>
          <w:numId w:val="1"/>
        </w:numPr>
        <w:spacing w:after="120"/>
        <w:rPr>
          <w:rFonts w:asciiTheme="minorHAnsi" w:hAnsiTheme="minorHAnsi"/>
          <w:bCs/>
          <w:szCs w:val="24"/>
        </w:rPr>
      </w:pPr>
      <w:r>
        <w:rPr>
          <w:rFonts w:asciiTheme="minorHAnsi" w:hAnsiTheme="minorHAnsi"/>
          <w:bCs/>
          <w:szCs w:val="24"/>
        </w:rPr>
        <w:t xml:space="preserve">The PBAC recalled its previous recommendation for lanreotide for the treatment of hormonal symptoms caused by functional carcinoid tumour in July 2005 (lanreotide PSD, July 2005). The PBAC accepted that, in view of the (then) orphan status of the requested listing, the evidence presented across a series of indirect comparisons was </w:t>
      </w:r>
      <w:r>
        <w:rPr>
          <w:rFonts w:asciiTheme="minorHAnsi" w:hAnsiTheme="minorHAnsi"/>
          <w:bCs/>
          <w:szCs w:val="24"/>
        </w:rPr>
        <w:lastRenderedPageBreak/>
        <w:t xml:space="preserve">sufficient to accept listing of lanreotide for functional carcinoid tumour on a cost-minimisation basis with octreotide. </w:t>
      </w:r>
    </w:p>
    <w:p w:rsidR="006006CB" w:rsidRDefault="00D10D78">
      <w:pPr>
        <w:numPr>
          <w:ilvl w:val="1"/>
          <w:numId w:val="1"/>
        </w:numPr>
        <w:spacing w:after="120"/>
        <w:rPr>
          <w:rFonts w:asciiTheme="minorHAnsi" w:hAnsiTheme="minorHAnsi"/>
          <w:bCs/>
          <w:szCs w:val="24"/>
        </w:rPr>
      </w:pPr>
      <w:r>
        <w:rPr>
          <w:rFonts w:asciiTheme="minorHAnsi" w:hAnsiTheme="minorHAnsi"/>
          <w:bCs/>
          <w:szCs w:val="24"/>
          <w:lang w:val="en-GB"/>
        </w:rPr>
        <w:t xml:space="preserve">The PBAC noted that </w:t>
      </w:r>
      <w:r>
        <w:rPr>
          <w:rFonts w:asciiTheme="minorHAnsi" w:hAnsiTheme="minorHAnsi"/>
          <w:bCs/>
          <w:szCs w:val="24"/>
          <w:lang w:val="en-US"/>
        </w:rPr>
        <w:t xml:space="preserve">the submission was based on an indirect comparison of subgroups from one </w:t>
      </w:r>
      <w:r>
        <w:rPr>
          <w:rFonts w:asciiTheme="minorHAnsi" w:hAnsiTheme="minorHAnsi"/>
          <w:bCs/>
          <w:szCs w:val="24"/>
        </w:rPr>
        <w:t>octreotide trial in patients with functional and non-functional midgut NET (PROMID, n=85) and one lanreotide trial in patients with non-functional GEP-NET (CLARINET, n=204), with placebo as the common comparator. The PBAC considered that the included trials were not sufficiently similar to determine reliable estimates of comparative efficacy and safety and the level of certainty in the estimates of comparative effectiveness and safety presented in the submission was therefore low. The PBAC acknowledged that robust clinical data comparing octreotide and lanreotide for non-functional GEP-NET was unlikely to be forthcoming and noted that its July 2005 recommendation for lanreotide for functional carcinoid tumour was made on a cost minimisation basis to octreotide based on a similar quality of evidence. Overall, the PBAC pragmatically considered that, in this instance, the evidence presented was sufficient to accept listing of octreotide for non-functional GEP-NETs on a cost-minimisation basis with lanreotide.</w:t>
      </w:r>
    </w:p>
    <w:p w:rsidR="006006CB" w:rsidRDefault="00D10D78">
      <w:pPr>
        <w:widowControl/>
        <w:numPr>
          <w:ilvl w:val="1"/>
          <w:numId w:val="1"/>
        </w:numPr>
        <w:spacing w:after="120"/>
        <w:rPr>
          <w:rFonts w:asciiTheme="minorHAnsi" w:hAnsiTheme="minorHAnsi"/>
          <w:bCs/>
          <w:szCs w:val="24"/>
          <w:lang w:val="en-GB"/>
        </w:rPr>
      </w:pPr>
      <w:r>
        <w:rPr>
          <w:rFonts w:asciiTheme="minorHAnsi" w:hAnsiTheme="minorHAnsi"/>
          <w:bCs/>
          <w:szCs w:val="24"/>
          <w:lang w:val="en-GB"/>
        </w:rPr>
        <w:t>The PBAC noted the cost minimisation analysis provided in the submission and considered that the equi-effective doses are octreotide 30 mg every 28 days and lanreotide 120 mg every 28 days.</w:t>
      </w:r>
    </w:p>
    <w:p w:rsidR="006006CB" w:rsidRDefault="00D10D78">
      <w:pPr>
        <w:widowControl/>
        <w:numPr>
          <w:ilvl w:val="1"/>
          <w:numId w:val="1"/>
        </w:numPr>
        <w:spacing w:after="120"/>
        <w:rPr>
          <w:rFonts w:asciiTheme="minorHAnsi" w:hAnsiTheme="minorHAnsi"/>
          <w:bCs/>
          <w:szCs w:val="24"/>
          <w:lang w:val="en-GB"/>
        </w:rPr>
      </w:pPr>
      <w:r>
        <w:t>The PBAC considered that patient uptake of octreotide would come from patients who would otherwise be treated with lanreotide. Accordingly, the net financial impact to Government based on the effective prices of lanreotide and octreotide is expected to be nil.</w:t>
      </w:r>
    </w:p>
    <w:p w:rsidR="006006CB" w:rsidRDefault="00D10D78">
      <w:pPr>
        <w:pStyle w:val="ListParagraph"/>
        <w:widowControl/>
        <w:numPr>
          <w:ilvl w:val="1"/>
          <w:numId w:val="1"/>
        </w:numPr>
      </w:pPr>
      <w:r>
        <w:rPr>
          <w:rFonts w:asciiTheme="minorHAnsi" w:hAnsiTheme="minorHAnsi"/>
          <w:bCs/>
          <w:szCs w:val="24"/>
          <w:lang w:val="en-GB"/>
        </w:rPr>
        <w:t xml:space="preserve">The PBAC noted that an RSA is in place for the PBS listing of lanreotide for non-functional GEP-NET to manage uncertainties around the utilisation and financial estimates in the July 2017 lanreotide submission, including the risk that patients who may have been more suitable for watchful waiting may receive active treatment with lanreotide. The PBAC advised that it was a matter for Government whether octreotide </w:t>
      </w:r>
      <w:r>
        <w:t>was eligible to join the existing RSA subsidisation cap for lanreotide for non-functional GEP-NETs</w:t>
      </w:r>
      <w:r>
        <w:rPr>
          <w:rFonts w:asciiTheme="minorHAnsi" w:hAnsiTheme="minorHAnsi"/>
          <w:bCs/>
          <w:szCs w:val="24"/>
          <w:lang w:val="en-GB"/>
        </w:rPr>
        <w:t>.  The Committee was of the view that should octreotide not join the RSA, other measures should be considered to ensure the listing is at worst cost-neutral to Government.</w:t>
      </w:r>
    </w:p>
    <w:p w:rsidR="006006CB" w:rsidRDefault="00D10D78">
      <w:pPr>
        <w:pStyle w:val="ListParagraph"/>
        <w:widowControl/>
        <w:numPr>
          <w:ilvl w:val="1"/>
          <w:numId w:val="1"/>
        </w:numPr>
        <w:rPr>
          <w:rFonts w:asciiTheme="minorHAnsi" w:hAnsiTheme="minorHAnsi"/>
          <w:bCs/>
          <w:szCs w:val="24"/>
          <w:lang w:val="en-GB"/>
        </w:rPr>
      </w:pPr>
      <w:r>
        <w:rPr>
          <w:rFonts w:asciiTheme="minorHAnsi" w:hAnsiTheme="minorHAnsi"/>
          <w:bCs/>
          <w:szCs w:val="24"/>
          <w:lang w:val="en-GB"/>
        </w:rPr>
        <w:t xml:space="preserve">The submission requested listing under Section 100 (HSD Program – Public/Private Hospital and Community Access) and requested the same restriction wording for all settings. The PBAC recalled that in March 2019 it recommended that lanreotide for non-functional GEP-NET should be available via Community Access for continuing therapy whilst initial treatment should remain within the hospital setting (lanreotide PSD, March 2019, paragraph 6.2). Current Section 100 (HSD Program – Community Access) listings for octreotide for acromegaly, functional carcinoid tumour and VIPoma are also for continuing therapy only. Accordingly, the PBAC recommended </w:t>
      </w:r>
      <w:r>
        <w:rPr>
          <w:rFonts w:asciiTheme="minorHAnsi" w:hAnsiTheme="minorHAnsi"/>
          <w:bCs/>
          <w:szCs w:val="24"/>
          <w:lang w:val="en-GB"/>
        </w:rPr>
        <w:lastRenderedPageBreak/>
        <w:t>that the Section 100 (HSD Program – Community Access) listing should only apply to continuing therapy.</w:t>
      </w:r>
    </w:p>
    <w:p w:rsidR="006006CB" w:rsidRDefault="00D10D78">
      <w:pPr>
        <w:pStyle w:val="ListParagraph"/>
        <w:widowControl/>
        <w:numPr>
          <w:ilvl w:val="1"/>
          <w:numId w:val="1"/>
        </w:numPr>
        <w:rPr>
          <w:rFonts w:asciiTheme="minorHAnsi" w:hAnsiTheme="minorHAnsi"/>
          <w:bCs/>
          <w:szCs w:val="24"/>
          <w:lang w:val="en-GB"/>
        </w:rPr>
      </w:pPr>
      <w:r>
        <w:rPr>
          <w:rFonts w:asciiTheme="minorHAnsi" w:hAnsiTheme="minorHAnsi"/>
          <w:bCs/>
          <w:szCs w:val="24"/>
          <w:lang w:val="en-GB"/>
        </w:rPr>
        <w:t>The PSCR requested that the restriction include a prescribing instruction as a “prompt for prescribers to ensure the continued differentiation between the listings for functional and non-functional disease”. The PBAC considered that this instruction was unnecessary given the separate PBS listings for functional and non-functional tumours.</w:t>
      </w:r>
    </w:p>
    <w:p w:rsidR="006006CB" w:rsidRDefault="00D10D78">
      <w:pPr>
        <w:pStyle w:val="ListParagraph"/>
        <w:widowControl/>
        <w:numPr>
          <w:ilvl w:val="1"/>
          <w:numId w:val="1"/>
        </w:numPr>
        <w:rPr>
          <w:rFonts w:asciiTheme="minorHAnsi" w:hAnsiTheme="minorHAnsi"/>
          <w:bCs/>
          <w:szCs w:val="24"/>
          <w:lang w:val="en-GB"/>
        </w:rPr>
      </w:pPr>
      <w:r>
        <w:rPr>
          <w:rFonts w:asciiTheme="minorHAnsi" w:hAnsiTheme="minorHAnsi"/>
          <w:bCs/>
          <w:szCs w:val="24"/>
          <w:lang w:val="en-GB"/>
        </w:rPr>
        <w:t xml:space="preserve">The submission requested an Authority Required (STREAMLINED) restriction level for the Section 100 (HSD Program – Public Hospital/Community Access) listings and Authority Required (Telephone) for the Section 100 (HSD Program – Private Hospital) listing. While this is consistent with the current restriction levels for lanreotide for GEP-NET, the PBAC recommended that the Section 100 (HSD Program – Private Hospital) listing for both octreotide and lanreotide for non-functional GEP-NET should be Authority Required (STREAMLINED).  </w:t>
      </w:r>
    </w:p>
    <w:p w:rsidR="006006CB" w:rsidRDefault="00D10D78">
      <w:pPr>
        <w:pStyle w:val="ListParagraph"/>
        <w:widowControl/>
        <w:numPr>
          <w:ilvl w:val="1"/>
          <w:numId w:val="1"/>
        </w:numPr>
        <w:rPr>
          <w:rFonts w:asciiTheme="minorHAnsi" w:hAnsiTheme="minorHAnsi"/>
          <w:bCs/>
          <w:szCs w:val="24"/>
          <w:lang w:val="en-GB"/>
        </w:rPr>
      </w:pPr>
      <w:r>
        <w:rPr>
          <w:rFonts w:asciiTheme="minorHAnsi" w:hAnsiTheme="minorHAnsi"/>
          <w:bCs/>
          <w:szCs w:val="24"/>
          <w:lang w:val="en-GB"/>
        </w:rPr>
        <w:t xml:space="preserve">The PBAC advised that the octreotide restriction should state that “The treatment must be the sole PBS-subsidised therapy for this condition”. The PBAC further advised that it would be appropriate to include this criterion in the lanreotide listing and remove the criterion “The treatment must be as monotherapy” for consistency. In addition, the prescribing instruction in the lanreotide listing, “Lanreotide is not PBS-subsidised for use in combination with everolimus or sunitinib for this condition”, may be redundant in addition to the previous and revised criterion and could be removed. </w:t>
      </w:r>
    </w:p>
    <w:p w:rsidR="006006CB" w:rsidRDefault="00D10D78">
      <w:pPr>
        <w:pStyle w:val="ListParagraph"/>
        <w:widowControl/>
        <w:numPr>
          <w:ilvl w:val="1"/>
          <w:numId w:val="1"/>
        </w:numPr>
        <w:rPr>
          <w:rFonts w:asciiTheme="minorHAnsi" w:hAnsiTheme="minorHAnsi"/>
          <w:bCs/>
          <w:szCs w:val="24"/>
          <w:lang w:val="en-GB"/>
        </w:rPr>
      </w:pPr>
      <w:r>
        <w:rPr>
          <w:rFonts w:asciiTheme="minorHAnsi" w:hAnsiTheme="minorHAnsi"/>
          <w:bCs/>
          <w:szCs w:val="24"/>
          <w:lang w:val="en-GB"/>
        </w:rPr>
        <w:t>The PBAC noted that its recommendation was on a cost-minimisation basis and advised that, because octreotide is not expected to provide a substantial and clinically relevant improvement in efficacy, or reduction of toxicity over lanreotide, or not expected to address a high and urgent unmet clinical need</w:t>
      </w:r>
      <w:r>
        <w:t xml:space="preserve"> </w:t>
      </w:r>
      <w:r>
        <w:rPr>
          <w:rFonts w:asciiTheme="minorHAnsi" w:hAnsiTheme="minorHAnsi"/>
          <w:bCs/>
          <w:szCs w:val="24"/>
          <w:lang w:val="en-GB"/>
        </w:rPr>
        <w:t xml:space="preserve">given the presence of an alternative therapy, the criteria prescribed by the </w:t>
      </w:r>
      <w:r>
        <w:rPr>
          <w:rFonts w:asciiTheme="minorHAnsi" w:hAnsiTheme="minorHAnsi"/>
          <w:bCs/>
          <w:i/>
          <w:szCs w:val="24"/>
          <w:lang w:val="en-GB"/>
        </w:rPr>
        <w:t>National Health (Pharmaceuticals and Vaccines – Cost Recovery) Regulations 2009</w:t>
      </w:r>
      <w:r>
        <w:rPr>
          <w:rFonts w:asciiTheme="minorHAnsi" w:hAnsiTheme="minorHAnsi"/>
          <w:bCs/>
          <w:szCs w:val="24"/>
          <w:lang w:val="en-GB"/>
        </w:rPr>
        <w:t xml:space="preserve"> for Pricing Pathway A were not met.</w:t>
      </w:r>
    </w:p>
    <w:p w:rsidR="006006CB" w:rsidRDefault="00D10D78">
      <w:pPr>
        <w:pStyle w:val="ListParagraph"/>
        <w:widowControl/>
        <w:numPr>
          <w:ilvl w:val="1"/>
          <w:numId w:val="1"/>
        </w:numPr>
        <w:rPr>
          <w:rFonts w:asciiTheme="minorHAnsi" w:hAnsiTheme="minorHAnsi"/>
          <w:bCs/>
          <w:szCs w:val="24"/>
          <w:lang w:val="en-GB"/>
        </w:rPr>
      </w:pPr>
      <w:r>
        <w:rPr>
          <w:rFonts w:asciiTheme="minorHAnsi" w:hAnsiTheme="minorHAnsi"/>
          <w:bCs/>
          <w:szCs w:val="24"/>
          <w:lang w:val="en-GB"/>
        </w:rPr>
        <w:t>The PBAC advised that octreotide is not suitable for prescribing by nurse practitioners.</w:t>
      </w:r>
    </w:p>
    <w:p w:rsidR="006006CB" w:rsidRDefault="00D10D78">
      <w:pPr>
        <w:pStyle w:val="ListParagraph"/>
        <w:widowControl/>
        <w:numPr>
          <w:ilvl w:val="1"/>
          <w:numId w:val="1"/>
        </w:numPr>
        <w:rPr>
          <w:rFonts w:asciiTheme="minorHAnsi" w:hAnsiTheme="minorHAnsi"/>
          <w:bCs/>
          <w:szCs w:val="24"/>
          <w:lang w:val="en-GB"/>
        </w:rPr>
      </w:pPr>
      <w:r>
        <w:rPr>
          <w:rFonts w:asciiTheme="minorHAnsi" w:hAnsiTheme="minorHAnsi"/>
          <w:bCs/>
          <w:szCs w:val="24"/>
          <w:lang w:val="en-GB"/>
        </w:rPr>
        <w:t>The PBAC advised that the Early Supply Rule should not apply.</w:t>
      </w:r>
    </w:p>
    <w:p w:rsidR="006006CB" w:rsidRDefault="00D10D78">
      <w:pPr>
        <w:pStyle w:val="ListParagraph"/>
        <w:numPr>
          <w:ilvl w:val="1"/>
          <w:numId w:val="1"/>
        </w:numPr>
        <w:rPr>
          <w:rFonts w:asciiTheme="minorHAnsi" w:hAnsiTheme="minorHAnsi"/>
          <w:bCs/>
          <w:szCs w:val="24"/>
          <w:lang w:val="en-GB"/>
        </w:rPr>
      </w:pPr>
      <w:r>
        <w:rPr>
          <w:rFonts w:asciiTheme="minorHAnsi" w:hAnsiTheme="minorHAnsi"/>
          <w:bCs/>
          <w:szCs w:val="24"/>
          <w:lang w:val="en-GB"/>
        </w:rPr>
        <w:t xml:space="preserve">The PBAC advised that under Section 101 (3BA) of the </w:t>
      </w:r>
      <w:r>
        <w:rPr>
          <w:rFonts w:asciiTheme="minorHAnsi" w:hAnsiTheme="minorHAnsi"/>
          <w:bCs/>
          <w:i/>
          <w:szCs w:val="24"/>
          <w:lang w:val="en-GB"/>
        </w:rPr>
        <w:t>National Health Act 1953</w:t>
      </w:r>
      <w:r>
        <w:rPr>
          <w:rFonts w:asciiTheme="minorHAnsi" w:hAnsiTheme="minorHAnsi"/>
          <w:bCs/>
          <w:szCs w:val="24"/>
          <w:lang w:val="en-GB"/>
        </w:rPr>
        <w:t>, that octreotide should not be treated as interchangeable on an individual patient basis with lanreotide.</w:t>
      </w:r>
    </w:p>
    <w:p w:rsidR="006006CB" w:rsidRDefault="00D10D78">
      <w:pPr>
        <w:pStyle w:val="ListParagraph"/>
        <w:widowControl/>
        <w:numPr>
          <w:ilvl w:val="1"/>
          <w:numId w:val="1"/>
        </w:numPr>
        <w:rPr>
          <w:rFonts w:asciiTheme="minorHAnsi" w:hAnsiTheme="minorHAnsi"/>
          <w:bCs/>
          <w:szCs w:val="24"/>
          <w:lang w:val="en-GB"/>
        </w:rPr>
      </w:pPr>
      <w:r>
        <w:rPr>
          <w:rFonts w:asciiTheme="minorHAnsi" w:hAnsiTheme="minorHAnsi"/>
          <w:bCs/>
          <w:szCs w:val="24"/>
          <w:lang w:val="en-GB"/>
        </w:rPr>
        <w:t>The PBAC noted that this submission is not eligible for an Independent Review as it received a positive recommendation.</w:t>
      </w:r>
    </w:p>
    <w:p w:rsidR="006006CB" w:rsidRDefault="00D10D78">
      <w:pPr>
        <w:pStyle w:val="PBACHeading1"/>
        <w:numPr>
          <w:ilvl w:val="0"/>
          <w:numId w:val="0"/>
        </w:numPr>
        <w:spacing w:after="0"/>
        <w:outlineLvl w:val="9"/>
        <w:rPr>
          <w:rFonts w:asciiTheme="minorHAnsi" w:hAnsiTheme="minorHAnsi"/>
          <w:b/>
          <w:bCs/>
          <w:i w:val="0"/>
          <w:sz w:val="24"/>
          <w:szCs w:val="24"/>
          <w:lang w:val="en-GB"/>
        </w:rPr>
      </w:pPr>
      <w:r>
        <w:rPr>
          <w:rFonts w:asciiTheme="minorHAnsi" w:hAnsiTheme="minorHAnsi"/>
          <w:b/>
          <w:bCs/>
          <w:i w:val="0"/>
          <w:sz w:val="24"/>
          <w:szCs w:val="24"/>
          <w:lang w:val="en-GB"/>
        </w:rPr>
        <w:t xml:space="preserve">Outcome: </w:t>
      </w:r>
    </w:p>
    <w:p w:rsidR="006006CB" w:rsidRDefault="00D10D78">
      <w:pPr>
        <w:rPr>
          <w:i/>
          <w:lang w:val="en-GB"/>
        </w:rPr>
      </w:pPr>
      <w:r>
        <w:rPr>
          <w:lang w:val="en-GB"/>
        </w:rPr>
        <w:t>Recommended</w:t>
      </w:r>
    </w:p>
    <w:p w:rsidR="006006CB" w:rsidRDefault="006006CB">
      <w:pPr>
        <w:spacing w:after="120"/>
        <w:rPr>
          <w:rFonts w:asciiTheme="minorHAnsi" w:hAnsiTheme="minorHAnsi"/>
          <w:b/>
          <w:bCs/>
          <w:szCs w:val="24"/>
        </w:rPr>
      </w:pPr>
    </w:p>
    <w:p w:rsidR="006006CB" w:rsidRDefault="00D10D78">
      <w:pPr>
        <w:pStyle w:val="Heading1"/>
      </w:pPr>
      <w:r>
        <w:lastRenderedPageBreak/>
        <w:t>Recommended listing</w:t>
      </w:r>
    </w:p>
    <w:p w:rsidR="006006CB" w:rsidRDefault="00D10D78">
      <w:pPr>
        <w:widowControl/>
        <w:numPr>
          <w:ilvl w:val="1"/>
          <w:numId w:val="1"/>
        </w:numPr>
        <w:spacing w:after="120"/>
        <w:jc w:val="left"/>
        <w:rPr>
          <w:rFonts w:asciiTheme="minorHAnsi" w:hAnsiTheme="minorHAnsi"/>
          <w:bCs/>
          <w:szCs w:val="24"/>
          <w:lang w:val="en-GB"/>
        </w:rPr>
      </w:pPr>
      <w:r>
        <w:rPr>
          <w:rFonts w:asciiTheme="minorHAnsi" w:hAnsiTheme="minorHAnsi"/>
          <w:bCs/>
          <w:szCs w:val="24"/>
          <w:lang w:val="en-GB"/>
        </w:rPr>
        <w:t>Add new item:</w:t>
      </w:r>
    </w:p>
    <w:tbl>
      <w:tblPr>
        <w:tblW w:w="9214" w:type="dxa"/>
        <w:tblLayout w:type="fixed"/>
        <w:tblLook w:val="0000" w:firstRow="0" w:lastRow="0" w:firstColumn="0" w:lastColumn="0" w:noHBand="0" w:noVBand="0"/>
      </w:tblPr>
      <w:tblGrid>
        <w:gridCol w:w="2835"/>
        <w:gridCol w:w="426"/>
        <w:gridCol w:w="567"/>
        <w:gridCol w:w="850"/>
        <w:gridCol w:w="1559"/>
        <w:gridCol w:w="2977"/>
      </w:tblGrid>
      <w:tr w:rsidR="006006CB">
        <w:trPr>
          <w:cantSplit/>
          <w:trHeight w:val="471"/>
        </w:trPr>
        <w:tc>
          <w:tcPr>
            <w:tcW w:w="3261" w:type="dxa"/>
            <w:gridSpan w:val="2"/>
            <w:tcBorders>
              <w:bottom w:val="single" w:sz="4" w:space="0" w:color="auto"/>
            </w:tcBorders>
          </w:tcPr>
          <w:p w:rsidR="006006CB" w:rsidRDefault="00D10D78">
            <w:pPr>
              <w:keepNext/>
              <w:widowControl/>
              <w:ind w:left="-108"/>
              <w:rPr>
                <w:rFonts w:ascii="Arial Narrow" w:eastAsia="Calibri" w:hAnsi="Arial Narrow"/>
                <w:snapToGrid/>
                <w:sz w:val="20"/>
                <w:szCs w:val="20"/>
              </w:rPr>
            </w:pPr>
            <w:r>
              <w:rPr>
                <w:rFonts w:ascii="Arial Narrow" w:eastAsia="Calibri" w:hAnsi="Arial Narrow"/>
                <w:snapToGrid/>
                <w:sz w:val="20"/>
                <w:szCs w:val="20"/>
              </w:rPr>
              <w:t>Name, Restriction,</w:t>
            </w:r>
          </w:p>
          <w:p w:rsidR="006006CB" w:rsidRDefault="00D10D78">
            <w:pPr>
              <w:keepNext/>
              <w:widowControl/>
              <w:ind w:left="-108"/>
              <w:rPr>
                <w:rFonts w:ascii="Arial Narrow" w:eastAsia="Calibri" w:hAnsi="Arial Narrow"/>
                <w:snapToGrid/>
                <w:sz w:val="20"/>
                <w:szCs w:val="20"/>
              </w:rPr>
            </w:pPr>
            <w:r>
              <w:rPr>
                <w:rFonts w:ascii="Arial Narrow" w:eastAsia="Calibri" w:hAnsi="Arial Narrow"/>
                <w:snapToGrid/>
                <w:sz w:val="20"/>
                <w:szCs w:val="20"/>
              </w:rPr>
              <w:t>Manner of administration and form</w:t>
            </w:r>
          </w:p>
        </w:tc>
        <w:tc>
          <w:tcPr>
            <w:tcW w:w="567" w:type="dxa"/>
            <w:tcBorders>
              <w:bottom w:val="single" w:sz="4" w:space="0" w:color="auto"/>
            </w:tcBorders>
          </w:tcPr>
          <w:p w:rsidR="006006CB" w:rsidRDefault="00D10D78">
            <w:pPr>
              <w:keepNext/>
              <w:widowControl/>
              <w:ind w:left="-108"/>
              <w:rPr>
                <w:rFonts w:ascii="Arial Narrow" w:eastAsia="Calibri" w:hAnsi="Arial Narrow"/>
                <w:snapToGrid/>
                <w:sz w:val="20"/>
                <w:szCs w:val="20"/>
              </w:rPr>
            </w:pPr>
            <w:r>
              <w:rPr>
                <w:rFonts w:ascii="Arial Narrow" w:eastAsia="Calibri" w:hAnsi="Arial Narrow"/>
                <w:snapToGrid/>
                <w:sz w:val="20"/>
                <w:szCs w:val="20"/>
              </w:rPr>
              <w:t>Max.</w:t>
            </w:r>
          </w:p>
          <w:p w:rsidR="006006CB" w:rsidRDefault="00D10D78">
            <w:pPr>
              <w:keepNext/>
              <w:widowControl/>
              <w:ind w:left="-108"/>
              <w:rPr>
                <w:rFonts w:ascii="Arial Narrow" w:eastAsia="Calibri" w:hAnsi="Arial Narrow"/>
                <w:snapToGrid/>
                <w:sz w:val="20"/>
                <w:szCs w:val="20"/>
              </w:rPr>
            </w:pPr>
            <w:r>
              <w:rPr>
                <w:rFonts w:ascii="Arial Narrow" w:eastAsia="Calibri" w:hAnsi="Arial Narrow"/>
                <w:snapToGrid/>
                <w:sz w:val="20"/>
                <w:szCs w:val="20"/>
              </w:rPr>
              <w:t>Qty</w:t>
            </w:r>
          </w:p>
        </w:tc>
        <w:tc>
          <w:tcPr>
            <w:tcW w:w="850" w:type="dxa"/>
            <w:tcBorders>
              <w:bottom w:val="single" w:sz="4" w:space="0" w:color="auto"/>
            </w:tcBorders>
          </w:tcPr>
          <w:p w:rsidR="006006CB" w:rsidRDefault="00D10D78">
            <w:pPr>
              <w:keepNext/>
              <w:widowControl/>
              <w:ind w:left="-108"/>
              <w:rPr>
                <w:rFonts w:ascii="Arial Narrow" w:eastAsia="Calibri" w:hAnsi="Arial Narrow"/>
                <w:snapToGrid/>
                <w:sz w:val="20"/>
                <w:szCs w:val="20"/>
              </w:rPr>
            </w:pPr>
            <w:r>
              <w:rPr>
                <w:rFonts w:ascii="Arial Narrow" w:eastAsia="Calibri" w:hAnsi="Arial Narrow"/>
                <w:snapToGrid/>
                <w:sz w:val="20"/>
                <w:szCs w:val="20"/>
              </w:rPr>
              <w:t>№.of</w:t>
            </w:r>
          </w:p>
          <w:p w:rsidR="006006CB" w:rsidRDefault="00D10D78">
            <w:pPr>
              <w:keepNext/>
              <w:widowControl/>
              <w:ind w:left="-108"/>
              <w:rPr>
                <w:rFonts w:ascii="Arial Narrow" w:eastAsia="Calibri" w:hAnsi="Arial Narrow"/>
                <w:snapToGrid/>
                <w:sz w:val="20"/>
                <w:szCs w:val="20"/>
              </w:rPr>
            </w:pPr>
            <w:r>
              <w:rPr>
                <w:rFonts w:ascii="Arial Narrow" w:eastAsia="Calibri" w:hAnsi="Arial Narrow"/>
                <w:snapToGrid/>
                <w:sz w:val="20"/>
                <w:szCs w:val="20"/>
              </w:rPr>
              <w:t>Rpts</w:t>
            </w:r>
          </w:p>
        </w:tc>
        <w:tc>
          <w:tcPr>
            <w:tcW w:w="4536" w:type="dxa"/>
            <w:gridSpan w:val="2"/>
            <w:tcBorders>
              <w:bottom w:val="single" w:sz="4" w:space="0" w:color="auto"/>
            </w:tcBorders>
          </w:tcPr>
          <w:p w:rsidR="006006CB" w:rsidRDefault="00D10D78">
            <w:pPr>
              <w:keepNext/>
              <w:widowControl/>
              <w:rPr>
                <w:rFonts w:ascii="Arial Narrow" w:eastAsia="Calibri" w:hAnsi="Arial Narrow"/>
                <w:snapToGrid/>
                <w:sz w:val="20"/>
                <w:szCs w:val="20"/>
                <w:lang w:val="fr-FR"/>
              </w:rPr>
            </w:pPr>
            <w:r>
              <w:rPr>
                <w:rFonts w:ascii="Arial Narrow" w:eastAsia="Calibri" w:hAnsi="Arial Narrow"/>
                <w:snapToGrid/>
                <w:sz w:val="20"/>
                <w:szCs w:val="20"/>
              </w:rPr>
              <w:t>Proprietary Name and Manufacturer</w:t>
            </w:r>
          </w:p>
        </w:tc>
      </w:tr>
      <w:tr w:rsidR="006006CB">
        <w:trPr>
          <w:cantSplit/>
          <w:trHeight w:val="577"/>
        </w:trPr>
        <w:tc>
          <w:tcPr>
            <w:tcW w:w="3261" w:type="dxa"/>
            <w:gridSpan w:val="2"/>
          </w:tcPr>
          <w:p w:rsidR="006006CB" w:rsidRDefault="00D10D78">
            <w:pPr>
              <w:keepNext/>
              <w:widowControl/>
              <w:ind w:left="-108"/>
              <w:rPr>
                <w:rFonts w:ascii="Arial Narrow" w:eastAsia="Calibri" w:hAnsi="Arial Narrow"/>
                <w:snapToGrid/>
                <w:sz w:val="20"/>
                <w:szCs w:val="20"/>
              </w:rPr>
            </w:pPr>
            <w:r>
              <w:rPr>
                <w:rFonts w:ascii="Arial Narrow" w:eastAsia="Calibri" w:hAnsi="Arial Narrow"/>
                <w:smallCaps/>
                <w:snapToGrid/>
                <w:sz w:val="20"/>
                <w:szCs w:val="20"/>
              </w:rPr>
              <w:t>OCTREOTIDE</w:t>
            </w:r>
          </w:p>
          <w:p w:rsidR="006006CB" w:rsidRDefault="00D10D78">
            <w:pPr>
              <w:keepNext/>
              <w:widowControl/>
              <w:ind w:left="-108"/>
              <w:rPr>
                <w:rFonts w:ascii="Arial Narrow" w:eastAsia="Calibri" w:hAnsi="Arial Narrow"/>
                <w:snapToGrid/>
                <w:sz w:val="20"/>
                <w:szCs w:val="20"/>
              </w:rPr>
            </w:pPr>
            <w:r>
              <w:rPr>
                <w:rFonts w:ascii="Arial Narrow" w:eastAsia="Calibri" w:hAnsi="Arial Narrow"/>
                <w:snapToGrid/>
                <w:sz w:val="20"/>
                <w:szCs w:val="20"/>
              </w:rPr>
              <w:t>Octreotide 30 mg injection: modified release [1 vial] (&amp;) inert substance diluent [2 mL syringe], 1 pack</w:t>
            </w:r>
          </w:p>
          <w:p w:rsidR="006006CB" w:rsidRDefault="006006CB">
            <w:pPr>
              <w:keepNext/>
              <w:widowControl/>
              <w:rPr>
                <w:rFonts w:ascii="Arial Narrow" w:eastAsia="Calibri" w:hAnsi="Arial Narrow"/>
                <w:snapToGrid/>
                <w:sz w:val="20"/>
                <w:szCs w:val="20"/>
              </w:rPr>
            </w:pPr>
          </w:p>
        </w:tc>
        <w:tc>
          <w:tcPr>
            <w:tcW w:w="567" w:type="dxa"/>
          </w:tcPr>
          <w:p w:rsidR="006006CB" w:rsidRDefault="00D10D78">
            <w:pPr>
              <w:keepNext/>
              <w:widowControl/>
              <w:ind w:left="-108"/>
              <w:rPr>
                <w:rFonts w:ascii="Arial Narrow" w:eastAsia="Calibri" w:hAnsi="Arial Narrow"/>
                <w:i/>
                <w:snapToGrid/>
                <w:sz w:val="20"/>
                <w:szCs w:val="20"/>
              </w:rPr>
            </w:pPr>
            <w:r>
              <w:rPr>
                <w:rFonts w:ascii="Arial Narrow" w:eastAsia="Calibri" w:hAnsi="Arial Narrow"/>
                <w:snapToGrid/>
                <w:sz w:val="20"/>
                <w:szCs w:val="20"/>
              </w:rPr>
              <w:t>2</w:t>
            </w:r>
          </w:p>
        </w:tc>
        <w:tc>
          <w:tcPr>
            <w:tcW w:w="850" w:type="dxa"/>
          </w:tcPr>
          <w:p w:rsidR="006006CB" w:rsidRDefault="00D10D78">
            <w:pPr>
              <w:keepNext/>
              <w:widowControl/>
              <w:ind w:left="-108"/>
              <w:rPr>
                <w:rFonts w:ascii="Arial Narrow" w:eastAsia="Calibri" w:hAnsi="Arial Narrow"/>
                <w:snapToGrid/>
                <w:sz w:val="20"/>
                <w:szCs w:val="20"/>
              </w:rPr>
            </w:pPr>
            <w:r>
              <w:rPr>
                <w:rFonts w:ascii="Arial Narrow" w:eastAsia="Calibri" w:hAnsi="Arial Narrow"/>
                <w:snapToGrid/>
                <w:sz w:val="20"/>
                <w:szCs w:val="20"/>
              </w:rPr>
              <w:t>5</w:t>
            </w:r>
          </w:p>
        </w:tc>
        <w:tc>
          <w:tcPr>
            <w:tcW w:w="1559" w:type="dxa"/>
          </w:tcPr>
          <w:p w:rsidR="006006CB" w:rsidRDefault="00D10D78">
            <w:pPr>
              <w:keepNext/>
              <w:widowControl/>
              <w:rPr>
                <w:rFonts w:ascii="Arial Narrow" w:eastAsia="Calibri" w:hAnsi="Arial Narrow"/>
                <w:snapToGrid/>
                <w:sz w:val="20"/>
                <w:szCs w:val="20"/>
              </w:rPr>
            </w:pPr>
            <w:r>
              <w:rPr>
                <w:rFonts w:ascii="Arial Narrow" w:eastAsia="Calibri" w:hAnsi="Arial Narrow"/>
                <w:snapToGrid/>
                <w:sz w:val="20"/>
                <w:szCs w:val="20"/>
              </w:rPr>
              <w:t xml:space="preserve">Sandosartin® LAR® </w:t>
            </w:r>
          </w:p>
        </w:tc>
        <w:tc>
          <w:tcPr>
            <w:tcW w:w="2977" w:type="dxa"/>
          </w:tcPr>
          <w:p w:rsidR="006006CB" w:rsidRDefault="00D10D78">
            <w:pPr>
              <w:keepNext/>
              <w:widowControl/>
              <w:rPr>
                <w:rFonts w:ascii="Arial Narrow" w:eastAsia="Calibri" w:hAnsi="Arial Narrow"/>
                <w:snapToGrid/>
                <w:sz w:val="20"/>
                <w:szCs w:val="20"/>
              </w:rPr>
            </w:pPr>
            <w:r>
              <w:rPr>
                <w:rFonts w:ascii="Arial Narrow" w:eastAsia="Calibri" w:hAnsi="Arial Narrow"/>
                <w:snapToGrid/>
                <w:sz w:val="20"/>
                <w:szCs w:val="20"/>
              </w:rPr>
              <w:t>Novartis Pharmaceuticals Australia Pty Limited</w:t>
            </w:r>
          </w:p>
        </w:tc>
      </w:tr>
      <w:tr w:rsidR="006006C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Category / Program:</w:t>
            </w:r>
          </w:p>
        </w:tc>
        <w:tc>
          <w:tcPr>
            <w:tcW w:w="6379" w:type="dxa"/>
            <w:gridSpan w:val="5"/>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t>Section 100 – HSD Program (Public/Private)</w:t>
            </w:r>
          </w:p>
        </w:tc>
      </w:tr>
      <w:tr w:rsidR="006006C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Prescriber type:</w:t>
            </w:r>
          </w:p>
          <w:p w:rsidR="006006CB" w:rsidRDefault="006006CB">
            <w:pPr>
              <w:widowControl/>
              <w:spacing w:before="60" w:after="60"/>
              <w:rPr>
                <w:rFonts w:ascii="Arial Narrow" w:eastAsia="Calibri" w:hAnsi="Arial Narrow"/>
                <w:b/>
                <w:snapToGrid/>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fldChar w:fldCharType="begin">
                <w:ffData>
                  <w:name w:val="Check1"/>
                  <w:enabled/>
                  <w:calcOnExit w:val="0"/>
                  <w:checkBox>
                    <w:sizeAuto/>
                    <w:default w:val="0"/>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Dental  </w:t>
            </w:r>
            <w:r>
              <w:rPr>
                <w:rFonts w:ascii="Arial Narrow" w:eastAsia="Calibri" w:hAnsi="Arial Narrow"/>
                <w:snapToGrid/>
                <w:sz w:val="20"/>
                <w:szCs w:val="20"/>
              </w:rPr>
              <w:fldChar w:fldCharType="begin">
                <w:ffData>
                  <w:name w:val=""/>
                  <w:enabled/>
                  <w:calcOnExit w:val="0"/>
                  <w:checkBox>
                    <w:sizeAuto/>
                    <w:default w:val="1"/>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Medical Practitioners  </w:t>
            </w:r>
            <w:r>
              <w:rPr>
                <w:rFonts w:ascii="Arial Narrow" w:eastAsia="Calibri" w:hAnsi="Arial Narrow"/>
                <w:snapToGrid/>
                <w:sz w:val="20"/>
                <w:szCs w:val="20"/>
              </w:rPr>
              <w:fldChar w:fldCharType="begin">
                <w:ffData>
                  <w:name w:val="Check3"/>
                  <w:enabled/>
                  <w:calcOnExit w:val="0"/>
                  <w:checkBox>
                    <w:sizeAuto/>
                    <w:default w:val="0"/>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Nurse practitioners  </w:t>
            </w:r>
            <w:r>
              <w:rPr>
                <w:rFonts w:ascii="Arial Narrow" w:eastAsia="Calibri" w:hAnsi="Arial Narrow"/>
                <w:snapToGrid/>
                <w:sz w:val="20"/>
                <w:szCs w:val="20"/>
              </w:rPr>
              <w:fldChar w:fldCharType="begin">
                <w:ffData>
                  <w:name w:val=""/>
                  <w:enabled/>
                  <w:calcOnExit w:val="0"/>
                  <w:checkBox>
                    <w:sizeAuto/>
                    <w:default w:val="0"/>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Optometrists</w:t>
            </w:r>
          </w:p>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fldChar w:fldCharType="begin">
                <w:ffData>
                  <w:name w:val="Check5"/>
                  <w:enabled/>
                  <w:calcOnExit w:val="0"/>
                  <w:checkBox>
                    <w:sizeAuto/>
                    <w:default w:val="0"/>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Midwives</w:t>
            </w:r>
          </w:p>
        </w:tc>
      </w:tr>
      <w:tr w:rsidR="006006CB">
        <w:trPr>
          <w:cantSplit/>
          <w:trHeight w:val="235"/>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PBS Indication:</w:t>
            </w:r>
          </w:p>
        </w:tc>
        <w:tc>
          <w:tcPr>
            <w:tcW w:w="6379" w:type="dxa"/>
            <w:gridSpan w:val="5"/>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t xml:space="preserve">Non-functional gastroenteropancreatic neuroendocrine tumour (GEP-NET) </w:t>
            </w:r>
          </w:p>
        </w:tc>
      </w:tr>
      <w:tr w:rsidR="006006C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Restriction Level / Method:</w:t>
            </w:r>
          </w:p>
          <w:p w:rsidR="006006CB" w:rsidRDefault="006006CB">
            <w:pPr>
              <w:widowControl/>
              <w:spacing w:before="60" w:after="60"/>
              <w:rPr>
                <w:rFonts w:ascii="Arial Narrow" w:eastAsia="Calibri" w:hAnsi="Arial Narrow"/>
                <w:i/>
                <w:snapToGrid/>
                <w:sz w:val="20"/>
                <w:szCs w:val="20"/>
              </w:rPr>
            </w:pPr>
          </w:p>
          <w:p w:rsidR="006006CB" w:rsidRDefault="006006CB">
            <w:pPr>
              <w:widowControl/>
              <w:spacing w:before="60" w:after="60"/>
              <w:rPr>
                <w:rFonts w:ascii="Arial Narrow" w:eastAsia="Calibri" w:hAnsi="Arial Narrow"/>
                <w:i/>
                <w:snapToGrid/>
                <w:sz w:val="20"/>
                <w:szCs w:val="20"/>
              </w:rPr>
            </w:pPr>
          </w:p>
          <w:p w:rsidR="006006CB" w:rsidRDefault="006006CB">
            <w:pPr>
              <w:widowControl/>
              <w:spacing w:before="60" w:after="60"/>
              <w:rPr>
                <w:rFonts w:ascii="Arial Narrow" w:eastAsia="Calibri" w:hAnsi="Arial Narrow"/>
                <w:i/>
                <w:snapToGrid/>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fldChar w:fldCharType="begin">
                <w:ffData>
                  <w:name w:val="Check1"/>
                  <w:enabled/>
                  <w:calcOnExit w:val="0"/>
                  <w:checkBox>
                    <w:sizeAuto/>
                    <w:default w:val="0"/>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Restricted benefit</w:t>
            </w:r>
          </w:p>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fldChar w:fldCharType="begin">
                <w:ffData>
                  <w:name w:val=""/>
                  <w:enabled/>
                  <w:calcOnExit w:val="0"/>
                  <w:checkBox>
                    <w:sizeAuto/>
                    <w:default w:val="0"/>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Authority Required – In Writing</w:t>
            </w:r>
          </w:p>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fldChar w:fldCharType="begin">
                <w:ffData>
                  <w:name w:val="Check3"/>
                  <w:enabled/>
                  <w:calcOnExit w:val="0"/>
                  <w:checkBox>
                    <w:sizeAuto/>
                    <w:default w:val="0"/>
                  </w:checkBox>
                </w:ffData>
              </w:fldChar>
            </w:r>
            <w:r>
              <w:rPr>
                <w:rFonts w:ascii="Arial Narrow" w:eastAsia="Calibri" w:hAnsi="Arial Narrow"/>
                <w:snapToGrid/>
                <w:sz w:val="20"/>
                <w:szCs w:val="20"/>
              </w:rPr>
              <w:instrText xml:space="preserve"> </w:instrText>
            </w:r>
            <w:bookmarkStart w:id="16" w:name="Check3"/>
            <w:r>
              <w:rPr>
                <w:rFonts w:ascii="Arial Narrow" w:eastAsia="Calibri" w:hAnsi="Arial Narrow"/>
                <w:snapToGrid/>
                <w:sz w:val="20"/>
                <w:szCs w:val="20"/>
              </w:rPr>
              <w:instrText xml:space="preserve">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bookmarkEnd w:id="16"/>
            <w:r>
              <w:rPr>
                <w:rFonts w:ascii="Arial Narrow" w:eastAsia="Calibri" w:hAnsi="Arial Narrow"/>
                <w:snapToGrid/>
                <w:sz w:val="20"/>
                <w:szCs w:val="20"/>
              </w:rPr>
              <w:t>Authority Required – Telephone/Electronic/Emergency</w:t>
            </w:r>
          </w:p>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fldChar w:fldCharType="begin">
                <w:ffData>
                  <w:name w:val="Check5"/>
                  <w:enabled/>
                  <w:calcOnExit w:val="0"/>
                  <w:checkBox>
                    <w:sizeAuto/>
                    <w:default w:val="1"/>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Streamlined</w:t>
            </w:r>
          </w:p>
        </w:tc>
      </w:tr>
      <w:tr w:rsidR="006006CB">
        <w:trPr>
          <w:cantSplit/>
          <w:trHeight w:val="657"/>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Clinical criteria:</w:t>
            </w:r>
          </w:p>
          <w:p w:rsidR="006006CB" w:rsidRDefault="006006CB">
            <w:pPr>
              <w:widowControl/>
              <w:spacing w:before="60" w:after="60"/>
              <w:rPr>
                <w:rFonts w:ascii="Arial Narrow" w:eastAsia="Calibri" w:hAnsi="Arial Narrow"/>
                <w:b/>
                <w:snapToGrid/>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t>The condition must be unresectable locally advanced or metastatic disease,</w:t>
            </w:r>
          </w:p>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t>AND</w:t>
            </w:r>
          </w:p>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t>The condition must be World Health Organisation (WHO) grade 1 or 2,</w:t>
            </w:r>
          </w:p>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t>AND</w:t>
            </w:r>
          </w:p>
          <w:p w:rsidR="006006CB" w:rsidRDefault="00D10D78">
            <w:pPr>
              <w:widowControl/>
              <w:spacing w:before="60" w:after="60"/>
              <w:rPr>
                <w:rFonts w:ascii="Arial Narrow" w:hAnsi="Arial Narrow"/>
                <w:snapToGrid/>
                <w:sz w:val="20"/>
                <w:szCs w:val="20"/>
                <w:lang w:eastAsia="en-AU"/>
              </w:rPr>
            </w:pPr>
            <w:r>
              <w:rPr>
                <w:rFonts w:ascii="Arial Narrow" w:eastAsia="Calibri" w:hAnsi="Arial Narrow"/>
                <w:snapToGrid/>
                <w:sz w:val="20"/>
                <w:szCs w:val="20"/>
              </w:rPr>
              <w:t>The treatment must be the sole PBS-subsidised therapy for this condition.</w:t>
            </w:r>
          </w:p>
        </w:tc>
      </w:tr>
      <w:tr w:rsidR="006006CB">
        <w:trPr>
          <w:cantSplit/>
          <w:trHeight w:val="392"/>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Population criteria:</w:t>
            </w:r>
          </w:p>
        </w:tc>
        <w:tc>
          <w:tcPr>
            <w:tcW w:w="6379" w:type="dxa"/>
            <w:gridSpan w:val="5"/>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t>Patient must be aged 18 years or older.</w:t>
            </w:r>
          </w:p>
        </w:tc>
      </w:tr>
      <w:tr w:rsidR="006006C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Prescriber Instructions:</w:t>
            </w:r>
          </w:p>
          <w:p w:rsidR="006006CB" w:rsidRDefault="006006CB">
            <w:pPr>
              <w:widowControl/>
              <w:spacing w:before="60" w:after="60"/>
              <w:rPr>
                <w:rFonts w:ascii="Arial Narrow" w:eastAsia="Calibri" w:hAnsi="Arial Narrow"/>
                <w:snapToGrid/>
                <w:sz w:val="20"/>
                <w:szCs w:val="20"/>
              </w:rPr>
            </w:pPr>
          </w:p>
        </w:tc>
        <w:tc>
          <w:tcPr>
            <w:tcW w:w="6379" w:type="dxa"/>
            <w:gridSpan w:val="5"/>
            <w:tcBorders>
              <w:top w:val="single" w:sz="4" w:space="0" w:color="auto"/>
              <w:left w:val="single" w:sz="4" w:space="0" w:color="auto"/>
              <w:bottom w:val="single" w:sz="4" w:space="0" w:color="auto"/>
              <w:right w:val="single" w:sz="4" w:space="0" w:color="auto"/>
            </w:tcBorders>
          </w:tcPr>
          <w:p w:rsidR="006006CB" w:rsidRDefault="00D10D78">
            <w:pPr>
              <w:widowControl/>
              <w:spacing w:before="60" w:after="120"/>
              <w:jc w:val="left"/>
              <w:rPr>
                <w:rFonts w:ascii="Arial Narrow" w:hAnsi="Arial Narrow"/>
                <w:snapToGrid/>
                <w:sz w:val="20"/>
                <w:szCs w:val="20"/>
                <w:lang w:eastAsia="en-AU"/>
              </w:rPr>
            </w:pPr>
            <w:r>
              <w:rPr>
                <w:rFonts w:ascii="Arial Narrow" w:hAnsi="Arial Narrow"/>
                <w:snapToGrid/>
                <w:sz w:val="20"/>
                <w:szCs w:val="20"/>
                <w:lang w:eastAsia="en-AU"/>
              </w:rPr>
              <w:t xml:space="preserve">WHO grade 1 of GEP-NET is defined as a mitotic count (10HPF) of less than 2 and Ki-67 index (%) of less than or equal to 2. </w:t>
            </w:r>
          </w:p>
          <w:p w:rsidR="006006CB" w:rsidRDefault="00D10D78">
            <w:pPr>
              <w:widowControl/>
              <w:spacing w:before="60" w:after="120"/>
              <w:jc w:val="left"/>
              <w:rPr>
                <w:rFonts w:ascii="Arial Narrow" w:hAnsi="Arial Narrow"/>
                <w:snapToGrid/>
                <w:sz w:val="20"/>
                <w:szCs w:val="20"/>
                <w:lang w:eastAsia="en-AU"/>
              </w:rPr>
            </w:pPr>
            <w:r>
              <w:rPr>
                <w:rFonts w:ascii="Arial Narrow" w:hAnsi="Arial Narrow"/>
                <w:snapToGrid/>
                <w:sz w:val="20"/>
                <w:szCs w:val="20"/>
                <w:lang w:eastAsia="en-AU"/>
              </w:rPr>
              <w:t>WHO grade 2 of GEP-NET is defined as a mitotic count (10HPF) of 2-20 and Ki-67 index (%) of 3-20.</w:t>
            </w:r>
          </w:p>
        </w:tc>
      </w:tr>
      <w:tr w:rsidR="006006C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Administrative advice</w:t>
            </w:r>
          </w:p>
        </w:tc>
        <w:tc>
          <w:tcPr>
            <w:tcW w:w="6379" w:type="dxa"/>
            <w:gridSpan w:val="5"/>
            <w:tcBorders>
              <w:top w:val="single" w:sz="4" w:space="0" w:color="auto"/>
              <w:left w:val="single" w:sz="4" w:space="0" w:color="auto"/>
              <w:bottom w:val="single" w:sz="4" w:space="0" w:color="auto"/>
              <w:right w:val="single" w:sz="4" w:space="0" w:color="auto"/>
            </w:tcBorders>
          </w:tcPr>
          <w:p w:rsidR="006006CB" w:rsidRDefault="00D10D78">
            <w:pPr>
              <w:widowControl/>
              <w:spacing w:before="60" w:after="120"/>
              <w:jc w:val="left"/>
              <w:rPr>
                <w:rFonts w:ascii="Arial Narrow" w:eastAsia="Calibri" w:hAnsi="Arial Narrow" w:cs="Times New Roman"/>
                <w:snapToGrid/>
                <w:sz w:val="20"/>
                <w:szCs w:val="20"/>
              </w:rPr>
            </w:pPr>
            <w:r>
              <w:rPr>
                <w:rFonts w:ascii="Arial Narrow" w:eastAsia="Calibri" w:hAnsi="Arial Narrow" w:cs="Times New Roman"/>
                <w:snapToGrid/>
                <w:sz w:val="20"/>
                <w:szCs w:val="20"/>
              </w:rPr>
              <w:t>No increase in the maximum quantity or number of units may be authorised.</w:t>
            </w:r>
          </w:p>
          <w:p w:rsidR="006006CB" w:rsidRDefault="00D10D78">
            <w:pPr>
              <w:widowControl/>
              <w:spacing w:before="60" w:after="120"/>
              <w:jc w:val="left"/>
              <w:rPr>
                <w:rFonts w:ascii="Arial Narrow" w:eastAsia="Calibri" w:hAnsi="Arial Narrow" w:cs="Times New Roman"/>
                <w:snapToGrid/>
                <w:sz w:val="20"/>
                <w:szCs w:val="20"/>
              </w:rPr>
            </w:pPr>
            <w:r>
              <w:rPr>
                <w:rFonts w:ascii="Arial Narrow" w:eastAsia="Calibri" w:hAnsi="Arial Narrow" w:cs="Times New Roman"/>
                <w:snapToGrid/>
                <w:sz w:val="20"/>
                <w:szCs w:val="20"/>
              </w:rPr>
              <w:t>No increase in the maximum number of repeats may be authorised.</w:t>
            </w:r>
          </w:p>
          <w:p w:rsidR="006006CB" w:rsidRDefault="00D10D78">
            <w:pPr>
              <w:widowControl/>
              <w:spacing w:before="60" w:after="60"/>
              <w:jc w:val="left"/>
              <w:rPr>
                <w:rFonts w:ascii="Arial Narrow" w:eastAsia="Calibri" w:hAnsi="Arial Narrow" w:cs="Times New Roman"/>
                <w:snapToGrid/>
                <w:sz w:val="20"/>
                <w:szCs w:val="20"/>
              </w:rPr>
            </w:pPr>
            <w:r>
              <w:rPr>
                <w:rFonts w:ascii="Arial Narrow" w:eastAsia="Calibri" w:hAnsi="Arial Narrow" w:cs="Times New Roman"/>
                <w:snapToGrid/>
                <w:sz w:val="20"/>
                <w:szCs w:val="20"/>
              </w:rPr>
              <w:t>Special Pricing Arrangements apply.</w:t>
            </w:r>
          </w:p>
        </w:tc>
      </w:tr>
    </w:tbl>
    <w:p w:rsidR="006006CB" w:rsidRDefault="006006CB">
      <w:pPr>
        <w:widowControl/>
        <w:contextualSpacing/>
        <w:jc w:val="left"/>
        <w:rPr>
          <w:rFonts w:asciiTheme="minorHAnsi" w:hAnsiTheme="minorHAnsi"/>
          <w:bCs/>
        </w:rPr>
      </w:pPr>
    </w:p>
    <w:tbl>
      <w:tblPr>
        <w:tblW w:w="9214" w:type="dxa"/>
        <w:tblLayout w:type="fixed"/>
        <w:tblLook w:val="0000" w:firstRow="0" w:lastRow="0" w:firstColumn="0" w:lastColumn="0" w:noHBand="0" w:noVBand="0"/>
      </w:tblPr>
      <w:tblGrid>
        <w:gridCol w:w="2835"/>
        <w:gridCol w:w="6379"/>
      </w:tblGrid>
      <w:tr w:rsidR="006006C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Category / Program:</w:t>
            </w:r>
          </w:p>
        </w:tc>
        <w:tc>
          <w:tcPr>
            <w:tcW w:w="6379"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t>Section 100 – HSD Program (Community Access)</w:t>
            </w:r>
          </w:p>
        </w:tc>
      </w:tr>
      <w:tr w:rsidR="006006C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Prescriber type:</w:t>
            </w:r>
          </w:p>
        </w:tc>
        <w:tc>
          <w:tcPr>
            <w:tcW w:w="6379"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fldChar w:fldCharType="begin">
                <w:ffData>
                  <w:name w:val="Check1"/>
                  <w:enabled/>
                  <w:calcOnExit w:val="0"/>
                  <w:checkBox>
                    <w:sizeAuto/>
                    <w:default w:val="0"/>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Dental  </w:t>
            </w:r>
            <w:r>
              <w:rPr>
                <w:rFonts w:ascii="Arial Narrow" w:eastAsia="Calibri" w:hAnsi="Arial Narrow"/>
                <w:snapToGrid/>
                <w:sz w:val="20"/>
                <w:szCs w:val="20"/>
              </w:rPr>
              <w:fldChar w:fldCharType="begin">
                <w:ffData>
                  <w:name w:val=""/>
                  <w:enabled/>
                  <w:calcOnExit w:val="0"/>
                  <w:checkBox>
                    <w:sizeAuto/>
                    <w:default w:val="1"/>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Medical Practitioners  </w:t>
            </w:r>
            <w:r>
              <w:rPr>
                <w:rFonts w:ascii="Arial Narrow" w:eastAsia="Calibri" w:hAnsi="Arial Narrow"/>
                <w:snapToGrid/>
                <w:sz w:val="20"/>
                <w:szCs w:val="20"/>
              </w:rPr>
              <w:fldChar w:fldCharType="begin">
                <w:ffData>
                  <w:name w:val="Check3"/>
                  <w:enabled/>
                  <w:calcOnExit w:val="0"/>
                  <w:checkBox>
                    <w:sizeAuto/>
                    <w:default w:val="0"/>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 xml:space="preserve">Nurse practitioners  </w:t>
            </w:r>
            <w:r>
              <w:rPr>
                <w:rFonts w:ascii="Arial Narrow" w:eastAsia="Calibri" w:hAnsi="Arial Narrow"/>
                <w:snapToGrid/>
                <w:sz w:val="20"/>
                <w:szCs w:val="20"/>
              </w:rPr>
              <w:fldChar w:fldCharType="begin">
                <w:ffData>
                  <w:name w:val=""/>
                  <w:enabled/>
                  <w:calcOnExit w:val="0"/>
                  <w:checkBox>
                    <w:sizeAuto/>
                    <w:default w:val="0"/>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Optometrists</w:t>
            </w:r>
          </w:p>
          <w:p w:rsidR="006006CB" w:rsidRDefault="00D10D78">
            <w:pPr>
              <w:widowControl/>
              <w:spacing w:before="60" w:after="60"/>
              <w:rPr>
                <w:rFonts w:ascii="Arial Narrow" w:eastAsia="Calibri" w:hAnsi="Arial Narrow"/>
                <w:i/>
                <w:snapToGrid/>
                <w:sz w:val="20"/>
                <w:szCs w:val="20"/>
              </w:rPr>
            </w:pPr>
            <w:r>
              <w:rPr>
                <w:rFonts w:ascii="Arial Narrow" w:eastAsia="Calibri" w:hAnsi="Arial Narrow"/>
                <w:snapToGrid/>
                <w:sz w:val="20"/>
                <w:szCs w:val="20"/>
              </w:rPr>
              <w:fldChar w:fldCharType="begin">
                <w:ffData>
                  <w:name w:val="Check5"/>
                  <w:enabled/>
                  <w:calcOnExit w:val="0"/>
                  <w:checkBox>
                    <w:sizeAuto/>
                    <w:default w:val="0"/>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Midwives</w:t>
            </w:r>
          </w:p>
        </w:tc>
      </w:tr>
      <w:tr w:rsidR="006006CB">
        <w:trPr>
          <w:cantSplit/>
          <w:trHeight w:val="203"/>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PBS Indication:</w:t>
            </w:r>
          </w:p>
        </w:tc>
        <w:tc>
          <w:tcPr>
            <w:tcW w:w="6379"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t>Non-functional gastroenteropancreatic neuroendocrine tumour (GEP-NET)</w:t>
            </w:r>
          </w:p>
        </w:tc>
      </w:tr>
      <w:tr w:rsidR="006006C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Restriction Level / Method:</w:t>
            </w:r>
          </w:p>
        </w:tc>
        <w:tc>
          <w:tcPr>
            <w:tcW w:w="6379"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fldChar w:fldCharType="begin">
                <w:ffData>
                  <w:name w:val="Check1"/>
                  <w:enabled/>
                  <w:calcOnExit w:val="0"/>
                  <w:checkBox>
                    <w:sizeAuto/>
                    <w:default w:val="0"/>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Restricted benefit</w:t>
            </w:r>
          </w:p>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fldChar w:fldCharType="begin">
                <w:ffData>
                  <w:name w:val=""/>
                  <w:enabled/>
                  <w:calcOnExit w:val="0"/>
                  <w:checkBox>
                    <w:sizeAuto/>
                    <w:default w:val="0"/>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Authority Required – In Writing</w:t>
            </w:r>
          </w:p>
          <w:p w:rsidR="006006CB" w:rsidRDefault="00D10D78">
            <w:pPr>
              <w:widowControl/>
              <w:spacing w:before="60" w:after="60"/>
              <w:rPr>
                <w:rFonts w:ascii="Arial Narrow" w:eastAsia="Calibri" w:hAnsi="Arial Narrow"/>
                <w:snapToGrid/>
                <w:sz w:val="20"/>
                <w:szCs w:val="20"/>
              </w:rPr>
            </w:pPr>
            <w:r>
              <w:rPr>
                <w:rFonts w:ascii="Arial Narrow" w:eastAsia="Calibri" w:hAnsi="Arial Narrow"/>
                <w:snapToGrid/>
                <w:sz w:val="20"/>
                <w:szCs w:val="20"/>
              </w:rPr>
              <w:fldChar w:fldCharType="begin">
                <w:ffData>
                  <w:name w:val="Check3"/>
                  <w:enabled/>
                  <w:calcOnExit w:val="0"/>
                  <w:checkBox>
                    <w:sizeAuto/>
                    <w:default w:val="0"/>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Authority Required – Telephone/Electronic/Emergency</w:t>
            </w:r>
          </w:p>
          <w:p w:rsidR="006006CB" w:rsidRDefault="00D10D78">
            <w:pPr>
              <w:widowControl/>
              <w:spacing w:before="60" w:after="60"/>
              <w:rPr>
                <w:rFonts w:ascii="Arial Narrow" w:eastAsia="Calibri" w:hAnsi="Arial Narrow"/>
                <w:i/>
                <w:snapToGrid/>
                <w:sz w:val="20"/>
                <w:szCs w:val="20"/>
              </w:rPr>
            </w:pPr>
            <w:r>
              <w:rPr>
                <w:rFonts w:ascii="Arial Narrow" w:eastAsia="Calibri" w:hAnsi="Arial Narrow"/>
                <w:snapToGrid/>
                <w:sz w:val="20"/>
                <w:szCs w:val="20"/>
              </w:rPr>
              <w:fldChar w:fldCharType="begin">
                <w:ffData>
                  <w:name w:val="Check5"/>
                  <w:enabled/>
                  <w:calcOnExit w:val="0"/>
                  <w:checkBox>
                    <w:sizeAuto/>
                    <w:default w:val="1"/>
                  </w:checkBox>
                </w:ffData>
              </w:fldChar>
            </w:r>
            <w:r>
              <w:rPr>
                <w:rFonts w:ascii="Arial Narrow" w:eastAsia="Calibri" w:hAnsi="Arial Narrow"/>
                <w:snapToGrid/>
                <w:sz w:val="20"/>
                <w:szCs w:val="20"/>
              </w:rPr>
              <w:instrText xml:space="preserve"> FORMCHECKBOX </w:instrText>
            </w:r>
            <w:r w:rsidR="0000118A">
              <w:rPr>
                <w:rFonts w:ascii="Arial Narrow" w:eastAsia="Calibri" w:hAnsi="Arial Narrow"/>
                <w:snapToGrid/>
                <w:sz w:val="20"/>
                <w:szCs w:val="20"/>
              </w:rPr>
            </w:r>
            <w:r w:rsidR="0000118A">
              <w:rPr>
                <w:rFonts w:ascii="Arial Narrow" w:eastAsia="Calibri" w:hAnsi="Arial Narrow"/>
                <w:snapToGrid/>
                <w:sz w:val="20"/>
                <w:szCs w:val="20"/>
              </w:rPr>
              <w:fldChar w:fldCharType="separate"/>
            </w:r>
            <w:r>
              <w:rPr>
                <w:rFonts w:ascii="Arial Narrow" w:eastAsia="Calibri" w:hAnsi="Arial Narrow"/>
                <w:snapToGrid/>
                <w:sz w:val="20"/>
                <w:szCs w:val="20"/>
              </w:rPr>
              <w:fldChar w:fldCharType="end"/>
            </w:r>
            <w:r>
              <w:rPr>
                <w:rFonts w:ascii="Arial Narrow" w:eastAsia="Calibri" w:hAnsi="Arial Narrow"/>
                <w:snapToGrid/>
                <w:sz w:val="20"/>
                <w:szCs w:val="20"/>
              </w:rPr>
              <w:t>Streamlined</w:t>
            </w:r>
          </w:p>
        </w:tc>
      </w:tr>
      <w:tr w:rsidR="006006CB">
        <w:trPr>
          <w:cantSplit/>
          <w:trHeight w:val="657"/>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lastRenderedPageBreak/>
              <w:t>Clinical criteria:</w:t>
            </w:r>
          </w:p>
        </w:tc>
        <w:tc>
          <w:tcPr>
            <w:tcW w:w="6379"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jc w:val="left"/>
              <w:rPr>
                <w:rFonts w:ascii="Arial Narrow" w:eastAsia="Calibri" w:hAnsi="Arial Narrow" w:cs="Times New Roman"/>
                <w:snapToGrid/>
                <w:sz w:val="20"/>
                <w:szCs w:val="20"/>
              </w:rPr>
            </w:pPr>
            <w:r>
              <w:rPr>
                <w:rFonts w:ascii="Arial Narrow" w:eastAsia="Calibri" w:hAnsi="Arial Narrow" w:cs="Times New Roman"/>
                <w:snapToGrid/>
                <w:sz w:val="20"/>
                <w:szCs w:val="20"/>
              </w:rPr>
              <w:t>Patient must have previously received PBS-subsidised treatment with this drug for this condition,</w:t>
            </w:r>
          </w:p>
          <w:p w:rsidR="006006CB" w:rsidRDefault="00D10D78">
            <w:pPr>
              <w:widowControl/>
              <w:spacing w:before="60" w:after="60"/>
              <w:jc w:val="left"/>
              <w:rPr>
                <w:rFonts w:ascii="Arial Narrow" w:eastAsia="Calibri" w:hAnsi="Arial Narrow" w:cs="Times New Roman"/>
                <w:snapToGrid/>
                <w:sz w:val="20"/>
                <w:szCs w:val="20"/>
              </w:rPr>
            </w:pPr>
            <w:r>
              <w:rPr>
                <w:rFonts w:ascii="Arial Narrow" w:eastAsia="Calibri" w:hAnsi="Arial Narrow" w:cs="Times New Roman"/>
                <w:snapToGrid/>
                <w:sz w:val="20"/>
                <w:szCs w:val="20"/>
              </w:rPr>
              <w:t>AND</w:t>
            </w:r>
          </w:p>
          <w:p w:rsidR="006006CB" w:rsidRDefault="00D10D78">
            <w:pPr>
              <w:widowControl/>
              <w:spacing w:before="60" w:after="60"/>
              <w:jc w:val="left"/>
              <w:rPr>
                <w:rFonts w:ascii="Arial Narrow" w:eastAsia="Calibri" w:hAnsi="Arial Narrow" w:cs="Times New Roman"/>
                <w:snapToGrid/>
                <w:sz w:val="20"/>
                <w:szCs w:val="20"/>
              </w:rPr>
            </w:pPr>
            <w:r>
              <w:rPr>
                <w:rFonts w:ascii="Arial Narrow" w:eastAsia="Calibri" w:hAnsi="Arial Narrow" w:cs="Times New Roman"/>
                <w:snapToGrid/>
                <w:sz w:val="20"/>
                <w:szCs w:val="20"/>
              </w:rPr>
              <w:t>The condition must be unresectable locally advanced or metastatic disease,</w:t>
            </w:r>
          </w:p>
          <w:p w:rsidR="006006CB" w:rsidRDefault="00D10D78">
            <w:pPr>
              <w:widowControl/>
              <w:spacing w:before="60" w:after="60"/>
              <w:jc w:val="left"/>
              <w:rPr>
                <w:rFonts w:ascii="Arial Narrow" w:eastAsia="Calibri" w:hAnsi="Arial Narrow" w:cs="Times New Roman"/>
                <w:snapToGrid/>
                <w:sz w:val="20"/>
                <w:szCs w:val="20"/>
              </w:rPr>
            </w:pPr>
            <w:r>
              <w:rPr>
                <w:rFonts w:ascii="Arial Narrow" w:eastAsia="Calibri" w:hAnsi="Arial Narrow" w:cs="Times New Roman"/>
                <w:snapToGrid/>
                <w:sz w:val="20"/>
                <w:szCs w:val="20"/>
              </w:rPr>
              <w:t>AND</w:t>
            </w:r>
          </w:p>
          <w:p w:rsidR="006006CB" w:rsidRDefault="00D10D78">
            <w:pPr>
              <w:widowControl/>
              <w:spacing w:before="60" w:after="60"/>
              <w:jc w:val="left"/>
              <w:rPr>
                <w:rFonts w:ascii="Arial Narrow" w:eastAsia="Calibri" w:hAnsi="Arial Narrow" w:cs="Times New Roman"/>
                <w:snapToGrid/>
                <w:sz w:val="20"/>
                <w:szCs w:val="20"/>
              </w:rPr>
            </w:pPr>
            <w:r>
              <w:rPr>
                <w:rFonts w:ascii="Arial Narrow" w:eastAsia="Calibri" w:hAnsi="Arial Narrow" w:cs="Times New Roman"/>
                <w:snapToGrid/>
                <w:sz w:val="20"/>
                <w:szCs w:val="20"/>
              </w:rPr>
              <w:t>The condition must be World Health Organisation (WHO) grade 1 or 2,</w:t>
            </w:r>
          </w:p>
          <w:p w:rsidR="006006CB" w:rsidRDefault="00D10D78">
            <w:pPr>
              <w:widowControl/>
              <w:spacing w:before="60" w:after="60"/>
              <w:jc w:val="left"/>
              <w:rPr>
                <w:rFonts w:ascii="Arial Narrow" w:eastAsia="Calibri" w:hAnsi="Arial Narrow" w:cs="Times New Roman"/>
                <w:snapToGrid/>
                <w:sz w:val="20"/>
                <w:szCs w:val="20"/>
              </w:rPr>
            </w:pPr>
            <w:r>
              <w:rPr>
                <w:rFonts w:ascii="Arial Narrow" w:eastAsia="Calibri" w:hAnsi="Arial Narrow" w:cs="Times New Roman"/>
                <w:snapToGrid/>
                <w:sz w:val="20"/>
                <w:szCs w:val="20"/>
              </w:rPr>
              <w:t>AND</w:t>
            </w:r>
          </w:p>
          <w:p w:rsidR="006006CB" w:rsidRDefault="00D10D78">
            <w:pPr>
              <w:widowControl/>
              <w:spacing w:before="60" w:after="60"/>
              <w:jc w:val="left"/>
              <w:rPr>
                <w:rFonts w:ascii="Arial Narrow" w:eastAsia="Calibri" w:hAnsi="Arial Narrow" w:cs="Times New Roman"/>
                <w:snapToGrid/>
                <w:sz w:val="20"/>
                <w:szCs w:val="20"/>
              </w:rPr>
            </w:pPr>
            <w:r>
              <w:rPr>
                <w:rFonts w:ascii="Arial Narrow" w:eastAsia="Calibri" w:hAnsi="Arial Narrow"/>
                <w:snapToGrid/>
                <w:sz w:val="20"/>
                <w:szCs w:val="20"/>
              </w:rPr>
              <w:t>The treatment must be the sole PBS-subsidised therapy for this condition.</w:t>
            </w:r>
          </w:p>
        </w:tc>
      </w:tr>
      <w:tr w:rsidR="006006CB">
        <w:trPr>
          <w:cantSplit/>
          <w:trHeight w:val="279"/>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Population criteria:</w:t>
            </w:r>
          </w:p>
        </w:tc>
        <w:tc>
          <w:tcPr>
            <w:tcW w:w="6379"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jc w:val="left"/>
              <w:rPr>
                <w:rFonts w:ascii="Arial Narrow" w:eastAsia="Calibri" w:hAnsi="Arial Narrow" w:cs="Times New Roman"/>
                <w:snapToGrid/>
                <w:sz w:val="20"/>
                <w:szCs w:val="20"/>
              </w:rPr>
            </w:pPr>
            <w:r>
              <w:rPr>
                <w:rFonts w:ascii="Arial Narrow" w:eastAsia="Calibri" w:hAnsi="Arial Narrow" w:cs="Times New Roman"/>
                <w:snapToGrid/>
                <w:sz w:val="20"/>
                <w:szCs w:val="20"/>
              </w:rPr>
              <w:t>Patient must be aged 18 years or older.</w:t>
            </w:r>
          </w:p>
        </w:tc>
      </w:tr>
      <w:tr w:rsidR="006006C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Prescriber Instructions:</w:t>
            </w:r>
          </w:p>
        </w:tc>
        <w:tc>
          <w:tcPr>
            <w:tcW w:w="6379"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120"/>
              <w:jc w:val="left"/>
              <w:rPr>
                <w:rFonts w:ascii="Arial Narrow" w:hAnsi="Arial Narrow"/>
                <w:snapToGrid/>
                <w:sz w:val="20"/>
                <w:szCs w:val="20"/>
                <w:lang w:eastAsia="en-AU"/>
              </w:rPr>
            </w:pPr>
            <w:r>
              <w:rPr>
                <w:rFonts w:ascii="Arial Narrow" w:hAnsi="Arial Narrow"/>
                <w:snapToGrid/>
                <w:sz w:val="20"/>
                <w:szCs w:val="20"/>
                <w:lang w:eastAsia="en-AU"/>
              </w:rPr>
              <w:t xml:space="preserve">WHO grade 1 of GEP-NET is defined as a mitotic count (10HPF) of less than 2 and Ki-67 index (%) of less than or equal to 2. </w:t>
            </w:r>
          </w:p>
          <w:p w:rsidR="006006CB" w:rsidRDefault="00D10D78">
            <w:pPr>
              <w:widowControl/>
              <w:spacing w:before="60" w:after="120"/>
              <w:jc w:val="left"/>
              <w:rPr>
                <w:rFonts w:ascii="Arial Narrow" w:eastAsia="Calibri" w:hAnsi="Arial Narrow" w:cs="Times New Roman"/>
                <w:snapToGrid/>
                <w:sz w:val="20"/>
                <w:szCs w:val="20"/>
              </w:rPr>
            </w:pPr>
            <w:r>
              <w:rPr>
                <w:rFonts w:ascii="Arial Narrow" w:hAnsi="Arial Narrow"/>
                <w:snapToGrid/>
                <w:sz w:val="20"/>
                <w:szCs w:val="20"/>
                <w:lang w:eastAsia="en-AU"/>
              </w:rPr>
              <w:t>WHO grade 2 of GEP-NET is defined as a mitotic count (10HPF) of 2-20 and Ki-67 index (%) of 3-20.</w:t>
            </w:r>
          </w:p>
        </w:tc>
      </w:tr>
      <w:tr w:rsidR="006006CB">
        <w:trPr>
          <w:cantSplit/>
          <w:trHeight w:val="360"/>
        </w:trPr>
        <w:tc>
          <w:tcPr>
            <w:tcW w:w="2835"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60"/>
              <w:rPr>
                <w:rFonts w:ascii="Arial Narrow" w:eastAsia="Calibri" w:hAnsi="Arial Narrow"/>
                <w:b/>
                <w:snapToGrid/>
                <w:sz w:val="20"/>
                <w:szCs w:val="20"/>
              </w:rPr>
            </w:pPr>
            <w:r>
              <w:rPr>
                <w:rFonts w:ascii="Arial Narrow" w:eastAsia="Calibri" w:hAnsi="Arial Narrow"/>
                <w:b/>
                <w:snapToGrid/>
                <w:sz w:val="20"/>
                <w:szCs w:val="20"/>
              </w:rPr>
              <w:t>Administrative advice</w:t>
            </w:r>
          </w:p>
        </w:tc>
        <w:tc>
          <w:tcPr>
            <w:tcW w:w="6379" w:type="dxa"/>
            <w:tcBorders>
              <w:top w:val="single" w:sz="4" w:space="0" w:color="auto"/>
              <w:left w:val="single" w:sz="4" w:space="0" w:color="auto"/>
              <w:bottom w:val="single" w:sz="4" w:space="0" w:color="auto"/>
              <w:right w:val="single" w:sz="4" w:space="0" w:color="auto"/>
            </w:tcBorders>
          </w:tcPr>
          <w:p w:rsidR="006006CB" w:rsidRDefault="00D10D78">
            <w:pPr>
              <w:widowControl/>
              <w:spacing w:before="60" w:after="120"/>
              <w:jc w:val="left"/>
              <w:rPr>
                <w:rFonts w:ascii="Arial Narrow" w:eastAsia="Calibri" w:hAnsi="Arial Narrow" w:cs="Times New Roman"/>
                <w:snapToGrid/>
                <w:sz w:val="20"/>
                <w:szCs w:val="20"/>
              </w:rPr>
            </w:pPr>
            <w:r>
              <w:rPr>
                <w:rFonts w:ascii="Arial Narrow" w:eastAsia="Calibri" w:hAnsi="Arial Narrow" w:cs="Times New Roman"/>
                <w:snapToGrid/>
                <w:sz w:val="20"/>
                <w:szCs w:val="20"/>
              </w:rPr>
              <w:t>No increase in the maximum quantity or number of units may be authorised.</w:t>
            </w:r>
          </w:p>
          <w:p w:rsidR="006006CB" w:rsidRDefault="00D10D78">
            <w:pPr>
              <w:widowControl/>
              <w:spacing w:before="60" w:after="120"/>
              <w:jc w:val="left"/>
              <w:rPr>
                <w:rFonts w:ascii="Arial Narrow" w:eastAsia="Calibri" w:hAnsi="Arial Narrow" w:cs="Times New Roman"/>
                <w:snapToGrid/>
                <w:sz w:val="20"/>
                <w:szCs w:val="20"/>
              </w:rPr>
            </w:pPr>
            <w:r>
              <w:rPr>
                <w:rFonts w:ascii="Arial Narrow" w:eastAsia="Calibri" w:hAnsi="Arial Narrow" w:cs="Times New Roman"/>
                <w:snapToGrid/>
                <w:sz w:val="20"/>
                <w:szCs w:val="20"/>
              </w:rPr>
              <w:t>No increase in the maximum number of repeats may be authorised.</w:t>
            </w:r>
          </w:p>
          <w:p w:rsidR="006006CB" w:rsidRDefault="00D10D78">
            <w:pPr>
              <w:widowControl/>
              <w:spacing w:before="60" w:after="60"/>
              <w:jc w:val="left"/>
              <w:rPr>
                <w:rFonts w:ascii="Arial Narrow" w:hAnsi="Arial Narrow"/>
                <w:snapToGrid/>
                <w:sz w:val="20"/>
                <w:szCs w:val="20"/>
                <w:lang w:val="en-US" w:eastAsia="en-AU"/>
              </w:rPr>
            </w:pPr>
            <w:r>
              <w:rPr>
                <w:rFonts w:ascii="Arial Narrow" w:eastAsia="Calibri" w:hAnsi="Arial Narrow" w:cs="Times New Roman"/>
                <w:snapToGrid/>
                <w:sz w:val="20"/>
                <w:szCs w:val="20"/>
              </w:rPr>
              <w:t>Special Pricing Arrangements apply.</w:t>
            </w:r>
          </w:p>
        </w:tc>
      </w:tr>
    </w:tbl>
    <w:p w:rsidR="006006CB" w:rsidRDefault="006006CB">
      <w:pPr>
        <w:widowControl/>
        <w:jc w:val="left"/>
        <w:rPr>
          <w:rFonts w:cs="Calibri"/>
          <w:snapToGrid/>
          <w:szCs w:val="24"/>
          <w:lang w:eastAsia="en-AU"/>
        </w:rPr>
      </w:pPr>
    </w:p>
    <w:p w:rsidR="006006CB" w:rsidRDefault="00D10D78">
      <w:pPr>
        <w:widowControl/>
        <w:numPr>
          <w:ilvl w:val="1"/>
          <w:numId w:val="1"/>
        </w:numPr>
        <w:spacing w:after="120"/>
        <w:jc w:val="left"/>
        <w:rPr>
          <w:rFonts w:asciiTheme="minorHAnsi" w:hAnsiTheme="minorHAnsi"/>
          <w:bCs/>
          <w:szCs w:val="24"/>
          <w:lang w:val="en-GB"/>
        </w:rPr>
      </w:pPr>
      <w:r>
        <w:rPr>
          <w:rFonts w:asciiTheme="minorHAnsi" w:hAnsiTheme="minorHAnsi"/>
          <w:bCs/>
          <w:szCs w:val="24"/>
          <w:lang w:val="en-GB"/>
        </w:rPr>
        <w:t>Edit the current Section 100 (HSD Program – Public/Private Hospital) PBS listing (item codes 11513Y and 11527Q) and the March 2019 recommended Section 100 (HSD Program – Community Access) for lanreotide for non-functional GEP-NET:</w:t>
      </w:r>
    </w:p>
    <w:p w:rsidR="006006CB" w:rsidRDefault="00D10D78">
      <w:pPr>
        <w:widowControl/>
        <w:numPr>
          <w:ilvl w:val="2"/>
          <w:numId w:val="1"/>
        </w:numPr>
        <w:spacing w:after="120"/>
        <w:ind w:left="993" w:hanging="284"/>
        <w:jc w:val="left"/>
        <w:rPr>
          <w:rFonts w:asciiTheme="minorHAnsi" w:hAnsiTheme="minorHAnsi"/>
          <w:bCs/>
          <w:szCs w:val="24"/>
          <w:lang w:val="en-GB"/>
        </w:rPr>
      </w:pPr>
      <w:r>
        <w:rPr>
          <w:rFonts w:asciiTheme="minorHAnsi" w:hAnsiTheme="minorHAnsi"/>
          <w:bCs/>
          <w:szCs w:val="24"/>
          <w:lang w:val="en-GB"/>
        </w:rPr>
        <w:t>Change the clinical criterion “The treatment must be as monotherapy.” to “The treatment must be the sole PBS-subsidised therapy for this condition.”</w:t>
      </w:r>
    </w:p>
    <w:p w:rsidR="006006CB" w:rsidRDefault="00D10D78">
      <w:pPr>
        <w:widowControl/>
        <w:numPr>
          <w:ilvl w:val="2"/>
          <w:numId w:val="1"/>
        </w:numPr>
        <w:spacing w:after="120"/>
        <w:ind w:left="993" w:hanging="284"/>
        <w:jc w:val="left"/>
        <w:rPr>
          <w:rFonts w:asciiTheme="minorHAnsi" w:hAnsiTheme="minorHAnsi"/>
          <w:bCs/>
          <w:szCs w:val="24"/>
          <w:lang w:val="en-GB"/>
        </w:rPr>
      </w:pPr>
      <w:r>
        <w:rPr>
          <w:rFonts w:asciiTheme="minorHAnsi" w:hAnsiTheme="minorHAnsi"/>
          <w:bCs/>
          <w:szCs w:val="24"/>
          <w:lang w:val="en-GB"/>
        </w:rPr>
        <w:t>Delete the prescribing instruction “Lanreotide is not PBS-subsidised for use in combination with everolimus or sunitinib for this condition”.</w:t>
      </w:r>
    </w:p>
    <w:p w:rsidR="006006CB" w:rsidRDefault="00D10D78">
      <w:pPr>
        <w:widowControl/>
        <w:numPr>
          <w:ilvl w:val="1"/>
          <w:numId w:val="1"/>
        </w:numPr>
        <w:spacing w:after="120"/>
        <w:jc w:val="left"/>
        <w:rPr>
          <w:rFonts w:asciiTheme="minorHAnsi" w:hAnsiTheme="minorHAnsi"/>
          <w:bCs/>
          <w:szCs w:val="24"/>
          <w:lang w:val="en-GB"/>
        </w:rPr>
      </w:pPr>
      <w:r>
        <w:rPr>
          <w:rFonts w:asciiTheme="minorHAnsi" w:hAnsiTheme="minorHAnsi"/>
          <w:bCs/>
          <w:szCs w:val="24"/>
          <w:lang w:val="en-GB"/>
        </w:rPr>
        <w:t xml:space="preserve">Change the restriction level for the current Section 100 (HSD Program – Private Hospital) listing for lanreotide for non-functional GEP-NET (item code 11527Q) from Authority Required (telephone) to Authority Required (STREAMLINED).  </w:t>
      </w:r>
    </w:p>
    <w:p w:rsidR="006006CB" w:rsidRDefault="00D10D78">
      <w:pPr>
        <w:pStyle w:val="Heading1"/>
      </w:pPr>
      <w:r>
        <w:t>Context for Decision</w:t>
      </w:r>
    </w:p>
    <w:p w:rsidR="006006CB" w:rsidRDefault="00D10D78">
      <w:pPr>
        <w:rPr>
          <w:rFonts w:asciiTheme="minorHAnsi" w:hAnsiTheme="minorHAnsi"/>
        </w:rPr>
      </w:pPr>
      <w:r>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006CB" w:rsidRDefault="006006CB">
      <w:pPr>
        <w:ind w:left="426"/>
        <w:rPr>
          <w:rFonts w:ascii="Arial" w:hAnsi="Arial"/>
          <w:sz w:val="22"/>
        </w:rPr>
      </w:pPr>
    </w:p>
    <w:p w:rsidR="006006CB" w:rsidRDefault="00D10D78">
      <w:pPr>
        <w:pStyle w:val="Heading1"/>
        <w:spacing w:before="0"/>
      </w:pPr>
      <w:r>
        <w:t>Sponsor’s Comment</w:t>
      </w:r>
    </w:p>
    <w:p w:rsidR="006006CB" w:rsidRDefault="00D10D78">
      <w:pPr>
        <w:spacing w:after="120"/>
        <w:rPr>
          <w:rFonts w:asciiTheme="minorHAnsi" w:hAnsiTheme="minorHAnsi"/>
          <w:bCs/>
        </w:rPr>
      </w:pPr>
      <w:r>
        <w:rPr>
          <w:rFonts w:asciiTheme="minorHAnsi" w:hAnsiTheme="minorHAnsi"/>
          <w:bCs/>
          <w:szCs w:val="24"/>
        </w:rPr>
        <w:t>Novartis welcomes the positive recommendation by the PBAC</w:t>
      </w:r>
      <w:r>
        <w:rPr>
          <w:rFonts w:asciiTheme="minorHAnsi" w:hAnsiTheme="minorHAnsi"/>
          <w:bCs/>
          <w:lang w:val="en-GB"/>
        </w:rPr>
        <w:t>.</w:t>
      </w:r>
    </w:p>
    <w:sectPr w:rsidR="006006CB">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58F3" w:rsidRDefault="003458F3">
      <w:r>
        <w:separator/>
      </w:r>
    </w:p>
    <w:p w:rsidR="003458F3" w:rsidRDefault="003458F3"/>
  </w:endnote>
  <w:endnote w:type="continuationSeparator" w:id="0">
    <w:p w:rsidR="003458F3" w:rsidRDefault="003458F3">
      <w:r>
        <w:continuationSeparator/>
      </w:r>
    </w:p>
    <w:p w:rsidR="003458F3" w:rsidRDefault="00345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News Gothic MT">
    <w:altName w:val="Corbel"/>
    <w:charset w:val="00"/>
    <w:family w:val="swiss"/>
    <w:pitch w:val="variable"/>
    <w:sig w:usb0="00000287" w:usb1="00000000" w:usb2="00000000" w:usb3="00000000" w:csb0="0000009F" w:csb1="00000000"/>
  </w:font>
  <w:font w:name="Sabo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F3" w:rsidRDefault="00345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6CB" w:rsidRDefault="006006CB">
    <w:pPr>
      <w:pStyle w:val="Footer"/>
      <w:jc w:val="center"/>
    </w:pPr>
  </w:p>
  <w:p w:rsidR="006006CB" w:rsidRDefault="0000118A">
    <w:pPr>
      <w:pStyle w:val="Footer"/>
      <w:jc w:val="center"/>
      <w:rPr>
        <w:b/>
      </w:rPr>
    </w:pPr>
    <w:sdt>
      <w:sdtPr>
        <w:rPr>
          <w:b/>
        </w:rPr>
        <w:id w:val="-250505180"/>
        <w:docPartObj>
          <w:docPartGallery w:val="Page Numbers (Bottom of Page)"/>
          <w:docPartUnique/>
        </w:docPartObj>
      </w:sdtPr>
      <w:sdtEndPr>
        <w:rPr>
          <w:noProof/>
        </w:rPr>
      </w:sdtEndPr>
      <w:sdtContent>
        <w:r w:rsidR="00D10D78">
          <w:rPr>
            <w:b/>
          </w:rPr>
          <w:fldChar w:fldCharType="begin"/>
        </w:r>
        <w:r w:rsidR="00D10D78">
          <w:rPr>
            <w:b/>
          </w:rPr>
          <w:instrText xml:space="preserve"> PAGE   \* MERGEFORMAT </w:instrText>
        </w:r>
        <w:r w:rsidR="00D10D78">
          <w:rPr>
            <w:b/>
          </w:rPr>
          <w:fldChar w:fldCharType="separate"/>
        </w:r>
        <w:r>
          <w:rPr>
            <w:b/>
            <w:noProof/>
          </w:rPr>
          <w:t>19</w:t>
        </w:r>
        <w:r w:rsidR="00D10D78">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F3" w:rsidRDefault="003458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58F3" w:rsidRDefault="003458F3">
      <w:r>
        <w:separator/>
      </w:r>
    </w:p>
    <w:p w:rsidR="003458F3" w:rsidRDefault="003458F3"/>
  </w:footnote>
  <w:footnote w:type="continuationSeparator" w:id="0">
    <w:p w:rsidR="003458F3" w:rsidRDefault="003458F3">
      <w:r>
        <w:continuationSeparator/>
      </w:r>
    </w:p>
    <w:p w:rsidR="003458F3" w:rsidRDefault="003458F3"/>
  </w:footnote>
  <w:footnote w:id="1">
    <w:p w:rsidR="006006CB" w:rsidRDefault="00D10D78">
      <w:pPr>
        <w:pStyle w:val="FootnoteText"/>
        <w:rPr>
          <w:rFonts w:ascii="Arial Narrow" w:hAnsi="Arial Narrow"/>
          <w:lang w:val="en-US"/>
        </w:rPr>
      </w:pPr>
      <w:r>
        <w:rPr>
          <w:rStyle w:val="FootnoteReference"/>
          <w:rFonts w:ascii="Arial Narrow" w:hAnsi="Arial Narrow"/>
        </w:rPr>
        <w:footnoteRef/>
      </w:r>
      <w:r>
        <w:rPr>
          <w:rFonts w:ascii="Arial Narrow" w:hAnsi="Arial Narrow"/>
        </w:rPr>
        <w:t xml:space="preserve"> Pavel M, O’Toole D, Costa F et al. ENETS Consensus Guidelines Update for the Management of Distant Metastatic Disease of Intestinal, Pancreatic, Bronchial Neuroendocrine Neoplasms (NEN) and NEN of Unknown Primary Site. Neuroendocrinology 2016; 103: 172–185.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F3" w:rsidRDefault="00345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06CB" w:rsidRDefault="00D10D78">
    <w:pPr>
      <w:tabs>
        <w:tab w:val="left" w:pos="142"/>
        <w:tab w:val="right" w:pos="9027"/>
      </w:tabs>
      <w:jc w:val="center"/>
      <w:rPr>
        <w:i/>
        <w:szCs w:val="24"/>
      </w:rPr>
    </w:pPr>
    <w:r>
      <w:rPr>
        <w:i/>
        <w:szCs w:val="24"/>
      </w:rPr>
      <w:t>Public Summary Document – July 2019 PBAC Meeting</w:t>
    </w:r>
  </w:p>
  <w:p w:rsidR="006006CB" w:rsidRDefault="006006CB"/>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58F3" w:rsidRDefault="003458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9C0F0EE"/>
    <w:lvl w:ilvl="0">
      <w:start w:val="1"/>
      <w:numFmt w:val="decimal"/>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7E05BB"/>
    <w:multiLevelType w:val="hybridMultilevel"/>
    <w:tmpl w:val="8D847D46"/>
    <w:lvl w:ilvl="0" w:tplc="B5C82BFA">
      <w:start w:val="21"/>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0D6C56"/>
    <w:multiLevelType w:val="hybridMultilevel"/>
    <w:tmpl w:val="7D0CB422"/>
    <w:lvl w:ilvl="0" w:tplc="01C66510">
      <w:start w:val="1"/>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D07E74"/>
    <w:multiLevelType w:val="hybridMultilevel"/>
    <w:tmpl w:val="D38C5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1211"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6AD6BE7"/>
    <w:multiLevelType w:val="hybridMultilevel"/>
    <w:tmpl w:val="A96C01D4"/>
    <w:lvl w:ilvl="0" w:tplc="890868E8">
      <w:start w:val="1"/>
      <w:numFmt w:val="bullet"/>
      <w:lvlText w:val="•"/>
      <w:lvlJc w:val="left"/>
      <w:pPr>
        <w:tabs>
          <w:tab w:val="num" w:pos="720"/>
        </w:tabs>
        <w:ind w:left="720" w:hanging="360"/>
      </w:pPr>
      <w:rPr>
        <w:rFonts w:ascii="Arial" w:hAnsi="Arial" w:hint="default"/>
      </w:rPr>
    </w:lvl>
    <w:lvl w:ilvl="1" w:tplc="E56030E8" w:tentative="1">
      <w:start w:val="1"/>
      <w:numFmt w:val="bullet"/>
      <w:lvlText w:val="•"/>
      <w:lvlJc w:val="left"/>
      <w:pPr>
        <w:tabs>
          <w:tab w:val="num" w:pos="1440"/>
        </w:tabs>
        <w:ind w:left="1440" w:hanging="360"/>
      </w:pPr>
      <w:rPr>
        <w:rFonts w:ascii="Arial" w:hAnsi="Arial" w:hint="default"/>
      </w:rPr>
    </w:lvl>
    <w:lvl w:ilvl="2" w:tplc="A8DA3D3E" w:tentative="1">
      <w:start w:val="1"/>
      <w:numFmt w:val="bullet"/>
      <w:lvlText w:val="•"/>
      <w:lvlJc w:val="left"/>
      <w:pPr>
        <w:tabs>
          <w:tab w:val="num" w:pos="2160"/>
        </w:tabs>
        <w:ind w:left="2160" w:hanging="360"/>
      </w:pPr>
      <w:rPr>
        <w:rFonts w:ascii="Arial" w:hAnsi="Arial" w:hint="default"/>
      </w:rPr>
    </w:lvl>
    <w:lvl w:ilvl="3" w:tplc="DCB47CDA" w:tentative="1">
      <w:start w:val="1"/>
      <w:numFmt w:val="bullet"/>
      <w:lvlText w:val="•"/>
      <w:lvlJc w:val="left"/>
      <w:pPr>
        <w:tabs>
          <w:tab w:val="num" w:pos="2880"/>
        </w:tabs>
        <w:ind w:left="2880" w:hanging="360"/>
      </w:pPr>
      <w:rPr>
        <w:rFonts w:ascii="Arial" w:hAnsi="Arial" w:hint="default"/>
      </w:rPr>
    </w:lvl>
    <w:lvl w:ilvl="4" w:tplc="1C80BC80" w:tentative="1">
      <w:start w:val="1"/>
      <w:numFmt w:val="bullet"/>
      <w:lvlText w:val="•"/>
      <w:lvlJc w:val="left"/>
      <w:pPr>
        <w:tabs>
          <w:tab w:val="num" w:pos="3600"/>
        </w:tabs>
        <w:ind w:left="3600" w:hanging="360"/>
      </w:pPr>
      <w:rPr>
        <w:rFonts w:ascii="Arial" w:hAnsi="Arial" w:hint="default"/>
      </w:rPr>
    </w:lvl>
    <w:lvl w:ilvl="5" w:tplc="30127F34" w:tentative="1">
      <w:start w:val="1"/>
      <w:numFmt w:val="bullet"/>
      <w:lvlText w:val="•"/>
      <w:lvlJc w:val="left"/>
      <w:pPr>
        <w:tabs>
          <w:tab w:val="num" w:pos="4320"/>
        </w:tabs>
        <w:ind w:left="4320" w:hanging="360"/>
      </w:pPr>
      <w:rPr>
        <w:rFonts w:ascii="Arial" w:hAnsi="Arial" w:hint="default"/>
      </w:rPr>
    </w:lvl>
    <w:lvl w:ilvl="6" w:tplc="564C1868" w:tentative="1">
      <w:start w:val="1"/>
      <w:numFmt w:val="bullet"/>
      <w:lvlText w:val="•"/>
      <w:lvlJc w:val="left"/>
      <w:pPr>
        <w:tabs>
          <w:tab w:val="num" w:pos="5040"/>
        </w:tabs>
        <w:ind w:left="5040" w:hanging="360"/>
      </w:pPr>
      <w:rPr>
        <w:rFonts w:ascii="Arial" w:hAnsi="Arial" w:hint="default"/>
      </w:rPr>
    </w:lvl>
    <w:lvl w:ilvl="7" w:tplc="A836C536" w:tentative="1">
      <w:start w:val="1"/>
      <w:numFmt w:val="bullet"/>
      <w:lvlText w:val="•"/>
      <w:lvlJc w:val="left"/>
      <w:pPr>
        <w:tabs>
          <w:tab w:val="num" w:pos="5760"/>
        </w:tabs>
        <w:ind w:left="5760" w:hanging="360"/>
      </w:pPr>
      <w:rPr>
        <w:rFonts w:ascii="Arial" w:hAnsi="Arial" w:hint="default"/>
      </w:rPr>
    </w:lvl>
    <w:lvl w:ilvl="8" w:tplc="29A291C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0BB291B"/>
    <w:multiLevelType w:val="hybridMultilevel"/>
    <w:tmpl w:val="53149664"/>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1A0727F"/>
    <w:multiLevelType w:val="hybridMultilevel"/>
    <w:tmpl w:val="A260C6FA"/>
    <w:lvl w:ilvl="0" w:tplc="04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B7C34E2"/>
    <w:multiLevelType w:val="hybridMultilevel"/>
    <w:tmpl w:val="F6A0F8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2D779D5"/>
    <w:multiLevelType w:val="multilevel"/>
    <w:tmpl w:val="3FF05DC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8D7C2C"/>
    <w:multiLevelType w:val="hybridMultilevel"/>
    <w:tmpl w:val="1298BFAA"/>
    <w:lvl w:ilvl="0" w:tplc="81FE5BBA">
      <w:start w:val="1"/>
      <w:numFmt w:val="bullet"/>
      <w:lvlText w:val="•"/>
      <w:lvlJc w:val="left"/>
      <w:pPr>
        <w:tabs>
          <w:tab w:val="num" w:pos="720"/>
        </w:tabs>
        <w:ind w:left="720" w:hanging="360"/>
      </w:pPr>
      <w:rPr>
        <w:rFonts w:ascii="Arial" w:hAnsi="Arial" w:hint="default"/>
      </w:rPr>
    </w:lvl>
    <w:lvl w:ilvl="1" w:tplc="7FB6FC16" w:tentative="1">
      <w:start w:val="1"/>
      <w:numFmt w:val="bullet"/>
      <w:lvlText w:val="•"/>
      <w:lvlJc w:val="left"/>
      <w:pPr>
        <w:tabs>
          <w:tab w:val="num" w:pos="1440"/>
        </w:tabs>
        <w:ind w:left="1440" w:hanging="360"/>
      </w:pPr>
      <w:rPr>
        <w:rFonts w:ascii="Arial" w:hAnsi="Arial" w:hint="default"/>
      </w:rPr>
    </w:lvl>
    <w:lvl w:ilvl="2" w:tplc="77989E98" w:tentative="1">
      <w:start w:val="1"/>
      <w:numFmt w:val="bullet"/>
      <w:lvlText w:val="•"/>
      <w:lvlJc w:val="left"/>
      <w:pPr>
        <w:tabs>
          <w:tab w:val="num" w:pos="2160"/>
        </w:tabs>
        <w:ind w:left="2160" w:hanging="360"/>
      </w:pPr>
      <w:rPr>
        <w:rFonts w:ascii="Arial" w:hAnsi="Arial" w:hint="default"/>
      </w:rPr>
    </w:lvl>
    <w:lvl w:ilvl="3" w:tplc="B77809EA" w:tentative="1">
      <w:start w:val="1"/>
      <w:numFmt w:val="bullet"/>
      <w:lvlText w:val="•"/>
      <w:lvlJc w:val="left"/>
      <w:pPr>
        <w:tabs>
          <w:tab w:val="num" w:pos="2880"/>
        </w:tabs>
        <w:ind w:left="2880" w:hanging="360"/>
      </w:pPr>
      <w:rPr>
        <w:rFonts w:ascii="Arial" w:hAnsi="Arial" w:hint="default"/>
      </w:rPr>
    </w:lvl>
    <w:lvl w:ilvl="4" w:tplc="D49E6682" w:tentative="1">
      <w:start w:val="1"/>
      <w:numFmt w:val="bullet"/>
      <w:lvlText w:val="•"/>
      <w:lvlJc w:val="left"/>
      <w:pPr>
        <w:tabs>
          <w:tab w:val="num" w:pos="3600"/>
        </w:tabs>
        <w:ind w:left="3600" w:hanging="360"/>
      </w:pPr>
      <w:rPr>
        <w:rFonts w:ascii="Arial" w:hAnsi="Arial" w:hint="default"/>
      </w:rPr>
    </w:lvl>
    <w:lvl w:ilvl="5" w:tplc="F296E3C4" w:tentative="1">
      <w:start w:val="1"/>
      <w:numFmt w:val="bullet"/>
      <w:lvlText w:val="•"/>
      <w:lvlJc w:val="left"/>
      <w:pPr>
        <w:tabs>
          <w:tab w:val="num" w:pos="4320"/>
        </w:tabs>
        <w:ind w:left="4320" w:hanging="360"/>
      </w:pPr>
      <w:rPr>
        <w:rFonts w:ascii="Arial" w:hAnsi="Arial" w:hint="default"/>
      </w:rPr>
    </w:lvl>
    <w:lvl w:ilvl="6" w:tplc="72D4CF56" w:tentative="1">
      <w:start w:val="1"/>
      <w:numFmt w:val="bullet"/>
      <w:lvlText w:val="•"/>
      <w:lvlJc w:val="left"/>
      <w:pPr>
        <w:tabs>
          <w:tab w:val="num" w:pos="5040"/>
        </w:tabs>
        <w:ind w:left="5040" w:hanging="360"/>
      </w:pPr>
      <w:rPr>
        <w:rFonts w:ascii="Arial" w:hAnsi="Arial" w:hint="default"/>
      </w:rPr>
    </w:lvl>
    <w:lvl w:ilvl="7" w:tplc="AB3E1A0A" w:tentative="1">
      <w:start w:val="1"/>
      <w:numFmt w:val="bullet"/>
      <w:lvlText w:val="•"/>
      <w:lvlJc w:val="left"/>
      <w:pPr>
        <w:tabs>
          <w:tab w:val="num" w:pos="5760"/>
        </w:tabs>
        <w:ind w:left="5760" w:hanging="360"/>
      </w:pPr>
      <w:rPr>
        <w:rFonts w:ascii="Arial" w:hAnsi="Arial" w:hint="default"/>
      </w:rPr>
    </w:lvl>
    <w:lvl w:ilvl="8" w:tplc="536233D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B34926"/>
    <w:multiLevelType w:val="hybridMultilevel"/>
    <w:tmpl w:val="7E2243EC"/>
    <w:lvl w:ilvl="0" w:tplc="501A477A">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F12015F"/>
    <w:multiLevelType w:val="hybridMultilevel"/>
    <w:tmpl w:val="7E2243EC"/>
    <w:lvl w:ilvl="0" w:tplc="501A477A">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24A0582"/>
    <w:multiLevelType w:val="multilevel"/>
    <w:tmpl w:val="0AE08154"/>
    <w:lvl w:ilvl="0">
      <w:start w:val="1"/>
      <w:numFmt w:val="decimal"/>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43448E"/>
    <w:multiLevelType w:val="hybridMultilevel"/>
    <w:tmpl w:val="7E224CD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68D6B22"/>
    <w:multiLevelType w:val="hybridMultilevel"/>
    <w:tmpl w:val="8C4A85FC"/>
    <w:lvl w:ilvl="0" w:tplc="01C66510">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D033C"/>
    <w:multiLevelType w:val="multilevel"/>
    <w:tmpl w:val="872E6DC4"/>
    <w:lvl w:ilvl="0">
      <w:start w:val="1"/>
      <w:numFmt w:val="decimal"/>
      <w:pStyle w:val="PBACHeading1"/>
      <w:lvlText w:val="%1"/>
      <w:lvlJc w:val="left"/>
      <w:pPr>
        <w:ind w:left="720" w:hanging="720"/>
      </w:pPr>
      <w:rPr>
        <w:rFonts w:hint="default"/>
        <w:b/>
        <w:i w:val="0"/>
        <w:sz w:val="32"/>
        <w:szCs w:val="32"/>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0"/>
  </w:num>
  <w:num w:numId="2">
    <w:abstractNumId w:val="12"/>
  </w:num>
  <w:num w:numId="3">
    <w:abstractNumId w:val="5"/>
  </w:num>
  <w:num w:numId="4">
    <w:abstractNumId w:val="19"/>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8"/>
  </w:num>
  <w:num w:numId="9">
    <w:abstractNumId w:val="2"/>
  </w:num>
  <w:num w:numId="10">
    <w:abstractNumId w:val="11"/>
  </w:num>
  <w:num w:numId="11">
    <w:abstractNumId w:val="18"/>
  </w:num>
  <w:num w:numId="12">
    <w:abstractNumId w:val="0"/>
  </w:num>
  <w:num w:numId="13">
    <w:abstractNumId w:val="14"/>
  </w:num>
  <w:num w:numId="14">
    <w:abstractNumId w:val="3"/>
  </w:num>
  <w:num w:numId="15">
    <w:abstractNumId w:val="1"/>
  </w:num>
  <w:num w:numId="16">
    <w:abstractNumId w:val="6"/>
  </w:num>
  <w:num w:numId="17">
    <w:abstractNumId w:val="20"/>
  </w:num>
  <w:num w:numId="18">
    <w:abstractNumId w:val="20"/>
  </w:num>
  <w:num w:numId="19">
    <w:abstractNumId w:val="13"/>
  </w:num>
  <w:num w:numId="20">
    <w:abstractNumId w:val="15"/>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0"/>
  </w:num>
  <w:num w:numId="25">
    <w:abstractNumId w:val="9"/>
  </w:num>
  <w:num w:numId="26">
    <w:abstractNumId w:val="17"/>
  </w:num>
  <w:num w:numId="27">
    <w:abstractNumId w:val="20"/>
  </w:num>
  <w:num w:numId="28">
    <w:abstractNumId w:val="20"/>
  </w:num>
  <w:num w:numId="29">
    <w:abstractNumId w:val="20"/>
  </w:num>
  <w:num w:numId="30">
    <w:abstractNumId w:val="20"/>
  </w:num>
  <w:num w:numId="31">
    <w:abstractNumId w:val="20"/>
  </w:num>
  <w:num w:numId="32">
    <w:abstractNumId w:val="20"/>
  </w:num>
  <w:num w:numId="33">
    <w:abstractNumId w:val="20"/>
  </w:num>
  <w:num w:numId="34">
    <w:abstractNumId w:val="20"/>
  </w:num>
  <w:num w:numId="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6CB"/>
    <w:rsid w:val="0000118A"/>
    <w:rsid w:val="002062D4"/>
    <w:rsid w:val="0022263F"/>
    <w:rsid w:val="003458F3"/>
    <w:rsid w:val="003E6401"/>
    <w:rsid w:val="006006CB"/>
    <w:rsid w:val="00873CC0"/>
    <w:rsid w:val="008B4620"/>
    <w:rsid w:val="00A72036"/>
    <w:rsid w:val="00D10D78"/>
    <w:rsid w:val="00E77EE9"/>
    <w:rsid w:val="00EF25F3"/>
    <w:rsid w:val="00F530D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407CF21"/>
  <w15:docId w15:val="{B5173342-6A71-4D20-B81F-21348BAC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pPr>
      <w:outlineLvl w:val="0"/>
    </w:pPr>
    <w:rPr>
      <w:b/>
      <w:i w:val="0"/>
    </w:rPr>
  </w:style>
  <w:style w:type="paragraph" w:styleId="Heading2">
    <w:name w:val="heading 2"/>
    <w:basedOn w:val="BodyText"/>
    <w:next w:val="Normal"/>
    <w:link w:val="Heading2Char"/>
    <w:qFormat/>
    <w:pPr>
      <w:keepNext/>
      <w:spacing w:after="120"/>
      <w:outlineLvl w:val="1"/>
    </w:pPr>
    <w:rPr>
      <w:b/>
      <w:i/>
      <w:sz w:val="28"/>
    </w:rPr>
  </w:style>
  <w:style w:type="paragraph" w:styleId="Heading3">
    <w:name w:val="heading 3"/>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qFormat/>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aliases w:val="PBAC Caption Tables + Figures"/>
    <w:basedOn w:val="Normal"/>
    <w:next w:val="Normal"/>
    <w:link w:val="CaptionChar"/>
    <w:unhideWhenUsed/>
    <w:qFormat/>
    <w:pPr>
      <w:spacing w:after="200"/>
    </w:pPr>
    <w:rPr>
      <w:b/>
      <w:bCs/>
      <w:color w:val="4F81BD" w:themeColor="accent1"/>
      <w:sz w:val="18"/>
      <w:szCs w:val="18"/>
    </w:rPr>
  </w:style>
  <w:style w:type="character" w:customStyle="1" w:styleId="CaptionChar">
    <w:name w:val="Caption Char"/>
    <w:aliases w:val="PBAC Caption Tables + Figures Char"/>
    <w:link w:val="Caption"/>
    <w:rPr>
      <w:b/>
      <w:bCs/>
      <w:snapToGrid w:val="0"/>
      <w:color w:val="4F81BD" w:themeColor="accent1"/>
      <w:sz w:val="18"/>
      <w:szCs w:val="18"/>
      <w:lang w:eastAsia="en-US"/>
    </w:rPr>
  </w:style>
  <w:style w:type="paragraph" w:styleId="Title">
    <w:name w:val="Title"/>
    <w:basedOn w:val="Normal"/>
    <w:next w:val="Normal"/>
    <w:link w:val="TitleChar"/>
    <w:qFormat/>
    <w:pPr>
      <w:widowControl/>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qFormat/>
    <w:pPr>
      <w:jc w:val="left"/>
    </w:pP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Bullet point,List Paragraph1,List Paragraph11,Recommendation"/>
    <w:basedOn w:val="Normal"/>
    <w:link w:val="ListParagraphChar"/>
    <w:uiPriority w:val="34"/>
    <w:qFormat/>
    <w:pPr>
      <w:spacing w:after="120"/>
      <w:ind w:left="720"/>
    </w:pPr>
  </w:style>
  <w:style w:type="character" w:customStyle="1" w:styleId="ListParagraphChar">
    <w:name w:val="List Paragraph Char"/>
    <w:aliases w:val="Numbered para Char,BulletPoints Char,Bullet point Char,List Paragraph1 Char,List Paragraph11 Char,Recommendation Char"/>
    <w:basedOn w:val="DefaultParagraphFont"/>
    <w:link w:val="ListParagraph"/>
    <w:uiPriority w:val="34"/>
    <w:qFormat/>
    <w:locked/>
    <w:rPr>
      <w:rFonts w:ascii="Calibri" w:hAnsi="Calibri" w:cs="Arial"/>
      <w:snapToGrid w:val="0"/>
      <w:sz w:val="24"/>
      <w:szCs w:val="22"/>
      <w:lang w:eastAsia="en-US"/>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Pr>
      <w:rFonts w:ascii="Arial" w:hAnsi="Arial" w:cs="Arial"/>
      <w:snapToGrid w:val="0"/>
      <w:sz w:val="22"/>
      <w:lang w:eastAsia="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Pr>
      <w:rFonts w:ascii="Arial Narrow" w:hAnsi="Arial Narrow"/>
      <w:b/>
      <w:sz w:val="20"/>
      <w:szCs w:val="16"/>
    </w:rPr>
  </w:style>
  <w:style w:type="paragraph" w:customStyle="1" w:styleId="Tabletext">
    <w:name w:val="Table text"/>
    <w:basedOn w:val="Normal"/>
    <w:link w:val="TabletextChar"/>
    <w:qFormat/>
    <w:pPr>
      <w:widowControl/>
      <w:jc w:val="left"/>
    </w:pPr>
    <w:rPr>
      <w:rFonts w:ascii="Arial Narrow" w:hAnsi="Arial Narrow" w:cs="Times New Roman"/>
      <w:snapToGrid/>
      <w:sz w:val="20"/>
    </w:rPr>
  </w:style>
  <w:style w:type="character" w:customStyle="1" w:styleId="TabletextChar">
    <w:name w:val="Table text Char"/>
    <w:link w:val="Tabletext"/>
    <w:rPr>
      <w:rFonts w:ascii="Arial Narrow" w:hAnsi="Arial Narrow"/>
      <w:lang w:eastAsia="en-US"/>
    </w:rPr>
  </w:style>
  <w:style w:type="paragraph" w:customStyle="1" w:styleId="TableHeading">
    <w:name w:val="TableHeading"/>
    <w:basedOn w:val="Normal"/>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pPr>
      <w:widowControl/>
      <w:jc w:val="both"/>
    </w:pPr>
    <w:rPr>
      <w:rFonts w:ascii="Times" w:hAnsi="Times" w:cs="Times New Roman"/>
      <w:snapToGrid/>
      <w:lang w:val="en-US"/>
    </w:rPr>
  </w:style>
  <w:style w:type="paragraph" w:styleId="NormalWeb">
    <w:name w:val="Normal (Web)"/>
    <w:basedOn w:val="Normal"/>
    <w:uiPriority w:val="99"/>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pPr>
      <w:spacing w:before="240" w:after="120"/>
      <w:jc w:val="left"/>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Lines/>
      <w:widowControl/>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pPr>
      <w:ind w:left="440"/>
      <w:jc w:val="left"/>
    </w:pPr>
    <w:rPr>
      <w:rFonts w:asciiTheme="minorHAnsi" w:hAnsiTheme="minorHAnsi"/>
      <w:sz w:val="20"/>
    </w:rPr>
  </w:style>
  <w:style w:type="paragraph" w:styleId="TOC4">
    <w:name w:val="toc 4"/>
    <w:basedOn w:val="Normal"/>
    <w:next w:val="Normal"/>
    <w:autoRedefine/>
    <w:pPr>
      <w:ind w:left="660"/>
      <w:jc w:val="left"/>
    </w:pPr>
    <w:rPr>
      <w:rFonts w:asciiTheme="minorHAnsi" w:hAnsiTheme="minorHAnsi"/>
      <w:sz w:val="20"/>
    </w:rPr>
  </w:style>
  <w:style w:type="paragraph" w:styleId="TOC5">
    <w:name w:val="toc 5"/>
    <w:basedOn w:val="Normal"/>
    <w:next w:val="Normal"/>
    <w:autoRedefine/>
    <w:pPr>
      <w:ind w:left="880"/>
      <w:jc w:val="left"/>
    </w:pPr>
    <w:rPr>
      <w:rFonts w:asciiTheme="minorHAnsi" w:hAnsiTheme="minorHAnsi"/>
      <w:sz w:val="20"/>
    </w:rPr>
  </w:style>
  <w:style w:type="paragraph" w:styleId="TOC6">
    <w:name w:val="toc 6"/>
    <w:basedOn w:val="Normal"/>
    <w:next w:val="Normal"/>
    <w:autoRedefine/>
    <w:pPr>
      <w:ind w:left="1100"/>
      <w:jc w:val="left"/>
    </w:pPr>
    <w:rPr>
      <w:rFonts w:asciiTheme="minorHAnsi" w:hAnsiTheme="minorHAnsi"/>
      <w:sz w:val="20"/>
    </w:rPr>
  </w:style>
  <w:style w:type="paragraph" w:styleId="TOC7">
    <w:name w:val="toc 7"/>
    <w:basedOn w:val="Normal"/>
    <w:next w:val="Normal"/>
    <w:autoRedefine/>
    <w:pPr>
      <w:ind w:left="1320"/>
      <w:jc w:val="left"/>
    </w:pPr>
    <w:rPr>
      <w:rFonts w:asciiTheme="minorHAnsi" w:hAnsiTheme="minorHAnsi"/>
      <w:sz w:val="20"/>
    </w:rPr>
  </w:style>
  <w:style w:type="paragraph" w:styleId="TOC8">
    <w:name w:val="toc 8"/>
    <w:basedOn w:val="Normal"/>
    <w:next w:val="Normal"/>
    <w:autoRedefine/>
    <w:pPr>
      <w:ind w:left="1540"/>
      <w:jc w:val="left"/>
    </w:pPr>
    <w:rPr>
      <w:rFonts w:asciiTheme="minorHAnsi" w:hAnsiTheme="minorHAnsi"/>
      <w:sz w:val="20"/>
    </w:rPr>
  </w:style>
  <w:style w:type="paragraph" w:styleId="TOC9">
    <w:name w:val="toc 9"/>
    <w:basedOn w:val="Normal"/>
    <w:next w:val="Normal"/>
    <w:autoRedefine/>
    <w:pPr>
      <w:ind w:left="1760"/>
      <w:jc w:val="left"/>
    </w:pPr>
    <w:rPr>
      <w:rFonts w:asciiTheme="minorHAnsi" w:hAnsiTheme="minorHAnsi"/>
      <w:sz w:val="20"/>
    </w:rPr>
  </w:style>
  <w:style w:type="paragraph" w:styleId="CommentText">
    <w:name w:val="annotation text"/>
    <w:basedOn w:val="Normal"/>
    <w:link w:val="CommentTextChar"/>
    <w:uiPriority w:val="99"/>
    <w:rPr>
      <w:rFonts w:ascii="Times New Roman" w:hAnsi="Times New Roman" w:cs="Times New Roman"/>
      <w:sz w:val="20"/>
    </w:rPr>
  </w:style>
  <w:style w:type="character" w:customStyle="1" w:styleId="CommentTextChar">
    <w:name w:val="Comment Text Char"/>
    <w:basedOn w:val="DefaultParagraphFont"/>
    <w:link w:val="CommentText"/>
    <w:uiPriority w:val="99"/>
    <w:rPr>
      <w:snapToGrid w:val="0"/>
      <w:lang w:eastAsia="en-US"/>
    </w:rPr>
  </w:style>
  <w:style w:type="paragraph" w:customStyle="1" w:styleId="Bulletpoints">
    <w:name w:val="Bullet points"/>
    <w:basedOn w:val="ListParagraph"/>
    <w:qFormat/>
    <w:pPr>
      <w:numPr>
        <w:numId w:val="2"/>
      </w:numPr>
      <w:spacing w:after="0"/>
    </w:pPr>
    <w:rPr>
      <w:szCs w:val="24"/>
    </w:rPr>
  </w:style>
  <w:style w:type="paragraph" w:customStyle="1" w:styleId="TableName">
    <w:name w:val="TableName"/>
    <w:basedOn w:val="Normal"/>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Pr>
      <w:lang w:eastAsia="en-US"/>
    </w:rPr>
  </w:style>
  <w:style w:type="paragraph" w:styleId="Subtitle">
    <w:name w:val="Subtitle"/>
    <w:basedOn w:val="Normal"/>
    <w:link w:val="SubtitleChar"/>
    <w:qFormat/>
    <w:pPr>
      <w:widowControl/>
    </w:pPr>
    <w:rPr>
      <w:rFonts w:ascii="Times New Roman" w:hAnsi="Times New Roman" w:cs="Times New Roman"/>
      <w:snapToGrid/>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basedOn w:val="Heading2"/>
    <w:next w:val="Heading1"/>
    <w:qFormat/>
    <w:pPr>
      <w:numPr>
        <w:numId w:val="1"/>
      </w:numPr>
      <w:spacing w:before="240"/>
    </w:pPr>
    <w:rPr>
      <w:b w:val="0"/>
      <w:sz w:val="32"/>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qFormat/>
    <w:rPr>
      <w:i/>
      <w:szCs w:val="24"/>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customStyle="1" w:styleId="TableText0">
    <w:name w:val="Table Text"/>
    <w:basedOn w:val="Normal"/>
    <w:qFormat/>
    <w:pPr>
      <w:keepNext/>
      <w:widowControl/>
      <w:spacing w:before="40" w:after="40"/>
    </w:pPr>
    <w:rPr>
      <w:rFonts w:ascii="Arial Narrow" w:eastAsiaTheme="minorHAnsi" w:hAnsi="Arial Narrow" w:cstheme="minorBidi"/>
      <w:snapToGrid/>
      <w:sz w:val="20"/>
    </w:rPr>
  </w:style>
  <w:style w:type="character" w:customStyle="1" w:styleId="V50InstructionsChar">
    <w:name w:val="V5.0 Instructions Char"/>
    <w:basedOn w:val="DefaultParagraphFont"/>
    <w:link w:val="V50Instructions"/>
    <w:locked/>
    <w:rPr>
      <w:rFonts w:ascii="Arial" w:hAnsi="Arial" w:cs="Arial"/>
      <w:color w:val="4BACC6" w:themeColor="accent5"/>
    </w:rPr>
  </w:style>
  <w:style w:type="paragraph" w:customStyle="1" w:styleId="V50Instructions">
    <w:name w:val="V5.0 Instructions"/>
    <w:basedOn w:val="Normal"/>
    <w:link w:val="V50InstructionsChar"/>
    <w:qFormat/>
    <w:pPr>
      <w:widowControl/>
      <w:spacing w:before="120" w:after="160"/>
    </w:pPr>
    <w:rPr>
      <w:rFonts w:ascii="Arial" w:hAnsi="Arial"/>
      <w:snapToGrid/>
      <w:color w:val="4BACC6" w:themeColor="accent5"/>
      <w:sz w:val="20"/>
      <w:szCs w:val="20"/>
      <w:lang w:eastAsia="en-AU"/>
    </w:rPr>
  </w:style>
  <w:style w:type="character" w:customStyle="1" w:styleId="PBACTableTextChar">
    <w:name w:val="PBAC Table Text Char"/>
    <w:link w:val="PBACTableText"/>
    <w:locked/>
    <w:rPr>
      <w:rFonts w:ascii="Arial Narrow" w:hAnsi="Arial Narrow"/>
      <w:lang w:val="en-US"/>
    </w:rPr>
  </w:style>
  <w:style w:type="paragraph" w:customStyle="1" w:styleId="PBACTableText">
    <w:name w:val="PBAC Table Text"/>
    <w:basedOn w:val="Normal"/>
    <w:link w:val="PBACTableTextChar"/>
    <w:qFormat/>
    <w:pPr>
      <w:widowControl/>
      <w:spacing w:before="40" w:after="40"/>
      <w:jc w:val="left"/>
    </w:pPr>
    <w:rPr>
      <w:rFonts w:ascii="Arial Narrow" w:hAnsi="Arial Narrow" w:cs="Times New Roman"/>
      <w:snapToGrid/>
      <w:sz w:val="20"/>
      <w:szCs w:val="20"/>
      <w:lang w:val="en-US" w:eastAsia="en-AU"/>
    </w:rPr>
  </w:style>
  <w:style w:type="paragraph" w:customStyle="1" w:styleId="TableText1">
    <w:name w:val="TableText"/>
    <w:basedOn w:val="Normal"/>
    <w:pPr>
      <w:keepNext/>
      <w:widowControl/>
      <w:spacing w:before="40" w:after="40"/>
      <w:jc w:val="left"/>
    </w:pPr>
    <w:rPr>
      <w:rFonts w:ascii="Arial Narrow" w:hAnsi="Arial Narrow" w:cs="Arial Narrow"/>
      <w:snapToGrid/>
      <w:sz w:val="20"/>
      <w:szCs w:val="20"/>
    </w:rPr>
  </w:style>
  <w:style w:type="paragraph" w:customStyle="1" w:styleId="PBACTableFootnote">
    <w:name w:val="PBAC Table Footnote"/>
    <w:basedOn w:val="Normal"/>
    <w:link w:val="PBACTableFootnoteChar"/>
    <w:qFormat/>
    <w:pPr>
      <w:widowControl/>
      <w:spacing w:before="60" w:after="200"/>
      <w:contextualSpacing/>
      <w:jc w:val="left"/>
    </w:pPr>
    <w:rPr>
      <w:rFonts w:ascii="News Gothic MT" w:hAnsi="News Gothic MT" w:cs="Times New Roman"/>
      <w:snapToGrid/>
      <w:sz w:val="16"/>
      <w:szCs w:val="24"/>
      <w:lang w:val="en-US"/>
    </w:rPr>
  </w:style>
  <w:style w:type="character" w:customStyle="1" w:styleId="PBACTableFootnoteChar">
    <w:name w:val="PBAC Table Footnote Char"/>
    <w:link w:val="PBACTableFootnote"/>
    <w:rPr>
      <w:rFonts w:ascii="News Gothic MT" w:hAnsi="News Gothic MT"/>
      <w:sz w:val="16"/>
      <w:szCs w:val="24"/>
      <w:lang w:val="en-US" w:eastAsia="en-US"/>
    </w:rPr>
  </w:style>
  <w:style w:type="paragraph" w:customStyle="1" w:styleId="PBACTableTextBoldLeft">
    <w:name w:val="PBAC Table Text + Bold + Left"/>
    <w:basedOn w:val="PBACTableText"/>
    <w:qFormat/>
    <w:pPr>
      <w:keepNext/>
    </w:pPr>
    <w:rPr>
      <w:b/>
      <w:bCs/>
      <w:lang w:eastAsia="en-US"/>
    </w:rPr>
  </w:style>
  <w:style w:type="paragraph" w:customStyle="1" w:styleId="PBACTableTextBoldCentered">
    <w:name w:val="PBAC Table Text + Bold + Centered"/>
    <w:basedOn w:val="PBACTableTextBoldLeft"/>
    <w:pPr>
      <w:jc w:val="center"/>
    </w:pPr>
  </w:style>
  <w:style w:type="paragraph" w:customStyle="1" w:styleId="PBACNormalExecSumm">
    <w:name w:val="PBAC Normal ExecSumm"/>
    <w:basedOn w:val="Normal"/>
    <w:pPr>
      <w:widowControl/>
      <w:spacing w:after="200"/>
    </w:pPr>
    <w:rPr>
      <w:rFonts w:ascii="Sabon" w:hAnsi="Sabon" w:cs="Times New Roman"/>
      <w:snapToGrid/>
      <w:sz w:val="22"/>
      <w:szCs w:val="24"/>
    </w:rPr>
  </w:style>
  <w:style w:type="paragraph" w:customStyle="1" w:styleId="TableParagraph">
    <w:name w:val="Table Paragraph"/>
    <w:basedOn w:val="Normal"/>
    <w:uiPriority w:val="1"/>
    <w:qFormat/>
    <w:pPr>
      <w:widowControl/>
      <w:autoSpaceDE w:val="0"/>
      <w:autoSpaceDN w:val="0"/>
      <w:adjustRightInd w:val="0"/>
      <w:spacing w:line="94" w:lineRule="exact"/>
      <w:jc w:val="center"/>
    </w:pPr>
    <w:rPr>
      <w:rFonts w:ascii="Arial" w:hAnsi="Arial"/>
      <w:snapToGrid/>
      <w:szCs w:val="24"/>
      <w:lang w:eastAsia="en-AU"/>
    </w:rPr>
  </w:style>
  <w:style w:type="paragraph" w:customStyle="1" w:styleId="TableHeading0">
    <w:name w:val="Table Heading"/>
    <w:basedOn w:val="Normal"/>
    <w:pPr>
      <w:keepNext/>
      <w:widowControl/>
      <w:spacing w:after="60"/>
      <w:jc w:val="left"/>
    </w:pPr>
    <w:rPr>
      <w:rFonts w:ascii="Arial Narrow" w:eastAsiaTheme="minorHAnsi" w:hAnsi="Arial Narrow" w:cs="Times New Roman"/>
      <w:b/>
      <w:bCs/>
      <w:snapToGrid/>
      <w:sz w:val="20"/>
      <w:szCs w:val="20"/>
    </w:rPr>
  </w:style>
  <w:style w:type="paragraph" w:styleId="BodyTextFirstIndent">
    <w:name w:val="Body Text First Indent"/>
    <w:basedOn w:val="BodyText"/>
    <w:link w:val="BodyTextFirstIndentChar"/>
    <w:pPr>
      <w:ind w:firstLine="360"/>
      <w:jc w:val="both"/>
    </w:pPr>
  </w:style>
  <w:style w:type="character" w:customStyle="1" w:styleId="BodyTextFirstIndentChar">
    <w:name w:val="Body Text First Indent Char"/>
    <w:basedOn w:val="BodyTextChar"/>
    <w:link w:val="BodyTextFirstIndent"/>
    <w:rPr>
      <w:rFonts w:ascii="Calibri" w:hAnsi="Calibri" w:cs="Arial"/>
      <w:snapToGrid w:val="0"/>
      <w:sz w:val="24"/>
      <w:szCs w:val="22"/>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hAnsi="Calibri" w:cs="Arial"/>
      <w:snapToGrid w:val="0"/>
      <w:lang w:eastAsia="en-US"/>
    </w:rPr>
  </w:style>
  <w:style w:type="character" w:styleId="FootnoteReference">
    <w:name w:val="foot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805631">
      <w:bodyDiv w:val="1"/>
      <w:marLeft w:val="0"/>
      <w:marRight w:val="0"/>
      <w:marTop w:val="0"/>
      <w:marBottom w:val="0"/>
      <w:divBdr>
        <w:top w:val="none" w:sz="0" w:space="0" w:color="auto"/>
        <w:left w:val="none" w:sz="0" w:space="0" w:color="auto"/>
        <w:bottom w:val="none" w:sz="0" w:space="0" w:color="auto"/>
        <w:right w:val="none" w:sz="0" w:space="0" w:color="auto"/>
      </w:divBdr>
    </w:div>
    <w:div w:id="252933559">
      <w:bodyDiv w:val="1"/>
      <w:marLeft w:val="0"/>
      <w:marRight w:val="0"/>
      <w:marTop w:val="0"/>
      <w:marBottom w:val="0"/>
      <w:divBdr>
        <w:top w:val="none" w:sz="0" w:space="0" w:color="auto"/>
        <w:left w:val="none" w:sz="0" w:space="0" w:color="auto"/>
        <w:bottom w:val="none" w:sz="0" w:space="0" w:color="auto"/>
        <w:right w:val="none" w:sz="0" w:space="0" w:color="auto"/>
      </w:divBdr>
    </w:div>
    <w:div w:id="301735865">
      <w:bodyDiv w:val="1"/>
      <w:marLeft w:val="0"/>
      <w:marRight w:val="0"/>
      <w:marTop w:val="0"/>
      <w:marBottom w:val="0"/>
      <w:divBdr>
        <w:top w:val="none" w:sz="0" w:space="0" w:color="auto"/>
        <w:left w:val="none" w:sz="0" w:space="0" w:color="auto"/>
        <w:bottom w:val="none" w:sz="0" w:space="0" w:color="auto"/>
        <w:right w:val="none" w:sz="0" w:space="0" w:color="auto"/>
      </w:divBdr>
    </w:div>
    <w:div w:id="415981651">
      <w:bodyDiv w:val="1"/>
      <w:marLeft w:val="0"/>
      <w:marRight w:val="0"/>
      <w:marTop w:val="0"/>
      <w:marBottom w:val="0"/>
      <w:divBdr>
        <w:top w:val="none" w:sz="0" w:space="0" w:color="auto"/>
        <w:left w:val="none" w:sz="0" w:space="0" w:color="auto"/>
        <w:bottom w:val="none" w:sz="0" w:space="0" w:color="auto"/>
        <w:right w:val="none" w:sz="0" w:space="0" w:color="auto"/>
      </w:divBdr>
      <w:divsChild>
        <w:div w:id="1202209931">
          <w:marLeft w:val="360"/>
          <w:marRight w:val="0"/>
          <w:marTop w:val="200"/>
          <w:marBottom w:val="0"/>
          <w:divBdr>
            <w:top w:val="none" w:sz="0" w:space="0" w:color="auto"/>
            <w:left w:val="none" w:sz="0" w:space="0" w:color="auto"/>
            <w:bottom w:val="none" w:sz="0" w:space="0" w:color="auto"/>
            <w:right w:val="none" w:sz="0" w:space="0" w:color="auto"/>
          </w:divBdr>
        </w:div>
        <w:div w:id="791048199">
          <w:marLeft w:val="360"/>
          <w:marRight w:val="0"/>
          <w:marTop w:val="200"/>
          <w:marBottom w:val="0"/>
          <w:divBdr>
            <w:top w:val="none" w:sz="0" w:space="0" w:color="auto"/>
            <w:left w:val="none" w:sz="0" w:space="0" w:color="auto"/>
            <w:bottom w:val="none" w:sz="0" w:space="0" w:color="auto"/>
            <w:right w:val="none" w:sz="0" w:space="0" w:color="auto"/>
          </w:divBdr>
        </w:div>
        <w:div w:id="1407338405">
          <w:marLeft w:val="360"/>
          <w:marRight w:val="0"/>
          <w:marTop w:val="200"/>
          <w:marBottom w:val="0"/>
          <w:divBdr>
            <w:top w:val="none" w:sz="0" w:space="0" w:color="auto"/>
            <w:left w:val="none" w:sz="0" w:space="0" w:color="auto"/>
            <w:bottom w:val="none" w:sz="0" w:space="0" w:color="auto"/>
            <w:right w:val="none" w:sz="0" w:space="0" w:color="auto"/>
          </w:divBdr>
        </w:div>
      </w:divsChild>
    </w:div>
    <w:div w:id="430585207">
      <w:bodyDiv w:val="1"/>
      <w:marLeft w:val="0"/>
      <w:marRight w:val="0"/>
      <w:marTop w:val="0"/>
      <w:marBottom w:val="0"/>
      <w:divBdr>
        <w:top w:val="none" w:sz="0" w:space="0" w:color="auto"/>
        <w:left w:val="none" w:sz="0" w:space="0" w:color="auto"/>
        <w:bottom w:val="none" w:sz="0" w:space="0" w:color="auto"/>
        <w:right w:val="none" w:sz="0" w:space="0" w:color="auto"/>
      </w:divBdr>
    </w:div>
    <w:div w:id="525142005">
      <w:bodyDiv w:val="1"/>
      <w:marLeft w:val="0"/>
      <w:marRight w:val="0"/>
      <w:marTop w:val="0"/>
      <w:marBottom w:val="0"/>
      <w:divBdr>
        <w:top w:val="none" w:sz="0" w:space="0" w:color="auto"/>
        <w:left w:val="none" w:sz="0" w:space="0" w:color="auto"/>
        <w:bottom w:val="none" w:sz="0" w:space="0" w:color="auto"/>
        <w:right w:val="none" w:sz="0" w:space="0" w:color="auto"/>
      </w:divBdr>
      <w:divsChild>
        <w:div w:id="152528620">
          <w:marLeft w:val="360"/>
          <w:marRight w:val="0"/>
          <w:marTop w:val="200"/>
          <w:marBottom w:val="0"/>
          <w:divBdr>
            <w:top w:val="none" w:sz="0" w:space="0" w:color="auto"/>
            <w:left w:val="none" w:sz="0" w:space="0" w:color="auto"/>
            <w:bottom w:val="none" w:sz="0" w:space="0" w:color="auto"/>
            <w:right w:val="none" w:sz="0" w:space="0" w:color="auto"/>
          </w:divBdr>
        </w:div>
      </w:divsChild>
    </w:div>
    <w:div w:id="525218785">
      <w:bodyDiv w:val="1"/>
      <w:marLeft w:val="0"/>
      <w:marRight w:val="0"/>
      <w:marTop w:val="0"/>
      <w:marBottom w:val="0"/>
      <w:divBdr>
        <w:top w:val="none" w:sz="0" w:space="0" w:color="auto"/>
        <w:left w:val="none" w:sz="0" w:space="0" w:color="auto"/>
        <w:bottom w:val="none" w:sz="0" w:space="0" w:color="auto"/>
        <w:right w:val="none" w:sz="0" w:space="0" w:color="auto"/>
      </w:divBdr>
    </w:div>
    <w:div w:id="596596856">
      <w:bodyDiv w:val="1"/>
      <w:marLeft w:val="0"/>
      <w:marRight w:val="0"/>
      <w:marTop w:val="0"/>
      <w:marBottom w:val="0"/>
      <w:divBdr>
        <w:top w:val="none" w:sz="0" w:space="0" w:color="auto"/>
        <w:left w:val="none" w:sz="0" w:space="0" w:color="auto"/>
        <w:bottom w:val="none" w:sz="0" w:space="0" w:color="auto"/>
        <w:right w:val="none" w:sz="0" w:space="0" w:color="auto"/>
      </w:divBdr>
    </w:div>
    <w:div w:id="673805258">
      <w:bodyDiv w:val="1"/>
      <w:marLeft w:val="0"/>
      <w:marRight w:val="0"/>
      <w:marTop w:val="0"/>
      <w:marBottom w:val="0"/>
      <w:divBdr>
        <w:top w:val="none" w:sz="0" w:space="0" w:color="auto"/>
        <w:left w:val="none" w:sz="0" w:space="0" w:color="auto"/>
        <w:bottom w:val="none" w:sz="0" w:space="0" w:color="auto"/>
        <w:right w:val="none" w:sz="0" w:space="0" w:color="auto"/>
      </w:divBdr>
    </w:div>
    <w:div w:id="949239982">
      <w:bodyDiv w:val="1"/>
      <w:marLeft w:val="0"/>
      <w:marRight w:val="0"/>
      <w:marTop w:val="0"/>
      <w:marBottom w:val="0"/>
      <w:divBdr>
        <w:top w:val="none" w:sz="0" w:space="0" w:color="auto"/>
        <w:left w:val="none" w:sz="0" w:space="0" w:color="auto"/>
        <w:bottom w:val="none" w:sz="0" w:space="0" w:color="auto"/>
        <w:right w:val="none" w:sz="0" w:space="0" w:color="auto"/>
      </w:divBdr>
    </w:div>
    <w:div w:id="1049260801">
      <w:bodyDiv w:val="1"/>
      <w:marLeft w:val="0"/>
      <w:marRight w:val="0"/>
      <w:marTop w:val="0"/>
      <w:marBottom w:val="0"/>
      <w:divBdr>
        <w:top w:val="none" w:sz="0" w:space="0" w:color="auto"/>
        <w:left w:val="none" w:sz="0" w:space="0" w:color="auto"/>
        <w:bottom w:val="none" w:sz="0" w:space="0" w:color="auto"/>
        <w:right w:val="none" w:sz="0" w:space="0" w:color="auto"/>
      </w:divBdr>
    </w:div>
    <w:div w:id="1182475697">
      <w:bodyDiv w:val="1"/>
      <w:marLeft w:val="0"/>
      <w:marRight w:val="0"/>
      <w:marTop w:val="0"/>
      <w:marBottom w:val="0"/>
      <w:divBdr>
        <w:top w:val="none" w:sz="0" w:space="0" w:color="auto"/>
        <w:left w:val="none" w:sz="0" w:space="0" w:color="auto"/>
        <w:bottom w:val="none" w:sz="0" w:space="0" w:color="auto"/>
        <w:right w:val="none" w:sz="0" w:space="0" w:color="auto"/>
      </w:divBdr>
    </w:div>
    <w:div w:id="1228613149">
      <w:bodyDiv w:val="1"/>
      <w:marLeft w:val="0"/>
      <w:marRight w:val="0"/>
      <w:marTop w:val="0"/>
      <w:marBottom w:val="0"/>
      <w:divBdr>
        <w:top w:val="none" w:sz="0" w:space="0" w:color="auto"/>
        <w:left w:val="none" w:sz="0" w:space="0" w:color="auto"/>
        <w:bottom w:val="none" w:sz="0" w:space="0" w:color="auto"/>
        <w:right w:val="none" w:sz="0" w:space="0" w:color="auto"/>
      </w:divBdr>
    </w:div>
    <w:div w:id="1283731604">
      <w:bodyDiv w:val="1"/>
      <w:marLeft w:val="0"/>
      <w:marRight w:val="0"/>
      <w:marTop w:val="0"/>
      <w:marBottom w:val="0"/>
      <w:divBdr>
        <w:top w:val="none" w:sz="0" w:space="0" w:color="auto"/>
        <w:left w:val="none" w:sz="0" w:space="0" w:color="auto"/>
        <w:bottom w:val="none" w:sz="0" w:space="0" w:color="auto"/>
        <w:right w:val="none" w:sz="0" w:space="0" w:color="auto"/>
      </w:divBdr>
    </w:div>
    <w:div w:id="1371419790">
      <w:bodyDiv w:val="1"/>
      <w:marLeft w:val="0"/>
      <w:marRight w:val="0"/>
      <w:marTop w:val="0"/>
      <w:marBottom w:val="0"/>
      <w:divBdr>
        <w:top w:val="none" w:sz="0" w:space="0" w:color="auto"/>
        <w:left w:val="none" w:sz="0" w:space="0" w:color="auto"/>
        <w:bottom w:val="none" w:sz="0" w:space="0" w:color="auto"/>
        <w:right w:val="none" w:sz="0" w:space="0" w:color="auto"/>
      </w:divBdr>
    </w:div>
    <w:div w:id="1548562613">
      <w:bodyDiv w:val="1"/>
      <w:marLeft w:val="0"/>
      <w:marRight w:val="0"/>
      <w:marTop w:val="0"/>
      <w:marBottom w:val="0"/>
      <w:divBdr>
        <w:top w:val="none" w:sz="0" w:space="0" w:color="auto"/>
        <w:left w:val="none" w:sz="0" w:space="0" w:color="auto"/>
        <w:bottom w:val="none" w:sz="0" w:space="0" w:color="auto"/>
        <w:right w:val="none" w:sz="0" w:space="0" w:color="auto"/>
      </w:divBdr>
    </w:div>
    <w:div w:id="1565531565">
      <w:bodyDiv w:val="1"/>
      <w:marLeft w:val="0"/>
      <w:marRight w:val="0"/>
      <w:marTop w:val="0"/>
      <w:marBottom w:val="0"/>
      <w:divBdr>
        <w:top w:val="none" w:sz="0" w:space="0" w:color="auto"/>
        <w:left w:val="none" w:sz="0" w:space="0" w:color="auto"/>
        <w:bottom w:val="none" w:sz="0" w:space="0" w:color="auto"/>
        <w:right w:val="none" w:sz="0" w:space="0" w:color="auto"/>
      </w:divBdr>
    </w:div>
    <w:div w:id="1604726460">
      <w:bodyDiv w:val="1"/>
      <w:marLeft w:val="0"/>
      <w:marRight w:val="0"/>
      <w:marTop w:val="0"/>
      <w:marBottom w:val="0"/>
      <w:divBdr>
        <w:top w:val="none" w:sz="0" w:space="0" w:color="auto"/>
        <w:left w:val="none" w:sz="0" w:space="0" w:color="auto"/>
        <w:bottom w:val="none" w:sz="0" w:space="0" w:color="auto"/>
        <w:right w:val="none" w:sz="0" w:space="0" w:color="auto"/>
      </w:divBdr>
    </w:div>
    <w:div w:id="1648971624">
      <w:bodyDiv w:val="1"/>
      <w:marLeft w:val="0"/>
      <w:marRight w:val="0"/>
      <w:marTop w:val="0"/>
      <w:marBottom w:val="0"/>
      <w:divBdr>
        <w:top w:val="none" w:sz="0" w:space="0" w:color="auto"/>
        <w:left w:val="none" w:sz="0" w:space="0" w:color="auto"/>
        <w:bottom w:val="none" w:sz="0" w:space="0" w:color="auto"/>
        <w:right w:val="none" w:sz="0" w:space="0" w:color="auto"/>
      </w:divBdr>
    </w:div>
    <w:div w:id="1660772335">
      <w:bodyDiv w:val="1"/>
      <w:marLeft w:val="0"/>
      <w:marRight w:val="0"/>
      <w:marTop w:val="0"/>
      <w:marBottom w:val="0"/>
      <w:divBdr>
        <w:top w:val="none" w:sz="0" w:space="0" w:color="auto"/>
        <w:left w:val="none" w:sz="0" w:space="0" w:color="auto"/>
        <w:bottom w:val="none" w:sz="0" w:space="0" w:color="auto"/>
        <w:right w:val="none" w:sz="0" w:space="0" w:color="auto"/>
      </w:divBdr>
    </w:div>
    <w:div w:id="1685207885">
      <w:bodyDiv w:val="1"/>
      <w:marLeft w:val="0"/>
      <w:marRight w:val="0"/>
      <w:marTop w:val="0"/>
      <w:marBottom w:val="0"/>
      <w:divBdr>
        <w:top w:val="none" w:sz="0" w:space="0" w:color="auto"/>
        <w:left w:val="none" w:sz="0" w:space="0" w:color="auto"/>
        <w:bottom w:val="none" w:sz="0" w:space="0" w:color="auto"/>
        <w:right w:val="none" w:sz="0" w:space="0" w:color="auto"/>
      </w:divBdr>
    </w:div>
    <w:div w:id="1721172707">
      <w:bodyDiv w:val="1"/>
      <w:marLeft w:val="0"/>
      <w:marRight w:val="0"/>
      <w:marTop w:val="0"/>
      <w:marBottom w:val="0"/>
      <w:divBdr>
        <w:top w:val="none" w:sz="0" w:space="0" w:color="auto"/>
        <w:left w:val="none" w:sz="0" w:space="0" w:color="auto"/>
        <w:bottom w:val="none" w:sz="0" w:space="0" w:color="auto"/>
        <w:right w:val="none" w:sz="0" w:space="0" w:color="auto"/>
      </w:divBdr>
    </w:div>
    <w:div w:id="1783383397">
      <w:bodyDiv w:val="1"/>
      <w:marLeft w:val="0"/>
      <w:marRight w:val="0"/>
      <w:marTop w:val="0"/>
      <w:marBottom w:val="0"/>
      <w:divBdr>
        <w:top w:val="none" w:sz="0" w:space="0" w:color="auto"/>
        <w:left w:val="none" w:sz="0" w:space="0" w:color="auto"/>
        <w:bottom w:val="none" w:sz="0" w:space="0" w:color="auto"/>
        <w:right w:val="none" w:sz="0" w:space="0" w:color="auto"/>
      </w:divBdr>
    </w:div>
    <w:div w:id="1787234988">
      <w:bodyDiv w:val="1"/>
      <w:marLeft w:val="0"/>
      <w:marRight w:val="0"/>
      <w:marTop w:val="0"/>
      <w:marBottom w:val="0"/>
      <w:divBdr>
        <w:top w:val="none" w:sz="0" w:space="0" w:color="auto"/>
        <w:left w:val="none" w:sz="0" w:space="0" w:color="auto"/>
        <w:bottom w:val="none" w:sz="0" w:space="0" w:color="auto"/>
        <w:right w:val="none" w:sz="0" w:space="0" w:color="auto"/>
      </w:divBdr>
    </w:div>
    <w:div w:id="1834686268">
      <w:bodyDiv w:val="1"/>
      <w:marLeft w:val="0"/>
      <w:marRight w:val="0"/>
      <w:marTop w:val="0"/>
      <w:marBottom w:val="0"/>
      <w:divBdr>
        <w:top w:val="none" w:sz="0" w:space="0" w:color="auto"/>
        <w:left w:val="none" w:sz="0" w:space="0" w:color="auto"/>
        <w:bottom w:val="none" w:sz="0" w:space="0" w:color="auto"/>
        <w:right w:val="none" w:sz="0" w:space="0" w:color="auto"/>
      </w:divBdr>
    </w:div>
    <w:div w:id="1973897998">
      <w:bodyDiv w:val="1"/>
      <w:marLeft w:val="0"/>
      <w:marRight w:val="0"/>
      <w:marTop w:val="0"/>
      <w:marBottom w:val="0"/>
      <w:divBdr>
        <w:top w:val="none" w:sz="0" w:space="0" w:color="auto"/>
        <w:left w:val="none" w:sz="0" w:space="0" w:color="auto"/>
        <w:bottom w:val="none" w:sz="0" w:space="0" w:color="auto"/>
        <w:right w:val="none" w:sz="0" w:space="0" w:color="auto"/>
      </w:divBdr>
    </w:div>
    <w:div w:id="210386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6456E-2C35-4595-BEB9-9ECB27EE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6978</Words>
  <Characters>42251</Characters>
  <Application>Microsoft Office Word</Application>
  <DocSecurity>0</DocSecurity>
  <Lines>352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Author</cp:lastModifiedBy>
  <cp:revision>3</cp:revision>
  <cp:lastPrinted>2019-10-17T01:32:00Z</cp:lastPrinted>
  <dcterms:created xsi:type="dcterms:W3CDTF">2019-10-17T01:31:00Z</dcterms:created>
  <dcterms:modified xsi:type="dcterms:W3CDTF">2019-10-17T01:32:00Z</dcterms:modified>
</cp:coreProperties>
</file>