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6C2" w:rsidRDefault="004F0556">
      <w:pPr>
        <w:pStyle w:val="Title"/>
        <w:ind w:left="720" w:hanging="720"/>
        <w:jc w:val="left"/>
      </w:pPr>
      <w:r>
        <w:t>7.11</w:t>
      </w:r>
      <w:r>
        <w:tab/>
        <w:t xml:space="preserve">OBETICHOLIC ACID, </w:t>
      </w:r>
      <w:r>
        <w:br/>
        <w:t xml:space="preserve">Tablet 5 mg, 10 mg, </w:t>
      </w:r>
      <w:r>
        <w:br/>
        <w:t xml:space="preserve">Ocaliva®, </w:t>
      </w:r>
      <w:r>
        <w:br/>
        <w:t>Emerge Health Pty Ltd</w:t>
      </w:r>
    </w:p>
    <w:p w:rsidR="00F116C2" w:rsidRDefault="00F116C2">
      <w:pPr>
        <w:pStyle w:val="BodyText"/>
        <w:widowControl/>
      </w:pPr>
    </w:p>
    <w:p w:rsidR="00F116C2" w:rsidRDefault="004F0556">
      <w:pPr>
        <w:pStyle w:val="PBACHeading1"/>
      </w:pPr>
      <w:bookmarkStart w:id="0" w:name="_Toc9335705"/>
      <w:r>
        <w:t>Purpose of Application</w:t>
      </w:r>
      <w:bookmarkEnd w:id="0"/>
    </w:p>
    <w:p w:rsidR="00F116C2" w:rsidRDefault="004F0556">
      <w:pPr>
        <w:pStyle w:val="ListParagraph"/>
        <w:widowControl/>
        <w:numPr>
          <w:ilvl w:val="1"/>
          <w:numId w:val="2"/>
        </w:numPr>
      </w:pPr>
      <w:r>
        <w:t>This resubmission requested an Authority Required (STREAMLINED) listing for obeticholic acid (OCA) for the treatment of primary biliary cholangitis (PBC).</w:t>
      </w:r>
      <w:r>
        <w:rPr>
          <w:color w:val="3366FF"/>
        </w:rPr>
        <w:t xml:space="preserve"> </w:t>
      </w:r>
      <w:r>
        <w:t xml:space="preserve">The first submission was considered, but not recommended, by the PBAC in November 2018. </w:t>
      </w:r>
    </w:p>
    <w:p w:rsidR="00F116C2" w:rsidRDefault="004F0556">
      <w:pPr>
        <w:pStyle w:val="ListParagraph"/>
        <w:widowControl/>
        <w:numPr>
          <w:ilvl w:val="1"/>
          <w:numId w:val="2"/>
        </w:numPr>
        <w:spacing w:after="120"/>
      </w:pPr>
      <w:r>
        <w:t xml:space="preserve">The requested basis for listing was cost-effectiveness of OCA in combination with </w:t>
      </w:r>
      <w:bookmarkStart w:id="1" w:name="_Hlk19778331"/>
      <w:r>
        <w:t xml:space="preserve">ursodeoxycholic acid </w:t>
      </w:r>
      <w:bookmarkEnd w:id="1"/>
      <w:r>
        <w:t>(OCA+UDCA) compared to UDCA plus placebo for UDCA inadequate responders, and OCA monotherapy compared to placebo for UDCA intolerant patients.</w:t>
      </w:r>
    </w:p>
    <w:p w:rsidR="00E5768D" w:rsidRPr="00E5768D" w:rsidRDefault="00E5768D" w:rsidP="00E5768D">
      <w:pPr>
        <w:keepNext/>
        <w:widowControl/>
        <w:rPr>
          <w:rStyle w:val="CommentReference"/>
        </w:rPr>
      </w:pPr>
      <w:r w:rsidRPr="00E5768D">
        <w:rPr>
          <w:rStyle w:val="CommentReference"/>
        </w:rPr>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1</w:t>
      </w:r>
      <w:r w:rsidRPr="00E5768D">
        <w:rPr>
          <w:rStyle w:val="CommentReference"/>
        </w:rPr>
        <w:fldChar w:fldCharType="end"/>
      </w:r>
      <w:r w:rsidRPr="00E5768D">
        <w:rPr>
          <w:rStyle w:val="CommentReference"/>
        </w:rPr>
        <w:t>: Key components of the clinical issue addressed by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40"/>
        <w:gridCol w:w="7877"/>
      </w:tblGrid>
      <w:tr w:rsidR="00F116C2">
        <w:trPr>
          <w:cantSplit/>
          <w:tblHeader/>
        </w:trPr>
        <w:tc>
          <w:tcPr>
            <w:tcW w:w="0" w:type="auto"/>
            <w:shd w:val="clear" w:color="auto" w:fill="auto"/>
          </w:tcPr>
          <w:p w:rsidR="00F116C2" w:rsidRDefault="004F0556">
            <w:pPr>
              <w:pStyle w:val="Tabletext"/>
              <w:keepNext/>
              <w:rPr>
                <w:b/>
                <w:szCs w:val="20"/>
              </w:rPr>
            </w:pPr>
            <w:r>
              <w:rPr>
                <w:b/>
              </w:rPr>
              <w:t>Component</w:t>
            </w:r>
          </w:p>
        </w:tc>
        <w:tc>
          <w:tcPr>
            <w:tcW w:w="0" w:type="auto"/>
            <w:shd w:val="clear" w:color="auto" w:fill="auto"/>
          </w:tcPr>
          <w:p w:rsidR="00F116C2" w:rsidRDefault="004F0556">
            <w:pPr>
              <w:pStyle w:val="Tabletext"/>
              <w:keepNext/>
              <w:jc w:val="center"/>
              <w:rPr>
                <w:b/>
              </w:rPr>
            </w:pPr>
            <w:r>
              <w:rPr>
                <w:b/>
              </w:rPr>
              <w:t>Description</w:t>
            </w:r>
          </w:p>
        </w:tc>
      </w:tr>
      <w:tr w:rsidR="00F116C2">
        <w:trPr>
          <w:cantSplit/>
        </w:trPr>
        <w:tc>
          <w:tcPr>
            <w:tcW w:w="0" w:type="auto"/>
            <w:shd w:val="clear" w:color="auto" w:fill="auto"/>
          </w:tcPr>
          <w:p w:rsidR="00F116C2" w:rsidRDefault="004F0556">
            <w:pPr>
              <w:pStyle w:val="Tabletext"/>
              <w:keepNext/>
            </w:pPr>
            <w:r>
              <w:t>Population</w:t>
            </w:r>
          </w:p>
        </w:tc>
        <w:tc>
          <w:tcPr>
            <w:tcW w:w="0" w:type="auto"/>
            <w:shd w:val="clear" w:color="auto" w:fill="auto"/>
          </w:tcPr>
          <w:p w:rsidR="00F116C2" w:rsidRDefault="004F0556">
            <w:pPr>
              <w:pStyle w:val="CommentText"/>
              <w:keepNext/>
              <w:widowControl/>
              <w:rPr>
                <w:rFonts w:ascii="Arial Narrow" w:hAnsi="Arial Narrow"/>
                <w:szCs w:val="18"/>
              </w:rPr>
            </w:pPr>
            <w:r>
              <w:rPr>
                <w:rFonts w:ascii="Arial Narrow" w:hAnsi="Arial Narrow"/>
                <w:szCs w:val="18"/>
              </w:rPr>
              <w:t>Patients diagnosed with PBC who are either</w:t>
            </w:r>
          </w:p>
          <w:p w:rsidR="00F116C2" w:rsidRDefault="004F0556">
            <w:pPr>
              <w:pStyle w:val="Answer"/>
              <w:keepNext/>
              <w:numPr>
                <w:ilvl w:val="0"/>
                <w:numId w:val="4"/>
              </w:numPr>
              <w:spacing w:line="240" w:lineRule="auto"/>
              <w:ind w:left="284" w:hanging="284"/>
              <w:rPr>
                <w:rFonts w:ascii="Arial Narrow" w:hAnsi="Arial Narrow"/>
                <w:sz w:val="20"/>
                <w:szCs w:val="18"/>
                <w:lang w:val="en-AU"/>
              </w:rPr>
            </w:pPr>
            <w:r>
              <w:rPr>
                <w:rFonts w:ascii="Arial Narrow" w:hAnsi="Arial Narrow"/>
                <w:sz w:val="20"/>
                <w:szCs w:val="18"/>
                <w:lang w:val="en-AU"/>
              </w:rPr>
              <w:t>UDCA-inadequate responders, defined as patients with an ALP ≥ 1.67 x ULN or total bilirubin &gt; ULN but &lt; 2 x ULN despite receiving UDCA treatment for ≥ 12 months (with a stable dose for 3 months); OR</w:t>
            </w:r>
          </w:p>
          <w:p w:rsidR="00F116C2" w:rsidRDefault="004F0556">
            <w:pPr>
              <w:pStyle w:val="Answer"/>
              <w:keepNext/>
              <w:numPr>
                <w:ilvl w:val="0"/>
                <w:numId w:val="4"/>
              </w:numPr>
              <w:spacing w:line="240" w:lineRule="auto"/>
              <w:ind w:left="284" w:hanging="284"/>
              <w:rPr>
                <w:rFonts w:ascii="Arial Narrow" w:hAnsi="Arial Narrow" w:cs="Calibri"/>
                <w:szCs w:val="18"/>
                <w:lang w:val="en-AU"/>
              </w:rPr>
            </w:pPr>
            <w:r>
              <w:rPr>
                <w:rFonts w:ascii="Arial Narrow" w:hAnsi="Arial Narrow"/>
                <w:sz w:val="20"/>
                <w:szCs w:val="18"/>
                <w:lang w:val="en-AU"/>
              </w:rPr>
              <w:t>UDCA-intolerant, defined as patients who are intolerant to UDCA therapy due to severe side effects, most likely diarrhoea (3%) or very low-incident events including upper abdominal pain, decompensation of hepatic cirrhosis, calcification of gallstones, allergic reactions or urticaria with rates of ≤ 1 in 10,000 patients</w:t>
            </w:r>
          </w:p>
        </w:tc>
      </w:tr>
      <w:tr w:rsidR="00F116C2">
        <w:trPr>
          <w:cantSplit/>
        </w:trPr>
        <w:tc>
          <w:tcPr>
            <w:tcW w:w="0" w:type="auto"/>
            <w:shd w:val="clear" w:color="auto" w:fill="auto"/>
          </w:tcPr>
          <w:p w:rsidR="00F116C2" w:rsidRDefault="004F0556">
            <w:pPr>
              <w:pStyle w:val="Tabletext"/>
              <w:keepNext/>
            </w:pPr>
            <w:r>
              <w:t>Intervention</w:t>
            </w:r>
          </w:p>
        </w:tc>
        <w:tc>
          <w:tcPr>
            <w:tcW w:w="0" w:type="auto"/>
            <w:shd w:val="clear" w:color="auto" w:fill="auto"/>
          </w:tcPr>
          <w:p w:rsidR="00F116C2" w:rsidRDefault="004F0556">
            <w:pPr>
              <w:pStyle w:val="Answer"/>
              <w:keepNext/>
              <w:numPr>
                <w:ilvl w:val="0"/>
                <w:numId w:val="4"/>
              </w:numPr>
              <w:spacing w:line="240" w:lineRule="auto"/>
              <w:ind w:left="284" w:hanging="284"/>
              <w:rPr>
                <w:rFonts w:ascii="Arial Narrow" w:hAnsi="Arial Narrow"/>
                <w:sz w:val="20"/>
                <w:szCs w:val="18"/>
                <w:lang w:val="en-AU"/>
              </w:rPr>
            </w:pPr>
            <w:r>
              <w:rPr>
                <w:rFonts w:ascii="Arial Narrow" w:hAnsi="Arial Narrow"/>
                <w:sz w:val="20"/>
                <w:szCs w:val="18"/>
                <w:lang w:val="en-AU"/>
              </w:rPr>
              <w:t>For UDCA-inadequate responders: OCA 5-10 mg titration (as defined for the titration group in POISE; 5 mg for the first six months of treatment, followed by 10 mg for the subsequent months) + UDCA (13-15 mg per kilogram of body weight).</w:t>
            </w:r>
          </w:p>
          <w:p w:rsidR="00F116C2" w:rsidRDefault="004F0556">
            <w:pPr>
              <w:pStyle w:val="Answer"/>
              <w:keepNext/>
              <w:numPr>
                <w:ilvl w:val="0"/>
                <w:numId w:val="4"/>
              </w:numPr>
              <w:spacing w:line="240" w:lineRule="auto"/>
              <w:ind w:left="284" w:hanging="284"/>
              <w:jc w:val="both"/>
              <w:rPr>
                <w:rFonts w:ascii="Arial Narrow" w:hAnsi="Arial Narrow"/>
                <w:sz w:val="20"/>
                <w:szCs w:val="18"/>
                <w:lang w:val="en-AU"/>
              </w:rPr>
            </w:pPr>
            <w:r>
              <w:rPr>
                <w:rFonts w:ascii="Arial Narrow" w:hAnsi="Arial Narrow"/>
                <w:sz w:val="20"/>
                <w:szCs w:val="18"/>
                <w:lang w:val="en-AU"/>
              </w:rPr>
              <w:t>For UDCA-intolerant patients: OCA 5-10 mg titration monotherapy.</w:t>
            </w:r>
          </w:p>
        </w:tc>
      </w:tr>
      <w:tr w:rsidR="00F116C2">
        <w:trPr>
          <w:cantSplit/>
        </w:trPr>
        <w:tc>
          <w:tcPr>
            <w:tcW w:w="0" w:type="auto"/>
            <w:shd w:val="clear" w:color="auto" w:fill="auto"/>
          </w:tcPr>
          <w:p w:rsidR="00F116C2" w:rsidRDefault="004F0556">
            <w:pPr>
              <w:pStyle w:val="Tabletext"/>
              <w:keepNext/>
            </w:pPr>
            <w:r>
              <w:t>Comparator</w:t>
            </w:r>
          </w:p>
        </w:tc>
        <w:tc>
          <w:tcPr>
            <w:tcW w:w="0" w:type="auto"/>
            <w:shd w:val="clear" w:color="auto" w:fill="auto"/>
          </w:tcPr>
          <w:p w:rsidR="00F116C2" w:rsidRDefault="004F0556">
            <w:pPr>
              <w:pStyle w:val="Answer"/>
              <w:keepNext/>
              <w:numPr>
                <w:ilvl w:val="0"/>
                <w:numId w:val="4"/>
              </w:numPr>
              <w:spacing w:line="240" w:lineRule="auto"/>
              <w:ind w:left="284" w:hanging="284"/>
              <w:jc w:val="both"/>
              <w:rPr>
                <w:rFonts w:ascii="Arial Narrow" w:hAnsi="Arial Narrow"/>
                <w:sz w:val="20"/>
                <w:szCs w:val="18"/>
                <w:lang w:val="en-AU"/>
              </w:rPr>
            </w:pPr>
            <w:r>
              <w:rPr>
                <w:rFonts w:ascii="Arial Narrow" w:hAnsi="Arial Narrow"/>
                <w:sz w:val="20"/>
                <w:szCs w:val="18"/>
                <w:lang w:val="en-AU"/>
              </w:rPr>
              <w:t>For UDCA-inadequate responders: UDCA + placebo.</w:t>
            </w:r>
          </w:p>
          <w:p w:rsidR="00F116C2" w:rsidRDefault="004F0556">
            <w:pPr>
              <w:pStyle w:val="Answer"/>
              <w:keepNext/>
              <w:numPr>
                <w:ilvl w:val="0"/>
                <w:numId w:val="4"/>
              </w:numPr>
              <w:spacing w:line="240" w:lineRule="auto"/>
              <w:ind w:left="284" w:hanging="284"/>
              <w:jc w:val="both"/>
              <w:rPr>
                <w:rFonts w:ascii="Arial Narrow" w:hAnsi="Arial Narrow"/>
                <w:sz w:val="20"/>
                <w:szCs w:val="18"/>
                <w:lang w:val="en-AU"/>
              </w:rPr>
            </w:pPr>
            <w:r>
              <w:rPr>
                <w:rFonts w:ascii="Arial Narrow" w:hAnsi="Arial Narrow"/>
                <w:sz w:val="20"/>
                <w:szCs w:val="18"/>
                <w:lang w:val="en-AU"/>
              </w:rPr>
              <w:t>For UDCA-intolerant patients: placebo</w:t>
            </w:r>
            <w:r>
              <w:rPr>
                <w:i/>
                <w:szCs w:val="18"/>
                <w:lang w:val="en-AU"/>
              </w:rPr>
              <w:t xml:space="preserve"> </w:t>
            </w:r>
          </w:p>
        </w:tc>
      </w:tr>
      <w:tr w:rsidR="00F116C2">
        <w:trPr>
          <w:cantSplit/>
        </w:trPr>
        <w:tc>
          <w:tcPr>
            <w:tcW w:w="0" w:type="auto"/>
            <w:shd w:val="clear" w:color="auto" w:fill="auto"/>
          </w:tcPr>
          <w:p w:rsidR="00F116C2" w:rsidRDefault="004F0556">
            <w:pPr>
              <w:pStyle w:val="Tabletext"/>
              <w:keepNext/>
            </w:pPr>
            <w:r>
              <w:t>Outcomes</w:t>
            </w:r>
          </w:p>
        </w:tc>
        <w:tc>
          <w:tcPr>
            <w:tcW w:w="0" w:type="auto"/>
            <w:shd w:val="clear" w:color="auto" w:fill="auto"/>
          </w:tcPr>
          <w:p w:rsidR="00F116C2" w:rsidRDefault="004F0556">
            <w:pPr>
              <w:keepNext/>
              <w:widowControl/>
              <w:jc w:val="left"/>
              <w:rPr>
                <w:rFonts w:ascii="Arial Narrow" w:hAnsi="Arial Narrow"/>
                <w:sz w:val="20"/>
                <w:szCs w:val="18"/>
              </w:rPr>
            </w:pPr>
            <w:r>
              <w:rPr>
                <w:rFonts w:ascii="Arial Narrow" w:hAnsi="Arial Narrow"/>
                <w:sz w:val="20"/>
                <w:szCs w:val="18"/>
              </w:rPr>
              <w:t>The primary composite endpoint was an ALP level of &lt; 1.67 x ULN, with a reduction of ≥ 15% from baseline, and a total bilirubin level ≤ the ULN at 12 months.</w:t>
            </w:r>
          </w:p>
          <w:p w:rsidR="00F116C2" w:rsidRDefault="004F0556">
            <w:pPr>
              <w:pStyle w:val="Tabletext"/>
              <w:keepNext/>
            </w:pPr>
            <w:r>
              <w:rPr>
                <w:rFonts w:eastAsiaTheme="minorHAnsi"/>
                <w:szCs w:val="18"/>
              </w:rPr>
              <w:t>Secondary efficacy end points included levels of ALP, GGT, alanine aminotransferase, aspartate aminotransferase, total and conjugated bilirubin, and albumin; prothrombin time; international normalized ratio; plasma bile acid level</w:t>
            </w:r>
            <w:r>
              <w:rPr>
                <w:szCs w:val="18"/>
              </w:rPr>
              <w:t>s.</w:t>
            </w:r>
          </w:p>
        </w:tc>
      </w:tr>
      <w:tr w:rsidR="00F116C2">
        <w:trPr>
          <w:cantSplit/>
        </w:trPr>
        <w:tc>
          <w:tcPr>
            <w:tcW w:w="0" w:type="auto"/>
            <w:shd w:val="clear" w:color="auto" w:fill="auto"/>
          </w:tcPr>
          <w:p w:rsidR="00F116C2" w:rsidRDefault="004F0556">
            <w:pPr>
              <w:pStyle w:val="Tabletext"/>
              <w:keepNext/>
            </w:pPr>
            <w:r>
              <w:t>Clinical claim</w:t>
            </w:r>
          </w:p>
        </w:tc>
        <w:tc>
          <w:tcPr>
            <w:tcW w:w="0" w:type="auto"/>
            <w:shd w:val="clear" w:color="auto" w:fill="auto"/>
          </w:tcPr>
          <w:p w:rsidR="00F116C2" w:rsidRDefault="004F0556">
            <w:pPr>
              <w:keepNext/>
              <w:widowControl/>
              <w:jc w:val="left"/>
              <w:rPr>
                <w:rFonts w:ascii="Arial Narrow" w:hAnsi="Arial Narrow"/>
                <w:sz w:val="20"/>
                <w:szCs w:val="18"/>
                <w:shd w:val="clear" w:color="auto" w:fill="FFFFFF"/>
              </w:rPr>
            </w:pPr>
            <w:r>
              <w:rPr>
                <w:rFonts w:ascii="Arial Narrow" w:hAnsi="Arial Narrow" w:cs="Calibri"/>
                <w:sz w:val="20"/>
                <w:szCs w:val="18"/>
              </w:rPr>
              <w:t xml:space="preserve">For patients with an inadequate response to UDCA, OCA titration dosing (5-10 mg) plus UDCA is superior to UDCA alone in reducing </w:t>
            </w:r>
            <w:r>
              <w:rPr>
                <w:rFonts w:ascii="Arial Narrow" w:hAnsi="Arial Narrow"/>
                <w:sz w:val="20"/>
                <w:szCs w:val="18"/>
                <w:shd w:val="clear" w:color="auto" w:fill="FFFFFF"/>
              </w:rPr>
              <w:t>alkaline phosphatase and bilirubin levels and other important clinically relevant endpoints.</w:t>
            </w:r>
          </w:p>
          <w:p w:rsidR="00F116C2" w:rsidRDefault="004F0556">
            <w:pPr>
              <w:keepNext/>
              <w:widowControl/>
              <w:jc w:val="left"/>
              <w:rPr>
                <w:rFonts w:ascii="Arial Narrow" w:hAnsi="Arial Narrow"/>
                <w:sz w:val="20"/>
                <w:szCs w:val="18"/>
                <w:shd w:val="clear" w:color="auto" w:fill="FFFFFF"/>
              </w:rPr>
            </w:pPr>
            <w:r>
              <w:rPr>
                <w:rFonts w:ascii="Arial Narrow" w:hAnsi="Arial Narrow"/>
                <w:sz w:val="20"/>
                <w:szCs w:val="18"/>
                <w:shd w:val="clear" w:color="auto" w:fill="FFFFFF"/>
              </w:rPr>
              <w:t>For patients intolerant to UDCA, OCA</w:t>
            </w:r>
            <w:r>
              <w:rPr>
                <w:rFonts w:ascii="Arial Narrow" w:hAnsi="Arial Narrow" w:cs="Calibri"/>
                <w:sz w:val="20"/>
                <w:szCs w:val="18"/>
              </w:rPr>
              <w:t xml:space="preserve"> titration dosing (5-10 mg) </w:t>
            </w:r>
            <w:r>
              <w:rPr>
                <w:rFonts w:ascii="Arial Narrow" w:hAnsi="Arial Narrow"/>
                <w:sz w:val="20"/>
                <w:szCs w:val="18"/>
                <w:shd w:val="clear" w:color="auto" w:fill="FFFFFF"/>
              </w:rPr>
              <w:t>is superior to placebo in reducing alkaline phosphatase and bilirubin levels and other important clinically relevant endpoints.</w:t>
            </w:r>
          </w:p>
          <w:p w:rsidR="00F116C2" w:rsidRDefault="004F0556">
            <w:pPr>
              <w:keepNext/>
              <w:widowControl/>
            </w:pPr>
            <w:r>
              <w:rPr>
                <w:rFonts w:ascii="Arial Narrow" w:hAnsi="Arial Narrow" w:cs="Calibri"/>
                <w:sz w:val="20"/>
                <w:szCs w:val="18"/>
              </w:rPr>
              <w:t>OCA titration dosing (5-10 mg) is inferior in terms of safety compared with placebo/best supportive care when used as combination therapy with UDCA for patients with prior inadequate response to UDCA and as monotherapy for patients who are intolerant to UDCA.</w:t>
            </w:r>
          </w:p>
        </w:tc>
      </w:tr>
    </w:tbl>
    <w:p w:rsidR="00F116C2" w:rsidRDefault="004F0556">
      <w:pPr>
        <w:pStyle w:val="TableFooter"/>
        <w:widowControl/>
      </w:pPr>
      <w:r>
        <w:t xml:space="preserve">ALP = alkaline phosphatase; GGT = gamma glutamyl transferase; OCA = obeticholic acid; PBC = primary biliary cholangitis; UDCA = ursodeoxycholic acid; ULN = upper limit of normal </w:t>
      </w:r>
    </w:p>
    <w:p w:rsidR="00F116C2" w:rsidRDefault="004F0556">
      <w:pPr>
        <w:pStyle w:val="TableFooter"/>
        <w:widowControl/>
        <w:rPr>
          <w:sz w:val="20"/>
        </w:rPr>
      </w:pPr>
      <w:r>
        <w:lastRenderedPageBreak/>
        <w:t>Source: Table 1.1.1, p32 of the resubmission.</w:t>
      </w:r>
    </w:p>
    <w:p w:rsidR="00F116C2" w:rsidRDefault="004F0556">
      <w:pPr>
        <w:pStyle w:val="PBACHeading1"/>
      </w:pPr>
      <w:bookmarkStart w:id="2" w:name="_Toc9335706"/>
      <w:r>
        <w:t>Requested listing</w:t>
      </w:r>
      <w:bookmarkEnd w:id="2"/>
    </w:p>
    <w:p w:rsidR="00F116C2" w:rsidRDefault="004F0556">
      <w:pPr>
        <w:pStyle w:val="ListParagraph"/>
        <w:widowControl/>
        <w:numPr>
          <w:ilvl w:val="1"/>
          <w:numId w:val="2"/>
        </w:numPr>
      </w:pPr>
      <w:r>
        <w:t>The requested listing with suggested additions in italics and suggested deletions in strikethrough is provided below.</w:t>
      </w:r>
    </w:p>
    <w:p w:rsidR="00F116C2" w:rsidRDefault="00F116C2">
      <w:pPr>
        <w:keepNext/>
        <w:widowControl/>
      </w:pPr>
    </w:p>
    <w:tbl>
      <w:tblPr>
        <w:tblW w:w="5001" w:type="pct"/>
        <w:tblCellMar>
          <w:left w:w="28" w:type="dxa"/>
          <w:right w:w="28" w:type="dxa"/>
        </w:tblCellMar>
        <w:tblLook w:val="0000" w:firstRow="0" w:lastRow="0" w:firstColumn="0" w:lastColumn="0" w:noHBand="0" w:noVBand="0"/>
      </w:tblPr>
      <w:tblGrid>
        <w:gridCol w:w="1577"/>
        <w:gridCol w:w="834"/>
        <w:gridCol w:w="567"/>
        <w:gridCol w:w="567"/>
        <w:gridCol w:w="1701"/>
        <w:gridCol w:w="1024"/>
        <w:gridCol w:w="2759"/>
      </w:tblGrid>
      <w:tr w:rsidR="00F116C2">
        <w:trPr>
          <w:cantSplit/>
          <w:trHeight w:val="463"/>
        </w:trPr>
        <w:tc>
          <w:tcPr>
            <w:tcW w:w="1335" w:type="pct"/>
            <w:gridSpan w:val="2"/>
            <w:tcBorders>
              <w:top w:val="single" w:sz="4" w:space="0" w:color="auto"/>
              <w:bottom w:val="single" w:sz="4" w:space="0" w:color="auto"/>
            </w:tcBorders>
            <w:vAlign w:val="center"/>
          </w:tcPr>
          <w:p w:rsidR="00F116C2" w:rsidRDefault="004F0556">
            <w:pPr>
              <w:keepNext/>
              <w:widowControl/>
              <w:jc w:val="left"/>
              <w:rPr>
                <w:rFonts w:ascii="Arial Narrow" w:hAnsi="Arial Narrow"/>
                <w:b/>
                <w:sz w:val="20"/>
              </w:rPr>
            </w:pPr>
            <w:r>
              <w:rPr>
                <w:rFonts w:ascii="Arial Narrow" w:hAnsi="Arial Narrow"/>
                <w:b/>
                <w:sz w:val="20"/>
              </w:rPr>
              <w:t>Name, Restriction, Manner of administration and form</w:t>
            </w:r>
          </w:p>
        </w:tc>
        <w:tc>
          <w:tcPr>
            <w:tcW w:w="314" w:type="pct"/>
            <w:tcBorders>
              <w:top w:val="single" w:sz="4" w:space="0" w:color="auto"/>
              <w:bottom w:val="single" w:sz="4" w:space="0" w:color="auto"/>
            </w:tcBorders>
            <w:vAlign w:val="center"/>
          </w:tcPr>
          <w:p w:rsidR="00F116C2" w:rsidRDefault="004F0556">
            <w:pPr>
              <w:keepNext/>
              <w:widowControl/>
              <w:jc w:val="center"/>
              <w:rPr>
                <w:rFonts w:ascii="Arial Narrow" w:hAnsi="Arial Narrow"/>
                <w:b/>
                <w:sz w:val="20"/>
              </w:rPr>
            </w:pPr>
            <w:r>
              <w:rPr>
                <w:rFonts w:ascii="Arial Narrow" w:hAnsi="Arial Narrow"/>
                <w:b/>
                <w:sz w:val="20"/>
              </w:rPr>
              <w:t>Max.</w:t>
            </w:r>
          </w:p>
          <w:p w:rsidR="00F116C2" w:rsidRDefault="004F0556">
            <w:pPr>
              <w:keepNext/>
              <w:widowControl/>
              <w:jc w:val="center"/>
              <w:rPr>
                <w:rFonts w:ascii="Arial Narrow" w:hAnsi="Arial Narrow"/>
                <w:b/>
                <w:sz w:val="20"/>
              </w:rPr>
            </w:pPr>
            <w:r>
              <w:rPr>
                <w:rFonts w:ascii="Arial Narrow" w:hAnsi="Arial Narrow"/>
                <w:b/>
                <w:sz w:val="20"/>
              </w:rPr>
              <w:t>Qty</w:t>
            </w:r>
          </w:p>
        </w:tc>
        <w:tc>
          <w:tcPr>
            <w:tcW w:w="314" w:type="pct"/>
            <w:tcBorders>
              <w:top w:val="single" w:sz="4" w:space="0" w:color="auto"/>
              <w:bottom w:val="single" w:sz="4" w:space="0" w:color="auto"/>
            </w:tcBorders>
            <w:vAlign w:val="center"/>
          </w:tcPr>
          <w:p w:rsidR="00F116C2" w:rsidRDefault="004F0556">
            <w:pPr>
              <w:keepNext/>
              <w:widowControl/>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F116C2" w:rsidRDefault="004F0556">
            <w:pPr>
              <w:keepNext/>
              <w:widowControl/>
              <w:jc w:val="center"/>
              <w:rPr>
                <w:rFonts w:ascii="Arial Narrow" w:hAnsi="Arial Narrow"/>
                <w:b/>
                <w:sz w:val="20"/>
              </w:rPr>
            </w:pPr>
            <w:r>
              <w:rPr>
                <w:rFonts w:ascii="Arial Narrow" w:hAnsi="Arial Narrow"/>
                <w:b/>
                <w:sz w:val="20"/>
              </w:rPr>
              <w:t>Rpts</w:t>
            </w:r>
          </w:p>
        </w:tc>
        <w:tc>
          <w:tcPr>
            <w:tcW w:w="942" w:type="pct"/>
            <w:tcBorders>
              <w:top w:val="single" w:sz="4" w:space="0" w:color="auto"/>
              <w:bottom w:val="single" w:sz="4" w:space="0" w:color="auto"/>
            </w:tcBorders>
            <w:vAlign w:val="center"/>
          </w:tcPr>
          <w:p w:rsidR="00F116C2" w:rsidRDefault="004F0556">
            <w:pPr>
              <w:keepNext/>
              <w:widowControl/>
              <w:jc w:val="center"/>
              <w:rPr>
                <w:rFonts w:ascii="Arial Narrow" w:hAnsi="Arial Narrow"/>
                <w:b/>
                <w:sz w:val="20"/>
              </w:rPr>
            </w:pPr>
            <w:r>
              <w:rPr>
                <w:rFonts w:ascii="Arial Narrow" w:hAnsi="Arial Narrow"/>
                <w:b/>
                <w:sz w:val="20"/>
              </w:rPr>
              <w:t>DPMQ</w:t>
            </w:r>
          </w:p>
        </w:tc>
        <w:tc>
          <w:tcPr>
            <w:tcW w:w="2095" w:type="pct"/>
            <w:gridSpan w:val="2"/>
            <w:tcBorders>
              <w:top w:val="single" w:sz="4" w:space="0" w:color="auto"/>
              <w:bottom w:val="single" w:sz="4" w:space="0" w:color="auto"/>
            </w:tcBorders>
            <w:vAlign w:val="center"/>
          </w:tcPr>
          <w:p w:rsidR="00F116C2" w:rsidRDefault="004F0556">
            <w:pPr>
              <w:keepNext/>
              <w:widowControl/>
              <w:jc w:val="left"/>
              <w:rPr>
                <w:rFonts w:ascii="Arial Narrow" w:hAnsi="Arial Narrow"/>
                <w:b/>
                <w:sz w:val="20"/>
              </w:rPr>
            </w:pPr>
            <w:r>
              <w:rPr>
                <w:rFonts w:ascii="Arial Narrow" w:hAnsi="Arial Narrow"/>
                <w:b/>
                <w:sz w:val="20"/>
              </w:rPr>
              <w:t>Proprietary Name and Manufacturer</w:t>
            </w:r>
          </w:p>
        </w:tc>
      </w:tr>
      <w:tr w:rsidR="00F116C2">
        <w:trPr>
          <w:cantSplit/>
          <w:trHeight w:val="567"/>
        </w:trPr>
        <w:tc>
          <w:tcPr>
            <w:tcW w:w="1335" w:type="pct"/>
            <w:gridSpan w:val="2"/>
            <w:tcBorders>
              <w:top w:val="single" w:sz="4" w:space="0" w:color="auto"/>
            </w:tcBorders>
            <w:vAlign w:val="center"/>
          </w:tcPr>
          <w:p w:rsidR="00F116C2" w:rsidRDefault="004F0556">
            <w:pPr>
              <w:pStyle w:val="Tabletext"/>
              <w:keepNext/>
              <w:rPr>
                <w:rFonts w:cs="Arial"/>
                <w:smallCaps/>
                <w:snapToGrid w:val="0"/>
              </w:rPr>
            </w:pPr>
            <w:r>
              <w:rPr>
                <w:rFonts w:cs="Arial"/>
                <w:smallCaps/>
                <w:snapToGrid w:val="0"/>
              </w:rPr>
              <w:t>Obeticholic acid</w:t>
            </w:r>
          </w:p>
          <w:p w:rsidR="00F116C2" w:rsidRDefault="004F0556">
            <w:pPr>
              <w:keepNext/>
              <w:widowControl/>
              <w:jc w:val="left"/>
              <w:rPr>
                <w:rFonts w:ascii="Arial Narrow" w:hAnsi="Arial Narrow"/>
                <w:sz w:val="20"/>
              </w:rPr>
            </w:pPr>
            <w:r>
              <w:rPr>
                <w:rFonts w:ascii="Arial Narrow" w:hAnsi="Arial Narrow"/>
                <w:sz w:val="20"/>
                <w:szCs w:val="20"/>
              </w:rPr>
              <w:t>Tablet, 5 mg</w:t>
            </w:r>
          </w:p>
        </w:tc>
        <w:tc>
          <w:tcPr>
            <w:tcW w:w="314" w:type="pct"/>
            <w:tcBorders>
              <w:top w:val="single" w:sz="4" w:space="0" w:color="auto"/>
            </w:tcBorders>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30</w:t>
            </w:r>
          </w:p>
        </w:tc>
        <w:tc>
          <w:tcPr>
            <w:tcW w:w="314" w:type="pct"/>
            <w:tcBorders>
              <w:top w:val="single" w:sz="4" w:space="0" w:color="auto"/>
            </w:tcBorders>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5</w:t>
            </w:r>
          </w:p>
        </w:tc>
        <w:tc>
          <w:tcPr>
            <w:tcW w:w="942" w:type="pct"/>
            <w:tcBorders>
              <w:top w:val="single" w:sz="4" w:space="0" w:color="auto"/>
            </w:tcBorders>
            <w:vAlign w:val="center"/>
          </w:tcPr>
          <w:p w:rsidR="00F116C2" w:rsidRDefault="004F0556">
            <w:pPr>
              <w:pStyle w:val="Tabletext"/>
              <w:keepNext/>
              <w:rPr>
                <w:rFonts w:cs="Arial"/>
                <w:snapToGrid w:val="0"/>
                <w:szCs w:val="20"/>
              </w:rPr>
            </w:pPr>
            <w:r>
              <w:rPr>
                <w:rFonts w:cs="Arial"/>
                <w:snapToGrid w:val="0"/>
                <w:szCs w:val="20"/>
              </w:rPr>
              <w:t>Published: $</w:t>
            </w:r>
            <w:r w:rsidR="00B624C9">
              <w:rPr>
                <w:rFonts w:cs="Arial"/>
                <w:noProof/>
                <w:snapToGrid w:val="0"/>
                <w:color w:val="000000"/>
                <w:szCs w:val="20"/>
                <w:highlight w:val="black"/>
              </w:rPr>
              <w:t>''''''''''''''''''''</w:t>
            </w:r>
          </w:p>
          <w:p w:rsidR="00F116C2" w:rsidRDefault="004F0556">
            <w:pPr>
              <w:pStyle w:val="Tabletext"/>
              <w:keepNext/>
              <w:rPr>
                <w:szCs w:val="20"/>
              </w:rPr>
            </w:pPr>
            <w:r>
              <w:rPr>
                <w:rFonts w:cs="Arial"/>
                <w:snapToGrid w:val="0"/>
                <w:szCs w:val="20"/>
              </w:rPr>
              <w:t>Effective:   $</w:t>
            </w:r>
            <w:r w:rsidR="00B624C9">
              <w:rPr>
                <w:rFonts w:cs="Arial"/>
                <w:noProof/>
                <w:snapToGrid w:val="0"/>
                <w:color w:val="000000"/>
                <w:szCs w:val="20"/>
                <w:highlight w:val="black"/>
              </w:rPr>
              <w:t>''''''''''''''''''''</w:t>
            </w:r>
          </w:p>
        </w:tc>
        <w:tc>
          <w:tcPr>
            <w:tcW w:w="567" w:type="pct"/>
            <w:tcBorders>
              <w:top w:val="single" w:sz="4" w:space="0" w:color="auto"/>
            </w:tcBorders>
            <w:vAlign w:val="center"/>
          </w:tcPr>
          <w:p w:rsidR="00F116C2" w:rsidRDefault="004F0556">
            <w:pPr>
              <w:keepNext/>
              <w:widowControl/>
              <w:jc w:val="left"/>
              <w:rPr>
                <w:rFonts w:ascii="Arial Narrow" w:hAnsi="Arial Narrow"/>
                <w:sz w:val="20"/>
                <w:szCs w:val="20"/>
              </w:rPr>
            </w:pPr>
            <w:r>
              <w:rPr>
                <w:rFonts w:ascii="Arial Narrow" w:hAnsi="Arial Narrow"/>
                <w:sz w:val="20"/>
                <w:szCs w:val="20"/>
              </w:rPr>
              <w:t>OCALIVA®</w:t>
            </w:r>
          </w:p>
        </w:tc>
        <w:tc>
          <w:tcPr>
            <w:tcW w:w="1529" w:type="pct"/>
            <w:tcBorders>
              <w:top w:val="single" w:sz="4" w:space="0" w:color="auto"/>
            </w:tcBorders>
            <w:vAlign w:val="center"/>
          </w:tcPr>
          <w:p w:rsidR="00F116C2" w:rsidRDefault="004F0556">
            <w:pPr>
              <w:pStyle w:val="Tabletext"/>
              <w:keepNext/>
              <w:rPr>
                <w:rFonts w:cs="Arial"/>
                <w:snapToGrid w:val="0"/>
                <w:szCs w:val="20"/>
              </w:rPr>
            </w:pPr>
            <w:r>
              <w:rPr>
                <w:rFonts w:cs="Arial"/>
                <w:snapToGrid w:val="0"/>
                <w:szCs w:val="20"/>
              </w:rPr>
              <w:t>Manufacturer: Intercept Pharma</w:t>
            </w:r>
          </w:p>
          <w:p w:rsidR="00F116C2" w:rsidRDefault="004F0556">
            <w:pPr>
              <w:keepNext/>
              <w:widowControl/>
              <w:jc w:val="left"/>
              <w:rPr>
                <w:rFonts w:ascii="Arial Narrow" w:hAnsi="Arial Narrow"/>
                <w:sz w:val="20"/>
                <w:szCs w:val="20"/>
              </w:rPr>
            </w:pPr>
            <w:r>
              <w:rPr>
                <w:rFonts w:ascii="Arial Narrow" w:hAnsi="Arial Narrow"/>
                <w:sz w:val="20"/>
                <w:szCs w:val="20"/>
              </w:rPr>
              <w:t>Australian sponsor: Emerge Health Pty Ltd</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b/>
                <w:lang w:eastAsia="en-AU"/>
              </w:rPr>
              <w:t>Category/Program:</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Calibri"/>
                <w:szCs w:val="20"/>
              </w:rPr>
              <w:t>Section 85 (General Schedule)</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vAlign w:val="center"/>
          </w:tcPr>
          <w:p w:rsidR="00F116C2" w:rsidRDefault="004F0556">
            <w:pPr>
              <w:pStyle w:val="Tabletext"/>
              <w:rPr>
                <w:b/>
                <w:lang w:eastAsia="en-AU"/>
              </w:rPr>
            </w:pPr>
            <w:r>
              <w:rPr>
                <w:rFonts w:cs="Calibri"/>
                <w:b/>
                <w:szCs w:val="20"/>
              </w:rPr>
              <w:t>Prescriber type:</w:t>
            </w:r>
          </w:p>
        </w:tc>
        <w:tc>
          <w:tcPr>
            <w:tcW w:w="4127" w:type="pct"/>
            <w:gridSpan w:val="6"/>
            <w:tcBorders>
              <w:top w:val="single" w:sz="4" w:space="0" w:color="auto"/>
              <w:left w:val="single" w:sz="4" w:space="0" w:color="auto"/>
              <w:bottom w:val="single" w:sz="4" w:space="0" w:color="auto"/>
              <w:right w:val="single" w:sz="4" w:space="0" w:color="auto"/>
            </w:tcBorders>
            <w:vAlign w:val="center"/>
          </w:tcPr>
          <w:p w:rsidR="00F116C2" w:rsidRDefault="004F0556">
            <w:pPr>
              <w:pStyle w:val="Tabletext"/>
              <w:rPr>
                <w:rFonts w:cs="Calibri"/>
                <w:szCs w:val="20"/>
              </w:rPr>
            </w:pP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E5768D">
              <w:rPr>
                <w:rFonts w:cs="Calibri"/>
                <w:szCs w:val="20"/>
              </w:rPr>
            </w:r>
            <w:r w:rsidR="00E5768D">
              <w:rPr>
                <w:rFonts w:cs="Calibri"/>
                <w:szCs w:val="20"/>
              </w:rPr>
              <w:fldChar w:fldCharType="separate"/>
            </w:r>
            <w:r>
              <w:rPr>
                <w:rFonts w:cs="Calibri"/>
                <w:szCs w:val="20"/>
              </w:rPr>
              <w:fldChar w:fldCharType="end"/>
            </w:r>
            <w:r>
              <w:rPr>
                <w:rFonts w:cs="Calibri"/>
                <w:szCs w:val="20"/>
              </w:rPr>
              <w:t xml:space="preserve">Dental  </w:t>
            </w:r>
            <w:r>
              <w:rPr>
                <w:rFonts w:cs="Calibri"/>
                <w:szCs w:val="20"/>
              </w:rPr>
              <w:fldChar w:fldCharType="begin">
                <w:ffData>
                  <w:name w:val=""/>
                  <w:enabled/>
                  <w:calcOnExit w:val="0"/>
                  <w:checkBox>
                    <w:sizeAuto/>
                    <w:default w:val="1"/>
                  </w:checkBox>
                </w:ffData>
              </w:fldChar>
            </w:r>
            <w:r>
              <w:rPr>
                <w:rFonts w:cs="Calibri"/>
                <w:szCs w:val="20"/>
              </w:rPr>
              <w:instrText xml:space="preserve"> FORMCHECKBOX </w:instrText>
            </w:r>
            <w:r w:rsidR="00E5768D">
              <w:rPr>
                <w:rFonts w:cs="Calibri"/>
                <w:szCs w:val="20"/>
              </w:rPr>
            </w:r>
            <w:r w:rsidR="00E5768D">
              <w:rPr>
                <w:rFonts w:cs="Calibri"/>
                <w:szCs w:val="20"/>
              </w:rPr>
              <w:fldChar w:fldCharType="separate"/>
            </w:r>
            <w:r>
              <w:rPr>
                <w:rFonts w:cs="Calibri"/>
                <w:szCs w:val="20"/>
              </w:rPr>
              <w:fldChar w:fldCharType="end"/>
            </w:r>
            <w:r>
              <w:rPr>
                <w:rFonts w:cs="Calibri"/>
                <w:szCs w:val="20"/>
              </w:rPr>
              <w:t xml:space="preserve">Medical Practitioners  </w:t>
            </w:r>
            <w:r>
              <w:rPr>
                <w:rFonts w:cs="Calibri"/>
                <w:szCs w:val="20"/>
              </w:rPr>
              <w:fldChar w:fldCharType="begin">
                <w:ffData>
                  <w:name w:val="Check3"/>
                  <w:enabled/>
                  <w:calcOnExit w:val="0"/>
                  <w:checkBox>
                    <w:sizeAuto/>
                    <w:default w:val="0"/>
                  </w:checkBox>
                </w:ffData>
              </w:fldChar>
            </w:r>
            <w:bookmarkStart w:id="3" w:name="Check3"/>
            <w:r>
              <w:rPr>
                <w:rFonts w:cs="Calibri"/>
                <w:szCs w:val="20"/>
              </w:rPr>
              <w:instrText xml:space="preserve"> FORMCHECKBOX </w:instrText>
            </w:r>
            <w:r w:rsidR="00E5768D">
              <w:rPr>
                <w:rFonts w:cs="Calibri"/>
                <w:szCs w:val="20"/>
              </w:rPr>
            </w:r>
            <w:r w:rsidR="00E5768D">
              <w:rPr>
                <w:rFonts w:cs="Calibri"/>
                <w:szCs w:val="20"/>
              </w:rPr>
              <w:fldChar w:fldCharType="separate"/>
            </w:r>
            <w:r>
              <w:rPr>
                <w:rFonts w:cs="Calibri"/>
                <w:szCs w:val="20"/>
              </w:rPr>
              <w:fldChar w:fldCharType="end"/>
            </w:r>
            <w:bookmarkEnd w:id="3"/>
            <w:r>
              <w:rPr>
                <w:rFonts w:cs="Calibri"/>
                <w:szCs w:val="20"/>
              </w:rPr>
              <w:t xml:space="preserve">Nurse practitioners  </w:t>
            </w:r>
            <w:r>
              <w:rPr>
                <w:rFonts w:cs="Calibri"/>
                <w:szCs w:val="20"/>
              </w:rPr>
              <w:fldChar w:fldCharType="begin">
                <w:ffData>
                  <w:name w:val=""/>
                  <w:enabled/>
                  <w:calcOnExit w:val="0"/>
                  <w:checkBox>
                    <w:sizeAuto/>
                    <w:default w:val="0"/>
                  </w:checkBox>
                </w:ffData>
              </w:fldChar>
            </w:r>
            <w:r>
              <w:rPr>
                <w:rFonts w:cs="Calibri"/>
                <w:szCs w:val="20"/>
              </w:rPr>
              <w:instrText xml:space="preserve"> FORMCHECKBOX </w:instrText>
            </w:r>
            <w:r w:rsidR="00E5768D">
              <w:rPr>
                <w:rFonts w:cs="Calibri"/>
                <w:szCs w:val="20"/>
              </w:rPr>
            </w:r>
            <w:r w:rsidR="00E5768D">
              <w:rPr>
                <w:rFonts w:cs="Calibri"/>
                <w:szCs w:val="20"/>
              </w:rPr>
              <w:fldChar w:fldCharType="separate"/>
            </w:r>
            <w:r>
              <w:rPr>
                <w:rFonts w:cs="Calibri"/>
                <w:szCs w:val="20"/>
              </w:rPr>
              <w:fldChar w:fldCharType="end"/>
            </w:r>
            <w:r>
              <w:rPr>
                <w:rFonts w:cs="Calibri"/>
                <w:szCs w:val="20"/>
              </w:rPr>
              <w:t xml:space="preserve">Optometrists  </w:t>
            </w:r>
            <w:r>
              <w:rPr>
                <w:rFonts w:cs="Calibri"/>
                <w:szCs w:val="20"/>
              </w:rPr>
              <w:fldChar w:fldCharType="begin">
                <w:ffData>
                  <w:name w:val="Check5"/>
                  <w:enabled/>
                  <w:calcOnExit w:val="0"/>
                  <w:checkBox>
                    <w:sizeAuto/>
                    <w:default w:val="0"/>
                  </w:checkBox>
                </w:ffData>
              </w:fldChar>
            </w:r>
            <w:r>
              <w:rPr>
                <w:rFonts w:cs="Calibri"/>
                <w:szCs w:val="20"/>
              </w:rPr>
              <w:instrText xml:space="preserve"> FORMCHECKBOX </w:instrText>
            </w:r>
            <w:r w:rsidR="00E5768D">
              <w:rPr>
                <w:rFonts w:cs="Calibri"/>
                <w:szCs w:val="20"/>
              </w:rPr>
            </w:r>
            <w:r w:rsidR="00E5768D">
              <w:rPr>
                <w:rFonts w:cs="Calibri"/>
                <w:szCs w:val="20"/>
              </w:rPr>
              <w:fldChar w:fldCharType="separate"/>
            </w:r>
            <w:r>
              <w:rPr>
                <w:rFonts w:cs="Calibri"/>
                <w:szCs w:val="20"/>
              </w:rPr>
              <w:fldChar w:fldCharType="end"/>
            </w:r>
            <w:r>
              <w:rPr>
                <w:rFonts w:cs="Calibri"/>
                <w:szCs w:val="20"/>
              </w:rPr>
              <w:t>Midwives</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tcPr>
          <w:p w:rsidR="00F116C2" w:rsidRDefault="004F0556">
            <w:pPr>
              <w:pStyle w:val="Tabletext"/>
              <w:rPr>
                <w:b/>
                <w:lang w:eastAsia="en-AU"/>
              </w:rPr>
            </w:pPr>
            <w:r>
              <w:rPr>
                <w:rFonts w:cs="Calibri"/>
                <w:b/>
                <w:szCs w:val="20"/>
              </w:rPr>
              <w:t>Condition:</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rFonts w:cs="Calibri"/>
                <w:szCs w:val="20"/>
              </w:rPr>
            </w:pPr>
            <w:r>
              <w:rPr>
                <w:rFonts w:cs="Calibri"/>
              </w:rPr>
              <w:t xml:space="preserve">Primary biliary cholangitis </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b/>
                <w:lang w:eastAsia="en-AU"/>
              </w:rPr>
              <w:t>PBS indication:</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Calibri"/>
              </w:rPr>
              <w:t>Primary biliary cholangitis</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b/>
                <w:lang w:eastAsia="en-AU"/>
              </w:rPr>
              <w:t>Treatment phase:</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Calibri"/>
              </w:rPr>
              <w:t xml:space="preserve">Initial treatment </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Calibri"/>
                <w:b/>
                <w:szCs w:val="20"/>
              </w:rPr>
              <w:t>Restriction:</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rFonts w:cs="Calibri"/>
                <w:i/>
                <w:szCs w:val="20"/>
              </w:rPr>
            </w:pPr>
            <w:r>
              <w:rPr>
                <w:rFonts w:cs="Calibri"/>
                <w:i/>
                <w:szCs w:val="20"/>
              </w:rPr>
              <w:fldChar w:fldCharType="begin">
                <w:ffData>
                  <w:name w:val="Check5"/>
                  <w:enabled/>
                  <w:calcOnExit w:val="0"/>
                  <w:checkBox>
                    <w:sizeAuto/>
                    <w:default w:val="1"/>
                  </w:checkBox>
                </w:ffData>
              </w:fldChar>
            </w:r>
            <w:r>
              <w:rPr>
                <w:rFonts w:cs="Calibri"/>
                <w:i/>
                <w:szCs w:val="20"/>
              </w:rPr>
              <w:instrText xml:space="preserve"> FORMCHECKBOX </w:instrText>
            </w:r>
            <w:r w:rsidR="00E5768D">
              <w:rPr>
                <w:rFonts w:cs="Calibri"/>
                <w:i/>
                <w:szCs w:val="20"/>
              </w:rPr>
            </w:r>
            <w:r w:rsidR="00E5768D">
              <w:rPr>
                <w:rFonts w:cs="Calibri"/>
                <w:i/>
                <w:szCs w:val="20"/>
              </w:rPr>
              <w:fldChar w:fldCharType="separate"/>
            </w:r>
            <w:r>
              <w:rPr>
                <w:rFonts w:cs="Calibri"/>
                <w:i/>
                <w:szCs w:val="20"/>
              </w:rPr>
              <w:fldChar w:fldCharType="end"/>
            </w:r>
            <w:r>
              <w:rPr>
                <w:rFonts w:cs="Calibri"/>
                <w:i/>
                <w:szCs w:val="20"/>
              </w:rPr>
              <w:t xml:space="preserve"> Authority Required (written)</w:t>
            </w:r>
          </w:p>
          <w:p w:rsidR="00F116C2" w:rsidRDefault="004F0556">
            <w:pPr>
              <w:pStyle w:val="Tabletext"/>
              <w:rPr>
                <w:strike/>
                <w:lang w:eastAsia="en-AU"/>
              </w:rPr>
            </w:pPr>
            <w:r>
              <w:rPr>
                <w:rFonts w:cs="Calibri"/>
                <w:strike/>
                <w:szCs w:val="20"/>
              </w:rPr>
              <w:fldChar w:fldCharType="begin">
                <w:ffData>
                  <w:name w:val="Check5"/>
                  <w:enabled/>
                  <w:calcOnExit w:val="0"/>
                  <w:checkBox>
                    <w:sizeAuto/>
                    <w:default w:val="1"/>
                  </w:checkBox>
                </w:ffData>
              </w:fldChar>
            </w:r>
            <w:r>
              <w:rPr>
                <w:rFonts w:cs="Calibri"/>
                <w:strike/>
                <w:szCs w:val="20"/>
              </w:rPr>
              <w:instrText xml:space="preserve"> FORMCHECKBOX </w:instrText>
            </w:r>
            <w:r w:rsidR="00E5768D">
              <w:rPr>
                <w:rFonts w:cs="Calibri"/>
                <w:strike/>
                <w:szCs w:val="20"/>
              </w:rPr>
            </w:r>
            <w:r w:rsidR="00E5768D">
              <w:rPr>
                <w:rFonts w:cs="Calibri"/>
                <w:strike/>
                <w:szCs w:val="20"/>
              </w:rPr>
              <w:fldChar w:fldCharType="separate"/>
            </w:r>
            <w:r>
              <w:rPr>
                <w:rFonts w:cs="Calibri"/>
                <w:strike/>
                <w:szCs w:val="20"/>
              </w:rPr>
              <w:fldChar w:fldCharType="end"/>
            </w:r>
            <w:r>
              <w:rPr>
                <w:rFonts w:cs="Calibri"/>
                <w:strike/>
                <w:szCs w:val="20"/>
              </w:rPr>
              <w:t xml:space="preserve"> Authority Required (streamlined)</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Calibri"/>
                <w:b/>
                <w:szCs w:val="20"/>
              </w:rPr>
              <w:t>Treatment criteria:</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Calibri"/>
                <w:szCs w:val="20"/>
              </w:rPr>
              <w:t>The patient must be treated by a gastroenterologist or hepatologist or in consultation with a gastroenterologist or hepatologist.</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hideMark/>
          </w:tcPr>
          <w:p w:rsidR="00F116C2" w:rsidRDefault="004F0556">
            <w:pPr>
              <w:widowControl/>
              <w:rPr>
                <w:rFonts w:ascii="Arial Narrow" w:hAnsi="Arial Narrow" w:cs="Calibri"/>
                <w:b/>
                <w:sz w:val="20"/>
                <w:szCs w:val="20"/>
              </w:rPr>
            </w:pPr>
            <w:r>
              <w:rPr>
                <w:rFonts w:ascii="Arial Narrow" w:hAnsi="Arial Narrow" w:cs="Calibri"/>
                <w:b/>
                <w:sz w:val="20"/>
                <w:szCs w:val="20"/>
              </w:rPr>
              <w:t>Clinical criteria:</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widowControl/>
              <w:jc w:val="left"/>
              <w:rPr>
                <w:rFonts w:ascii="Arial Narrow" w:hAnsi="Arial Narrow" w:cs="Calibri"/>
                <w:sz w:val="20"/>
                <w:szCs w:val="20"/>
              </w:rPr>
            </w:pPr>
            <w:r>
              <w:rPr>
                <w:rFonts w:ascii="Arial Narrow" w:hAnsi="Arial Narrow" w:cs="Calibri"/>
                <w:sz w:val="20"/>
                <w:szCs w:val="20"/>
              </w:rPr>
              <w:t>The patient must not have severe liver disease, OR</w:t>
            </w:r>
          </w:p>
          <w:p w:rsidR="00F116C2" w:rsidRDefault="004F0556">
            <w:pPr>
              <w:widowControl/>
              <w:jc w:val="left"/>
              <w:rPr>
                <w:rFonts w:ascii="Arial Narrow" w:hAnsi="Arial Narrow" w:cs="Calibri"/>
                <w:sz w:val="20"/>
                <w:szCs w:val="20"/>
              </w:rPr>
            </w:pPr>
            <w:r>
              <w:rPr>
                <w:rFonts w:ascii="Arial Narrow" w:hAnsi="Arial Narrow" w:cs="Calibri"/>
                <w:sz w:val="20"/>
                <w:szCs w:val="20"/>
              </w:rPr>
              <w:t xml:space="preserve">The patient must not have immunodeficiency diseases, </w:t>
            </w:r>
          </w:p>
          <w:p w:rsidR="00F116C2" w:rsidRDefault="004F0556">
            <w:pPr>
              <w:widowControl/>
              <w:jc w:val="left"/>
              <w:rPr>
                <w:rFonts w:ascii="Arial Narrow" w:hAnsi="Arial Narrow" w:cs="Calibri"/>
                <w:sz w:val="20"/>
                <w:szCs w:val="20"/>
              </w:rPr>
            </w:pPr>
            <w:r>
              <w:rPr>
                <w:rFonts w:ascii="Arial Narrow" w:hAnsi="Arial Narrow" w:cs="Calibri"/>
                <w:sz w:val="20"/>
                <w:szCs w:val="20"/>
              </w:rPr>
              <w:t>AND</w:t>
            </w:r>
          </w:p>
          <w:p w:rsidR="00F116C2" w:rsidRDefault="004F0556">
            <w:pPr>
              <w:widowControl/>
              <w:jc w:val="left"/>
              <w:rPr>
                <w:rFonts w:ascii="Arial Narrow" w:hAnsi="Arial Narrow" w:cs="Calibri"/>
                <w:sz w:val="20"/>
                <w:szCs w:val="20"/>
              </w:rPr>
            </w:pPr>
            <w:r>
              <w:rPr>
                <w:rFonts w:ascii="Arial Narrow" w:hAnsi="Arial Narrow" w:cs="Calibri"/>
                <w:sz w:val="20"/>
                <w:szCs w:val="20"/>
              </w:rPr>
              <w:t>Treatment must be in combination with ursodeoxycholic acid (UDCA) in adults with an inadequate response to UDCA, AND</w:t>
            </w:r>
          </w:p>
          <w:p w:rsidR="00F116C2" w:rsidRDefault="004F0556">
            <w:pPr>
              <w:widowControl/>
              <w:jc w:val="left"/>
              <w:rPr>
                <w:rFonts w:ascii="Arial Narrow" w:hAnsi="Arial Narrow" w:cs="Calibri"/>
                <w:sz w:val="20"/>
                <w:szCs w:val="20"/>
              </w:rPr>
            </w:pPr>
            <w:r>
              <w:rPr>
                <w:rFonts w:ascii="Arial Narrow" w:hAnsi="Arial Narrow" w:cs="Calibri"/>
                <w:sz w:val="20"/>
                <w:szCs w:val="20"/>
              </w:rPr>
              <w:t xml:space="preserve">The patient must have an alkaline phosphatase (ALP) </w:t>
            </w:r>
            <w:r>
              <w:rPr>
                <w:rFonts w:ascii="Arial Narrow" w:hAnsi="Arial Narrow" w:cs="Calibri"/>
                <w:i/>
                <w:sz w:val="20"/>
                <w:szCs w:val="20"/>
              </w:rPr>
              <w:t>of</w:t>
            </w:r>
            <w:r>
              <w:rPr>
                <w:rFonts w:ascii="Arial Narrow" w:hAnsi="Arial Narrow" w:cs="Calibri"/>
                <w:sz w:val="20"/>
                <w:szCs w:val="20"/>
              </w:rPr>
              <w:t xml:space="preserve"> greater than or equal to 1.67 times the upper limit of normal (ULN), AND/OR</w:t>
            </w:r>
          </w:p>
          <w:p w:rsidR="00F116C2" w:rsidRDefault="004F0556">
            <w:pPr>
              <w:widowControl/>
              <w:jc w:val="left"/>
              <w:rPr>
                <w:rFonts w:ascii="Arial Narrow" w:hAnsi="Arial Narrow" w:cs="Calibri"/>
                <w:sz w:val="20"/>
                <w:szCs w:val="20"/>
              </w:rPr>
            </w:pPr>
            <w:r>
              <w:rPr>
                <w:rFonts w:ascii="Arial Narrow" w:hAnsi="Arial Narrow" w:cs="Calibri"/>
                <w:sz w:val="20"/>
                <w:szCs w:val="20"/>
              </w:rPr>
              <w:t xml:space="preserve">The patient must have a total bilirubin greater than the ULN, but less than 2 times the ULN, </w:t>
            </w:r>
          </w:p>
          <w:p w:rsidR="00F116C2" w:rsidRDefault="004F0556">
            <w:pPr>
              <w:widowControl/>
              <w:jc w:val="left"/>
              <w:rPr>
                <w:rFonts w:ascii="Arial Narrow" w:hAnsi="Arial Narrow" w:cs="Calibri"/>
                <w:sz w:val="20"/>
                <w:szCs w:val="20"/>
              </w:rPr>
            </w:pPr>
            <w:r>
              <w:rPr>
                <w:rFonts w:ascii="Arial Narrow" w:hAnsi="Arial Narrow" w:cs="Calibri"/>
                <w:sz w:val="20"/>
                <w:szCs w:val="20"/>
              </w:rPr>
              <w:t>OR</w:t>
            </w:r>
          </w:p>
          <w:p w:rsidR="00F116C2" w:rsidRDefault="004F0556">
            <w:pPr>
              <w:widowControl/>
              <w:jc w:val="left"/>
              <w:rPr>
                <w:lang w:eastAsia="en-AU"/>
              </w:rPr>
            </w:pPr>
            <w:r>
              <w:rPr>
                <w:rFonts w:ascii="Arial Narrow" w:hAnsi="Arial Narrow" w:cs="Calibri"/>
                <w:sz w:val="20"/>
                <w:szCs w:val="20"/>
              </w:rPr>
              <w:t>Treatment must be as monotherapy in adults unable to tolerate UDCA</w:t>
            </w:r>
            <w:r>
              <w:rPr>
                <w:rFonts w:ascii="Arial Narrow" w:hAnsi="Arial Narrow" w:cs="Calibri"/>
                <w:strike/>
                <w:sz w:val="20"/>
                <w:szCs w:val="20"/>
              </w:rPr>
              <w:t>, AND Patients must be intolerant to UDCA therapy</w:t>
            </w:r>
            <w:r>
              <w:rPr>
                <w:rFonts w:ascii="Arial Narrow" w:hAnsi="Arial Narrow" w:cs="Calibri"/>
                <w:sz w:val="20"/>
                <w:szCs w:val="20"/>
              </w:rPr>
              <w:t xml:space="preserve"> due to severe side effects.</w:t>
            </w:r>
            <w:r>
              <w:rPr>
                <w:rFonts w:ascii="Arial Narrow" w:hAnsi="Arial Narrow" w:cs="Calibri"/>
                <w:strike/>
                <w:sz w:val="20"/>
                <w:szCs w:val="20"/>
              </w:rPr>
              <w:t>, most likely diarrhoea (3%) or very low-incident events including upper abdominal pain, decompensation of hepatic cirrhosis, calcification of gallstones, allergic reactions or urticaria with rates of ≤1 in 10,000 patients</w:t>
            </w:r>
            <w:r>
              <w:rPr>
                <w:rFonts w:cs="Calibri"/>
                <w:szCs w:val="20"/>
              </w:rPr>
              <w:t xml:space="preserve"> </w:t>
            </w:r>
          </w:p>
        </w:tc>
      </w:tr>
      <w:tr w:rsidR="00F116C2">
        <w:tblPrEx>
          <w:tblCellMar>
            <w:left w:w="108" w:type="dxa"/>
            <w:right w:w="108" w:type="dxa"/>
          </w:tblCellMar>
        </w:tblPrEx>
        <w:trPr>
          <w:cantSplit/>
          <w:trHeight w:val="360"/>
        </w:trPr>
        <w:tc>
          <w:tcPr>
            <w:tcW w:w="873" w:type="pct"/>
            <w:tcBorders>
              <w:top w:val="single" w:sz="4" w:space="0" w:color="auto"/>
              <w:left w:val="single" w:sz="4" w:space="0" w:color="auto"/>
              <w:bottom w:val="single" w:sz="4" w:space="0" w:color="auto"/>
              <w:right w:val="single" w:sz="4" w:space="0" w:color="auto"/>
            </w:tcBorders>
            <w:tcMar>
              <w:left w:w="28" w:type="dxa"/>
              <w:right w:w="28" w:type="dxa"/>
            </w:tcMar>
          </w:tcPr>
          <w:p w:rsidR="00F116C2" w:rsidRDefault="004F0556">
            <w:pPr>
              <w:widowControl/>
              <w:rPr>
                <w:rFonts w:ascii="Arial Narrow" w:hAnsi="Arial Narrow" w:cs="Calibri"/>
                <w:b/>
                <w:sz w:val="20"/>
                <w:szCs w:val="20"/>
              </w:rPr>
            </w:pPr>
            <w:r>
              <w:rPr>
                <w:rFonts w:ascii="Arial Narrow" w:hAnsi="Arial Narrow" w:cs="Calibri"/>
                <w:b/>
                <w:sz w:val="20"/>
                <w:szCs w:val="20"/>
              </w:rPr>
              <w:t>Prescriber advice:</w:t>
            </w:r>
          </w:p>
        </w:tc>
        <w:tc>
          <w:tcPr>
            <w:tcW w:w="4127" w:type="pct"/>
            <w:gridSpan w:val="6"/>
            <w:tcBorders>
              <w:top w:val="single" w:sz="4" w:space="0" w:color="auto"/>
              <w:left w:val="single" w:sz="4" w:space="0" w:color="auto"/>
              <w:bottom w:val="single" w:sz="4" w:space="0" w:color="auto"/>
              <w:right w:val="single" w:sz="4" w:space="0" w:color="auto"/>
            </w:tcBorders>
            <w:tcMar>
              <w:left w:w="28" w:type="dxa"/>
              <w:right w:w="28" w:type="dxa"/>
            </w:tcMar>
          </w:tcPr>
          <w:p w:rsidR="00F116C2" w:rsidRDefault="004F0556">
            <w:pPr>
              <w:widowControl/>
              <w:rPr>
                <w:rFonts w:ascii="Arial Narrow" w:hAnsi="Arial Narrow" w:cs="Calibri"/>
                <w:i/>
                <w:sz w:val="20"/>
                <w:szCs w:val="20"/>
              </w:rPr>
            </w:pPr>
            <w:r>
              <w:rPr>
                <w:rFonts w:ascii="Arial Narrow" w:hAnsi="Arial Narrow" w:cs="Calibri"/>
                <w:i/>
                <w:sz w:val="20"/>
                <w:szCs w:val="20"/>
              </w:rPr>
              <w:t>Severe side effects of UDCA therapy include diarrhoea, upper abdominal pain, decompensation of hepatic cirrhosis, calcification of gallstones, allergic reactions or urticarial.</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73" w:type="pct"/>
            <w:tcBorders>
              <w:top w:val="single" w:sz="4" w:space="0" w:color="auto"/>
              <w:left w:val="single" w:sz="4" w:space="0" w:color="auto"/>
              <w:bottom w:val="single" w:sz="4" w:space="0" w:color="auto"/>
              <w:right w:val="single" w:sz="4" w:space="0" w:color="auto"/>
            </w:tcBorders>
          </w:tcPr>
          <w:p w:rsidR="00F116C2" w:rsidRDefault="004F0556">
            <w:pPr>
              <w:widowControl/>
              <w:rPr>
                <w:rFonts w:ascii="Arial Narrow" w:hAnsi="Arial Narrow" w:cstheme="minorHAnsi"/>
                <w:b/>
                <w:sz w:val="20"/>
                <w:szCs w:val="20"/>
              </w:rPr>
            </w:pPr>
            <w:r>
              <w:rPr>
                <w:rFonts w:ascii="Arial Narrow" w:hAnsi="Arial Narrow" w:cstheme="minorHAnsi"/>
                <w:b/>
                <w:sz w:val="20"/>
                <w:szCs w:val="20"/>
              </w:rPr>
              <w:t>Administrative Advice:</w:t>
            </w:r>
          </w:p>
        </w:tc>
        <w:tc>
          <w:tcPr>
            <w:tcW w:w="4127" w:type="pct"/>
            <w:gridSpan w:val="6"/>
            <w:tcBorders>
              <w:top w:val="single" w:sz="4" w:space="0" w:color="auto"/>
              <w:left w:val="single" w:sz="4" w:space="0" w:color="auto"/>
              <w:bottom w:val="single" w:sz="4" w:space="0" w:color="auto"/>
              <w:right w:val="single" w:sz="4" w:space="0" w:color="auto"/>
            </w:tcBorders>
          </w:tcPr>
          <w:p w:rsidR="00F116C2" w:rsidRDefault="004F0556">
            <w:pPr>
              <w:widowControl/>
              <w:rPr>
                <w:rFonts w:ascii="Arial Narrow" w:hAnsi="Arial Narrow" w:cstheme="minorHAnsi"/>
                <w:sz w:val="20"/>
                <w:szCs w:val="20"/>
              </w:rPr>
            </w:pPr>
            <w:r>
              <w:rPr>
                <w:rFonts w:ascii="Arial Narrow" w:hAnsi="Arial Narrow" w:cstheme="minorHAnsi"/>
                <w:sz w:val="20"/>
                <w:szCs w:val="20"/>
              </w:rPr>
              <w:t>Not for use in the treatment of sclerosing cholangitis or cholelithiasis.</w:t>
            </w:r>
          </w:p>
          <w:p w:rsidR="00F116C2" w:rsidRDefault="004F0556">
            <w:pPr>
              <w:pStyle w:val="Tabletext"/>
              <w:rPr>
                <w:color w:val="000000"/>
                <w:szCs w:val="24"/>
                <w:lang w:eastAsia="en-AU"/>
              </w:rPr>
            </w:pPr>
            <w:r>
              <w:rPr>
                <w:rFonts w:cstheme="minorHAnsi"/>
                <w:szCs w:val="20"/>
              </w:rPr>
              <w:t>Special pricing arrangements apply</w:t>
            </w:r>
          </w:p>
        </w:tc>
      </w:tr>
    </w:tbl>
    <w:p w:rsidR="00F116C2" w:rsidRDefault="004F0556">
      <w:pPr>
        <w:pStyle w:val="TableFooter"/>
        <w:widowControl/>
      </w:pPr>
      <w:r>
        <w:t xml:space="preserve">Source: Table 1.4.2, p54 of the resubmission </w:t>
      </w:r>
    </w:p>
    <w:p w:rsidR="00F116C2" w:rsidRDefault="00F116C2">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8"/>
        <w:gridCol w:w="7429"/>
      </w:tblGrid>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vAlign w:val="center"/>
            <w:hideMark/>
          </w:tcPr>
          <w:p w:rsidR="00F116C2" w:rsidRDefault="004F0556">
            <w:pPr>
              <w:pStyle w:val="Tabletext"/>
              <w:keepNext/>
              <w:rPr>
                <w:b/>
                <w:lang w:eastAsia="en-AU"/>
              </w:rPr>
            </w:pPr>
            <w:r>
              <w:rPr>
                <w:rFonts w:cstheme="minorHAnsi"/>
                <w:b/>
                <w:szCs w:val="20"/>
              </w:rPr>
              <w:t>Category/Program:</w:t>
            </w:r>
          </w:p>
        </w:tc>
        <w:tc>
          <w:tcPr>
            <w:tcW w:w="7495" w:type="dxa"/>
            <w:tcBorders>
              <w:top w:val="single" w:sz="4" w:space="0" w:color="auto"/>
              <w:left w:val="single" w:sz="4" w:space="0" w:color="auto"/>
              <w:bottom w:val="single" w:sz="4" w:space="0" w:color="auto"/>
              <w:right w:val="single" w:sz="4" w:space="0" w:color="auto"/>
            </w:tcBorders>
            <w:vAlign w:val="center"/>
          </w:tcPr>
          <w:p w:rsidR="00F116C2" w:rsidRDefault="004F0556">
            <w:pPr>
              <w:pStyle w:val="Tabletext"/>
              <w:keepNext/>
              <w:rPr>
                <w:lang w:eastAsia="en-AU"/>
              </w:rPr>
            </w:pPr>
            <w:r>
              <w:rPr>
                <w:rFonts w:cstheme="minorHAnsi"/>
                <w:szCs w:val="20"/>
              </w:rPr>
              <w:t>Section 85 (General Schedule)</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vAlign w:val="center"/>
            <w:hideMark/>
          </w:tcPr>
          <w:p w:rsidR="00F116C2" w:rsidRDefault="004F0556">
            <w:pPr>
              <w:pStyle w:val="Tabletext"/>
              <w:keepNext/>
              <w:rPr>
                <w:b/>
                <w:lang w:eastAsia="en-AU"/>
              </w:rPr>
            </w:pPr>
            <w:r>
              <w:rPr>
                <w:rFonts w:cstheme="minorHAnsi"/>
                <w:b/>
                <w:szCs w:val="20"/>
              </w:rPr>
              <w:t>Prescriber type:</w:t>
            </w:r>
          </w:p>
        </w:tc>
        <w:tc>
          <w:tcPr>
            <w:tcW w:w="7495" w:type="dxa"/>
            <w:tcBorders>
              <w:top w:val="single" w:sz="4" w:space="0" w:color="auto"/>
              <w:left w:val="single" w:sz="4" w:space="0" w:color="auto"/>
              <w:bottom w:val="single" w:sz="4" w:space="0" w:color="auto"/>
              <w:right w:val="single" w:sz="4" w:space="0" w:color="auto"/>
            </w:tcBorders>
            <w:vAlign w:val="center"/>
          </w:tcPr>
          <w:p w:rsidR="00F116C2" w:rsidRDefault="004F0556">
            <w:pPr>
              <w:pStyle w:val="Tabletext"/>
              <w:keepNext/>
              <w:rPr>
                <w:lang w:eastAsia="en-AU"/>
              </w:rPr>
            </w:pPr>
            <w:r>
              <w:rPr>
                <w:rFonts w:cstheme="minorHAnsi"/>
                <w:szCs w:val="20"/>
              </w:rPr>
              <w:fldChar w:fldCharType="begin">
                <w:ffData>
                  <w:name w:val=""/>
                  <w:enabled/>
                  <w:calcOnExit w:val="0"/>
                  <w:checkBox>
                    <w:sizeAuto/>
                    <w:default w:val="0"/>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Dental  </w:t>
            </w:r>
            <w:r>
              <w:rPr>
                <w:rFonts w:cstheme="minorHAnsi"/>
                <w:szCs w:val="20"/>
              </w:rPr>
              <w:fldChar w:fldCharType="begin">
                <w:ffData>
                  <w:name w:val=""/>
                  <w:enabled/>
                  <w:calcOnExit w:val="0"/>
                  <w:checkBox>
                    <w:sizeAuto/>
                    <w:default w:val="1"/>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Medical Practitioners  </w:t>
            </w:r>
            <w:r>
              <w:rPr>
                <w:rFonts w:cstheme="minorHAnsi"/>
                <w:szCs w:val="20"/>
              </w:rPr>
              <w:fldChar w:fldCharType="begin">
                <w:ffData>
                  <w:name w:val="Check3"/>
                  <w:enabled/>
                  <w:calcOnExit w:val="0"/>
                  <w:checkBox>
                    <w:sizeAuto/>
                    <w:default w:val="1"/>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Nurse practitioners  </w:t>
            </w:r>
            <w:r>
              <w:rPr>
                <w:rFonts w:cstheme="minorHAnsi"/>
                <w:szCs w:val="20"/>
              </w:rPr>
              <w:fldChar w:fldCharType="begin">
                <w:ffData>
                  <w:name w:val=""/>
                  <w:enabled/>
                  <w:calcOnExit w:val="0"/>
                  <w:checkBox>
                    <w:sizeAuto/>
                    <w:default w:val="0"/>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Optometrists </w:t>
            </w:r>
            <w:r>
              <w:rPr>
                <w:rFonts w:cstheme="minorHAnsi"/>
                <w:szCs w:val="20"/>
              </w:rPr>
              <w:fldChar w:fldCharType="begin">
                <w:ffData>
                  <w:name w:val="Check5"/>
                  <w:enabled/>
                  <w:calcOnExit w:val="0"/>
                  <w:checkBox>
                    <w:sizeAuto/>
                    <w:default w:val="0"/>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Midwives</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keepNext/>
              <w:rPr>
                <w:b/>
                <w:lang w:eastAsia="en-AU"/>
              </w:rPr>
            </w:pPr>
            <w:r>
              <w:rPr>
                <w:rFonts w:cstheme="minorHAnsi"/>
                <w:b/>
                <w:szCs w:val="20"/>
              </w:rPr>
              <w:t>Condition:</w:t>
            </w:r>
          </w:p>
        </w:tc>
        <w:tc>
          <w:tcPr>
            <w:tcW w:w="7495" w:type="dxa"/>
            <w:tcBorders>
              <w:top w:val="single" w:sz="4" w:space="0" w:color="auto"/>
              <w:left w:val="single" w:sz="4" w:space="0" w:color="auto"/>
              <w:bottom w:val="single" w:sz="4" w:space="0" w:color="auto"/>
              <w:right w:val="single" w:sz="4" w:space="0" w:color="auto"/>
            </w:tcBorders>
          </w:tcPr>
          <w:p w:rsidR="00F116C2" w:rsidRDefault="004F0556">
            <w:pPr>
              <w:pStyle w:val="Tabletext"/>
              <w:keepNext/>
              <w:rPr>
                <w:lang w:eastAsia="en-AU"/>
              </w:rPr>
            </w:pPr>
            <w:r>
              <w:rPr>
                <w:rFonts w:cstheme="minorHAnsi"/>
                <w:szCs w:val="20"/>
              </w:rPr>
              <w:t xml:space="preserve">Primary biliary cholangitis </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keepNext/>
              <w:rPr>
                <w:b/>
                <w:lang w:eastAsia="en-AU"/>
              </w:rPr>
            </w:pPr>
            <w:r>
              <w:rPr>
                <w:rFonts w:cstheme="minorHAnsi"/>
                <w:b/>
                <w:szCs w:val="20"/>
              </w:rPr>
              <w:t>PBS Indication:</w:t>
            </w:r>
          </w:p>
        </w:tc>
        <w:tc>
          <w:tcPr>
            <w:tcW w:w="7495" w:type="dxa"/>
            <w:tcBorders>
              <w:top w:val="single" w:sz="4" w:space="0" w:color="auto"/>
              <w:left w:val="single" w:sz="4" w:space="0" w:color="auto"/>
              <w:bottom w:val="single" w:sz="4" w:space="0" w:color="auto"/>
              <w:right w:val="single" w:sz="4" w:space="0" w:color="auto"/>
            </w:tcBorders>
          </w:tcPr>
          <w:p w:rsidR="00F116C2" w:rsidRDefault="004F0556">
            <w:pPr>
              <w:pStyle w:val="Tabletext"/>
              <w:keepNext/>
              <w:rPr>
                <w:lang w:eastAsia="en-AU"/>
              </w:rPr>
            </w:pPr>
            <w:r>
              <w:rPr>
                <w:rFonts w:cstheme="minorHAnsi"/>
                <w:szCs w:val="20"/>
              </w:rPr>
              <w:t>Primary biliary cholangitis</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theme="minorHAnsi"/>
                <w:b/>
                <w:szCs w:val="20"/>
              </w:rPr>
              <w:t>Treatment phase:</w:t>
            </w:r>
          </w:p>
        </w:tc>
        <w:tc>
          <w:tcPr>
            <w:tcW w:w="7495" w:type="dxa"/>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theme="minorHAnsi"/>
                <w:szCs w:val="20"/>
              </w:rPr>
              <w:t xml:space="preserve">Continuing treatment  </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theme="minorHAnsi"/>
                <w:b/>
                <w:szCs w:val="20"/>
              </w:rPr>
              <w:t>Restriction:</w:t>
            </w:r>
          </w:p>
        </w:tc>
        <w:tc>
          <w:tcPr>
            <w:tcW w:w="7495" w:type="dxa"/>
            <w:tcBorders>
              <w:top w:val="single" w:sz="4" w:space="0" w:color="auto"/>
              <w:left w:val="single" w:sz="4" w:space="0" w:color="auto"/>
              <w:bottom w:val="single" w:sz="4" w:space="0" w:color="auto"/>
              <w:right w:val="single" w:sz="4" w:space="0" w:color="auto"/>
            </w:tcBorders>
          </w:tcPr>
          <w:p w:rsidR="00F116C2" w:rsidRDefault="004F0556">
            <w:pPr>
              <w:pStyle w:val="Tabletext"/>
              <w:rPr>
                <w:rFonts w:cstheme="minorHAnsi"/>
                <w:i/>
                <w:szCs w:val="20"/>
              </w:rPr>
            </w:pPr>
            <w:r>
              <w:rPr>
                <w:rFonts w:cstheme="minorHAnsi"/>
                <w:i/>
                <w:szCs w:val="20"/>
              </w:rPr>
              <w:fldChar w:fldCharType="begin">
                <w:ffData>
                  <w:name w:val="Check5"/>
                  <w:enabled/>
                  <w:calcOnExit w:val="0"/>
                  <w:checkBox>
                    <w:sizeAuto/>
                    <w:default w:val="1"/>
                  </w:checkBox>
                </w:ffData>
              </w:fldChar>
            </w:r>
            <w:r>
              <w:rPr>
                <w:rFonts w:cstheme="minorHAnsi"/>
                <w:i/>
                <w:szCs w:val="20"/>
              </w:rPr>
              <w:instrText xml:space="preserve"> FORMCHECKBOX </w:instrText>
            </w:r>
            <w:r w:rsidR="00E5768D">
              <w:rPr>
                <w:rFonts w:cstheme="minorHAnsi"/>
                <w:i/>
                <w:szCs w:val="20"/>
              </w:rPr>
            </w:r>
            <w:r w:rsidR="00E5768D">
              <w:rPr>
                <w:rFonts w:cstheme="minorHAnsi"/>
                <w:i/>
                <w:szCs w:val="20"/>
              </w:rPr>
              <w:fldChar w:fldCharType="separate"/>
            </w:r>
            <w:r>
              <w:rPr>
                <w:rFonts w:cstheme="minorHAnsi"/>
                <w:i/>
                <w:szCs w:val="20"/>
              </w:rPr>
              <w:fldChar w:fldCharType="end"/>
            </w:r>
            <w:r>
              <w:rPr>
                <w:rFonts w:cstheme="minorHAnsi"/>
                <w:i/>
                <w:szCs w:val="20"/>
              </w:rPr>
              <w:t xml:space="preserve"> Authority Required (telephone)</w:t>
            </w:r>
          </w:p>
          <w:p w:rsidR="00F116C2" w:rsidRDefault="004F0556">
            <w:pPr>
              <w:pStyle w:val="Tabletext"/>
              <w:rPr>
                <w:strike/>
                <w:lang w:eastAsia="en-AU"/>
              </w:rPr>
            </w:pPr>
            <w:r>
              <w:rPr>
                <w:rFonts w:cstheme="minorHAnsi"/>
                <w:strike/>
                <w:szCs w:val="20"/>
              </w:rPr>
              <w:fldChar w:fldCharType="begin">
                <w:ffData>
                  <w:name w:val="Check5"/>
                  <w:enabled/>
                  <w:calcOnExit w:val="0"/>
                  <w:checkBox>
                    <w:sizeAuto/>
                    <w:default w:val="1"/>
                  </w:checkBox>
                </w:ffData>
              </w:fldChar>
            </w:r>
            <w:r>
              <w:rPr>
                <w:rFonts w:cstheme="minorHAnsi"/>
                <w:strike/>
                <w:szCs w:val="20"/>
              </w:rPr>
              <w:instrText xml:space="preserve"> FORMCHECKBOX </w:instrText>
            </w:r>
            <w:r w:rsidR="00E5768D">
              <w:rPr>
                <w:rFonts w:cstheme="minorHAnsi"/>
                <w:strike/>
                <w:szCs w:val="20"/>
              </w:rPr>
            </w:r>
            <w:r w:rsidR="00E5768D">
              <w:rPr>
                <w:rFonts w:cstheme="minorHAnsi"/>
                <w:strike/>
                <w:szCs w:val="20"/>
              </w:rPr>
              <w:fldChar w:fldCharType="separate"/>
            </w:r>
            <w:r>
              <w:rPr>
                <w:rFonts w:cstheme="minorHAnsi"/>
                <w:strike/>
                <w:szCs w:val="20"/>
              </w:rPr>
              <w:fldChar w:fldCharType="end"/>
            </w:r>
            <w:r>
              <w:rPr>
                <w:rFonts w:cstheme="minorHAnsi"/>
                <w:strike/>
                <w:szCs w:val="20"/>
              </w:rPr>
              <w:t xml:space="preserve"> Authority Required (streamlined)</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tcPr>
          <w:p w:rsidR="00F116C2" w:rsidRDefault="004F0556">
            <w:pPr>
              <w:pStyle w:val="Tabletext"/>
              <w:rPr>
                <w:b/>
                <w:lang w:eastAsia="en-AU"/>
              </w:rPr>
            </w:pPr>
            <w:r>
              <w:rPr>
                <w:rFonts w:cstheme="minorHAnsi"/>
                <w:b/>
                <w:szCs w:val="20"/>
              </w:rPr>
              <w:t>Treatment criteria:</w:t>
            </w:r>
          </w:p>
        </w:tc>
        <w:tc>
          <w:tcPr>
            <w:tcW w:w="7495" w:type="dxa"/>
            <w:tcBorders>
              <w:top w:val="single" w:sz="4" w:space="0" w:color="auto"/>
              <w:left w:val="single" w:sz="4" w:space="0" w:color="auto"/>
              <w:bottom w:val="single" w:sz="4" w:space="0" w:color="auto"/>
              <w:right w:val="single" w:sz="4" w:space="0" w:color="auto"/>
            </w:tcBorders>
          </w:tcPr>
          <w:p w:rsidR="00F116C2" w:rsidRDefault="004F0556">
            <w:pPr>
              <w:pStyle w:val="Tabletext"/>
              <w:rPr>
                <w:color w:val="000000"/>
                <w:szCs w:val="24"/>
                <w:lang w:eastAsia="en-AU"/>
              </w:rPr>
            </w:pPr>
            <w:r>
              <w:rPr>
                <w:rFonts w:cs="Calibri"/>
                <w:szCs w:val="20"/>
              </w:rPr>
              <w:t>The patient must be treated by a gastroenterologist or hepatologist or in consultation with a gastroenterologist or hepatologist.</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theme="minorHAnsi"/>
                <w:b/>
                <w:szCs w:val="20"/>
              </w:rPr>
              <w:lastRenderedPageBreak/>
              <w:t>Clinical criteria:</w:t>
            </w:r>
          </w:p>
        </w:tc>
        <w:tc>
          <w:tcPr>
            <w:tcW w:w="7495" w:type="dxa"/>
            <w:tcBorders>
              <w:top w:val="single" w:sz="4" w:space="0" w:color="auto"/>
              <w:left w:val="single" w:sz="4" w:space="0" w:color="auto"/>
              <w:bottom w:val="single" w:sz="4" w:space="0" w:color="auto"/>
              <w:right w:val="single" w:sz="4" w:space="0" w:color="auto"/>
            </w:tcBorders>
          </w:tcPr>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 xml:space="preserve">The patient must have previously been issued with an authority prescription for this drug for this condition, </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AND</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 xml:space="preserve">The patient must have adequately tolerated 5 mg dose </w:t>
            </w:r>
            <w:r>
              <w:rPr>
                <w:rFonts w:ascii="Arial Narrow" w:hAnsi="Arial Narrow" w:cstheme="minorHAnsi"/>
                <w:i/>
                <w:sz w:val="20"/>
                <w:szCs w:val="20"/>
              </w:rPr>
              <w:t>at 6 months assessment</w:t>
            </w:r>
            <w:r>
              <w:rPr>
                <w:rFonts w:ascii="Arial Narrow" w:hAnsi="Arial Narrow" w:cstheme="minorHAnsi"/>
                <w:sz w:val="20"/>
                <w:szCs w:val="20"/>
              </w:rPr>
              <w:t xml:space="preserve">, </w:t>
            </w:r>
            <w:r>
              <w:rPr>
                <w:rFonts w:ascii="Arial Narrow" w:hAnsi="Arial Narrow" w:cstheme="minorHAnsi"/>
                <w:strike/>
                <w:sz w:val="20"/>
                <w:szCs w:val="20"/>
              </w:rPr>
              <w:t>AND</w:t>
            </w:r>
            <w:r>
              <w:rPr>
                <w:rFonts w:ascii="Arial Narrow" w:hAnsi="Arial Narrow" w:cstheme="minorHAnsi"/>
                <w:sz w:val="20"/>
                <w:szCs w:val="20"/>
              </w:rPr>
              <w:t xml:space="preserve"> OR</w:t>
            </w:r>
          </w:p>
          <w:p w:rsidR="00F116C2" w:rsidRDefault="004F0556">
            <w:pPr>
              <w:pStyle w:val="Tabletext"/>
              <w:rPr>
                <w:rFonts w:cstheme="minorHAnsi"/>
                <w:szCs w:val="20"/>
              </w:rPr>
            </w:pPr>
            <w:r>
              <w:rPr>
                <w:rFonts w:cstheme="minorHAnsi"/>
                <w:szCs w:val="20"/>
              </w:rPr>
              <w:t xml:space="preserve">The patient must have achieved an adequate response to 5 mg </w:t>
            </w:r>
            <w:r>
              <w:rPr>
                <w:rFonts w:cstheme="minorHAnsi"/>
                <w:i/>
                <w:szCs w:val="20"/>
              </w:rPr>
              <w:t>at 12 months assessment</w:t>
            </w:r>
            <w:r>
              <w:rPr>
                <w:rFonts w:cstheme="minorHAnsi"/>
                <w:szCs w:val="20"/>
              </w:rPr>
              <w:t xml:space="preserve"> as defined </w:t>
            </w:r>
            <w:r>
              <w:rPr>
                <w:rFonts w:cstheme="minorHAnsi"/>
                <w:strike/>
                <w:szCs w:val="20"/>
              </w:rPr>
              <w:t>by the following criteria</w:t>
            </w:r>
            <w:r>
              <w:rPr>
                <w:rFonts w:cstheme="minorHAnsi"/>
                <w:szCs w:val="20"/>
              </w:rPr>
              <w:t xml:space="preserve"> </w:t>
            </w:r>
            <w:r>
              <w:rPr>
                <w:rFonts w:cstheme="minorHAnsi"/>
                <w:i/>
                <w:szCs w:val="20"/>
              </w:rPr>
              <w:t>as an</w:t>
            </w:r>
            <w:r>
              <w:rPr>
                <w:rFonts w:cstheme="minorHAnsi"/>
                <w:szCs w:val="20"/>
              </w:rPr>
              <w:t xml:space="preserve"> ALP &lt; 1.67x ULN with ≥ 15% decrease from baseline in ALP and total bilirubin &lt; ULN,</w:t>
            </w:r>
          </w:p>
          <w:p w:rsidR="00F116C2" w:rsidRDefault="004F0556">
            <w:pPr>
              <w:widowControl/>
              <w:rPr>
                <w:rFonts w:ascii="Arial Narrow" w:hAnsi="Arial Narrow" w:cstheme="minorHAnsi"/>
                <w:i/>
                <w:sz w:val="20"/>
                <w:szCs w:val="20"/>
              </w:rPr>
            </w:pPr>
            <w:r>
              <w:rPr>
                <w:rFonts w:ascii="Arial Narrow" w:hAnsi="Arial Narrow" w:cstheme="minorHAnsi"/>
                <w:i/>
                <w:sz w:val="20"/>
                <w:szCs w:val="20"/>
              </w:rPr>
              <w:t xml:space="preserve">AND </w:t>
            </w:r>
          </w:p>
          <w:p w:rsidR="00F116C2" w:rsidRDefault="004F0556">
            <w:pPr>
              <w:widowControl/>
              <w:rPr>
                <w:rFonts w:ascii="Arial Narrow" w:hAnsi="Arial Narrow" w:cstheme="minorHAnsi"/>
                <w:i/>
                <w:sz w:val="20"/>
                <w:szCs w:val="20"/>
              </w:rPr>
            </w:pPr>
            <w:r>
              <w:rPr>
                <w:rFonts w:ascii="Arial Narrow" w:hAnsi="Arial Narrow" w:cstheme="minorHAnsi"/>
                <w:i/>
                <w:sz w:val="20"/>
                <w:szCs w:val="20"/>
              </w:rPr>
              <w:t>Patient must continue to achieve an adequate response at yearly assessments,</w:t>
            </w:r>
          </w:p>
          <w:p w:rsidR="00F116C2" w:rsidRDefault="004F0556">
            <w:pPr>
              <w:widowControl/>
              <w:rPr>
                <w:rFonts w:ascii="Arial Narrow" w:hAnsi="Arial Narrow" w:cstheme="minorHAnsi"/>
                <w:i/>
                <w:sz w:val="20"/>
                <w:szCs w:val="20"/>
              </w:rPr>
            </w:pPr>
            <w:r>
              <w:rPr>
                <w:rFonts w:ascii="Arial Narrow" w:hAnsi="Arial Narrow" w:cstheme="minorHAnsi"/>
                <w:i/>
                <w:sz w:val="20"/>
                <w:szCs w:val="20"/>
              </w:rPr>
              <w:t>AND</w:t>
            </w:r>
          </w:p>
          <w:p w:rsidR="00F116C2" w:rsidRDefault="004F0556">
            <w:pPr>
              <w:pStyle w:val="Tabletext"/>
              <w:rPr>
                <w:color w:val="000000"/>
                <w:szCs w:val="24"/>
                <w:lang w:eastAsia="en-AU"/>
              </w:rPr>
            </w:pPr>
            <w:r>
              <w:rPr>
                <w:rFonts w:cstheme="minorHAnsi"/>
                <w:i/>
                <w:szCs w:val="20"/>
              </w:rPr>
              <w:t>Patient must not have developed decompensated cirrhosis or hepatocellular cancer</w:t>
            </w:r>
            <w:r>
              <w:rPr>
                <w:rFonts w:cstheme="minorHAnsi"/>
                <w:szCs w:val="20"/>
              </w:rPr>
              <w:t>.</w:t>
            </w:r>
          </w:p>
        </w:tc>
      </w:tr>
      <w:tr w:rsidR="00F116C2">
        <w:trPr>
          <w:cantSplit/>
          <w:trHeight w:val="20"/>
        </w:trPr>
        <w:tc>
          <w:tcPr>
            <w:tcW w:w="1588" w:type="dxa"/>
            <w:tcBorders>
              <w:top w:val="single" w:sz="4" w:space="0" w:color="auto"/>
              <w:left w:val="single" w:sz="4" w:space="0" w:color="auto"/>
              <w:bottom w:val="single" w:sz="4" w:space="0" w:color="auto"/>
              <w:right w:val="single" w:sz="4" w:space="0" w:color="auto"/>
            </w:tcBorders>
          </w:tcPr>
          <w:p w:rsidR="00F116C2" w:rsidRDefault="004F0556">
            <w:pPr>
              <w:widowControl/>
              <w:rPr>
                <w:rFonts w:ascii="Arial Narrow" w:hAnsi="Arial Narrow" w:cstheme="minorHAnsi"/>
                <w:b/>
                <w:sz w:val="20"/>
                <w:szCs w:val="20"/>
              </w:rPr>
            </w:pPr>
            <w:r>
              <w:rPr>
                <w:rFonts w:ascii="Arial Narrow" w:hAnsi="Arial Narrow" w:cstheme="minorHAnsi"/>
                <w:b/>
                <w:sz w:val="20"/>
                <w:szCs w:val="20"/>
              </w:rPr>
              <w:t>Administrative Advice:</w:t>
            </w:r>
          </w:p>
        </w:tc>
        <w:tc>
          <w:tcPr>
            <w:tcW w:w="7495" w:type="dxa"/>
            <w:tcBorders>
              <w:top w:val="single" w:sz="4" w:space="0" w:color="auto"/>
              <w:left w:val="single" w:sz="4" w:space="0" w:color="auto"/>
              <w:bottom w:val="single" w:sz="4" w:space="0" w:color="auto"/>
              <w:right w:val="single" w:sz="4" w:space="0" w:color="auto"/>
            </w:tcBorders>
          </w:tcPr>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Not for use in the treatment of sclerosing cholangitis or cholelithiasis.</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Special pricing arrangements apply</w:t>
            </w:r>
          </w:p>
          <w:p w:rsidR="00F116C2" w:rsidRDefault="00F116C2">
            <w:pPr>
              <w:widowControl/>
              <w:jc w:val="left"/>
              <w:rPr>
                <w:rFonts w:ascii="Arial Narrow" w:hAnsi="Arial Narrow" w:cstheme="minorHAnsi"/>
                <w:sz w:val="20"/>
                <w:szCs w:val="20"/>
              </w:rPr>
            </w:pPr>
          </w:p>
          <w:p w:rsidR="00F116C2" w:rsidRDefault="004F0556">
            <w:pPr>
              <w:widowControl/>
              <w:jc w:val="left"/>
              <w:rPr>
                <w:rFonts w:ascii="Arial Narrow" w:hAnsi="Arial Narrow" w:cstheme="minorHAnsi"/>
                <w:sz w:val="20"/>
                <w:szCs w:val="20"/>
                <w:u w:val="single"/>
              </w:rPr>
            </w:pPr>
            <w:r>
              <w:rPr>
                <w:rFonts w:ascii="Arial Narrow" w:hAnsi="Arial Narrow" w:cstheme="minorHAnsi"/>
                <w:sz w:val="20"/>
                <w:szCs w:val="20"/>
                <w:u w:val="single"/>
              </w:rPr>
              <w:t>Note</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For prescribing by nurse practitioners as continuing therapy only, where the treatment of, and prescribing of medicine for, a patient has been initiated by a gastroenterologist or a hepatologist or in consultation with a gastroenterologist or hepatologist. Further information can be found in the Explanatory Notes for Nurse Practitioners.</w:t>
            </w:r>
          </w:p>
        </w:tc>
      </w:tr>
    </w:tbl>
    <w:p w:rsidR="00F116C2" w:rsidRDefault="004F0556">
      <w:pPr>
        <w:pStyle w:val="TableFooter"/>
        <w:widowControl/>
      </w:pPr>
      <w:r>
        <w:t xml:space="preserve">Source: Table 1.4.2, p54 of the resubmission </w:t>
      </w:r>
    </w:p>
    <w:p w:rsidR="00F116C2" w:rsidRDefault="00F116C2">
      <w:pPr>
        <w:widowControl/>
      </w:pPr>
    </w:p>
    <w:tbl>
      <w:tblPr>
        <w:tblW w:w="0" w:type="auto"/>
        <w:tblInd w:w="5" w:type="dxa"/>
        <w:tblCellMar>
          <w:left w:w="28" w:type="dxa"/>
          <w:right w:w="28" w:type="dxa"/>
        </w:tblCellMar>
        <w:tblLook w:val="0000" w:firstRow="0" w:lastRow="0" w:firstColumn="0" w:lastColumn="0" w:noHBand="0" w:noVBand="0"/>
      </w:tblPr>
      <w:tblGrid>
        <w:gridCol w:w="1587"/>
        <w:gridCol w:w="816"/>
        <w:gridCol w:w="567"/>
        <w:gridCol w:w="567"/>
        <w:gridCol w:w="1700"/>
        <w:gridCol w:w="992"/>
        <w:gridCol w:w="2793"/>
      </w:tblGrid>
      <w:tr w:rsidR="00F116C2">
        <w:trPr>
          <w:cantSplit/>
          <w:trHeight w:val="463"/>
        </w:trPr>
        <w:tc>
          <w:tcPr>
            <w:tcW w:w="2403" w:type="dxa"/>
            <w:gridSpan w:val="2"/>
            <w:tcBorders>
              <w:top w:val="single" w:sz="4" w:space="0" w:color="auto"/>
              <w:bottom w:val="single" w:sz="4" w:space="0" w:color="auto"/>
            </w:tcBorders>
            <w:vAlign w:val="center"/>
          </w:tcPr>
          <w:p w:rsidR="00F116C2" w:rsidRDefault="004F0556">
            <w:pPr>
              <w:keepNext/>
              <w:widowControl/>
              <w:jc w:val="left"/>
              <w:rPr>
                <w:rFonts w:ascii="Arial Narrow" w:hAnsi="Arial Narrow"/>
                <w:b/>
                <w:sz w:val="20"/>
              </w:rPr>
            </w:pPr>
            <w:r>
              <w:rPr>
                <w:rFonts w:ascii="Arial Narrow" w:hAnsi="Arial Narrow"/>
                <w:b/>
                <w:sz w:val="20"/>
              </w:rPr>
              <w:t>Name, Restriction, Manner of administration and form</w:t>
            </w:r>
          </w:p>
        </w:tc>
        <w:tc>
          <w:tcPr>
            <w:tcW w:w="567" w:type="dxa"/>
            <w:tcBorders>
              <w:top w:val="single" w:sz="4" w:space="0" w:color="auto"/>
              <w:bottom w:val="single" w:sz="4" w:space="0" w:color="auto"/>
            </w:tcBorders>
            <w:vAlign w:val="center"/>
          </w:tcPr>
          <w:p w:rsidR="00F116C2" w:rsidRDefault="004F0556">
            <w:pPr>
              <w:keepNext/>
              <w:widowControl/>
              <w:jc w:val="center"/>
              <w:rPr>
                <w:rFonts w:ascii="Arial Narrow" w:hAnsi="Arial Narrow"/>
                <w:b/>
                <w:sz w:val="20"/>
              </w:rPr>
            </w:pPr>
            <w:r>
              <w:rPr>
                <w:rFonts w:ascii="Arial Narrow" w:hAnsi="Arial Narrow"/>
                <w:b/>
                <w:sz w:val="20"/>
              </w:rPr>
              <w:t>Max.</w:t>
            </w:r>
          </w:p>
          <w:p w:rsidR="00F116C2" w:rsidRDefault="004F0556">
            <w:pPr>
              <w:keepNext/>
              <w:widowControl/>
              <w:jc w:val="center"/>
              <w:rPr>
                <w:rFonts w:ascii="Arial Narrow" w:hAnsi="Arial Narrow"/>
                <w:b/>
                <w:sz w:val="20"/>
              </w:rPr>
            </w:pPr>
            <w:r>
              <w:rPr>
                <w:rFonts w:ascii="Arial Narrow" w:hAnsi="Arial Narrow"/>
                <w:b/>
                <w:sz w:val="20"/>
              </w:rPr>
              <w:t>Qty</w:t>
            </w:r>
          </w:p>
        </w:tc>
        <w:tc>
          <w:tcPr>
            <w:tcW w:w="567" w:type="dxa"/>
            <w:tcBorders>
              <w:top w:val="single" w:sz="4" w:space="0" w:color="auto"/>
              <w:bottom w:val="single" w:sz="4" w:space="0" w:color="auto"/>
            </w:tcBorders>
            <w:vAlign w:val="center"/>
          </w:tcPr>
          <w:p w:rsidR="00F116C2" w:rsidRDefault="004F0556">
            <w:pPr>
              <w:keepNext/>
              <w:widowControl/>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F116C2" w:rsidRDefault="004F0556">
            <w:pPr>
              <w:keepNext/>
              <w:widowControl/>
              <w:jc w:val="center"/>
              <w:rPr>
                <w:rFonts w:ascii="Arial Narrow" w:hAnsi="Arial Narrow"/>
                <w:b/>
                <w:sz w:val="20"/>
              </w:rPr>
            </w:pPr>
            <w:r>
              <w:rPr>
                <w:rFonts w:ascii="Arial Narrow" w:hAnsi="Arial Narrow"/>
                <w:b/>
                <w:sz w:val="20"/>
              </w:rPr>
              <w:t>Rpts</w:t>
            </w:r>
          </w:p>
        </w:tc>
        <w:tc>
          <w:tcPr>
            <w:tcW w:w="1700" w:type="dxa"/>
            <w:tcBorders>
              <w:top w:val="single" w:sz="4" w:space="0" w:color="auto"/>
              <w:bottom w:val="single" w:sz="4" w:space="0" w:color="auto"/>
            </w:tcBorders>
            <w:vAlign w:val="center"/>
          </w:tcPr>
          <w:p w:rsidR="00F116C2" w:rsidRDefault="004F0556">
            <w:pPr>
              <w:keepNext/>
              <w:widowControl/>
              <w:jc w:val="center"/>
              <w:rPr>
                <w:rFonts w:ascii="Arial Narrow" w:hAnsi="Arial Narrow"/>
                <w:b/>
                <w:sz w:val="20"/>
              </w:rPr>
            </w:pPr>
            <w:r>
              <w:rPr>
                <w:rFonts w:ascii="Arial Narrow" w:hAnsi="Arial Narrow"/>
                <w:b/>
                <w:sz w:val="20"/>
              </w:rPr>
              <w:t>DPMQ</w:t>
            </w:r>
          </w:p>
        </w:tc>
        <w:tc>
          <w:tcPr>
            <w:tcW w:w="3785" w:type="dxa"/>
            <w:gridSpan w:val="2"/>
            <w:tcBorders>
              <w:top w:val="single" w:sz="4" w:space="0" w:color="auto"/>
              <w:bottom w:val="single" w:sz="4" w:space="0" w:color="auto"/>
            </w:tcBorders>
            <w:vAlign w:val="center"/>
          </w:tcPr>
          <w:p w:rsidR="00F116C2" w:rsidRDefault="004F0556">
            <w:pPr>
              <w:keepNext/>
              <w:widowControl/>
              <w:jc w:val="center"/>
              <w:rPr>
                <w:rFonts w:ascii="Arial Narrow" w:hAnsi="Arial Narrow"/>
                <w:b/>
                <w:sz w:val="20"/>
              </w:rPr>
            </w:pPr>
            <w:r>
              <w:rPr>
                <w:rFonts w:ascii="Arial Narrow" w:hAnsi="Arial Narrow"/>
                <w:b/>
                <w:sz w:val="20"/>
              </w:rPr>
              <w:t>Proprietary Name and Manufacturer</w:t>
            </w:r>
          </w:p>
        </w:tc>
      </w:tr>
      <w:tr w:rsidR="00F116C2">
        <w:trPr>
          <w:cantSplit/>
          <w:trHeight w:val="567"/>
        </w:trPr>
        <w:tc>
          <w:tcPr>
            <w:tcW w:w="2403" w:type="dxa"/>
            <w:gridSpan w:val="2"/>
            <w:vAlign w:val="center"/>
          </w:tcPr>
          <w:p w:rsidR="00F116C2" w:rsidRDefault="004F0556">
            <w:pPr>
              <w:pStyle w:val="Tabletext"/>
              <w:rPr>
                <w:rFonts w:cs="Arial"/>
                <w:smallCaps/>
                <w:snapToGrid w:val="0"/>
              </w:rPr>
            </w:pPr>
            <w:r>
              <w:rPr>
                <w:rFonts w:cs="Arial"/>
                <w:smallCaps/>
                <w:snapToGrid w:val="0"/>
              </w:rPr>
              <w:t>Obeticholic acid</w:t>
            </w:r>
          </w:p>
          <w:p w:rsidR="00F116C2" w:rsidRDefault="004F0556">
            <w:pPr>
              <w:keepNext/>
              <w:widowControl/>
              <w:jc w:val="left"/>
              <w:rPr>
                <w:rFonts w:ascii="Arial Narrow" w:hAnsi="Arial Narrow"/>
                <w:sz w:val="20"/>
              </w:rPr>
            </w:pPr>
            <w:r>
              <w:rPr>
                <w:rFonts w:ascii="Arial Narrow" w:hAnsi="Arial Narrow"/>
                <w:sz w:val="20"/>
                <w:szCs w:val="20"/>
              </w:rPr>
              <w:t>Tablet, 10 mg</w:t>
            </w:r>
          </w:p>
        </w:tc>
        <w:tc>
          <w:tcPr>
            <w:tcW w:w="567" w:type="dxa"/>
            <w:vAlign w:val="center"/>
          </w:tcPr>
          <w:p w:rsidR="00F116C2" w:rsidRDefault="004F0556">
            <w:pPr>
              <w:widowControl/>
              <w:jc w:val="center"/>
              <w:rPr>
                <w:rFonts w:ascii="Arial Narrow" w:hAnsi="Arial Narrow"/>
                <w:sz w:val="20"/>
                <w:szCs w:val="20"/>
              </w:rPr>
            </w:pPr>
            <w:r>
              <w:rPr>
                <w:rFonts w:ascii="Arial Narrow" w:hAnsi="Arial Narrow"/>
                <w:sz w:val="20"/>
                <w:szCs w:val="20"/>
              </w:rPr>
              <w:t>30</w:t>
            </w:r>
          </w:p>
        </w:tc>
        <w:tc>
          <w:tcPr>
            <w:tcW w:w="567" w:type="dxa"/>
            <w:vAlign w:val="center"/>
          </w:tcPr>
          <w:p w:rsidR="00F116C2" w:rsidRDefault="004F0556">
            <w:pPr>
              <w:widowControl/>
              <w:jc w:val="center"/>
              <w:rPr>
                <w:rFonts w:ascii="Arial Narrow" w:hAnsi="Arial Narrow"/>
                <w:sz w:val="20"/>
                <w:szCs w:val="20"/>
              </w:rPr>
            </w:pPr>
            <w:r>
              <w:rPr>
                <w:rFonts w:ascii="Arial Narrow" w:hAnsi="Arial Narrow"/>
                <w:sz w:val="20"/>
                <w:szCs w:val="20"/>
              </w:rPr>
              <w:t>5</w:t>
            </w:r>
          </w:p>
        </w:tc>
        <w:tc>
          <w:tcPr>
            <w:tcW w:w="1700" w:type="dxa"/>
            <w:vAlign w:val="center"/>
          </w:tcPr>
          <w:p w:rsidR="00F116C2" w:rsidRDefault="004F0556">
            <w:pPr>
              <w:pStyle w:val="Tabletext"/>
              <w:rPr>
                <w:rFonts w:cs="Arial"/>
                <w:snapToGrid w:val="0"/>
                <w:szCs w:val="20"/>
              </w:rPr>
            </w:pPr>
            <w:r>
              <w:rPr>
                <w:rFonts w:cs="Arial"/>
                <w:snapToGrid w:val="0"/>
                <w:szCs w:val="20"/>
              </w:rPr>
              <w:t>Published: $</w:t>
            </w:r>
            <w:r w:rsidR="00B624C9">
              <w:rPr>
                <w:rFonts w:cs="Arial"/>
                <w:noProof/>
                <w:snapToGrid w:val="0"/>
                <w:color w:val="000000"/>
                <w:szCs w:val="20"/>
                <w:highlight w:val="black"/>
              </w:rPr>
              <w:t>'''''''''''''''''''''''</w:t>
            </w:r>
          </w:p>
          <w:p w:rsidR="00F116C2" w:rsidRDefault="004F0556">
            <w:pPr>
              <w:pStyle w:val="Tabletext"/>
              <w:rPr>
                <w:szCs w:val="20"/>
              </w:rPr>
            </w:pPr>
            <w:r>
              <w:rPr>
                <w:rFonts w:cs="Arial"/>
                <w:snapToGrid w:val="0"/>
                <w:szCs w:val="20"/>
              </w:rPr>
              <w:t>Effective:   $</w:t>
            </w:r>
            <w:r w:rsidR="00B624C9">
              <w:rPr>
                <w:rFonts w:cs="Arial"/>
                <w:noProof/>
                <w:snapToGrid w:val="0"/>
                <w:color w:val="000000"/>
                <w:szCs w:val="20"/>
                <w:highlight w:val="black"/>
              </w:rPr>
              <w:t>'''''''''''''''''''''</w:t>
            </w:r>
            <w:r>
              <w:rPr>
                <w:szCs w:val="20"/>
              </w:rPr>
              <w:t xml:space="preserve"> </w:t>
            </w:r>
          </w:p>
        </w:tc>
        <w:tc>
          <w:tcPr>
            <w:tcW w:w="992" w:type="dxa"/>
            <w:vAlign w:val="center"/>
          </w:tcPr>
          <w:p w:rsidR="00F116C2" w:rsidRDefault="004F0556">
            <w:pPr>
              <w:widowControl/>
              <w:jc w:val="left"/>
              <w:rPr>
                <w:rFonts w:ascii="Arial Narrow" w:hAnsi="Arial Narrow"/>
                <w:sz w:val="20"/>
                <w:szCs w:val="20"/>
              </w:rPr>
            </w:pPr>
            <w:r>
              <w:rPr>
                <w:rFonts w:ascii="Arial Narrow" w:hAnsi="Arial Narrow"/>
                <w:sz w:val="20"/>
                <w:szCs w:val="20"/>
              </w:rPr>
              <w:t>OCALIVA®</w:t>
            </w:r>
          </w:p>
        </w:tc>
        <w:tc>
          <w:tcPr>
            <w:tcW w:w="2793" w:type="dxa"/>
            <w:vAlign w:val="center"/>
          </w:tcPr>
          <w:p w:rsidR="00F116C2" w:rsidRDefault="004F0556">
            <w:pPr>
              <w:pStyle w:val="Tabletext"/>
              <w:rPr>
                <w:rFonts w:cs="Arial"/>
                <w:snapToGrid w:val="0"/>
                <w:szCs w:val="20"/>
              </w:rPr>
            </w:pPr>
            <w:r>
              <w:rPr>
                <w:rFonts w:cs="Arial"/>
                <w:snapToGrid w:val="0"/>
                <w:szCs w:val="20"/>
              </w:rPr>
              <w:t>Manufacturer: Intercept Pharma</w:t>
            </w:r>
          </w:p>
          <w:p w:rsidR="00F116C2" w:rsidRDefault="004F0556">
            <w:pPr>
              <w:widowControl/>
              <w:jc w:val="left"/>
              <w:rPr>
                <w:rFonts w:ascii="Arial Narrow" w:hAnsi="Arial Narrow"/>
                <w:sz w:val="20"/>
                <w:szCs w:val="20"/>
              </w:rPr>
            </w:pPr>
            <w:r>
              <w:rPr>
                <w:rFonts w:ascii="Arial Narrow" w:hAnsi="Arial Narrow"/>
                <w:sz w:val="20"/>
                <w:szCs w:val="20"/>
              </w:rPr>
              <w:t>Australian sponsor: Emerge Health Pty Ltd</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vAlign w:val="center"/>
            <w:hideMark/>
          </w:tcPr>
          <w:p w:rsidR="00F116C2" w:rsidRDefault="004F0556">
            <w:pPr>
              <w:pStyle w:val="Tabletext"/>
              <w:rPr>
                <w:b/>
                <w:lang w:eastAsia="en-AU"/>
              </w:rPr>
            </w:pPr>
            <w:r>
              <w:rPr>
                <w:rFonts w:cstheme="minorHAnsi"/>
                <w:b/>
                <w:szCs w:val="20"/>
              </w:rPr>
              <w:t>Category/Program:</w:t>
            </w:r>
          </w:p>
        </w:tc>
        <w:tc>
          <w:tcPr>
            <w:tcW w:w="7435" w:type="dxa"/>
            <w:gridSpan w:val="6"/>
            <w:tcBorders>
              <w:top w:val="single" w:sz="4" w:space="0" w:color="auto"/>
              <w:left w:val="single" w:sz="4" w:space="0" w:color="auto"/>
              <w:bottom w:val="single" w:sz="4" w:space="0" w:color="auto"/>
              <w:right w:val="single" w:sz="4" w:space="0" w:color="auto"/>
            </w:tcBorders>
            <w:vAlign w:val="center"/>
          </w:tcPr>
          <w:p w:rsidR="00F116C2" w:rsidRDefault="004F0556">
            <w:pPr>
              <w:pStyle w:val="Tabletext"/>
              <w:rPr>
                <w:lang w:eastAsia="en-AU"/>
              </w:rPr>
            </w:pPr>
            <w:r>
              <w:rPr>
                <w:rFonts w:cstheme="minorHAnsi"/>
                <w:szCs w:val="20"/>
              </w:rPr>
              <w:t>Section 85 (General Schedule)</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vAlign w:val="center"/>
            <w:hideMark/>
          </w:tcPr>
          <w:p w:rsidR="00F116C2" w:rsidRDefault="004F0556">
            <w:pPr>
              <w:pStyle w:val="Tabletext"/>
              <w:rPr>
                <w:b/>
                <w:lang w:eastAsia="en-AU"/>
              </w:rPr>
            </w:pPr>
            <w:r>
              <w:rPr>
                <w:rFonts w:cstheme="minorHAnsi"/>
                <w:b/>
                <w:szCs w:val="20"/>
              </w:rPr>
              <w:t>Prescriber type:</w:t>
            </w:r>
          </w:p>
        </w:tc>
        <w:tc>
          <w:tcPr>
            <w:tcW w:w="7435" w:type="dxa"/>
            <w:gridSpan w:val="6"/>
            <w:tcBorders>
              <w:top w:val="single" w:sz="4" w:space="0" w:color="auto"/>
              <w:left w:val="single" w:sz="4" w:space="0" w:color="auto"/>
              <w:bottom w:val="single" w:sz="4" w:space="0" w:color="auto"/>
              <w:right w:val="single" w:sz="4" w:space="0" w:color="auto"/>
            </w:tcBorders>
            <w:vAlign w:val="center"/>
          </w:tcPr>
          <w:p w:rsidR="00F116C2" w:rsidRDefault="004F0556">
            <w:pPr>
              <w:pStyle w:val="Tabletext"/>
              <w:rPr>
                <w:lang w:eastAsia="en-AU"/>
              </w:rPr>
            </w:pPr>
            <w:r>
              <w:rPr>
                <w:rFonts w:cstheme="minorHAnsi"/>
                <w:szCs w:val="20"/>
              </w:rPr>
              <w:fldChar w:fldCharType="begin">
                <w:ffData>
                  <w:name w:val=""/>
                  <w:enabled/>
                  <w:calcOnExit w:val="0"/>
                  <w:checkBox>
                    <w:sizeAuto/>
                    <w:default w:val="0"/>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Dental  </w:t>
            </w:r>
            <w:r>
              <w:rPr>
                <w:rFonts w:cstheme="minorHAnsi"/>
                <w:szCs w:val="20"/>
              </w:rPr>
              <w:fldChar w:fldCharType="begin">
                <w:ffData>
                  <w:name w:val=""/>
                  <w:enabled/>
                  <w:calcOnExit w:val="0"/>
                  <w:checkBox>
                    <w:sizeAuto/>
                    <w:default w:val="1"/>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Medical Practitioners  </w:t>
            </w:r>
            <w:r>
              <w:rPr>
                <w:rFonts w:cstheme="minorHAnsi"/>
                <w:szCs w:val="20"/>
              </w:rPr>
              <w:fldChar w:fldCharType="begin">
                <w:ffData>
                  <w:name w:val="Check3"/>
                  <w:enabled/>
                  <w:calcOnExit w:val="0"/>
                  <w:checkBox>
                    <w:sizeAuto/>
                    <w:default w:val="1"/>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Nurse practitioners  </w:t>
            </w:r>
            <w:r>
              <w:rPr>
                <w:rFonts w:cstheme="minorHAnsi"/>
                <w:szCs w:val="20"/>
              </w:rPr>
              <w:fldChar w:fldCharType="begin">
                <w:ffData>
                  <w:name w:val=""/>
                  <w:enabled/>
                  <w:calcOnExit w:val="0"/>
                  <w:checkBox>
                    <w:sizeAuto/>
                    <w:default w:val="0"/>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 xml:space="preserve">Optometrists  </w:t>
            </w:r>
            <w:r>
              <w:rPr>
                <w:rFonts w:cstheme="minorHAnsi"/>
                <w:szCs w:val="20"/>
              </w:rPr>
              <w:fldChar w:fldCharType="begin">
                <w:ffData>
                  <w:name w:val="Check5"/>
                  <w:enabled/>
                  <w:calcOnExit w:val="0"/>
                  <w:checkBox>
                    <w:sizeAuto/>
                    <w:default w:val="0"/>
                  </w:checkBox>
                </w:ffData>
              </w:fldChar>
            </w:r>
            <w:r>
              <w:rPr>
                <w:rFonts w:cstheme="minorHAnsi"/>
                <w:szCs w:val="20"/>
              </w:rPr>
              <w:instrText xml:space="preserve"> FORMCHECKBOX </w:instrText>
            </w:r>
            <w:r w:rsidR="00E5768D">
              <w:rPr>
                <w:rFonts w:cstheme="minorHAnsi"/>
                <w:szCs w:val="20"/>
              </w:rPr>
            </w:r>
            <w:r w:rsidR="00E5768D">
              <w:rPr>
                <w:rFonts w:cstheme="minorHAnsi"/>
                <w:szCs w:val="20"/>
              </w:rPr>
              <w:fldChar w:fldCharType="separate"/>
            </w:r>
            <w:r>
              <w:rPr>
                <w:rFonts w:cstheme="minorHAnsi"/>
                <w:szCs w:val="20"/>
              </w:rPr>
              <w:fldChar w:fldCharType="end"/>
            </w:r>
            <w:r>
              <w:rPr>
                <w:rFonts w:cstheme="minorHAnsi"/>
                <w:szCs w:val="20"/>
              </w:rPr>
              <w:t>Midwives</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theme="minorHAnsi"/>
                <w:b/>
                <w:szCs w:val="20"/>
              </w:rPr>
              <w:t>Condition:</w:t>
            </w:r>
          </w:p>
        </w:tc>
        <w:tc>
          <w:tcPr>
            <w:tcW w:w="7435" w:type="dxa"/>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theme="minorHAnsi"/>
                <w:szCs w:val="20"/>
              </w:rPr>
              <w:t xml:space="preserve">Primary biliary cholangitis </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theme="minorHAnsi"/>
                <w:b/>
                <w:szCs w:val="20"/>
              </w:rPr>
              <w:t>PBS Indication:</w:t>
            </w:r>
          </w:p>
        </w:tc>
        <w:tc>
          <w:tcPr>
            <w:tcW w:w="7435" w:type="dxa"/>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theme="minorHAnsi"/>
                <w:szCs w:val="20"/>
              </w:rPr>
              <w:t>Primary biliary cholangitis</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theme="minorHAnsi"/>
                <w:b/>
                <w:szCs w:val="20"/>
              </w:rPr>
              <w:t>Treatment phase:</w:t>
            </w:r>
          </w:p>
        </w:tc>
        <w:tc>
          <w:tcPr>
            <w:tcW w:w="7435" w:type="dxa"/>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lang w:eastAsia="en-AU"/>
              </w:rPr>
            </w:pPr>
            <w:r>
              <w:rPr>
                <w:rFonts w:cstheme="minorHAnsi"/>
                <w:szCs w:val="20"/>
              </w:rPr>
              <w:t xml:space="preserve">Continuing treatment  </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587"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b/>
                <w:lang w:eastAsia="en-AU"/>
              </w:rPr>
            </w:pPr>
            <w:r>
              <w:rPr>
                <w:rFonts w:cstheme="minorHAnsi"/>
                <w:b/>
                <w:szCs w:val="20"/>
              </w:rPr>
              <w:t>Restriction:</w:t>
            </w:r>
          </w:p>
        </w:tc>
        <w:tc>
          <w:tcPr>
            <w:tcW w:w="7435" w:type="dxa"/>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rFonts w:cstheme="minorHAnsi"/>
                <w:i/>
                <w:szCs w:val="20"/>
              </w:rPr>
            </w:pPr>
            <w:r>
              <w:rPr>
                <w:rFonts w:cstheme="minorHAnsi"/>
                <w:i/>
                <w:szCs w:val="20"/>
              </w:rPr>
              <w:fldChar w:fldCharType="begin">
                <w:ffData>
                  <w:name w:val="Check5"/>
                  <w:enabled/>
                  <w:calcOnExit w:val="0"/>
                  <w:checkBox>
                    <w:sizeAuto/>
                    <w:default w:val="1"/>
                  </w:checkBox>
                </w:ffData>
              </w:fldChar>
            </w:r>
            <w:r>
              <w:rPr>
                <w:rFonts w:cstheme="minorHAnsi"/>
                <w:i/>
                <w:szCs w:val="20"/>
              </w:rPr>
              <w:instrText xml:space="preserve"> FORMCHECKBOX </w:instrText>
            </w:r>
            <w:r w:rsidR="00E5768D">
              <w:rPr>
                <w:rFonts w:cstheme="minorHAnsi"/>
                <w:i/>
                <w:szCs w:val="20"/>
              </w:rPr>
            </w:r>
            <w:r w:rsidR="00E5768D">
              <w:rPr>
                <w:rFonts w:cstheme="minorHAnsi"/>
                <w:i/>
                <w:szCs w:val="20"/>
              </w:rPr>
              <w:fldChar w:fldCharType="separate"/>
            </w:r>
            <w:r>
              <w:rPr>
                <w:rFonts w:cstheme="minorHAnsi"/>
                <w:i/>
                <w:szCs w:val="20"/>
              </w:rPr>
              <w:fldChar w:fldCharType="end"/>
            </w:r>
            <w:r>
              <w:rPr>
                <w:rFonts w:cstheme="minorHAnsi"/>
                <w:i/>
                <w:szCs w:val="20"/>
              </w:rPr>
              <w:t xml:space="preserve"> Authority Required (telephone)</w:t>
            </w:r>
          </w:p>
          <w:p w:rsidR="00F116C2" w:rsidRDefault="004F0556">
            <w:pPr>
              <w:pStyle w:val="Tabletext"/>
              <w:rPr>
                <w:strike/>
                <w:lang w:eastAsia="en-AU"/>
              </w:rPr>
            </w:pPr>
            <w:r>
              <w:rPr>
                <w:rFonts w:cstheme="minorHAnsi"/>
                <w:strike/>
                <w:szCs w:val="20"/>
              </w:rPr>
              <w:fldChar w:fldCharType="begin">
                <w:ffData>
                  <w:name w:val="Check5"/>
                  <w:enabled/>
                  <w:calcOnExit w:val="0"/>
                  <w:checkBox>
                    <w:sizeAuto/>
                    <w:default w:val="1"/>
                  </w:checkBox>
                </w:ffData>
              </w:fldChar>
            </w:r>
            <w:r>
              <w:rPr>
                <w:rFonts w:cstheme="minorHAnsi"/>
                <w:strike/>
                <w:szCs w:val="20"/>
              </w:rPr>
              <w:instrText xml:space="preserve"> FORMCHECKBOX </w:instrText>
            </w:r>
            <w:r w:rsidR="00E5768D">
              <w:rPr>
                <w:rFonts w:cstheme="minorHAnsi"/>
                <w:strike/>
                <w:szCs w:val="20"/>
              </w:rPr>
            </w:r>
            <w:r w:rsidR="00E5768D">
              <w:rPr>
                <w:rFonts w:cstheme="minorHAnsi"/>
                <w:strike/>
                <w:szCs w:val="20"/>
              </w:rPr>
              <w:fldChar w:fldCharType="separate"/>
            </w:r>
            <w:r>
              <w:rPr>
                <w:rFonts w:cstheme="minorHAnsi"/>
                <w:strike/>
                <w:szCs w:val="20"/>
              </w:rPr>
              <w:fldChar w:fldCharType="end"/>
            </w:r>
            <w:r>
              <w:rPr>
                <w:rFonts w:cstheme="minorHAnsi"/>
                <w:strike/>
                <w:szCs w:val="20"/>
              </w:rPr>
              <w:t xml:space="preserve"> Authority Required (streamlined)</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tcPr>
          <w:p w:rsidR="00F116C2" w:rsidRDefault="004F0556">
            <w:pPr>
              <w:pStyle w:val="Tabletext"/>
              <w:rPr>
                <w:b/>
                <w:lang w:eastAsia="en-AU"/>
              </w:rPr>
            </w:pPr>
            <w:r>
              <w:rPr>
                <w:rFonts w:cstheme="minorHAnsi"/>
                <w:b/>
                <w:szCs w:val="20"/>
              </w:rPr>
              <w:t>Treatment criteria:</w:t>
            </w:r>
          </w:p>
        </w:tc>
        <w:tc>
          <w:tcPr>
            <w:tcW w:w="7435" w:type="dxa"/>
            <w:gridSpan w:val="6"/>
            <w:tcBorders>
              <w:top w:val="single" w:sz="4" w:space="0" w:color="auto"/>
              <w:left w:val="single" w:sz="4" w:space="0" w:color="auto"/>
              <w:bottom w:val="single" w:sz="4" w:space="0" w:color="auto"/>
              <w:right w:val="single" w:sz="4" w:space="0" w:color="auto"/>
            </w:tcBorders>
          </w:tcPr>
          <w:p w:rsidR="00F116C2" w:rsidRDefault="004F0556">
            <w:pPr>
              <w:pStyle w:val="Tabletext"/>
              <w:rPr>
                <w:color w:val="000000"/>
                <w:szCs w:val="24"/>
                <w:lang w:eastAsia="en-AU"/>
              </w:rPr>
            </w:pPr>
            <w:r>
              <w:rPr>
                <w:rFonts w:cs="Calibri"/>
                <w:szCs w:val="20"/>
              </w:rPr>
              <w:t>The patient must be treated by a gastroenterologist or hepatologist or in consultation with a gastroenterologist or hepatologist.</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hideMark/>
          </w:tcPr>
          <w:p w:rsidR="00F116C2" w:rsidRDefault="004F0556">
            <w:pPr>
              <w:pStyle w:val="Tabletext"/>
              <w:rPr>
                <w:rFonts w:cstheme="minorHAnsi"/>
                <w:b/>
                <w:szCs w:val="20"/>
              </w:rPr>
            </w:pPr>
            <w:r>
              <w:rPr>
                <w:rFonts w:cstheme="minorHAnsi"/>
                <w:b/>
                <w:szCs w:val="20"/>
              </w:rPr>
              <w:t>Clinical criteria:</w:t>
            </w:r>
          </w:p>
        </w:tc>
        <w:tc>
          <w:tcPr>
            <w:tcW w:w="7435" w:type="dxa"/>
            <w:gridSpan w:val="6"/>
            <w:tcBorders>
              <w:top w:val="single" w:sz="4" w:space="0" w:color="auto"/>
              <w:left w:val="single" w:sz="4" w:space="0" w:color="auto"/>
              <w:bottom w:val="single" w:sz="4" w:space="0" w:color="auto"/>
              <w:right w:val="single" w:sz="4" w:space="0" w:color="auto"/>
            </w:tcBorders>
          </w:tcPr>
          <w:p w:rsidR="00F116C2" w:rsidRDefault="004F0556">
            <w:pPr>
              <w:widowControl/>
              <w:jc w:val="left"/>
              <w:rPr>
                <w:rFonts w:ascii="Arial Narrow" w:hAnsi="Arial Narrow" w:cstheme="minorHAnsi"/>
                <w:sz w:val="20"/>
                <w:szCs w:val="20"/>
              </w:rPr>
            </w:pPr>
            <w:bookmarkStart w:id="4" w:name="_Hlk362962"/>
            <w:r>
              <w:rPr>
                <w:rFonts w:ascii="Arial Narrow" w:hAnsi="Arial Narrow" w:cstheme="minorHAnsi"/>
                <w:sz w:val="20"/>
                <w:szCs w:val="20"/>
              </w:rPr>
              <w:t xml:space="preserve">The patient must have previously been issued with an authority prescription for this drug for this condition, </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AND</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The patient must have adequately tolerated 5 mg dose at 6 months assessment, OR</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The patient must have adequately tolerated 10 mg dose at 12 months assessment, AND</w:t>
            </w:r>
          </w:p>
          <w:p w:rsidR="00F116C2" w:rsidRDefault="004F0556">
            <w:pPr>
              <w:pStyle w:val="Tabletext"/>
              <w:rPr>
                <w:rFonts w:cstheme="minorHAnsi"/>
                <w:szCs w:val="20"/>
              </w:rPr>
            </w:pPr>
            <w:r>
              <w:rPr>
                <w:rFonts w:cstheme="minorHAnsi"/>
                <w:szCs w:val="20"/>
              </w:rPr>
              <w:t xml:space="preserve">The patient must have achieved an adequate response to 10 mg at 12 months assessment as defined </w:t>
            </w:r>
            <w:r>
              <w:rPr>
                <w:rFonts w:cstheme="minorHAnsi"/>
                <w:strike/>
                <w:szCs w:val="20"/>
              </w:rPr>
              <w:t>by the following criteria</w:t>
            </w:r>
            <w:r>
              <w:rPr>
                <w:rFonts w:cstheme="minorHAnsi"/>
                <w:szCs w:val="20"/>
              </w:rPr>
              <w:t xml:space="preserve"> as an ALP &lt; 1.67x ULN with ≥ 15% decrease from baseline in ALP, and total bilirubin &lt; ULN</w:t>
            </w:r>
            <w:bookmarkEnd w:id="4"/>
            <w:r>
              <w:rPr>
                <w:rFonts w:cstheme="minorHAnsi"/>
                <w:szCs w:val="20"/>
              </w:rPr>
              <w:t>,</w:t>
            </w:r>
          </w:p>
          <w:p w:rsidR="00F116C2" w:rsidRDefault="004F0556">
            <w:pPr>
              <w:widowControl/>
              <w:rPr>
                <w:rFonts w:ascii="Arial Narrow" w:hAnsi="Arial Narrow" w:cstheme="minorHAnsi"/>
                <w:i/>
                <w:sz w:val="20"/>
                <w:szCs w:val="20"/>
              </w:rPr>
            </w:pPr>
            <w:r>
              <w:rPr>
                <w:rFonts w:ascii="Arial Narrow" w:hAnsi="Arial Narrow" w:cstheme="minorHAnsi"/>
                <w:i/>
                <w:sz w:val="20"/>
                <w:szCs w:val="20"/>
              </w:rPr>
              <w:t xml:space="preserve">AND </w:t>
            </w:r>
          </w:p>
          <w:p w:rsidR="00F116C2" w:rsidRDefault="004F0556">
            <w:pPr>
              <w:widowControl/>
              <w:rPr>
                <w:rFonts w:ascii="Arial Narrow" w:hAnsi="Arial Narrow" w:cstheme="minorHAnsi"/>
                <w:i/>
                <w:sz w:val="20"/>
                <w:szCs w:val="20"/>
              </w:rPr>
            </w:pPr>
            <w:r>
              <w:rPr>
                <w:rFonts w:ascii="Arial Narrow" w:hAnsi="Arial Narrow" w:cstheme="minorHAnsi"/>
                <w:i/>
                <w:sz w:val="20"/>
                <w:szCs w:val="20"/>
              </w:rPr>
              <w:t>Patient must continue to achieve an adequate response at yearly assessments,</w:t>
            </w:r>
          </w:p>
          <w:p w:rsidR="00F116C2" w:rsidRDefault="004F0556">
            <w:pPr>
              <w:widowControl/>
              <w:rPr>
                <w:rFonts w:ascii="Arial Narrow" w:hAnsi="Arial Narrow" w:cstheme="minorHAnsi"/>
                <w:i/>
                <w:sz w:val="20"/>
                <w:szCs w:val="20"/>
              </w:rPr>
            </w:pPr>
            <w:r>
              <w:rPr>
                <w:rFonts w:ascii="Arial Narrow" w:hAnsi="Arial Narrow" w:cstheme="minorHAnsi"/>
                <w:i/>
                <w:sz w:val="20"/>
                <w:szCs w:val="20"/>
              </w:rPr>
              <w:t>AND</w:t>
            </w:r>
          </w:p>
          <w:p w:rsidR="00F116C2" w:rsidRDefault="004F0556">
            <w:pPr>
              <w:pStyle w:val="Tabletext"/>
              <w:rPr>
                <w:color w:val="000000"/>
                <w:szCs w:val="24"/>
                <w:lang w:eastAsia="en-AU"/>
              </w:rPr>
            </w:pPr>
            <w:r>
              <w:rPr>
                <w:rFonts w:cstheme="minorHAnsi"/>
                <w:i/>
                <w:szCs w:val="20"/>
              </w:rPr>
              <w:t>Patient must not have developed decompensated cirrhosis or hepatocellular cancer</w:t>
            </w:r>
            <w:r>
              <w:rPr>
                <w:rFonts w:cstheme="minorHAnsi"/>
                <w:szCs w:val="20"/>
              </w:rPr>
              <w:t>.</w:t>
            </w:r>
          </w:p>
        </w:tc>
      </w:tr>
      <w:tr w:rsidR="00F11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87" w:type="dxa"/>
            <w:tcBorders>
              <w:top w:val="single" w:sz="4" w:space="0" w:color="auto"/>
              <w:left w:val="single" w:sz="4" w:space="0" w:color="auto"/>
              <w:bottom w:val="single" w:sz="4" w:space="0" w:color="auto"/>
              <w:right w:val="single" w:sz="4" w:space="0" w:color="auto"/>
            </w:tcBorders>
          </w:tcPr>
          <w:p w:rsidR="00F116C2" w:rsidRDefault="004F0556">
            <w:pPr>
              <w:pStyle w:val="Tabletext"/>
              <w:rPr>
                <w:rFonts w:cstheme="minorHAnsi"/>
                <w:b/>
                <w:szCs w:val="20"/>
              </w:rPr>
            </w:pPr>
            <w:r>
              <w:rPr>
                <w:rFonts w:cstheme="minorHAnsi"/>
                <w:b/>
                <w:szCs w:val="20"/>
              </w:rPr>
              <w:t>Administrative Advice</w:t>
            </w:r>
          </w:p>
        </w:tc>
        <w:tc>
          <w:tcPr>
            <w:tcW w:w="7435" w:type="dxa"/>
            <w:gridSpan w:val="6"/>
            <w:tcBorders>
              <w:top w:val="single" w:sz="4" w:space="0" w:color="auto"/>
              <w:left w:val="single" w:sz="4" w:space="0" w:color="auto"/>
              <w:bottom w:val="single" w:sz="4" w:space="0" w:color="auto"/>
              <w:right w:val="single" w:sz="4" w:space="0" w:color="auto"/>
            </w:tcBorders>
          </w:tcPr>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Not for use in the treatment of sclerosing cholangitis or cholelithiasis.</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Special pricing arrangements apply</w:t>
            </w:r>
          </w:p>
          <w:p w:rsidR="00F116C2" w:rsidRDefault="00F116C2">
            <w:pPr>
              <w:widowControl/>
              <w:jc w:val="left"/>
              <w:rPr>
                <w:rFonts w:ascii="Arial Narrow" w:hAnsi="Arial Narrow" w:cstheme="minorHAnsi"/>
                <w:sz w:val="20"/>
                <w:szCs w:val="20"/>
              </w:rPr>
            </w:pPr>
          </w:p>
          <w:p w:rsidR="00F116C2" w:rsidRDefault="004F0556">
            <w:pPr>
              <w:widowControl/>
              <w:jc w:val="left"/>
              <w:rPr>
                <w:rFonts w:ascii="Arial Narrow" w:hAnsi="Arial Narrow" w:cstheme="minorHAnsi"/>
                <w:sz w:val="20"/>
                <w:szCs w:val="20"/>
                <w:u w:val="single"/>
              </w:rPr>
            </w:pPr>
            <w:r>
              <w:rPr>
                <w:rFonts w:ascii="Arial Narrow" w:hAnsi="Arial Narrow" w:cstheme="minorHAnsi"/>
                <w:sz w:val="20"/>
                <w:szCs w:val="20"/>
                <w:u w:val="single"/>
              </w:rPr>
              <w:t>Note</w:t>
            </w:r>
          </w:p>
          <w:p w:rsidR="00F116C2" w:rsidRDefault="004F0556">
            <w:pPr>
              <w:widowControl/>
              <w:jc w:val="left"/>
              <w:rPr>
                <w:rFonts w:ascii="Arial Narrow" w:hAnsi="Arial Narrow" w:cstheme="minorHAnsi"/>
                <w:sz w:val="20"/>
                <w:szCs w:val="20"/>
              </w:rPr>
            </w:pPr>
            <w:r>
              <w:rPr>
                <w:rFonts w:ascii="Arial Narrow" w:hAnsi="Arial Narrow" w:cstheme="minorHAnsi"/>
                <w:sz w:val="20"/>
                <w:szCs w:val="20"/>
              </w:rPr>
              <w:t xml:space="preserve">For prescribing by nurse practitioners as continuing therapy only, where the treatment of, and prescribing of medicine for, a patient has been initiated by a gastroenterologist or a hepatologist or in </w:t>
            </w:r>
            <w:r>
              <w:rPr>
                <w:rFonts w:ascii="Arial Narrow" w:hAnsi="Arial Narrow" w:cstheme="minorHAnsi"/>
                <w:sz w:val="20"/>
                <w:szCs w:val="20"/>
              </w:rPr>
              <w:lastRenderedPageBreak/>
              <w:t>consultation with a gastroenterologist or hepatologist. Further information can be found in the Explanatory Notes for Nurse Practitioners.</w:t>
            </w:r>
          </w:p>
        </w:tc>
      </w:tr>
    </w:tbl>
    <w:p w:rsidR="00F116C2" w:rsidRDefault="004F0556">
      <w:pPr>
        <w:pStyle w:val="TableFooter"/>
        <w:widowControl/>
      </w:pPr>
      <w:r>
        <w:lastRenderedPageBreak/>
        <w:t xml:space="preserve">Source: Table 1.4.2, p54 of the resubmission </w:t>
      </w:r>
    </w:p>
    <w:p w:rsidR="00F116C2" w:rsidRDefault="00F116C2">
      <w:pPr>
        <w:widowControl/>
      </w:pPr>
    </w:p>
    <w:p w:rsidR="00F116C2" w:rsidRDefault="004F0556">
      <w:pPr>
        <w:pStyle w:val="ListParagraph"/>
        <w:widowControl/>
        <w:numPr>
          <w:ilvl w:val="1"/>
          <w:numId w:val="2"/>
        </w:numPr>
      </w:pPr>
      <w:r>
        <w:t xml:space="preserve">The ESC noted that the requested listing was updated in accordance with previous suggestions by the PBAC, including amending the proposed restriction to align with the POISE trial inclusion criteria and the addition of continuation criteria applied at 12 months (Section 2, obeticholic acid Public Summary Document (PSD), November 2018). </w:t>
      </w:r>
    </w:p>
    <w:p w:rsidR="00F116C2" w:rsidRDefault="004F0556">
      <w:pPr>
        <w:pStyle w:val="ListParagraph"/>
        <w:widowControl/>
        <w:numPr>
          <w:ilvl w:val="1"/>
          <w:numId w:val="2"/>
        </w:numPr>
      </w:pPr>
      <w:r>
        <w:t>The proposed continuation criteria are not consistent with the economic model or the estimation of use in clinical practice and patients may continue long-term treatment on OCA. In the economic model, patients no longer receive OCA if they experience decompensated cirrhosis (DCC), hepatocellular cancer (HCC), are put on the waiting list for liver transplant, receive a liver transplant or experience PBC recurrence after liver transplant. The ESC reiterated its advice that it would be appropriate for the restriction to state that patients should not continue treatment if they experience DCC or HCC (paragraph 2.2, obeticholic acid PSD, November 2018).</w:t>
      </w:r>
    </w:p>
    <w:p w:rsidR="00F116C2" w:rsidRDefault="004F0556">
      <w:pPr>
        <w:pStyle w:val="ListParagraph"/>
        <w:widowControl/>
        <w:numPr>
          <w:ilvl w:val="1"/>
          <w:numId w:val="2"/>
        </w:numPr>
      </w:pPr>
      <w:r>
        <w:t xml:space="preserve">The resubmission noted that the PBAC considered the proposed restriction required explicit instructions surrounding the need for dosage adjustment in patients who experience severe pruritus or moderate or severe hepatic impairment (paragraph 7.3, obeticholic acid PSD, November 2018). The resubmission argued that the restriction refers to the Product Information for more information on the dosage adjustment rather than including this information in the restriction. </w:t>
      </w:r>
    </w:p>
    <w:p w:rsidR="00F116C2" w:rsidRDefault="004F0556">
      <w:pPr>
        <w:pStyle w:val="ListParagraph"/>
        <w:widowControl/>
        <w:numPr>
          <w:ilvl w:val="1"/>
          <w:numId w:val="2"/>
        </w:numPr>
      </w:pPr>
      <w:r>
        <w:t>The PBAC considered that initial supply of OCA should be an Authority Required (written) restriction and continuing supply an Authority Required (telephone) restriction to minimise leakage to patients who are UDCA tolerant and responders.</w:t>
      </w:r>
    </w:p>
    <w:p w:rsidR="00F116C2" w:rsidRDefault="004F0556">
      <w:pPr>
        <w:pStyle w:val="ListParagraph"/>
        <w:widowControl/>
        <w:rPr>
          <w:i/>
        </w:rPr>
      </w:pPr>
      <w:r>
        <w:rPr>
          <w:i/>
        </w:rPr>
        <w:t>For more detail on PBAC’s view, see Section 7 PBAC outcome.</w:t>
      </w:r>
    </w:p>
    <w:p w:rsidR="00F116C2" w:rsidRDefault="004F0556">
      <w:pPr>
        <w:pStyle w:val="PBACHeading1"/>
      </w:pPr>
      <w:bookmarkStart w:id="5" w:name="_Toc9335707"/>
      <w:r>
        <w:t>Background</w:t>
      </w:r>
      <w:bookmarkEnd w:id="5"/>
    </w:p>
    <w:p w:rsidR="00F116C2" w:rsidRDefault="004F0556">
      <w:pPr>
        <w:pStyle w:val="Heading2"/>
        <w:widowControl/>
      </w:pPr>
      <w:bookmarkStart w:id="6" w:name="_Toc9335708"/>
      <w:r>
        <w:t>Registration status</w:t>
      </w:r>
      <w:bookmarkEnd w:id="6"/>
    </w:p>
    <w:p w:rsidR="00F116C2" w:rsidRDefault="004F0556">
      <w:pPr>
        <w:pStyle w:val="ListParagraph"/>
        <w:widowControl/>
        <w:numPr>
          <w:ilvl w:val="1"/>
          <w:numId w:val="2"/>
        </w:numPr>
      </w:pPr>
      <w:r>
        <w:t>OCA was TGA registered on 21 September 2018 for: ‘The treatment of primary biliary cholangitis (also known as primary biliary cirrhosis) in combination with ursodeoxycholic acid (UDCA) in adults with an inadequate response to UDCA or as monotherapy in adults unable to tolerate UDCA.’</w:t>
      </w:r>
    </w:p>
    <w:p w:rsidR="00F116C2" w:rsidRDefault="004F0556">
      <w:pPr>
        <w:pStyle w:val="Heading2"/>
        <w:widowControl/>
      </w:pPr>
      <w:bookmarkStart w:id="7" w:name="_Toc9335709"/>
      <w:r>
        <w:t>Previous PBAC consideration</w:t>
      </w:r>
      <w:bookmarkEnd w:id="7"/>
    </w:p>
    <w:p w:rsidR="00F116C2" w:rsidRDefault="004F0556">
      <w:pPr>
        <w:pStyle w:val="ListParagraph"/>
        <w:widowControl/>
        <w:numPr>
          <w:ilvl w:val="1"/>
          <w:numId w:val="2"/>
        </w:numPr>
      </w:pPr>
      <w:r>
        <w:rPr>
          <w:rFonts w:cs="Calibri"/>
          <w:snapToGrid/>
          <w:szCs w:val="24"/>
          <w:lang w:eastAsia="en-AU"/>
        </w:rPr>
        <w:t>Table 2 summarises the outstanding matters of concern with respect to the November 2018 submission and how they have been addressed in the current resubmission.</w:t>
      </w:r>
    </w:p>
    <w:p w:rsidR="00E5768D" w:rsidRPr="00E5768D" w:rsidRDefault="00E5768D" w:rsidP="00E5768D">
      <w:pPr>
        <w:keepNext/>
        <w:widowControl/>
        <w:rPr>
          <w:rStyle w:val="CommentReference"/>
        </w:rPr>
      </w:pPr>
      <w:r w:rsidRPr="00E5768D">
        <w:rPr>
          <w:rStyle w:val="CommentReference"/>
        </w:rPr>
        <w:lastRenderedPageBreak/>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2</w:t>
      </w:r>
      <w:r w:rsidRPr="00E5768D">
        <w:rPr>
          <w:rStyle w:val="CommentReference"/>
        </w:rPr>
        <w:fldChar w:fldCharType="end"/>
      </w:r>
      <w:r w:rsidRPr="00E5768D">
        <w:rPr>
          <w:rStyle w:val="CommentReference"/>
        </w:rPr>
        <w:t>:  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outstanding matters of concern"/>
      </w:tblPr>
      <w:tblGrid>
        <w:gridCol w:w="1538"/>
        <w:gridCol w:w="5603"/>
        <w:gridCol w:w="1876"/>
      </w:tblGrid>
      <w:tr w:rsidR="00F116C2">
        <w:trPr>
          <w:cantSplit/>
          <w:tblHeader/>
        </w:trPr>
        <w:tc>
          <w:tcPr>
            <w:tcW w:w="1538" w:type="dxa"/>
            <w:tcMar>
              <w:left w:w="28" w:type="dxa"/>
              <w:right w:w="28" w:type="dxa"/>
            </w:tcMar>
            <w:vAlign w:val="center"/>
          </w:tcPr>
          <w:p w:rsidR="00F116C2" w:rsidRDefault="004F0556">
            <w:pPr>
              <w:pStyle w:val="Tabletext"/>
              <w:keepNext/>
              <w:rPr>
                <w:b/>
              </w:rPr>
            </w:pPr>
            <w:r>
              <w:rPr>
                <w:b/>
              </w:rPr>
              <w:t>Component</w:t>
            </w:r>
          </w:p>
        </w:tc>
        <w:tc>
          <w:tcPr>
            <w:tcW w:w="5603" w:type="dxa"/>
            <w:tcMar>
              <w:left w:w="28" w:type="dxa"/>
              <w:right w:w="28" w:type="dxa"/>
            </w:tcMar>
            <w:vAlign w:val="center"/>
          </w:tcPr>
          <w:p w:rsidR="00F116C2" w:rsidRDefault="004F0556">
            <w:pPr>
              <w:pStyle w:val="Tabletext"/>
              <w:keepNext/>
              <w:jc w:val="center"/>
              <w:rPr>
                <w:b/>
              </w:rPr>
            </w:pPr>
            <w:r>
              <w:rPr>
                <w:b/>
              </w:rPr>
              <w:t xml:space="preserve">Matter of concern </w:t>
            </w:r>
            <w:r>
              <w:rPr>
                <w:b/>
              </w:rPr>
              <w:br/>
              <w:t>as identified in obeticholic acid PSD, November 2018</w:t>
            </w:r>
          </w:p>
        </w:tc>
        <w:tc>
          <w:tcPr>
            <w:tcW w:w="1876" w:type="dxa"/>
            <w:tcMar>
              <w:left w:w="28" w:type="dxa"/>
              <w:right w:w="28" w:type="dxa"/>
            </w:tcMar>
            <w:vAlign w:val="center"/>
          </w:tcPr>
          <w:p w:rsidR="00F116C2" w:rsidRDefault="004F0556">
            <w:pPr>
              <w:pStyle w:val="Tabletext"/>
              <w:keepNext/>
              <w:jc w:val="center"/>
              <w:rPr>
                <w:b/>
              </w:rPr>
            </w:pPr>
            <w:r>
              <w:rPr>
                <w:b/>
              </w:rPr>
              <w:t>How the resubmission addresses it</w:t>
            </w:r>
          </w:p>
        </w:tc>
      </w:tr>
      <w:tr w:rsidR="00F116C2">
        <w:trPr>
          <w:cantSplit/>
        </w:trPr>
        <w:tc>
          <w:tcPr>
            <w:tcW w:w="1538" w:type="dxa"/>
            <w:tcMar>
              <w:left w:w="28" w:type="dxa"/>
              <w:right w:w="28" w:type="dxa"/>
            </w:tcMar>
          </w:tcPr>
          <w:p w:rsidR="00F116C2" w:rsidRDefault="004F0556">
            <w:pPr>
              <w:pStyle w:val="Tabletext"/>
            </w:pPr>
            <w:r>
              <w:t>Restriction</w:t>
            </w:r>
          </w:p>
        </w:tc>
        <w:tc>
          <w:tcPr>
            <w:tcW w:w="5603" w:type="dxa"/>
            <w:tcMar>
              <w:left w:w="28" w:type="dxa"/>
              <w:right w:w="28" w:type="dxa"/>
            </w:tcMar>
            <w:vAlign w:val="cente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PBAC considered that the proposed PBS restriction should align with the inclusion and exclusion criteria of the POISE trial which excluded patients with severe liver disease and immunodeficiency diseases and required patients to have either an ALP ≥ 1.6 x ULN or total bilirubin &gt; ULN but &lt; 2 x ULN. The PBAC also considered that the proposed restriction required the inclusion of specific continuing and stopping criteria and explicit instructions surrounding the need for dosage adjustment in patients who experience severe pruritus or moderate or severe hepatic impairment (paragraphs 2.1 and 7.3).</w:t>
            </w:r>
          </w:p>
          <w:p w:rsidR="00F116C2" w:rsidRDefault="00F116C2">
            <w:pPr>
              <w:widowControl/>
              <w:autoSpaceDE w:val="0"/>
              <w:autoSpaceDN w:val="0"/>
              <w:adjustRightInd w:val="0"/>
              <w:jc w:val="left"/>
              <w:rPr>
                <w:rFonts w:ascii="Arial Narrow" w:hAnsi="Arial Narrow" w:cs="Times New Roman"/>
                <w:snapToGrid/>
                <w:sz w:val="20"/>
              </w:rPr>
            </w:pPr>
          </w:p>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ESC advised that PBS subsidised treatment should cease if a patient experiences one of these [DCC, HCC, are put on the waiting list for liver transplant, receive a liver transplant, or experience PBC recurrence after liver transplant] events. The ESC considered it may also be appropriate to include a stopping or continuation rule for patients who do not demonstrate an adequate biochemical response to treatment with obeticholic acid, given that less than half of patients treated with OCA achieved the primary efficacy end point in the POISE Trial (paragraph 2.2).</w:t>
            </w:r>
          </w:p>
        </w:tc>
        <w:tc>
          <w:tcPr>
            <w:tcW w:w="1876" w:type="dxa"/>
            <w:tcMar>
              <w:left w:w="28" w:type="dxa"/>
              <w:right w:w="28" w:type="dxa"/>
            </w:tcMar>
          </w:tcPr>
          <w:p w:rsidR="00F116C2" w:rsidRDefault="004F0556">
            <w:pPr>
              <w:pStyle w:val="Tabletext"/>
            </w:pPr>
            <w:r>
              <w:t>Restriction changed to align with inclusion and exclusion criteria of the POISE trial. Continuation criteria proposed. Instructions regarding dosing not included</w:t>
            </w:r>
            <w:r>
              <w:rPr>
                <w:i/>
              </w:rPr>
              <w:t xml:space="preserve">, </w:t>
            </w:r>
            <w:r>
              <w:t>but referred to in the PI.</w:t>
            </w:r>
          </w:p>
        </w:tc>
      </w:tr>
      <w:tr w:rsidR="00F116C2">
        <w:trPr>
          <w:cantSplit/>
        </w:trPr>
        <w:tc>
          <w:tcPr>
            <w:tcW w:w="9017" w:type="dxa"/>
            <w:gridSpan w:val="3"/>
            <w:tcMar>
              <w:left w:w="28" w:type="dxa"/>
              <w:right w:w="28" w:type="dxa"/>
            </w:tcMar>
            <w:vAlign w:val="center"/>
          </w:tcPr>
          <w:p w:rsidR="00F116C2" w:rsidRDefault="004F0556">
            <w:pPr>
              <w:pStyle w:val="Tabletext"/>
              <w:rPr>
                <w:highlight w:val="cyan"/>
              </w:rPr>
            </w:pPr>
            <w:r>
              <w:rPr>
                <w:b/>
              </w:rPr>
              <w:t>Clinical evidence</w:t>
            </w:r>
          </w:p>
        </w:tc>
      </w:tr>
      <w:tr w:rsidR="00F116C2">
        <w:trPr>
          <w:cantSplit/>
        </w:trPr>
        <w:tc>
          <w:tcPr>
            <w:tcW w:w="1538" w:type="dxa"/>
            <w:tcMar>
              <w:left w:w="28" w:type="dxa"/>
              <w:right w:w="28" w:type="dxa"/>
            </w:tcMar>
          </w:tcPr>
          <w:p w:rsidR="00F116C2" w:rsidRDefault="004F0556">
            <w:pPr>
              <w:pStyle w:val="Tabletext"/>
            </w:pPr>
            <w:r>
              <w:t>Risk of bias</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ESC and PBAC considered that unblinding due to the occurrence of pruritus [in the POISE trial] introduced a moderate potential for bias (paragraph 6.9). The overall risk of bias in the 747-201 (OCA monotherapy) and 747-202 (OCA combination) trials was also considered to be moderate as there were more withdrawals in the OCA treatment groups (mostly due to pruritus) than placebo (paragraph 6.11).</w:t>
            </w:r>
          </w:p>
        </w:tc>
        <w:tc>
          <w:tcPr>
            <w:tcW w:w="1876" w:type="dxa"/>
            <w:tcMar>
              <w:left w:w="28" w:type="dxa"/>
              <w:right w:w="28" w:type="dxa"/>
            </w:tcMar>
          </w:tcPr>
          <w:p w:rsidR="00F116C2" w:rsidRDefault="004F0556">
            <w:pPr>
              <w:pStyle w:val="Tabletext"/>
            </w:pPr>
            <w:r>
              <w:t>Not addressed</w:t>
            </w:r>
          </w:p>
        </w:tc>
      </w:tr>
      <w:tr w:rsidR="00F116C2">
        <w:trPr>
          <w:cantSplit/>
        </w:trPr>
        <w:tc>
          <w:tcPr>
            <w:tcW w:w="1538" w:type="dxa"/>
            <w:tcMar>
              <w:left w:w="28" w:type="dxa"/>
              <w:right w:w="28" w:type="dxa"/>
            </w:tcMar>
          </w:tcPr>
          <w:p w:rsidR="00F116C2" w:rsidRDefault="004F0556">
            <w:pPr>
              <w:pStyle w:val="Tabletext"/>
            </w:pPr>
            <w:r>
              <w:t>Clinical claim regarding efficacy for UDCA inadequate responders</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PBAC noted that the magnitude of the benefit was uncertain given the small sample sizes of the clinical trials and the short mean duration of follow-up (12 months) in the key trial, POISE, given that PBC is a chronic disease (paragraph 6.30 and 7.5).</w:t>
            </w:r>
          </w:p>
        </w:tc>
        <w:tc>
          <w:tcPr>
            <w:tcW w:w="1876" w:type="dxa"/>
            <w:tcMar>
              <w:left w:w="28" w:type="dxa"/>
              <w:right w:w="28" w:type="dxa"/>
            </w:tcMar>
          </w:tcPr>
          <w:p w:rsidR="00F116C2" w:rsidRDefault="004F0556">
            <w:pPr>
              <w:pStyle w:val="Tabletext"/>
            </w:pPr>
            <w:r>
              <w:t>No new data provided</w:t>
            </w:r>
          </w:p>
        </w:tc>
      </w:tr>
      <w:tr w:rsidR="00F116C2">
        <w:trPr>
          <w:cantSplit/>
        </w:trPr>
        <w:tc>
          <w:tcPr>
            <w:tcW w:w="1538" w:type="dxa"/>
            <w:tcMar>
              <w:left w:w="28" w:type="dxa"/>
              <w:right w:w="28" w:type="dxa"/>
            </w:tcMar>
          </w:tcPr>
          <w:p w:rsidR="00F116C2" w:rsidRDefault="004F0556">
            <w:pPr>
              <w:pStyle w:val="Tabletext"/>
            </w:pPr>
            <w:r>
              <w:t>Clinical claim regarding efficacy for UDCA-intolerant patients</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PBAC considered it was not possible to assess the efficacy or safety of OCA monotherapy against placebo in patients who were intolerant to UDCA due to insufficient data (paragraphs 6.17, 6.32 and 7.7).</w:t>
            </w:r>
          </w:p>
        </w:tc>
        <w:tc>
          <w:tcPr>
            <w:tcW w:w="1876" w:type="dxa"/>
            <w:tcMar>
              <w:left w:w="28" w:type="dxa"/>
              <w:right w:w="28" w:type="dxa"/>
            </w:tcMar>
          </w:tcPr>
          <w:p w:rsidR="00F116C2" w:rsidRDefault="004F0556">
            <w:pPr>
              <w:pStyle w:val="Tabletext"/>
              <w:rPr>
                <w:highlight w:val="cyan"/>
              </w:rPr>
            </w:pPr>
            <w:r>
              <w:t>No new data provided, but a sub-group analysis of the POISE trial presented.</w:t>
            </w:r>
          </w:p>
        </w:tc>
      </w:tr>
      <w:tr w:rsidR="00F116C2">
        <w:trPr>
          <w:cantSplit/>
        </w:trPr>
        <w:tc>
          <w:tcPr>
            <w:tcW w:w="1538" w:type="dxa"/>
            <w:tcMar>
              <w:left w:w="28" w:type="dxa"/>
              <w:right w:w="28" w:type="dxa"/>
            </w:tcMar>
          </w:tcPr>
          <w:p w:rsidR="00F116C2" w:rsidRDefault="004F0556">
            <w:pPr>
              <w:pStyle w:val="Tabletext"/>
            </w:pPr>
            <w:r>
              <w:t>Clinical claim regarding safety</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PBAC considered that the therapeutic claim of non-inferior safety for OCA plus UDCA compared to UDCA monotherapy in patients who were inadequate UDCA responders was not reasonable based on the incidence of adverse events in the POISE trial (paragraphs 6.31 and 7.6).</w:t>
            </w:r>
          </w:p>
        </w:tc>
        <w:tc>
          <w:tcPr>
            <w:tcW w:w="1876" w:type="dxa"/>
            <w:tcMar>
              <w:left w:w="28" w:type="dxa"/>
              <w:right w:w="28" w:type="dxa"/>
            </w:tcMar>
          </w:tcPr>
          <w:p w:rsidR="00F116C2" w:rsidRDefault="004F0556">
            <w:pPr>
              <w:pStyle w:val="Tabletext"/>
            </w:pPr>
            <w:r>
              <w:t>Clinical claim changed to inferior safety.</w:t>
            </w:r>
          </w:p>
        </w:tc>
      </w:tr>
      <w:tr w:rsidR="00F116C2">
        <w:trPr>
          <w:cantSplit/>
        </w:trPr>
        <w:tc>
          <w:tcPr>
            <w:tcW w:w="9017" w:type="dxa"/>
            <w:gridSpan w:val="3"/>
            <w:tcMar>
              <w:left w:w="28" w:type="dxa"/>
              <w:right w:w="28" w:type="dxa"/>
            </w:tcMar>
            <w:vAlign w:val="center"/>
          </w:tcPr>
          <w:p w:rsidR="00F116C2" w:rsidRDefault="004F0556">
            <w:pPr>
              <w:pStyle w:val="Tabletext"/>
              <w:rPr>
                <w:highlight w:val="cyan"/>
              </w:rPr>
            </w:pPr>
            <w:r>
              <w:rPr>
                <w:b/>
              </w:rPr>
              <w:t>Economic evidence</w:t>
            </w:r>
          </w:p>
        </w:tc>
      </w:tr>
      <w:tr w:rsidR="00F116C2">
        <w:trPr>
          <w:cantSplit/>
        </w:trPr>
        <w:tc>
          <w:tcPr>
            <w:tcW w:w="1538" w:type="dxa"/>
            <w:tcMar>
              <w:left w:w="28" w:type="dxa"/>
              <w:right w:w="28" w:type="dxa"/>
            </w:tcMar>
          </w:tcPr>
          <w:p w:rsidR="00F116C2" w:rsidRDefault="004F0556">
            <w:pPr>
              <w:pStyle w:val="Tabletext"/>
            </w:pPr>
            <w:r>
              <w:t>Verification of transition probabilities</w:t>
            </w:r>
          </w:p>
        </w:tc>
        <w:tc>
          <w:tcPr>
            <w:tcW w:w="5603" w:type="dxa"/>
            <w:tcMar>
              <w:left w:w="28" w:type="dxa"/>
              <w:right w:w="28" w:type="dxa"/>
            </w:tcMar>
          </w:tcPr>
          <w:p w:rsidR="00F116C2" w:rsidRDefault="004F0556">
            <w:pPr>
              <w:widowControl/>
              <w:autoSpaceDE w:val="0"/>
              <w:autoSpaceDN w:val="0"/>
              <w:adjustRightInd w:val="0"/>
              <w:jc w:val="left"/>
            </w:pPr>
            <w:r>
              <w:rPr>
                <w:rFonts w:ascii="Arial Narrow" w:hAnsi="Arial Narrow" w:cs="Times New Roman"/>
                <w:snapToGrid/>
                <w:sz w:val="20"/>
              </w:rPr>
              <w:t>A number of the transition probabilities from the biochemical health states to the liver disease health states and between the liver disease health states were unable to be verified (paragraphs 6.39 and 7.9).</w:t>
            </w:r>
          </w:p>
        </w:tc>
        <w:tc>
          <w:tcPr>
            <w:tcW w:w="1876" w:type="dxa"/>
            <w:tcMar>
              <w:left w:w="28" w:type="dxa"/>
              <w:right w:w="28" w:type="dxa"/>
            </w:tcMar>
          </w:tcPr>
          <w:p w:rsidR="00F116C2" w:rsidRDefault="004F0556">
            <w:pPr>
              <w:pStyle w:val="Tabletext"/>
            </w:pPr>
            <w:r>
              <w:t>Some data sources changed. Many transition probabilities remain unable to be verified.</w:t>
            </w:r>
          </w:p>
        </w:tc>
      </w:tr>
      <w:tr w:rsidR="00F116C2">
        <w:trPr>
          <w:cantSplit/>
        </w:trPr>
        <w:tc>
          <w:tcPr>
            <w:tcW w:w="1538" w:type="dxa"/>
            <w:tcMar>
              <w:left w:w="28" w:type="dxa"/>
              <w:right w:w="28" w:type="dxa"/>
            </w:tcMar>
          </w:tcPr>
          <w:p w:rsidR="00F116C2" w:rsidRDefault="004F0556">
            <w:pPr>
              <w:pStyle w:val="Tabletext"/>
            </w:pPr>
            <w:r>
              <w:t>Time horizon</w:t>
            </w:r>
          </w:p>
        </w:tc>
        <w:tc>
          <w:tcPr>
            <w:tcW w:w="5603" w:type="dxa"/>
            <w:tcMar>
              <w:left w:w="28" w:type="dxa"/>
              <w:right w:w="28" w:type="dxa"/>
            </w:tcMar>
          </w:tcPr>
          <w:p w:rsidR="00F116C2" w:rsidRDefault="004F0556">
            <w:pPr>
              <w:widowControl/>
              <w:autoSpaceDE w:val="0"/>
              <w:autoSpaceDN w:val="0"/>
              <w:adjustRightInd w:val="0"/>
              <w:jc w:val="left"/>
            </w:pPr>
            <w:r>
              <w:rPr>
                <w:rFonts w:ascii="Arial Narrow" w:hAnsi="Arial Narrow" w:cs="Times New Roman"/>
                <w:snapToGrid/>
                <w:sz w:val="20"/>
              </w:rPr>
              <w:t>The 50 year time horizon of the model was long compared to the duration of follow-up in the POISE trial (12 months) (paragraphs 6.39 and 7.9).</w:t>
            </w:r>
          </w:p>
        </w:tc>
        <w:tc>
          <w:tcPr>
            <w:tcW w:w="1876" w:type="dxa"/>
            <w:tcMar>
              <w:left w:w="28" w:type="dxa"/>
              <w:right w:w="28" w:type="dxa"/>
            </w:tcMar>
          </w:tcPr>
          <w:p w:rsidR="00F116C2" w:rsidRDefault="004F0556">
            <w:pPr>
              <w:pStyle w:val="Tabletext"/>
            </w:pPr>
            <w:r>
              <w:t>Not addressed</w:t>
            </w:r>
          </w:p>
        </w:tc>
      </w:tr>
      <w:tr w:rsidR="00F116C2">
        <w:trPr>
          <w:cantSplit/>
        </w:trPr>
        <w:tc>
          <w:tcPr>
            <w:tcW w:w="1538" w:type="dxa"/>
            <w:tcMar>
              <w:left w:w="28" w:type="dxa"/>
              <w:right w:w="28" w:type="dxa"/>
            </w:tcMar>
          </w:tcPr>
          <w:p w:rsidR="00F116C2" w:rsidRDefault="004F0556">
            <w:pPr>
              <w:pStyle w:val="Tabletext"/>
            </w:pPr>
            <w:r>
              <w:t>Age of patients in the model</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mean age of patients entering the model was 47, which was based on the age of diagnosis of PBC, rather than 56, which was the mean age of patients in the POISE trial (paragraphs 6.39 and 7.9).</w:t>
            </w:r>
          </w:p>
        </w:tc>
        <w:tc>
          <w:tcPr>
            <w:tcW w:w="1876" w:type="dxa"/>
            <w:tcMar>
              <w:left w:w="28" w:type="dxa"/>
              <w:right w:w="28" w:type="dxa"/>
            </w:tcMar>
          </w:tcPr>
          <w:p w:rsidR="00F116C2" w:rsidRDefault="004F0556">
            <w:pPr>
              <w:pStyle w:val="Tabletext"/>
              <w:rPr>
                <w:highlight w:val="cyan"/>
              </w:rPr>
            </w:pPr>
            <w:r>
              <w:t>Mean age changed to 55.8 years in economic model.</w:t>
            </w:r>
          </w:p>
        </w:tc>
      </w:tr>
      <w:tr w:rsidR="00F116C2">
        <w:trPr>
          <w:cantSplit/>
        </w:trPr>
        <w:tc>
          <w:tcPr>
            <w:tcW w:w="1538" w:type="dxa"/>
            <w:tcMar>
              <w:left w:w="28" w:type="dxa"/>
              <w:right w:w="28" w:type="dxa"/>
            </w:tcMar>
          </w:tcPr>
          <w:p w:rsidR="00F116C2" w:rsidRDefault="004F0556">
            <w:pPr>
              <w:pStyle w:val="Tabletext"/>
            </w:pPr>
            <w:r>
              <w:lastRenderedPageBreak/>
              <w:t>Long-term efficacy with OCA</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Patients treated with OCA remained in the same biochemical health state from Year 2 onwards. This lacked validity considering the progressive nature of the disease (paragraphs 6.39 and 7.9).</w:t>
            </w:r>
          </w:p>
        </w:tc>
        <w:tc>
          <w:tcPr>
            <w:tcW w:w="1876" w:type="dxa"/>
            <w:tcMar>
              <w:left w:w="28" w:type="dxa"/>
              <w:right w:w="28" w:type="dxa"/>
            </w:tcMar>
          </w:tcPr>
          <w:p w:rsidR="00F116C2" w:rsidRDefault="004F0556">
            <w:pPr>
              <w:pStyle w:val="Tabletext"/>
              <w:rPr>
                <w:highlight w:val="cyan"/>
              </w:rPr>
            </w:pPr>
            <w:r>
              <w:t>Not discussed by the resubmission, but assumption relaxed based on the Markov traces.</w:t>
            </w:r>
          </w:p>
        </w:tc>
      </w:tr>
      <w:tr w:rsidR="00F116C2">
        <w:trPr>
          <w:cantSplit/>
        </w:trPr>
        <w:tc>
          <w:tcPr>
            <w:tcW w:w="1538" w:type="dxa"/>
            <w:tcMar>
              <w:left w:w="28" w:type="dxa"/>
              <w:right w:w="28" w:type="dxa"/>
            </w:tcMar>
          </w:tcPr>
          <w:p w:rsidR="00F116C2" w:rsidRDefault="004F0556">
            <w:pPr>
              <w:pStyle w:val="Tabletext"/>
            </w:pPr>
            <w:r>
              <w:t>Transition probabilities with UDCA monotherapy</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assumption that patients treated with UDCA monotherapy or receiving no treatment are unable to improve (move to lower risk biochemical health states) was inconsistent with the POISE trial and Corpechot (2000), in which 9.6% and 3% of patients, respectively, experienced response with UDCA monotherapy (paragraph 6.39).</w:t>
            </w:r>
          </w:p>
        </w:tc>
        <w:tc>
          <w:tcPr>
            <w:tcW w:w="1876" w:type="dxa"/>
            <w:tcMar>
              <w:left w:w="28" w:type="dxa"/>
              <w:right w:w="28" w:type="dxa"/>
            </w:tcMar>
          </w:tcPr>
          <w:p w:rsidR="00F116C2" w:rsidRDefault="004F0556">
            <w:pPr>
              <w:pStyle w:val="Tabletext"/>
              <w:rPr>
                <w:highlight w:val="cyan"/>
              </w:rPr>
            </w:pPr>
            <w:r>
              <w:t>Not discussed by the resubmission, but assumption relaxed based on the Markov traces.</w:t>
            </w:r>
          </w:p>
        </w:tc>
      </w:tr>
      <w:tr w:rsidR="00F116C2">
        <w:trPr>
          <w:cantSplit/>
        </w:trPr>
        <w:tc>
          <w:tcPr>
            <w:tcW w:w="1538" w:type="dxa"/>
            <w:tcMar>
              <w:left w:w="28" w:type="dxa"/>
              <w:right w:w="28" w:type="dxa"/>
            </w:tcMar>
          </w:tcPr>
          <w:p w:rsidR="00F116C2" w:rsidRDefault="004F0556">
            <w:pPr>
              <w:pStyle w:val="Tabletext"/>
            </w:pPr>
            <w:r>
              <w:t>Source of transition probabilities for UDCA monotherapy</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submission estimated transition probabilities for UDCA monotherapy using model calibration using data from POISE, rather than directly applying the transition probabilities as was used for OCA +/- UDCA. While the transition probabilities were based on POISE data, the data were unable to be verified… The ESC considered that the application of new evidence into the model essentially resulted in the model being based on a naïve indirect comparison of results against the POISE trial which had not been clinically evaluated. The ESC considered that it would have been more appropriate to use data from the POISE trial (paragraph 6.39).</w:t>
            </w:r>
          </w:p>
        </w:tc>
        <w:tc>
          <w:tcPr>
            <w:tcW w:w="1876" w:type="dxa"/>
            <w:tcMar>
              <w:left w:w="28" w:type="dxa"/>
              <w:right w:w="28" w:type="dxa"/>
            </w:tcMar>
          </w:tcPr>
          <w:p w:rsidR="00F116C2" w:rsidRDefault="004F0556">
            <w:pPr>
              <w:pStyle w:val="Tabletext"/>
            </w:pPr>
            <w:r>
              <w:t>Not addressed</w:t>
            </w:r>
          </w:p>
        </w:tc>
      </w:tr>
      <w:tr w:rsidR="00F116C2">
        <w:trPr>
          <w:cantSplit/>
        </w:trPr>
        <w:tc>
          <w:tcPr>
            <w:tcW w:w="1538" w:type="dxa"/>
            <w:tcMar>
              <w:left w:w="28" w:type="dxa"/>
              <w:right w:w="28" w:type="dxa"/>
            </w:tcMar>
          </w:tcPr>
          <w:p w:rsidR="00F116C2" w:rsidRDefault="004F0556">
            <w:pPr>
              <w:pStyle w:val="Tabletext"/>
            </w:pPr>
            <w:r>
              <w:t>Utilities for health states</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utility values applied in the model were inconsistent and lacked face validity; for example, a higher utility was applied for patients with PBC re-emergence post liver transplant than for patients post-transplant without PBC re-emergence (paragraph 6.39).</w:t>
            </w:r>
          </w:p>
        </w:tc>
        <w:tc>
          <w:tcPr>
            <w:tcW w:w="1876" w:type="dxa"/>
            <w:tcMar>
              <w:left w:w="28" w:type="dxa"/>
              <w:right w:w="28" w:type="dxa"/>
            </w:tcMar>
          </w:tcPr>
          <w:p w:rsidR="00F116C2" w:rsidRDefault="004F0556">
            <w:pPr>
              <w:pStyle w:val="Tabletext"/>
            </w:pPr>
            <w:r>
              <w:t>Utilities changed</w:t>
            </w:r>
          </w:p>
        </w:tc>
      </w:tr>
      <w:tr w:rsidR="00F116C2">
        <w:trPr>
          <w:cantSplit/>
        </w:trPr>
        <w:tc>
          <w:tcPr>
            <w:tcW w:w="1538" w:type="dxa"/>
            <w:tcMar>
              <w:left w:w="28" w:type="dxa"/>
              <w:right w:w="28" w:type="dxa"/>
            </w:tcMar>
          </w:tcPr>
          <w:p w:rsidR="00F116C2" w:rsidRDefault="004F0556">
            <w:pPr>
              <w:pStyle w:val="Tabletext"/>
            </w:pPr>
            <w:r>
              <w:t>Disutilities for adverse events</w:t>
            </w:r>
          </w:p>
        </w:tc>
        <w:tc>
          <w:tcPr>
            <w:tcW w:w="5603" w:type="dxa"/>
            <w:tcMar>
              <w:left w:w="28" w:type="dxa"/>
              <w:right w:w="28" w:type="dxa"/>
            </w:tcMar>
          </w:tcPr>
          <w:p w:rsidR="00F116C2" w:rsidRDefault="004F0556">
            <w:pPr>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submission did not apply disutilities to adverse events. This was likely to favour OCA given that a higher proportion of patients receiving OCA experienced pruritus (paragraph 6.39).</w:t>
            </w:r>
          </w:p>
        </w:tc>
        <w:tc>
          <w:tcPr>
            <w:tcW w:w="1876" w:type="dxa"/>
            <w:tcMar>
              <w:left w:w="28" w:type="dxa"/>
              <w:right w:w="28" w:type="dxa"/>
            </w:tcMar>
          </w:tcPr>
          <w:p w:rsidR="00F116C2" w:rsidRDefault="004F0556">
            <w:pPr>
              <w:pStyle w:val="Tabletext"/>
            </w:pPr>
            <w:r>
              <w:t>Not addressed</w:t>
            </w:r>
          </w:p>
        </w:tc>
      </w:tr>
      <w:tr w:rsidR="00F116C2">
        <w:trPr>
          <w:cantSplit/>
        </w:trPr>
        <w:tc>
          <w:tcPr>
            <w:tcW w:w="1538" w:type="dxa"/>
            <w:tcMar>
              <w:left w:w="28" w:type="dxa"/>
              <w:right w:w="28" w:type="dxa"/>
            </w:tcMar>
          </w:tcPr>
          <w:p w:rsidR="00F116C2" w:rsidRDefault="004F0556">
            <w:pPr>
              <w:pStyle w:val="Tabletext"/>
            </w:pPr>
            <w:r>
              <w:t>Long-term costs</w:t>
            </w:r>
          </w:p>
        </w:tc>
        <w:tc>
          <w:tcPr>
            <w:tcW w:w="5603" w:type="dxa"/>
            <w:tcMar>
              <w:left w:w="28" w:type="dxa"/>
              <w:right w:w="28" w:type="dxa"/>
            </w:tcMar>
          </w:tcPr>
          <w:p w:rsidR="00F116C2" w:rsidRDefault="004F0556">
            <w:pPr>
              <w:widowControl/>
              <w:autoSpaceDE w:val="0"/>
              <w:autoSpaceDN w:val="0"/>
              <w:adjustRightInd w:val="0"/>
              <w:jc w:val="left"/>
              <w:rPr>
                <w:rFonts w:cs="Calibri"/>
                <w:snapToGrid/>
                <w:szCs w:val="24"/>
                <w:lang w:eastAsia="en-AU"/>
              </w:rPr>
            </w:pPr>
            <w:r>
              <w:rPr>
                <w:rFonts w:ascii="Arial Narrow" w:hAnsi="Arial Narrow" w:cs="Times New Roman"/>
                <w:snapToGrid/>
                <w:sz w:val="20"/>
              </w:rPr>
              <w:t>In the model OCA and UDCA treatment costs ceased once patients progressed to the liver disease health states. Given that the submission did not propose a stopping rule in the PBS restriction, treatment costs may be underestimated (paragraph 6.39).</w:t>
            </w:r>
          </w:p>
        </w:tc>
        <w:tc>
          <w:tcPr>
            <w:tcW w:w="1876" w:type="dxa"/>
            <w:tcMar>
              <w:left w:w="28" w:type="dxa"/>
              <w:right w:w="28" w:type="dxa"/>
            </w:tcMar>
          </w:tcPr>
          <w:p w:rsidR="00F116C2" w:rsidRDefault="004F0556">
            <w:pPr>
              <w:pStyle w:val="Tabletext"/>
            </w:pPr>
            <w:r>
              <w:t>Partially addressed by proposing a continuation criteria at 12 months.</w:t>
            </w:r>
          </w:p>
        </w:tc>
      </w:tr>
      <w:tr w:rsidR="00F116C2">
        <w:trPr>
          <w:cantSplit/>
        </w:trPr>
        <w:tc>
          <w:tcPr>
            <w:tcW w:w="9017" w:type="dxa"/>
            <w:gridSpan w:val="3"/>
            <w:tcMar>
              <w:left w:w="28" w:type="dxa"/>
              <w:right w:w="28" w:type="dxa"/>
            </w:tcMar>
            <w:vAlign w:val="center"/>
          </w:tcPr>
          <w:p w:rsidR="00F116C2" w:rsidRDefault="004F0556">
            <w:pPr>
              <w:pStyle w:val="Tabletext"/>
            </w:pPr>
            <w:r>
              <w:rPr>
                <w:b/>
              </w:rPr>
              <w:t>Financial impact</w:t>
            </w:r>
          </w:p>
        </w:tc>
      </w:tr>
      <w:tr w:rsidR="00F116C2">
        <w:trPr>
          <w:cantSplit/>
        </w:trPr>
        <w:tc>
          <w:tcPr>
            <w:tcW w:w="1538" w:type="dxa"/>
            <w:tcMar>
              <w:left w:w="28" w:type="dxa"/>
              <w:right w:w="28" w:type="dxa"/>
            </w:tcMar>
          </w:tcPr>
          <w:p w:rsidR="00F116C2" w:rsidRDefault="004F0556">
            <w:pPr>
              <w:pStyle w:val="Tabletext"/>
            </w:pPr>
            <w:r>
              <w:t>Leakage</w:t>
            </w:r>
          </w:p>
        </w:tc>
        <w:tc>
          <w:tcPr>
            <w:tcW w:w="5603" w:type="dxa"/>
            <w:tcMar>
              <w:left w:w="28" w:type="dxa"/>
              <w:right w:w="28" w:type="dxa"/>
            </w:tcMar>
          </w:tcPr>
          <w:p w:rsidR="00F116C2" w:rsidRDefault="004F0556">
            <w:pPr>
              <w:widowControl/>
              <w:autoSpaceDE w:val="0"/>
              <w:autoSpaceDN w:val="0"/>
              <w:adjustRightInd w:val="0"/>
              <w:jc w:val="left"/>
            </w:pPr>
            <w:r>
              <w:rPr>
                <w:rFonts w:ascii="Arial Narrow" w:hAnsi="Arial Narrow" w:cs="Times New Roman"/>
                <w:snapToGrid/>
                <w:sz w:val="20"/>
              </w:rPr>
              <w:t>The PBAC was concerned that there was potential for OCA to be used in combination with UDCA in patients with an adequate response to UDCA in an effort to further improve biochemical markers, which are correlated with an increase in survival. The PBAC considered that a Risk Sharing Arrangement would be an appropriate method of mitigating the risk of leakage (paragraph 7.11).</w:t>
            </w:r>
          </w:p>
        </w:tc>
        <w:tc>
          <w:tcPr>
            <w:tcW w:w="1876" w:type="dxa"/>
            <w:tcMar>
              <w:left w:w="28" w:type="dxa"/>
              <w:right w:w="28" w:type="dxa"/>
            </w:tcMar>
          </w:tcPr>
          <w:p w:rsidR="00F116C2" w:rsidRDefault="004F0556">
            <w:pPr>
              <w:pStyle w:val="Tabletext"/>
              <w:rPr>
                <w:highlight w:val="cyan"/>
              </w:rPr>
            </w:pPr>
            <w:r>
              <w:t>Not addressed. No specific Risk Sharing Arrangement proposed.</w:t>
            </w:r>
          </w:p>
        </w:tc>
      </w:tr>
      <w:tr w:rsidR="00F116C2">
        <w:trPr>
          <w:cantSplit/>
        </w:trPr>
        <w:tc>
          <w:tcPr>
            <w:tcW w:w="9017" w:type="dxa"/>
            <w:gridSpan w:val="3"/>
            <w:tcMar>
              <w:left w:w="28" w:type="dxa"/>
              <w:right w:w="28" w:type="dxa"/>
            </w:tcMar>
            <w:vAlign w:val="center"/>
          </w:tcPr>
          <w:p w:rsidR="00F116C2" w:rsidRDefault="004F0556">
            <w:pPr>
              <w:pStyle w:val="Tabletext"/>
              <w:rPr>
                <w:b/>
              </w:rPr>
            </w:pPr>
            <w:r>
              <w:rPr>
                <w:b/>
              </w:rPr>
              <w:t>PBAC recommendation</w:t>
            </w:r>
          </w:p>
        </w:tc>
      </w:tr>
      <w:tr w:rsidR="00F116C2">
        <w:trPr>
          <w:cantSplit/>
        </w:trPr>
        <w:tc>
          <w:tcPr>
            <w:tcW w:w="1538" w:type="dxa"/>
            <w:tcMar>
              <w:left w:w="28" w:type="dxa"/>
              <w:right w:w="28" w:type="dxa"/>
            </w:tcMar>
          </w:tcPr>
          <w:p w:rsidR="00F116C2" w:rsidRDefault="004F0556">
            <w:pPr>
              <w:pStyle w:val="Tabletext"/>
            </w:pPr>
            <w:r>
              <w:t>Recommendation</w:t>
            </w:r>
          </w:p>
        </w:tc>
        <w:tc>
          <w:tcPr>
            <w:tcW w:w="5603" w:type="dxa"/>
            <w:tcMar>
              <w:left w:w="28" w:type="dxa"/>
              <w:right w:w="28" w:type="dxa"/>
            </w:tcMar>
          </w:tcPr>
          <w:p w:rsidR="00F116C2" w:rsidRDefault="004F0556">
            <w:pPr>
              <w:pStyle w:val="Tabletext"/>
            </w:pPr>
            <w:r>
              <w:t>The PBAC did not recommend the listing of OCA as a second-line agent in the treatment of PBC. Although acknowledging the clinical need for effective PBC treatments, the PBAC considered that the magnitude of the clinical benefit was uncertain, the ICER was unacceptably high and uncertain and the estimated financial impact was high (paragraph 7.1).</w:t>
            </w:r>
          </w:p>
        </w:tc>
        <w:tc>
          <w:tcPr>
            <w:tcW w:w="1876" w:type="dxa"/>
            <w:tcMar>
              <w:left w:w="28" w:type="dxa"/>
              <w:right w:w="28" w:type="dxa"/>
            </w:tcMar>
          </w:tcPr>
          <w:p w:rsidR="00F116C2" w:rsidRDefault="004F0556">
            <w:pPr>
              <w:pStyle w:val="Tabletext"/>
            </w:pPr>
            <w:r>
              <w:t>-</w:t>
            </w:r>
          </w:p>
        </w:tc>
      </w:tr>
    </w:tbl>
    <w:p w:rsidR="00F116C2" w:rsidRDefault="004F0556">
      <w:pPr>
        <w:pStyle w:val="TableFooter"/>
        <w:widowControl/>
      </w:pPr>
      <w:r>
        <w:t>ALP = alkaline phosphatase; DCC = decompensated cirrhosis; ESC = Economic Sub-Committee; HCC = hepatocellular cancer; ICER = incremental cost-effectiveness ratio; OCA = obeticholic acid; PBC = primary biliary cholangitis; PBAC = Pharmaceutical Benefits Advisory Committee; PBS = Pharmaceutical Benefits Scheme; PI = Product Information; PSD = Public Summary Document; UDCA = ursodeoxycholic acid; ULN = upper limit of normal</w:t>
      </w:r>
    </w:p>
    <w:p w:rsidR="00F116C2" w:rsidRDefault="004F0556">
      <w:pPr>
        <w:pStyle w:val="TableFooter"/>
        <w:widowControl/>
      </w:pPr>
      <w:r>
        <w:t>Source: Complied during the evaluation</w:t>
      </w:r>
    </w:p>
    <w:p w:rsidR="00F116C2" w:rsidRDefault="00F116C2"/>
    <w:p w:rsidR="00F116C2" w:rsidRDefault="004F0556">
      <w:pPr>
        <w:rPr>
          <w:i/>
        </w:rPr>
      </w:pPr>
      <w:r>
        <w:rPr>
          <w:i/>
        </w:rPr>
        <w:tab/>
        <w:t>For more detail on PBAC’s view, see Section 7 PBAC outcome.</w:t>
      </w:r>
    </w:p>
    <w:p w:rsidR="00F116C2" w:rsidRDefault="004F0556">
      <w:pPr>
        <w:pStyle w:val="PBACHeading1"/>
      </w:pPr>
      <w:bookmarkStart w:id="8" w:name="_Toc9335710"/>
      <w:r>
        <w:lastRenderedPageBreak/>
        <w:t>Population and disease</w:t>
      </w:r>
      <w:bookmarkEnd w:id="8"/>
    </w:p>
    <w:p w:rsidR="00F116C2" w:rsidRDefault="004F0556">
      <w:pPr>
        <w:pStyle w:val="ListParagraph"/>
        <w:keepNext/>
        <w:widowControl/>
        <w:numPr>
          <w:ilvl w:val="1"/>
          <w:numId w:val="2"/>
        </w:numPr>
      </w:pPr>
      <w:r>
        <w:t>PBC was recently renamed from primary biliary cirrhosis. PBC is a rare, progressive, autoimmune, non-viral disease of the liver that gradually destroys the interlobular bile ducts. While the cause of the disease is unknown, a combination of multiple genetic factors and environmental factors are thought to trigger PBC.</w:t>
      </w:r>
    </w:p>
    <w:p w:rsidR="00F116C2" w:rsidRDefault="004F0556">
      <w:pPr>
        <w:pStyle w:val="ListParagraph"/>
        <w:widowControl/>
        <w:numPr>
          <w:ilvl w:val="1"/>
          <w:numId w:val="2"/>
        </w:numPr>
      </w:pPr>
      <w:r>
        <w:t>The resubmission estimated there are approximately 1,275 PBC patients in Australia based on the prevalence of PBC at 51 per million population (Sood, 2004). However, Watson (1995) estimated a lower PBC prevalence rate at 19.1 per million population, resulting in 481 PBC patients in Australia based on current population estimates. The resubmission also provided estimates of prevalence in Victoria (1,012 from 2013) based on estimates from Australian specialists. This results in a prevalence rate of approximately 161 cases per million which equates to approximately 4,071 PBC patients in Australia, based on the current population size. The source of this latter estimate was unable to be verified. The DUSC estimated, based on the number of patients receiving UDCA, that there were approximately 8,200 PBC patients in Australia in 2017 (Table 2, p5, Obeticholic acid DUSC Advice, November 2018).</w:t>
      </w:r>
    </w:p>
    <w:p w:rsidR="00F116C2" w:rsidRDefault="004F0556">
      <w:pPr>
        <w:pStyle w:val="ListParagraph"/>
        <w:widowControl/>
        <w:numPr>
          <w:ilvl w:val="1"/>
          <w:numId w:val="2"/>
        </w:numPr>
      </w:pPr>
      <w:r>
        <w:t>PBC is more prevalent in adults aged over 40 years, females and people of European descent.</w:t>
      </w:r>
    </w:p>
    <w:p w:rsidR="00F116C2" w:rsidRDefault="004F0556">
      <w:pPr>
        <w:pStyle w:val="ListParagraph"/>
        <w:widowControl/>
        <w:numPr>
          <w:ilvl w:val="1"/>
          <w:numId w:val="2"/>
        </w:numPr>
      </w:pPr>
      <w:r>
        <w:t xml:space="preserve">For non-cirrhotic or compensated Child-Pugh Class A, the recommended starting dose is 5 mg once daily. Based on the assessment of tolerability after six months, the dose should be increased to 10 mg once daily to achieve optimal response (referred to as OCA 5-10 mg titration hereafter). The OCA dose is adjusted for patients with Child-Pugh Class B or C or patients with a prior decompensation event, or to manage pruritus to 5 mg up to twice weekly. Based on the assessment of tolerability this can be increased to 10 mg up to twice weekly. </w:t>
      </w:r>
    </w:p>
    <w:p w:rsidR="00F116C2" w:rsidRDefault="004F0556">
      <w:pPr>
        <w:pStyle w:val="ListParagraph"/>
        <w:widowControl/>
        <w:rPr>
          <w:i/>
        </w:rPr>
      </w:pPr>
      <w:r>
        <w:rPr>
          <w:i/>
        </w:rPr>
        <w:t>For more detail on PBAC’s view, see Section 7 PBAC outcome.</w:t>
      </w:r>
    </w:p>
    <w:p w:rsidR="00F116C2" w:rsidRDefault="004F0556">
      <w:pPr>
        <w:pStyle w:val="PBACHeading1"/>
      </w:pPr>
      <w:bookmarkStart w:id="9" w:name="_Toc9335711"/>
      <w:r>
        <w:t>Comparator</w:t>
      </w:r>
      <w:bookmarkEnd w:id="9"/>
    </w:p>
    <w:p w:rsidR="00F116C2" w:rsidRDefault="004F0556">
      <w:pPr>
        <w:pStyle w:val="ListParagraph"/>
        <w:widowControl/>
        <w:numPr>
          <w:ilvl w:val="1"/>
          <w:numId w:val="2"/>
        </w:numPr>
        <w:rPr>
          <w:rFonts w:cs="Calibri"/>
          <w:snapToGrid/>
          <w:szCs w:val="24"/>
          <w:lang w:eastAsia="en-AU"/>
        </w:rPr>
      </w:pPr>
      <w:r>
        <w:rPr>
          <w:rFonts w:cs="Calibri"/>
          <w:snapToGrid/>
          <w:szCs w:val="24"/>
          <w:lang w:eastAsia="en-AU"/>
        </w:rPr>
        <w:t>The resubmission again proposed the following main comparators:</w:t>
      </w:r>
    </w:p>
    <w:p w:rsidR="00F116C2" w:rsidRDefault="004F0556">
      <w:pPr>
        <w:pStyle w:val="ListParagraph"/>
        <w:widowControl/>
        <w:numPr>
          <w:ilvl w:val="1"/>
          <w:numId w:val="5"/>
        </w:numPr>
        <w:ind w:left="1134" w:hanging="283"/>
        <w:rPr>
          <w:rFonts w:cs="Calibri"/>
          <w:snapToGrid/>
          <w:szCs w:val="24"/>
          <w:lang w:eastAsia="en-AU"/>
        </w:rPr>
      </w:pPr>
      <w:r>
        <w:rPr>
          <w:rFonts w:cs="Calibri"/>
          <w:snapToGrid/>
          <w:szCs w:val="24"/>
          <w:lang w:eastAsia="en-AU"/>
        </w:rPr>
        <w:t>UDCA inadequate responders: UDCA monotherapy; and</w:t>
      </w:r>
    </w:p>
    <w:p w:rsidR="00F116C2" w:rsidRDefault="004F0556">
      <w:pPr>
        <w:pStyle w:val="ListParagraph"/>
        <w:widowControl/>
        <w:numPr>
          <w:ilvl w:val="1"/>
          <w:numId w:val="5"/>
        </w:numPr>
        <w:ind w:left="1134" w:hanging="283"/>
      </w:pPr>
      <w:r>
        <w:rPr>
          <w:rFonts w:cs="Calibri"/>
          <w:snapToGrid/>
          <w:szCs w:val="24"/>
          <w:lang w:eastAsia="en-AU"/>
        </w:rPr>
        <w:t>UDCA intolerant patients: placebo or no treatment.</w:t>
      </w:r>
    </w:p>
    <w:p w:rsidR="00F116C2" w:rsidRDefault="004F0556">
      <w:pPr>
        <w:pStyle w:val="ListParagraph"/>
        <w:widowControl/>
        <w:numPr>
          <w:ilvl w:val="1"/>
          <w:numId w:val="2"/>
        </w:numPr>
      </w:pPr>
      <w:r>
        <w:t>The PBAC had previously considered these to be the appropriate comparators (paragraph 7.4, obeticholic acid PSD, November 2018).</w:t>
      </w:r>
    </w:p>
    <w:p w:rsidR="00F116C2" w:rsidRDefault="004F0556">
      <w:pPr>
        <w:pStyle w:val="ListParagraph"/>
        <w:widowControl/>
      </w:pPr>
      <w:r>
        <w:rPr>
          <w:i/>
        </w:rPr>
        <w:t>For more detail on PBAC’s view, see Section 7 PBAC outcome</w:t>
      </w:r>
      <w:r>
        <w:t>.</w:t>
      </w:r>
    </w:p>
    <w:p w:rsidR="00F116C2" w:rsidRDefault="004F0556">
      <w:pPr>
        <w:pStyle w:val="PBACHeading1"/>
      </w:pPr>
      <w:bookmarkStart w:id="10" w:name="_Toc9335712"/>
      <w:r>
        <w:lastRenderedPageBreak/>
        <w:t>Consideration of the evidence</w:t>
      </w:r>
      <w:bookmarkEnd w:id="10"/>
    </w:p>
    <w:p w:rsidR="00F116C2" w:rsidRDefault="004F0556">
      <w:pPr>
        <w:pStyle w:val="Heading2"/>
      </w:pPr>
      <w:bookmarkStart w:id="11" w:name="_Toc9335713"/>
      <w:r>
        <w:t>Sponsor hearing</w:t>
      </w:r>
    </w:p>
    <w:p w:rsidR="00F116C2" w:rsidRDefault="004F0556">
      <w:pPr>
        <w:numPr>
          <w:ilvl w:val="1"/>
          <w:numId w:val="2"/>
        </w:numPr>
        <w:spacing w:after="120"/>
        <w:rPr>
          <w:rFonts w:asciiTheme="minorHAnsi" w:hAnsiTheme="minorHAnsi"/>
          <w:bCs/>
        </w:rPr>
      </w:pPr>
      <w:r>
        <w:rPr>
          <w:rFonts w:asciiTheme="minorHAnsi" w:hAnsiTheme="minorHAnsi"/>
          <w:bCs/>
        </w:rPr>
        <w:t>There was no hearing for this item.</w:t>
      </w:r>
    </w:p>
    <w:p w:rsidR="00F116C2" w:rsidRDefault="004F0556">
      <w:pPr>
        <w:pStyle w:val="Heading2"/>
      </w:pPr>
      <w:r>
        <w:t>Consumer comments</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noted and welcomed the input from individuals (31) and organisations (1) via the Consumer Comments facility on the PBS website. The comments described a range of benefits of treatment with obeticholic acid including providing a treatment option once UDCA ceases to work, improved symptom control and improved quality of life. </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noted the advice received from the PBC Foundation (UK) which advised that the use of obeticholic acid reduces symptom burden, improves quality of life, slows disease progression and improves biochemical markers. </w:t>
      </w:r>
    </w:p>
    <w:p w:rsidR="00F116C2" w:rsidRDefault="004F0556">
      <w:pPr>
        <w:pStyle w:val="Heading2"/>
        <w:widowControl/>
      </w:pPr>
      <w:r>
        <w:t>Clinical trials</w:t>
      </w:r>
      <w:bookmarkEnd w:id="11"/>
    </w:p>
    <w:p w:rsidR="00F116C2" w:rsidRDefault="004F0556">
      <w:pPr>
        <w:pStyle w:val="ListParagraph"/>
        <w:widowControl/>
        <w:numPr>
          <w:ilvl w:val="1"/>
          <w:numId w:val="2"/>
        </w:numPr>
      </w:pPr>
      <w:r>
        <w:t>The ESC noted that the clinical evidence presented was unchanged from the previous submission.</w:t>
      </w:r>
    </w:p>
    <w:p w:rsidR="00F116C2" w:rsidRDefault="004F0556">
      <w:pPr>
        <w:pStyle w:val="ListParagraph"/>
        <w:widowControl/>
        <w:numPr>
          <w:ilvl w:val="1"/>
          <w:numId w:val="2"/>
        </w:numPr>
      </w:pPr>
      <w:r>
        <w:t xml:space="preserve">Both submissions were based on: </w:t>
      </w:r>
    </w:p>
    <w:p w:rsidR="00F116C2" w:rsidRDefault="004F0556">
      <w:pPr>
        <w:pStyle w:val="ListParagraph"/>
        <w:widowControl/>
        <w:numPr>
          <w:ilvl w:val="1"/>
          <w:numId w:val="31"/>
        </w:numPr>
        <w:ind w:left="1077" w:hanging="357"/>
      </w:pPr>
      <w:r>
        <w:t>The POISE trail, a head-to-head randomised trial (RCT) comparing:</w:t>
      </w:r>
    </w:p>
    <w:p w:rsidR="00F116C2" w:rsidRDefault="004F0556">
      <w:pPr>
        <w:pStyle w:val="ListParagraph"/>
        <w:widowControl/>
        <w:numPr>
          <w:ilvl w:val="2"/>
          <w:numId w:val="32"/>
        </w:numPr>
        <w:ind w:left="1434" w:hanging="357"/>
      </w:pPr>
      <w:r>
        <w:t>OCA+UDCA versus UDCA+placebo in patients with an inadequate response to UDCA (OCA 5-10 mg titration: N = 65; OCA 10 mg: N = 67; placebo: N = 68) or</w:t>
      </w:r>
    </w:p>
    <w:p w:rsidR="00F116C2" w:rsidRDefault="004F0556">
      <w:pPr>
        <w:pStyle w:val="ListParagraph"/>
        <w:widowControl/>
        <w:numPr>
          <w:ilvl w:val="2"/>
          <w:numId w:val="32"/>
        </w:numPr>
        <w:ind w:left="1434" w:hanging="357"/>
      </w:pPr>
      <w:r>
        <w:t>OCA versus placebo in patients with intolerance to UDCA (OCA 5-10 mg titration: N = 5; OCA 10 mg: N = 6; placebo: N = 5);</w:t>
      </w:r>
    </w:p>
    <w:p w:rsidR="00F116C2" w:rsidRDefault="004F0556">
      <w:pPr>
        <w:pStyle w:val="ListParagraph"/>
        <w:widowControl/>
        <w:numPr>
          <w:ilvl w:val="1"/>
          <w:numId w:val="34"/>
        </w:numPr>
        <w:ind w:left="1077" w:hanging="357"/>
      </w:pPr>
      <w:r>
        <w:t>Two supplementary RCTs:</w:t>
      </w:r>
    </w:p>
    <w:p w:rsidR="00F116C2" w:rsidRDefault="004F0556">
      <w:pPr>
        <w:pStyle w:val="ListParagraph"/>
        <w:widowControl/>
        <w:numPr>
          <w:ilvl w:val="2"/>
          <w:numId w:val="35"/>
        </w:numPr>
        <w:ind w:left="1434" w:hanging="357"/>
      </w:pPr>
      <w:r>
        <w:t xml:space="preserve">The 747-201 trial comparing OCA as monotherapy versus placebo (placebo: N = 24; OCA 10 mg: N = 20; OCA 50 mg: N = 16); and </w:t>
      </w:r>
    </w:p>
    <w:p w:rsidR="00F116C2" w:rsidRDefault="004F0556">
      <w:pPr>
        <w:pStyle w:val="ListParagraph"/>
        <w:widowControl/>
        <w:numPr>
          <w:ilvl w:val="2"/>
          <w:numId w:val="35"/>
        </w:numPr>
        <w:ind w:left="1434" w:hanging="357"/>
      </w:pPr>
      <w:r>
        <w:t>The 747-202 trial comparing OCA+UDCA versus UDCA+placebo (placebo: N = 38; OCA 10 mg: N = 38; OCA 25 mg: N = 48; OCA 50 mg: N = 41); and</w:t>
      </w:r>
    </w:p>
    <w:p w:rsidR="00F116C2" w:rsidRDefault="004F0556">
      <w:pPr>
        <w:pStyle w:val="ListParagraph"/>
        <w:widowControl/>
        <w:numPr>
          <w:ilvl w:val="1"/>
          <w:numId w:val="37"/>
        </w:numPr>
        <w:ind w:left="1077" w:hanging="357"/>
        <w:rPr>
          <w:rFonts w:cs="Calibri"/>
          <w:snapToGrid/>
          <w:szCs w:val="24"/>
          <w:lang w:eastAsia="en-AU"/>
        </w:rPr>
      </w:pPr>
      <w:r>
        <w:rPr>
          <w:rFonts w:cs="Calibri"/>
          <w:snapToGrid/>
          <w:szCs w:val="24"/>
          <w:lang w:eastAsia="en-AU"/>
        </w:rPr>
        <w:t>The open-label, long-term safety extension (LTSE) study of the POISE trial (POISE LTSE) (N = 193). All patients in the POISE LTSE received OCA at a dose of 5 mg (including those who have been taking OCA 10 mg in the double-blind phase) +/- UDCA for the first 3 months, after which time the dose could be increased.</w:t>
      </w:r>
    </w:p>
    <w:p w:rsidR="00F116C2" w:rsidRDefault="004F0556">
      <w:pPr>
        <w:pStyle w:val="ListParagraph"/>
        <w:widowControl/>
        <w:numPr>
          <w:ilvl w:val="1"/>
          <w:numId w:val="2"/>
        </w:numPr>
      </w:pPr>
      <w:r>
        <w:rPr>
          <w:rFonts w:cs="Calibri"/>
          <w:snapToGrid/>
          <w:szCs w:val="24"/>
          <w:lang w:eastAsia="en-AU"/>
        </w:rPr>
        <w:t>Table 3 presents the details of the trials presented.</w:t>
      </w:r>
    </w:p>
    <w:p w:rsidR="00E5768D" w:rsidRPr="00E5768D" w:rsidRDefault="00E5768D" w:rsidP="00E5768D">
      <w:pPr>
        <w:keepNext/>
        <w:widowControl/>
        <w:rPr>
          <w:rStyle w:val="CommentReference"/>
        </w:rPr>
      </w:pPr>
      <w:r w:rsidRPr="00E5768D">
        <w:rPr>
          <w:rStyle w:val="CommentReference"/>
        </w:rPr>
        <w:lastRenderedPageBreak/>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3</w:t>
      </w:r>
      <w:r w:rsidRPr="00E5768D">
        <w:rPr>
          <w:rStyle w:val="CommentReference"/>
        </w:rPr>
        <w:fldChar w:fldCharType="end"/>
      </w:r>
      <w:r w:rsidRPr="00E5768D">
        <w:rPr>
          <w:rStyle w:val="CommentReference"/>
        </w:rPr>
        <w:t>: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704"/>
        <w:gridCol w:w="6225"/>
        <w:gridCol w:w="2088"/>
      </w:tblGrid>
      <w:tr w:rsidR="00F116C2">
        <w:trPr>
          <w:tblHeader/>
        </w:trPr>
        <w:tc>
          <w:tcPr>
            <w:tcW w:w="704" w:type="dxa"/>
            <w:vAlign w:val="center"/>
          </w:tcPr>
          <w:p w:rsidR="00F116C2" w:rsidRDefault="00F116C2">
            <w:pPr>
              <w:pStyle w:val="Tabletext"/>
              <w:keepNext/>
              <w:rPr>
                <w:b/>
              </w:rPr>
            </w:pPr>
          </w:p>
        </w:tc>
        <w:tc>
          <w:tcPr>
            <w:tcW w:w="6225" w:type="dxa"/>
            <w:vAlign w:val="center"/>
          </w:tcPr>
          <w:p w:rsidR="00F116C2" w:rsidRDefault="004F0556">
            <w:pPr>
              <w:pStyle w:val="Tabletext"/>
              <w:keepNext/>
              <w:jc w:val="center"/>
              <w:rPr>
                <w:b/>
              </w:rPr>
            </w:pPr>
            <w:r>
              <w:rPr>
                <w:b/>
              </w:rPr>
              <w:t>Protocol title/ Publication title</w:t>
            </w:r>
          </w:p>
        </w:tc>
        <w:tc>
          <w:tcPr>
            <w:tcW w:w="0" w:type="auto"/>
            <w:vAlign w:val="center"/>
          </w:tcPr>
          <w:p w:rsidR="00F116C2" w:rsidRDefault="004F0556">
            <w:pPr>
              <w:pStyle w:val="Tabletext"/>
              <w:keepNext/>
              <w:jc w:val="center"/>
              <w:rPr>
                <w:b/>
              </w:rPr>
            </w:pPr>
            <w:r>
              <w:rPr>
                <w:b/>
              </w:rPr>
              <w:t>Publication citation</w:t>
            </w:r>
          </w:p>
        </w:tc>
      </w:tr>
      <w:tr w:rsidR="00F116C2">
        <w:tc>
          <w:tcPr>
            <w:tcW w:w="704" w:type="dxa"/>
            <w:vMerge w:val="restart"/>
            <w:tcBorders>
              <w:top w:val="single" w:sz="4" w:space="0" w:color="auto"/>
            </w:tcBorders>
          </w:tcPr>
          <w:p w:rsidR="00F116C2" w:rsidRDefault="004F0556">
            <w:pPr>
              <w:pStyle w:val="Tabletext"/>
              <w:keepNext/>
            </w:pPr>
            <w:r>
              <w:t>POISE</w:t>
            </w:r>
          </w:p>
        </w:tc>
        <w:tc>
          <w:tcPr>
            <w:tcW w:w="6225" w:type="dxa"/>
            <w:tcBorders>
              <w:top w:val="single" w:sz="4" w:space="0" w:color="auto"/>
              <w:bottom w:val="nil"/>
            </w:tcBorders>
          </w:tcPr>
          <w:p w:rsidR="00F116C2" w:rsidRDefault="004F0556">
            <w:pPr>
              <w:pStyle w:val="Tabletext"/>
              <w:keepNext/>
              <w:rPr>
                <w:szCs w:val="18"/>
              </w:rPr>
            </w:pPr>
            <w:r>
              <w:rPr>
                <w:rFonts w:cstheme="minorHAnsi"/>
                <w:szCs w:val="18"/>
              </w:rPr>
              <w:t>A Phase 3, double blind, placebo controlled trial and long term safety extension of obeticholic acid in patients with primary biliary cirrhosis (POISE)</w:t>
            </w:r>
          </w:p>
        </w:tc>
        <w:tc>
          <w:tcPr>
            <w:tcW w:w="0" w:type="auto"/>
            <w:tcBorders>
              <w:top w:val="single" w:sz="4" w:space="0" w:color="auto"/>
              <w:bottom w:val="nil"/>
            </w:tcBorders>
          </w:tcPr>
          <w:p w:rsidR="00F116C2" w:rsidRDefault="004F0556">
            <w:pPr>
              <w:pStyle w:val="Tabletext"/>
              <w:keepNext/>
              <w:rPr>
                <w:i/>
                <w:szCs w:val="18"/>
              </w:rPr>
            </w:pPr>
            <w:r>
              <w:rPr>
                <w:rFonts w:cstheme="minorHAnsi"/>
                <w:szCs w:val="18"/>
              </w:rPr>
              <w:t>Intercept Pharmaceuticals 2015</w:t>
            </w:r>
          </w:p>
        </w:tc>
      </w:tr>
      <w:tr w:rsidR="00F116C2">
        <w:tc>
          <w:tcPr>
            <w:tcW w:w="704" w:type="dxa"/>
            <w:vMerge/>
            <w:tcBorders>
              <w:bottom w:val="single" w:sz="4" w:space="0" w:color="auto"/>
            </w:tcBorders>
          </w:tcPr>
          <w:p w:rsidR="00F116C2" w:rsidRDefault="00F116C2">
            <w:pPr>
              <w:pStyle w:val="Tabletext"/>
              <w:keepNext/>
            </w:pPr>
          </w:p>
        </w:tc>
        <w:tc>
          <w:tcPr>
            <w:tcW w:w="6225" w:type="dxa"/>
            <w:tcBorders>
              <w:top w:val="nil"/>
              <w:bottom w:val="single" w:sz="4" w:space="0" w:color="auto"/>
            </w:tcBorders>
          </w:tcPr>
          <w:p w:rsidR="00F116C2" w:rsidRDefault="004F0556">
            <w:pPr>
              <w:pStyle w:val="Tabletext"/>
              <w:keepNext/>
              <w:rPr>
                <w:rFonts w:cstheme="minorHAnsi"/>
                <w:szCs w:val="18"/>
              </w:rPr>
            </w:pPr>
            <w:r>
              <w:rPr>
                <w:rFonts w:cstheme="minorHAnsi"/>
                <w:szCs w:val="18"/>
              </w:rPr>
              <w:t>Nevens F, Andreone P, Mazzella G, Strasser SI, Bowlus C, Invernizzi P, et al. A placebo-controlled trial of obeticholic acid in primary biliary cholangitis</w:t>
            </w:r>
          </w:p>
        </w:tc>
        <w:tc>
          <w:tcPr>
            <w:tcW w:w="0" w:type="auto"/>
            <w:tcBorders>
              <w:top w:val="nil"/>
              <w:bottom w:val="single" w:sz="4" w:space="0" w:color="auto"/>
            </w:tcBorders>
          </w:tcPr>
          <w:p w:rsidR="00F116C2" w:rsidRDefault="004F0556">
            <w:pPr>
              <w:pStyle w:val="Tabletext"/>
              <w:keepNext/>
              <w:spacing w:after="60"/>
              <w:rPr>
                <w:rFonts w:cstheme="minorHAnsi"/>
                <w:szCs w:val="18"/>
              </w:rPr>
            </w:pPr>
            <w:r>
              <w:rPr>
                <w:rFonts w:cstheme="minorHAnsi"/>
                <w:i/>
                <w:szCs w:val="18"/>
              </w:rPr>
              <w:t>NEJM</w:t>
            </w:r>
            <w:r>
              <w:rPr>
                <w:rFonts w:cstheme="minorHAnsi"/>
                <w:szCs w:val="18"/>
              </w:rPr>
              <w:t xml:space="preserve">. 2016;375(7):631-43. </w:t>
            </w:r>
          </w:p>
        </w:tc>
      </w:tr>
      <w:tr w:rsidR="00F116C2">
        <w:tc>
          <w:tcPr>
            <w:tcW w:w="704" w:type="dxa"/>
            <w:tcBorders>
              <w:top w:val="single" w:sz="4" w:space="0" w:color="auto"/>
              <w:bottom w:val="single" w:sz="4" w:space="0" w:color="auto"/>
            </w:tcBorders>
          </w:tcPr>
          <w:p w:rsidR="00F116C2" w:rsidRDefault="004F0556">
            <w:pPr>
              <w:pStyle w:val="Tabletext"/>
              <w:keepNext/>
            </w:pPr>
            <w:r>
              <w:rPr>
                <w:rFonts w:cstheme="minorHAnsi"/>
                <w:szCs w:val="18"/>
              </w:rPr>
              <w:t>747-201</w:t>
            </w:r>
          </w:p>
        </w:tc>
        <w:tc>
          <w:tcPr>
            <w:tcW w:w="6225" w:type="dxa"/>
            <w:tcBorders>
              <w:top w:val="single" w:sz="4" w:space="0" w:color="auto"/>
              <w:bottom w:val="single" w:sz="4" w:space="0" w:color="auto"/>
            </w:tcBorders>
          </w:tcPr>
          <w:p w:rsidR="00F116C2" w:rsidRDefault="004F0556">
            <w:pPr>
              <w:pStyle w:val="Tabletext"/>
              <w:keepNext/>
              <w:rPr>
                <w:rFonts w:cstheme="minorHAnsi"/>
                <w:szCs w:val="18"/>
              </w:rPr>
            </w:pPr>
            <w:r>
              <w:rPr>
                <w:rFonts w:cs="Arial"/>
                <w:szCs w:val="18"/>
              </w:rPr>
              <w:t xml:space="preserve">Kowdley K, Luketic V, Chapman RW, et al. A randomized trial of obeticholic acid monotherapy in patients with primary biliary cholangitis. </w:t>
            </w:r>
          </w:p>
        </w:tc>
        <w:tc>
          <w:tcPr>
            <w:tcW w:w="0" w:type="auto"/>
            <w:tcBorders>
              <w:top w:val="single" w:sz="4" w:space="0" w:color="auto"/>
              <w:bottom w:val="single" w:sz="4" w:space="0" w:color="auto"/>
            </w:tcBorders>
          </w:tcPr>
          <w:p w:rsidR="00F116C2" w:rsidRDefault="004F0556">
            <w:pPr>
              <w:pStyle w:val="Tabletext"/>
              <w:keepNext/>
              <w:spacing w:after="60"/>
              <w:rPr>
                <w:rFonts w:cstheme="minorHAnsi"/>
                <w:szCs w:val="18"/>
              </w:rPr>
            </w:pPr>
            <w:r>
              <w:rPr>
                <w:rFonts w:cs="Arial"/>
                <w:i/>
                <w:szCs w:val="18"/>
              </w:rPr>
              <w:t>Hepatology</w:t>
            </w:r>
            <w:r>
              <w:rPr>
                <w:rFonts w:cs="Arial"/>
                <w:szCs w:val="18"/>
              </w:rPr>
              <w:t>. 2018; 67 (5): 1890-1902.</w:t>
            </w:r>
          </w:p>
        </w:tc>
      </w:tr>
      <w:tr w:rsidR="00F116C2">
        <w:tc>
          <w:tcPr>
            <w:tcW w:w="704" w:type="dxa"/>
            <w:tcBorders>
              <w:top w:val="single" w:sz="4" w:space="0" w:color="auto"/>
              <w:bottom w:val="single" w:sz="4" w:space="0" w:color="auto"/>
            </w:tcBorders>
          </w:tcPr>
          <w:p w:rsidR="00F116C2" w:rsidRDefault="004F0556">
            <w:pPr>
              <w:pStyle w:val="Tabletext"/>
              <w:keepNext/>
            </w:pPr>
            <w:r>
              <w:rPr>
                <w:rFonts w:cstheme="minorHAnsi"/>
                <w:szCs w:val="18"/>
              </w:rPr>
              <w:t>747-202</w:t>
            </w:r>
          </w:p>
        </w:tc>
        <w:tc>
          <w:tcPr>
            <w:tcW w:w="6225" w:type="dxa"/>
            <w:tcBorders>
              <w:top w:val="single" w:sz="4" w:space="0" w:color="auto"/>
              <w:bottom w:val="single" w:sz="4" w:space="0" w:color="auto"/>
            </w:tcBorders>
          </w:tcPr>
          <w:p w:rsidR="00F116C2" w:rsidRDefault="004F0556">
            <w:pPr>
              <w:pStyle w:val="Tabletext"/>
              <w:keepNext/>
              <w:rPr>
                <w:rFonts w:cstheme="minorHAnsi"/>
                <w:szCs w:val="18"/>
              </w:rPr>
            </w:pPr>
            <w:r>
              <w:rPr>
                <w:rFonts w:cstheme="minorHAnsi"/>
                <w:szCs w:val="18"/>
              </w:rPr>
              <w:t>Hirschfield GM, Mason A, Luketic V, Lindor K, Gordon SC, Mayo M, et al. Efficacy of obeticholic acid in patients with primary biliary cirrhosis and inadequate response to ursodeoxycholic acid.</w:t>
            </w:r>
          </w:p>
        </w:tc>
        <w:tc>
          <w:tcPr>
            <w:tcW w:w="0" w:type="auto"/>
            <w:tcBorders>
              <w:top w:val="single" w:sz="4" w:space="0" w:color="auto"/>
              <w:bottom w:val="single" w:sz="4" w:space="0" w:color="auto"/>
            </w:tcBorders>
          </w:tcPr>
          <w:p w:rsidR="00F116C2" w:rsidRDefault="004F0556">
            <w:pPr>
              <w:pStyle w:val="Tabletext"/>
              <w:keepNext/>
              <w:rPr>
                <w:rFonts w:cstheme="minorHAnsi"/>
                <w:szCs w:val="18"/>
              </w:rPr>
            </w:pPr>
            <w:r>
              <w:rPr>
                <w:rFonts w:cstheme="minorHAnsi"/>
                <w:i/>
                <w:szCs w:val="18"/>
              </w:rPr>
              <w:t>Gastroenterology</w:t>
            </w:r>
            <w:r>
              <w:rPr>
                <w:rFonts w:cstheme="minorHAnsi"/>
                <w:szCs w:val="18"/>
              </w:rPr>
              <w:t>. 2015; 148(4):751-61 e8.</w:t>
            </w:r>
          </w:p>
        </w:tc>
      </w:tr>
    </w:tbl>
    <w:p w:rsidR="00F116C2" w:rsidRDefault="004F0556">
      <w:pPr>
        <w:pStyle w:val="TableFooter"/>
        <w:keepNext/>
        <w:widowControl/>
        <w:rPr>
          <w:sz w:val="20"/>
        </w:rPr>
      </w:pPr>
      <w:r>
        <w:t xml:space="preserve">Source: Table 2.2.2, p60 -63 of the previous submission </w:t>
      </w:r>
    </w:p>
    <w:p w:rsidR="00F116C2" w:rsidRDefault="00F116C2">
      <w:pPr>
        <w:widowControl/>
      </w:pPr>
    </w:p>
    <w:p w:rsidR="00F116C2" w:rsidRDefault="004F0556">
      <w:pPr>
        <w:pStyle w:val="ListParagraph"/>
        <w:widowControl/>
        <w:numPr>
          <w:ilvl w:val="1"/>
          <w:numId w:val="2"/>
        </w:numPr>
      </w:pPr>
      <w:r>
        <w:t xml:space="preserve">The key features of the direct randomised controlled trials are summarised in Table 4. </w:t>
      </w:r>
    </w:p>
    <w:p w:rsidR="00E5768D" w:rsidRPr="00E5768D" w:rsidRDefault="00E5768D" w:rsidP="00E5768D">
      <w:pPr>
        <w:keepNext/>
        <w:widowControl/>
        <w:rPr>
          <w:rStyle w:val="CommentReference"/>
        </w:rPr>
      </w:pPr>
      <w:r w:rsidRPr="00E5768D">
        <w:rPr>
          <w:rStyle w:val="CommentReference"/>
        </w:rPr>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4</w:t>
      </w:r>
      <w:r w:rsidRPr="00E5768D">
        <w:rPr>
          <w:rStyle w:val="CommentReference"/>
        </w:rPr>
        <w:fldChar w:fldCharType="end"/>
      </w:r>
      <w:r w:rsidRPr="00E5768D">
        <w:rPr>
          <w:rStyle w:val="CommentReference"/>
        </w:rPr>
        <w:t xml:space="preserve">: Key features of the included evidence for OCA+UDCA versus </w:t>
      </w:r>
      <w:proofErr w:type="spellStart"/>
      <w:r w:rsidRPr="00E5768D">
        <w:rPr>
          <w:rStyle w:val="CommentReference"/>
        </w:rPr>
        <w:t>UDCA+placebo</w:t>
      </w:r>
      <w:proofErr w:type="spellEnd"/>
      <w:r w:rsidRPr="00E5768D">
        <w:rPr>
          <w:rStyle w:val="CommentReference"/>
        </w:rPr>
        <w:t xml:space="preserve"> for UDCA inadequate responders and OCA versus placebo for UDCA intolerant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for OCA+UDCA versus UDCA+placebo for UDCA inadequate responders and OCA versus placebo for UDCA intolerant patients"/>
      </w:tblPr>
      <w:tblGrid>
        <w:gridCol w:w="845"/>
        <w:gridCol w:w="566"/>
        <w:gridCol w:w="848"/>
        <w:gridCol w:w="799"/>
        <w:gridCol w:w="902"/>
        <w:gridCol w:w="3686"/>
        <w:gridCol w:w="1371"/>
      </w:tblGrid>
      <w:tr w:rsidR="00F116C2">
        <w:tc>
          <w:tcPr>
            <w:tcW w:w="469" w:type="pct"/>
            <w:shd w:val="clear" w:color="auto" w:fill="auto"/>
            <w:vAlign w:val="center"/>
          </w:tcPr>
          <w:p w:rsidR="00F116C2" w:rsidRDefault="00F116C2">
            <w:pPr>
              <w:pStyle w:val="Tabletext"/>
              <w:keepNext/>
              <w:rPr>
                <w:b/>
              </w:rPr>
            </w:pPr>
          </w:p>
        </w:tc>
        <w:tc>
          <w:tcPr>
            <w:tcW w:w="314" w:type="pct"/>
            <w:shd w:val="clear" w:color="auto" w:fill="auto"/>
            <w:vAlign w:val="center"/>
          </w:tcPr>
          <w:p w:rsidR="00F116C2" w:rsidRDefault="004F0556">
            <w:pPr>
              <w:pStyle w:val="Tabletext"/>
              <w:keepNext/>
              <w:jc w:val="center"/>
              <w:rPr>
                <w:b/>
              </w:rPr>
            </w:pPr>
            <w:r>
              <w:rPr>
                <w:b/>
              </w:rPr>
              <w:t>N</w:t>
            </w:r>
          </w:p>
        </w:tc>
        <w:tc>
          <w:tcPr>
            <w:tcW w:w="470" w:type="pct"/>
            <w:shd w:val="clear" w:color="auto" w:fill="auto"/>
            <w:vAlign w:val="center"/>
          </w:tcPr>
          <w:p w:rsidR="00F116C2" w:rsidRDefault="004F0556">
            <w:pPr>
              <w:pStyle w:val="Tabletext"/>
              <w:keepNext/>
              <w:jc w:val="center"/>
              <w:rPr>
                <w:b/>
              </w:rPr>
            </w:pPr>
            <w:r>
              <w:rPr>
                <w:b/>
              </w:rPr>
              <w:t>Design/ Duration</w:t>
            </w:r>
          </w:p>
        </w:tc>
        <w:tc>
          <w:tcPr>
            <w:tcW w:w="443" w:type="pct"/>
            <w:shd w:val="clear" w:color="auto" w:fill="auto"/>
            <w:vAlign w:val="center"/>
          </w:tcPr>
          <w:p w:rsidR="00F116C2" w:rsidRDefault="004F0556">
            <w:pPr>
              <w:pStyle w:val="Tabletext"/>
              <w:keepNext/>
              <w:jc w:val="center"/>
              <w:rPr>
                <w:b/>
              </w:rPr>
            </w:pPr>
            <w:r>
              <w:rPr>
                <w:b/>
              </w:rPr>
              <w:t>Risk of bias</w:t>
            </w:r>
          </w:p>
        </w:tc>
        <w:tc>
          <w:tcPr>
            <w:tcW w:w="500" w:type="pct"/>
            <w:shd w:val="clear" w:color="auto" w:fill="auto"/>
            <w:vAlign w:val="center"/>
          </w:tcPr>
          <w:p w:rsidR="00F116C2" w:rsidRDefault="004F0556">
            <w:pPr>
              <w:pStyle w:val="Tabletext"/>
              <w:keepNext/>
              <w:jc w:val="center"/>
              <w:rPr>
                <w:b/>
              </w:rPr>
            </w:pPr>
            <w:r>
              <w:rPr>
                <w:b/>
              </w:rPr>
              <w:t>Patient population</w:t>
            </w:r>
          </w:p>
        </w:tc>
        <w:tc>
          <w:tcPr>
            <w:tcW w:w="2044" w:type="pct"/>
            <w:shd w:val="clear" w:color="auto" w:fill="auto"/>
            <w:vAlign w:val="center"/>
          </w:tcPr>
          <w:p w:rsidR="00F116C2" w:rsidRDefault="004F0556">
            <w:pPr>
              <w:pStyle w:val="Tabletext"/>
              <w:keepNext/>
              <w:jc w:val="center"/>
              <w:rPr>
                <w:b/>
              </w:rPr>
            </w:pPr>
            <w:r>
              <w:rPr>
                <w:b/>
              </w:rPr>
              <w:t>Outcomes</w:t>
            </w:r>
          </w:p>
        </w:tc>
        <w:tc>
          <w:tcPr>
            <w:tcW w:w="760" w:type="pct"/>
            <w:shd w:val="clear" w:color="auto" w:fill="auto"/>
            <w:vAlign w:val="center"/>
          </w:tcPr>
          <w:p w:rsidR="00F116C2" w:rsidRDefault="004F0556">
            <w:pPr>
              <w:pStyle w:val="Tabletext"/>
              <w:keepNext/>
              <w:jc w:val="center"/>
              <w:rPr>
                <w:b/>
              </w:rPr>
            </w:pPr>
            <w:r>
              <w:rPr>
                <w:b/>
              </w:rPr>
              <w:t>Use in modelled evaluation</w:t>
            </w:r>
          </w:p>
        </w:tc>
      </w:tr>
      <w:tr w:rsidR="00F116C2">
        <w:tc>
          <w:tcPr>
            <w:tcW w:w="469" w:type="pct"/>
            <w:shd w:val="clear" w:color="auto" w:fill="auto"/>
            <w:vAlign w:val="center"/>
          </w:tcPr>
          <w:p w:rsidR="00F116C2" w:rsidRDefault="004F0556">
            <w:pPr>
              <w:pStyle w:val="Tabletext"/>
              <w:keepNext/>
            </w:pPr>
            <w:r>
              <w:t xml:space="preserve">POISE </w:t>
            </w:r>
          </w:p>
        </w:tc>
        <w:tc>
          <w:tcPr>
            <w:tcW w:w="314" w:type="pct"/>
            <w:shd w:val="clear" w:color="auto" w:fill="auto"/>
            <w:vAlign w:val="center"/>
          </w:tcPr>
          <w:p w:rsidR="00F116C2" w:rsidRDefault="004F0556">
            <w:pPr>
              <w:pStyle w:val="Tabletext"/>
              <w:keepNext/>
              <w:jc w:val="center"/>
            </w:pPr>
            <w:r>
              <w:t>217</w:t>
            </w:r>
          </w:p>
        </w:tc>
        <w:tc>
          <w:tcPr>
            <w:tcW w:w="470" w:type="pct"/>
            <w:shd w:val="clear" w:color="auto" w:fill="auto"/>
            <w:vAlign w:val="center"/>
          </w:tcPr>
          <w:p w:rsidR="00F116C2" w:rsidRDefault="004F0556">
            <w:pPr>
              <w:pStyle w:val="Tabletext"/>
              <w:keepNext/>
              <w:jc w:val="center"/>
            </w:pPr>
            <w:r>
              <w:t>R, DB</w:t>
            </w:r>
          </w:p>
          <w:p w:rsidR="00F116C2" w:rsidRDefault="004F0556">
            <w:pPr>
              <w:pStyle w:val="Tabletext"/>
              <w:keepNext/>
              <w:jc w:val="center"/>
            </w:pPr>
            <w:r>
              <w:t>12 months</w:t>
            </w:r>
          </w:p>
        </w:tc>
        <w:tc>
          <w:tcPr>
            <w:tcW w:w="443" w:type="pct"/>
            <w:shd w:val="clear" w:color="auto" w:fill="auto"/>
            <w:vAlign w:val="center"/>
          </w:tcPr>
          <w:p w:rsidR="00F116C2" w:rsidRDefault="004F0556">
            <w:pPr>
              <w:pStyle w:val="Tabletext"/>
              <w:keepNext/>
              <w:jc w:val="center"/>
            </w:pPr>
            <w:r>
              <w:t>Moderate</w:t>
            </w:r>
          </w:p>
        </w:tc>
        <w:tc>
          <w:tcPr>
            <w:tcW w:w="500" w:type="pct"/>
            <w:shd w:val="clear" w:color="auto" w:fill="auto"/>
            <w:vAlign w:val="center"/>
          </w:tcPr>
          <w:p w:rsidR="00F116C2" w:rsidRDefault="004F0556">
            <w:pPr>
              <w:pStyle w:val="Tabletext"/>
              <w:keepNext/>
              <w:jc w:val="center"/>
            </w:pPr>
            <w:r>
              <w:t>PBC</w:t>
            </w:r>
          </w:p>
        </w:tc>
        <w:tc>
          <w:tcPr>
            <w:tcW w:w="2044" w:type="pct"/>
            <w:shd w:val="clear" w:color="auto" w:fill="auto"/>
            <w:vAlign w:val="center"/>
          </w:tcPr>
          <w:p w:rsidR="00F116C2" w:rsidRDefault="004F0556">
            <w:pPr>
              <w:pStyle w:val="Tabletext"/>
              <w:keepNext/>
              <w:jc w:val="center"/>
            </w:pPr>
            <w:r>
              <w:rPr>
                <w:rFonts w:cstheme="minorHAnsi"/>
                <w:szCs w:val="20"/>
              </w:rPr>
              <w:t>Serum ALP and total bilirubin levels, together as a composite endpoint in the OCA 10 mg group.</w:t>
            </w:r>
          </w:p>
        </w:tc>
        <w:tc>
          <w:tcPr>
            <w:tcW w:w="760" w:type="pct"/>
            <w:shd w:val="clear" w:color="auto" w:fill="auto"/>
            <w:vAlign w:val="center"/>
          </w:tcPr>
          <w:p w:rsidR="00F116C2" w:rsidRDefault="004F0556">
            <w:pPr>
              <w:pStyle w:val="Tabletext"/>
              <w:keepNext/>
              <w:jc w:val="center"/>
            </w:pPr>
            <w:r>
              <w:t>Used</w:t>
            </w:r>
          </w:p>
        </w:tc>
      </w:tr>
      <w:tr w:rsidR="00F116C2">
        <w:tc>
          <w:tcPr>
            <w:tcW w:w="469" w:type="pct"/>
            <w:shd w:val="clear" w:color="auto" w:fill="auto"/>
            <w:vAlign w:val="center"/>
          </w:tcPr>
          <w:p w:rsidR="00F116C2" w:rsidRDefault="004F0556">
            <w:pPr>
              <w:pStyle w:val="Tabletext"/>
              <w:keepNext/>
            </w:pPr>
            <w:r>
              <w:t xml:space="preserve">747-201 </w:t>
            </w:r>
          </w:p>
        </w:tc>
        <w:tc>
          <w:tcPr>
            <w:tcW w:w="314" w:type="pct"/>
            <w:shd w:val="clear" w:color="auto" w:fill="auto"/>
            <w:vAlign w:val="center"/>
          </w:tcPr>
          <w:p w:rsidR="00F116C2" w:rsidRDefault="004F0556">
            <w:pPr>
              <w:pStyle w:val="Tabletext"/>
              <w:keepNext/>
              <w:jc w:val="center"/>
            </w:pPr>
            <w:r>
              <w:t>60</w:t>
            </w:r>
          </w:p>
        </w:tc>
        <w:tc>
          <w:tcPr>
            <w:tcW w:w="470" w:type="pct"/>
            <w:shd w:val="clear" w:color="auto" w:fill="auto"/>
            <w:vAlign w:val="center"/>
          </w:tcPr>
          <w:p w:rsidR="00F116C2" w:rsidRDefault="004F0556">
            <w:pPr>
              <w:pStyle w:val="Tabletext"/>
              <w:keepNext/>
              <w:jc w:val="center"/>
            </w:pPr>
            <w:r>
              <w:t>R, DB</w:t>
            </w:r>
          </w:p>
          <w:p w:rsidR="00F116C2" w:rsidRDefault="004F0556">
            <w:pPr>
              <w:pStyle w:val="Tabletext"/>
              <w:keepNext/>
              <w:jc w:val="center"/>
            </w:pPr>
            <w:r>
              <w:t>12 weeks</w:t>
            </w:r>
          </w:p>
        </w:tc>
        <w:tc>
          <w:tcPr>
            <w:tcW w:w="443" w:type="pct"/>
            <w:shd w:val="clear" w:color="auto" w:fill="auto"/>
            <w:vAlign w:val="center"/>
          </w:tcPr>
          <w:p w:rsidR="00F116C2" w:rsidRDefault="004F0556">
            <w:pPr>
              <w:pStyle w:val="Tabletext"/>
              <w:keepNext/>
              <w:jc w:val="center"/>
            </w:pPr>
            <w:r>
              <w:t>Moderate</w:t>
            </w:r>
          </w:p>
        </w:tc>
        <w:tc>
          <w:tcPr>
            <w:tcW w:w="500" w:type="pct"/>
            <w:shd w:val="clear" w:color="auto" w:fill="auto"/>
            <w:vAlign w:val="center"/>
          </w:tcPr>
          <w:p w:rsidR="00F116C2" w:rsidRDefault="004F0556">
            <w:pPr>
              <w:pStyle w:val="Tabletext"/>
              <w:keepNext/>
              <w:jc w:val="center"/>
            </w:pPr>
            <w:r>
              <w:t>PBC</w:t>
            </w:r>
          </w:p>
        </w:tc>
        <w:tc>
          <w:tcPr>
            <w:tcW w:w="2044" w:type="pct"/>
            <w:shd w:val="clear" w:color="auto" w:fill="auto"/>
            <w:vAlign w:val="center"/>
          </w:tcPr>
          <w:p w:rsidR="00F116C2" w:rsidRDefault="004F0556">
            <w:pPr>
              <w:pStyle w:val="Tabletext"/>
              <w:keepNext/>
              <w:jc w:val="center"/>
            </w:pPr>
            <w:r>
              <w:rPr>
                <w:rFonts w:cstheme="minorHAnsi"/>
                <w:szCs w:val="20"/>
              </w:rPr>
              <w:t>Serum ALP change from baseline to end of study</w:t>
            </w:r>
          </w:p>
        </w:tc>
        <w:tc>
          <w:tcPr>
            <w:tcW w:w="760" w:type="pct"/>
            <w:shd w:val="clear" w:color="auto" w:fill="auto"/>
            <w:vAlign w:val="center"/>
          </w:tcPr>
          <w:p w:rsidR="00F116C2" w:rsidRDefault="004F0556">
            <w:pPr>
              <w:pStyle w:val="Tabletext"/>
              <w:keepNext/>
              <w:jc w:val="center"/>
            </w:pPr>
            <w:r>
              <w:t xml:space="preserve">Not used </w:t>
            </w:r>
          </w:p>
        </w:tc>
      </w:tr>
      <w:tr w:rsidR="00F116C2">
        <w:tc>
          <w:tcPr>
            <w:tcW w:w="469" w:type="pct"/>
            <w:shd w:val="clear" w:color="auto" w:fill="auto"/>
            <w:vAlign w:val="center"/>
          </w:tcPr>
          <w:p w:rsidR="00F116C2" w:rsidRDefault="004F0556">
            <w:pPr>
              <w:pStyle w:val="Tabletext"/>
              <w:keepNext/>
            </w:pPr>
            <w:r>
              <w:t xml:space="preserve">747-202 </w:t>
            </w:r>
          </w:p>
        </w:tc>
        <w:tc>
          <w:tcPr>
            <w:tcW w:w="314" w:type="pct"/>
            <w:shd w:val="clear" w:color="auto" w:fill="auto"/>
            <w:vAlign w:val="center"/>
          </w:tcPr>
          <w:p w:rsidR="00F116C2" w:rsidRDefault="004F0556">
            <w:pPr>
              <w:pStyle w:val="Tabletext"/>
              <w:keepNext/>
              <w:jc w:val="center"/>
            </w:pPr>
            <w:r>
              <w:t>165</w:t>
            </w:r>
          </w:p>
        </w:tc>
        <w:tc>
          <w:tcPr>
            <w:tcW w:w="470" w:type="pct"/>
            <w:shd w:val="clear" w:color="auto" w:fill="auto"/>
            <w:vAlign w:val="center"/>
          </w:tcPr>
          <w:p w:rsidR="00F116C2" w:rsidRDefault="004F0556">
            <w:pPr>
              <w:pStyle w:val="Tabletext"/>
              <w:keepNext/>
              <w:jc w:val="center"/>
            </w:pPr>
            <w:r>
              <w:t>R, DB</w:t>
            </w:r>
          </w:p>
          <w:p w:rsidR="00F116C2" w:rsidRDefault="004F0556">
            <w:pPr>
              <w:pStyle w:val="Tabletext"/>
              <w:keepNext/>
              <w:jc w:val="center"/>
            </w:pPr>
            <w:r>
              <w:t>12 weeks</w:t>
            </w:r>
          </w:p>
        </w:tc>
        <w:tc>
          <w:tcPr>
            <w:tcW w:w="443" w:type="pct"/>
            <w:shd w:val="clear" w:color="auto" w:fill="auto"/>
            <w:vAlign w:val="center"/>
          </w:tcPr>
          <w:p w:rsidR="00F116C2" w:rsidRDefault="004F0556">
            <w:pPr>
              <w:pStyle w:val="Tabletext"/>
              <w:keepNext/>
              <w:jc w:val="center"/>
            </w:pPr>
            <w:r>
              <w:t>Moderate</w:t>
            </w:r>
          </w:p>
        </w:tc>
        <w:tc>
          <w:tcPr>
            <w:tcW w:w="500" w:type="pct"/>
            <w:shd w:val="clear" w:color="auto" w:fill="auto"/>
            <w:vAlign w:val="center"/>
          </w:tcPr>
          <w:p w:rsidR="00F116C2" w:rsidRDefault="004F0556">
            <w:pPr>
              <w:pStyle w:val="Tabletext"/>
              <w:keepNext/>
              <w:jc w:val="center"/>
            </w:pPr>
            <w:r>
              <w:t>PBC</w:t>
            </w:r>
          </w:p>
        </w:tc>
        <w:tc>
          <w:tcPr>
            <w:tcW w:w="2044" w:type="pct"/>
            <w:shd w:val="clear" w:color="auto" w:fill="auto"/>
            <w:vAlign w:val="center"/>
          </w:tcPr>
          <w:p w:rsidR="00F116C2" w:rsidRDefault="004F0556">
            <w:pPr>
              <w:pStyle w:val="Tabletext"/>
              <w:keepNext/>
              <w:jc w:val="center"/>
            </w:pPr>
            <w:r>
              <w:rPr>
                <w:rFonts w:cstheme="minorHAnsi"/>
                <w:szCs w:val="20"/>
              </w:rPr>
              <w:t xml:space="preserve">Serum ALP change </w:t>
            </w:r>
            <w:r>
              <w:rPr>
                <w:rFonts w:cstheme="minorHAnsi"/>
              </w:rPr>
              <w:t>from baseline to end of study in each of the OCA groups</w:t>
            </w:r>
          </w:p>
        </w:tc>
        <w:tc>
          <w:tcPr>
            <w:tcW w:w="760" w:type="pct"/>
            <w:shd w:val="clear" w:color="auto" w:fill="auto"/>
            <w:vAlign w:val="center"/>
          </w:tcPr>
          <w:p w:rsidR="00F116C2" w:rsidRDefault="004F0556">
            <w:pPr>
              <w:pStyle w:val="Tabletext"/>
              <w:keepNext/>
              <w:jc w:val="center"/>
            </w:pPr>
            <w:r>
              <w:t>Not used</w:t>
            </w:r>
          </w:p>
        </w:tc>
      </w:tr>
    </w:tbl>
    <w:p w:rsidR="00F116C2" w:rsidRDefault="004F0556">
      <w:pPr>
        <w:pStyle w:val="TableFooter"/>
        <w:widowControl/>
      </w:pPr>
      <w:r>
        <w:t xml:space="preserve">ALP = alkaline phosphatase; DB = double blind; OCA = obeticholic acid; </w:t>
      </w:r>
      <w:r>
        <w:rPr>
          <w:szCs w:val="18"/>
        </w:rPr>
        <w:t>PBC = primary biliary cholangitis/cirrhosis;</w:t>
      </w:r>
      <w:r>
        <w:t xml:space="preserve"> R = randomised; UDCA = ursodeoxycholic acid.</w:t>
      </w:r>
    </w:p>
    <w:p w:rsidR="00F116C2" w:rsidRDefault="004F0556">
      <w:pPr>
        <w:pStyle w:val="TableFooter"/>
        <w:widowControl/>
      </w:pPr>
      <w:r>
        <w:t>Source: Figure 2.4.5 p99, Figure 2.4.6 p103, Figure 2.4.7 p105, and Table 2.4.32 p113-116 of the previous submission.</w:t>
      </w:r>
    </w:p>
    <w:p w:rsidR="00F116C2" w:rsidRDefault="00F116C2">
      <w:pPr>
        <w:pStyle w:val="TableFooter"/>
        <w:widowControl/>
      </w:pPr>
    </w:p>
    <w:p w:rsidR="00F116C2" w:rsidRDefault="004F0556">
      <w:pPr>
        <w:pStyle w:val="ListParagraph"/>
        <w:widowControl/>
        <w:numPr>
          <w:ilvl w:val="1"/>
          <w:numId w:val="2"/>
        </w:numPr>
      </w:pPr>
      <w:r>
        <w:t>The ESC and PBAC had previously considered the unblinding due to the occurrence of pruritus introduced a moderate potential for bias (paragraph 6.9, obeticholic acid PSD, November 2018).</w:t>
      </w:r>
    </w:p>
    <w:p w:rsidR="00F116C2" w:rsidRDefault="004F0556">
      <w:pPr>
        <w:pStyle w:val="Heading2"/>
        <w:widowControl/>
      </w:pPr>
      <w:bookmarkStart w:id="12" w:name="_Toc9335714"/>
      <w:r>
        <w:t>Comparative effectiveness</w:t>
      </w:r>
      <w:bookmarkEnd w:id="12"/>
    </w:p>
    <w:p w:rsidR="00F116C2" w:rsidRDefault="004F0556">
      <w:pPr>
        <w:pStyle w:val="ListParagraph"/>
        <w:widowControl/>
        <w:numPr>
          <w:ilvl w:val="1"/>
          <w:numId w:val="2"/>
        </w:numPr>
      </w:pPr>
      <w:r>
        <w:rPr>
          <w:rFonts w:cs="Calibri"/>
          <w:snapToGrid/>
          <w:szCs w:val="24"/>
          <w:lang w:eastAsia="en-AU"/>
        </w:rPr>
        <w:t>The resubmission presented different subgroup analyses compared to the previous submission. Whereas in November 2018 results were presented based on the dose of OCA received (i.e. OCA 10 mg or OCA 5-10 mg titration) only, the resubmission provided also subgroup results for patients who received OCA+UDCA (i.e. UDCA-inadequate responders) and OCA+placebo (i.e. UDCA-intolerant patients) (see Table 5).</w:t>
      </w:r>
    </w:p>
    <w:p w:rsidR="00E5768D" w:rsidRPr="00E5768D" w:rsidRDefault="00E5768D" w:rsidP="00E5768D">
      <w:pPr>
        <w:keepNext/>
        <w:widowControl/>
        <w:rPr>
          <w:rFonts w:ascii="Arial Narrow" w:hAnsi="Arial Narrow" w:cs="Times New Roman"/>
          <w:b/>
          <w:sz w:val="20"/>
        </w:rPr>
      </w:pPr>
      <w:r w:rsidRPr="00E5768D">
        <w:rPr>
          <w:rFonts w:ascii="Arial Narrow" w:hAnsi="Arial Narrow" w:cs="Times New Roman"/>
          <w:b/>
          <w:sz w:val="20"/>
        </w:rPr>
        <w:lastRenderedPageBreak/>
        <w:t xml:space="preserve">Table </w:t>
      </w:r>
      <w:r w:rsidRPr="00E5768D">
        <w:rPr>
          <w:rFonts w:ascii="Arial Narrow" w:hAnsi="Arial Narrow" w:cs="Times New Roman"/>
          <w:b/>
          <w:sz w:val="20"/>
        </w:rPr>
        <w:fldChar w:fldCharType="begin"/>
      </w:r>
      <w:r w:rsidRPr="00E5768D">
        <w:rPr>
          <w:rFonts w:ascii="Arial Narrow" w:hAnsi="Arial Narrow" w:cs="Times New Roman"/>
          <w:b/>
          <w:sz w:val="20"/>
        </w:rPr>
        <w:instrText xml:space="preserve"> SEQ Table \* ARABIC </w:instrText>
      </w:r>
      <w:r w:rsidRPr="00E5768D">
        <w:rPr>
          <w:rFonts w:ascii="Arial Narrow" w:hAnsi="Arial Narrow" w:cs="Times New Roman"/>
          <w:b/>
          <w:sz w:val="20"/>
        </w:rPr>
        <w:fldChar w:fldCharType="separate"/>
      </w:r>
      <w:r w:rsidR="009C1169">
        <w:rPr>
          <w:rFonts w:ascii="Arial Narrow" w:hAnsi="Arial Narrow" w:cs="Times New Roman"/>
          <w:b/>
          <w:noProof/>
          <w:sz w:val="20"/>
        </w:rPr>
        <w:t>5</w:t>
      </w:r>
      <w:r w:rsidRPr="00E5768D">
        <w:rPr>
          <w:rFonts w:ascii="Arial Narrow" w:hAnsi="Arial Narrow" w:cs="Times New Roman"/>
          <w:b/>
          <w:sz w:val="20"/>
        </w:rPr>
        <w:fldChar w:fldCharType="end"/>
      </w:r>
      <w:r w:rsidRPr="00E5768D">
        <w:rPr>
          <w:rFonts w:ascii="Arial Narrow" w:hAnsi="Arial Narrow" w:cs="Times New Roman"/>
          <w:b/>
          <w:sz w:val="20"/>
        </w:rPr>
        <w:t>: Percentage of subjects achieving composite endpoint (ALP &lt; 1.67x ULN with ≥ 15% decrease from baseline in ALP, and total bilirubin &lt; ULN) at month 12 by demographic and baseline subgroups in POISE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5: Percentage of subjects achieving composite endpoint (ALP &lt; 1.67x ULN with ≥ 15% decrease from baseline in ALP, and total bilirubin &lt; ULN) at month 12 by demographic and baseline subgroups in POISE"/>
      </w:tblPr>
      <w:tblGrid>
        <w:gridCol w:w="2972"/>
        <w:gridCol w:w="567"/>
        <w:gridCol w:w="851"/>
        <w:gridCol w:w="567"/>
        <w:gridCol w:w="992"/>
        <w:gridCol w:w="844"/>
        <w:gridCol w:w="561"/>
        <w:gridCol w:w="863"/>
        <w:gridCol w:w="850"/>
      </w:tblGrid>
      <w:tr w:rsidR="00F116C2">
        <w:trPr>
          <w:cantSplit/>
          <w:tblHeader/>
        </w:trPr>
        <w:tc>
          <w:tcPr>
            <w:tcW w:w="2972" w:type="dxa"/>
            <w:vMerge w:val="restart"/>
            <w:shd w:val="clear" w:color="auto" w:fill="auto"/>
            <w:tcMar>
              <w:left w:w="28" w:type="dxa"/>
              <w:right w:w="28" w:type="dxa"/>
            </w:tcMar>
          </w:tcPr>
          <w:p w:rsidR="00F116C2" w:rsidRDefault="004F0556">
            <w:pPr>
              <w:pStyle w:val="Tabletext"/>
              <w:keepNext/>
              <w:rPr>
                <w:b/>
              </w:rPr>
            </w:pPr>
            <w:r>
              <w:rPr>
                <w:b/>
              </w:rPr>
              <w:t>Population</w:t>
            </w:r>
          </w:p>
        </w:tc>
        <w:tc>
          <w:tcPr>
            <w:tcW w:w="1418" w:type="dxa"/>
            <w:gridSpan w:val="2"/>
            <w:shd w:val="clear" w:color="auto" w:fill="auto"/>
            <w:tcMar>
              <w:left w:w="28" w:type="dxa"/>
              <w:right w:w="28" w:type="dxa"/>
            </w:tcMar>
          </w:tcPr>
          <w:p w:rsidR="00F116C2" w:rsidRDefault="004F0556">
            <w:pPr>
              <w:pStyle w:val="Tabletext"/>
              <w:keepNext/>
              <w:jc w:val="center"/>
              <w:rPr>
                <w:b/>
              </w:rPr>
            </w:pPr>
            <w:r>
              <w:rPr>
                <w:b/>
              </w:rPr>
              <w:t>Placebo</w:t>
            </w:r>
          </w:p>
        </w:tc>
        <w:tc>
          <w:tcPr>
            <w:tcW w:w="2403" w:type="dxa"/>
            <w:gridSpan w:val="3"/>
            <w:shd w:val="clear" w:color="auto" w:fill="auto"/>
            <w:tcMar>
              <w:left w:w="28" w:type="dxa"/>
              <w:right w:w="28" w:type="dxa"/>
            </w:tcMar>
            <w:vAlign w:val="center"/>
          </w:tcPr>
          <w:p w:rsidR="00F116C2" w:rsidRDefault="004F0556">
            <w:pPr>
              <w:pStyle w:val="Tabletext"/>
              <w:keepNext/>
              <w:jc w:val="center"/>
              <w:rPr>
                <w:b/>
              </w:rPr>
            </w:pPr>
            <w:r>
              <w:rPr>
                <w:b/>
              </w:rPr>
              <w:t>OCA 5-10mg titration</w:t>
            </w:r>
          </w:p>
        </w:tc>
        <w:tc>
          <w:tcPr>
            <w:tcW w:w="2274" w:type="dxa"/>
            <w:gridSpan w:val="3"/>
            <w:shd w:val="clear" w:color="auto" w:fill="auto"/>
            <w:tcMar>
              <w:left w:w="28" w:type="dxa"/>
              <w:right w:w="28" w:type="dxa"/>
            </w:tcMar>
            <w:vAlign w:val="center"/>
          </w:tcPr>
          <w:p w:rsidR="00F116C2" w:rsidRDefault="004F0556">
            <w:pPr>
              <w:pStyle w:val="Tabletext"/>
              <w:keepNext/>
              <w:jc w:val="center"/>
              <w:rPr>
                <w:b/>
              </w:rPr>
            </w:pPr>
            <w:r>
              <w:rPr>
                <w:b/>
              </w:rPr>
              <w:t>OCA 10 mg</w:t>
            </w:r>
          </w:p>
        </w:tc>
      </w:tr>
      <w:tr w:rsidR="00F116C2">
        <w:trPr>
          <w:cantSplit/>
          <w:tblHeader/>
        </w:trPr>
        <w:tc>
          <w:tcPr>
            <w:tcW w:w="2972" w:type="dxa"/>
            <w:vMerge/>
            <w:tcBorders>
              <w:bottom w:val="single" w:sz="4" w:space="0" w:color="auto"/>
            </w:tcBorders>
            <w:shd w:val="clear" w:color="auto" w:fill="auto"/>
            <w:tcMar>
              <w:left w:w="28" w:type="dxa"/>
              <w:right w:w="28" w:type="dxa"/>
            </w:tcMar>
            <w:vAlign w:val="center"/>
          </w:tcPr>
          <w:p w:rsidR="00F116C2" w:rsidRDefault="00F116C2">
            <w:pPr>
              <w:pStyle w:val="Tabletext"/>
              <w:keepNext/>
              <w:rPr>
                <w:b/>
              </w:rPr>
            </w:pPr>
          </w:p>
        </w:tc>
        <w:tc>
          <w:tcPr>
            <w:tcW w:w="567"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 xml:space="preserve">N  </w:t>
            </w:r>
          </w:p>
        </w:tc>
        <w:tc>
          <w:tcPr>
            <w:tcW w:w="851"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n (%)</w:t>
            </w:r>
          </w:p>
        </w:tc>
        <w:tc>
          <w:tcPr>
            <w:tcW w:w="567"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N</w:t>
            </w:r>
          </w:p>
        </w:tc>
        <w:tc>
          <w:tcPr>
            <w:tcW w:w="992"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n (%)</w:t>
            </w:r>
          </w:p>
        </w:tc>
        <w:tc>
          <w:tcPr>
            <w:tcW w:w="844"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p-value</w:t>
            </w:r>
          </w:p>
        </w:tc>
        <w:tc>
          <w:tcPr>
            <w:tcW w:w="561"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N</w:t>
            </w:r>
          </w:p>
        </w:tc>
        <w:tc>
          <w:tcPr>
            <w:tcW w:w="863"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n (%)</w:t>
            </w:r>
          </w:p>
        </w:tc>
        <w:tc>
          <w:tcPr>
            <w:tcW w:w="850"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p-value</w:t>
            </w:r>
          </w:p>
        </w:tc>
      </w:tr>
      <w:tr w:rsidR="00F116C2">
        <w:trPr>
          <w:cantSplit/>
        </w:trPr>
        <w:tc>
          <w:tcPr>
            <w:tcW w:w="2972" w:type="dxa"/>
            <w:tcBorders>
              <w:bottom w:val="single" w:sz="4" w:space="0" w:color="auto"/>
            </w:tcBorders>
            <w:shd w:val="clear" w:color="auto" w:fill="auto"/>
            <w:tcMar>
              <w:left w:w="28" w:type="dxa"/>
              <w:right w:w="28" w:type="dxa"/>
            </w:tcMar>
          </w:tcPr>
          <w:p w:rsidR="00F116C2" w:rsidRDefault="004F0556">
            <w:pPr>
              <w:pStyle w:val="Tabletext"/>
              <w:keepNext/>
              <w:rPr>
                <w:b/>
              </w:rPr>
            </w:pPr>
            <w:r>
              <w:rPr>
                <w:b/>
              </w:rPr>
              <w:t>ITT population</w:t>
            </w:r>
          </w:p>
        </w:tc>
        <w:tc>
          <w:tcPr>
            <w:tcW w:w="567" w:type="dxa"/>
            <w:tcBorders>
              <w:bottom w:val="single" w:sz="4" w:space="0" w:color="auto"/>
            </w:tcBorders>
            <w:tcMar>
              <w:left w:w="28" w:type="dxa"/>
              <w:right w:w="28" w:type="dxa"/>
            </w:tcMar>
          </w:tcPr>
          <w:p w:rsidR="00F116C2" w:rsidRDefault="004F0556">
            <w:pPr>
              <w:pStyle w:val="Tabletext"/>
              <w:keepNext/>
              <w:jc w:val="center"/>
            </w:pPr>
            <w:r>
              <w:t>73</w:t>
            </w:r>
          </w:p>
        </w:tc>
        <w:tc>
          <w:tcPr>
            <w:tcW w:w="851" w:type="dxa"/>
            <w:tcBorders>
              <w:bottom w:val="single" w:sz="4" w:space="0" w:color="auto"/>
            </w:tcBorders>
            <w:tcMar>
              <w:left w:w="28" w:type="dxa"/>
              <w:right w:w="28" w:type="dxa"/>
            </w:tcMar>
          </w:tcPr>
          <w:p w:rsidR="00F116C2" w:rsidRDefault="004F0556">
            <w:pPr>
              <w:pStyle w:val="Tabletext"/>
              <w:keepNext/>
              <w:jc w:val="center"/>
            </w:pPr>
            <w:r>
              <w:t>7 (10%)</w:t>
            </w:r>
          </w:p>
        </w:tc>
        <w:tc>
          <w:tcPr>
            <w:tcW w:w="567" w:type="dxa"/>
            <w:tcBorders>
              <w:bottom w:val="single" w:sz="4" w:space="0" w:color="auto"/>
            </w:tcBorders>
            <w:shd w:val="clear" w:color="auto" w:fill="auto"/>
            <w:tcMar>
              <w:left w:w="28" w:type="dxa"/>
              <w:right w:w="28" w:type="dxa"/>
            </w:tcMar>
          </w:tcPr>
          <w:p w:rsidR="00F116C2" w:rsidRDefault="004F0556">
            <w:pPr>
              <w:pStyle w:val="Tabletext"/>
              <w:keepNext/>
              <w:jc w:val="center"/>
            </w:pPr>
            <w:r>
              <w:t>70</w:t>
            </w:r>
          </w:p>
        </w:tc>
        <w:tc>
          <w:tcPr>
            <w:tcW w:w="992" w:type="dxa"/>
            <w:tcBorders>
              <w:bottom w:val="single" w:sz="4" w:space="0" w:color="auto"/>
            </w:tcBorders>
            <w:shd w:val="clear" w:color="auto" w:fill="auto"/>
            <w:tcMar>
              <w:left w:w="28" w:type="dxa"/>
              <w:right w:w="28" w:type="dxa"/>
            </w:tcMar>
          </w:tcPr>
          <w:p w:rsidR="00F116C2" w:rsidRDefault="004F0556">
            <w:pPr>
              <w:pStyle w:val="Tabletext"/>
              <w:keepNext/>
              <w:jc w:val="center"/>
            </w:pPr>
            <w:r>
              <w:t>32 (46%)</w:t>
            </w:r>
          </w:p>
        </w:tc>
        <w:tc>
          <w:tcPr>
            <w:tcW w:w="844" w:type="dxa"/>
            <w:tcBorders>
              <w:bottom w:val="single" w:sz="4" w:space="0" w:color="auto"/>
            </w:tcBorders>
            <w:shd w:val="clear" w:color="auto" w:fill="auto"/>
            <w:tcMar>
              <w:left w:w="28" w:type="dxa"/>
              <w:right w:w="28" w:type="dxa"/>
            </w:tcMar>
          </w:tcPr>
          <w:p w:rsidR="00F116C2" w:rsidRDefault="004F0556">
            <w:pPr>
              <w:pStyle w:val="Tabletext"/>
              <w:keepNext/>
              <w:jc w:val="center"/>
              <w:rPr>
                <w:b/>
              </w:rPr>
            </w:pPr>
            <w:r>
              <w:rPr>
                <w:b/>
              </w:rPr>
              <w:t>&lt; 0.0001</w:t>
            </w:r>
          </w:p>
        </w:tc>
        <w:tc>
          <w:tcPr>
            <w:tcW w:w="561" w:type="dxa"/>
            <w:tcBorders>
              <w:bottom w:val="single" w:sz="4" w:space="0" w:color="auto"/>
            </w:tcBorders>
            <w:shd w:val="clear" w:color="auto" w:fill="auto"/>
            <w:tcMar>
              <w:left w:w="28" w:type="dxa"/>
              <w:right w:w="28" w:type="dxa"/>
            </w:tcMar>
          </w:tcPr>
          <w:p w:rsidR="00F116C2" w:rsidRDefault="004F0556">
            <w:pPr>
              <w:pStyle w:val="Tabletext"/>
              <w:keepNext/>
              <w:jc w:val="center"/>
            </w:pPr>
            <w:r>
              <w:t>73</w:t>
            </w:r>
          </w:p>
        </w:tc>
        <w:tc>
          <w:tcPr>
            <w:tcW w:w="863" w:type="dxa"/>
            <w:tcBorders>
              <w:bottom w:val="single" w:sz="4" w:space="0" w:color="auto"/>
            </w:tcBorders>
            <w:shd w:val="clear" w:color="auto" w:fill="auto"/>
            <w:tcMar>
              <w:left w:w="28" w:type="dxa"/>
              <w:right w:w="28" w:type="dxa"/>
            </w:tcMar>
          </w:tcPr>
          <w:p w:rsidR="00F116C2" w:rsidRDefault="004F0556">
            <w:pPr>
              <w:pStyle w:val="Tabletext"/>
              <w:keepNext/>
              <w:jc w:val="center"/>
            </w:pPr>
            <w:r>
              <w:t>34 (47%)</w:t>
            </w:r>
          </w:p>
        </w:tc>
        <w:tc>
          <w:tcPr>
            <w:tcW w:w="850" w:type="dxa"/>
            <w:tcBorders>
              <w:bottom w:val="single" w:sz="4" w:space="0" w:color="auto"/>
            </w:tcBorders>
            <w:tcMar>
              <w:left w:w="28" w:type="dxa"/>
              <w:right w:w="28" w:type="dxa"/>
            </w:tcMar>
            <w:vAlign w:val="center"/>
          </w:tcPr>
          <w:p w:rsidR="00F116C2" w:rsidRDefault="004F0556">
            <w:pPr>
              <w:pStyle w:val="Tabletext"/>
              <w:keepNext/>
              <w:jc w:val="center"/>
              <w:rPr>
                <w:b/>
              </w:rPr>
            </w:pPr>
            <w:r>
              <w:rPr>
                <w:b/>
              </w:rPr>
              <w:t>&lt; 0.0001</w:t>
            </w:r>
          </w:p>
        </w:tc>
      </w:tr>
      <w:tr w:rsidR="00F116C2">
        <w:trPr>
          <w:cantSplit/>
        </w:trPr>
        <w:tc>
          <w:tcPr>
            <w:tcW w:w="9067" w:type="dxa"/>
            <w:gridSpan w:val="9"/>
            <w:shd w:val="clear" w:color="auto" w:fill="auto"/>
            <w:tcMar>
              <w:left w:w="28" w:type="dxa"/>
              <w:right w:w="28" w:type="dxa"/>
            </w:tcMar>
          </w:tcPr>
          <w:p w:rsidR="00F116C2" w:rsidRDefault="004F0556">
            <w:pPr>
              <w:pStyle w:val="Tabletext"/>
              <w:keepNext/>
              <w:rPr>
                <w:b/>
              </w:rPr>
            </w:pPr>
            <w:r>
              <w:rPr>
                <w:b/>
              </w:rPr>
              <w:t>Treatment regimen</w:t>
            </w:r>
          </w:p>
        </w:tc>
      </w:tr>
      <w:tr w:rsidR="00F116C2">
        <w:trPr>
          <w:cantSplit/>
          <w:trHeight w:val="70"/>
        </w:trPr>
        <w:tc>
          <w:tcPr>
            <w:tcW w:w="2972" w:type="dxa"/>
            <w:tcBorders>
              <w:bottom w:val="single" w:sz="4" w:space="0" w:color="auto"/>
            </w:tcBorders>
            <w:shd w:val="clear" w:color="auto" w:fill="auto"/>
            <w:tcMar>
              <w:left w:w="28" w:type="dxa"/>
              <w:right w:w="28" w:type="dxa"/>
            </w:tcMar>
          </w:tcPr>
          <w:p w:rsidR="00F116C2" w:rsidRDefault="004F0556">
            <w:pPr>
              <w:pStyle w:val="Tabletext"/>
              <w:keepNext/>
            </w:pPr>
            <w:r>
              <w:t xml:space="preserve">OCA+UDCA (i.e. UDCA-inadequate responders) </w:t>
            </w:r>
          </w:p>
        </w:tc>
        <w:tc>
          <w:tcPr>
            <w:tcW w:w="567" w:type="dxa"/>
            <w:tcBorders>
              <w:bottom w:val="single" w:sz="4" w:space="0" w:color="auto"/>
            </w:tcBorders>
            <w:tcMar>
              <w:left w:w="28" w:type="dxa"/>
              <w:right w:w="28" w:type="dxa"/>
            </w:tcMar>
            <w:vAlign w:val="center"/>
          </w:tcPr>
          <w:p w:rsidR="00F116C2" w:rsidRDefault="004F0556">
            <w:pPr>
              <w:pStyle w:val="Tabletext"/>
              <w:keepNext/>
              <w:jc w:val="center"/>
            </w:pPr>
            <w:r>
              <w:t>68</w:t>
            </w:r>
          </w:p>
        </w:tc>
        <w:tc>
          <w:tcPr>
            <w:tcW w:w="851" w:type="dxa"/>
            <w:tcBorders>
              <w:bottom w:val="single" w:sz="4" w:space="0" w:color="auto"/>
            </w:tcBorders>
            <w:tcMar>
              <w:left w:w="28" w:type="dxa"/>
              <w:right w:w="28" w:type="dxa"/>
            </w:tcMar>
            <w:vAlign w:val="center"/>
          </w:tcPr>
          <w:p w:rsidR="00F116C2" w:rsidRDefault="004F0556">
            <w:pPr>
              <w:pStyle w:val="Tabletext"/>
              <w:keepNext/>
              <w:jc w:val="center"/>
            </w:pPr>
            <w:r>
              <w:t>7 (10%)</w:t>
            </w:r>
          </w:p>
        </w:tc>
        <w:tc>
          <w:tcPr>
            <w:tcW w:w="567" w:type="dxa"/>
            <w:tcBorders>
              <w:bottom w:val="single" w:sz="4" w:space="0" w:color="auto"/>
            </w:tcBorders>
            <w:shd w:val="clear" w:color="auto" w:fill="auto"/>
            <w:tcMar>
              <w:left w:w="28" w:type="dxa"/>
              <w:right w:w="28" w:type="dxa"/>
            </w:tcMar>
            <w:vAlign w:val="center"/>
          </w:tcPr>
          <w:p w:rsidR="00F116C2" w:rsidRDefault="004F0556">
            <w:pPr>
              <w:pStyle w:val="Tabletext"/>
              <w:keepNext/>
              <w:jc w:val="center"/>
            </w:pPr>
            <w:r>
              <w:t>65</w:t>
            </w:r>
          </w:p>
        </w:tc>
        <w:tc>
          <w:tcPr>
            <w:tcW w:w="992" w:type="dxa"/>
            <w:tcBorders>
              <w:bottom w:val="single" w:sz="4" w:space="0" w:color="auto"/>
            </w:tcBorders>
            <w:shd w:val="clear" w:color="auto" w:fill="auto"/>
            <w:tcMar>
              <w:left w:w="28" w:type="dxa"/>
              <w:right w:w="28" w:type="dxa"/>
            </w:tcMar>
            <w:vAlign w:val="center"/>
          </w:tcPr>
          <w:p w:rsidR="00F116C2" w:rsidRDefault="004F0556">
            <w:pPr>
              <w:pStyle w:val="Tabletext"/>
              <w:keepNext/>
              <w:jc w:val="center"/>
            </w:pPr>
            <w:r>
              <w:t>30 (46%)</w:t>
            </w:r>
          </w:p>
        </w:tc>
        <w:tc>
          <w:tcPr>
            <w:tcW w:w="844" w:type="dxa"/>
            <w:tcBorders>
              <w:bottom w:val="single" w:sz="4" w:space="0" w:color="auto"/>
            </w:tcBorders>
            <w:shd w:val="clear" w:color="auto" w:fill="auto"/>
            <w:tcMar>
              <w:left w:w="28" w:type="dxa"/>
              <w:right w:w="28" w:type="dxa"/>
            </w:tcMar>
            <w:vAlign w:val="center"/>
          </w:tcPr>
          <w:p w:rsidR="00F116C2" w:rsidRDefault="004F0556">
            <w:pPr>
              <w:pStyle w:val="Tabletext"/>
              <w:keepNext/>
              <w:jc w:val="center"/>
              <w:rPr>
                <w:b/>
              </w:rPr>
            </w:pPr>
            <w:r>
              <w:rPr>
                <w:b/>
              </w:rPr>
              <w:t>&lt; 0.0001</w:t>
            </w:r>
          </w:p>
        </w:tc>
        <w:tc>
          <w:tcPr>
            <w:tcW w:w="561" w:type="dxa"/>
            <w:tcBorders>
              <w:bottom w:val="single" w:sz="4" w:space="0" w:color="auto"/>
            </w:tcBorders>
            <w:shd w:val="clear" w:color="auto" w:fill="auto"/>
            <w:tcMar>
              <w:left w:w="28" w:type="dxa"/>
              <w:right w:w="28" w:type="dxa"/>
            </w:tcMar>
            <w:vAlign w:val="center"/>
          </w:tcPr>
          <w:p w:rsidR="00F116C2" w:rsidRDefault="004F0556">
            <w:pPr>
              <w:pStyle w:val="Tabletext"/>
              <w:keepNext/>
              <w:jc w:val="center"/>
            </w:pPr>
            <w:r>
              <w:t>67</w:t>
            </w:r>
          </w:p>
        </w:tc>
        <w:tc>
          <w:tcPr>
            <w:tcW w:w="863" w:type="dxa"/>
            <w:tcBorders>
              <w:bottom w:val="single" w:sz="4" w:space="0" w:color="auto"/>
            </w:tcBorders>
            <w:shd w:val="clear" w:color="auto" w:fill="auto"/>
            <w:tcMar>
              <w:left w:w="28" w:type="dxa"/>
              <w:right w:w="28" w:type="dxa"/>
            </w:tcMar>
            <w:vAlign w:val="center"/>
          </w:tcPr>
          <w:p w:rsidR="00F116C2" w:rsidRDefault="004F0556">
            <w:pPr>
              <w:pStyle w:val="Tabletext"/>
              <w:keepNext/>
              <w:jc w:val="center"/>
            </w:pPr>
            <w:r>
              <w:t>33 (49%)</w:t>
            </w:r>
          </w:p>
        </w:tc>
        <w:tc>
          <w:tcPr>
            <w:tcW w:w="850" w:type="dxa"/>
            <w:tcBorders>
              <w:bottom w:val="single" w:sz="4" w:space="0" w:color="auto"/>
            </w:tcBorders>
            <w:tcMar>
              <w:left w:w="28" w:type="dxa"/>
              <w:right w:w="28" w:type="dxa"/>
            </w:tcMar>
            <w:vAlign w:val="center"/>
          </w:tcPr>
          <w:p w:rsidR="00F116C2" w:rsidRDefault="004F0556">
            <w:pPr>
              <w:pStyle w:val="Tabletext"/>
              <w:keepNext/>
              <w:jc w:val="center"/>
              <w:rPr>
                <w:b/>
              </w:rPr>
            </w:pPr>
            <w:r>
              <w:rPr>
                <w:b/>
              </w:rPr>
              <w:t>&lt; 0.0001</w:t>
            </w:r>
          </w:p>
        </w:tc>
      </w:tr>
      <w:tr w:rsidR="00F116C2">
        <w:trPr>
          <w:cantSplit/>
        </w:trPr>
        <w:tc>
          <w:tcPr>
            <w:tcW w:w="2972" w:type="dxa"/>
            <w:shd w:val="clear" w:color="auto" w:fill="auto"/>
            <w:tcMar>
              <w:left w:w="28" w:type="dxa"/>
              <w:right w:w="28" w:type="dxa"/>
            </w:tcMar>
          </w:tcPr>
          <w:p w:rsidR="00F116C2" w:rsidRDefault="004F0556">
            <w:pPr>
              <w:pStyle w:val="Tabletext"/>
              <w:keepNext/>
            </w:pPr>
            <w:r>
              <w:t xml:space="preserve">OCA+placebo (i.e. </w:t>
            </w:r>
            <w:r>
              <w:rPr>
                <w:color w:val="000000"/>
                <w:szCs w:val="18"/>
              </w:rPr>
              <w:t>UDCA</w:t>
            </w:r>
            <w:r>
              <w:t>-intolerant patients)</w:t>
            </w:r>
          </w:p>
        </w:tc>
        <w:tc>
          <w:tcPr>
            <w:tcW w:w="567" w:type="dxa"/>
            <w:tcMar>
              <w:left w:w="28" w:type="dxa"/>
              <w:right w:w="28" w:type="dxa"/>
            </w:tcMar>
            <w:vAlign w:val="center"/>
          </w:tcPr>
          <w:p w:rsidR="00F116C2" w:rsidRDefault="004F0556">
            <w:pPr>
              <w:pStyle w:val="Tabletext"/>
              <w:keepNext/>
              <w:jc w:val="center"/>
            </w:pPr>
            <w:r>
              <w:t>5</w:t>
            </w:r>
          </w:p>
        </w:tc>
        <w:tc>
          <w:tcPr>
            <w:tcW w:w="851" w:type="dxa"/>
            <w:tcMar>
              <w:left w:w="28" w:type="dxa"/>
              <w:right w:w="28" w:type="dxa"/>
            </w:tcMar>
            <w:vAlign w:val="center"/>
          </w:tcPr>
          <w:p w:rsidR="00F116C2" w:rsidRDefault="004F0556">
            <w:pPr>
              <w:pStyle w:val="Tabletext"/>
              <w:keepNext/>
              <w:jc w:val="center"/>
            </w:pPr>
            <w:r>
              <w:t>0</w:t>
            </w:r>
          </w:p>
        </w:tc>
        <w:tc>
          <w:tcPr>
            <w:tcW w:w="567" w:type="dxa"/>
            <w:shd w:val="clear" w:color="auto" w:fill="auto"/>
            <w:tcMar>
              <w:left w:w="28" w:type="dxa"/>
              <w:right w:w="28" w:type="dxa"/>
            </w:tcMar>
            <w:vAlign w:val="center"/>
          </w:tcPr>
          <w:p w:rsidR="00F116C2" w:rsidRDefault="004F0556">
            <w:pPr>
              <w:pStyle w:val="Tabletext"/>
              <w:keepNext/>
              <w:jc w:val="center"/>
            </w:pPr>
            <w:r>
              <w:t>5</w:t>
            </w:r>
          </w:p>
        </w:tc>
        <w:tc>
          <w:tcPr>
            <w:tcW w:w="992" w:type="dxa"/>
            <w:shd w:val="clear" w:color="auto" w:fill="auto"/>
            <w:tcMar>
              <w:left w:w="28" w:type="dxa"/>
              <w:right w:w="28" w:type="dxa"/>
            </w:tcMar>
            <w:vAlign w:val="center"/>
          </w:tcPr>
          <w:p w:rsidR="00F116C2" w:rsidRDefault="004F0556">
            <w:pPr>
              <w:pStyle w:val="Tabletext"/>
              <w:keepNext/>
              <w:jc w:val="center"/>
            </w:pPr>
            <w:r>
              <w:t>2 (40%)</w:t>
            </w:r>
          </w:p>
        </w:tc>
        <w:tc>
          <w:tcPr>
            <w:tcW w:w="844" w:type="dxa"/>
            <w:shd w:val="clear" w:color="auto" w:fill="auto"/>
            <w:tcMar>
              <w:left w:w="28" w:type="dxa"/>
              <w:right w:w="28" w:type="dxa"/>
            </w:tcMar>
            <w:vAlign w:val="center"/>
          </w:tcPr>
          <w:p w:rsidR="00F116C2" w:rsidRDefault="004F0556">
            <w:pPr>
              <w:pStyle w:val="Tabletext"/>
              <w:keepNext/>
              <w:jc w:val="center"/>
            </w:pPr>
            <w:r>
              <w:t>0.0833</w:t>
            </w:r>
          </w:p>
        </w:tc>
        <w:tc>
          <w:tcPr>
            <w:tcW w:w="561" w:type="dxa"/>
            <w:shd w:val="clear" w:color="auto" w:fill="auto"/>
            <w:tcMar>
              <w:left w:w="28" w:type="dxa"/>
              <w:right w:w="28" w:type="dxa"/>
            </w:tcMar>
            <w:vAlign w:val="center"/>
          </w:tcPr>
          <w:p w:rsidR="00F116C2" w:rsidRDefault="004F0556">
            <w:pPr>
              <w:pStyle w:val="Tabletext"/>
              <w:keepNext/>
              <w:jc w:val="center"/>
            </w:pPr>
            <w:r>
              <w:t>6</w:t>
            </w:r>
          </w:p>
        </w:tc>
        <w:tc>
          <w:tcPr>
            <w:tcW w:w="863" w:type="dxa"/>
            <w:shd w:val="clear" w:color="auto" w:fill="auto"/>
            <w:tcMar>
              <w:left w:w="28" w:type="dxa"/>
              <w:right w:w="28" w:type="dxa"/>
            </w:tcMar>
            <w:vAlign w:val="center"/>
          </w:tcPr>
          <w:p w:rsidR="00F116C2" w:rsidRDefault="004F0556">
            <w:pPr>
              <w:pStyle w:val="Tabletext"/>
              <w:keepNext/>
              <w:jc w:val="center"/>
            </w:pPr>
            <w:r>
              <w:t>1 (17%)</w:t>
            </w:r>
          </w:p>
        </w:tc>
        <w:tc>
          <w:tcPr>
            <w:tcW w:w="850" w:type="dxa"/>
            <w:tcMar>
              <w:left w:w="28" w:type="dxa"/>
              <w:right w:w="28" w:type="dxa"/>
            </w:tcMar>
            <w:vAlign w:val="center"/>
          </w:tcPr>
          <w:p w:rsidR="00F116C2" w:rsidRDefault="004F0556">
            <w:pPr>
              <w:pStyle w:val="Tabletext"/>
              <w:keepNext/>
              <w:jc w:val="center"/>
            </w:pPr>
            <w:r>
              <w:t>0.3173</w:t>
            </w:r>
          </w:p>
        </w:tc>
      </w:tr>
    </w:tbl>
    <w:p w:rsidR="00F116C2" w:rsidRDefault="004F0556">
      <w:pPr>
        <w:pStyle w:val="TableFooter"/>
        <w:keepNext/>
        <w:widowControl/>
      </w:pPr>
      <w:r>
        <w:t>ALP = alkaline phosphatase; BMI = body mass index; CMH = Cochran-Mantel-Haenszel; ITT = intention to treat; LS = least squares; OCA = obeticholic acid; SE = standard error; UDCA = ursodeoxycholic acid; ULN = upper limit(s) of normal</w:t>
      </w:r>
    </w:p>
    <w:p w:rsidR="00F116C2" w:rsidRDefault="004F0556">
      <w:pPr>
        <w:pStyle w:val="TableFooter"/>
        <w:keepNext/>
        <w:widowControl/>
      </w:pPr>
      <w:r>
        <w:t>Endpoint: Responder was defined as a subject obtaining ALP &lt; 1.67x ULN, total bilirubin ≤ ULN, and ALP decrease of ≥ 15% from baseline analysis; p-values based on LS mean (SE) difference between OCA treatment and placebo and were obtained using CMH general association test stratified by randomisation strata factor.</w:t>
      </w:r>
    </w:p>
    <w:p w:rsidR="00F116C2" w:rsidRDefault="004F0556">
      <w:pPr>
        <w:pStyle w:val="TableFooter"/>
        <w:widowControl/>
      </w:pPr>
      <w:r>
        <w:rPr>
          <w:b/>
        </w:rPr>
        <w:t>Bold</w:t>
      </w:r>
      <w:r>
        <w:t xml:space="preserve"> indicates statistical significance.</w:t>
      </w:r>
    </w:p>
    <w:p w:rsidR="00F116C2" w:rsidRDefault="004F0556">
      <w:pPr>
        <w:pStyle w:val="TableFooter"/>
        <w:widowControl/>
      </w:pPr>
      <w:r>
        <w:t>Source: Table 2.5.2, p77 of the resubmission.</w:t>
      </w:r>
    </w:p>
    <w:p w:rsidR="00F116C2" w:rsidRDefault="00F116C2">
      <w:pPr>
        <w:pStyle w:val="TableFooter"/>
        <w:widowControl/>
        <w:rPr>
          <w:lang w:eastAsia="en-AU"/>
        </w:rPr>
      </w:pPr>
    </w:p>
    <w:p w:rsidR="00F116C2" w:rsidRDefault="004F0556">
      <w:pPr>
        <w:pStyle w:val="ListParagraph"/>
        <w:widowControl/>
        <w:numPr>
          <w:ilvl w:val="1"/>
          <w:numId w:val="2"/>
        </w:numPr>
      </w:pPr>
      <w:r>
        <w:t>The PBAC previously considered that the magnitude of any benefit of OCA+UDCA 5</w:t>
      </w:r>
      <w:r>
        <w:noBreakHyphen/>
        <w:t>10 mg titration compared to UDCA alone was uncertain given the small sample sizes, the short mean duration of follow-up (12 months) and given that PBC is a chronic disease (paragraph 7.5, obeticholic acid PSD, November 2018).</w:t>
      </w:r>
    </w:p>
    <w:p w:rsidR="00F116C2" w:rsidRDefault="004F0556">
      <w:pPr>
        <w:pStyle w:val="ListParagraph"/>
        <w:widowControl/>
        <w:numPr>
          <w:ilvl w:val="1"/>
          <w:numId w:val="2"/>
        </w:numPr>
      </w:pPr>
      <w:r>
        <w:rPr>
          <w:rFonts w:cs="Calibri"/>
          <w:snapToGrid/>
          <w:szCs w:val="24"/>
          <w:lang w:eastAsia="en-AU"/>
        </w:rPr>
        <w:t>Given that the sample sizes for patients receiving OCA monotherapy were small (OCA 5-10 mg titration: n = 5; OCA 10 mg: n = 6; placebo: n = 5), it was difficult to assess the effectiveness of OCA monotherapy based on the POISE trial alone.</w:t>
      </w:r>
    </w:p>
    <w:p w:rsidR="00F116C2" w:rsidRDefault="004F0556">
      <w:pPr>
        <w:pStyle w:val="ListParagraph"/>
        <w:widowControl/>
        <w:numPr>
          <w:ilvl w:val="1"/>
          <w:numId w:val="2"/>
        </w:numPr>
      </w:pPr>
      <w:r>
        <w:rPr>
          <w:rFonts w:cs="Calibri"/>
          <w:snapToGrid/>
          <w:szCs w:val="24"/>
          <w:lang w:eastAsia="en-AU"/>
        </w:rPr>
        <w:t>Results of the POISE LTSE study demonstrated that response appeared to be maintained to three years in those patients who were responders at 12 months. Very few additional patients showed a response at Month 24.</w:t>
      </w:r>
    </w:p>
    <w:p w:rsidR="00F116C2" w:rsidRDefault="004F0556">
      <w:pPr>
        <w:pStyle w:val="ListParagraph"/>
        <w:widowControl/>
        <w:numPr>
          <w:ilvl w:val="1"/>
          <w:numId w:val="2"/>
        </w:numPr>
      </w:pPr>
      <w:r>
        <w:rPr>
          <w:rFonts w:cs="Calibri"/>
          <w:snapToGrid/>
          <w:szCs w:val="24"/>
          <w:lang w:eastAsia="en-AU"/>
        </w:rPr>
        <w:t>The resubmission also represented the results from the 747-201 and 747-202 trials (see Table 7). The ESC noted that patients in trial 747-201 were either UDCA-naïve or had not been taking UDCA for greater than three months prior to screening (i.e. likely intolerant); however, as the proportion in each group was not reported it was not possible to identify whether the results were applicable to the proposed PBS population (i.e. UDCA intolerant).</w:t>
      </w:r>
    </w:p>
    <w:p w:rsidR="00F116C2" w:rsidRDefault="004F0556">
      <w:pPr>
        <w:pStyle w:val="Heading2"/>
        <w:widowControl/>
      </w:pPr>
      <w:bookmarkStart w:id="13" w:name="_Toc9335715"/>
      <w:r>
        <w:t>Comparative harms</w:t>
      </w:r>
      <w:bookmarkEnd w:id="13"/>
    </w:p>
    <w:p w:rsidR="00F116C2" w:rsidRDefault="004F0556">
      <w:pPr>
        <w:pStyle w:val="ListParagraph"/>
        <w:widowControl/>
        <w:numPr>
          <w:ilvl w:val="1"/>
          <w:numId w:val="2"/>
        </w:numPr>
      </w:pPr>
      <w:r>
        <w:t xml:space="preserve">Table 6 presents a summary of patient-relevant harms, based on the POISE trial, </w:t>
      </w:r>
      <w:r>
        <w:rPr>
          <w:rFonts w:cs="Calibri"/>
          <w:snapToGrid/>
          <w:szCs w:val="24"/>
          <w:lang w:eastAsia="en-AU"/>
        </w:rPr>
        <w:t>747</w:t>
      </w:r>
      <w:r>
        <w:rPr>
          <w:rFonts w:cs="Calibri"/>
          <w:snapToGrid/>
          <w:szCs w:val="24"/>
          <w:lang w:eastAsia="en-AU"/>
        </w:rPr>
        <w:noBreakHyphen/>
        <w:t>201 trial and 747</w:t>
      </w:r>
      <w:r>
        <w:rPr>
          <w:rFonts w:cs="Calibri"/>
          <w:snapToGrid/>
          <w:szCs w:val="24"/>
          <w:lang w:eastAsia="en-AU"/>
        </w:rPr>
        <w:noBreakHyphen/>
        <w:t xml:space="preserve">202 trial. </w:t>
      </w:r>
      <w:r>
        <w:t>This was unchanged from the previous submission.</w:t>
      </w:r>
    </w:p>
    <w:p w:rsidR="00E5768D" w:rsidRPr="00E5768D" w:rsidRDefault="00E5768D" w:rsidP="00E5768D">
      <w:pPr>
        <w:pStyle w:val="Tabletext"/>
        <w:keepNext/>
        <w:rPr>
          <w:b/>
        </w:rPr>
      </w:pPr>
      <w:r w:rsidRPr="00E5768D">
        <w:rPr>
          <w:b/>
        </w:rPr>
        <w:lastRenderedPageBreak/>
        <w:t xml:space="preserve">Table </w:t>
      </w:r>
      <w:r w:rsidRPr="00E5768D">
        <w:rPr>
          <w:b/>
        </w:rPr>
        <w:fldChar w:fldCharType="begin"/>
      </w:r>
      <w:r w:rsidRPr="00E5768D">
        <w:rPr>
          <w:b/>
        </w:rPr>
        <w:instrText xml:space="preserve"> SEQ Table \* ARABIC </w:instrText>
      </w:r>
      <w:r w:rsidRPr="00E5768D">
        <w:rPr>
          <w:b/>
        </w:rPr>
        <w:fldChar w:fldCharType="separate"/>
      </w:r>
      <w:r w:rsidR="009C1169">
        <w:rPr>
          <w:b/>
          <w:noProof/>
        </w:rPr>
        <w:t>6</w:t>
      </w:r>
      <w:r w:rsidRPr="00E5768D">
        <w:rPr>
          <w:b/>
        </w:rPr>
        <w:fldChar w:fldCharType="end"/>
      </w:r>
      <w:r w:rsidRPr="00E5768D">
        <w:rPr>
          <w:b/>
        </w:rPr>
        <w:t>: Summary of key adverse events in the randomised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6: Summary of key adverse events in the randomised trials"/>
      </w:tblPr>
      <w:tblGrid>
        <w:gridCol w:w="4248"/>
        <w:gridCol w:w="1417"/>
        <w:gridCol w:w="1843"/>
        <w:gridCol w:w="1509"/>
      </w:tblGrid>
      <w:tr w:rsidR="00F116C2">
        <w:trPr>
          <w:tblHeader/>
        </w:trPr>
        <w:tc>
          <w:tcPr>
            <w:tcW w:w="4248" w:type="dxa"/>
            <w:vAlign w:val="center"/>
          </w:tcPr>
          <w:p w:rsidR="00F116C2" w:rsidRDefault="004F0556">
            <w:pPr>
              <w:pStyle w:val="Tabletext"/>
              <w:keepNext/>
              <w:rPr>
                <w:b/>
              </w:rPr>
            </w:pPr>
            <w:r>
              <w:rPr>
                <w:b/>
              </w:rPr>
              <w:t>Trial ID</w:t>
            </w:r>
          </w:p>
        </w:tc>
        <w:tc>
          <w:tcPr>
            <w:tcW w:w="1417" w:type="dxa"/>
            <w:vAlign w:val="center"/>
          </w:tcPr>
          <w:p w:rsidR="00F116C2" w:rsidRDefault="004F0556">
            <w:pPr>
              <w:pStyle w:val="Tabletext"/>
              <w:keepNext/>
              <w:jc w:val="center"/>
              <w:rPr>
                <w:b/>
              </w:rPr>
            </w:pPr>
            <w:r>
              <w:rPr>
                <w:b/>
              </w:rPr>
              <w:t xml:space="preserve">Placebo </w:t>
            </w:r>
            <w:r>
              <w:rPr>
                <w:b/>
              </w:rPr>
              <w:br/>
              <w:t>+/- UDCA,</w:t>
            </w:r>
          </w:p>
          <w:p w:rsidR="00F116C2" w:rsidRDefault="004F0556">
            <w:pPr>
              <w:pStyle w:val="Tabletext"/>
              <w:keepNext/>
              <w:jc w:val="center"/>
              <w:rPr>
                <w:b/>
              </w:rPr>
            </w:pPr>
            <w:r>
              <w:rPr>
                <w:b/>
              </w:rPr>
              <w:t>n/N (%)</w:t>
            </w:r>
          </w:p>
        </w:tc>
        <w:tc>
          <w:tcPr>
            <w:tcW w:w="1843" w:type="dxa"/>
            <w:vAlign w:val="center"/>
          </w:tcPr>
          <w:p w:rsidR="00F116C2" w:rsidRDefault="004F0556">
            <w:pPr>
              <w:pStyle w:val="Tabletext"/>
              <w:keepNext/>
              <w:jc w:val="center"/>
              <w:rPr>
                <w:b/>
              </w:rPr>
            </w:pPr>
            <w:r>
              <w:rPr>
                <w:b/>
              </w:rPr>
              <w:t xml:space="preserve">OCA 5-10 mg titration +/- UDCA, </w:t>
            </w:r>
          </w:p>
          <w:p w:rsidR="00F116C2" w:rsidRDefault="004F0556">
            <w:pPr>
              <w:pStyle w:val="Tabletext"/>
              <w:keepNext/>
              <w:jc w:val="center"/>
              <w:rPr>
                <w:b/>
              </w:rPr>
            </w:pPr>
            <w:r>
              <w:rPr>
                <w:b/>
              </w:rPr>
              <w:t>n/N (%)</w:t>
            </w:r>
          </w:p>
        </w:tc>
        <w:tc>
          <w:tcPr>
            <w:tcW w:w="1509" w:type="dxa"/>
            <w:vAlign w:val="center"/>
          </w:tcPr>
          <w:p w:rsidR="00F116C2" w:rsidRDefault="004F0556">
            <w:pPr>
              <w:pStyle w:val="Tabletext"/>
              <w:keepNext/>
              <w:jc w:val="center"/>
              <w:rPr>
                <w:b/>
              </w:rPr>
            </w:pPr>
            <w:r>
              <w:rPr>
                <w:b/>
              </w:rPr>
              <w:t xml:space="preserve">OCA 10mg </w:t>
            </w:r>
            <w:r>
              <w:rPr>
                <w:b/>
              </w:rPr>
              <w:br/>
              <w:t xml:space="preserve">+/- UDCA, </w:t>
            </w:r>
          </w:p>
          <w:p w:rsidR="00F116C2" w:rsidRDefault="004F0556">
            <w:pPr>
              <w:pStyle w:val="Tabletext"/>
              <w:keepNext/>
              <w:jc w:val="center"/>
              <w:rPr>
                <w:b/>
              </w:rPr>
            </w:pPr>
            <w:r>
              <w:rPr>
                <w:b/>
              </w:rPr>
              <w:t>n/N (%)</w:t>
            </w:r>
          </w:p>
        </w:tc>
      </w:tr>
      <w:tr w:rsidR="00F116C2">
        <w:tc>
          <w:tcPr>
            <w:tcW w:w="9017" w:type="dxa"/>
            <w:gridSpan w:val="4"/>
            <w:vAlign w:val="center"/>
          </w:tcPr>
          <w:p w:rsidR="00F116C2" w:rsidRDefault="004F0556">
            <w:pPr>
              <w:pStyle w:val="Tabletext"/>
              <w:keepNext/>
              <w:rPr>
                <w:b/>
              </w:rPr>
            </w:pPr>
            <w:r>
              <w:rPr>
                <w:b/>
              </w:rPr>
              <w:t>POISE Trial</w:t>
            </w:r>
          </w:p>
        </w:tc>
      </w:tr>
      <w:tr w:rsidR="00F116C2">
        <w:tc>
          <w:tcPr>
            <w:tcW w:w="4248" w:type="dxa"/>
          </w:tcPr>
          <w:p w:rsidR="00F116C2" w:rsidRDefault="004F0556">
            <w:pPr>
              <w:pStyle w:val="Tabletext"/>
              <w:keepNext/>
              <w:rPr>
                <w:szCs w:val="20"/>
              </w:rPr>
            </w:pPr>
            <w:r>
              <w:rPr>
                <w:rFonts w:cstheme="minorHAnsi"/>
                <w:szCs w:val="20"/>
              </w:rPr>
              <w:t>Any TEAE</w:t>
            </w:r>
          </w:p>
        </w:tc>
        <w:tc>
          <w:tcPr>
            <w:tcW w:w="1417" w:type="dxa"/>
            <w:vAlign w:val="center"/>
          </w:tcPr>
          <w:p w:rsidR="00F116C2" w:rsidRDefault="004F0556">
            <w:pPr>
              <w:pStyle w:val="Tabletext"/>
              <w:keepNext/>
              <w:jc w:val="center"/>
              <w:rPr>
                <w:szCs w:val="20"/>
              </w:rPr>
            </w:pPr>
            <w:r>
              <w:rPr>
                <w:rFonts w:cstheme="minorHAnsi"/>
                <w:szCs w:val="20"/>
              </w:rPr>
              <w:t>66/73 (90%)</w:t>
            </w:r>
          </w:p>
        </w:tc>
        <w:tc>
          <w:tcPr>
            <w:tcW w:w="1843" w:type="dxa"/>
            <w:vAlign w:val="center"/>
          </w:tcPr>
          <w:p w:rsidR="00F116C2" w:rsidRDefault="004F0556">
            <w:pPr>
              <w:pStyle w:val="Tabletext"/>
              <w:keepNext/>
              <w:jc w:val="center"/>
              <w:rPr>
                <w:szCs w:val="20"/>
              </w:rPr>
            </w:pPr>
            <w:r>
              <w:rPr>
                <w:rFonts w:cstheme="minorHAnsi"/>
                <w:szCs w:val="20"/>
              </w:rPr>
              <w:t>65/70 (93%)</w:t>
            </w:r>
          </w:p>
        </w:tc>
        <w:tc>
          <w:tcPr>
            <w:tcW w:w="1509" w:type="dxa"/>
            <w:vAlign w:val="center"/>
          </w:tcPr>
          <w:p w:rsidR="00F116C2" w:rsidRDefault="004F0556">
            <w:pPr>
              <w:pStyle w:val="Tabletext"/>
              <w:keepNext/>
              <w:jc w:val="center"/>
              <w:rPr>
                <w:rFonts w:cstheme="minorHAnsi"/>
                <w:szCs w:val="20"/>
              </w:rPr>
            </w:pPr>
            <w:r>
              <w:rPr>
                <w:rFonts w:cstheme="minorHAnsi"/>
                <w:szCs w:val="20"/>
              </w:rPr>
              <w:t>69/73 (95%)</w:t>
            </w:r>
          </w:p>
        </w:tc>
      </w:tr>
      <w:tr w:rsidR="00F116C2">
        <w:tc>
          <w:tcPr>
            <w:tcW w:w="4248" w:type="dxa"/>
          </w:tcPr>
          <w:p w:rsidR="00F116C2" w:rsidRDefault="004F0556">
            <w:pPr>
              <w:pStyle w:val="Tabletext"/>
              <w:keepNext/>
              <w:rPr>
                <w:rFonts w:cstheme="minorHAnsi"/>
                <w:szCs w:val="20"/>
              </w:rPr>
            </w:pPr>
            <w:r>
              <w:rPr>
                <w:rFonts w:cstheme="minorHAnsi"/>
                <w:szCs w:val="18"/>
              </w:rPr>
              <w:t>Total number of TEAEs</w:t>
            </w:r>
          </w:p>
        </w:tc>
        <w:tc>
          <w:tcPr>
            <w:tcW w:w="1417" w:type="dxa"/>
            <w:vAlign w:val="center"/>
          </w:tcPr>
          <w:p w:rsidR="00F116C2" w:rsidRDefault="004F0556">
            <w:pPr>
              <w:pStyle w:val="Tabletext"/>
              <w:keepNext/>
              <w:jc w:val="center"/>
              <w:rPr>
                <w:rFonts w:cstheme="minorHAnsi"/>
                <w:szCs w:val="20"/>
              </w:rPr>
            </w:pPr>
            <w:r>
              <w:rPr>
                <w:rFonts w:cstheme="minorHAnsi"/>
                <w:szCs w:val="18"/>
              </w:rPr>
              <w:t>452</w:t>
            </w:r>
          </w:p>
        </w:tc>
        <w:tc>
          <w:tcPr>
            <w:tcW w:w="1843" w:type="dxa"/>
            <w:vAlign w:val="center"/>
          </w:tcPr>
          <w:p w:rsidR="00F116C2" w:rsidRDefault="004F0556">
            <w:pPr>
              <w:pStyle w:val="Tabletext"/>
              <w:keepNext/>
              <w:jc w:val="center"/>
              <w:rPr>
                <w:rFonts w:cstheme="minorHAnsi"/>
                <w:szCs w:val="20"/>
              </w:rPr>
            </w:pPr>
            <w:r>
              <w:rPr>
                <w:rFonts w:cstheme="minorHAnsi"/>
                <w:szCs w:val="18"/>
              </w:rPr>
              <w:t>471</w:t>
            </w:r>
          </w:p>
        </w:tc>
        <w:tc>
          <w:tcPr>
            <w:tcW w:w="1509" w:type="dxa"/>
            <w:vAlign w:val="center"/>
          </w:tcPr>
          <w:p w:rsidR="00F116C2" w:rsidRDefault="004F0556">
            <w:pPr>
              <w:pStyle w:val="Tabletext"/>
              <w:keepNext/>
              <w:jc w:val="center"/>
              <w:rPr>
                <w:rFonts w:cstheme="minorHAnsi"/>
                <w:szCs w:val="20"/>
              </w:rPr>
            </w:pPr>
            <w:r>
              <w:rPr>
                <w:rFonts w:cstheme="minorHAnsi"/>
                <w:szCs w:val="18"/>
              </w:rPr>
              <w:t>467</w:t>
            </w:r>
          </w:p>
        </w:tc>
      </w:tr>
      <w:tr w:rsidR="00F116C2">
        <w:tc>
          <w:tcPr>
            <w:tcW w:w="4248" w:type="dxa"/>
          </w:tcPr>
          <w:p w:rsidR="00F116C2" w:rsidRDefault="004F0556">
            <w:pPr>
              <w:pStyle w:val="Tabletext"/>
              <w:keepNext/>
              <w:rPr>
                <w:szCs w:val="20"/>
              </w:rPr>
            </w:pPr>
            <w:r>
              <w:rPr>
                <w:rFonts w:cstheme="minorHAnsi"/>
                <w:szCs w:val="20"/>
              </w:rPr>
              <w:t>A related TEAE of pruritus</w:t>
            </w:r>
          </w:p>
        </w:tc>
        <w:tc>
          <w:tcPr>
            <w:tcW w:w="1417" w:type="dxa"/>
            <w:vAlign w:val="center"/>
          </w:tcPr>
          <w:p w:rsidR="00F116C2" w:rsidRDefault="004F0556">
            <w:pPr>
              <w:pStyle w:val="Tabletext"/>
              <w:keepNext/>
              <w:jc w:val="center"/>
              <w:rPr>
                <w:szCs w:val="20"/>
              </w:rPr>
            </w:pPr>
            <w:r>
              <w:rPr>
                <w:rFonts w:cstheme="minorHAnsi"/>
                <w:szCs w:val="20"/>
              </w:rPr>
              <w:t>27/73 (37%)</w:t>
            </w:r>
          </w:p>
        </w:tc>
        <w:tc>
          <w:tcPr>
            <w:tcW w:w="1843" w:type="dxa"/>
            <w:vAlign w:val="center"/>
          </w:tcPr>
          <w:p w:rsidR="00F116C2" w:rsidRDefault="004F0556">
            <w:pPr>
              <w:pStyle w:val="Tabletext"/>
              <w:keepNext/>
              <w:jc w:val="center"/>
              <w:rPr>
                <w:szCs w:val="20"/>
              </w:rPr>
            </w:pPr>
            <w:r>
              <w:rPr>
                <w:rFonts w:cstheme="minorHAnsi"/>
                <w:szCs w:val="20"/>
              </w:rPr>
              <w:t>35/70 (50%)</w:t>
            </w:r>
          </w:p>
        </w:tc>
        <w:tc>
          <w:tcPr>
            <w:tcW w:w="1509" w:type="dxa"/>
            <w:vAlign w:val="center"/>
          </w:tcPr>
          <w:p w:rsidR="00F116C2" w:rsidRDefault="004F0556">
            <w:pPr>
              <w:pStyle w:val="Tabletext"/>
              <w:keepNext/>
              <w:jc w:val="center"/>
              <w:rPr>
                <w:rFonts w:cstheme="minorHAnsi"/>
                <w:b/>
                <w:szCs w:val="20"/>
              </w:rPr>
            </w:pPr>
            <w:r>
              <w:rPr>
                <w:rFonts w:cstheme="minorHAnsi"/>
                <w:szCs w:val="20"/>
              </w:rPr>
              <w:t>48/73 (66%)*</w:t>
            </w:r>
          </w:p>
        </w:tc>
      </w:tr>
      <w:tr w:rsidR="00F116C2">
        <w:tc>
          <w:tcPr>
            <w:tcW w:w="4248" w:type="dxa"/>
          </w:tcPr>
          <w:p w:rsidR="00F116C2" w:rsidRDefault="004F0556">
            <w:pPr>
              <w:pStyle w:val="Tabletext"/>
              <w:keepNext/>
              <w:rPr>
                <w:szCs w:val="20"/>
              </w:rPr>
            </w:pPr>
            <w:r>
              <w:rPr>
                <w:rFonts w:cstheme="minorHAnsi"/>
                <w:szCs w:val="20"/>
              </w:rPr>
              <w:t>Any SAEs</w:t>
            </w:r>
          </w:p>
        </w:tc>
        <w:tc>
          <w:tcPr>
            <w:tcW w:w="1417" w:type="dxa"/>
            <w:vAlign w:val="center"/>
          </w:tcPr>
          <w:p w:rsidR="00F116C2" w:rsidRDefault="004F0556">
            <w:pPr>
              <w:pStyle w:val="Tabletext"/>
              <w:keepNext/>
              <w:jc w:val="center"/>
              <w:rPr>
                <w:szCs w:val="20"/>
              </w:rPr>
            </w:pPr>
            <w:r>
              <w:rPr>
                <w:rFonts w:cstheme="minorHAnsi"/>
                <w:szCs w:val="20"/>
              </w:rPr>
              <w:t>3/73 (4%)</w:t>
            </w:r>
          </w:p>
        </w:tc>
        <w:tc>
          <w:tcPr>
            <w:tcW w:w="1843" w:type="dxa"/>
            <w:vAlign w:val="center"/>
          </w:tcPr>
          <w:p w:rsidR="00F116C2" w:rsidRDefault="004F0556">
            <w:pPr>
              <w:pStyle w:val="Tabletext"/>
              <w:keepNext/>
              <w:jc w:val="center"/>
              <w:rPr>
                <w:szCs w:val="20"/>
              </w:rPr>
            </w:pPr>
            <w:r>
              <w:rPr>
                <w:rFonts w:cstheme="minorHAnsi"/>
                <w:szCs w:val="20"/>
              </w:rPr>
              <w:t>11/70 (16%)*</w:t>
            </w:r>
          </w:p>
        </w:tc>
        <w:tc>
          <w:tcPr>
            <w:tcW w:w="1509" w:type="dxa"/>
            <w:vAlign w:val="center"/>
          </w:tcPr>
          <w:p w:rsidR="00F116C2" w:rsidRDefault="004F0556">
            <w:pPr>
              <w:pStyle w:val="Tabletext"/>
              <w:keepNext/>
              <w:jc w:val="center"/>
              <w:rPr>
                <w:rFonts w:cstheme="minorHAnsi"/>
                <w:szCs w:val="20"/>
              </w:rPr>
            </w:pPr>
            <w:r>
              <w:rPr>
                <w:rFonts w:cstheme="minorHAnsi"/>
                <w:szCs w:val="20"/>
              </w:rPr>
              <w:t>8/73 (11%)</w:t>
            </w:r>
          </w:p>
        </w:tc>
      </w:tr>
      <w:tr w:rsidR="00F116C2">
        <w:tc>
          <w:tcPr>
            <w:tcW w:w="4248" w:type="dxa"/>
          </w:tcPr>
          <w:p w:rsidR="00F116C2" w:rsidRDefault="004F0556">
            <w:pPr>
              <w:pStyle w:val="Tabletext"/>
              <w:keepNext/>
              <w:rPr>
                <w:szCs w:val="20"/>
              </w:rPr>
            </w:pPr>
            <w:r>
              <w:rPr>
                <w:rFonts w:cstheme="minorHAnsi"/>
                <w:szCs w:val="20"/>
              </w:rPr>
              <w:t>Total number of SAEs</w:t>
            </w:r>
          </w:p>
        </w:tc>
        <w:tc>
          <w:tcPr>
            <w:tcW w:w="1417" w:type="dxa"/>
            <w:vAlign w:val="center"/>
          </w:tcPr>
          <w:p w:rsidR="00F116C2" w:rsidRDefault="004F0556">
            <w:pPr>
              <w:pStyle w:val="Tabletext"/>
              <w:keepNext/>
              <w:jc w:val="center"/>
              <w:rPr>
                <w:szCs w:val="20"/>
              </w:rPr>
            </w:pPr>
            <w:r>
              <w:rPr>
                <w:rFonts w:cstheme="minorHAnsi"/>
                <w:szCs w:val="20"/>
              </w:rPr>
              <w:t>8</w:t>
            </w:r>
          </w:p>
        </w:tc>
        <w:tc>
          <w:tcPr>
            <w:tcW w:w="1843" w:type="dxa"/>
            <w:vAlign w:val="center"/>
          </w:tcPr>
          <w:p w:rsidR="00F116C2" w:rsidRDefault="004F0556">
            <w:pPr>
              <w:pStyle w:val="Tabletext"/>
              <w:keepNext/>
              <w:jc w:val="center"/>
              <w:rPr>
                <w:szCs w:val="20"/>
              </w:rPr>
            </w:pPr>
            <w:r>
              <w:rPr>
                <w:rFonts w:cstheme="minorHAnsi"/>
                <w:szCs w:val="20"/>
              </w:rPr>
              <w:t>15</w:t>
            </w:r>
          </w:p>
        </w:tc>
        <w:tc>
          <w:tcPr>
            <w:tcW w:w="1509" w:type="dxa"/>
            <w:vAlign w:val="center"/>
          </w:tcPr>
          <w:p w:rsidR="00F116C2" w:rsidRDefault="004F0556">
            <w:pPr>
              <w:pStyle w:val="Tabletext"/>
              <w:keepNext/>
              <w:jc w:val="center"/>
              <w:rPr>
                <w:rFonts w:cstheme="minorHAnsi"/>
                <w:szCs w:val="20"/>
              </w:rPr>
            </w:pPr>
            <w:r>
              <w:rPr>
                <w:rFonts w:cstheme="minorHAnsi"/>
                <w:szCs w:val="20"/>
              </w:rPr>
              <w:t>11</w:t>
            </w:r>
          </w:p>
        </w:tc>
      </w:tr>
      <w:tr w:rsidR="00F116C2">
        <w:tc>
          <w:tcPr>
            <w:tcW w:w="4248" w:type="dxa"/>
          </w:tcPr>
          <w:p w:rsidR="00F116C2" w:rsidRDefault="004F0556">
            <w:pPr>
              <w:pStyle w:val="Tabletext"/>
              <w:keepNext/>
              <w:rPr>
                <w:rFonts w:cstheme="minorHAnsi"/>
                <w:szCs w:val="20"/>
              </w:rPr>
            </w:pPr>
            <w:r>
              <w:rPr>
                <w:rFonts w:cstheme="minorHAnsi"/>
                <w:szCs w:val="20"/>
              </w:rPr>
              <w:t>Any TEAE leading to Study Discontinuation</w:t>
            </w:r>
          </w:p>
        </w:tc>
        <w:tc>
          <w:tcPr>
            <w:tcW w:w="1417" w:type="dxa"/>
            <w:vAlign w:val="center"/>
          </w:tcPr>
          <w:p w:rsidR="00F116C2" w:rsidRDefault="004F0556">
            <w:pPr>
              <w:pStyle w:val="Tabletext"/>
              <w:keepNext/>
              <w:jc w:val="center"/>
              <w:rPr>
                <w:rFonts w:cstheme="minorHAnsi"/>
                <w:szCs w:val="20"/>
              </w:rPr>
            </w:pPr>
            <w:r>
              <w:rPr>
                <w:rFonts w:cstheme="minorHAnsi"/>
                <w:szCs w:val="20"/>
              </w:rPr>
              <w:t>2/73 (3%)</w:t>
            </w:r>
            <w:r>
              <w:rPr>
                <w:rFonts w:cstheme="minorHAnsi"/>
                <w:szCs w:val="20"/>
                <w:vertAlign w:val="superscript"/>
              </w:rPr>
              <w:t>a</w:t>
            </w:r>
          </w:p>
        </w:tc>
        <w:tc>
          <w:tcPr>
            <w:tcW w:w="1843" w:type="dxa"/>
            <w:vAlign w:val="center"/>
          </w:tcPr>
          <w:p w:rsidR="00F116C2" w:rsidRDefault="004F0556">
            <w:pPr>
              <w:pStyle w:val="Tabletext"/>
              <w:keepNext/>
              <w:jc w:val="center"/>
              <w:rPr>
                <w:rFonts w:cstheme="minorHAnsi"/>
                <w:szCs w:val="20"/>
              </w:rPr>
            </w:pPr>
            <w:r>
              <w:rPr>
                <w:rFonts w:cstheme="minorHAnsi"/>
                <w:szCs w:val="20"/>
              </w:rPr>
              <w:t>5/70 (7%)</w:t>
            </w:r>
            <w:r>
              <w:rPr>
                <w:rFonts w:cstheme="minorHAnsi"/>
                <w:szCs w:val="20"/>
                <w:vertAlign w:val="superscript"/>
              </w:rPr>
              <w:t>b</w:t>
            </w:r>
          </w:p>
        </w:tc>
        <w:tc>
          <w:tcPr>
            <w:tcW w:w="1509" w:type="dxa"/>
            <w:vAlign w:val="center"/>
          </w:tcPr>
          <w:p w:rsidR="00F116C2" w:rsidRDefault="004F0556">
            <w:pPr>
              <w:pStyle w:val="Tabletext"/>
              <w:keepNext/>
              <w:jc w:val="center"/>
              <w:rPr>
                <w:rFonts w:cstheme="minorHAnsi"/>
                <w:szCs w:val="20"/>
              </w:rPr>
            </w:pPr>
            <w:r>
              <w:rPr>
                <w:rFonts w:cstheme="minorHAnsi"/>
                <w:szCs w:val="20"/>
              </w:rPr>
              <w:t>8/73 (11%)</w:t>
            </w:r>
            <w:r>
              <w:rPr>
                <w:rFonts w:cstheme="minorHAnsi"/>
                <w:szCs w:val="20"/>
                <w:vertAlign w:val="superscript"/>
              </w:rPr>
              <w:t>c</w:t>
            </w:r>
          </w:p>
        </w:tc>
      </w:tr>
      <w:tr w:rsidR="00F116C2">
        <w:tc>
          <w:tcPr>
            <w:tcW w:w="4248" w:type="dxa"/>
          </w:tcPr>
          <w:p w:rsidR="00F116C2" w:rsidRDefault="004F0556">
            <w:pPr>
              <w:pStyle w:val="Tabletext"/>
              <w:keepNext/>
              <w:rPr>
                <w:rFonts w:cstheme="minorHAnsi"/>
                <w:szCs w:val="20"/>
              </w:rPr>
            </w:pPr>
            <w:r>
              <w:rPr>
                <w:rFonts w:cstheme="minorHAnsi"/>
                <w:szCs w:val="20"/>
              </w:rPr>
              <w:t>Study Discontinuation due to a TEAE of pruritus</w:t>
            </w:r>
          </w:p>
        </w:tc>
        <w:tc>
          <w:tcPr>
            <w:tcW w:w="1417" w:type="dxa"/>
            <w:vAlign w:val="center"/>
          </w:tcPr>
          <w:p w:rsidR="00F116C2" w:rsidRDefault="004F0556">
            <w:pPr>
              <w:pStyle w:val="Tabletext"/>
              <w:keepNext/>
              <w:jc w:val="center"/>
              <w:rPr>
                <w:rFonts w:cstheme="minorHAnsi"/>
                <w:szCs w:val="20"/>
              </w:rPr>
            </w:pPr>
            <w:r>
              <w:rPr>
                <w:rFonts w:cstheme="minorHAnsi"/>
                <w:szCs w:val="20"/>
              </w:rPr>
              <w:t>0/73</w:t>
            </w:r>
          </w:p>
        </w:tc>
        <w:tc>
          <w:tcPr>
            <w:tcW w:w="1843" w:type="dxa"/>
            <w:vAlign w:val="center"/>
          </w:tcPr>
          <w:p w:rsidR="00F116C2" w:rsidRDefault="004F0556">
            <w:pPr>
              <w:pStyle w:val="Tabletext"/>
              <w:keepNext/>
              <w:jc w:val="center"/>
              <w:rPr>
                <w:rFonts w:cstheme="minorHAnsi"/>
                <w:szCs w:val="20"/>
              </w:rPr>
            </w:pPr>
            <w:r>
              <w:rPr>
                <w:rFonts w:cstheme="minorHAnsi"/>
                <w:szCs w:val="20"/>
              </w:rPr>
              <w:t>1/70 (1%)</w:t>
            </w:r>
          </w:p>
        </w:tc>
        <w:tc>
          <w:tcPr>
            <w:tcW w:w="1509" w:type="dxa"/>
            <w:vAlign w:val="center"/>
          </w:tcPr>
          <w:p w:rsidR="00F116C2" w:rsidRDefault="004F0556">
            <w:pPr>
              <w:pStyle w:val="Tabletext"/>
              <w:keepNext/>
              <w:jc w:val="center"/>
              <w:rPr>
                <w:rFonts w:cstheme="minorHAnsi"/>
                <w:szCs w:val="20"/>
              </w:rPr>
            </w:pPr>
            <w:r>
              <w:rPr>
                <w:rFonts w:cstheme="minorHAnsi"/>
                <w:szCs w:val="20"/>
              </w:rPr>
              <w:t>7/73 (10%)*</w:t>
            </w:r>
          </w:p>
        </w:tc>
      </w:tr>
      <w:tr w:rsidR="00F116C2">
        <w:tc>
          <w:tcPr>
            <w:tcW w:w="4248" w:type="dxa"/>
          </w:tcPr>
          <w:p w:rsidR="00F116C2" w:rsidRDefault="004F0556">
            <w:pPr>
              <w:pStyle w:val="Tabletext"/>
              <w:keepNext/>
              <w:rPr>
                <w:rFonts w:cstheme="minorHAnsi"/>
                <w:szCs w:val="20"/>
              </w:rPr>
            </w:pPr>
            <w:r>
              <w:rPr>
                <w:rFonts w:cstheme="minorHAnsi"/>
                <w:szCs w:val="20"/>
              </w:rPr>
              <w:t>Deaths</w:t>
            </w:r>
          </w:p>
        </w:tc>
        <w:tc>
          <w:tcPr>
            <w:tcW w:w="1417" w:type="dxa"/>
            <w:vAlign w:val="center"/>
          </w:tcPr>
          <w:p w:rsidR="00F116C2" w:rsidRDefault="004F0556">
            <w:pPr>
              <w:pStyle w:val="Tabletext"/>
              <w:keepNext/>
              <w:jc w:val="center"/>
              <w:rPr>
                <w:rFonts w:cstheme="minorHAnsi"/>
                <w:szCs w:val="20"/>
              </w:rPr>
            </w:pPr>
            <w:r>
              <w:rPr>
                <w:rFonts w:cstheme="minorHAnsi"/>
                <w:szCs w:val="20"/>
              </w:rPr>
              <w:t>0/73</w:t>
            </w:r>
          </w:p>
        </w:tc>
        <w:tc>
          <w:tcPr>
            <w:tcW w:w="1843" w:type="dxa"/>
            <w:vAlign w:val="center"/>
          </w:tcPr>
          <w:p w:rsidR="00F116C2" w:rsidRDefault="004F0556">
            <w:pPr>
              <w:pStyle w:val="Tabletext"/>
              <w:keepNext/>
              <w:jc w:val="center"/>
              <w:rPr>
                <w:rFonts w:cstheme="minorHAnsi"/>
                <w:szCs w:val="20"/>
              </w:rPr>
            </w:pPr>
            <w:r>
              <w:rPr>
                <w:rFonts w:cstheme="minorHAnsi"/>
                <w:szCs w:val="20"/>
              </w:rPr>
              <w:t>1/70 (1%)</w:t>
            </w:r>
          </w:p>
        </w:tc>
        <w:tc>
          <w:tcPr>
            <w:tcW w:w="1509" w:type="dxa"/>
            <w:vAlign w:val="center"/>
          </w:tcPr>
          <w:p w:rsidR="00F116C2" w:rsidRDefault="004F0556">
            <w:pPr>
              <w:pStyle w:val="Tabletext"/>
              <w:keepNext/>
              <w:jc w:val="center"/>
              <w:rPr>
                <w:rFonts w:cstheme="minorHAnsi"/>
                <w:szCs w:val="20"/>
              </w:rPr>
            </w:pPr>
            <w:r>
              <w:rPr>
                <w:rFonts w:cstheme="minorHAnsi"/>
                <w:szCs w:val="20"/>
              </w:rPr>
              <w:t>0/73</w:t>
            </w:r>
          </w:p>
        </w:tc>
      </w:tr>
      <w:tr w:rsidR="00F116C2">
        <w:tc>
          <w:tcPr>
            <w:tcW w:w="0" w:type="auto"/>
            <w:gridSpan w:val="4"/>
          </w:tcPr>
          <w:p w:rsidR="00F116C2" w:rsidRDefault="004F0556">
            <w:pPr>
              <w:pStyle w:val="Tabletext"/>
              <w:keepNext/>
              <w:rPr>
                <w:rFonts w:cstheme="minorHAnsi"/>
                <w:szCs w:val="20"/>
              </w:rPr>
            </w:pPr>
            <w:r>
              <w:rPr>
                <w:rFonts w:cstheme="minorHAnsi"/>
                <w:b/>
                <w:szCs w:val="20"/>
              </w:rPr>
              <w:t>747-201 Trial (OCA monotherapy)</w:t>
            </w:r>
          </w:p>
        </w:tc>
      </w:tr>
      <w:tr w:rsidR="00F116C2">
        <w:tc>
          <w:tcPr>
            <w:tcW w:w="4248" w:type="dxa"/>
          </w:tcPr>
          <w:p w:rsidR="00F116C2" w:rsidRDefault="004F0556">
            <w:pPr>
              <w:pStyle w:val="Tabletext"/>
              <w:keepNext/>
              <w:rPr>
                <w:rFonts w:cstheme="minorHAnsi"/>
                <w:szCs w:val="20"/>
              </w:rPr>
            </w:pPr>
            <w:r>
              <w:rPr>
                <w:rFonts w:cstheme="minorHAnsi"/>
                <w:szCs w:val="20"/>
              </w:rPr>
              <w:t>Subjects reporting at least 1 TEAE</w:t>
            </w:r>
          </w:p>
        </w:tc>
        <w:tc>
          <w:tcPr>
            <w:tcW w:w="1417" w:type="dxa"/>
            <w:vAlign w:val="center"/>
          </w:tcPr>
          <w:p w:rsidR="00F116C2" w:rsidRDefault="004F0556">
            <w:pPr>
              <w:pStyle w:val="Tabletext"/>
              <w:keepNext/>
              <w:jc w:val="center"/>
              <w:rPr>
                <w:rFonts w:cstheme="minorHAnsi"/>
                <w:szCs w:val="20"/>
              </w:rPr>
            </w:pPr>
            <w:r>
              <w:rPr>
                <w:rFonts w:cstheme="minorHAnsi"/>
                <w:szCs w:val="20"/>
              </w:rPr>
              <w:t>21/23 (91%)</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18/20 (90%)</w:t>
            </w:r>
          </w:p>
        </w:tc>
      </w:tr>
      <w:tr w:rsidR="00F116C2">
        <w:tc>
          <w:tcPr>
            <w:tcW w:w="4248" w:type="dxa"/>
          </w:tcPr>
          <w:p w:rsidR="00F116C2" w:rsidRDefault="004F0556">
            <w:pPr>
              <w:pStyle w:val="Tabletext"/>
              <w:keepNext/>
              <w:rPr>
                <w:rFonts w:cstheme="minorHAnsi"/>
                <w:szCs w:val="20"/>
              </w:rPr>
            </w:pPr>
            <w:r>
              <w:rPr>
                <w:rFonts w:cstheme="minorHAnsi"/>
                <w:szCs w:val="20"/>
              </w:rPr>
              <w:t>Subjects with TEAE of pruritus or pruritus generalised</w:t>
            </w:r>
          </w:p>
        </w:tc>
        <w:tc>
          <w:tcPr>
            <w:tcW w:w="1417" w:type="dxa"/>
            <w:vAlign w:val="center"/>
          </w:tcPr>
          <w:p w:rsidR="00F116C2" w:rsidRDefault="004F0556">
            <w:pPr>
              <w:pStyle w:val="Tabletext"/>
              <w:keepNext/>
              <w:jc w:val="center"/>
              <w:rPr>
                <w:rFonts w:cstheme="minorHAnsi"/>
                <w:szCs w:val="20"/>
              </w:rPr>
            </w:pPr>
            <w:r>
              <w:rPr>
                <w:rFonts w:cstheme="minorHAnsi"/>
                <w:szCs w:val="20"/>
              </w:rPr>
              <w:t>8/23 (35%)</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14/20 (70%)</w:t>
            </w:r>
          </w:p>
        </w:tc>
      </w:tr>
      <w:tr w:rsidR="00F116C2">
        <w:tc>
          <w:tcPr>
            <w:tcW w:w="4248" w:type="dxa"/>
          </w:tcPr>
          <w:p w:rsidR="00F116C2" w:rsidRDefault="004F0556">
            <w:pPr>
              <w:pStyle w:val="Tabletext"/>
              <w:keepNext/>
              <w:rPr>
                <w:rFonts w:cstheme="minorHAnsi"/>
                <w:szCs w:val="20"/>
              </w:rPr>
            </w:pPr>
            <w:r>
              <w:rPr>
                <w:rFonts w:cstheme="minorHAnsi"/>
                <w:szCs w:val="20"/>
              </w:rPr>
              <w:t>Subjects with related TEAE</w:t>
            </w:r>
          </w:p>
        </w:tc>
        <w:tc>
          <w:tcPr>
            <w:tcW w:w="1417" w:type="dxa"/>
            <w:vAlign w:val="center"/>
          </w:tcPr>
          <w:p w:rsidR="00F116C2" w:rsidRDefault="004F0556">
            <w:pPr>
              <w:pStyle w:val="Tabletext"/>
              <w:keepNext/>
              <w:jc w:val="center"/>
              <w:rPr>
                <w:rFonts w:cstheme="minorHAnsi"/>
                <w:szCs w:val="20"/>
              </w:rPr>
            </w:pPr>
            <w:r>
              <w:rPr>
                <w:rFonts w:cstheme="minorHAnsi"/>
                <w:szCs w:val="20"/>
              </w:rPr>
              <w:t>11/23 (48%)</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15/20 (75%)</w:t>
            </w:r>
          </w:p>
        </w:tc>
      </w:tr>
      <w:tr w:rsidR="00F116C2">
        <w:tc>
          <w:tcPr>
            <w:tcW w:w="4248" w:type="dxa"/>
          </w:tcPr>
          <w:p w:rsidR="00F116C2" w:rsidRDefault="004F0556">
            <w:pPr>
              <w:pStyle w:val="Tabletext"/>
              <w:keepNext/>
              <w:rPr>
                <w:rFonts w:cstheme="minorHAnsi"/>
                <w:szCs w:val="20"/>
              </w:rPr>
            </w:pPr>
            <w:r>
              <w:rPr>
                <w:rFonts w:cstheme="minorHAnsi"/>
                <w:szCs w:val="20"/>
              </w:rPr>
              <w:t>Subjects with related TEAEs of pruritus or pruritus generalised</w:t>
            </w:r>
          </w:p>
        </w:tc>
        <w:tc>
          <w:tcPr>
            <w:tcW w:w="1417" w:type="dxa"/>
            <w:vAlign w:val="center"/>
          </w:tcPr>
          <w:p w:rsidR="00F116C2" w:rsidRDefault="004F0556">
            <w:pPr>
              <w:pStyle w:val="Tabletext"/>
              <w:keepNext/>
              <w:jc w:val="center"/>
              <w:rPr>
                <w:rFonts w:cstheme="minorHAnsi"/>
                <w:szCs w:val="20"/>
              </w:rPr>
            </w:pPr>
            <w:r>
              <w:rPr>
                <w:rFonts w:cstheme="minorHAnsi"/>
                <w:szCs w:val="20"/>
              </w:rPr>
              <w:t>7/23 (30%)</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14/20 (70%)</w:t>
            </w:r>
          </w:p>
        </w:tc>
      </w:tr>
      <w:tr w:rsidR="00F116C2">
        <w:tc>
          <w:tcPr>
            <w:tcW w:w="4248" w:type="dxa"/>
          </w:tcPr>
          <w:p w:rsidR="00F116C2" w:rsidRDefault="004F0556">
            <w:pPr>
              <w:pStyle w:val="Tabletext"/>
              <w:keepNext/>
              <w:rPr>
                <w:rFonts w:cstheme="minorHAnsi"/>
                <w:szCs w:val="20"/>
              </w:rPr>
            </w:pPr>
            <w:r>
              <w:rPr>
                <w:rFonts w:cstheme="minorHAnsi"/>
                <w:szCs w:val="20"/>
              </w:rPr>
              <w:t>Subjects with SAE</w:t>
            </w:r>
          </w:p>
        </w:tc>
        <w:tc>
          <w:tcPr>
            <w:tcW w:w="1417" w:type="dxa"/>
            <w:vAlign w:val="center"/>
          </w:tcPr>
          <w:p w:rsidR="00F116C2" w:rsidRDefault="004F0556">
            <w:pPr>
              <w:pStyle w:val="Tabletext"/>
              <w:keepNext/>
              <w:jc w:val="center"/>
              <w:rPr>
                <w:rFonts w:cstheme="minorHAnsi"/>
                <w:szCs w:val="20"/>
              </w:rPr>
            </w:pPr>
            <w:r>
              <w:rPr>
                <w:rFonts w:cstheme="minorHAnsi"/>
                <w:szCs w:val="20"/>
              </w:rPr>
              <w:t>1/23 (4%)</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0/20</w:t>
            </w:r>
          </w:p>
        </w:tc>
      </w:tr>
      <w:tr w:rsidR="00F116C2">
        <w:tc>
          <w:tcPr>
            <w:tcW w:w="4248" w:type="dxa"/>
          </w:tcPr>
          <w:p w:rsidR="00F116C2" w:rsidRDefault="004F0556">
            <w:pPr>
              <w:pStyle w:val="Tabletext"/>
              <w:keepNext/>
              <w:rPr>
                <w:rFonts w:cstheme="minorHAnsi"/>
                <w:szCs w:val="20"/>
              </w:rPr>
            </w:pPr>
            <w:r>
              <w:rPr>
                <w:rFonts w:cstheme="minorHAnsi"/>
                <w:szCs w:val="20"/>
              </w:rPr>
              <w:t>Subjects who withdrew due to a TEAE</w:t>
            </w:r>
          </w:p>
        </w:tc>
        <w:tc>
          <w:tcPr>
            <w:tcW w:w="1417" w:type="dxa"/>
            <w:vAlign w:val="center"/>
          </w:tcPr>
          <w:p w:rsidR="00F116C2" w:rsidRDefault="004F0556">
            <w:pPr>
              <w:pStyle w:val="Tabletext"/>
              <w:keepNext/>
              <w:jc w:val="center"/>
              <w:rPr>
                <w:rFonts w:cstheme="minorHAnsi"/>
                <w:szCs w:val="20"/>
              </w:rPr>
            </w:pPr>
            <w:r>
              <w:rPr>
                <w:rFonts w:cstheme="minorHAnsi"/>
                <w:szCs w:val="20"/>
              </w:rPr>
              <w:t>0/23</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3/20 (15%)</w:t>
            </w:r>
          </w:p>
        </w:tc>
      </w:tr>
      <w:tr w:rsidR="00F116C2">
        <w:tc>
          <w:tcPr>
            <w:tcW w:w="4248" w:type="dxa"/>
          </w:tcPr>
          <w:p w:rsidR="00F116C2" w:rsidRDefault="004F0556">
            <w:pPr>
              <w:pStyle w:val="Tabletext"/>
              <w:keepNext/>
              <w:rPr>
                <w:rFonts w:cstheme="minorHAnsi"/>
                <w:szCs w:val="20"/>
              </w:rPr>
            </w:pPr>
            <w:r>
              <w:rPr>
                <w:rFonts w:cstheme="minorHAnsi"/>
                <w:szCs w:val="20"/>
              </w:rPr>
              <w:t>Discontinuation due to pruritus</w:t>
            </w:r>
          </w:p>
        </w:tc>
        <w:tc>
          <w:tcPr>
            <w:tcW w:w="1417" w:type="dxa"/>
            <w:vAlign w:val="center"/>
          </w:tcPr>
          <w:p w:rsidR="00F116C2" w:rsidRDefault="004F0556">
            <w:pPr>
              <w:pStyle w:val="Tabletext"/>
              <w:keepNext/>
              <w:jc w:val="center"/>
              <w:rPr>
                <w:rFonts w:cstheme="minorHAnsi"/>
                <w:szCs w:val="20"/>
              </w:rPr>
            </w:pPr>
            <w:r>
              <w:rPr>
                <w:rFonts w:cstheme="minorHAnsi"/>
                <w:szCs w:val="20"/>
              </w:rPr>
              <w:t>0/23</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3/20 (15%)</w:t>
            </w:r>
          </w:p>
        </w:tc>
      </w:tr>
      <w:tr w:rsidR="00F116C2">
        <w:tc>
          <w:tcPr>
            <w:tcW w:w="0" w:type="auto"/>
            <w:gridSpan w:val="4"/>
          </w:tcPr>
          <w:p w:rsidR="00F116C2" w:rsidRDefault="004F0556">
            <w:pPr>
              <w:pStyle w:val="Tabletext"/>
              <w:keepNext/>
              <w:rPr>
                <w:rFonts w:cstheme="minorHAnsi"/>
                <w:szCs w:val="20"/>
              </w:rPr>
            </w:pPr>
            <w:r>
              <w:rPr>
                <w:rFonts w:cstheme="minorHAnsi"/>
                <w:b/>
                <w:szCs w:val="20"/>
              </w:rPr>
              <w:t>747-202 Trial (OCA combination)</w:t>
            </w:r>
          </w:p>
        </w:tc>
      </w:tr>
      <w:tr w:rsidR="00F116C2">
        <w:tc>
          <w:tcPr>
            <w:tcW w:w="4248" w:type="dxa"/>
          </w:tcPr>
          <w:p w:rsidR="00F116C2" w:rsidRDefault="004F0556">
            <w:pPr>
              <w:pStyle w:val="Tabletext"/>
              <w:keepNext/>
              <w:rPr>
                <w:rFonts w:cstheme="minorHAnsi"/>
                <w:szCs w:val="20"/>
              </w:rPr>
            </w:pPr>
            <w:r>
              <w:rPr>
                <w:rFonts w:cstheme="minorHAnsi"/>
                <w:szCs w:val="20"/>
              </w:rPr>
              <w:t>Subjects reporting at least 1 TEAE</w:t>
            </w:r>
          </w:p>
        </w:tc>
        <w:tc>
          <w:tcPr>
            <w:tcW w:w="1417" w:type="dxa"/>
          </w:tcPr>
          <w:p w:rsidR="00F116C2" w:rsidRDefault="004F0556">
            <w:pPr>
              <w:pStyle w:val="Tabletext"/>
              <w:keepNext/>
              <w:jc w:val="center"/>
              <w:rPr>
                <w:rFonts w:cstheme="minorHAnsi"/>
                <w:szCs w:val="20"/>
              </w:rPr>
            </w:pPr>
            <w:r>
              <w:rPr>
                <w:rFonts w:cstheme="minorHAnsi"/>
                <w:szCs w:val="20"/>
              </w:rPr>
              <w:t>32/38 (84%)</w:t>
            </w:r>
          </w:p>
        </w:tc>
        <w:tc>
          <w:tcPr>
            <w:tcW w:w="1843" w:type="dxa"/>
          </w:tcPr>
          <w:p w:rsidR="00F116C2" w:rsidRDefault="004F0556">
            <w:pPr>
              <w:pStyle w:val="Tabletext"/>
              <w:keepNext/>
              <w:jc w:val="center"/>
              <w:rPr>
                <w:rFonts w:cstheme="minorHAnsi"/>
                <w:szCs w:val="20"/>
              </w:rPr>
            </w:pPr>
            <w:r>
              <w:rPr>
                <w:rFonts w:cstheme="minorHAnsi"/>
                <w:szCs w:val="20"/>
              </w:rPr>
              <w:t>-</w:t>
            </w:r>
          </w:p>
        </w:tc>
        <w:tc>
          <w:tcPr>
            <w:tcW w:w="1509" w:type="dxa"/>
          </w:tcPr>
          <w:p w:rsidR="00F116C2" w:rsidRDefault="004F0556">
            <w:pPr>
              <w:pStyle w:val="Tabletext"/>
              <w:keepNext/>
              <w:jc w:val="center"/>
              <w:rPr>
                <w:rFonts w:cstheme="minorHAnsi"/>
                <w:szCs w:val="20"/>
              </w:rPr>
            </w:pPr>
            <w:r>
              <w:rPr>
                <w:rFonts w:cstheme="minorHAnsi"/>
                <w:szCs w:val="20"/>
              </w:rPr>
              <w:t>34/38 (89%)</w:t>
            </w:r>
          </w:p>
        </w:tc>
      </w:tr>
      <w:tr w:rsidR="00F116C2">
        <w:tc>
          <w:tcPr>
            <w:tcW w:w="4248" w:type="dxa"/>
          </w:tcPr>
          <w:p w:rsidR="00F116C2" w:rsidRDefault="004F0556">
            <w:pPr>
              <w:pStyle w:val="Tabletext"/>
              <w:keepNext/>
              <w:rPr>
                <w:rFonts w:cstheme="minorHAnsi"/>
                <w:szCs w:val="20"/>
              </w:rPr>
            </w:pPr>
            <w:r>
              <w:rPr>
                <w:rFonts w:cstheme="minorHAnsi"/>
                <w:szCs w:val="20"/>
              </w:rPr>
              <w:t>Subjects with TEAE of pruritus or pruritus generalised</w:t>
            </w:r>
          </w:p>
        </w:tc>
        <w:tc>
          <w:tcPr>
            <w:tcW w:w="1417" w:type="dxa"/>
          </w:tcPr>
          <w:p w:rsidR="00F116C2" w:rsidRDefault="004F0556">
            <w:pPr>
              <w:pStyle w:val="Tabletext"/>
              <w:keepNext/>
              <w:jc w:val="center"/>
              <w:rPr>
                <w:rFonts w:cstheme="minorHAnsi"/>
                <w:szCs w:val="20"/>
              </w:rPr>
            </w:pPr>
            <w:r>
              <w:rPr>
                <w:rFonts w:cstheme="minorHAnsi"/>
                <w:szCs w:val="20"/>
              </w:rPr>
              <w:t>19/38 (50%)</w:t>
            </w:r>
          </w:p>
        </w:tc>
        <w:tc>
          <w:tcPr>
            <w:tcW w:w="1843" w:type="dxa"/>
          </w:tcPr>
          <w:p w:rsidR="00F116C2" w:rsidRDefault="004F0556">
            <w:pPr>
              <w:pStyle w:val="Tabletext"/>
              <w:keepNext/>
              <w:jc w:val="center"/>
              <w:rPr>
                <w:rFonts w:cstheme="minorHAnsi"/>
                <w:szCs w:val="20"/>
              </w:rPr>
            </w:pPr>
            <w:r>
              <w:rPr>
                <w:rFonts w:cstheme="minorHAnsi"/>
                <w:szCs w:val="20"/>
              </w:rPr>
              <w:t>-</w:t>
            </w:r>
          </w:p>
        </w:tc>
        <w:tc>
          <w:tcPr>
            <w:tcW w:w="1509" w:type="dxa"/>
          </w:tcPr>
          <w:p w:rsidR="00F116C2" w:rsidRDefault="004F0556">
            <w:pPr>
              <w:pStyle w:val="Tabletext"/>
              <w:keepNext/>
              <w:jc w:val="center"/>
              <w:rPr>
                <w:rFonts w:cstheme="minorHAnsi"/>
                <w:szCs w:val="20"/>
              </w:rPr>
            </w:pPr>
            <w:r>
              <w:rPr>
                <w:rFonts w:cstheme="minorHAnsi"/>
                <w:szCs w:val="20"/>
              </w:rPr>
              <w:t>18/38 (47%)</w:t>
            </w:r>
          </w:p>
        </w:tc>
      </w:tr>
      <w:tr w:rsidR="00F116C2">
        <w:tc>
          <w:tcPr>
            <w:tcW w:w="4248" w:type="dxa"/>
          </w:tcPr>
          <w:p w:rsidR="00F116C2" w:rsidRDefault="004F0556">
            <w:pPr>
              <w:pStyle w:val="Tabletext"/>
              <w:keepNext/>
              <w:rPr>
                <w:rFonts w:cstheme="minorHAnsi"/>
                <w:szCs w:val="20"/>
              </w:rPr>
            </w:pPr>
            <w:r>
              <w:rPr>
                <w:rFonts w:cstheme="minorHAnsi"/>
                <w:szCs w:val="20"/>
              </w:rPr>
              <w:t>Subjects with related TEAE</w:t>
            </w:r>
          </w:p>
        </w:tc>
        <w:tc>
          <w:tcPr>
            <w:tcW w:w="1417" w:type="dxa"/>
          </w:tcPr>
          <w:p w:rsidR="00F116C2" w:rsidRDefault="004F0556">
            <w:pPr>
              <w:pStyle w:val="Tabletext"/>
              <w:keepNext/>
              <w:jc w:val="center"/>
              <w:rPr>
                <w:rFonts w:cstheme="minorHAnsi"/>
                <w:szCs w:val="20"/>
              </w:rPr>
            </w:pPr>
            <w:r>
              <w:rPr>
                <w:rFonts w:cstheme="minorHAnsi"/>
                <w:szCs w:val="20"/>
              </w:rPr>
              <w:t>22/38 (58%)</w:t>
            </w:r>
          </w:p>
        </w:tc>
        <w:tc>
          <w:tcPr>
            <w:tcW w:w="1843" w:type="dxa"/>
          </w:tcPr>
          <w:p w:rsidR="00F116C2" w:rsidRDefault="004F0556">
            <w:pPr>
              <w:pStyle w:val="Tabletext"/>
              <w:keepNext/>
              <w:jc w:val="center"/>
              <w:rPr>
                <w:rFonts w:cstheme="minorHAnsi"/>
                <w:szCs w:val="20"/>
              </w:rPr>
            </w:pPr>
            <w:r>
              <w:rPr>
                <w:rFonts w:cstheme="minorHAnsi"/>
                <w:szCs w:val="20"/>
              </w:rPr>
              <w:t>-</w:t>
            </w:r>
          </w:p>
        </w:tc>
        <w:tc>
          <w:tcPr>
            <w:tcW w:w="1509" w:type="dxa"/>
          </w:tcPr>
          <w:p w:rsidR="00F116C2" w:rsidRDefault="004F0556">
            <w:pPr>
              <w:pStyle w:val="Tabletext"/>
              <w:keepNext/>
              <w:jc w:val="center"/>
              <w:rPr>
                <w:rFonts w:cstheme="minorHAnsi"/>
                <w:szCs w:val="20"/>
              </w:rPr>
            </w:pPr>
            <w:r>
              <w:rPr>
                <w:rFonts w:cstheme="minorHAnsi"/>
                <w:szCs w:val="20"/>
              </w:rPr>
              <w:t>28/38 (74%)</w:t>
            </w:r>
          </w:p>
        </w:tc>
      </w:tr>
      <w:tr w:rsidR="00F116C2">
        <w:tc>
          <w:tcPr>
            <w:tcW w:w="4248" w:type="dxa"/>
          </w:tcPr>
          <w:p w:rsidR="00F116C2" w:rsidRDefault="004F0556">
            <w:pPr>
              <w:pStyle w:val="Tabletext"/>
              <w:keepNext/>
              <w:rPr>
                <w:rFonts w:cstheme="minorHAnsi"/>
                <w:szCs w:val="20"/>
              </w:rPr>
            </w:pPr>
            <w:r>
              <w:rPr>
                <w:rFonts w:cstheme="minorHAnsi"/>
                <w:szCs w:val="20"/>
              </w:rPr>
              <w:t>Subjects with related TEAEs of pruritus or pruritus generalised</w:t>
            </w:r>
          </w:p>
        </w:tc>
        <w:tc>
          <w:tcPr>
            <w:tcW w:w="1417" w:type="dxa"/>
            <w:vAlign w:val="center"/>
          </w:tcPr>
          <w:p w:rsidR="00F116C2" w:rsidRDefault="004F0556">
            <w:pPr>
              <w:pStyle w:val="Tabletext"/>
              <w:keepNext/>
              <w:jc w:val="center"/>
              <w:rPr>
                <w:rFonts w:cstheme="minorHAnsi"/>
                <w:szCs w:val="20"/>
              </w:rPr>
            </w:pPr>
            <w:r>
              <w:rPr>
                <w:rFonts w:cstheme="minorHAnsi"/>
                <w:szCs w:val="20"/>
              </w:rPr>
              <w:t>17/38 (45%)</w:t>
            </w:r>
          </w:p>
        </w:tc>
        <w:tc>
          <w:tcPr>
            <w:tcW w:w="1843" w:type="dxa"/>
            <w:vAlign w:val="center"/>
          </w:tcPr>
          <w:p w:rsidR="00F116C2" w:rsidRDefault="004F0556">
            <w:pPr>
              <w:pStyle w:val="Tabletext"/>
              <w:keepNext/>
              <w:jc w:val="center"/>
              <w:rPr>
                <w:rFonts w:cstheme="minorHAnsi"/>
                <w:szCs w:val="20"/>
              </w:rPr>
            </w:pPr>
            <w:r>
              <w:rPr>
                <w:rFonts w:cstheme="minorHAnsi"/>
                <w:szCs w:val="20"/>
              </w:rPr>
              <w:t>-</w:t>
            </w:r>
          </w:p>
        </w:tc>
        <w:tc>
          <w:tcPr>
            <w:tcW w:w="1509" w:type="dxa"/>
            <w:vAlign w:val="center"/>
          </w:tcPr>
          <w:p w:rsidR="00F116C2" w:rsidRDefault="004F0556">
            <w:pPr>
              <w:pStyle w:val="Tabletext"/>
              <w:keepNext/>
              <w:jc w:val="center"/>
              <w:rPr>
                <w:rFonts w:cstheme="minorHAnsi"/>
                <w:szCs w:val="20"/>
              </w:rPr>
            </w:pPr>
            <w:r>
              <w:rPr>
                <w:rFonts w:cstheme="minorHAnsi"/>
                <w:szCs w:val="20"/>
              </w:rPr>
              <w:t>18/38 (47%)</w:t>
            </w:r>
          </w:p>
        </w:tc>
      </w:tr>
      <w:tr w:rsidR="00F116C2">
        <w:tc>
          <w:tcPr>
            <w:tcW w:w="4248" w:type="dxa"/>
          </w:tcPr>
          <w:p w:rsidR="00F116C2" w:rsidRDefault="004F0556">
            <w:pPr>
              <w:pStyle w:val="Tabletext"/>
              <w:keepNext/>
              <w:rPr>
                <w:rFonts w:cstheme="minorHAnsi"/>
                <w:szCs w:val="20"/>
              </w:rPr>
            </w:pPr>
            <w:r>
              <w:rPr>
                <w:rFonts w:cstheme="minorHAnsi"/>
                <w:szCs w:val="20"/>
              </w:rPr>
              <w:t>Subjects with SAE</w:t>
            </w:r>
          </w:p>
        </w:tc>
        <w:tc>
          <w:tcPr>
            <w:tcW w:w="1417" w:type="dxa"/>
          </w:tcPr>
          <w:p w:rsidR="00F116C2" w:rsidRDefault="004F0556">
            <w:pPr>
              <w:pStyle w:val="Tabletext"/>
              <w:keepNext/>
              <w:jc w:val="center"/>
              <w:rPr>
                <w:rFonts w:cstheme="minorHAnsi"/>
                <w:szCs w:val="20"/>
              </w:rPr>
            </w:pPr>
            <w:r>
              <w:rPr>
                <w:rFonts w:cstheme="minorHAnsi"/>
                <w:szCs w:val="20"/>
              </w:rPr>
              <w:t>1/38 (3%)</w:t>
            </w:r>
          </w:p>
        </w:tc>
        <w:tc>
          <w:tcPr>
            <w:tcW w:w="1843" w:type="dxa"/>
          </w:tcPr>
          <w:p w:rsidR="00F116C2" w:rsidRDefault="004F0556">
            <w:pPr>
              <w:pStyle w:val="Tabletext"/>
              <w:keepNext/>
              <w:jc w:val="center"/>
              <w:rPr>
                <w:rFonts w:cstheme="minorHAnsi"/>
                <w:szCs w:val="20"/>
              </w:rPr>
            </w:pPr>
            <w:r>
              <w:rPr>
                <w:rFonts w:cstheme="minorHAnsi"/>
                <w:szCs w:val="20"/>
              </w:rPr>
              <w:t>-</w:t>
            </w:r>
          </w:p>
        </w:tc>
        <w:tc>
          <w:tcPr>
            <w:tcW w:w="1509" w:type="dxa"/>
          </w:tcPr>
          <w:p w:rsidR="00F116C2" w:rsidRDefault="004F0556">
            <w:pPr>
              <w:pStyle w:val="Tabletext"/>
              <w:keepNext/>
              <w:jc w:val="center"/>
              <w:rPr>
                <w:rFonts w:cstheme="minorHAnsi"/>
                <w:szCs w:val="20"/>
              </w:rPr>
            </w:pPr>
            <w:r>
              <w:rPr>
                <w:rFonts w:cstheme="minorHAnsi"/>
                <w:szCs w:val="20"/>
              </w:rPr>
              <w:t>0/38</w:t>
            </w:r>
          </w:p>
        </w:tc>
      </w:tr>
      <w:tr w:rsidR="00F116C2">
        <w:tc>
          <w:tcPr>
            <w:tcW w:w="4248" w:type="dxa"/>
          </w:tcPr>
          <w:p w:rsidR="00F116C2" w:rsidRDefault="004F0556">
            <w:pPr>
              <w:pStyle w:val="Tabletext"/>
              <w:keepNext/>
              <w:rPr>
                <w:rFonts w:cstheme="minorHAnsi"/>
                <w:szCs w:val="20"/>
              </w:rPr>
            </w:pPr>
            <w:r>
              <w:rPr>
                <w:rFonts w:cstheme="minorHAnsi"/>
                <w:szCs w:val="20"/>
              </w:rPr>
              <w:t>Deaths</w:t>
            </w:r>
          </w:p>
        </w:tc>
        <w:tc>
          <w:tcPr>
            <w:tcW w:w="1417" w:type="dxa"/>
          </w:tcPr>
          <w:p w:rsidR="00F116C2" w:rsidRDefault="004F0556">
            <w:pPr>
              <w:pStyle w:val="Tabletext"/>
              <w:keepNext/>
              <w:jc w:val="center"/>
              <w:rPr>
                <w:rFonts w:cstheme="minorHAnsi"/>
                <w:szCs w:val="20"/>
              </w:rPr>
            </w:pPr>
            <w:r>
              <w:rPr>
                <w:rFonts w:cstheme="minorHAnsi"/>
                <w:szCs w:val="20"/>
              </w:rPr>
              <w:t>0/38</w:t>
            </w:r>
          </w:p>
        </w:tc>
        <w:tc>
          <w:tcPr>
            <w:tcW w:w="1843" w:type="dxa"/>
          </w:tcPr>
          <w:p w:rsidR="00F116C2" w:rsidRDefault="004F0556">
            <w:pPr>
              <w:pStyle w:val="Tabletext"/>
              <w:keepNext/>
              <w:jc w:val="center"/>
              <w:rPr>
                <w:rFonts w:cstheme="minorHAnsi"/>
                <w:szCs w:val="20"/>
              </w:rPr>
            </w:pPr>
            <w:r>
              <w:rPr>
                <w:rFonts w:cstheme="minorHAnsi"/>
                <w:szCs w:val="20"/>
              </w:rPr>
              <w:t>-</w:t>
            </w:r>
          </w:p>
        </w:tc>
        <w:tc>
          <w:tcPr>
            <w:tcW w:w="1509" w:type="dxa"/>
          </w:tcPr>
          <w:p w:rsidR="00F116C2" w:rsidRDefault="004F0556">
            <w:pPr>
              <w:pStyle w:val="Tabletext"/>
              <w:keepNext/>
              <w:jc w:val="center"/>
              <w:rPr>
                <w:rFonts w:cstheme="minorHAnsi"/>
                <w:szCs w:val="20"/>
              </w:rPr>
            </w:pPr>
            <w:r>
              <w:rPr>
                <w:rFonts w:cstheme="minorHAnsi"/>
                <w:szCs w:val="20"/>
              </w:rPr>
              <w:t>0/38</w:t>
            </w:r>
          </w:p>
        </w:tc>
      </w:tr>
      <w:tr w:rsidR="00F116C2">
        <w:tc>
          <w:tcPr>
            <w:tcW w:w="4248" w:type="dxa"/>
          </w:tcPr>
          <w:p w:rsidR="00F116C2" w:rsidRDefault="004F0556">
            <w:pPr>
              <w:pStyle w:val="Tabletext"/>
              <w:keepNext/>
              <w:rPr>
                <w:rFonts w:cstheme="minorHAnsi"/>
                <w:szCs w:val="20"/>
              </w:rPr>
            </w:pPr>
            <w:r>
              <w:rPr>
                <w:rFonts w:cstheme="minorHAnsi"/>
                <w:szCs w:val="20"/>
              </w:rPr>
              <w:t>Subjects who withdrew due to a TEAE</w:t>
            </w:r>
          </w:p>
        </w:tc>
        <w:tc>
          <w:tcPr>
            <w:tcW w:w="1417" w:type="dxa"/>
          </w:tcPr>
          <w:p w:rsidR="00F116C2" w:rsidRDefault="004F0556">
            <w:pPr>
              <w:pStyle w:val="Tabletext"/>
              <w:keepNext/>
              <w:jc w:val="center"/>
              <w:rPr>
                <w:rFonts w:cstheme="minorHAnsi"/>
                <w:szCs w:val="20"/>
              </w:rPr>
            </w:pPr>
            <w:r>
              <w:rPr>
                <w:rFonts w:cstheme="minorHAnsi"/>
                <w:szCs w:val="20"/>
              </w:rPr>
              <w:t>1/38 (3%)</w:t>
            </w:r>
          </w:p>
        </w:tc>
        <w:tc>
          <w:tcPr>
            <w:tcW w:w="1843" w:type="dxa"/>
          </w:tcPr>
          <w:p w:rsidR="00F116C2" w:rsidRDefault="004F0556">
            <w:pPr>
              <w:pStyle w:val="Tabletext"/>
              <w:keepNext/>
              <w:jc w:val="center"/>
              <w:rPr>
                <w:rFonts w:cstheme="minorHAnsi"/>
                <w:szCs w:val="20"/>
              </w:rPr>
            </w:pPr>
            <w:r>
              <w:rPr>
                <w:rFonts w:cstheme="minorHAnsi"/>
                <w:szCs w:val="20"/>
              </w:rPr>
              <w:t>-</w:t>
            </w:r>
          </w:p>
        </w:tc>
        <w:tc>
          <w:tcPr>
            <w:tcW w:w="1509" w:type="dxa"/>
          </w:tcPr>
          <w:p w:rsidR="00F116C2" w:rsidRDefault="004F0556">
            <w:pPr>
              <w:pStyle w:val="Tabletext"/>
              <w:keepNext/>
              <w:jc w:val="center"/>
              <w:rPr>
                <w:rFonts w:cstheme="minorHAnsi"/>
                <w:szCs w:val="20"/>
              </w:rPr>
            </w:pPr>
            <w:r>
              <w:rPr>
                <w:rFonts w:cstheme="minorHAnsi"/>
                <w:szCs w:val="20"/>
              </w:rPr>
              <w:t>6/38 (16%)</w:t>
            </w:r>
          </w:p>
        </w:tc>
      </w:tr>
      <w:tr w:rsidR="00F116C2">
        <w:tc>
          <w:tcPr>
            <w:tcW w:w="4248" w:type="dxa"/>
          </w:tcPr>
          <w:p w:rsidR="00F116C2" w:rsidRDefault="004F0556">
            <w:pPr>
              <w:pStyle w:val="Tabletext"/>
              <w:keepNext/>
              <w:rPr>
                <w:rFonts w:cstheme="minorHAnsi"/>
                <w:szCs w:val="20"/>
              </w:rPr>
            </w:pPr>
            <w:r>
              <w:rPr>
                <w:rFonts w:cstheme="minorHAnsi"/>
                <w:szCs w:val="20"/>
              </w:rPr>
              <w:t>Discontinuation due to pruritus</w:t>
            </w:r>
          </w:p>
        </w:tc>
        <w:tc>
          <w:tcPr>
            <w:tcW w:w="1417" w:type="dxa"/>
          </w:tcPr>
          <w:p w:rsidR="00F116C2" w:rsidRDefault="004F0556">
            <w:pPr>
              <w:pStyle w:val="Tabletext"/>
              <w:keepNext/>
              <w:jc w:val="center"/>
              <w:rPr>
                <w:rFonts w:cstheme="minorHAnsi"/>
                <w:szCs w:val="20"/>
              </w:rPr>
            </w:pPr>
            <w:r>
              <w:rPr>
                <w:rFonts w:cstheme="minorHAnsi"/>
                <w:szCs w:val="20"/>
              </w:rPr>
              <w:t>0/38</w:t>
            </w:r>
          </w:p>
        </w:tc>
        <w:tc>
          <w:tcPr>
            <w:tcW w:w="1843" w:type="dxa"/>
          </w:tcPr>
          <w:p w:rsidR="00F116C2" w:rsidRDefault="004F0556">
            <w:pPr>
              <w:pStyle w:val="Tabletext"/>
              <w:keepNext/>
              <w:jc w:val="center"/>
              <w:rPr>
                <w:rFonts w:cstheme="minorHAnsi"/>
                <w:szCs w:val="20"/>
              </w:rPr>
            </w:pPr>
            <w:r>
              <w:rPr>
                <w:rFonts w:cstheme="minorHAnsi"/>
                <w:szCs w:val="20"/>
              </w:rPr>
              <w:t>-</w:t>
            </w:r>
          </w:p>
        </w:tc>
        <w:tc>
          <w:tcPr>
            <w:tcW w:w="1509" w:type="dxa"/>
          </w:tcPr>
          <w:p w:rsidR="00F116C2" w:rsidRDefault="004F0556">
            <w:pPr>
              <w:pStyle w:val="Tabletext"/>
              <w:keepNext/>
              <w:jc w:val="center"/>
              <w:rPr>
                <w:rFonts w:cstheme="minorHAnsi"/>
                <w:szCs w:val="20"/>
              </w:rPr>
            </w:pPr>
            <w:r>
              <w:rPr>
                <w:rFonts w:cstheme="minorHAnsi"/>
                <w:szCs w:val="20"/>
              </w:rPr>
              <w:t>3/38 (8%)</w:t>
            </w:r>
          </w:p>
        </w:tc>
      </w:tr>
    </w:tbl>
    <w:p w:rsidR="00F116C2" w:rsidRDefault="004F0556">
      <w:pPr>
        <w:keepNext/>
        <w:widowControl/>
        <w:rPr>
          <w:rFonts w:ascii="Arial Narrow" w:hAnsi="Arial Narrow"/>
          <w:sz w:val="18"/>
        </w:rPr>
      </w:pPr>
      <w:r>
        <w:rPr>
          <w:rFonts w:ascii="Arial Narrow" w:hAnsi="Arial Narrow"/>
          <w:sz w:val="18"/>
        </w:rPr>
        <w:t>OCA = obeticholic acid; SAE = serious adverse event; TEAE = treatment emergent adverse event; UDCA =</w:t>
      </w:r>
      <w:r>
        <w:t xml:space="preserve"> </w:t>
      </w:r>
      <w:r>
        <w:rPr>
          <w:rFonts w:ascii="Arial Narrow" w:hAnsi="Arial Narrow"/>
          <w:sz w:val="18"/>
        </w:rPr>
        <w:t>ursodeoxycholic acid</w:t>
      </w:r>
    </w:p>
    <w:p w:rsidR="00F116C2" w:rsidRDefault="004F0556">
      <w:pPr>
        <w:keepNext/>
        <w:widowControl/>
        <w:rPr>
          <w:rFonts w:ascii="Arial Narrow" w:hAnsi="Arial Narrow"/>
          <w:sz w:val="18"/>
        </w:rPr>
      </w:pPr>
      <w:r>
        <w:rPr>
          <w:rFonts w:ascii="Arial Narrow" w:hAnsi="Arial Narrow"/>
          <w:sz w:val="18"/>
        </w:rPr>
        <w:t>a One subject additional experienced a TEAE of osteoarthritis that resulted in withdrawal of investigational product. The subject was discontinued from the study, which was determined by the Investigator to be withdrawal of consent.</w:t>
      </w:r>
    </w:p>
    <w:p w:rsidR="00F116C2" w:rsidRDefault="004F0556">
      <w:pPr>
        <w:keepNext/>
        <w:widowControl/>
        <w:rPr>
          <w:rFonts w:ascii="Arial Narrow" w:hAnsi="Arial Narrow"/>
          <w:sz w:val="18"/>
        </w:rPr>
      </w:pPr>
      <w:r>
        <w:rPr>
          <w:rFonts w:ascii="Arial Narrow" w:hAnsi="Arial Narrow"/>
          <w:sz w:val="18"/>
        </w:rPr>
        <w:t xml:space="preserve">b Four subjects in the titration group discontinued from the study due to a TEAE prior to being up titrated to OCA 10 mg. </w:t>
      </w:r>
    </w:p>
    <w:p w:rsidR="00F116C2" w:rsidRDefault="004F0556">
      <w:pPr>
        <w:keepNext/>
        <w:widowControl/>
        <w:rPr>
          <w:rFonts w:ascii="Arial Narrow" w:hAnsi="Arial Narrow"/>
          <w:sz w:val="18"/>
        </w:rPr>
      </w:pPr>
      <w:r>
        <w:rPr>
          <w:rFonts w:ascii="Arial Narrow" w:hAnsi="Arial Narrow"/>
          <w:sz w:val="18"/>
        </w:rPr>
        <w:t xml:space="preserve">c One Subject experienced a TEAE of fatigue, which was recorded as a discontinuation, however the subject remained in the study and investigational product was not changed. </w:t>
      </w:r>
    </w:p>
    <w:p w:rsidR="00F116C2" w:rsidRDefault="004F0556">
      <w:pPr>
        <w:keepNext/>
        <w:widowControl/>
        <w:rPr>
          <w:rFonts w:ascii="Arial Narrow" w:hAnsi="Arial Narrow"/>
          <w:sz w:val="18"/>
        </w:rPr>
      </w:pPr>
      <w:r>
        <w:rPr>
          <w:rFonts w:ascii="Arial Narrow" w:hAnsi="Arial Narrow"/>
          <w:sz w:val="18"/>
        </w:rPr>
        <w:t>* p ≤ 0.05 versus placebo group using a Chi-squared test, or Fisher’s Exact test where n ≤ 5 in either group</w:t>
      </w:r>
    </w:p>
    <w:p w:rsidR="00F116C2" w:rsidRDefault="004F0556">
      <w:pPr>
        <w:keepNext/>
        <w:widowControl/>
        <w:rPr>
          <w:rFonts w:ascii="Arial Narrow" w:hAnsi="Arial Narrow"/>
          <w:sz w:val="18"/>
        </w:rPr>
      </w:pPr>
      <w:r>
        <w:rPr>
          <w:rFonts w:ascii="Arial Narrow" w:hAnsi="Arial Narrow"/>
          <w:sz w:val="18"/>
        </w:rPr>
        <w:t>Source: Table 2.5.20, p162, Table 2.5.23, p167, Table 2.5.24, p167 of the previous submission.</w:t>
      </w:r>
    </w:p>
    <w:p w:rsidR="00F116C2" w:rsidRDefault="00F116C2">
      <w:pPr>
        <w:widowControl/>
        <w:rPr>
          <w:rFonts w:ascii="Arial Narrow" w:hAnsi="Arial Narrow"/>
          <w:sz w:val="18"/>
        </w:rPr>
      </w:pPr>
    </w:p>
    <w:p w:rsidR="00F116C2" w:rsidRDefault="004F0556">
      <w:pPr>
        <w:pStyle w:val="Heading2"/>
        <w:widowControl/>
      </w:pPr>
      <w:bookmarkStart w:id="14" w:name="_Toc9335716"/>
      <w:r>
        <w:t>Benefits/harms</w:t>
      </w:r>
      <w:bookmarkEnd w:id="14"/>
    </w:p>
    <w:p w:rsidR="00F116C2" w:rsidRDefault="004F0556">
      <w:pPr>
        <w:pStyle w:val="ListParagraph"/>
        <w:widowControl/>
        <w:numPr>
          <w:ilvl w:val="1"/>
          <w:numId w:val="2"/>
        </w:numPr>
      </w:pPr>
      <w:r>
        <w:t>A summary of the comparative benefits and harms for OCA 5-10 mg titration +/- UDCA or OCA 10mg +/- UDCA versus UDCA +/- placebo is presented in Table 7.</w:t>
      </w:r>
    </w:p>
    <w:p w:rsidR="00E5768D" w:rsidRPr="00E5768D" w:rsidRDefault="00E5768D" w:rsidP="00E5768D">
      <w:pPr>
        <w:keepNext/>
        <w:widowControl/>
        <w:rPr>
          <w:rStyle w:val="CommentReference"/>
        </w:rPr>
      </w:pPr>
      <w:r w:rsidRPr="00E5768D">
        <w:rPr>
          <w:rStyle w:val="CommentReference"/>
        </w:rPr>
        <w:lastRenderedPageBreak/>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7</w:t>
      </w:r>
      <w:r w:rsidRPr="00E5768D">
        <w:rPr>
          <w:rStyle w:val="CommentReference"/>
        </w:rPr>
        <w:fldChar w:fldCharType="end"/>
      </w:r>
      <w:r w:rsidRPr="00E5768D">
        <w:rPr>
          <w:rStyle w:val="CommentReference"/>
        </w:rPr>
        <w:t>: Summary of comparative benefits and harms for OCA 10mg +/- UDCA and placebo +/-UDCA</w:t>
      </w:r>
    </w:p>
    <w:tbl>
      <w:tblPr>
        <w:tblW w:w="9067" w:type="dxa"/>
        <w:tblLayout w:type="fixed"/>
        <w:tblCellMar>
          <w:left w:w="28" w:type="dxa"/>
          <w:right w:w="28" w:type="dxa"/>
        </w:tblCellMar>
        <w:tblLook w:val="04A0" w:firstRow="1" w:lastRow="0" w:firstColumn="1" w:lastColumn="0" w:noHBand="0" w:noVBand="1"/>
        <w:tblCaption w:val="Table 7: Summary of comparative benefits and harms for OCA 10mg +/- UDCA and placebo +/-UDCA"/>
      </w:tblPr>
      <w:tblGrid>
        <w:gridCol w:w="3256"/>
        <w:gridCol w:w="425"/>
        <w:gridCol w:w="425"/>
        <w:gridCol w:w="567"/>
        <w:gridCol w:w="284"/>
        <w:gridCol w:w="425"/>
        <w:gridCol w:w="425"/>
        <w:gridCol w:w="142"/>
        <w:gridCol w:w="850"/>
        <w:gridCol w:w="142"/>
        <w:gridCol w:w="425"/>
        <w:gridCol w:w="567"/>
        <w:gridCol w:w="1134"/>
      </w:tblGrid>
      <w:tr w:rsidR="00F116C2">
        <w:trPr>
          <w:trHeight w:val="15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keepNext/>
              <w:widowControl/>
              <w:rPr>
                <w:rFonts w:ascii="Arial Narrow" w:hAnsi="Arial Narrow"/>
                <w:b/>
                <w:color w:val="000000"/>
                <w:sz w:val="20"/>
                <w:szCs w:val="18"/>
              </w:rPr>
            </w:pPr>
            <w:r>
              <w:rPr>
                <w:rFonts w:ascii="Arial Narrow" w:hAnsi="Arial Narrow"/>
                <w:b/>
                <w:color w:val="000000"/>
                <w:sz w:val="20"/>
                <w:szCs w:val="18"/>
              </w:rPr>
              <w:t>Trial</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OCA +/- UDCA,</w:t>
            </w:r>
          </w:p>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n/N</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PBO +/-UDCA,</w:t>
            </w:r>
          </w:p>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n/N</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RR</w:t>
            </w:r>
          </w:p>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(95% CI)</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 xml:space="preserve">Event rate/100 patients*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RD</w:t>
            </w:r>
          </w:p>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(95% CI)</w:t>
            </w:r>
          </w:p>
        </w:tc>
      </w:tr>
      <w:tr w:rsidR="00F116C2">
        <w:trPr>
          <w:trHeight w:val="315"/>
        </w:trPr>
        <w:tc>
          <w:tcPr>
            <w:tcW w:w="3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F116C2">
            <w:pPr>
              <w:keepNext/>
              <w:widowControl/>
              <w:rPr>
                <w:rFonts w:ascii="Arial Narrow" w:hAnsi="Arial Narrow"/>
                <w:b/>
                <w:color w:val="000000"/>
                <w:sz w:val="20"/>
                <w:szCs w:val="18"/>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F116C2" w:rsidRDefault="00F116C2">
            <w:pPr>
              <w:keepNext/>
              <w:widowControl/>
              <w:jc w:val="center"/>
              <w:rPr>
                <w:rFonts w:ascii="Arial Narrow" w:hAnsi="Arial Narrow"/>
                <w:b/>
                <w:color w:val="000000"/>
                <w:sz w:val="20"/>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F116C2" w:rsidRDefault="00F116C2">
            <w:pPr>
              <w:keepNext/>
              <w:widowControl/>
              <w:jc w:val="center"/>
              <w:rPr>
                <w:rFonts w:ascii="Arial Narrow" w:hAnsi="Arial Narrow"/>
                <w:b/>
                <w:color w:val="000000"/>
                <w:sz w:val="20"/>
                <w:szCs w:val="18"/>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F116C2" w:rsidRDefault="00F116C2">
            <w:pPr>
              <w:keepNext/>
              <w:widowControl/>
              <w:jc w:val="center"/>
              <w:rPr>
                <w:rFonts w:ascii="Arial Narrow" w:hAnsi="Arial Narrow"/>
                <w:b/>
                <w:color w:val="000000"/>
                <w:sz w:val="20"/>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OCA +/- UDCA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 xml:space="preserve">PBO +/- UDCA </w:t>
            </w:r>
          </w:p>
        </w:tc>
        <w:tc>
          <w:tcPr>
            <w:tcW w:w="1134" w:type="dxa"/>
            <w:vMerge/>
            <w:tcBorders>
              <w:top w:val="single" w:sz="4" w:space="0" w:color="auto"/>
              <w:left w:val="single" w:sz="4" w:space="0" w:color="auto"/>
              <w:bottom w:val="single" w:sz="4" w:space="0" w:color="auto"/>
              <w:right w:val="single" w:sz="4" w:space="0" w:color="auto"/>
            </w:tcBorders>
            <w:vAlign w:val="center"/>
          </w:tcPr>
          <w:p w:rsidR="00F116C2" w:rsidRDefault="00F116C2">
            <w:pPr>
              <w:keepNext/>
              <w:widowControl/>
              <w:jc w:val="center"/>
              <w:rPr>
                <w:rFonts w:ascii="Arial Narrow" w:hAnsi="Arial Narrow"/>
                <w:b/>
                <w:color w:val="000000"/>
                <w:sz w:val="20"/>
                <w:szCs w:val="18"/>
              </w:rPr>
            </w:pPr>
          </w:p>
        </w:tc>
      </w:tr>
      <w:tr w:rsidR="00F116C2">
        <w:tc>
          <w:tcPr>
            <w:tcW w:w="9067" w:type="dxa"/>
            <w:gridSpan w:val="13"/>
            <w:tcBorders>
              <w:top w:val="single" w:sz="4" w:space="0" w:color="auto"/>
              <w:left w:val="single" w:sz="4" w:space="0" w:color="auto"/>
              <w:bottom w:val="double" w:sz="4" w:space="0" w:color="auto"/>
              <w:right w:val="single" w:sz="4" w:space="0" w:color="auto"/>
            </w:tcBorders>
            <w:shd w:val="clear" w:color="auto" w:fill="auto"/>
            <w:vAlign w:val="center"/>
          </w:tcPr>
          <w:p w:rsidR="00F116C2" w:rsidRDefault="004F0556">
            <w:pPr>
              <w:keepNext/>
              <w:widowControl/>
              <w:rPr>
                <w:rFonts w:ascii="Arial Narrow" w:hAnsi="Arial Narrow"/>
                <w:b/>
                <w:color w:val="000000"/>
                <w:sz w:val="20"/>
                <w:szCs w:val="18"/>
              </w:rPr>
            </w:pPr>
            <w:r>
              <w:rPr>
                <w:rFonts w:ascii="Arial Narrow" w:hAnsi="Arial Narrow"/>
                <w:b/>
                <w:color w:val="000000"/>
                <w:sz w:val="20"/>
                <w:szCs w:val="18"/>
              </w:rPr>
              <w:t>Benefits</w:t>
            </w:r>
          </w:p>
        </w:tc>
      </w:tr>
      <w:tr w:rsidR="00F116C2">
        <w:tc>
          <w:tcPr>
            <w:tcW w:w="9067" w:type="dxa"/>
            <w:gridSpan w:val="13"/>
            <w:tcBorders>
              <w:top w:val="double" w:sz="4" w:space="0" w:color="auto"/>
              <w:left w:val="single" w:sz="4" w:space="0" w:color="auto"/>
              <w:bottom w:val="single" w:sz="4" w:space="0" w:color="auto"/>
              <w:right w:val="single" w:sz="4" w:space="0" w:color="auto"/>
            </w:tcBorders>
            <w:shd w:val="clear" w:color="auto" w:fill="auto"/>
            <w:vAlign w:val="center"/>
          </w:tcPr>
          <w:p w:rsidR="00F116C2" w:rsidRDefault="004F0556">
            <w:pPr>
              <w:keepNext/>
              <w:widowControl/>
              <w:rPr>
                <w:rFonts w:ascii="Arial Narrow" w:hAnsi="Arial Narrow"/>
                <w:b/>
                <w:color w:val="000000"/>
                <w:sz w:val="20"/>
                <w:szCs w:val="18"/>
              </w:rPr>
            </w:pPr>
            <w:r>
              <w:rPr>
                <w:rFonts w:ascii="Arial Narrow" w:hAnsi="Arial Narrow"/>
                <w:b/>
                <w:color w:val="000000"/>
                <w:sz w:val="20"/>
                <w:szCs w:val="18"/>
              </w:rPr>
              <w:t>Primary outcome</w:t>
            </w:r>
          </w:p>
          <w:p w:rsidR="00F116C2" w:rsidRDefault="004F0556">
            <w:pPr>
              <w:keepNext/>
              <w:widowControl/>
              <w:rPr>
                <w:rFonts w:ascii="Arial Narrow" w:hAnsi="Arial Narrow"/>
                <w:b/>
                <w:color w:val="000000"/>
                <w:sz w:val="20"/>
                <w:szCs w:val="18"/>
              </w:rPr>
            </w:pPr>
            <w:r>
              <w:rPr>
                <w:rFonts w:ascii="Arial Narrow" w:hAnsi="Arial Narrow"/>
                <w:b/>
                <w:color w:val="000000"/>
                <w:sz w:val="20"/>
                <w:szCs w:val="18"/>
              </w:rPr>
              <w:t>Composite endpoints: ALP &lt; 1.67x ULN with ≥ 15% decrease from baseline in ALP, and total bilirubin &lt; ULN</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keepNext/>
              <w:widowControl/>
              <w:jc w:val="left"/>
              <w:rPr>
                <w:rFonts w:ascii="Arial Narrow" w:hAnsi="Arial Narrow"/>
                <w:color w:val="000000"/>
                <w:sz w:val="20"/>
                <w:szCs w:val="18"/>
              </w:rPr>
            </w:pPr>
            <w:r>
              <w:rPr>
                <w:rFonts w:ascii="Arial Narrow" w:hAnsi="Arial Narrow"/>
                <w:color w:val="000000"/>
                <w:sz w:val="20"/>
                <w:szCs w:val="18"/>
              </w:rPr>
              <w:t>POISE: OCA 5-10 mg titration monotherapy</w:t>
            </w:r>
          </w:p>
          <w:p w:rsidR="00F116C2" w:rsidRDefault="004F0556">
            <w:pPr>
              <w:keepNext/>
              <w:widowControl/>
              <w:jc w:val="left"/>
              <w:rPr>
                <w:rFonts w:ascii="Arial Narrow" w:hAnsi="Arial Narrow"/>
                <w:color w:val="000000"/>
                <w:sz w:val="20"/>
                <w:szCs w:val="18"/>
              </w:rPr>
            </w:pPr>
            <w:r>
              <w:rPr>
                <w:rFonts w:ascii="Arial Narrow" w:hAnsi="Arial Narrow"/>
                <w:color w:val="000000"/>
                <w:sz w:val="20"/>
                <w:szCs w:val="18"/>
              </w:rPr>
              <w:t>(i.e. UDCA-intolerant patients)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2/5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5.0</w:t>
            </w:r>
          </w:p>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(0.3, 83.7)**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40.0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40.0</w:t>
            </w:r>
          </w:p>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(-2.9, 82.9)**</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keepNext/>
              <w:widowControl/>
              <w:jc w:val="left"/>
              <w:rPr>
                <w:rFonts w:ascii="Arial Narrow" w:hAnsi="Arial Narrow"/>
                <w:color w:val="000000"/>
                <w:sz w:val="20"/>
                <w:szCs w:val="18"/>
              </w:rPr>
            </w:pPr>
            <w:r>
              <w:rPr>
                <w:rFonts w:ascii="Arial Narrow" w:hAnsi="Arial Narrow"/>
                <w:color w:val="000000"/>
                <w:sz w:val="20"/>
                <w:szCs w:val="18"/>
              </w:rPr>
              <w:t>POISE: OCA 10 mg monotherapy</w:t>
            </w:r>
          </w:p>
          <w:p w:rsidR="00F116C2" w:rsidRDefault="004F0556">
            <w:pPr>
              <w:keepNext/>
              <w:widowControl/>
              <w:jc w:val="left"/>
              <w:rPr>
                <w:rFonts w:ascii="Arial Narrow" w:hAnsi="Arial Narrow"/>
                <w:color w:val="000000"/>
                <w:sz w:val="20"/>
                <w:szCs w:val="18"/>
              </w:rPr>
            </w:pPr>
            <w:r>
              <w:rPr>
                <w:rFonts w:ascii="Arial Narrow" w:hAnsi="Arial Narrow"/>
                <w:color w:val="000000"/>
                <w:sz w:val="20"/>
                <w:szCs w:val="18"/>
              </w:rPr>
              <w:t>(i.e. UDCA-intolerant patients)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1/6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2.6</w:t>
            </w:r>
          </w:p>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(0.1, 52.1)**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16.7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16.7</w:t>
            </w:r>
          </w:p>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(-13.2, 46.5)**</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keepNext/>
              <w:widowControl/>
              <w:jc w:val="left"/>
              <w:rPr>
                <w:rFonts w:ascii="Arial Narrow" w:hAnsi="Arial Narrow"/>
                <w:color w:val="000000"/>
                <w:sz w:val="20"/>
                <w:szCs w:val="18"/>
              </w:rPr>
            </w:pPr>
            <w:r>
              <w:rPr>
                <w:rFonts w:ascii="Arial Narrow" w:hAnsi="Arial Narrow"/>
                <w:color w:val="000000"/>
                <w:sz w:val="20"/>
                <w:szCs w:val="18"/>
              </w:rPr>
              <w:t>POISE: OCA 5-10 mg titration plus UDCA</w:t>
            </w:r>
          </w:p>
          <w:p w:rsidR="00F116C2" w:rsidRDefault="004F0556">
            <w:pPr>
              <w:keepNext/>
              <w:widowControl/>
              <w:jc w:val="left"/>
              <w:rPr>
                <w:rFonts w:ascii="Arial Narrow" w:hAnsi="Arial Narrow"/>
                <w:color w:val="000000"/>
                <w:sz w:val="20"/>
                <w:szCs w:val="18"/>
              </w:rPr>
            </w:pPr>
            <w:r>
              <w:rPr>
                <w:rFonts w:ascii="Arial Narrow" w:hAnsi="Arial Narrow"/>
                <w:color w:val="000000"/>
                <w:sz w:val="20"/>
                <w:szCs w:val="18"/>
              </w:rPr>
              <w:t>(i.e. UDCA-inadequate responders)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30/65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7/68</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4.5</w:t>
            </w:r>
          </w:p>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(2.1, 9.5)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46.2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color w:val="000000"/>
                <w:sz w:val="20"/>
                <w:szCs w:val="18"/>
              </w:rPr>
            </w:pPr>
            <w:r>
              <w:rPr>
                <w:rFonts w:ascii="Arial Narrow" w:hAnsi="Arial Narrow"/>
                <w:color w:val="000000"/>
                <w:sz w:val="20"/>
                <w:szCs w:val="18"/>
              </w:rPr>
              <w:t>10.3</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35.9</w:t>
            </w:r>
          </w:p>
          <w:p w:rsidR="00F116C2" w:rsidRDefault="004F0556">
            <w:pPr>
              <w:keepNext/>
              <w:widowControl/>
              <w:jc w:val="center"/>
              <w:rPr>
                <w:rFonts w:ascii="Arial Narrow" w:hAnsi="Arial Narrow"/>
                <w:b/>
                <w:color w:val="000000"/>
                <w:sz w:val="20"/>
                <w:szCs w:val="18"/>
              </w:rPr>
            </w:pPr>
            <w:r>
              <w:rPr>
                <w:rFonts w:ascii="Arial Narrow" w:hAnsi="Arial Narrow"/>
                <w:b/>
                <w:color w:val="000000"/>
                <w:sz w:val="20"/>
                <w:szCs w:val="18"/>
              </w:rPr>
              <w:t>(21.8, 50.0)</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POISE: OCA 10 mg plus UDCA</w:t>
            </w:r>
          </w:p>
          <w:p w:rsidR="00F116C2" w:rsidRDefault="004F0556">
            <w:pPr>
              <w:widowControl/>
              <w:jc w:val="left"/>
              <w:rPr>
                <w:rFonts w:ascii="Arial Narrow" w:hAnsi="Arial Narrow"/>
                <w:color w:val="000000"/>
                <w:sz w:val="20"/>
                <w:szCs w:val="18"/>
              </w:rPr>
            </w:pPr>
            <w:r>
              <w:rPr>
                <w:rFonts w:ascii="Arial Narrow" w:hAnsi="Arial Narrow"/>
                <w:color w:val="000000"/>
                <w:sz w:val="20"/>
                <w:szCs w:val="18"/>
              </w:rPr>
              <w:t>(i.e. UDCA-inadequate responders)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33/67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7/68</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4.8</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(2.3, 10.1)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49.3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10.3</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39.0</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(25.0, 52.9)</w:t>
            </w:r>
          </w:p>
        </w:tc>
      </w:tr>
      <w:tr w:rsidR="00F116C2">
        <w:tc>
          <w:tcPr>
            <w:tcW w:w="906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rPr>
                <w:rFonts w:ascii="Arial Narrow" w:hAnsi="Arial Narrow"/>
                <w:b/>
                <w:color w:val="000000"/>
                <w:sz w:val="20"/>
                <w:szCs w:val="18"/>
              </w:rPr>
            </w:pPr>
            <w:r>
              <w:rPr>
                <w:rFonts w:ascii="Arial Narrow" w:hAnsi="Arial Narrow"/>
                <w:b/>
                <w:color w:val="000000"/>
                <w:sz w:val="20"/>
                <w:szCs w:val="18"/>
              </w:rPr>
              <w:t>Primary outcome</w:t>
            </w:r>
          </w:p>
          <w:p w:rsidR="00F116C2" w:rsidRDefault="004F0556">
            <w:pPr>
              <w:widowControl/>
              <w:rPr>
                <w:rFonts w:ascii="Arial Narrow" w:hAnsi="Arial Narrow"/>
                <w:b/>
                <w:color w:val="000000"/>
                <w:sz w:val="20"/>
                <w:szCs w:val="18"/>
              </w:rPr>
            </w:pPr>
            <w:r>
              <w:rPr>
                <w:rFonts w:ascii="Arial Narrow" w:hAnsi="Arial Narrow"/>
                <w:b/>
                <w:color w:val="000000"/>
                <w:sz w:val="20"/>
                <w:szCs w:val="18"/>
              </w:rPr>
              <w:t>Composite endpoint: Percentage change in serum ALP from baseline to the end of trial</w:t>
            </w:r>
          </w:p>
        </w:tc>
      </w:tr>
      <w:tr w:rsidR="00F116C2">
        <w:trPr>
          <w:trHeight w:val="225"/>
        </w:trPr>
        <w:tc>
          <w:tcPr>
            <w:tcW w:w="3256" w:type="dxa"/>
            <w:tcBorders>
              <w:top w:val="single" w:sz="4" w:space="0" w:color="auto"/>
              <w:left w:val="single" w:sz="4" w:space="0" w:color="auto"/>
              <w:right w:val="single" w:sz="4" w:space="0" w:color="auto"/>
            </w:tcBorders>
            <w:shd w:val="clear" w:color="auto" w:fill="auto"/>
            <w:vAlign w:val="center"/>
          </w:tcPr>
          <w:p w:rsidR="00F116C2" w:rsidRDefault="00F116C2">
            <w:pPr>
              <w:widowControl/>
              <w:rPr>
                <w:rFonts w:ascii="Arial Narrow" w:hAnsi="Arial Narrow"/>
                <w:color w:val="000000"/>
                <w:sz w:val="20"/>
                <w:szCs w:val="18"/>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b/>
                <w:color w:val="000000"/>
                <w:sz w:val="20"/>
                <w:szCs w:val="18"/>
              </w:rPr>
              <w:t>OCA 10mg +/- UDCA</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b/>
                <w:color w:val="000000"/>
                <w:sz w:val="20"/>
                <w:szCs w:val="18"/>
              </w:rPr>
              <w:t>PBO +/- UDCA</w:t>
            </w:r>
          </w:p>
        </w:tc>
        <w:tc>
          <w:tcPr>
            <w:tcW w:w="1701" w:type="dxa"/>
            <w:gridSpan w:val="2"/>
            <w:tcBorders>
              <w:top w:val="single" w:sz="4" w:space="0" w:color="auto"/>
              <w:left w:val="single" w:sz="4" w:space="0" w:color="auto"/>
              <w:right w:val="single" w:sz="4" w:space="0" w:color="auto"/>
            </w:tcBorders>
            <w:vAlign w:val="center"/>
          </w:tcPr>
          <w:p w:rsidR="00F116C2" w:rsidRDefault="004F0556">
            <w:pPr>
              <w:widowControl/>
              <w:jc w:val="center"/>
              <w:rPr>
                <w:rFonts w:ascii="Arial Narrow" w:hAnsi="Arial Narrow"/>
                <w:b/>
                <w:sz w:val="20"/>
                <w:szCs w:val="18"/>
              </w:rPr>
            </w:pPr>
            <w:r>
              <w:rPr>
                <w:rFonts w:ascii="Arial Narrow" w:hAnsi="Arial Narrow"/>
                <w:b/>
                <w:sz w:val="20"/>
                <w:szCs w:val="18"/>
              </w:rPr>
              <w:t xml:space="preserve">Mean difference*: </w:t>
            </w:r>
          </w:p>
          <w:p w:rsidR="00F116C2" w:rsidRDefault="004F0556">
            <w:pPr>
              <w:widowControl/>
              <w:jc w:val="center"/>
              <w:rPr>
                <w:rFonts w:ascii="Arial Narrow" w:hAnsi="Arial Narrow"/>
                <w:b/>
                <w:sz w:val="20"/>
                <w:szCs w:val="18"/>
              </w:rPr>
            </w:pPr>
            <w:r>
              <w:rPr>
                <w:rFonts w:ascii="Arial Narrow" w:hAnsi="Arial Narrow"/>
                <w:b/>
                <w:color w:val="000000"/>
                <w:sz w:val="20"/>
                <w:szCs w:val="18"/>
              </w:rPr>
              <w:t>OCA 10mg +/- UDCA</w:t>
            </w:r>
            <w:r>
              <w:rPr>
                <w:rFonts w:ascii="Arial Narrow" w:hAnsi="Arial Narrow"/>
                <w:b/>
                <w:sz w:val="20"/>
                <w:szCs w:val="18"/>
              </w:rPr>
              <w:t xml:space="preserve"> vs. PBO </w:t>
            </w:r>
            <w:r>
              <w:rPr>
                <w:rFonts w:ascii="Arial Narrow" w:hAnsi="Arial Narrow"/>
                <w:b/>
                <w:color w:val="000000"/>
                <w:sz w:val="20"/>
                <w:szCs w:val="18"/>
              </w:rPr>
              <w:t>+/- UDCA</w:t>
            </w:r>
          </w:p>
        </w:tc>
      </w:tr>
      <w:tr w:rsidR="00F116C2">
        <w:trPr>
          <w:trHeight w:val="225"/>
        </w:trPr>
        <w:tc>
          <w:tcPr>
            <w:tcW w:w="3256" w:type="dxa"/>
            <w:tcBorders>
              <w:left w:val="single" w:sz="4" w:space="0" w:color="auto"/>
              <w:bottom w:val="single" w:sz="4" w:space="0" w:color="auto"/>
              <w:right w:val="single" w:sz="4" w:space="0" w:color="auto"/>
            </w:tcBorders>
            <w:shd w:val="clear" w:color="auto" w:fill="auto"/>
            <w:vAlign w:val="center"/>
          </w:tcPr>
          <w:p w:rsidR="00F116C2" w:rsidRDefault="00F116C2">
            <w:pPr>
              <w:widowControl/>
              <w:rPr>
                <w:rFonts w:ascii="Arial Narrow" w:hAnsi="Arial Narrow"/>
                <w:color w:val="000000"/>
                <w:sz w:val="20"/>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sz w:val="20"/>
                <w:szCs w:val="18"/>
              </w:rPr>
            </w:pPr>
            <w:r>
              <w:rPr>
                <w:rFonts w:ascii="Arial Narrow" w:hAnsi="Arial Narrow"/>
                <w:b/>
                <w:sz w:val="20"/>
                <w:szCs w:val="18"/>
              </w:rPr>
              <w:t>Mean ∆ baseline,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sz w:val="20"/>
                <w:szCs w:val="18"/>
              </w:rPr>
            </w:pPr>
            <w:r>
              <w:rPr>
                <w:rFonts w:ascii="Arial Narrow" w:hAnsi="Arial Narrow"/>
                <w:b/>
                <w:sz w:val="20"/>
                <w:szCs w:val="18"/>
              </w:rPr>
              <w:t>SD</w:t>
            </w:r>
          </w:p>
        </w:tc>
        <w:tc>
          <w:tcPr>
            <w:tcW w:w="425"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sz w:val="20"/>
                <w:szCs w:val="18"/>
              </w:rPr>
            </w:pPr>
            <w:r>
              <w:rPr>
                <w:rFonts w:ascii="Arial Narrow" w:hAnsi="Arial Narrow"/>
                <w:b/>
                <w:sz w:val="20"/>
                <w:szCs w:val="18"/>
              </w:rPr>
              <w:t>Mean ∆ baseline,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sz w:val="20"/>
                <w:szCs w:val="18"/>
              </w:rPr>
            </w:pPr>
            <w:r>
              <w:rPr>
                <w:rFonts w:ascii="Arial Narrow" w:hAnsi="Arial Narrow"/>
                <w:b/>
                <w:sz w:val="20"/>
                <w:szCs w:val="18"/>
              </w:rPr>
              <w:t>SD</w:t>
            </w:r>
          </w:p>
        </w:tc>
        <w:tc>
          <w:tcPr>
            <w:tcW w:w="1701" w:type="dxa"/>
            <w:gridSpan w:val="2"/>
            <w:tcBorders>
              <w:left w:val="single" w:sz="4" w:space="0" w:color="auto"/>
              <w:bottom w:val="single" w:sz="4" w:space="0" w:color="auto"/>
              <w:right w:val="single" w:sz="4" w:space="0" w:color="auto"/>
            </w:tcBorders>
            <w:vAlign w:val="center"/>
          </w:tcPr>
          <w:p w:rsidR="00F116C2" w:rsidRDefault="00F116C2">
            <w:pPr>
              <w:widowControl/>
              <w:jc w:val="center"/>
              <w:rPr>
                <w:rFonts w:ascii="Arial Narrow" w:hAnsi="Arial Narrow"/>
                <w:b/>
                <w:sz w:val="20"/>
                <w:szCs w:val="18"/>
              </w:rPr>
            </w:pP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747-201: OCA monotherapy</w:t>
            </w:r>
          </w:p>
        </w:tc>
        <w:tc>
          <w:tcPr>
            <w:tcW w:w="425"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-44.5%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24.4</w:t>
            </w:r>
          </w:p>
        </w:tc>
        <w:tc>
          <w:tcPr>
            <w:tcW w:w="425"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15.3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sz w:val="20"/>
                <w:szCs w:val="18"/>
              </w:rPr>
            </w:pPr>
            <w:r>
              <w:rPr>
                <w:rFonts w:ascii="Arial Narrow" w:hAnsi="Arial Narrow"/>
                <w:sz w:val="20"/>
                <w:szCs w:val="18"/>
              </w:rPr>
              <w:t xml:space="preserve">NR </w:t>
            </w:r>
            <w:r>
              <w:rPr>
                <w:rFonts w:ascii="Arial Narrow" w:hAnsi="Arial Narrow"/>
                <w:sz w:val="20"/>
                <w:szCs w:val="18"/>
              </w:rPr>
              <w:br/>
              <w:t>(p &lt; 0.0001)</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 xml:space="preserve">747-202: OCA plus UDCA </w:t>
            </w:r>
          </w:p>
        </w:tc>
        <w:tc>
          <w:tcPr>
            <w:tcW w:w="425"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 xml:space="preserve">-23.7%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17.8</w:t>
            </w:r>
          </w:p>
        </w:tc>
        <w:tc>
          <w:tcPr>
            <w:tcW w:w="425"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12.5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sz w:val="20"/>
                <w:szCs w:val="18"/>
              </w:rPr>
            </w:pPr>
            <w:r>
              <w:rPr>
                <w:rFonts w:ascii="Arial Narrow" w:hAnsi="Arial Narrow"/>
                <w:sz w:val="20"/>
                <w:szCs w:val="18"/>
              </w:rPr>
              <w:t xml:space="preserve">NR </w:t>
            </w:r>
            <w:r>
              <w:rPr>
                <w:rFonts w:ascii="Arial Narrow" w:hAnsi="Arial Narrow"/>
                <w:sz w:val="20"/>
                <w:szCs w:val="18"/>
              </w:rPr>
              <w:br/>
              <w:t>(p &lt; 0.0001)</w:t>
            </w:r>
          </w:p>
        </w:tc>
      </w:tr>
      <w:tr w:rsidR="00F116C2">
        <w:tc>
          <w:tcPr>
            <w:tcW w:w="906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rPr>
                <w:rFonts w:ascii="Arial Narrow" w:hAnsi="Arial Narrow"/>
                <w:b/>
                <w:color w:val="000000"/>
                <w:sz w:val="20"/>
                <w:szCs w:val="18"/>
              </w:rPr>
            </w:pPr>
            <w:r>
              <w:rPr>
                <w:rFonts w:ascii="Arial Narrow" w:hAnsi="Arial Narrow"/>
                <w:b/>
                <w:color w:val="000000"/>
                <w:sz w:val="20"/>
                <w:szCs w:val="18"/>
              </w:rPr>
              <w:t xml:space="preserve">Harms </w:t>
            </w:r>
          </w:p>
        </w:tc>
      </w:tr>
      <w:tr w:rsidR="00F116C2">
        <w:trPr>
          <w:trHeight w:val="7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F116C2">
            <w:pPr>
              <w:widowControl/>
              <w:rPr>
                <w:rFonts w:ascii="Arial Narrow" w:hAnsi="Arial Narrow"/>
                <w:b/>
                <w:color w:val="000000"/>
                <w:sz w:val="20"/>
                <w:szCs w:val="18"/>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OCA +/- UDCA,</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n/N</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PBO +/- UDCA,</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n/N</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RR</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(95% CI)</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 xml:space="preserve">Event rate/100 patients*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RD</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(95% CI)</w:t>
            </w:r>
          </w:p>
        </w:tc>
      </w:tr>
      <w:tr w:rsidR="00F116C2">
        <w:trPr>
          <w:trHeight w:val="390"/>
        </w:trPr>
        <w:tc>
          <w:tcPr>
            <w:tcW w:w="3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F116C2">
            <w:pPr>
              <w:widowControl/>
              <w:rPr>
                <w:rFonts w:ascii="Arial Narrow" w:hAnsi="Arial Narrow"/>
                <w:b/>
                <w:color w:val="000000"/>
                <w:sz w:val="20"/>
                <w:szCs w:val="18"/>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F116C2" w:rsidRDefault="00F116C2">
            <w:pPr>
              <w:widowControl/>
              <w:jc w:val="center"/>
              <w:rPr>
                <w:rFonts w:ascii="Arial Narrow" w:hAnsi="Arial Narrow"/>
                <w:b/>
                <w:color w:val="000000"/>
                <w:sz w:val="20"/>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F116C2" w:rsidRDefault="00F116C2">
            <w:pPr>
              <w:widowControl/>
              <w:jc w:val="center"/>
              <w:rPr>
                <w:rFonts w:ascii="Arial Narrow" w:hAnsi="Arial Narrow"/>
                <w:b/>
                <w:color w:val="000000"/>
                <w:sz w:val="20"/>
                <w:szCs w:val="18"/>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F116C2" w:rsidRDefault="00F116C2">
            <w:pPr>
              <w:widowControl/>
              <w:jc w:val="center"/>
              <w:rPr>
                <w:rFonts w:ascii="Arial Narrow" w:hAnsi="Arial Narrow"/>
                <w:b/>
                <w:color w:val="000000"/>
                <w:sz w:val="20"/>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OCA +/- UDCA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Placebo +/- UDCA</w:t>
            </w:r>
          </w:p>
        </w:tc>
        <w:tc>
          <w:tcPr>
            <w:tcW w:w="1134" w:type="dxa"/>
            <w:vMerge/>
            <w:tcBorders>
              <w:top w:val="single" w:sz="4" w:space="0" w:color="auto"/>
              <w:left w:val="single" w:sz="4" w:space="0" w:color="auto"/>
              <w:bottom w:val="single" w:sz="4" w:space="0" w:color="auto"/>
              <w:right w:val="single" w:sz="4" w:space="0" w:color="auto"/>
            </w:tcBorders>
            <w:vAlign w:val="center"/>
          </w:tcPr>
          <w:p w:rsidR="00F116C2" w:rsidRDefault="00F116C2">
            <w:pPr>
              <w:widowControl/>
              <w:jc w:val="center"/>
              <w:rPr>
                <w:rFonts w:ascii="Arial Narrow" w:hAnsi="Arial Narrow"/>
                <w:b/>
                <w:color w:val="000000"/>
                <w:sz w:val="20"/>
                <w:szCs w:val="18"/>
              </w:rPr>
            </w:pPr>
          </w:p>
        </w:tc>
      </w:tr>
      <w:tr w:rsidR="00F116C2">
        <w:tc>
          <w:tcPr>
            <w:tcW w:w="906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rPr>
                <w:rFonts w:ascii="Arial Narrow" w:hAnsi="Arial Narrow"/>
                <w:b/>
                <w:color w:val="000000"/>
                <w:sz w:val="20"/>
                <w:szCs w:val="18"/>
              </w:rPr>
            </w:pPr>
            <w:r>
              <w:rPr>
                <w:rFonts w:ascii="Arial Narrow" w:hAnsi="Arial Narrow"/>
                <w:b/>
                <w:color w:val="000000"/>
                <w:sz w:val="20"/>
                <w:szCs w:val="18"/>
              </w:rPr>
              <w:t>Pruritus</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POISE: OCA 5-10 mg titration ± UDCA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39/70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28/73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1.45</w:t>
            </w:r>
          </w:p>
          <w:p w:rsidR="00F116C2" w:rsidRDefault="004F0556">
            <w:pPr>
              <w:widowControl/>
              <w:jc w:val="center"/>
              <w:rPr>
                <w:rFonts w:ascii="Arial Narrow" w:hAnsi="Arial Narrow"/>
                <w:color w:val="000000"/>
                <w:sz w:val="20"/>
                <w:szCs w:val="18"/>
              </w:rPr>
            </w:pPr>
            <w:r>
              <w:rPr>
                <w:rFonts w:ascii="Arial Narrow" w:hAnsi="Arial Narrow"/>
                <w:b/>
                <w:color w:val="000000"/>
                <w:sz w:val="20"/>
                <w:szCs w:val="18"/>
              </w:rPr>
              <w:t>(1.02, 2.08)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55.7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38.4</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17.4</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(1.2, 33.5)</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POISE: OCA 10 mg ± UDCA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50/73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28/73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1.79</w:t>
            </w:r>
          </w:p>
          <w:p w:rsidR="00F116C2" w:rsidRDefault="004F0556">
            <w:pPr>
              <w:widowControl/>
              <w:jc w:val="center"/>
              <w:rPr>
                <w:rFonts w:ascii="Arial Narrow" w:hAnsi="Arial Narrow"/>
                <w:color w:val="000000"/>
                <w:sz w:val="20"/>
                <w:szCs w:val="18"/>
              </w:rPr>
            </w:pPr>
            <w:r>
              <w:rPr>
                <w:rFonts w:ascii="Arial Narrow" w:hAnsi="Arial Narrow"/>
                <w:b/>
                <w:color w:val="000000"/>
                <w:sz w:val="20"/>
                <w:szCs w:val="18"/>
              </w:rPr>
              <w:t>(1.28, 2.48)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68.5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38.4</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30.1</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(14.7, 45.6)</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747-201: OCA monotherapy</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14/20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8/23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2.01</w:t>
            </w:r>
          </w:p>
          <w:p w:rsidR="00F116C2" w:rsidRDefault="004F0556">
            <w:pPr>
              <w:widowControl/>
              <w:jc w:val="center"/>
              <w:rPr>
                <w:rFonts w:ascii="Arial Narrow" w:hAnsi="Arial Narrow"/>
                <w:color w:val="000000"/>
                <w:sz w:val="20"/>
                <w:szCs w:val="18"/>
              </w:rPr>
            </w:pPr>
            <w:r>
              <w:rPr>
                <w:rFonts w:ascii="Arial Narrow" w:hAnsi="Arial Narrow"/>
                <w:b/>
                <w:color w:val="000000"/>
                <w:sz w:val="20"/>
                <w:szCs w:val="18"/>
              </w:rPr>
              <w:t>(1.07, 3.77)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70.0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34.8</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35.2</w:t>
            </w:r>
          </w:p>
          <w:p w:rsidR="00F116C2" w:rsidRDefault="004F0556">
            <w:pPr>
              <w:widowControl/>
              <w:jc w:val="center"/>
              <w:rPr>
                <w:rFonts w:ascii="Arial Narrow" w:hAnsi="Arial Narrow"/>
                <w:b/>
                <w:color w:val="000000"/>
                <w:sz w:val="20"/>
                <w:szCs w:val="18"/>
              </w:rPr>
            </w:pPr>
            <w:r>
              <w:rPr>
                <w:rFonts w:ascii="Arial Narrow" w:hAnsi="Arial Narrow"/>
                <w:b/>
                <w:color w:val="000000"/>
                <w:sz w:val="20"/>
                <w:szCs w:val="18"/>
              </w:rPr>
              <w:t>(7.2, 63.2)</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 xml:space="preserve">747-202: OCA plus UDCA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18/38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19/38</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0.95</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(0.60, 1.50)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47.4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50.0</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-2.6</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(-25.1, 19.8)</w:t>
            </w:r>
          </w:p>
        </w:tc>
      </w:tr>
      <w:tr w:rsidR="00F116C2">
        <w:tc>
          <w:tcPr>
            <w:tcW w:w="906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keepNext/>
              <w:widowControl/>
              <w:rPr>
                <w:rFonts w:ascii="Arial Narrow" w:hAnsi="Arial Narrow"/>
                <w:b/>
                <w:color w:val="000000"/>
                <w:sz w:val="20"/>
                <w:szCs w:val="18"/>
              </w:rPr>
            </w:pPr>
            <w:r>
              <w:rPr>
                <w:rFonts w:ascii="Arial Narrow" w:hAnsi="Arial Narrow"/>
                <w:b/>
                <w:color w:val="000000"/>
                <w:sz w:val="20"/>
                <w:szCs w:val="18"/>
              </w:rPr>
              <w:t>TEAEs</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u w:val="single"/>
              </w:rPr>
            </w:pPr>
            <w:r>
              <w:rPr>
                <w:rFonts w:ascii="Arial Narrow" w:hAnsi="Arial Narrow"/>
                <w:color w:val="000000"/>
                <w:sz w:val="20"/>
                <w:szCs w:val="18"/>
              </w:rPr>
              <w:t>POISE: OCA 5-10 mg titration ± UDCA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65/70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66/73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1.03</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(0.93,0.80)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92.9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90.4</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2.5</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(-6.6, 11.5)</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POISE: OCA 10 mg ± UDCA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69/73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66/73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1.04</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(0.95, 1.15)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94.5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90.4</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4.1</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(-4.4, 12.6)</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747-201: OCA monotherapy</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18/20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21/23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0.99</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(0.81,1.20)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90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91.3</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-1.3</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(-18.8, 16.2)</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 xml:space="preserve">747-202: OCA plus UDCA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34/38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32/38</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1.06</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(0.89,1.27)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89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84</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5.3</w:t>
            </w:r>
          </w:p>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(-9.9, 20.4)</w:t>
            </w:r>
          </w:p>
        </w:tc>
      </w:tr>
      <w:tr w:rsidR="00F116C2">
        <w:tc>
          <w:tcPr>
            <w:tcW w:w="906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keepNext/>
              <w:widowControl/>
              <w:rPr>
                <w:rFonts w:ascii="Arial Narrow" w:hAnsi="Arial Narrow"/>
                <w:color w:val="000000"/>
                <w:sz w:val="20"/>
                <w:szCs w:val="18"/>
              </w:rPr>
            </w:pPr>
            <w:r>
              <w:rPr>
                <w:rFonts w:ascii="Arial Narrow" w:hAnsi="Arial Narrow"/>
                <w:b/>
                <w:color w:val="000000"/>
                <w:sz w:val="20"/>
                <w:szCs w:val="18"/>
              </w:rPr>
              <w:t>SAEs</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POISE: OCA 5-10 mg titration ± UDCA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11/70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3/73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rPr>
            </w:pPr>
            <w:r>
              <w:rPr>
                <w:rFonts w:ascii="Arial Narrow" w:hAnsi="Arial Narrow"/>
                <w:b/>
                <w:color w:val="000000"/>
                <w:sz w:val="20"/>
              </w:rPr>
              <w:t>3.82</w:t>
            </w:r>
          </w:p>
          <w:p w:rsidR="00F116C2" w:rsidRDefault="004F0556">
            <w:pPr>
              <w:widowControl/>
              <w:jc w:val="center"/>
              <w:rPr>
                <w:rFonts w:ascii="Arial Narrow" w:hAnsi="Arial Narrow"/>
                <w:color w:val="000000"/>
                <w:sz w:val="20"/>
              </w:rPr>
            </w:pPr>
            <w:r>
              <w:rPr>
                <w:rFonts w:ascii="Arial Narrow" w:hAnsi="Arial Narrow"/>
                <w:b/>
                <w:color w:val="000000"/>
                <w:sz w:val="20"/>
              </w:rPr>
              <w:t>(1.11,13.13)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15.7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4.1</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b/>
                <w:color w:val="000000"/>
                <w:sz w:val="20"/>
              </w:rPr>
            </w:pPr>
            <w:r>
              <w:rPr>
                <w:rFonts w:ascii="Arial Narrow" w:hAnsi="Arial Narrow"/>
                <w:b/>
                <w:color w:val="000000"/>
                <w:sz w:val="20"/>
              </w:rPr>
              <w:t>11.6</w:t>
            </w:r>
          </w:p>
          <w:p w:rsidR="00F116C2" w:rsidRDefault="004F0556">
            <w:pPr>
              <w:widowControl/>
              <w:jc w:val="center"/>
              <w:rPr>
                <w:rFonts w:ascii="Arial Narrow" w:hAnsi="Arial Narrow"/>
                <w:color w:val="000000"/>
                <w:sz w:val="20"/>
              </w:rPr>
            </w:pPr>
            <w:r>
              <w:rPr>
                <w:rFonts w:ascii="Arial Narrow" w:hAnsi="Arial Narrow"/>
                <w:b/>
                <w:color w:val="000000"/>
                <w:sz w:val="20"/>
              </w:rPr>
              <w:t>(1.9, 21.3)</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POISE: OCA 10 mg ± UDCA</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szCs w:val="18"/>
              </w:rPr>
              <w:t>8/73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szCs w:val="18"/>
              </w:rPr>
              <w:t>3/73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szCs w:val="18"/>
              </w:rPr>
            </w:pPr>
            <w:r>
              <w:rPr>
                <w:rFonts w:ascii="Arial Narrow" w:hAnsi="Arial Narrow"/>
                <w:color w:val="000000"/>
                <w:sz w:val="20"/>
                <w:szCs w:val="18"/>
              </w:rPr>
              <w:t>2.67</w:t>
            </w:r>
          </w:p>
          <w:p w:rsidR="00F116C2" w:rsidRDefault="004F0556">
            <w:pPr>
              <w:widowControl/>
              <w:jc w:val="center"/>
              <w:rPr>
                <w:rFonts w:ascii="Arial Narrow" w:hAnsi="Arial Narrow"/>
                <w:color w:val="000000"/>
                <w:sz w:val="20"/>
              </w:rPr>
            </w:pPr>
            <w:r>
              <w:rPr>
                <w:rFonts w:ascii="Arial Narrow" w:hAnsi="Arial Narrow"/>
                <w:color w:val="000000"/>
                <w:sz w:val="20"/>
                <w:szCs w:val="18"/>
              </w:rPr>
              <w:t>(0.74, 9.66)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szCs w:val="18"/>
              </w:rPr>
              <w:t>11.0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szCs w:val="18"/>
              </w:rPr>
              <w:t>4.2</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6.8</w:t>
            </w:r>
          </w:p>
          <w:p w:rsidR="00F116C2" w:rsidRDefault="004F0556">
            <w:pPr>
              <w:widowControl/>
              <w:jc w:val="center"/>
              <w:rPr>
                <w:rFonts w:ascii="Arial Narrow" w:hAnsi="Arial Narrow"/>
                <w:color w:val="000000"/>
                <w:sz w:val="20"/>
              </w:rPr>
            </w:pPr>
            <w:r>
              <w:rPr>
                <w:rFonts w:ascii="Arial Narrow" w:hAnsi="Arial Narrow"/>
                <w:color w:val="000000"/>
                <w:sz w:val="20"/>
              </w:rPr>
              <w:t>(-1.6, 15.3)</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lastRenderedPageBreak/>
              <w:t>747-201: OCA monotherapy</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0/20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1/23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0.38</w:t>
            </w:r>
          </w:p>
          <w:p w:rsidR="00F116C2" w:rsidRDefault="004F0556">
            <w:pPr>
              <w:widowControl/>
              <w:jc w:val="center"/>
              <w:rPr>
                <w:rFonts w:ascii="Arial Narrow" w:hAnsi="Arial Narrow"/>
                <w:color w:val="000000"/>
                <w:sz w:val="20"/>
              </w:rPr>
            </w:pPr>
            <w:r>
              <w:rPr>
                <w:rFonts w:ascii="Arial Narrow" w:hAnsi="Arial Narrow"/>
                <w:color w:val="000000"/>
                <w:sz w:val="20"/>
              </w:rPr>
              <w:t>(0.02, 8.86)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0.04</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-0.04</w:t>
            </w:r>
          </w:p>
          <w:p w:rsidR="00F116C2" w:rsidRDefault="004F0556">
            <w:pPr>
              <w:widowControl/>
              <w:jc w:val="center"/>
              <w:rPr>
                <w:rFonts w:ascii="Arial Narrow" w:hAnsi="Arial Narrow"/>
                <w:color w:val="000000"/>
                <w:sz w:val="20"/>
              </w:rPr>
            </w:pPr>
            <w:r>
              <w:rPr>
                <w:rFonts w:ascii="Arial Narrow" w:hAnsi="Arial Narrow"/>
                <w:color w:val="000000"/>
                <w:sz w:val="20"/>
              </w:rPr>
              <w:t>(-0.13,0.04)</w:t>
            </w:r>
          </w:p>
        </w:tc>
      </w:tr>
      <w:tr w:rsidR="00F116C2">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F116C2" w:rsidRDefault="004F0556">
            <w:pPr>
              <w:widowControl/>
              <w:jc w:val="left"/>
              <w:rPr>
                <w:rFonts w:ascii="Arial Narrow" w:hAnsi="Arial Narrow"/>
                <w:color w:val="000000"/>
                <w:sz w:val="20"/>
                <w:szCs w:val="18"/>
              </w:rPr>
            </w:pPr>
            <w:r>
              <w:rPr>
                <w:rFonts w:ascii="Arial Narrow" w:hAnsi="Arial Narrow"/>
                <w:color w:val="000000"/>
                <w:sz w:val="20"/>
                <w:szCs w:val="18"/>
              </w:rPr>
              <w:t xml:space="preserve">747-202: OCA plus UDCA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0/38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1/38</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0.33</w:t>
            </w:r>
          </w:p>
          <w:p w:rsidR="00F116C2" w:rsidRDefault="004F0556">
            <w:pPr>
              <w:widowControl/>
              <w:jc w:val="center"/>
              <w:rPr>
                <w:rFonts w:ascii="Arial Narrow" w:hAnsi="Arial Narrow"/>
                <w:color w:val="000000"/>
                <w:sz w:val="20"/>
              </w:rPr>
            </w:pPr>
            <w:r>
              <w:rPr>
                <w:rFonts w:ascii="Arial Narrow" w:hAnsi="Arial Narrow"/>
                <w:color w:val="000000"/>
                <w:sz w:val="20"/>
              </w:rPr>
              <w:t>(0.01, 7.93)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0.03</w:t>
            </w:r>
          </w:p>
        </w:tc>
        <w:tc>
          <w:tcPr>
            <w:tcW w:w="1134" w:type="dxa"/>
            <w:tcBorders>
              <w:top w:val="single" w:sz="4" w:space="0" w:color="auto"/>
              <w:left w:val="single" w:sz="4" w:space="0" w:color="auto"/>
              <w:bottom w:val="single" w:sz="4" w:space="0" w:color="auto"/>
              <w:right w:val="single" w:sz="4" w:space="0" w:color="auto"/>
            </w:tcBorders>
            <w:vAlign w:val="center"/>
          </w:tcPr>
          <w:p w:rsidR="00F116C2" w:rsidRDefault="004F0556">
            <w:pPr>
              <w:widowControl/>
              <w:jc w:val="center"/>
              <w:rPr>
                <w:rFonts w:ascii="Arial Narrow" w:hAnsi="Arial Narrow"/>
                <w:color w:val="000000"/>
                <w:sz w:val="20"/>
              </w:rPr>
            </w:pPr>
            <w:r>
              <w:rPr>
                <w:rFonts w:ascii="Arial Narrow" w:hAnsi="Arial Narrow"/>
                <w:color w:val="000000"/>
                <w:sz w:val="20"/>
              </w:rPr>
              <w:t>-0.03</w:t>
            </w:r>
          </w:p>
          <w:p w:rsidR="00F116C2" w:rsidRDefault="004F0556">
            <w:pPr>
              <w:widowControl/>
              <w:jc w:val="center"/>
              <w:rPr>
                <w:rFonts w:ascii="Arial Narrow" w:hAnsi="Arial Narrow"/>
                <w:color w:val="000000"/>
                <w:sz w:val="20"/>
              </w:rPr>
            </w:pPr>
            <w:r>
              <w:rPr>
                <w:rFonts w:ascii="Arial Narrow" w:hAnsi="Arial Narrow"/>
                <w:color w:val="000000"/>
                <w:sz w:val="20"/>
              </w:rPr>
              <w:t>(-0.08, 0.02)</w:t>
            </w:r>
          </w:p>
        </w:tc>
      </w:tr>
    </w:tbl>
    <w:p w:rsidR="00F116C2" w:rsidRDefault="004F0556">
      <w:pPr>
        <w:pStyle w:val="TableFooter"/>
        <w:widowControl/>
      </w:pPr>
      <w:r>
        <w:rPr>
          <w:rFonts w:cstheme="minorHAnsi"/>
        </w:rPr>
        <w:t xml:space="preserve">ALP = alkaline phosphatase; CI = confidence interval; OCA = obeticholic acid; PBO = placebo; </w:t>
      </w:r>
      <w:r>
        <w:t xml:space="preserve">RD = risk difference; RR = risk ratio; SAE = serious adverse event; SD = standard deviation; TEAE = treatment emergent adverse event; </w:t>
      </w:r>
      <w:r>
        <w:rPr>
          <w:rFonts w:cstheme="minorHAnsi"/>
        </w:rPr>
        <w:t>UDCA = ursodeoxycholic acid; ULN = upper limit of normal</w:t>
      </w:r>
    </w:p>
    <w:p w:rsidR="00F116C2" w:rsidRDefault="004F0556">
      <w:pPr>
        <w:pStyle w:val="TableFooter"/>
        <w:widowControl/>
      </w:pPr>
      <w:r>
        <w:rPr>
          <w:b/>
        </w:rPr>
        <w:t>Bold</w:t>
      </w:r>
      <w:r>
        <w:t xml:space="preserve"> indicates statistical significance.</w:t>
      </w:r>
    </w:p>
    <w:p w:rsidR="00F116C2" w:rsidRDefault="004F0556">
      <w:pPr>
        <w:pStyle w:val="TableFooter"/>
        <w:widowControl/>
      </w:pPr>
      <w:r>
        <w:t>* Maximum duration of follow-up: POISE = 12 months; 747-201 trial = 14 weeks; 747-202 trial = 14 weeks</w:t>
      </w:r>
    </w:p>
    <w:p w:rsidR="00F116C2" w:rsidRDefault="004F0556">
      <w:pPr>
        <w:pStyle w:val="TableFooter"/>
        <w:widowControl/>
      </w:pPr>
      <w:r>
        <w:t>** Added 0.5 patients.</w:t>
      </w:r>
    </w:p>
    <w:p w:rsidR="00F116C2" w:rsidRDefault="004F0556">
      <w:pPr>
        <w:pStyle w:val="TableFooter"/>
        <w:widowControl/>
      </w:pPr>
      <w:r>
        <w:t xml:space="preserve">Source: Complied during the evaluation based on </w:t>
      </w:r>
      <w:r>
        <w:rPr>
          <w:rFonts w:cstheme="minorHAnsi"/>
        </w:rPr>
        <w:t>Table 2.5.1, p129 of the submission,</w:t>
      </w:r>
      <w:r>
        <w:t xml:space="preserve"> Table 2.5.20 </w:t>
      </w:r>
      <w:r>
        <w:rPr>
          <w:rFonts w:cstheme="minorHAnsi"/>
          <w:szCs w:val="18"/>
        </w:rPr>
        <w:t>of the submission</w:t>
      </w:r>
      <w:r>
        <w:t>, p162,</w:t>
      </w:r>
      <w:r>
        <w:rPr>
          <w:rFonts w:cstheme="minorHAnsi"/>
          <w:szCs w:val="18"/>
        </w:rPr>
        <w:t xml:space="preserve"> Table 2.5.21, p164 of the submission.</w:t>
      </w:r>
    </w:p>
    <w:p w:rsidR="00F116C2" w:rsidRDefault="00F116C2">
      <w:pPr>
        <w:widowControl/>
      </w:pPr>
    </w:p>
    <w:p w:rsidR="00F116C2" w:rsidRDefault="004F0556">
      <w:pPr>
        <w:pStyle w:val="ListParagraph"/>
        <w:widowControl/>
        <w:numPr>
          <w:ilvl w:val="1"/>
          <w:numId w:val="2"/>
        </w:numPr>
      </w:pPr>
      <w:r>
        <w:t xml:space="preserve">On the basis of direct evidence presented by the submission (POISE trial), for every 100 patients treated with OCA 5-10 mg titration +/- UDCA in comparison to placebo +/- UDCA and over a maximum duration of follow-up of 12 months: </w:t>
      </w:r>
    </w:p>
    <w:p w:rsidR="00F116C2" w:rsidRDefault="004F0556">
      <w:pPr>
        <w:pStyle w:val="ListParagraph"/>
        <w:widowControl/>
        <w:numPr>
          <w:ilvl w:val="0"/>
          <w:numId w:val="1"/>
        </w:numPr>
        <w:spacing w:after="0"/>
        <w:ind w:left="1077" w:hanging="357"/>
      </w:pPr>
      <w:r>
        <w:t>Approximately 36 additional UDCA-inadequate responders would not experience PBC disease progression;</w:t>
      </w:r>
    </w:p>
    <w:p w:rsidR="00F116C2" w:rsidRDefault="004F0556">
      <w:pPr>
        <w:pStyle w:val="ListParagraph"/>
        <w:widowControl/>
        <w:numPr>
          <w:ilvl w:val="0"/>
          <w:numId w:val="1"/>
        </w:numPr>
        <w:spacing w:after="0"/>
        <w:ind w:left="1077" w:hanging="357"/>
      </w:pPr>
      <w:r>
        <w:t>Approximately 17 additional patients would experience pruritus; and</w:t>
      </w:r>
    </w:p>
    <w:p w:rsidR="00F116C2" w:rsidRDefault="004F0556">
      <w:pPr>
        <w:pStyle w:val="ListParagraph"/>
        <w:widowControl/>
        <w:numPr>
          <w:ilvl w:val="0"/>
          <w:numId w:val="1"/>
        </w:numPr>
        <w:spacing w:after="0"/>
        <w:ind w:left="1077" w:hanging="357"/>
      </w:pPr>
      <w:r>
        <w:t>Approximately 12 additional patients would experience at least one serious adverse event.</w:t>
      </w:r>
    </w:p>
    <w:p w:rsidR="00F116C2" w:rsidRDefault="00F116C2">
      <w:pPr>
        <w:widowControl/>
      </w:pPr>
    </w:p>
    <w:p w:rsidR="00F116C2" w:rsidRDefault="004F0556">
      <w:pPr>
        <w:pStyle w:val="ListParagraph"/>
        <w:widowControl/>
        <w:numPr>
          <w:ilvl w:val="1"/>
          <w:numId w:val="2"/>
        </w:numPr>
      </w:pPr>
      <w:r>
        <w:t xml:space="preserve">On the basis of direct evidence presented by the submission (POISE trial), for every 100 patients treated with OCA 10mg +/- UDCA in comparison to placebo +/- UDCA and over a maximum duration of follow-up of 12 months: </w:t>
      </w:r>
    </w:p>
    <w:p w:rsidR="00F116C2" w:rsidRDefault="004F0556">
      <w:pPr>
        <w:pStyle w:val="ListParagraph"/>
        <w:widowControl/>
        <w:numPr>
          <w:ilvl w:val="0"/>
          <w:numId w:val="1"/>
        </w:numPr>
        <w:spacing w:after="0"/>
        <w:ind w:left="1077" w:hanging="357"/>
      </w:pPr>
      <w:r>
        <w:t>Approximately 39 additional UDCA-inadequate responders would not experience PBC disease progression; and</w:t>
      </w:r>
    </w:p>
    <w:p w:rsidR="00F116C2" w:rsidRDefault="004F0556">
      <w:pPr>
        <w:pStyle w:val="ListParagraph"/>
        <w:widowControl/>
        <w:numPr>
          <w:ilvl w:val="0"/>
          <w:numId w:val="1"/>
        </w:numPr>
        <w:spacing w:after="0"/>
        <w:ind w:left="1077" w:hanging="357"/>
      </w:pPr>
      <w:r>
        <w:t>Approximately 30 additional patients would experience pruritus.</w:t>
      </w:r>
    </w:p>
    <w:p w:rsidR="00F116C2" w:rsidRDefault="00F116C2">
      <w:pPr>
        <w:pStyle w:val="ListParagraph"/>
        <w:widowControl/>
        <w:spacing w:after="0"/>
        <w:ind w:left="1077" w:hanging="357"/>
      </w:pPr>
    </w:p>
    <w:p w:rsidR="00F116C2" w:rsidRDefault="004F0556">
      <w:pPr>
        <w:pStyle w:val="ListParagraph"/>
        <w:widowControl/>
        <w:numPr>
          <w:ilvl w:val="1"/>
          <w:numId w:val="2"/>
        </w:numPr>
      </w:pPr>
      <w:r>
        <w:t xml:space="preserve">On the basis of direct evidence presented by the submission (747-201 trial), the comparison of OCA 10mg monotherapy and placebo resulted in a significant reduction in the percentage change in ALP from baseline to the end of the trial. </w:t>
      </w:r>
    </w:p>
    <w:p w:rsidR="00F116C2" w:rsidRDefault="004F0556">
      <w:pPr>
        <w:pStyle w:val="ListParagraph"/>
        <w:widowControl/>
        <w:numPr>
          <w:ilvl w:val="1"/>
          <w:numId w:val="2"/>
        </w:numPr>
      </w:pPr>
      <w:r>
        <w:t>On the basis of direct evidence presented by the submission (747-202 trial), the comparison of OCA 10mg + UDCA and placebo + UDCA resulted in a significant reduction in the percentage change in ALP from baseline to the end of the trial.</w:t>
      </w:r>
    </w:p>
    <w:p w:rsidR="00F116C2" w:rsidRDefault="004F0556">
      <w:pPr>
        <w:pStyle w:val="Heading2"/>
        <w:widowControl/>
      </w:pPr>
      <w:bookmarkStart w:id="15" w:name="_Toc9335717"/>
      <w:r>
        <w:t>Clinical claim</w:t>
      </w:r>
      <w:bookmarkEnd w:id="15"/>
    </w:p>
    <w:p w:rsidR="00F116C2" w:rsidRDefault="004F0556">
      <w:pPr>
        <w:pStyle w:val="ListParagraph"/>
        <w:widowControl/>
        <w:numPr>
          <w:ilvl w:val="1"/>
          <w:numId w:val="2"/>
        </w:numPr>
      </w:pPr>
      <w:r>
        <w:t>The resubmission described OCA 5-10 mg titration, used as combination therapy with UDCA, as superior in terms of effectiveness compared with UDCA alone for patients with prior inadequate response to UDCA.</w:t>
      </w:r>
    </w:p>
    <w:p w:rsidR="00F116C2" w:rsidRDefault="004F0556">
      <w:pPr>
        <w:pStyle w:val="ListParagraph"/>
        <w:widowControl/>
        <w:numPr>
          <w:ilvl w:val="1"/>
          <w:numId w:val="19"/>
        </w:numPr>
        <w:ind w:left="1134" w:hanging="425"/>
      </w:pPr>
      <w:r>
        <w:t xml:space="preserve">The PBAC had previously considered that this claim was reasonable; however, the magnitude of the benefit remained uncertain given the small sample sizes of the clinical trials and the short mean duration of follow-up (12 months) in the key trial, </w:t>
      </w:r>
      <w:r>
        <w:lastRenderedPageBreak/>
        <w:t>POISE, given that PBC is a chronic disease (paragraph 7.5, obeticholic acid PSD, November 2018). The ESC considered that the uncertainty surrounding the magnitude of the clinical benefit remained.</w:t>
      </w:r>
    </w:p>
    <w:p w:rsidR="00F116C2" w:rsidRDefault="004F0556">
      <w:pPr>
        <w:pStyle w:val="ListParagraph"/>
        <w:widowControl/>
        <w:numPr>
          <w:ilvl w:val="1"/>
          <w:numId w:val="2"/>
        </w:numPr>
      </w:pPr>
      <w:r>
        <w:rPr>
          <w:rFonts w:asciiTheme="minorHAnsi" w:hAnsiTheme="minorHAnsi"/>
          <w:szCs w:val="20"/>
        </w:rPr>
        <w:t>The PBAC considered that the claim of superior effectiveness for OCA 5-10 mg titration + UDCA compared with UDCA monotherapy in patients who were UDCA-inadequate responders was again reasonable; however, the magnitude of the benefit remained uncertain.</w:t>
      </w:r>
    </w:p>
    <w:p w:rsidR="00F116C2" w:rsidRDefault="004F0556">
      <w:pPr>
        <w:pStyle w:val="ListParagraph"/>
        <w:widowControl/>
        <w:numPr>
          <w:ilvl w:val="1"/>
          <w:numId w:val="2"/>
        </w:numPr>
      </w:pPr>
      <w:r>
        <w:t>The resubmission described OCA 5-10 mg titration as superior in terms of effectiveness compared with placebo when used as monotherapy for patients who are intolerant to UDCA.</w:t>
      </w:r>
    </w:p>
    <w:p w:rsidR="00F116C2" w:rsidRDefault="004F0556">
      <w:pPr>
        <w:pStyle w:val="ListParagraph"/>
        <w:widowControl/>
        <w:numPr>
          <w:ilvl w:val="1"/>
          <w:numId w:val="19"/>
        </w:numPr>
        <w:ind w:left="1134" w:hanging="425"/>
      </w:pPr>
      <w:r>
        <w:t>The ESC considered that although the resubmission presented a subgroup analysis from the POISE trial (n = 16) and data from trial 747-201 (n = 43), the small sample sizes and issues surrounding the applicability of 747-201 to the proposed PBS population meant that it remained difficult to assess the efficacy of OCA monotherapy.</w:t>
      </w:r>
    </w:p>
    <w:p w:rsidR="00F116C2" w:rsidRDefault="004F0556">
      <w:pPr>
        <w:pStyle w:val="ListParagraph"/>
        <w:widowControl/>
        <w:numPr>
          <w:ilvl w:val="1"/>
          <w:numId w:val="2"/>
        </w:numPr>
      </w:pPr>
      <w:r>
        <w:t>The PBAC considered that the claim of superior effectiveness for OCA 5-10 mg titration monotherapy compared with placebo in patients who were UDCA-intolerant was not adequately supported by the data.</w:t>
      </w:r>
    </w:p>
    <w:p w:rsidR="00F116C2" w:rsidRDefault="004F0556">
      <w:pPr>
        <w:pStyle w:val="ListParagraph"/>
        <w:widowControl/>
        <w:numPr>
          <w:ilvl w:val="1"/>
          <w:numId w:val="2"/>
        </w:numPr>
      </w:pPr>
      <w:r>
        <w:t>The resubmission described OCA 5-10 mg titration as inferior in terms of safety compared with placebo/best supportive care when used as combination therapy with UDCA for patients with prior inadequate response to UDCA and as monotherapy for patients who are intolerant to UDCA.</w:t>
      </w:r>
    </w:p>
    <w:p w:rsidR="00F116C2" w:rsidRDefault="004F0556">
      <w:pPr>
        <w:pStyle w:val="ListParagraph"/>
        <w:widowControl/>
        <w:numPr>
          <w:ilvl w:val="1"/>
          <w:numId w:val="19"/>
        </w:numPr>
        <w:ind w:left="1134" w:hanging="425"/>
      </w:pPr>
      <w:r>
        <w:t xml:space="preserve">The ESC considered that the claim of inferior safety was reasonable. </w:t>
      </w:r>
    </w:p>
    <w:p w:rsidR="00F116C2" w:rsidRDefault="004F0556">
      <w:pPr>
        <w:pStyle w:val="ListParagraph"/>
        <w:widowControl/>
        <w:numPr>
          <w:ilvl w:val="1"/>
          <w:numId w:val="2"/>
        </w:numPr>
        <w:spacing w:after="120"/>
        <w:ind w:left="810" w:hanging="810"/>
        <w:rPr>
          <w:rFonts w:asciiTheme="minorHAnsi" w:hAnsiTheme="minorHAnsi"/>
          <w:szCs w:val="20"/>
        </w:rPr>
      </w:pPr>
      <w:r>
        <w:rPr>
          <w:rFonts w:asciiTheme="minorHAnsi" w:hAnsiTheme="minorHAnsi"/>
          <w:szCs w:val="20"/>
        </w:rPr>
        <w:t>The PBAC considered that the claims of inferior safety for OCA 5-10 mg titration + UDCA and OCA 5-10 mg titration monotherapy compared with UDCA and placebo respectively were reasonable.</w:t>
      </w:r>
    </w:p>
    <w:p w:rsidR="00F116C2" w:rsidRDefault="004F0556">
      <w:pPr>
        <w:pStyle w:val="Heading2"/>
        <w:widowControl/>
      </w:pPr>
      <w:bookmarkStart w:id="16" w:name="_Toc9335718"/>
      <w:r>
        <w:t>Economic analysis</w:t>
      </w:r>
      <w:bookmarkEnd w:id="16"/>
      <w:r>
        <w:t xml:space="preserve"> </w:t>
      </w:r>
    </w:p>
    <w:p w:rsidR="00F116C2" w:rsidRDefault="004F0556">
      <w:pPr>
        <w:pStyle w:val="ListParagraph"/>
        <w:widowControl/>
        <w:numPr>
          <w:ilvl w:val="1"/>
          <w:numId w:val="2"/>
        </w:numPr>
      </w:pPr>
      <w:r>
        <w:rPr>
          <w:rFonts w:cs="Calibri"/>
          <w:snapToGrid/>
          <w:szCs w:val="24"/>
          <w:lang w:eastAsia="en-AU"/>
        </w:rPr>
        <w:t>The resubmission presented a stepped economic evaluation based on a direct randomised controlled trial (the POISE trial), other published studies, and implemented a modelled evaluation. The types of economic evaluation presented were cost-utility analysis and cost-effectiveness (per responder and per life year gained) analyses. This was unchanged from the previous submission.</w:t>
      </w:r>
    </w:p>
    <w:p w:rsidR="00F116C2" w:rsidRDefault="004F0556">
      <w:pPr>
        <w:pStyle w:val="ListParagraph"/>
        <w:widowControl/>
        <w:numPr>
          <w:ilvl w:val="1"/>
          <w:numId w:val="2"/>
        </w:numPr>
      </w:pPr>
      <w:r>
        <w:t>The resubmission represented the following comparisons using both the requested published and effective prices:</w:t>
      </w:r>
    </w:p>
    <w:p w:rsidR="00F116C2" w:rsidRDefault="004F0556">
      <w:pPr>
        <w:pStyle w:val="ListParagraph"/>
        <w:widowControl/>
        <w:numPr>
          <w:ilvl w:val="1"/>
          <w:numId w:val="8"/>
        </w:numPr>
        <w:spacing w:after="120"/>
        <w:ind w:left="1077" w:hanging="357"/>
      </w:pPr>
      <w:r>
        <w:t>OCA 5-10 mg titration + UDCA versus UDCA monotherapy for UDCA inadequate response patients.</w:t>
      </w:r>
    </w:p>
    <w:p w:rsidR="00F116C2" w:rsidRDefault="004F0556">
      <w:pPr>
        <w:pStyle w:val="ListParagraph"/>
        <w:widowControl/>
        <w:numPr>
          <w:ilvl w:val="1"/>
          <w:numId w:val="8"/>
        </w:numPr>
        <w:spacing w:after="120"/>
        <w:ind w:left="1077" w:hanging="357"/>
      </w:pPr>
      <w:r>
        <w:lastRenderedPageBreak/>
        <w:t>OCA 5-10 mg titration monotherapy versus no treatment for UDCA intolerant patients.</w:t>
      </w:r>
    </w:p>
    <w:p w:rsidR="00F116C2" w:rsidRDefault="004F0556">
      <w:pPr>
        <w:pStyle w:val="ListParagraph"/>
        <w:widowControl/>
        <w:numPr>
          <w:ilvl w:val="1"/>
          <w:numId w:val="2"/>
        </w:numPr>
      </w:pPr>
      <w:r>
        <w:t>Table 8 presents the key components of the economic evaluation.</w:t>
      </w:r>
    </w:p>
    <w:p w:rsidR="00E5768D" w:rsidRPr="00E5768D" w:rsidRDefault="00E5768D" w:rsidP="00E5768D">
      <w:pPr>
        <w:keepNext/>
        <w:widowControl/>
        <w:rPr>
          <w:rStyle w:val="CommentReference"/>
        </w:rPr>
      </w:pPr>
      <w:r w:rsidRPr="00E5768D">
        <w:rPr>
          <w:rStyle w:val="CommentReference"/>
        </w:rPr>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8</w:t>
      </w:r>
      <w:r w:rsidRPr="00E5768D">
        <w:rPr>
          <w:rStyle w:val="CommentReference"/>
        </w:rPr>
        <w:fldChar w:fldCharType="end"/>
      </w:r>
      <w:r w:rsidRPr="00E5768D">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Summary of model structure and rationale"/>
      </w:tblPr>
      <w:tblGrid>
        <w:gridCol w:w="1414"/>
        <w:gridCol w:w="7603"/>
      </w:tblGrid>
      <w:tr w:rsidR="00F116C2" w:rsidTr="00E5768D">
        <w:trPr>
          <w:tblHeader/>
        </w:trPr>
        <w:tc>
          <w:tcPr>
            <w:tcW w:w="784" w:type="pct"/>
            <w:shd w:val="clear" w:color="auto" w:fill="auto"/>
            <w:vAlign w:val="center"/>
          </w:tcPr>
          <w:p w:rsidR="00F116C2" w:rsidRDefault="004F0556">
            <w:pPr>
              <w:pStyle w:val="Tabletext"/>
              <w:keepNext/>
              <w:rPr>
                <w:b/>
              </w:rPr>
            </w:pPr>
            <w:r>
              <w:rPr>
                <w:b/>
              </w:rPr>
              <w:t>Component</w:t>
            </w:r>
          </w:p>
        </w:tc>
        <w:tc>
          <w:tcPr>
            <w:tcW w:w="4216" w:type="pct"/>
            <w:shd w:val="clear" w:color="auto" w:fill="auto"/>
            <w:vAlign w:val="center"/>
          </w:tcPr>
          <w:p w:rsidR="00F116C2" w:rsidRDefault="004F0556">
            <w:pPr>
              <w:pStyle w:val="Tabletext"/>
              <w:keepNext/>
              <w:jc w:val="center"/>
              <w:rPr>
                <w:b/>
              </w:rPr>
            </w:pPr>
            <w:r>
              <w:rPr>
                <w:b/>
              </w:rPr>
              <w:t>Summary</w:t>
            </w:r>
          </w:p>
        </w:tc>
      </w:tr>
      <w:tr w:rsidR="00F116C2" w:rsidTr="00E5768D">
        <w:tc>
          <w:tcPr>
            <w:tcW w:w="784" w:type="pct"/>
            <w:shd w:val="clear" w:color="auto" w:fill="auto"/>
          </w:tcPr>
          <w:p w:rsidR="00F116C2" w:rsidRDefault="004F0556">
            <w:pPr>
              <w:pStyle w:val="Tabletext"/>
              <w:keepNext/>
              <w:rPr>
                <w:b/>
              </w:rPr>
            </w:pPr>
            <w:r>
              <w:rPr>
                <w:szCs w:val="20"/>
              </w:rPr>
              <w:t>Type of analysis</w:t>
            </w:r>
          </w:p>
        </w:tc>
        <w:tc>
          <w:tcPr>
            <w:tcW w:w="4216" w:type="pct"/>
            <w:shd w:val="clear" w:color="auto" w:fill="auto"/>
          </w:tcPr>
          <w:p w:rsidR="00F116C2" w:rsidRDefault="004F0556">
            <w:pPr>
              <w:pStyle w:val="Tabletext"/>
              <w:keepNext/>
              <w:rPr>
                <w:b/>
              </w:rPr>
            </w:pPr>
            <w:r>
              <w:rPr>
                <w:szCs w:val="20"/>
              </w:rPr>
              <w:t>Cost-utility analysis (CUA) and cost-effectiveness analyses (CEA)</w:t>
            </w:r>
          </w:p>
        </w:tc>
      </w:tr>
      <w:tr w:rsidR="00F116C2" w:rsidTr="00E5768D">
        <w:tc>
          <w:tcPr>
            <w:tcW w:w="784" w:type="pct"/>
            <w:shd w:val="clear" w:color="auto" w:fill="auto"/>
          </w:tcPr>
          <w:p w:rsidR="00F116C2" w:rsidRDefault="004F0556">
            <w:pPr>
              <w:pStyle w:val="Tabletext"/>
            </w:pPr>
            <w:r>
              <w:rPr>
                <w:szCs w:val="20"/>
              </w:rPr>
              <w:t>Outcomes</w:t>
            </w:r>
          </w:p>
        </w:tc>
        <w:tc>
          <w:tcPr>
            <w:tcW w:w="4216" w:type="pct"/>
            <w:shd w:val="clear" w:color="auto" w:fill="auto"/>
          </w:tcPr>
          <w:p w:rsidR="00F116C2" w:rsidRDefault="004F0556">
            <w:pPr>
              <w:pStyle w:val="Tabletext"/>
            </w:pPr>
            <w:r>
              <w:rPr>
                <w:szCs w:val="20"/>
              </w:rPr>
              <w:t>Quality adjusted life years (QALYS) and life years (LY) gained</w:t>
            </w:r>
          </w:p>
        </w:tc>
      </w:tr>
      <w:tr w:rsidR="00F116C2" w:rsidTr="00E5768D">
        <w:tc>
          <w:tcPr>
            <w:tcW w:w="784" w:type="pct"/>
            <w:shd w:val="clear" w:color="auto" w:fill="auto"/>
          </w:tcPr>
          <w:p w:rsidR="00F116C2" w:rsidRDefault="004F0556">
            <w:pPr>
              <w:pStyle w:val="Tabletext"/>
            </w:pPr>
            <w:r>
              <w:rPr>
                <w:szCs w:val="20"/>
              </w:rPr>
              <w:t>Time horizon</w:t>
            </w:r>
          </w:p>
        </w:tc>
        <w:tc>
          <w:tcPr>
            <w:tcW w:w="4216" w:type="pct"/>
            <w:shd w:val="clear" w:color="auto" w:fill="auto"/>
          </w:tcPr>
          <w:p w:rsidR="00F116C2" w:rsidRDefault="004F0556">
            <w:pPr>
              <w:pStyle w:val="Tabletext"/>
            </w:pPr>
            <w:r>
              <w:rPr>
                <w:szCs w:val="20"/>
              </w:rPr>
              <w:t>Lifetime (50 years), POISE clinical trial 12 months duration plus the POISE LTSE study (5 years). Previously t</w:t>
            </w:r>
            <w:r>
              <w:t xml:space="preserve">he PBAC considered that the 50 year time horizon of the model was long compared to the duration of follow-up in the POISE trial (12 months) (paragraphs 6.39 and 7.9, obeticholic acid PSD, November 2018). </w:t>
            </w:r>
            <w:r>
              <w:rPr>
                <w:szCs w:val="20"/>
              </w:rPr>
              <w:t xml:space="preserve">The ESC considered that a 50 year time horizon was inappropriate based on the progressive nature of the disease and contributed to the uncertainty of the results. </w:t>
            </w:r>
          </w:p>
        </w:tc>
      </w:tr>
      <w:tr w:rsidR="00F116C2" w:rsidTr="00E5768D">
        <w:tc>
          <w:tcPr>
            <w:tcW w:w="784" w:type="pct"/>
            <w:shd w:val="clear" w:color="auto" w:fill="auto"/>
          </w:tcPr>
          <w:p w:rsidR="00F116C2" w:rsidRDefault="004F0556">
            <w:pPr>
              <w:pStyle w:val="Tabletext"/>
            </w:pPr>
            <w:r>
              <w:rPr>
                <w:szCs w:val="20"/>
              </w:rPr>
              <w:t>Methods used to generate results</w:t>
            </w:r>
          </w:p>
        </w:tc>
        <w:tc>
          <w:tcPr>
            <w:tcW w:w="4216" w:type="pct"/>
            <w:shd w:val="clear" w:color="auto" w:fill="auto"/>
          </w:tcPr>
          <w:p w:rsidR="00F116C2" w:rsidRDefault="004F0556">
            <w:pPr>
              <w:pStyle w:val="Tabletext"/>
            </w:pPr>
            <w:r>
              <w:rPr>
                <w:szCs w:val="20"/>
              </w:rPr>
              <w:t>A semi-Markov state-transition model which captures patient costs and outcomes over a lifetime horizon (up to 100 years of age/50 years dependent on starting age).</w:t>
            </w:r>
          </w:p>
        </w:tc>
      </w:tr>
      <w:tr w:rsidR="00F116C2" w:rsidTr="00E5768D">
        <w:tc>
          <w:tcPr>
            <w:tcW w:w="784" w:type="pct"/>
            <w:shd w:val="clear" w:color="auto" w:fill="auto"/>
          </w:tcPr>
          <w:p w:rsidR="00F116C2" w:rsidRDefault="004F0556">
            <w:pPr>
              <w:pStyle w:val="Tabletext"/>
            </w:pPr>
            <w:r>
              <w:rPr>
                <w:szCs w:val="20"/>
              </w:rPr>
              <w:t>Health states</w:t>
            </w:r>
          </w:p>
        </w:tc>
        <w:tc>
          <w:tcPr>
            <w:tcW w:w="4216" w:type="pct"/>
            <w:shd w:val="clear" w:color="auto" w:fill="auto"/>
          </w:tcPr>
          <w:p w:rsidR="00F116C2" w:rsidRDefault="004F0556">
            <w:pPr>
              <w:pStyle w:val="MediumGrid1-Accent21"/>
              <w:ind w:left="0"/>
              <w:rPr>
                <w:rFonts w:ascii="Arial Narrow" w:hAnsi="Arial Narrow"/>
                <w:sz w:val="20"/>
                <w:szCs w:val="20"/>
              </w:rPr>
            </w:pPr>
            <w:r>
              <w:rPr>
                <w:rFonts w:ascii="Arial Narrow" w:hAnsi="Arial Narrow"/>
                <w:sz w:val="20"/>
                <w:szCs w:val="20"/>
              </w:rPr>
              <w:t>10 health states (biochemical [first 3 states]; liver disease [last 7 states])</w:t>
            </w:r>
          </w:p>
          <w:p w:rsidR="00F116C2" w:rsidRDefault="00F116C2">
            <w:pPr>
              <w:pStyle w:val="MediumGrid1-Accent21"/>
              <w:ind w:left="0"/>
              <w:rPr>
                <w:rFonts w:ascii="Arial Narrow" w:hAnsi="Arial Narrow"/>
                <w:sz w:val="20"/>
                <w:szCs w:val="20"/>
              </w:rPr>
            </w:pPr>
          </w:p>
          <w:p w:rsidR="00F116C2" w:rsidRDefault="004F0556">
            <w:pPr>
              <w:pStyle w:val="MediumGrid1-Accent21"/>
              <w:ind w:left="0"/>
              <w:rPr>
                <w:rFonts w:ascii="Arial Narrow" w:hAnsi="Arial Narrow"/>
                <w:sz w:val="20"/>
                <w:szCs w:val="20"/>
                <w:u w:val="single"/>
              </w:rPr>
            </w:pPr>
            <w:r>
              <w:rPr>
                <w:rFonts w:ascii="Arial Narrow" w:hAnsi="Arial Narrow"/>
                <w:sz w:val="20"/>
                <w:szCs w:val="20"/>
                <w:u w:val="single"/>
              </w:rPr>
              <w:t>Biochemical States</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Low risk of PBC disease progression: ALP ≤ 200 U/L (i.e. 1.67 x ULN) and normal bilirubin (i.e. TB ≤ 20 µmol/L)</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Moderate risk of PBC disease progression: ALP &gt; 200 U/L and normal bilirubin</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High risk of PBC disease progression leading to liver failure: abnormal bilirubin (i.e. TB &gt; 20 µmol/L) and rising or CC.</w:t>
            </w:r>
          </w:p>
          <w:p w:rsidR="00F116C2" w:rsidRDefault="00F116C2">
            <w:pPr>
              <w:pStyle w:val="MediumGrid1-Accent21"/>
              <w:ind w:left="0"/>
              <w:rPr>
                <w:rFonts w:ascii="Arial Narrow" w:hAnsi="Arial Narrow"/>
                <w:sz w:val="20"/>
                <w:szCs w:val="20"/>
              </w:rPr>
            </w:pPr>
          </w:p>
          <w:p w:rsidR="00F116C2" w:rsidRDefault="004F0556">
            <w:pPr>
              <w:pStyle w:val="MediumGrid1-Accent21"/>
              <w:ind w:left="0"/>
              <w:rPr>
                <w:rFonts w:ascii="Arial Narrow" w:hAnsi="Arial Narrow"/>
                <w:sz w:val="20"/>
                <w:szCs w:val="20"/>
                <w:u w:val="single"/>
              </w:rPr>
            </w:pPr>
            <w:r>
              <w:rPr>
                <w:rFonts w:ascii="Arial Narrow" w:hAnsi="Arial Narrow"/>
                <w:sz w:val="20"/>
                <w:szCs w:val="20"/>
                <w:u w:val="single"/>
              </w:rPr>
              <w:t>Liver Disease States</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DCC</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HCC</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Pre-LT</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LT</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Post-LT</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PBC re-emergence</w:t>
            </w:r>
          </w:p>
          <w:p w:rsidR="00F116C2" w:rsidRDefault="004F0556">
            <w:pPr>
              <w:pStyle w:val="MediumGrid1-Accent21"/>
              <w:numPr>
                <w:ilvl w:val="0"/>
                <w:numId w:val="9"/>
              </w:numPr>
              <w:ind w:left="348" w:hanging="348"/>
              <w:rPr>
                <w:rFonts w:ascii="Arial Narrow" w:hAnsi="Arial Narrow"/>
                <w:sz w:val="20"/>
                <w:szCs w:val="20"/>
              </w:rPr>
            </w:pPr>
            <w:r>
              <w:rPr>
                <w:rFonts w:ascii="Arial Narrow" w:hAnsi="Arial Narrow"/>
                <w:sz w:val="20"/>
                <w:szCs w:val="20"/>
              </w:rPr>
              <w:t>Dead</w:t>
            </w:r>
          </w:p>
        </w:tc>
      </w:tr>
      <w:tr w:rsidR="00F116C2" w:rsidTr="00E5768D">
        <w:tc>
          <w:tcPr>
            <w:tcW w:w="784" w:type="pct"/>
            <w:shd w:val="clear" w:color="auto" w:fill="auto"/>
            <w:vAlign w:val="center"/>
          </w:tcPr>
          <w:p w:rsidR="00F116C2" w:rsidRDefault="004F0556">
            <w:pPr>
              <w:pStyle w:val="Tabletext"/>
            </w:pPr>
            <w:r>
              <w:t>Cycle length</w:t>
            </w:r>
          </w:p>
        </w:tc>
        <w:tc>
          <w:tcPr>
            <w:tcW w:w="4216" w:type="pct"/>
            <w:shd w:val="clear" w:color="auto" w:fill="auto"/>
          </w:tcPr>
          <w:p w:rsidR="00F116C2" w:rsidRDefault="004F0556">
            <w:pPr>
              <w:pStyle w:val="Tabletext"/>
            </w:pPr>
            <w:r>
              <w:rPr>
                <w:szCs w:val="20"/>
              </w:rPr>
              <w:t>3 months</w:t>
            </w:r>
          </w:p>
        </w:tc>
      </w:tr>
      <w:tr w:rsidR="00F116C2" w:rsidTr="00E5768D">
        <w:tc>
          <w:tcPr>
            <w:tcW w:w="784" w:type="pct"/>
            <w:vMerge w:val="restart"/>
            <w:shd w:val="clear" w:color="auto" w:fill="auto"/>
          </w:tcPr>
          <w:p w:rsidR="00F116C2" w:rsidRDefault="004F0556">
            <w:pPr>
              <w:pStyle w:val="Tabletext"/>
            </w:pPr>
            <w:r>
              <w:rPr>
                <w:szCs w:val="20"/>
              </w:rPr>
              <w:t>Population used in the model</w:t>
            </w:r>
          </w:p>
        </w:tc>
        <w:tc>
          <w:tcPr>
            <w:tcW w:w="4216" w:type="pct"/>
            <w:shd w:val="clear" w:color="auto" w:fill="auto"/>
          </w:tcPr>
          <w:p w:rsidR="00F116C2" w:rsidRDefault="004F0556">
            <w:pPr>
              <w:pStyle w:val="Tabletext"/>
              <w:rPr>
                <w:szCs w:val="20"/>
              </w:rPr>
            </w:pPr>
            <w:r>
              <w:rPr>
                <w:szCs w:val="20"/>
              </w:rPr>
              <w:t>Age: 55.8 years, based on the POISE trial. This was changed from 47.3 years in the previous submission; the ESC considered that this was appropriate.</w:t>
            </w:r>
          </w:p>
        </w:tc>
      </w:tr>
      <w:tr w:rsidR="00F116C2" w:rsidTr="00E5768D">
        <w:tc>
          <w:tcPr>
            <w:tcW w:w="784" w:type="pct"/>
            <w:vMerge/>
            <w:shd w:val="clear" w:color="auto" w:fill="auto"/>
          </w:tcPr>
          <w:p w:rsidR="00F116C2" w:rsidRDefault="00F116C2">
            <w:pPr>
              <w:pStyle w:val="Tabletext"/>
              <w:rPr>
                <w:szCs w:val="20"/>
              </w:rPr>
            </w:pPr>
          </w:p>
        </w:tc>
        <w:tc>
          <w:tcPr>
            <w:tcW w:w="4216" w:type="pct"/>
            <w:shd w:val="clear" w:color="auto" w:fill="auto"/>
          </w:tcPr>
          <w:p w:rsidR="00F116C2" w:rsidRDefault="004F0556">
            <w:pPr>
              <w:pStyle w:val="Tabletext"/>
              <w:rPr>
                <w:szCs w:val="20"/>
              </w:rPr>
            </w:pPr>
            <w:r>
              <w:rPr>
                <w:szCs w:val="20"/>
              </w:rPr>
              <w:t>Baseline health state distribution:</w:t>
            </w:r>
          </w:p>
          <w:p w:rsidR="00F116C2" w:rsidRDefault="004F0556">
            <w:pPr>
              <w:pStyle w:val="Tabletext"/>
              <w:rPr>
                <w:szCs w:val="20"/>
              </w:rPr>
            </w:pPr>
            <w:r>
              <w:rPr>
                <w:szCs w:val="20"/>
              </w:rPr>
              <w:t>Low risk: 0%</w:t>
            </w:r>
          </w:p>
          <w:p w:rsidR="00F116C2" w:rsidRDefault="004F0556">
            <w:pPr>
              <w:pStyle w:val="Tabletext"/>
              <w:rPr>
                <w:szCs w:val="20"/>
              </w:rPr>
            </w:pPr>
            <w:r>
              <w:rPr>
                <w:szCs w:val="20"/>
              </w:rPr>
              <w:t>Moderate risk: 76.85%</w:t>
            </w:r>
          </w:p>
          <w:p w:rsidR="00F116C2" w:rsidRDefault="004F0556">
            <w:pPr>
              <w:pStyle w:val="Tabletext"/>
              <w:rPr>
                <w:szCs w:val="20"/>
              </w:rPr>
            </w:pPr>
            <w:r>
              <w:rPr>
                <w:szCs w:val="20"/>
              </w:rPr>
              <w:t>High risk: 23.15%</w:t>
            </w:r>
          </w:p>
          <w:p w:rsidR="00F116C2" w:rsidRDefault="004F0556">
            <w:pPr>
              <w:pStyle w:val="Tabletext"/>
              <w:rPr>
                <w:szCs w:val="20"/>
              </w:rPr>
            </w:pPr>
            <w:r>
              <w:rPr>
                <w:szCs w:val="20"/>
              </w:rPr>
              <w:t>Based on the POISE trial.</w:t>
            </w:r>
          </w:p>
          <w:p w:rsidR="00F116C2" w:rsidRDefault="00F116C2">
            <w:pPr>
              <w:pStyle w:val="Tabletext"/>
              <w:rPr>
                <w:szCs w:val="20"/>
              </w:rPr>
            </w:pPr>
          </w:p>
          <w:p w:rsidR="00F116C2" w:rsidRDefault="004F0556">
            <w:pPr>
              <w:pStyle w:val="Tabletext"/>
              <w:rPr>
                <w:szCs w:val="20"/>
              </w:rPr>
            </w:pPr>
            <w:r>
              <w:rPr>
                <w:szCs w:val="20"/>
              </w:rPr>
              <w:t>This was unchanged from the previous submission. The ESC again noted that the distribution of patients in the health states at baseline was unable to be verified during the evaluation.</w:t>
            </w:r>
          </w:p>
        </w:tc>
      </w:tr>
      <w:tr w:rsidR="00F116C2" w:rsidTr="00E5768D">
        <w:tc>
          <w:tcPr>
            <w:tcW w:w="784" w:type="pct"/>
            <w:vMerge w:val="restart"/>
            <w:shd w:val="clear" w:color="auto" w:fill="auto"/>
          </w:tcPr>
          <w:p w:rsidR="00F116C2" w:rsidRDefault="004F0556">
            <w:pPr>
              <w:pStyle w:val="Tabletext"/>
              <w:rPr>
                <w:szCs w:val="20"/>
              </w:rPr>
            </w:pPr>
            <w:r>
              <w:rPr>
                <w:szCs w:val="20"/>
              </w:rPr>
              <w:t>Transition probabilities</w:t>
            </w:r>
          </w:p>
        </w:tc>
        <w:tc>
          <w:tcPr>
            <w:tcW w:w="4216" w:type="pct"/>
            <w:shd w:val="clear" w:color="auto" w:fill="auto"/>
          </w:tcPr>
          <w:p w:rsidR="00F116C2" w:rsidRDefault="004F0556">
            <w:pPr>
              <w:pStyle w:val="MediumGrid1-Accent21"/>
              <w:ind w:left="0"/>
              <w:rPr>
                <w:rFonts w:ascii="Arial Narrow" w:eastAsiaTheme="minorEastAsia" w:hAnsi="Arial Narrow" w:cs="Arial"/>
                <w:bCs/>
                <w:color w:val="000000" w:themeColor="text1"/>
                <w:kern w:val="24"/>
                <w:sz w:val="20"/>
                <w:szCs w:val="20"/>
                <w:u w:val="single"/>
              </w:rPr>
            </w:pPr>
            <w:r>
              <w:rPr>
                <w:rFonts w:ascii="Arial Narrow" w:eastAsiaTheme="minorEastAsia" w:hAnsi="Arial Narrow" w:cs="Arial"/>
                <w:bCs/>
                <w:color w:val="000000" w:themeColor="text1"/>
                <w:kern w:val="24"/>
                <w:sz w:val="20"/>
                <w:szCs w:val="20"/>
                <w:u w:val="single"/>
              </w:rPr>
              <w:t>Low risk ↔ High risk</w:t>
            </w:r>
          </w:p>
          <w:p w:rsidR="00F116C2" w:rsidRDefault="004F0556">
            <w:pPr>
              <w:widowControl/>
              <w:jc w:val="left"/>
              <w:rPr>
                <w:rFonts w:ascii="Arial Narrow" w:hAnsi="Arial Narrow" w:cs="Times New Roman"/>
                <w:sz w:val="20"/>
              </w:rPr>
            </w:pPr>
            <w:r>
              <w:rPr>
                <w:rFonts w:ascii="Arial Narrow" w:hAnsi="Arial Narrow" w:cs="Times New Roman"/>
                <w:sz w:val="20"/>
              </w:rPr>
              <w:t>OCA monotherapy (UDCA intolerant) or OCA+UDCA (UDCA inadequate response): POISE. The transition probabilities between biochemical health states for OCA patients were based on a small sample size (N = 68). The same transition probabilities were used for OCA monotherapy as for OCA+/-UDCA, even though only 7% (n = 16) patients in the POISE trial received OCA monotherapy, which was uncertain. The resubmission no longer assumed that patients treated with OCA do not progress from the biochemical health state they are in at Year 2 for the rest of the patient’s lifetime, based on the Markov traces and economic model. The evaluation noted that</w:t>
            </w:r>
            <w:r>
              <w:rPr>
                <w:rFonts w:ascii="Arial Narrow" w:hAnsi="Arial Narrow" w:cs="Times New Roman"/>
                <w:i/>
                <w:sz w:val="20"/>
              </w:rPr>
              <w:t xml:space="preserve"> </w:t>
            </w:r>
            <w:r>
              <w:rPr>
                <w:rFonts w:ascii="Arial Narrow" w:hAnsi="Arial Narrow" w:cs="Times New Roman"/>
                <w:sz w:val="20"/>
              </w:rPr>
              <w:t>the source of the new transition probabilities was unknown.</w:t>
            </w:r>
          </w:p>
          <w:p w:rsidR="00F116C2" w:rsidRDefault="00F116C2">
            <w:pPr>
              <w:widowControl/>
              <w:jc w:val="left"/>
              <w:rPr>
                <w:rFonts w:ascii="Arial Narrow" w:hAnsi="Arial Narrow"/>
                <w:bCs/>
                <w:kern w:val="24"/>
                <w:sz w:val="20"/>
                <w:szCs w:val="20"/>
              </w:rPr>
            </w:pPr>
          </w:p>
          <w:p w:rsidR="00F116C2" w:rsidRDefault="004F0556">
            <w:pPr>
              <w:pStyle w:val="Tabletext"/>
              <w:rPr>
                <w:szCs w:val="20"/>
              </w:rPr>
            </w:pPr>
            <w:r>
              <w:rPr>
                <w:bCs/>
                <w:kern w:val="24"/>
                <w:szCs w:val="20"/>
              </w:rPr>
              <w:t xml:space="preserve">UDCA monotherapy (UDCA inadequate response): </w:t>
            </w:r>
            <w:r>
              <w:rPr>
                <w:rFonts w:eastAsiaTheme="minorEastAsia"/>
                <w:kern w:val="24"/>
                <w:szCs w:val="20"/>
              </w:rPr>
              <w:t xml:space="preserve">Model calibration using data from POISE. </w:t>
            </w:r>
            <w:r>
              <w:t>It was unclear whether POISE remains the data source in the resubmission for UDCA monotherapy, given the transition probabilities for UDCA monotherapy had changed. No explanation was given by the resubmission.</w:t>
            </w:r>
          </w:p>
          <w:p w:rsidR="00F116C2" w:rsidRDefault="00F116C2">
            <w:pPr>
              <w:pStyle w:val="MediumGrid1-Accent21"/>
              <w:ind w:left="0"/>
              <w:rPr>
                <w:rFonts w:ascii="Arial Narrow" w:eastAsiaTheme="minorEastAsia" w:hAnsi="Arial Narrow" w:cs="Arial"/>
                <w:kern w:val="24"/>
                <w:sz w:val="20"/>
                <w:szCs w:val="20"/>
              </w:rPr>
            </w:pPr>
          </w:p>
          <w:p w:rsidR="00F116C2" w:rsidRDefault="004F0556">
            <w:pPr>
              <w:pStyle w:val="Tabletext"/>
              <w:rPr>
                <w:szCs w:val="20"/>
              </w:rPr>
            </w:pPr>
            <w:r>
              <w:rPr>
                <w:bCs/>
                <w:kern w:val="24"/>
                <w:szCs w:val="20"/>
              </w:rPr>
              <w:t xml:space="preserve">No treatment (UDCA intolerant): </w:t>
            </w:r>
            <w:r>
              <w:rPr>
                <w:rFonts w:eastAsiaTheme="minorEastAsia"/>
                <w:kern w:val="24"/>
                <w:szCs w:val="20"/>
              </w:rPr>
              <w:t xml:space="preserve">Corpechot (2000). </w:t>
            </w:r>
            <w:r>
              <w:rPr>
                <w:szCs w:val="20"/>
              </w:rPr>
              <w:t>The application of Corpechot (2000) effectively meant that the submission conducted a naïve comparison between the POISE trial and the trial reported by Corpechot (2000). The ESC noted that this remained unchanged.</w:t>
            </w:r>
          </w:p>
          <w:p w:rsidR="00F116C2" w:rsidRDefault="00F116C2">
            <w:pPr>
              <w:pStyle w:val="Tabletext"/>
              <w:rPr>
                <w:rFonts w:eastAsiaTheme="minorEastAsia"/>
                <w:kern w:val="24"/>
                <w:szCs w:val="20"/>
              </w:rPr>
            </w:pPr>
          </w:p>
          <w:p w:rsidR="00F116C2" w:rsidRDefault="004F0556">
            <w:pPr>
              <w:pStyle w:val="Tabletext"/>
              <w:rPr>
                <w:szCs w:val="20"/>
              </w:rPr>
            </w:pPr>
            <w:r>
              <w:t>Although not described in the resubmission, based on the Markov traces the evaluation identified that the resubmission no longer assumed that patients who were not receiving treatment or receiving UDCA monotherapy only were unable to improve (move to lower risk health states). The ESC noted that the basis of these transition probabilities were not provided.</w:t>
            </w:r>
          </w:p>
        </w:tc>
      </w:tr>
      <w:tr w:rsidR="00F116C2" w:rsidTr="00E5768D">
        <w:tc>
          <w:tcPr>
            <w:tcW w:w="784" w:type="pct"/>
            <w:vMerge/>
            <w:shd w:val="clear" w:color="auto" w:fill="auto"/>
          </w:tcPr>
          <w:p w:rsidR="00F116C2" w:rsidRDefault="00F116C2">
            <w:pPr>
              <w:pStyle w:val="Tabletext"/>
              <w:rPr>
                <w:szCs w:val="20"/>
              </w:rPr>
            </w:pPr>
          </w:p>
        </w:tc>
        <w:tc>
          <w:tcPr>
            <w:tcW w:w="4216" w:type="pct"/>
            <w:shd w:val="clear" w:color="auto" w:fill="auto"/>
          </w:tcPr>
          <w:p w:rsidR="00F116C2" w:rsidRDefault="004F0556">
            <w:pPr>
              <w:pStyle w:val="MediumGrid1-Accent21"/>
              <w:ind w:left="0"/>
              <w:rPr>
                <w:rFonts w:ascii="Arial Narrow" w:eastAsiaTheme="minorEastAsia" w:hAnsi="Arial Narrow" w:cs="Arial"/>
                <w:kern w:val="24"/>
                <w:sz w:val="20"/>
                <w:szCs w:val="20"/>
                <w:u w:val="single"/>
              </w:rPr>
            </w:pPr>
            <w:r>
              <w:rPr>
                <w:rFonts w:ascii="Arial Narrow" w:eastAsiaTheme="minorEastAsia" w:hAnsi="Arial Narrow" w:cs="Arial"/>
                <w:kern w:val="24"/>
                <w:sz w:val="20"/>
                <w:szCs w:val="20"/>
                <w:u w:val="single"/>
              </w:rPr>
              <w:t xml:space="preserve">Biochemical health states </w:t>
            </w:r>
            <w:r>
              <w:rPr>
                <w:rFonts w:ascii="Arial Narrow" w:eastAsiaTheme="minorEastAsia" w:hAnsi="Arial Narrow" w:cs="Arial"/>
                <w:bCs/>
                <w:kern w:val="24"/>
                <w:sz w:val="20"/>
                <w:szCs w:val="20"/>
                <w:u w:val="single"/>
              </w:rPr>
              <w:t xml:space="preserve">→ </w:t>
            </w:r>
            <w:r>
              <w:rPr>
                <w:rFonts w:ascii="Arial Narrow" w:eastAsiaTheme="minorEastAsia" w:hAnsi="Arial Narrow" w:cs="Arial"/>
                <w:kern w:val="24"/>
                <w:sz w:val="20"/>
                <w:szCs w:val="20"/>
                <w:u w:val="single"/>
              </w:rPr>
              <w:t>Liver disease health states</w:t>
            </w:r>
          </w:p>
          <w:p w:rsidR="00F116C2" w:rsidRDefault="004F0556">
            <w:pPr>
              <w:pStyle w:val="Tabletext"/>
              <w:rPr>
                <w:szCs w:val="20"/>
              </w:rPr>
            </w:pPr>
            <w:r>
              <w:rPr>
                <w:rFonts w:eastAsiaTheme="minorEastAsia" w:cs="Arial"/>
                <w:kern w:val="24"/>
                <w:szCs w:val="20"/>
              </w:rPr>
              <w:t xml:space="preserve">Various published data sources and model calibration. </w:t>
            </w:r>
            <w:r>
              <w:rPr>
                <w:szCs w:val="20"/>
              </w:rPr>
              <w:t>Most transition probabilities were unable to be verified based on the information presented by the submission. Some were changed between the previous submission and the resubmission, with no explanation provided. Furthermore, there were inconsistencies between the data sources listed by the resubmission and those described in the economic model.</w:t>
            </w:r>
          </w:p>
        </w:tc>
      </w:tr>
      <w:tr w:rsidR="00F116C2" w:rsidTr="00E5768D">
        <w:tc>
          <w:tcPr>
            <w:tcW w:w="784" w:type="pct"/>
            <w:shd w:val="clear" w:color="auto" w:fill="auto"/>
          </w:tcPr>
          <w:p w:rsidR="00F116C2" w:rsidRDefault="004F0556">
            <w:pPr>
              <w:pStyle w:val="Tabletext"/>
              <w:rPr>
                <w:szCs w:val="20"/>
              </w:rPr>
            </w:pPr>
            <w:r>
              <w:rPr>
                <w:szCs w:val="20"/>
              </w:rPr>
              <w:t>Discontinuations</w:t>
            </w:r>
          </w:p>
        </w:tc>
        <w:tc>
          <w:tcPr>
            <w:tcW w:w="4216" w:type="pct"/>
            <w:shd w:val="clear" w:color="auto" w:fill="auto"/>
          </w:tcPr>
          <w:p w:rsidR="00F116C2" w:rsidRDefault="004F0556">
            <w:pPr>
              <w:pStyle w:val="NormalWeb"/>
              <w:spacing w:before="0" w:after="0"/>
              <w:rPr>
                <w:rFonts w:ascii="Arial Narrow" w:hAnsi="Arial Narrow"/>
                <w:kern w:val="24"/>
                <w:sz w:val="20"/>
                <w:szCs w:val="20"/>
                <w:lang w:val="en-AU"/>
              </w:rPr>
            </w:pPr>
            <w:r>
              <w:rPr>
                <w:rFonts w:ascii="Arial Narrow" w:hAnsi="Arial Narrow" w:cs="Arial"/>
                <w:kern w:val="24"/>
                <w:sz w:val="20"/>
                <w:szCs w:val="20"/>
                <w:lang w:val="en-AU"/>
              </w:rPr>
              <w:t xml:space="preserve">OCA+/-UDCA or UDCA monotherapy: POISE, </w:t>
            </w:r>
            <w:r>
              <w:rPr>
                <w:rFonts w:ascii="Arial Narrow" w:hAnsi="Arial Narrow"/>
                <w:kern w:val="24"/>
                <w:sz w:val="20"/>
                <w:szCs w:val="20"/>
                <w:lang w:val="en-AU"/>
              </w:rPr>
              <w:t>No treatment: Nil (assumed)</w:t>
            </w:r>
          </w:p>
          <w:p w:rsidR="00F116C2" w:rsidRDefault="004F0556">
            <w:pPr>
              <w:pStyle w:val="MediumGrid1-Accent21"/>
              <w:ind w:left="0"/>
              <w:rPr>
                <w:rFonts w:ascii="Arial Narrow" w:hAnsi="Arial Narrow"/>
                <w:sz w:val="20"/>
                <w:szCs w:val="20"/>
                <w:u w:val="single"/>
              </w:rPr>
            </w:pPr>
            <w:r>
              <w:rPr>
                <w:rFonts w:ascii="Arial Narrow" w:hAnsi="Arial Narrow"/>
                <w:sz w:val="20"/>
                <w:szCs w:val="20"/>
              </w:rPr>
              <w:t>The resubmission assumed that 9.86% of patients discontinue OCA+/-UDCA after 3 months. This was unchanged from the previous submission. The resubmission has also applied a new assumption that 44.1% of patients discontinue OCA+/-UDCA at 12 months. This was not discussed by the resubmission. Together, this proportion sums to the proportion of patients not achieving the composite endpoint in the POISE trial (54%). The ESC considered that this was reasonable.</w:t>
            </w:r>
          </w:p>
        </w:tc>
      </w:tr>
      <w:tr w:rsidR="00F116C2" w:rsidTr="00E5768D">
        <w:tc>
          <w:tcPr>
            <w:tcW w:w="784" w:type="pct"/>
            <w:shd w:val="clear" w:color="auto" w:fill="auto"/>
          </w:tcPr>
          <w:p w:rsidR="00F116C2" w:rsidRDefault="004F0556">
            <w:pPr>
              <w:pStyle w:val="Tabletext"/>
              <w:rPr>
                <w:szCs w:val="20"/>
              </w:rPr>
            </w:pPr>
            <w:r>
              <w:rPr>
                <w:szCs w:val="20"/>
              </w:rPr>
              <w:t>Utilities</w:t>
            </w:r>
          </w:p>
        </w:tc>
        <w:tc>
          <w:tcPr>
            <w:tcW w:w="4216" w:type="pct"/>
            <w:shd w:val="clear" w:color="auto" w:fill="auto"/>
          </w:tcPr>
          <w:p w:rsidR="00F116C2" w:rsidRDefault="004F0556">
            <w:pPr>
              <w:pStyle w:val="MediumGrid1-Accent21"/>
              <w:ind w:left="0"/>
              <w:rPr>
                <w:rFonts w:ascii="Arial Narrow" w:hAnsi="Arial Narrow"/>
                <w:sz w:val="20"/>
                <w:szCs w:val="20"/>
                <w:u w:val="single"/>
              </w:rPr>
            </w:pPr>
            <w:r>
              <w:rPr>
                <w:rFonts w:ascii="Arial Narrow" w:hAnsi="Arial Narrow"/>
                <w:sz w:val="20"/>
                <w:szCs w:val="20"/>
                <w:u w:val="single"/>
              </w:rPr>
              <w:t>Biochemical states</w:t>
            </w:r>
          </w:p>
          <w:p w:rsidR="00F116C2" w:rsidRDefault="004F0556">
            <w:pPr>
              <w:pStyle w:val="MediumGrid1-Accent21"/>
              <w:ind w:left="0"/>
              <w:rPr>
                <w:rFonts w:ascii="Arial Narrow" w:hAnsi="Arial Narrow"/>
                <w:sz w:val="20"/>
                <w:szCs w:val="20"/>
              </w:rPr>
            </w:pPr>
            <w:r>
              <w:rPr>
                <w:rFonts w:ascii="Arial Narrow" w:hAnsi="Arial Narrow"/>
                <w:sz w:val="20"/>
                <w:szCs w:val="20"/>
              </w:rPr>
              <w:t xml:space="preserve">The low and moderate risk states were sourced from a quality of life study in chronic viral hepatitis and cholestatic liver disease patients. (Younossi, 2001). </w:t>
            </w:r>
            <w:r>
              <w:rPr>
                <w:rFonts w:ascii="Arial Narrow" w:hAnsi="Arial Narrow"/>
                <w:sz w:val="20"/>
                <w:szCs w:val="20"/>
                <w:lang w:eastAsia="en-US"/>
              </w:rPr>
              <w:t>The utilities from Younossi (2001) were unable to be verified (i.e. located in the publication). The method to convert SF-36 data into utility values also remains unreported.</w:t>
            </w:r>
          </w:p>
          <w:p w:rsidR="00F116C2" w:rsidRDefault="004F0556">
            <w:pPr>
              <w:pStyle w:val="Tabletext"/>
              <w:rPr>
                <w:szCs w:val="20"/>
              </w:rPr>
            </w:pPr>
            <w:r>
              <w:rPr>
                <w:szCs w:val="20"/>
              </w:rPr>
              <w:t xml:space="preserve">High risk was sourced from an economic evaluation of a hepatitis C treatment (Wright, 2006). </w:t>
            </w:r>
          </w:p>
          <w:p w:rsidR="00F116C2" w:rsidRDefault="00F116C2">
            <w:pPr>
              <w:pStyle w:val="MediumGrid1-Accent21"/>
              <w:ind w:left="0"/>
              <w:rPr>
                <w:rFonts w:ascii="Arial Narrow" w:hAnsi="Arial Narrow"/>
                <w:sz w:val="20"/>
                <w:szCs w:val="20"/>
              </w:rPr>
            </w:pPr>
          </w:p>
          <w:p w:rsidR="00F116C2" w:rsidRDefault="004F0556">
            <w:pPr>
              <w:pStyle w:val="MediumGrid1-Accent21"/>
              <w:ind w:left="0"/>
              <w:rPr>
                <w:rFonts w:ascii="Arial Narrow" w:hAnsi="Arial Narrow"/>
                <w:sz w:val="20"/>
                <w:szCs w:val="20"/>
                <w:u w:val="single"/>
              </w:rPr>
            </w:pPr>
            <w:r>
              <w:rPr>
                <w:rFonts w:ascii="Arial Narrow" w:hAnsi="Arial Narrow"/>
                <w:sz w:val="20"/>
                <w:szCs w:val="20"/>
                <w:u w:val="single"/>
              </w:rPr>
              <w:t>Liver disease states</w:t>
            </w:r>
          </w:p>
          <w:p w:rsidR="00F116C2" w:rsidRDefault="004F0556">
            <w:pPr>
              <w:pStyle w:val="Tabletext"/>
              <w:rPr>
                <w:szCs w:val="20"/>
              </w:rPr>
            </w:pPr>
            <w:r>
              <w:rPr>
                <w:szCs w:val="20"/>
              </w:rPr>
              <w:t xml:space="preserve">Each of the liver disease states were sourced from the Wright (2006) economic evaluation, some of which cites Radcliffe (2002). </w:t>
            </w:r>
            <w:r>
              <w:t xml:space="preserve">Some utility values reported in Wright (2006) were not reported in Radcliffe (2002). </w:t>
            </w:r>
            <w:r>
              <w:rPr>
                <w:szCs w:val="20"/>
              </w:rPr>
              <w:t xml:space="preserve">The resubmission no longer applies a 15% decrease based on KOL opinion; this was reasonable. </w:t>
            </w:r>
          </w:p>
          <w:p w:rsidR="00F116C2" w:rsidRDefault="00F116C2">
            <w:pPr>
              <w:pStyle w:val="Tabletext"/>
              <w:rPr>
                <w:szCs w:val="20"/>
              </w:rPr>
            </w:pPr>
          </w:p>
          <w:p w:rsidR="00F116C2" w:rsidRDefault="004F0556">
            <w:pPr>
              <w:pStyle w:val="Tabletext"/>
              <w:rPr>
                <w:szCs w:val="20"/>
              </w:rPr>
            </w:pPr>
            <w:r>
              <w:rPr>
                <w:szCs w:val="20"/>
              </w:rPr>
              <w:t>The ESC again noted that a number of the utility values used in the model could not be verified.</w:t>
            </w:r>
          </w:p>
          <w:p w:rsidR="00F116C2" w:rsidRDefault="00F116C2">
            <w:pPr>
              <w:pStyle w:val="MediumGrid1-Accent21"/>
              <w:ind w:left="0"/>
              <w:rPr>
                <w:rFonts w:ascii="Arial Narrow" w:hAnsi="Arial Narrow"/>
                <w:sz w:val="20"/>
                <w:szCs w:val="20"/>
                <w:lang w:eastAsia="en-US"/>
              </w:rPr>
            </w:pPr>
          </w:p>
          <w:p w:rsidR="00F116C2" w:rsidRDefault="004F0556">
            <w:pPr>
              <w:pStyle w:val="MediumGrid1-Accent21"/>
              <w:ind w:left="0"/>
              <w:rPr>
                <w:rFonts w:ascii="Arial Narrow" w:hAnsi="Arial Narrow"/>
                <w:sz w:val="20"/>
                <w:szCs w:val="20"/>
                <w:u w:val="single"/>
                <w:lang w:eastAsia="en-US"/>
              </w:rPr>
            </w:pPr>
            <w:r>
              <w:rPr>
                <w:rFonts w:ascii="Arial Narrow" w:hAnsi="Arial Narrow"/>
                <w:sz w:val="20"/>
                <w:szCs w:val="20"/>
                <w:u w:val="single"/>
                <w:lang w:eastAsia="en-US"/>
              </w:rPr>
              <w:t>Adverse events</w:t>
            </w:r>
          </w:p>
          <w:p w:rsidR="00F116C2" w:rsidRDefault="004F0556">
            <w:pPr>
              <w:pStyle w:val="MediumGrid1-Accent21"/>
              <w:ind w:left="0"/>
              <w:rPr>
                <w:rFonts w:ascii="Arial Narrow" w:eastAsiaTheme="minorEastAsia" w:hAnsi="Arial Narrow" w:cs="Arial"/>
                <w:kern w:val="24"/>
                <w:sz w:val="20"/>
                <w:szCs w:val="20"/>
              </w:rPr>
            </w:pPr>
            <w:r>
              <w:rPr>
                <w:rFonts w:ascii="Arial Narrow" w:hAnsi="Arial Narrow"/>
                <w:sz w:val="20"/>
                <w:szCs w:val="22"/>
                <w:lang w:eastAsia="en-US"/>
              </w:rPr>
              <w:t>The resubmission did not apply disutilities to adverse events. This was unchanged from the previous submission. The PBAC considered this was likely to favour OCA given that a higher proportion of patients receiving OCA experienced pruritus (paragraph 6.39, obeticholic acid PSD, November 2018). The ESC noted that this remained unchanged and considered it was unreasonable.</w:t>
            </w:r>
          </w:p>
        </w:tc>
      </w:tr>
    </w:tbl>
    <w:p w:rsidR="00F116C2" w:rsidRDefault="004F0556">
      <w:pPr>
        <w:pStyle w:val="TableFooter"/>
        <w:widowControl/>
      </w:pPr>
      <w:r>
        <w:t xml:space="preserve">ALP = alkaline phosphatase; CC = compensated cirrhosis; DCC = decompensated cirrhosis; HCC = hepatocellular cancer; KOL = key opinion leader; LT = liver transplant; LTSE = long-term safety extension; OCA = obeticholic acid; PBAC = Pharmaceutical Benefits Advisory Committee; </w:t>
      </w:r>
      <w:r>
        <w:rPr>
          <w:szCs w:val="18"/>
        </w:rPr>
        <w:t xml:space="preserve">PBC = primary biliary cholangitis/cirrhosis; PSD = Public Summary Document; </w:t>
      </w:r>
      <w:r>
        <w:t>TB = total bilirubin; UDCA = ursodeoxycholic acid; ULN = upper limit of normal</w:t>
      </w:r>
    </w:p>
    <w:p w:rsidR="00F116C2" w:rsidRDefault="004F0556">
      <w:pPr>
        <w:pStyle w:val="TableFooter"/>
        <w:widowControl/>
      </w:pPr>
      <w:r>
        <w:t>Source: Compiled during the evaluation.</w:t>
      </w:r>
    </w:p>
    <w:p w:rsidR="00F116C2" w:rsidRDefault="00F116C2">
      <w:pPr>
        <w:widowControl/>
      </w:pPr>
    </w:p>
    <w:p w:rsidR="00F116C2" w:rsidRDefault="004F0556">
      <w:pPr>
        <w:pStyle w:val="ListParagraph"/>
        <w:widowControl/>
        <w:numPr>
          <w:ilvl w:val="1"/>
          <w:numId w:val="2"/>
        </w:numPr>
      </w:pPr>
      <w:r>
        <w:t>Table 9 summarises the key drivers of the model.</w:t>
      </w:r>
    </w:p>
    <w:p w:rsidR="00E5768D" w:rsidRPr="00E5768D" w:rsidRDefault="00E5768D" w:rsidP="00E5768D">
      <w:pPr>
        <w:keepNext/>
        <w:widowControl/>
        <w:rPr>
          <w:rStyle w:val="CommentReference"/>
        </w:rPr>
      </w:pPr>
      <w:r w:rsidRPr="00E5768D">
        <w:rPr>
          <w:rStyle w:val="CommentReference"/>
        </w:rPr>
        <w:lastRenderedPageBreak/>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9</w:t>
      </w:r>
      <w:r w:rsidRPr="00E5768D">
        <w:rPr>
          <w:rStyle w:val="CommentReference"/>
        </w:rPr>
        <w:fldChar w:fldCharType="end"/>
      </w:r>
      <w:r w:rsidRPr="00E5768D">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2263"/>
        <w:gridCol w:w="4961"/>
        <w:gridCol w:w="1793"/>
      </w:tblGrid>
      <w:tr w:rsidR="00F116C2">
        <w:trPr>
          <w:tblHeader/>
        </w:trPr>
        <w:tc>
          <w:tcPr>
            <w:tcW w:w="1255" w:type="pct"/>
            <w:shd w:val="clear" w:color="auto" w:fill="auto"/>
            <w:vAlign w:val="center"/>
          </w:tcPr>
          <w:p w:rsidR="00F116C2" w:rsidRDefault="004F0556">
            <w:pPr>
              <w:pStyle w:val="Tabletext"/>
              <w:keepNext/>
              <w:rPr>
                <w:b/>
              </w:rPr>
            </w:pPr>
            <w:r>
              <w:rPr>
                <w:b/>
              </w:rPr>
              <w:t>Description</w:t>
            </w:r>
          </w:p>
        </w:tc>
        <w:tc>
          <w:tcPr>
            <w:tcW w:w="2751" w:type="pct"/>
            <w:shd w:val="clear" w:color="auto" w:fill="auto"/>
            <w:vAlign w:val="center"/>
          </w:tcPr>
          <w:p w:rsidR="00F116C2" w:rsidRDefault="004F0556">
            <w:pPr>
              <w:pStyle w:val="Tabletext"/>
              <w:keepNext/>
              <w:jc w:val="center"/>
              <w:rPr>
                <w:b/>
              </w:rPr>
            </w:pPr>
            <w:r>
              <w:rPr>
                <w:b/>
              </w:rPr>
              <w:t>Method/Value</w:t>
            </w:r>
          </w:p>
        </w:tc>
        <w:tc>
          <w:tcPr>
            <w:tcW w:w="994" w:type="pct"/>
            <w:shd w:val="clear" w:color="auto" w:fill="auto"/>
            <w:vAlign w:val="center"/>
          </w:tcPr>
          <w:p w:rsidR="00F116C2" w:rsidRDefault="004F0556">
            <w:pPr>
              <w:pStyle w:val="Tabletext"/>
              <w:keepNext/>
              <w:jc w:val="center"/>
              <w:rPr>
                <w:b/>
              </w:rPr>
            </w:pPr>
            <w:r>
              <w:rPr>
                <w:b/>
              </w:rPr>
              <w:t>Impact</w:t>
            </w:r>
          </w:p>
        </w:tc>
      </w:tr>
      <w:tr w:rsidR="00F116C2">
        <w:tc>
          <w:tcPr>
            <w:tcW w:w="1255" w:type="pct"/>
            <w:shd w:val="clear" w:color="auto" w:fill="auto"/>
            <w:vAlign w:val="center"/>
          </w:tcPr>
          <w:p w:rsidR="00F116C2" w:rsidRDefault="004F0556">
            <w:pPr>
              <w:pStyle w:val="Tabletext"/>
              <w:keepNext/>
            </w:pPr>
            <w:r>
              <w:t>Time horizon</w:t>
            </w:r>
          </w:p>
        </w:tc>
        <w:tc>
          <w:tcPr>
            <w:tcW w:w="2751" w:type="pct"/>
            <w:shd w:val="clear" w:color="auto" w:fill="auto"/>
            <w:vAlign w:val="center"/>
          </w:tcPr>
          <w:p w:rsidR="00F116C2" w:rsidRDefault="004F0556">
            <w:pPr>
              <w:pStyle w:val="Tabletext"/>
              <w:keepNext/>
            </w:pPr>
            <w:r>
              <w:rPr>
                <w:szCs w:val="20"/>
              </w:rPr>
              <w:t xml:space="preserve">Lifetime (50 years), based on the POISE clinical trial (12 months duration) and the POISE LTSE study (5 years). </w:t>
            </w:r>
          </w:p>
        </w:tc>
        <w:tc>
          <w:tcPr>
            <w:tcW w:w="994" w:type="pct"/>
            <w:shd w:val="clear" w:color="auto" w:fill="auto"/>
            <w:vAlign w:val="center"/>
          </w:tcPr>
          <w:p w:rsidR="00F116C2" w:rsidRDefault="004F0556">
            <w:pPr>
              <w:pStyle w:val="Tabletext"/>
              <w:keepNext/>
            </w:pPr>
            <w:r>
              <w:t>High, favours OCA</w:t>
            </w:r>
          </w:p>
        </w:tc>
      </w:tr>
      <w:tr w:rsidR="00F116C2">
        <w:tc>
          <w:tcPr>
            <w:tcW w:w="1255" w:type="pct"/>
            <w:shd w:val="clear" w:color="auto" w:fill="auto"/>
            <w:vAlign w:val="center"/>
          </w:tcPr>
          <w:p w:rsidR="00F116C2" w:rsidRDefault="004F0556">
            <w:pPr>
              <w:pStyle w:val="Tabletext"/>
              <w:keepNext/>
            </w:pPr>
            <w:r>
              <w:t>Utilities in biochemical health states</w:t>
            </w:r>
          </w:p>
        </w:tc>
        <w:tc>
          <w:tcPr>
            <w:tcW w:w="2751" w:type="pct"/>
            <w:shd w:val="clear" w:color="auto" w:fill="auto"/>
            <w:vAlign w:val="center"/>
          </w:tcPr>
          <w:p w:rsidR="00F116C2" w:rsidRDefault="004F0556">
            <w:pPr>
              <w:pStyle w:val="Tabletext"/>
              <w:keepNext/>
              <w:rPr>
                <w:szCs w:val="20"/>
              </w:rPr>
            </w:pPr>
            <w:r>
              <w:rPr>
                <w:szCs w:val="20"/>
              </w:rPr>
              <w:t>Based on Younossi (2001) and Wright (2006)</w:t>
            </w:r>
          </w:p>
        </w:tc>
        <w:tc>
          <w:tcPr>
            <w:tcW w:w="994" w:type="pct"/>
            <w:shd w:val="clear" w:color="auto" w:fill="auto"/>
            <w:vAlign w:val="center"/>
          </w:tcPr>
          <w:p w:rsidR="00F116C2" w:rsidRDefault="004F0556">
            <w:pPr>
              <w:pStyle w:val="Tabletext"/>
              <w:keepNext/>
            </w:pPr>
            <w:r>
              <w:t>Moderate, direction unclear</w:t>
            </w:r>
          </w:p>
        </w:tc>
      </w:tr>
      <w:tr w:rsidR="00F116C2">
        <w:tc>
          <w:tcPr>
            <w:tcW w:w="1255" w:type="pct"/>
            <w:shd w:val="clear" w:color="auto" w:fill="auto"/>
            <w:vAlign w:val="center"/>
          </w:tcPr>
          <w:p w:rsidR="00F116C2" w:rsidRDefault="004F0556">
            <w:pPr>
              <w:pStyle w:val="Tabletext"/>
              <w:keepNext/>
            </w:pPr>
            <w:r>
              <w:t>Transition probability between biochemical health states</w:t>
            </w:r>
          </w:p>
        </w:tc>
        <w:tc>
          <w:tcPr>
            <w:tcW w:w="2751" w:type="pct"/>
            <w:shd w:val="clear" w:color="auto" w:fill="auto"/>
            <w:vAlign w:val="center"/>
          </w:tcPr>
          <w:p w:rsidR="00F116C2" w:rsidRDefault="004F0556">
            <w:pPr>
              <w:pStyle w:val="Tabletext"/>
              <w:keepNext/>
              <w:rPr>
                <w:szCs w:val="20"/>
              </w:rPr>
            </w:pPr>
            <w:r>
              <w:t xml:space="preserve">POISE and </w:t>
            </w:r>
            <w:r>
              <w:rPr>
                <w:szCs w:val="20"/>
              </w:rPr>
              <w:t>Corpechot (2000)</w:t>
            </w:r>
            <w:r>
              <w:t>.</w:t>
            </w:r>
          </w:p>
        </w:tc>
        <w:tc>
          <w:tcPr>
            <w:tcW w:w="994" w:type="pct"/>
            <w:shd w:val="clear" w:color="auto" w:fill="auto"/>
            <w:vAlign w:val="center"/>
          </w:tcPr>
          <w:p w:rsidR="00F116C2" w:rsidRDefault="004F0556">
            <w:pPr>
              <w:pStyle w:val="Tabletext"/>
              <w:keepNext/>
            </w:pPr>
            <w:r>
              <w:t>Moderate, direction unclear</w:t>
            </w:r>
          </w:p>
        </w:tc>
      </w:tr>
      <w:tr w:rsidR="00F116C2">
        <w:tc>
          <w:tcPr>
            <w:tcW w:w="1255" w:type="pct"/>
            <w:shd w:val="clear" w:color="auto" w:fill="auto"/>
            <w:vAlign w:val="center"/>
          </w:tcPr>
          <w:p w:rsidR="00F116C2" w:rsidRDefault="004F0556">
            <w:pPr>
              <w:pStyle w:val="Tabletext"/>
              <w:keepNext/>
            </w:pPr>
            <w:r>
              <w:t>Discontinuation rate of OCA in the fourth cycle</w:t>
            </w:r>
          </w:p>
        </w:tc>
        <w:tc>
          <w:tcPr>
            <w:tcW w:w="2751" w:type="pct"/>
            <w:shd w:val="clear" w:color="auto" w:fill="auto"/>
            <w:vAlign w:val="center"/>
          </w:tcPr>
          <w:p w:rsidR="00F116C2" w:rsidRDefault="004F0556">
            <w:pPr>
              <w:pStyle w:val="Tabletext"/>
              <w:keepNext/>
            </w:pPr>
            <w:r>
              <w:rPr>
                <w:szCs w:val="20"/>
              </w:rPr>
              <w:t>Assumed that 9.86% of patients discontinue treatment after 3 months and 44.1% of patients discontinue treatment at 12 months.</w:t>
            </w:r>
          </w:p>
        </w:tc>
        <w:tc>
          <w:tcPr>
            <w:tcW w:w="994" w:type="pct"/>
            <w:shd w:val="clear" w:color="auto" w:fill="auto"/>
            <w:vAlign w:val="center"/>
          </w:tcPr>
          <w:p w:rsidR="00F116C2" w:rsidRDefault="004F0556">
            <w:pPr>
              <w:pStyle w:val="Tabletext"/>
              <w:keepNext/>
            </w:pPr>
            <w:r>
              <w:t>Moderate, favours OCA</w:t>
            </w:r>
          </w:p>
        </w:tc>
      </w:tr>
    </w:tbl>
    <w:p w:rsidR="00F116C2" w:rsidRDefault="004F0556">
      <w:pPr>
        <w:pStyle w:val="TableFooter"/>
        <w:keepNext/>
        <w:widowControl/>
      </w:pPr>
      <w:r>
        <w:t>LTSE = long-term safety extension; OCA = obeticholic acid</w:t>
      </w:r>
    </w:p>
    <w:p w:rsidR="00F116C2" w:rsidRDefault="004F0556">
      <w:pPr>
        <w:pStyle w:val="TableFooter"/>
        <w:keepNext/>
        <w:widowControl/>
      </w:pPr>
      <w:r>
        <w:t>Source: Compiled during the evaluation</w:t>
      </w:r>
    </w:p>
    <w:p w:rsidR="00F116C2" w:rsidRDefault="00F116C2">
      <w:pPr>
        <w:widowControl/>
      </w:pPr>
    </w:p>
    <w:p w:rsidR="00F116C2" w:rsidRDefault="004F0556">
      <w:pPr>
        <w:pStyle w:val="ListParagraph"/>
        <w:widowControl/>
        <w:numPr>
          <w:ilvl w:val="1"/>
          <w:numId w:val="2"/>
        </w:numPr>
      </w:pPr>
      <w:r>
        <w:t xml:space="preserve">Table 10 presents the results of the stepped economic evaluation. </w:t>
      </w:r>
    </w:p>
    <w:p w:rsidR="00F116C2" w:rsidRDefault="00F116C2">
      <w:pPr>
        <w:widowControl/>
        <w:sectPr w:rsidR="00F116C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pPr>
    </w:p>
    <w:p w:rsidR="00E5768D" w:rsidRPr="00E5768D" w:rsidRDefault="00E5768D" w:rsidP="00E5768D">
      <w:pPr>
        <w:pStyle w:val="Tabletext"/>
        <w:rPr>
          <w:rStyle w:val="CommentReference"/>
        </w:rPr>
      </w:pPr>
      <w:r w:rsidRPr="00E5768D">
        <w:rPr>
          <w:rStyle w:val="CommentReference"/>
        </w:rPr>
        <w:lastRenderedPageBreak/>
        <w:t xml:space="preserve">Table </w:t>
      </w:r>
      <w:r w:rsidRPr="00E5768D">
        <w:rPr>
          <w:rStyle w:val="CommentReference"/>
        </w:rPr>
        <w:fldChar w:fldCharType="begin"/>
      </w:r>
      <w:r w:rsidRPr="00E5768D">
        <w:rPr>
          <w:rStyle w:val="CommentReference"/>
        </w:rPr>
        <w:instrText xml:space="preserve"> SEQ Table \* ARABIC </w:instrText>
      </w:r>
      <w:r w:rsidRPr="00E5768D">
        <w:rPr>
          <w:rStyle w:val="CommentReference"/>
        </w:rPr>
        <w:fldChar w:fldCharType="separate"/>
      </w:r>
      <w:r w:rsidR="009C1169">
        <w:rPr>
          <w:rStyle w:val="CommentReference"/>
          <w:noProof/>
        </w:rPr>
        <w:t>10</w:t>
      </w:r>
      <w:r w:rsidRPr="00E5768D">
        <w:rPr>
          <w:rStyle w:val="CommentReference"/>
        </w:rPr>
        <w:fldChar w:fldCharType="end"/>
      </w:r>
      <w:r w:rsidRPr="00E5768D">
        <w:rPr>
          <w:rStyle w:val="CommentReference"/>
        </w:rPr>
        <w:t>: Results of the stepped economic evaluation (effective price for OCA)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0: Results of the stepped economic evaluation (effective price for OCA)"/>
      </w:tblPr>
      <w:tblGrid>
        <w:gridCol w:w="7225"/>
        <w:gridCol w:w="1134"/>
        <w:gridCol w:w="992"/>
        <w:gridCol w:w="850"/>
        <w:gridCol w:w="1134"/>
        <w:gridCol w:w="925"/>
        <w:gridCol w:w="840"/>
        <w:gridCol w:w="714"/>
      </w:tblGrid>
      <w:tr w:rsidR="00F116C2">
        <w:trPr>
          <w:cantSplit/>
          <w:tblHeader/>
        </w:trPr>
        <w:tc>
          <w:tcPr>
            <w:tcW w:w="7225" w:type="dxa"/>
            <w:vMerge w:val="restart"/>
            <w:shd w:val="clear" w:color="auto" w:fill="FFFFFF" w:themeFill="background1"/>
            <w:vAlign w:val="center"/>
          </w:tcPr>
          <w:p w:rsidR="00F116C2" w:rsidRDefault="004F0556">
            <w:pPr>
              <w:pStyle w:val="Tabletext"/>
              <w:rPr>
                <w:b/>
              </w:rPr>
            </w:pPr>
            <w:r>
              <w:rPr>
                <w:b/>
              </w:rPr>
              <w:t>Data</w:t>
            </w:r>
          </w:p>
        </w:tc>
        <w:tc>
          <w:tcPr>
            <w:tcW w:w="2976" w:type="dxa"/>
            <w:gridSpan w:val="3"/>
            <w:shd w:val="clear" w:color="auto" w:fill="FFFFFF" w:themeFill="background1"/>
            <w:vAlign w:val="center"/>
          </w:tcPr>
          <w:p w:rsidR="00F116C2" w:rsidRDefault="004F0556">
            <w:pPr>
              <w:pStyle w:val="Tabletext"/>
              <w:jc w:val="center"/>
              <w:rPr>
                <w:b/>
              </w:rPr>
            </w:pPr>
            <w:r>
              <w:rPr>
                <w:b/>
              </w:rPr>
              <w:t>Costs</w:t>
            </w:r>
          </w:p>
        </w:tc>
        <w:tc>
          <w:tcPr>
            <w:tcW w:w="2899" w:type="dxa"/>
            <w:gridSpan w:val="3"/>
            <w:shd w:val="clear" w:color="auto" w:fill="FFFFFF" w:themeFill="background1"/>
            <w:vAlign w:val="center"/>
          </w:tcPr>
          <w:p w:rsidR="00F116C2" w:rsidRDefault="004F0556">
            <w:pPr>
              <w:pStyle w:val="Tabletext"/>
              <w:jc w:val="center"/>
              <w:rPr>
                <w:b/>
              </w:rPr>
            </w:pPr>
            <w:r>
              <w:rPr>
                <w:b/>
              </w:rPr>
              <w:t>Health outcomes</w:t>
            </w:r>
          </w:p>
        </w:tc>
        <w:tc>
          <w:tcPr>
            <w:tcW w:w="0" w:type="auto"/>
            <w:vMerge w:val="restart"/>
            <w:shd w:val="clear" w:color="auto" w:fill="FFFFFF" w:themeFill="background1"/>
            <w:vAlign w:val="center"/>
          </w:tcPr>
          <w:p w:rsidR="00F116C2" w:rsidRDefault="004F0556">
            <w:pPr>
              <w:pStyle w:val="Tabletext"/>
              <w:jc w:val="center"/>
              <w:rPr>
                <w:b/>
              </w:rPr>
            </w:pPr>
            <w:r>
              <w:rPr>
                <w:b/>
              </w:rPr>
              <w:t>ICER</w:t>
            </w:r>
          </w:p>
        </w:tc>
      </w:tr>
      <w:tr w:rsidR="00F116C2">
        <w:trPr>
          <w:cantSplit/>
          <w:tblHeader/>
        </w:trPr>
        <w:tc>
          <w:tcPr>
            <w:tcW w:w="7225" w:type="dxa"/>
            <w:vMerge/>
            <w:shd w:val="clear" w:color="auto" w:fill="FFFFFF" w:themeFill="background1"/>
            <w:vAlign w:val="center"/>
          </w:tcPr>
          <w:p w:rsidR="00F116C2" w:rsidRDefault="00F116C2">
            <w:pPr>
              <w:pStyle w:val="Tabletext"/>
            </w:pPr>
          </w:p>
        </w:tc>
        <w:tc>
          <w:tcPr>
            <w:tcW w:w="1134" w:type="dxa"/>
            <w:shd w:val="clear" w:color="auto" w:fill="FFFFFF" w:themeFill="background1"/>
            <w:vAlign w:val="center"/>
          </w:tcPr>
          <w:p w:rsidR="00F116C2" w:rsidRDefault="004F0556">
            <w:pPr>
              <w:pStyle w:val="Tabletext"/>
              <w:jc w:val="center"/>
              <w:rPr>
                <w:rFonts w:ascii="Times" w:hAnsi="Times"/>
                <w:b/>
              </w:rPr>
            </w:pPr>
            <w:r>
              <w:rPr>
                <w:b/>
              </w:rPr>
              <w:t>OCA titration (+/- UDCA)</w:t>
            </w:r>
          </w:p>
        </w:tc>
        <w:tc>
          <w:tcPr>
            <w:tcW w:w="992" w:type="dxa"/>
            <w:shd w:val="clear" w:color="auto" w:fill="FFFFFF" w:themeFill="background1"/>
            <w:vAlign w:val="center"/>
          </w:tcPr>
          <w:p w:rsidR="00F116C2" w:rsidRDefault="004F0556">
            <w:pPr>
              <w:pStyle w:val="Tabletext"/>
              <w:jc w:val="center"/>
              <w:rPr>
                <w:b/>
              </w:rPr>
            </w:pPr>
            <w:r>
              <w:rPr>
                <w:b/>
              </w:rPr>
              <w:t xml:space="preserve">PBO </w:t>
            </w:r>
          </w:p>
          <w:p w:rsidR="00F116C2" w:rsidRDefault="004F0556">
            <w:pPr>
              <w:pStyle w:val="Tabletext"/>
              <w:jc w:val="center"/>
              <w:rPr>
                <w:rFonts w:ascii="Times" w:hAnsi="Times"/>
                <w:b/>
              </w:rPr>
            </w:pPr>
            <w:r>
              <w:rPr>
                <w:b/>
              </w:rPr>
              <w:t>(+/- UDCA)</w:t>
            </w:r>
          </w:p>
        </w:tc>
        <w:tc>
          <w:tcPr>
            <w:tcW w:w="850" w:type="dxa"/>
            <w:shd w:val="clear" w:color="auto" w:fill="FFFFFF" w:themeFill="background1"/>
            <w:vAlign w:val="center"/>
          </w:tcPr>
          <w:p w:rsidR="00F116C2" w:rsidRDefault="004F0556">
            <w:pPr>
              <w:pStyle w:val="Tabletext"/>
              <w:jc w:val="center"/>
              <w:rPr>
                <w:rFonts w:ascii="Times" w:hAnsi="Times"/>
                <w:b/>
              </w:rPr>
            </w:pPr>
            <w:r>
              <w:rPr>
                <w:b/>
              </w:rPr>
              <w:t>Increment</w:t>
            </w:r>
          </w:p>
        </w:tc>
        <w:tc>
          <w:tcPr>
            <w:tcW w:w="1134" w:type="dxa"/>
            <w:shd w:val="clear" w:color="auto" w:fill="FFFFFF" w:themeFill="background1"/>
            <w:vAlign w:val="center"/>
          </w:tcPr>
          <w:p w:rsidR="00F116C2" w:rsidRDefault="004F0556">
            <w:pPr>
              <w:pStyle w:val="Tabletext"/>
              <w:jc w:val="center"/>
              <w:rPr>
                <w:rFonts w:ascii="Times" w:hAnsi="Times"/>
                <w:b/>
              </w:rPr>
            </w:pPr>
            <w:r>
              <w:rPr>
                <w:b/>
              </w:rPr>
              <w:t>OCA titration (+/- UDCA)</w:t>
            </w:r>
          </w:p>
        </w:tc>
        <w:tc>
          <w:tcPr>
            <w:tcW w:w="925" w:type="dxa"/>
            <w:shd w:val="clear" w:color="auto" w:fill="FFFFFF" w:themeFill="background1"/>
            <w:vAlign w:val="center"/>
          </w:tcPr>
          <w:p w:rsidR="00F116C2" w:rsidRDefault="004F0556">
            <w:pPr>
              <w:pStyle w:val="Tabletext"/>
              <w:jc w:val="center"/>
              <w:rPr>
                <w:b/>
              </w:rPr>
            </w:pPr>
            <w:r>
              <w:rPr>
                <w:b/>
              </w:rPr>
              <w:t xml:space="preserve">PBO </w:t>
            </w:r>
            <w:r>
              <w:rPr>
                <w:b/>
              </w:rPr>
              <w:br/>
              <w:t>(+/- UDCA)</w:t>
            </w:r>
          </w:p>
        </w:tc>
        <w:tc>
          <w:tcPr>
            <w:tcW w:w="0" w:type="auto"/>
            <w:shd w:val="clear" w:color="auto" w:fill="FFFFFF" w:themeFill="background1"/>
            <w:vAlign w:val="center"/>
          </w:tcPr>
          <w:p w:rsidR="00F116C2" w:rsidRDefault="004F0556">
            <w:pPr>
              <w:pStyle w:val="Tabletext"/>
              <w:jc w:val="center"/>
              <w:rPr>
                <w:b/>
              </w:rPr>
            </w:pPr>
            <w:r>
              <w:rPr>
                <w:b/>
              </w:rPr>
              <w:t>Increment</w:t>
            </w:r>
          </w:p>
        </w:tc>
        <w:tc>
          <w:tcPr>
            <w:tcW w:w="0" w:type="auto"/>
            <w:vMerge/>
            <w:shd w:val="clear" w:color="auto" w:fill="FFFFFF" w:themeFill="background1"/>
            <w:vAlign w:val="center"/>
          </w:tcPr>
          <w:p w:rsidR="00F116C2" w:rsidRDefault="00F116C2">
            <w:pPr>
              <w:pStyle w:val="Tabletext"/>
              <w:jc w:val="center"/>
            </w:pPr>
          </w:p>
        </w:tc>
      </w:tr>
      <w:tr w:rsidR="00F116C2">
        <w:trPr>
          <w:cantSplit/>
        </w:trPr>
        <w:tc>
          <w:tcPr>
            <w:tcW w:w="7225" w:type="dxa"/>
            <w:shd w:val="clear" w:color="auto" w:fill="FFFFFF" w:themeFill="background1"/>
          </w:tcPr>
          <w:p w:rsidR="00F116C2" w:rsidRDefault="004F0556">
            <w:pPr>
              <w:widowControl/>
              <w:jc w:val="left"/>
              <w:rPr>
                <w:szCs w:val="20"/>
              </w:rPr>
            </w:pPr>
            <w:r>
              <w:rPr>
                <w:rFonts w:ascii="Arial Narrow" w:hAnsi="Arial Narrow"/>
                <w:sz w:val="20"/>
                <w:szCs w:val="20"/>
              </w:rPr>
              <w:t xml:space="preserve">Step 1 </w:t>
            </w:r>
            <w:r>
              <w:rPr>
                <w:rFonts w:ascii="Arial Narrow" w:hAnsi="Arial Narrow"/>
                <w:b/>
                <w:sz w:val="20"/>
                <w:szCs w:val="20"/>
              </w:rPr>
              <w:t>(UDCA inadequate responder individuals: OCA 5-10 mg titration+UDCA vs UDCA monotherapy)</w:t>
            </w:r>
            <w:r>
              <w:rPr>
                <w:rFonts w:ascii="Arial Narrow" w:hAnsi="Arial Narrow"/>
                <w:sz w:val="20"/>
                <w:szCs w:val="20"/>
              </w:rPr>
              <w:t>: Trial-based analysis using 12-month POISE trial data (outcomes = POISE primary efficacy outcome: ALP &lt; 1.67 x ULN, total bilirubin ≤ ULN, and ALP decrease of ≥ 15% from baseline), [ICER = $/responder gained]</w:t>
            </w:r>
          </w:p>
        </w:tc>
        <w:tc>
          <w:tcPr>
            <w:tcW w:w="1134" w:type="dxa"/>
            <w:shd w:val="clear" w:color="auto" w:fill="FFFFFF" w:themeFill="background1"/>
            <w:vAlign w:val="center"/>
          </w:tcPr>
          <w:p w:rsidR="00F116C2" w:rsidRDefault="004F0556">
            <w:pPr>
              <w:pStyle w:val="Tabletext"/>
              <w:jc w:val="center"/>
              <w:rPr>
                <w:szCs w:val="20"/>
              </w:rPr>
            </w:pPr>
            <w:r>
              <w:rPr>
                <w:szCs w:val="20"/>
              </w:rPr>
              <w:t xml:space="preserve"> </w:t>
            </w:r>
            <w:r>
              <w:rPr>
                <w:snapToGrid w:val="0"/>
                <w:szCs w:val="20"/>
              </w:rPr>
              <w:t>$</w:t>
            </w:r>
            <w:r w:rsidR="00B624C9">
              <w:rPr>
                <w:noProof/>
                <w:snapToGrid w:val="0"/>
                <w:color w:val="000000"/>
                <w:szCs w:val="20"/>
                <w:highlight w:val="black"/>
              </w:rPr>
              <w:t>''''''''''''''''''</w:t>
            </w:r>
          </w:p>
        </w:tc>
        <w:tc>
          <w:tcPr>
            <w:tcW w:w="992" w:type="dxa"/>
            <w:shd w:val="clear" w:color="auto" w:fill="FFFFFF" w:themeFill="background1"/>
            <w:vAlign w:val="center"/>
          </w:tcPr>
          <w:p w:rsidR="00F116C2" w:rsidRDefault="004F0556">
            <w:pPr>
              <w:widowControl/>
              <w:jc w:val="center"/>
              <w:rPr>
                <w:rFonts w:ascii="Arial Narrow" w:hAnsi="Arial Narrow" w:cs="Times New Roman"/>
                <w:snapToGrid/>
                <w:sz w:val="20"/>
                <w:szCs w:val="20"/>
              </w:rPr>
            </w:pPr>
            <w:r>
              <w:rPr>
                <w:szCs w:val="20"/>
              </w:rPr>
              <w:t xml:space="preserve"> </w:t>
            </w:r>
            <w:r>
              <w:rPr>
                <w:rFonts w:ascii="Arial Narrow" w:hAnsi="Arial Narrow"/>
                <w:sz w:val="20"/>
                <w:szCs w:val="20"/>
              </w:rPr>
              <w:t>$</w:t>
            </w:r>
            <w:r w:rsidR="00B624C9">
              <w:rPr>
                <w:rFonts w:ascii="Arial Narrow" w:hAnsi="Arial Narrow"/>
                <w:noProof/>
                <w:color w:val="000000"/>
                <w:sz w:val="20"/>
                <w:szCs w:val="20"/>
                <w:highlight w:val="black"/>
              </w:rPr>
              <w:t>'''''''''''''</w:t>
            </w:r>
          </w:p>
        </w:tc>
        <w:tc>
          <w:tcPr>
            <w:tcW w:w="850" w:type="dxa"/>
            <w:shd w:val="clear" w:color="auto" w:fill="FFFFFF" w:themeFill="background1"/>
            <w:vAlign w:val="center"/>
          </w:tcPr>
          <w:p w:rsidR="00F116C2" w:rsidRDefault="004F0556">
            <w:pPr>
              <w:pStyle w:val="Tabletext"/>
              <w:jc w:val="center"/>
              <w:rPr>
                <w:szCs w:val="20"/>
              </w:rPr>
            </w:pPr>
            <w:r>
              <w:rPr>
                <w:szCs w:val="20"/>
              </w:rPr>
              <w:t xml:space="preserve"> </w:t>
            </w:r>
            <w:r>
              <w:rPr>
                <w:snapToGrid w:val="0"/>
                <w:szCs w:val="20"/>
              </w:rPr>
              <w:t>$</w:t>
            </w:r>
            <w:r w:rsidR="00B624C9">
              <w:rPr>
                <w:noProof/>
                <w:snapToGrid w:val="0"/>
                <w:color w:val="000000"/>
                <w:szCs w:val="20"/>
                <w:highlight w:val="black"/>
              </w:rPr>
              <w:t>'''''''''''''''</w:t>
            </w:r>
          </w:p>
        </w:tc>
        <w:tc>
          <w:tcPr>
            <w:tcW w:w="1134" w:type="dxa"/>
            <w:shd w:val="clear" w:color="auto" w:fill="FFFFFF" w:themeFill="background1"/>
            <w:vAlign w:val="center"/>
          </w:tcPr>
          <w:p w:rsidR="00F116C2" w:rsidRDefault="004F0556">
            <w:pPr>
              <w:pStyle w:val="Tabletext"/>
              <w:jc w:val="center"/>
              <w:rPr>
                <w:szCs w:val="20"/>
              </w:rPr>
            </w:pPr>
            <w:r>
              <w:rPr>
                <w:szCs w:val="20"/>
              </w:rPr>
              <w:t>50%</w:t>
            </w:r>
          </w:p>
        </w:tc>
        <w:tc>
          <w:tcPr>
            <w:tcW w:w="925" w:type="dxa"/>
            <w:shd w:val="clear" w:color="auto" w:fill="FFFFFF" w:themeFill="background1"/>
            <w:vAlign w:val="center"/>
          </w:tcPr>
          <w:p w:rsidR="00F116C2" w:rsidRDefault="004F0556">
            <w:pPr>
              <w:pStyle w:val="Tabletext"/>
              <w:jc w:val="center"/>
              <w:rPr>
                <w:szCs w:val="20"/>
              </w:rPr>
            </w:pPr>
            <w:r>
              <w:rPr>
                <w:szCs w:val="20"/>
              </w:rPr>
              <w:t>10%</w:t>
            </w:r>
          </w:p>
        </w:tc>
        <w:tc>
          <w:tcPr>
            <w:tcW w:w="0" w:type="auto"/>
            <w:shd w:val="clear" w:color="auto" w:fill="FFFFFF" w:themeFill="background1"/>
            <w:vAlign w:val="center"/>
          </w:tcPr>
          <w:p w:rsidR="00F116C2" w:rsidRDefault="004F0556">
            <w:pPr>
              <w:pStyle w:val="Tabletext"/>
              <w:jc w:val="center"/>
              <w:rPr>
                <w:szCs w:val="20"/>
              </w:rPr>
            </w:pPr>
            <w:r>
              <w:rPr>
                <w:szCs w:val="20"/>
              </w:rPr>
              <w:t>40%</w:t>
            </w:r>
          </w:p>
        </w:tc>
        <w:tc>
          <w:tcPr>
            <w:tcW w:w="0" w:type="auto"/>
            <w:shd w:val="clear" w:color="auto" w:fill="FFFFFF" w:themeFill="background1"/>
            <w:vAlign w:val="center"/>
          </w:tcPr>
          <w:p w:rsidR="00F116C2" w:rsidRDefault="004F0556">
            <w:pPr>
              <w:pStyle w:val="Tabletext"/>
              <w:jc w:val="center"/>
              <w:rPr>
                <w:szCs w:val="20"/>
              </w:rPr>
            </w:pPr>
            <w:r>
              <w:rPr>
                <w:szCs w:val="20"/>
              </w:rPr>
              <w:t xml:space="preserve"> </w:t>
            </w:r>
            <w:r>
              <w:rPr>
                <w:snapToGrid w:val="0"/>
                <w:szCs w:val="20"/>
              </w:rPr>
              <w:t>$</w:t>
            </w:r>
            <w:r w:rsidR="00B624C9">
              <w:rPr>
                <w:noProof/>
                <w:snapToGrid w:val="0"/>
                <w:color w:val="000000"/>
                <w:szCs w:val="20"/>
                <w:highlight w:val="black"/>
              </w:rPr>
              <w:t>'''''''''''''''</w:t>
            </w:r>
          </w:p>
        </w:tc>
      </w:tr>
      <w:tr w:rsidR="00F116C2">
        <w:trPr>
          <w:cantSplit/>
        </w:trPr>
        <w:tc>
          <w:tcPr>
            <w:tcW w:w="7225" w:type="dxa"/>
            <w:shd w:val="clear" w:color="auto" w:fill="FFFFFF" w:themeFill="background1"/>
          </w:tcPr>
          <w:p w:rsidR="00F116C2" w:rsidRDefault="004F0556">
            <w:pPr>
              <w:widowControl/>
              <w:jc w:val="left"/>
              <w:rPr>
                <w:szCs w:val="20"/>
              </w:rPr>
            </w:pPr>
            <w:r>
              <w:rPr>
                <w:rFonts w:ascii="Arial Narrow" w:hAnsi="Arial Narrow"/>
                <w:sz w:val="20"/>
                <w:szCs w:val="20"/>
              </w:rPr>
              <w:t xml:space="preserve">Step 2a </w:t>
            </w:r>
            <w:r>
              <w:rPr>
                <w:rFonts w:ascii="Arial Narrow" w:hAnsi="Arial Narrow"/>
                <w:b/>
                <w:sz w:val="20"/>
                <w:szCs w:val="20"/>
              </w:rPr>
              <w:t>(UDCA inadequate responder individuals: OCA 5-10 mg titration+UDCA vs UDCA monotherapy)</w:t>
            </w:r>
            <w:r>
              <w:rPr>
                <w:rFonts w:ascii="Arial Narrow" w:hAnsi="Arial Narrow"/>
                <w:sz w:val="20"/>
                <w:szCs w:val="20"/>
              </w:rPr>
              <w:t>: Model-based analysis; costs related to AEs and disease management added; transformed POISE outcomes into biochemical and liver-related health states; model population specific to the inadequate responder population; added LYs as an outcome; extrapolated to 50 years; discounted costs and outcomes at 5% p.a., [ICER = $/LY gained]</w:t>
            </w:r>
          </w:p>
        </w:tc>
        <w:tc>
          <w:tcPr>
            <w:tcW w:w="1134" w:type="dxa"/>
            <w:shd w:val="clear" w:color="auto" w:fill="FFFFFF" w:themeFill="background1"/>
            <w:vAlign w:val="center"/>
          </w:tcPr>
          <w:p w:rsidR="00F116C2" w:rsidRDefault="004F0556">
            <w:pPr>
              <w:pStyle w:val="Tabletext"/>
              <w:jc w:val="center"/>
              <w:rPr>
                <w:szCs w:val="20"/>
              </w:rPr>
            </w:pPr>
            <w:r>
              <w:rPr>
                <w:szCs w:val="20"/>
              </w:rPr>
              <w:t xml:space="preserve"> </w:t>
            </w:r>
            <w:r>
              <w:rPr>
                <w:snapToGrid w:val="0"/>
                <w:szCs w:val="20"/>
              </w:rPr>
              <w:t>$</w:t>
            </w:r>
            <w:r w:rsidR="00B624C9">
              <w:rPr>
                <w:noProof/>
                <w:snapToGrid w:val="0"/>
                <w:color w:val="000000"/>
                <w:szCs w:val="20"/>
                <w:highlight w:val="black"/>
              </w:rPr>
              <w:t>''''''''''''''''''</w:t>
            </w:r>
          </w:p>
        </w:tc>
        <w:tc>
          <w:tcPr>
            <w:tcW w:w="992" w:type="dxa"/>
            <w:shd w:val="clear" w:color="auto" w:fill="FFFFFF" w:themeFill="background1"/>
            <w:vAlign w:val="center"/>
          </w:tcPr>
          <w:p w:rsidR="00F116C2" w:rsidRDefault="004F0556">
            <w:pPr>
              <w:pStyle w:val="Tabletext"/>
              <w:jc w:val="center"/>
              <w:rPr>
                <w:szCs w:val="20"/>
              </w:rPr>
            </w:pPr>
            <w:r>
              <w:rPr>
                <w:szCs w:val="20"/>
              </w:rPr>
              <w:t>$</w:t>
            </w:r>
            <w:r w:rsidR="00B624C9">
              <w:rPr>
                <w:noProof/>
                <w:color w:val="000000"/>
                <w:szCs w:val="20"/>
                <w:highlight w:val="black"/>
              </w:rPr>
              <w:t>'''''''''''''''''''</w:t>
            </w:r>
          </w:p>
        </w:tc>
        <w:tc>
          <w:tcPr>
            <w:tcW w:w="850" w:type="dxa"/>
            <w:shd w:val="clear" w:color="auto" w:fill="FFFFFF" w:themeFill="background1"/>
            <w:vAlign w:val="center"/>
          </w:tcPr>
          <w:p w:rsidR="00F116C2" w:rsidRDefault="004F0556">
            <w:pPr>
              <w:pStyle w:val="Tabletext"/>
              <w:jc w:val="center"/>
              <w:rPr>
                <w:szCs w:val="20"/>
                <w:highlight w:val="yellow"/>
              </w:rPr>
            </w:pPr>
            <w:r>
              <w:rPr>
                <w:szCs w:val="20"/>
              </w:rPr>
              <w:t>$</w:t>
            </w:r>
            <w:r w:rsidR="00B624C9">
              <w:rPr>
                <w:noProof/>
                <w:color w:val="000000"/>
                <w:szCs w:val="20"/>
                <w:highlight w:val="black"/>
              </w:rPr>
              <w:t>'''''''''''''''''''</w:t>
            </w:r>
          </w:p>
        </w:tc>
        <w:tc>
          <w:tcPr>
            <w:tcW w:w="1134" w:type="dxa"/>
            <w:shd w:val="clear" w:color="auto" w:fill="FFFFFF" w:themeFill="background1"/>
            <w:vAlign w:val="center"/>
          </w:tcPr>
          <w:p w:rsidR="00F116C2" w:rsidRDefault="004F0556">
            <w:pPr>
              <w:pStyle w:val="Tabletext"/>
              <w:jc w:val="center"/>
              <w:rPr>
                <w:szCs w:val="20"/>
              </w:rPr>
            </w:pPr>
            <w:r>
              <w:rPr>
                <w:szCs w:val="20"/>
              </w:rPr>
              <w:t>13.78</w:t>
            </w:r>
          </w:p>
        </w:tc>
        <w:tc>
          <w:tcPr>
            <w:tcW w:w="925" w:type="dxa"/>
            <w:shd w:val="clear" w:color="auto" w:fill="FFFFFF" w:themeFill="background1"/>
            <w:vAlign w:val="center"/>
          </w:tcPr>
          <w:p w:rsidR="00F116C2" w:rsidRDefault="004F0556">
            <w:pPr>
              <w:pStyle w:val="Tabletext"/>
              <w:jc w:val="center"/>
              <w:rPr>
                <w:szCs w:val="20"/>
              </w:rPr>
            </w:pPr>
            <w:r>
              <w:rPr>
                <w:szCs w:val="20"/>
              </w:rPr>
              <w:t>11.55</w:t>
            </w:r>
          </w:p>
        </w:tc>
        <w:tc>
          <w:tcPr>
            <w:tcW w:w="0" w:type="auto"/>
            <w:shd w:val="clear" w:color="auto" w:fill="FFFFFF" w:themeFill="background1"/>
            <w:vAlign w:val="center"/>
          </w:tcPr>
          <w:p w:rsidR="00F116C2" w:rsidRDefault="004F0556">
            <w:pPr>
              <w:pStyle w:val="Tabletext"/>
              <w:jc w:val="center"/>
              <w:rPr>
                <w:szCs w:val="20"/>
              </w:rPr>
            </w:pPr>
            <w:r>
              <w:rPr>
                <w:snapToGrid w:val="0"/>
                <w:szCs w:val="20"/>
              </w:rPr>
              <w:t>2.22</w:t>
            </w:r>
          </w:p>
        </w:tc>
        <w:tc>
          <w:tcPr>
            <w:tcW w:w="0" w:type="auto"/>
            <w:shd w:val="clear" w:color="auto" w:fill="FFFFFF" w:themeFill="background1"/>
            <w:vAlign w:val="center"/>
          </w:tcPr>
          <w:p w:rsidR="00F116C2" w:rsidRDefault="004F0556">
            <w:pPr>
              <w:pStyle w:val="Tabletext"/>
              <w:jc w:val="center"/>
              <w:rPr>
                <w:szCs w:val="20"/>
              </w:rPr>
            </w:pPr>
            <w:r>
              <w:rPr>
                <w:szCs w:val="20"/>
              </w:rPr>
              <w:t>$</w:t>
            </w:r>
            <w:r w:rsidR="00B624C9">
              <w:rPr>
                <w:noProof/>
                <w:color w:val="000000"/>
                <w:szCs w:val="20"/>
                <w:highlight w:val="black"/>
              </w:rPr>
              <w:t>''''''''''''''''''</w:t>
            </w:r>
          </w:p>
        </w:tc>
      </w:tr>
      <w:tr w:rsidR="00F116C2">
        <w:trPr>
          <w:cantSplit/>
        </w:trPr>
        <w:tc>
          <w:tcPr>
            <w:tcW w:w="7225" w:type="dxa"/>
            <w:shd w:val="clear" w:color="auto" w:fill="FFFFFF" w:themeFill="background1"/>
          </w:tcPr>
          <w:p w:rsidR="00F116C2" w:rsidRDefault="004F0556">
            <w:pPr>
              <w:widowControl/>
              <w:jc w:val="left"/>
              <w:rPr>
                <w:szCs w:val="20"/>
              </w:rPr>
            </w:pPr>
            <w:r>
              <w:rPr>
                <w:rFonts w:ascii="Arial Narrow" w:hAnsi="Arial Narrow"/>
                <w:sz w:val="20"/>
                <w:szCs w:val="20"/>
              </w:rPr>
              <w:t xml:space="preserve">Step 2b </w:t>
            </w:r>
            <w:r>
              <w:rPr>
                <w:rFonts w:ascii="Arial Narrow" w:hAnsi="Arial Narrow"/>
                <w:b/>
                <w:sz w:val="20"/>
                <w:szCs w:val="20"/>
              </w:rPr>
              <w:t>(UDCA intolerant individuals: OCA 5-10 mg titration vs no treatment)</w:t>
            </w:r>
            <w:r>
              <w:rPr>
                <w:rFonts w:ascii="Arial Narrow" w:hAnsi="Arial Narrow"/>
                <w:sz w:val="20"/>
                <w:szCs w:val="20"/>
              </w:rPr>
              <w:t>: Model-based analysis; Step 2a with model population specific to the UDCA intolerant population, [ICER = $/LY gained]</w:t>
            </w:r>
          </w:p>
        </w:tc>
        <w:tc>
          <w:tcPr>
            <w:tcW w:w="1134" w:type="dxa"/>
            <w:shd w:val="clear" w:color="auto" w:fill="FFFFFF" w:themeFill="background1"/>
            <w:vAlign w:val="center"/>
          </w:tcPr>
          <w:p w:rsidR="00F116C2" w:rsidRDefault="004F0556">
            <w:pPr>
              <w:pStyle w:val="Tabletext"/>
              <w:jc w:val="center"/>
              <w:rPr>
                <w:szCs w:val="20"/>
              </w:rPr>
            </w:pPr>
            <w:r>
              <w:rPr>
                <w:szCs w:val="20"/>
              </w:rPr>
              <w:t xml:space="preserve"> </w:t>
            </w:r>
            <w:r>
              <w:rPr>
                <w:snapToGrid w:val="0"/>
                <w:szCs w:val="20"/>
              </w:rPr>
              <w:t>$</w:t>
            </w:r>
            <w:r w:rsidR="00B624C9">
              <w:rPr>
                <w:noProof/>
                <w:snapToGrid w:val="0"/>
                <w:color w:val="000000"/>
                <w:szCs w:val="20"/>
                <w:highlight w:val="black"/>
              </w:rPr>
              <w:t>'''''''''''''''''</w:t>
            </w:r>
          </w:p>
        </w:tc>
        <w:tc>
          <w:tcPr>
            <w:tcW w:w="992" w:type="dxa"/>
            <w:shd w:val="clear" w:color="auto" w:fill="FFFFFF" w:themeFill="background1"/>
            <w:vAlign w:val="center"/>
          </w:tcPr>
          <w:p w:rsidR="00F116C2" w:rsidRDefault="004F0556">
            <w:pPr>
              <w:pStyle w:val="Tabletext"/>
              <w:jc w:val="center"/>
              <w:rPr>
                <w:szCs w:val="20"/>
              </w:rPr>
            </w:pPr>
            <w:r>
              <w:rPr>
                <w:snapToGrid w:val="0"/>
                <w:szCs w:val="20"/>
              </w:rPr>
              <w:t>$</w:t>
            </w:r>
            <w:r w:rsidR="00B624C9">
              <w:rPr>
                <w:noProof/>
                <w:snapToGrid w:val="0"/>
                <w:color w:val="000000"/>
                <w:szCs w:val="20"/>
                <w:highlight w:val="black"/>
              </w:rPr>
              <w:t>''''''''''''''''''''''</w:t>
            </w:r>
          </w:p>
        </w:tc>
        <w:tc>
          <w:tcPr>
            <w:tcW w:w="850" w:type="dxa"/>
            <w:shd w:val="clear" w:color="auto" w:fill="FFFFFF" w:themeFill="background1"/>
            <w:vAlign w:val="center"/>
          </w:tcPr>
          <w:p w:rsidR="00F116C2" w:rsidRDefault="004F0556">
            <w:pPr>
              <w:pStyle w:val="Tabletext"/>
              <w:jc w:val="center"/>
              <w:rPr>
                <w:szCs w:val="20"/>
              </w:rPr>
            </w:pPr>
            <w:r>
              <w:rPr>
                <w:snapToGrid w:val="0"/>
                <w:szCs w:val="20"/>
              </w:rPr>
              <w:t>$</w:t>
            </w:r>
            <w:r w:rsidR="00B624C9">
              <w:rPr>
                <w:noProof/>
                <w:snapToGrid w:val="0"/>
                <w:color w:val="000000"/>
                <w:szCs w:val="20"/>
                <w:highlight w:val="black"/>
              </w:rPr>
              <w:t>''''''''''''''''''</w:t>
            </w:r>
          </w:p>
        </w:tc>
        <w:tc>
          <w:tcPr>
            <w:tcW w:w="1134" w:type="dxa"/>
            <w:shd w:val="clear" w:color="auto" w:fill="FFFFFF" w:themeFill="background1"/>
            <w:vAlign w:val="center"/>
          </w:tcPr>
          <w:p w:rsidR="00F116C2" w:rsidRDefault="004F0556">
            <w:pPr>
              <w:pStyle w:val="Tabletext"/>
              <w:jc w:val="center"/>
              <w:rPr>
                <w:szCs w:val="20"/>
              </w:rPr>
            </w:pPr>
            <w:r>
              <w:rPr>
                <w:snapToGrid w:val="0"/>
                <w:szCs w:val="20"/>
              </w:rPr>
              <w:t>13.07</w:t>
            </w:r>
          </w:p>
        </w:tc>
        <w:tc>
          <w:tcPr>
            <w:tcW w:w="925" w:type="dxa"/>
            <w:shd w:val="clear" w:color="auto" w:fill="FFFFFF" w:themeFill="background1"/>
            <w:vAlign w:val="center"/>
          </w:tcPr>
          <w:p w:rsidR="00F116C2" w:rsidRDefault="004F0556">
            <w:pPr>
              <w:pStyle w:val="Tabletext"/>
              <w:jc w:val="center"/>
              <w:rPr>
                <w:szCs w:val="20"/>
              </w:rPr>
            </w:pPr>
            <w:r>
              <w:rPr>
                <w:snapToGrid w:val="0"/>
                <w:szCs w:val="20"/>
              </w:rPr>
              <w:t>10.51</w:t>
            </w:r>
          </w:p>
        </w:tc>
        <w:tc>
          <w:tcPr>
            <w:tcW w:w="0" w:type="auto"/>
            <w:shd w:val="clear" w:color="auto" w:fill="FFFFFF" w:themeFill="background1"/>
            <w:vAlign w:val="center"/>
          </w:tcPr>
          <w:p w:rsidR="00F116C2" w:rsidRDefault="004F0556">
            <w:pPr>
              <w:pStyle w:val="Tabletext"/>
              <w:jc w:val="center"/>
              <w:rPr>
                <w:szCs w:val="20"/>
              </w:rPr>
            </w:pPr>
            <w:r>
              <w:rPr>
                <w:snapToGrid w:val="0"/>
                <w:szCs w:val="20"/>
              </w:rPr>
              <w:t>2.56</w:t>
            </w:r>
          </w:p>
        </w:tc>
        <w:tc>
          <w:tcPr>
            <w:tcW w:w="0" w:type="auto"/>
            <w:shd w:val="clear" w:color="auto" w:fill="FFFFFF" w:themeFill="background1"/>
            <w:vAlign w:val="center"/>
          </w:tcPr>
          <w:p w:rsidR="00F116C2" w:rsidRDefault="004F0556">
            <w:pPr>
              <w:pStyle w:val="Tabletext"/>
              <w:jc w:val="center"/>
              <w:rPr>
                <w:szCs w:val="20"/>
              </w:rPr>
            </w:pPr>
            <w:r>
              <w:rPr>
                <w:snapToGrid w:val="0"/>
                <w:szCs w:val="20"/>
              </w:rPr>
              <w:t>$</w:t>
            </w:r>
            <w:r w:rsidR="00B624C9">
              <w:rPr>
                <w:noProof/>
                <w:snapToGrid w:val="0"/>
                <w:color w:val="000000"/>
                <w:szCs w:val="20"/>
                <w:highlight w:val="black"/>
              </w:rPr>
              <w:t>'''''''''''''''</w:t>
            </w:r>
          </w:p>
        </w:tc>
      </w:tr>
      <w:tr w:rsidR="00F116C2">
        <w:trPr>
          <w:cantSplit/>
        </w:trPr>
        <w:tc>
          <w:tcPr>
            <w:tcW w:w="7225" w:type="dxa"/>
            <w:shd w:val="clear" w:color="auto" w:fill="FFFFFF" w:themeFill="background1"/>
          </w:tcPr>
          <w:p w:rsidR="00F116C2" w:rsidRDefault="004F0556">
            <w:pPr>
              <w:widowControl/>
              <w:jc w:val="left"/>
              <w:rPr>
                <w:szCs w:val="20"/>
              </w:rPr>
            </w:pPr>
            <w:r>
              <w:rPr>
                <w:rFonts w:ascii="Arial Narrow" w:hAnsi="Arial Narrow"/>
                <w:sz w:val="20"/>
                <w:szCs w:val="20"/>
              </w:rPr>
              <w:t xml:space="preserve">Step 3a </w:t>
            </w:r>
            <w:r>
              <w:rPr>
                <w:rFonts w:ascii="Arial Narrow" w:hAnsi="Arial Narrow"/>
                <w:b/>
                <w:sz w:val="20"/>
                <w:szCs w:val="20"/>
              </w:rPr>
              <w:t>(UDCA inadequate responder individuals: OCA 5-10 mg titration+UDCA vs UDCA monotherapy)</w:t>
            </w:r>
            <w:r>
              <w:rPr>
                <w:rFonts w:ascii="Arial Narrow" w:hAnsi="Arial Narrow"/>
                <w:sz w:val="20"/>
                <w:szCs w:val="20"/>
              </w:rPr>
              <w:t>: Model-based analysis; Step 2a with application of utilities to biochemical and liver-related health states to yield QALYs as an outcome, [ICER = $/QALY gained]</w:t>
            </w:r>
          </w:p>
        </w:tc>
        <w:tc>
          <w:tcPr>
            <w:tcW w:w="1134" w:type="dxa"/>
            <w:shd w:val="clear" w:color="auto" w:fill="FFFFFF" w:themeFill="background1"/>
            <w:vAlign w:val="center"/>
          </w:tcPr>
          <w:p w:rsidR="00F116C2" w:rsidRDefault="004F0556">
            <w:pPr>
              <w:pStyle w:val="Tabletext"/>
              <w:jc w:val="center"/>
              <w:rPr>
                <w:b/>
                <w:szCs w:val="20"/>
                <w:highlight w:val="yellow"/>
              </w:rPr>
            </w:pPr>
            <w:r>
              <w:rPr>
                <w:b/>
                <w:szCs w:val="20"/>
              </w:rPr>
              <w:t xml:space="preserve"> </w:t>
            </w:r>
            <w:r>
              <w:rPr>
                <w:b/>
                <w:snapToGrid w:val="0"/>
                <w:szCs w:val="20"/>
              </w:rPr>
              <w:t>$</w:t>
            </w:r>
            <w:r w:rsidR="00B624C9">
              <w:rPr>
                <w:b/>
                <w:noProof/>
                <w:snapToGrid w:val="0"/>
                <w:color w:val="000000"/>
                <w:szCs w:val="20"/>
                <w:highlight w:val="black"/>
              </w:rPr>
              <w:t>'''''''''''''''</w:t>
            </w:r>
          </w:p>
        </w:tc>
        <w:tc>
          <w:tcPr>
            <w:tcW w:w="992" w:type="dxa"/>
            <w:shd w:val="clear" w:color="auto" w:fill="FFFFFF" w:themeFill="background1"/>
            <w:vAlign w:val="center"/>
          </w:tcPr>
          <w:p w:rsidR="00F116C2" w:rsidRDefault="004F0556">
            <w:pPr>
              <w:pStyle w:val="Tabletext"/>
              <w:jc w:val="center"/>
              <w:rPr>
                <w:b/>
                <w:szCs w:val="20"/>
                <w:highlight w:val="yellow"/>
              </w:rPr>
            </w:pPr>
            <w:r>
              <w:rPr>
                <w:b/>
                <w:szCs w:val="20"/>
              </w:rPr>
              <w:t xml:space="preserve"> $</w:t>
            </w:r>
            <w:r w:rsidR="00B624C9">
              <w:rPr>
                <w:b/>
                <w:noProof/>
                <w:color w:val="000000"/>
                <w:szCs w:val="20"/>
                <w:highlight w:val="black"/>
              </w:rPr>
              <w:t>''''''''''''''</w:t>
            </w:r>
          </w:p>
        </w:tc>
        <w:tc>
          <w:tcPr>
            <w:tcW w:w="850" w:type="dxa"/>
            <w:shd w:val="clear" w:color="auto" w:fill="FFFFFF" w:themeFill="background1"/>
            <w:vAlign w:val="center"/>
          </w:tcPr>
          <w:p w:rsidR="00F116C2" w:rsidRDefault="004F0556">
            <w:pPr>
              <w:pStyle w:val="Tabletext"/>
              <w:jc w:val="center"/>
              <w:rPr>
                <w:b/>
                <w:szCs w:val="20"/>
                <w:highlight w:val="yellow"/>
              </w:rPr>
            </w:pPr>
            <w:r>
              <w:rPr>
                <w:b/>
                <w:szCs w:val="20"/>
              </w:rPr>
              <w:t>$</w:t>
            </w:r>
            <w:r w:rsidR="00B624C9">
              <w:rPr>
                <w:b/>
                <w:noProof/>
                <w:color w:val="000000"/>
                <w:szCs w:val="20"/>
                <w:highlight w:val="black"/>
              </w:rPr>
              <w:t>'''''''''''''''</w:t>
            </w:r>
          </w:p>
        </w:tc>
        <w:tc>
          <w:tcPr>
            <w:tcW w:w="1134" w:type="dxa"/>
            <w:shd w:val="clear" w:color="auto" w:fill="FFFFFF" w:themeFill="background1"/>
            <w:vAlign w:val="center"/>
          </w:tcPr>
          <w:p w:rsidR="00F116C2" w:rsidRDefault="004F0556">
            <w:pPr>
              <w:pStyle w:val="Tabletext"/>
              <w:jc w:val="center"/>
              <w:rPr>
                <w:b/>
                <w:szCs w:val="20"/>
              </w:rPr>
            </w:pPr>
            <w:r>
              <w:rPr>
                <w:b/>
                <w:snapToGrid w:val="0"/>
                <w:szCs w:val="20"/>
              </w:rPr>
              <w:t>10.69</w:t>
            </w:r>
          </w:p>
        </w:tc>
        <w:tc>
          <w:tcPr>
            <w:tcW w:w="925" w:type="dxa"/>
            <w:shd w:val="clear" w:color="auto" w:fill="FFFFFF" w:themeFill="background1"/>
            <w:vAlign w:val="center"/>
          </w:tcPr>
          <w:p w:rsidR="00F116C2" w:rsidRDefault="004F0556">
            <w:pPr>
              <w:pStyle w:val="Tabletext"/>
              <w:jc w:val="center"/>
              <w:rPr>
                <w:b/>
                <w:szCs w:val="20"/>
              </w:rPr>
            </w:pPr>
            <w:r>
              <w:rPr>
                <w:b/>
                <w:snapToGrid w:val="0"/>
                <w:szCs w:val="20"/>
              </w:rPr>
              <w:t>7.80</w:t>
            </w:r>
          </w:p>
        </w:tc>
        <w:tc>
          <w:tcPr>
            <w:tcW w:w="0" w:type="auto"/>
            <w:shd w:val="clear" w:color="auto" w:fill="FFFFFF" w:themeFill="background1"/>
            <w:vAlign w:val="center"/>
          </w:tcPr>
          <w:p w:rsidR="00F116C2" w:rsidRDefault="004F0556">
            <w:pPr>
              <w:pStyle w:val="Tabletext"/>
              <w:jc w:val="center"/>
              <w:rPr>
                <w:b/>
                <w:szCs w:val="20"/>
              </w:rPr>
            </w:pPr>
            <w:r>
              <w:rPr>
                <w:b/>
                <w:snapToGrid w:val="0"/>
                <w:szCs w:val="20"/>
              </w:rPr>
              <w:t>2.89</w:t>
            </w:r>
          </w:p>
        </w:tc>
        <w:tc>
          <w:tcPr>
            <w:tcW w:w="0" w:type="auto"/>
            <w:shd w:val="clear" w:color="auto" w:fill="FFFFFF" w:themeFill="background1"/>
            <w:vAlign w:val="center"/>
          </w:tcPr>
          <w:p w:rsidR="00F116C2" w:rsidRDefault="004F0556">
            <w:pPr>
              <w:pStyle w:val="Tabletext"/>
              <w:jc w:val="center"/>
              <w:rPr>
                <w:b/>
                <w:szCs w:val="20"/>
              </w:rPr>
            </w:pPr>
            <w:r>
              <w:rPr>
                <w:b/>
                <w:snapToGrid w:val="0"/>
                <w:szCs w:val="20"/>
              </w:rPr>
              <w:t>$</w:t>
            </w:r>
            <w:r w:rsidR="00B624C9">
              <w:rPr>
                <w:b/>
                <w:noProof/>
                <w:snapToGrid w:val="0"/>
                <w:color w:val="000000"/>
                <w:szCs w:val="20"/>
                <w:highlight w:val="black"/>
              </w:rPr>
              <w:t>'''''''''''''</w:t>
            </w:r>
          </w:p>
        </w:tc>
      </w:tr>
      <w:tr w:rsidR="00F116C2">
        <w:trPr>
          <w:cantSplit/>
        </w:trPr>
        <w:tc>
          <w:tcPr>
            <w:tcW w:w="7225" w:type="dxa"/>
            <w:shd w:val="clear" w:color="auto" w:fill="FFFFFF" w:themeFill="background1"/>
          </w:tcPr>
          <w:p w:rsidR="00F116C2" w:rsidRDefault="004F0556">
            <w:pPr>
              <w:widowControl/>
              <w:jc w:val="left"/>
              <w:rPr>
                <w:szCs w:val="20"/>
              </w:rPr>
            </w:pPr>
            <w:r>
              <w:rPr>
                <w:rFonts w:ascii="Arial Narrow" w:hAnsi="Arial Narrow"/>
                <w:sz w:val="20"/>
                <w:szCs w:val="20"/>
              </w:rPr>
              <w:t xml:space="preserve">Step 3b </w:t>
            </w:r>
            <w:r>
              <w:rPr>
                <w:rFonts w:ascii="Arial Narrow" w:hAnsi="Arial Narrow"/>
                <w:b/>
                <w:sz w:val="20"/>
                <w:szCs w:val="20"/>
              </w:rPr>
              <w:t>(UDCA intolerant individuals: OCA 5-10 mg titration vs no treatmen</w:t>
            </w:r>
            <w:r>
              <w:rPr>
                <w:rFonts w:ascii="Arial Narrow" w:hAnsi="Arial Narrow"/>
                <w:sz w:val="20"/>
                <w:szCs w:val="20"/>
              </w:rPr>
              <w:t>t</w:t>
            </w:r>
            <w:r>
              <w:rPr>
                <w:rFonts w:ascii="Arial Narrow" w:hAnsi="Arial Narrow"/>
                <w:b/>
                <w:sz w:val="20"/>
                <w:szCs w:val="20"/>
              </w:rPr>
              <w:t>)</w:t>
            </w:r>
            <w:r>
              <w:rPr>
                <w:rFonts w:ascii="Arial Narrow" w:hAnsi="Arial Narrow"/>
                <w:sz w:val="20"/>
                <w:szCs w:val="20"/>
              </w:rPr>
              <w:t>: Model-based analysis; Step 3a with model population specific to the UDCA intolerant population, [ICER = $/QALY gained]</w:t>
            </w:r>
          </w:p>
        </w:tc>
        <w:tc>
          <w:tcPr>
            <w:tcW w:w="1134" w:type="dxa"/>
            <w:shd w:val="clear" w:color="auto" w:fill="FFFFFF" w:themeFill="background1"/>
            <w:vAlign w:val="center"/>
          </w:tcPr>
          <w:p w:rsidR="00F116C2" w:rsidRDefault="004F0556">
            <w:pPr>
              <w:pStyle w:val="Tabletext"/>
              <w:jc w:val="center"/>
              <w:rPr>
                <w:b/>
                <w:szCs w:val="20"/>
                <w:highlight w:val="yellow"/>
              </w:rPr>
            </w:pPr>
            <w:r>
              <w:rPr>
                <w:b/>
                <w:snapToGrid w:val="0"/>
                <w:szCs w:val="20"/>
              </w:rPr>
              <w:t>$</w:t>
            </w:r>
            <w:r w:rsidR="00B624C9">
              <w:rPr>
                <w:b/>
                <w:noProof/>
                <w:snapToGrid w:val="0"/>
                <w:color w:val="000000"/>
                <w:szCs w:val="20"/>
                <w:highlight w:val="black"/>
              </w:rPr>
              <w:t>'''''''''''''''</w:t>
            </w:r>
          </w:p>
        </w:tc>
        <w:tc>
          <w:tcPr>
            <w:tcW w:w="992" w:type="dxa"/>
            <w:shd w:val="clear" w:color="auto" w:fill="FFFFFF" w:themeFill="background1"/>
            <w:vAlign w:val="center"/>
          </w:tcPr>
          <w:p w:rsidR="00F116C2" w:rsidRDefault="004F0556">
            <w:pPr>
              <w:pStyle w:val="Tabletext"/>
              <w:jc w:val="center"/>
              <w:rPr>
                <w:b/>
                <w:szCs w:val="20"/>
                <w:highlight w:val="yellow"/>
              </w:rPr>
            </w:pPr>
            <w:r>
              <w:rPr>
                <w:b/>
                <w:snapToGrid w:val="0"/>
                <w:szCs w:val="20"/>
              </w:rPr>
              <w:t>$</w:t>
            </w:r>
            <w:r w:rsidR="00B624C9">
              <w:rPr>
                <w:b/>
                <w:noProof/>
                <w:snapToGrid w:val="0"/>
                <w:color w:val="000000"/>
                <w:szCs w:val="20"/>
                <w:highlight w:val="black"/>
              </w:rPr>
              <w:t>''''''''''''''''''</w:t>
            </w:r>
          </w:p>
        </w:tc>
        <w:tc>
          <w:tcPr>
            <w:tcW w:w="850" w:type="dxa"/>
            <w:shd w:val="clear" w:color="auto" w:fill="FFFFFF" w:themeFill="background1"/>
            <w:vAlign w:val="center"/>
          </w:tcPr>
          <w:p w:rsidR="00F116C2" w:rsidRDefault="004F0556">
            <w:pPr>
              <w:pStyle w:val="Tabletext"/>
              <w:jc w:val="center"/>
              <w:rPr>
                <w:b/>
                <w:szCs w:val="20"/>
                <w:highlight w:val="yellow"/>
              </w:rPr>
            </w:pPr>
            <w:r>
              <w:rPr>
                <w:b/>
                <w:snapToGrid w:val="0"/>
                <w:szCs w:val="20"/>
              </w:rPr>
              <w:t>$</w:t>
            </w:r>
            <w:r w:rsidR="00B624C9">
              <w:rPr>
                <w:b/>
                <w:noProof/>
                <w:snapToGrid w:val="0"/>
                <w:color w:val="000000"/>
                <w:szCs w:val="20"/>
                <w:highlight w:val="black"/>
              </w:rPr>
              <w:t>'''''''''''''''</w:t>
            </w:r>
          </w:p>
        </w:tc>
        <w:tc>
          <w:tcPr>
            <w:tcW w:w="1134" w:type="dxa"/>
            <w:shd w:val="clear" w:color="auto" w:fill="FFFFFF" w:themeFill="background1"/>
            <w:vAlign w:val="center"/>
          </w:tcPr>
          <w:p w:rsidR="00F116C2" w:rsidRDefault="004F0556">
            <w:pPr>
              <w:pStyle w:val="Tabletext"/>
              <w:jc w:val="center"/>
              <w:rPr>
                <w:b/>
                <w:szCs w:val="20"/>
              </w:rPr>
            </w:pPr>
            <w:r>
              <w:rPr>
                <w:b/>
                <w:snapToGrid w:val="0"/>
                <w:szCs w:val="20"/>
              </w:rPr>
              <w:t>9.82</w:t>
            </w:r>
          </w:p>
        </w:tc>
        <w:tc>
          <w:tcPr>
            <w:tcW w:w="925" w:type="dxa"/>
            <w:shd w:val="clear" w:color="auto" w:fill="FFFFFF" w:themeFill="background1"/>
            <w:vAlign w:val="center"/>
          </w:tcPr>
          <w:p w:rsidR="00F116C2" w:rsidRDefault="004F0556">
            <w:pPr>
              <w:widowControl/>
              <w:jc w:val="center"/>
              <w:rPr>
                <w:rFonts w:ascii="Arial Narrow" w:hAnsi="Arial Narrow" w:cs="Times New Roman"/>
                <w:b/>
                <w:snapToGrid/>
                <w:sz w:val="20"/>
                <w:szCs w:val="20"/>
              </w:rPr>
            </w:pPr>
            <w:r>
              <w:rPr>
                <w:rFonts w:ascii="Arial Narrow" w:hAnsi="Arial Narrow" w:cs="Times New Roman"/>
                <w:b/>
                <w:snapToGrid/>
                <w:sz w:val="20"/>
                <w:szCs w:val="20"/>
              </w:rPr>
              <w:t>6.52</w:t>
            </w:r>
          </w:p>
        </w:tc>
        <w:tc>
          <w:tcPr>
            <w:tcW w:w="0" w:type="auto"/>
            <w:shd w:val="clear" w:color="auto" w:fill="FFFFFF" w:themeFill="background1"/>
            <w:vAlign w:val="center"/>
          </w:tcPr>
          <w:p w:rsidR="00F116C2" w:rsidRDefault="004F0556">
            <w:pPr>
              <w:pStyle w:val="Tabletext"/>
              <w:jc w:val="center"/>
              <w:rPr>
                <w:b/>
                <w:szCs w:val="20"/>
              </w:rPr>
            </w:pPr>
            <w:r>
              <w:rPr>
                <w:b/>
                <w:snapToGrid w:val="0"/>
                <w:szCs w:val="20"/>
              </w:rPr>
              <w:t>3.30</w:t>
            </w:r>
          </w:p>
        </w:tc>
        <w:tc>
          <w:tcPr>
            <w:tcW w:w="0" w:type="auto"/>
            <w:shd w:val="clear" w:color="auto" w:fill="FFFFFF" w:themeFill="background1"/>
            <w:vAlign w:val="center"/>
          </w:tcPr>
          <w:p w:rsidR="00F116C2" w:rsidRDefault="004F0556">
            <w:pPr>
              <w:pStyle w:val="Tabletext"/>
              <w:jc w:val="center"/>
              <w:rPr>
                <w:b/>
                <w:szCs w:val="20"/>
              </w:rPr>
            </w:pPr>
            <w:r>
              <w:rPr>
                <w:b/>
                <w:snapToGrid w:val="0"/>
                <w:szCs w:val="20"/>
              </w:rPr>
              <w:t>$</w:t>
            </w:r>
            <w:r w:rsidR="00B624C9">
              <w:rPr>
                <w:b/>
                <w:noProof/>
                <w:snapToGrid w:val="0"/>
                <w:color w:val="000000"/>
                <w:szCs w:val="20"/>
                <w:highlight w:val="black"/>
              </w:rPr>
              <w:t>'''''''''''''</w:t>
            </w:r>
          </w:p>
        </w:tc>
      </w:tr>
      <w:tr w:rsidR="00F116C2">
        <w:trPr>
          <w:cantSplit/>
        </w:trPr>
        <w:tc>
          <w:tcPr>
            <w:tcW w:w="0" w:type="auto"/>
            <w:gridSpan w:val="8"/>
            <w:shd w:val="clear" w:color="auto" w:fill="FFFFFF" w:themeFill="background1"/>
          </w:tcPr>
          <w:p w:rsidR="00F116C2" w:rsidRDefault="004F0556">
            <w:pPr>
              <w:pStyle w:val="Tabletext"/>
              <w:keepNext/>
              <w:rPr>
                <w:snapToGrid w:val="0"/>
                <w:szCs w:val="20"/>
              </w:rPr>
            </w:pPr>
            <w:r>
              <w:rPr>
                <w:b/>
                <w:szCs w:val="20"/>
              </w:rPr>
              <w:t>November 2018 submission (effective prices)*</w:t>
            </w:r>
          </w:p>
        </w:tc>
      </w:tr>
      <w:tr w:rsidR="00F116C2">
        <w:trPr>
          <w:cantSplit/>
        </w:trPr>
        <w:tc>
          <w:tcPr>
            <w:tcW w:w="7225" w:type="dxa"/>
            <w:shd w:val="clear" w:color="auto" w:fill="FFFFFF" w:themeFill="background1"/>
          </w:tcPr>
          <w:p w:rsidR="00F116C2" w:rsidRDefault="004F0556">
            <w:pPr>
              <w:widowControl/>
              <w:jc w:val="left"/>
              <w:rPr>
                <w:rFonts w:ascii="Arial Narrow" w:hAnsi="Arial Narrow"/>
                <w:sz w:val="20"/>
                <w:szCs w:val="20"/>
              </w:rPr>
            </w:pPr>
            <w:r>
              <w:rPr>
                <w:rFonts w:ascii="Arial Narrow" w:hAnsi="Arial Narrow"/>
                <w:sz w:val="20"/>
                <w:szCs w:val="20"/>
              </w:rPr>
              <w:t xml:space="preserve">Step 3a </w:t>
            </w:r>
            <w:r>
              <w:rPr>
                <w:rFonts w:ascii="Arial Narrow" w:hAnsi="Arial Narrow"/>
                <w:b/>
                <w:sz w:val="20"/>
                <w:szCs w:val="20"/>
              </w:rPr>
              <w:t>(UDCA inadequate responder individuals: OCA 5-10 mg titration+UDCA vs UDCA monotherapy)</w:t>
            </w:r>
            <w:r>
              <w:rPr>
                <w:rFonts w:ascii="Arial Narrow" w:hAnsi="Arial Narrow"/>
                <w:sz w:val="20"/>
                <w:szCs w:val="20"/>
              </w:rPr>
              <w:t>: Model-based analysis; [ICER = $/QALY gained]</w:t>
            </w:r>
          </w:p>
        </w:tc>
        <w:tc>
          <w:tcPr>
            <w:tcW w:w="1134" w:type="dxa"/>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c>
          <w:tcPr>
            <w:tcW w:w="992" w:type="dxa"/>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c>
          <w:tcPr>
            <w:tcW w:w="850" w:type="dxa"/>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c>
          <w:tcPr>
            <w:tcW w:w="1134" w:type="dxa"/>
            <w:shd w:val="clear" w:color="auto" w:fill="FFFFFF" w:themeFill="background1"/>
            <w:vAlign w:val="center"/>
          </w:tcPr>
          <w:p w:rsidR="00F116C2" w:rsidRDefault="004F0556">
            <w:pPr>
              <w:pStyle w:val="Tabletext"/>
              <w:jc w:val="center"/>
              <w:rPr>
                <w:snapToGrid w:val="0"/>
                <w:szCs w:val="20"/>
              </w:rPr>
            </w:pPr>
            <w:r>
              <w:rPr>
                <w:szCs w:val="20"/>
              </w:rPr>
              <w:t>13.26</w:t>
            </w:r>
          </w:p>
        </w:tc>
        <w:tc>
          <w:tcPr>
            <w:tcW w:w="925" w:type="dxa"/>
            <w:shd w:val="clear" w:color="auto" w:fill="FFFFFF" w:themeFill="background1"/>
            <w:vAlign w:val="center"/>
          </w:tcPr>
          <w:p w:rsidR="00F116C2" w:rsidRDefault="004F0556">
            <w:pPr>
              <w:pStyle w:val="Tabletext"/>
              <w:jc w:val="center"/>
              <w:rPr>
                <w:snapToGrid w:val="0"/>
                <w:szCs w:val="20"/>
              </w:rPr>
            </w:pPr>
            <w:r>
              <w:rPr>
                <w:szCs w:val="20"/>
              </w:rPr>
              <w:t>7.75</w:t>
            </w:r>
          </w:p>
        </w:tc>
        <w:tc>
          <w:tcPr>
            <w:tcW w:w="0" w:type="auto"/>
            <w:shd w:val="clear" w:color="auto" w:fill="FFFFFF" w:themeFill="background1"/>
            <w:vAlign w:val="center"/>
          </w:tcPr>
          <w:p w:rsidR="00F116C2" w:rsidRDefault="004F0556">
            <w:pPr>
              <w:pStyle w:val="Tabletext"/>
              <w:jc w:val="center"/>
              <w:rPr>
                <w:snapToGrid w:val="0"/>
                <w:szCs w:val="20"/>
              </w:rPr>
            </w:pPr>
            <w:r>
              <w:rPr>
                <w:szCs w:val="20"/>
              </w:rPr>
              <w:t>5.51</w:t>
            </w:r>
          </w:p>
        </w:tc>
        <w:tc>
          <w:tcPr>
            <w:tcW w:w="0" w:type="auto"/>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r>
      <w:tr w:rsidR="00F116C2">
        <w:trPr>
          <w:cantSplit/>
        </w:trPr>
        <w:tc>
          <w:tcPr>
            <w:tcW w:w="7225" w:type="dxa"/>
            <w:shd w:val="clear" w:color="auto" w:fill="FFFFFF" w:themeFill="background1"/>
          </w:tcPr>
          <w:p w:rsidR="00F116C2" w:rsidRDefault="004F0556">
            <w:pPr>
              <w:widowControl/>
              <w:jc w:val="left"/>
              <w:rPr>
                <w:rFonts w:ascii="Arial Narrow" w:hAnsi="Arial Narrow"/>
                <w:sz w:val="20"/>
                <w:szCs w:val="20"/>
              </w:rPr>
            </w:pPr>
            <w:r>
              <w:rPr>
                <w:rFonts w:ascii="Arial Narrow" w:hAnsi="Arial Narrow"/>
                <w:sz w:val="20"/>
                <w:szCs w:val="20"/>
              </w:rPr>
              <w:t xml:space="preserve">Step 3b </w:t>
            </w:r>
            <w:r>
              <w:rPr>
                <w:rFonts w:ascii="Arial Narrow" w:hAnsi="Arial Narrow"/>
                <w:b/>
                <w:sz w:val="20"/>
                <w:szCs w:val="20"/>
              </w:rPr>
              <w:t>(UDCA intolerant individuals: OCA 5-10 mg titration vs no treatment)</w:t>
            </w:r>
            <w:r>
              <w:rPr>
                <w:rFonts w:ascii="Arial Narrow" w:hAnsi="Arial Narrow"/>
                <w:sz w:val="20"/>
                <w:szCs w:val="20"/>
              </w:rPr>
              <w:t>: Model-based analysis; [ICER = $/QALY gained]</w:t>
            </w:r>
          </w:p>
        </w:tc>
        <w:tc>
          <w:tcPr>
            <w:tcW w:w="1134" w:type="dxa"/>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c>
          <w:tcPr>
            <w:tcW w:w="992" w:type="dxa"/>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c>
          <w:tcPr>
            <w:tcW w:w="850" w:type="dxa"/>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c>
          <w:tcPr>
            <w:tcW w:w="1134" w:type="dxa"/>
            <w:shd w:val="clear" w:color="auto" w:fill="FFFFFF" w:themeFill="background1"/>
            <w:vAlign w:val="center"/>
          </w:tcPr>
          <w:p w:rsidR="00F116C2" w:rsidRDefault="004F0556">
            <w:pPr>
              <w:pStyle w:val="Tabletext"/>
              <w:jc w:val="center"/>
              <w:rPr>
                <w:snapToGrid w:val="0"/>
                <w:szCs w:val="20"/>
              </w:rPr>
            </w:pPr>
            <w:r>
              <w:rPr>
                <w:szCs w:val="20"/>
              </w:rPr>
              <w:t>13.15</w:t>
            </w:r>
          </w:p>
        </w:tc>
        <w:tc>
          <w:tcPr>
            <w:tcW w:w="925" w:type="dxa"/>
            <w:shd w:val="clear" w:color="auto" w:fill="FFFFFF" w:themeFill="background1"/>
            <w:vAlign w:val="center"/>
          </w:tcPr>
          <w:p w:rsidR="00F116C2" w:rsidRDefault="004F0556">
            <w:pPr>
              <w:pStyle w:val="Tabletext"/>
              <w:jc w:val="center"/>
              <w:rPr>
                <w:snapToGrid w:val="0"/>
                <w:szCs w:val="20"/>
              </w:rPr>
            </w:pPr>
            <w:r>
              <w:rPr>
                <w:szCs w:val="20"/>
              </w:rPr>
              <w:t>6.63</w:t>
            </w:r>
          </w:p>
        </w:tc>
        <w:tc>
          <w:tcPr>
            <w:tcW w:w="0" w:type="auto"/>
            <w:shd w:val="clear" w:color="auto" w:fill="FFFFFF" w:themeFill="background1"/>
            <w:vAlign w:val="center"/>
          </w:tcPr>
          <w:p w:rsidR="00F116C2" w:rsidRDefault="004F0556">
            <w:pPr>
              <w:pStyle w:val="Tabletext"/>
              <w:jc w:val="center"/>
              <w:rPr>
                <w:snapToGrid w:val="0"/>
                <w:szCs w:val="20"/>
              </w:rPr>
            </w:pPr>
            <w:r>
              <w:rPr>
                <w:szCs w:val="20"/>
              </w:rPr>
              <w:t>6.52</w:t>
            </w:r>
          </w:p>
        </w:tc>
        <w:tc>
          <w:tcPr>
            <w:tcW w:w="0" w:type="auto"/>
            <w:shd w:val="clear" w:color="auto" w:fill="FFFFFF" w:themeFill="background1"/>
            <w:vAlign w:val="center"/>
          </w:tcPr>
          <w:p w:rsidR="00F116C2" w:rsidRDefault="004F0556">
            <w:pPr>
              <w:pStyle w:val="Tabletext"/>
              <w:jc w:val="center"/>
              <w:rPr>
                <w:snapToGrid w:val="0"/>
                <w:szCs w:val="20"/>
              </w:rPr>
            </w:pPr>
            <w:r>
              <w:rPr>
                <w:szCs w:val="20"/>
              </w:rPr>
              <w:t>$</w:t>
            </w:r>
            <w:r w:rsidR="00B624C9">
              <w:rPr>
                <w:noProof/>
                <w:color w:val="000000"/>
                <w:szCs w:val="20"/>
                <w:highlight w:val="black"/>
              </w:rPr>
              <w:t>'''''''''''''''''</w:t>
            </w:r>
          </w:p>
        </w:tc>
      </w:tr>
    </w:tbl>
    <w:p w:rsidR="00F116C2" w:rsidRDefault="004F0556">
      <w:pPr>
        <w:pStyle w:val="TableFooter"/>
        <w:widowControl/>
      </w:pPr>
      <w:r>
        <w:t>AE = adverse event; ALP = alkaline phosphatase; ICER = incremental cost-effectiveness ratio; LY = life year; OCA = obeticholic acid; PBO = placebo; QALY = quality-adjusted life year; UDCA = ursodeoxycholic acid; ULN = upper limit of normal</w:t>
      </w:r>
    </w:p>
    <w:p w:rsidR="00F116C2" w:rsidRDefault="004F0556">
      <w:pPr>
        <w:pStyle w:val="TableFooter"/>
        <w:widowControl/>
        <w:rPr>
          <w:sz w:val="20"/>
        </w:rPr>
      </w:pPr>
      <w:r>
        <w:t>*Based on an OCA weighted effective price of $</w:t>
      </w:r>
      <w:r w:rsidR="00B624C9">
        <w:rPr>
          <w:noProof/>
          <w:color w:val="000000"/>
          <w:highlight w:val="black"/>
        </w:rPr>
        <w:t>'''''''''''''</w:t>
      </w:r>
      <w:r>
        <w:t xml:space="preserve"> ($</w:t>
      </w:r>
      <w:r w:rsidR="00B624C9">
        <w:rPr>
          <w:noProof/>
          <w:color w:val="000000"/>
          <w:highlight w:val="black"/>
        </w:rPr>
        <w:t>''''''''''''''</w:t>
      </w:r>
      <w:r>
        <w:t>*53% + $9</w:t>
      </w:r>
      <w:r w:rsidR="00B624C9">
        <w:rPr>
          <w:noProof/>
          <w:color w:val="000000"/>
          <w:highlight w:val="black"/>
        </w:rPr>
        <w:t>'''''''''</w:t>
      </w:r>
      <w:r>
        <w:t>*47%) (instead of $</w:t>
      </w:r>
      <w:r w:rsidR="00B624C9">
        <w:rPr>
          <w:noProof/>
          <w:color w:val="000000"/>
          <w:highlight w:val="black"/>
        </w:rPr>
        <w:t>''''''''''''</w:t>
      </w:r>
      <w:r>
        <w:t xml:space="preserve"> applied by submission) based on sheet ‘Deterministic results’ in Attachment 11 of the previous submission</w:t>
      </w:r>
    </w:p>
    <w:p w:rsidR="00F116C2" w:rsidRDefault="004F0556">
      <w:pPr>
        <w:pStyle w:val="TableFooter"/>
        <w:widowControl/>
        <w:rPr>
          <w:rStyle w:val="CommentReference"/>
        </w:rPr>
      </w:pPr>
      <w:r>
        <w:t>Source: 3.82 p123 and corrected during the evaluation based on sheet ‘Deterministic results’ in Attachment 9 of the resubmission.</w:t>
      </w:r>
    </w:p>
    <w:p w:rsidR="00F116C2" w:rsidRDefault="00F116C2">
      <w:pPr>
        <w:widowControl/>
        <w:sectPr w:rsidR="00F116C2">
          <w:headerReference w:type="default" r:id="rId14"/>
          <w:pgSz w:w="16840" w:h="11907" w:orient="landscape" w:code="9"/>
          <w:pgMar w:top="1440" w:right="1440" w:bottom="1440" w:left="1440" w:header="1440" w:footer="1440" w:gutter="0"/>
          <w:cols w:space="708"/>
          <w:docGrid w:linePitch="360"/>
        </w:sectPr>
      </w:pPr>
    </w:p>
    <w:p w:rsidR="00F116C2" w:rsidRDefault="004F0556">
      <w:pPr>
        <w:widowControl/>
      </w:pPr>
      <w:r>
        <w:lastRenderedPageBreak/>
        <w:t>The redacted table shows ICERs in the range of $45,000 - $75,000 to $105,000 - $200,000 per responder, life years or QALY gained.</w:t>
      </w:r>
    </w:p>
    <w:p w:rsidR="00F116C2" w:rsidRDefault="00F116C2">
      <w:pPr>
        <w:widowControl/>
      </w:pPr>
    </w:p>
    <w:p w:rsidR="00F116C2" w:rsidRDefault="004F0556">
      <w:pPr>
        <w:pStyle w:val="ListParagraph"/>
        <w:widowControl/>
        <w:numPr>
          <w:ilvl w:val="1"/>
          <w:numId w:val="2"/>
        </w:numPr>
      </w:pPr>
      <w:r>
        <w:t>When compared to the previous submission, both the incremental costs and incremental QALYs were approximately halved, resulting in ICERs that have remained largely the same. The reduction in incremental costs was driven by the new assumption that 44.14% of patients would discontinue OCA at 12 months.</w:t>
      </w:r>
    </w:p>
    <w:p w:rsidR="00F116C2" w:rsidRDefault="004F0556">
      <w:pPr>
        <w:pStyle w:val="ListParagraph"/>
        <w:widowControl/>
        <w:numPr>
          <w:ilvl w:val="1"/>
          <w:numId w:val="2"/>
        </w:numPr>
      </w:pPr>
      <w:r>
        <w:t>The ESC considered that the small number of changes made to the model in the resubmission did not address the major issues described previously. Hence, the ESC reiterated that the model lacked transparency and clinical plausibility and was not sufficiently valid to inform decision making. The ESC again considered that results should be considered with caution for a number of reasons, including:</w:t>
      </w:r>
    </w:p>
    <w:p w:rsidR="00F116C2" w:rsidRDefault="004F0556">
      <w:pPr>
        <w:pStyle w:val="ListParagraph"/>
        <w:widowControl/>
        <w:numPr>
          <w:ilvl w:val="1"/>
          <w:numId w:val="21"/>
        </w:numPr>
        <w:ind w:left="1134" w:hanging="425"/>
      </w:pPr>
      <w:r>
        <w:t>Many of the transition probabilities from the biochemical health states to the liver disease health states and between the liver disease health states were unable to be verified based on the information presented by the resubmission. Some were changed in the resubmission, with no explanation provided. The PSCR stated that the transition probabilities within the biochemical health states for the first twelve months of OCA treatment were based on results from the POISE trial, with transition probabilities for UDCA and OCA treated patients beyond 12 months derived from the literature, using PBC-specific data where possible (Lammers 2014, Harms 2015, Carbone 2016, Harms 2016). Transition probabilities for within the liver disease states for all patients were derived from the literature and/or analysis of data from the US Organ Procurement and Transplantation Network database. The PSCR stated that where necessary, a calibration process was undertaken to arrive at credible estimates. The ESC noted that the data sources provided in the PSCR were incomplete and not enough information was provided to verify a number of the model inputs. In addition, the information provided regarding the methodology of the calibration process was unclear, a number of sources were unable to be verified and a number of sources were changed in the resubmission with no explanation or reasoning.</w:t>
      </w:r>
    </w:p>
    <w:p w:rsidR="00F116C2" w:rsidRDefault="004F0556">
      <w:pPr>
        <w:pStyle w:val="ListParagraph"/>
        <w:widowControl/>
        <w:numPr>
          <w:ilvl w:val="1"/>
          <w:numId w:val="21"/>
        </w:numPr>
        <w:ind w:left="1134" w:hanging="425"/>
      </w:pPr>
      <w:r>
        <w:t>The time horizon in the model (50 years) was long compared with the median age of patients in the POISE trial (56 years), the duration of follow-up in the POISE trial (12 months) and the progressive nature of the disease.</w:t>
      </w:r>
    </w:p>
    <w:p w:rsidR="00F116C2" w:rsidRDefault="004F0556">
      <w:pPr>
        <w:pStyle w:val="ListParagraph"/>
        <w:widowControl/>
        <w:numPr>
          <w:ilvl w:val="1"/>
          <w:numId w:val="21"/>
        </w:numPr>
        <w:ind w:left="1134" w:hanging="425"/>
      </w:pPr>
      <w:r>
        <w:t>Some utility values were unable to be verified and the resubmission did not apply disutilities to adverse events. The ESC had previously considered that the lack of disutilities for adverse events was likely to favour OCA given that a higher proportion of patients receiving OCA experienced pruritus (paragraph 6.39, obeticholic acid PSD, November 2018).</w:t>
      </w:r>
    </w:p>
    <w:p w:rsidR="00F116C2" w:rsidRDefault="004F0556">
      <w:pPr>
        <w:pStyle w:val="ListParagraph"/>
        <w:widowControl/>
        <w:numPr>
          <w:ilvl w:val="1"/>
          <w:numId w:val="21"/>
        </w:numPr>
        <w:ind w:left="1134" w:hanging="425"/>
      </w:pPr>
      <w:r>
        <w:lastRenderedPageBreak/>
        <w:t>In the model, the OCA and UDCA treatment costs cease once a patient progresses to the liver disease health states. As the proposed PBS restriction only includes a continuation rule at 12 months, with no requirement for reassessment of efficacy after that, treatment costs may have been underestimated.</w:t>
      </w:r>
    </w:p>
    <w:p w:rsidR="00F116C2" w:rsidRDefault="004F0556">
      <w:pPr>
        <w:pStyle w:val="ListParagraph"/>
        <w:widowControl/>
        <w:numPr>
          <w:ilvl w:val="1"/>
          <w:numId w:val="2"/>
        </w:numPr>
      </w:pPr>
      <w:r>
        <w:t>Figures 1 and 2 present the Markov traces over time. The PBAC had previously considered that the assumptions that patients treated with OCA remained in the same biochemical health state from Year 2 onwards and that patients treated with UDCA monotherapy or placebo were unable to improve were unreasonable (paragraphs 6.39 and 7.9, obeticholic acid PSD, November 2019). Although the resubmission stated that these assumptions remained, the Markov traces indicated that these assumptions had been relaxed and patients treated with OCA could now progress after 2 years and patients receiving no treatment or UDCA monotherapy could improve in terms of biochemical health states.</w:t>
      </w:r>
    </w:p>
    <w:p w:rsidR="00EC5473" w:rsidRPr="00EC5473" w:rsidRDefault="00EC5473" w:rsidP="00EC5473">
      <w:pPr>
        <w:keepNext/>
        <w:widowControl/>
      </w:pPr>
      <w:r w:rsidRPr="00EC5473">
        <w:rPr>
          <w:rStyle w:val="CommentReference"/>
        </w:rPr>
        <w:t xml:space="preserve">Figure </w:t>
      </w:r>
      <w:r w:rsidRPr="00EC5473">
        <w:rPr>
          <w:rStyle w:val="CommentReference"/>
        </w:rPr>
        <w:fldChar w:fldCharType="begin"/>
      </w:r>
      <w:r w:rsidRPr="00EC5473">
        <w:rPr>
          <w:rStyle w:val="CommentReference"/>
        </w:rPr>
        <w:instrText xml:space="preserve"> SEQ Figure \* ARABIC </w:instrText>
      </w:r>
      <w:r w:rsidRPr="00EC5473">
        <w:rPr>
          <w:rStyle w:val="CommentReference"/>
        </w:rPr>
        <w:fldChar w:fldCharType="separate"/>
      </w:r>
      <w:r w:rsidR="009C1169">
        <w:rPr>
          <w:rStyle w:val="CommentReference"/>
          <w:noProof/>
        </w:rPr>
        <w:t>1</w:t>
      </w:r>
      <w:r w:rsidRPr="00EC5473">
        <w:rPr>
          <w:rStyle w:val="CommentReference"/>
        </w:rPr>
        <w:fldChar w:fldCharType="end"/>
      </w:r>
      <w:r w:rsidRPr="00EC5473">
        <w:rPr>
          <w:rStyle w:val="CommentReference"/>
        </w:rPr>
        <w:t>: Markov traces UDCA inadequate responders - LEFT PANEL: OCA+UDCA; RIGHT PANEL: UDCA monotherapy</w:t>
      </w:r>
    </w:p>
    <w:p w:rsidR="00EC5473" w:rsidRDefault="004F0556" w:rsidP="00EC5473">
      <w:pPr>
        <w:pStyle w:val="TableFooter"/>
        <w:keepNext/>
        <w:widowControl/>
      </w:pPr>
      <w:r>
        <w:rPr>
          <w:noProof/>
          <w:lang w:eastAsia="en-AU"/>
        </w:rPr>
        <w:drawing>
          <wp:inline distT="0" distB="0" distL="0" distR="0" wp14:anchorId="6E9E46DB" wp14:editId="49111F64">
            <wp:extent cx="2819720" cy="1835624"/>
            <wp:effectExtent l="0" t="0" r="0" b="0"/>
            <wp:docPr id="8" name="Picture 8" title="Figure 1: Markov traces UDCA inadequate responders - LEFT PANEL: OCA+UDCA; RIGHT PANEL: UDCA mon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3369" cy="1857530"/>
                    </a:xfrm>
                    <a:prstGeom prst="rect">
                      <a:avLst/>
                    </a:prstGeom>
                    <a:noFill/>
                  </pic:spPr>
                </pic:pic>
              </a:graphicData>
            </a:graphic>
          </wp:inline>
        </w:drawing>
      </w:r>
    </w:p>
    <w:p w:rsidR="00F116C2" w:rsidRDefault="004F0556">
      <w:pPr>
        <w:pStyle w:val="TableFooter"/>
        <w:widowControl/>
      </w:pPr>
      <w:r>
        <w:rPr>
          <w:noProof/>
          <w:lang w:eastAsia="en-AU"/>
        </w:rPr>
        <w:drawing>
          <wp:inline distT="0" distB="0" distL="0" distR="0" wp14:anchorId="30EE2575" wp14:editId="3B1FC316">
            <wp:extent cx="2893325" cy="1838841"/>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590" cy="1882862"/>
                    </a:xfrm>
                    <a:prstGeom prst="rect">
                      <a:avLst/>
                    </a:prstGeom>
                    <a:noFill/>
                  </pic:spPr>
                </pic:pic>
              </a:graphicData>
            </a:graphic>
          </wp:inline>
        </w:drawing>
      </w:r>
      <w:r>
        <w:t xml:space="preserve">DCC = decompensated cirrhosis; HCC = hepatocellular cancer; LT = liver transplant; OCA = obeticholic acid; </w:t>
      </w:r>
      <w:r>
        <w:rPr>
          <w:szCs w:val="18"/>
        </w:rPr>
        <w:t xml:space="preserve">PBC = primary biliary cholangitis/cirrhosis; </w:t>
      </w:r>
      <w:r>
        <w:t>UDCA = ursodeoxycholic acid.</w:t>
      </w:r>
    </w:p>
    <w:p w:rsidR="00F116C2" w:rsidRDefault="004F0556">
      <w:pPr>
        <w:widowControl/>
        <w:rPr>
          <w:rFonts w:ascii="Arial Narrow" w:hAnsi="Arial Narrow"/>
          <w:sz w:val="18"/>
          <w:szCs w:val="18"/>
        </w:rPr>
      </w:pPr>
      <w:r>
        <w:rPr>
          <w:rFonts w:ascii="Arial Narrow" w:hAnsi="Arial Narrow"/>
          <w:sz w:val="18"/>
          <w:szCs w:val="18"/>
        </w:rPr>
        <w:t>Source: Compiled during evaluation using Attachment 9</w:t>
      </w:r>
    </w:p>
    <w:p w:rsidR="00F116C2" w:rsidRDefault="00F116C2">
      <w:pPr>
        <w:widowControl/>
      </w:pPr>
    </w:p>
    <w:p w:rsidR="00EC5473" w:rsidRPr="00EC5473" w:rsidRDefault="00EC5473" w:rsidP="00EC5473">
      <w:pPr>
        <w:keepNext/>
        <w:widowControl/>
        <w:rPr>
          <w:rStyle w:val="CommentReference"/>
        </w:rPr>
      </w:pPr>
      <w:r w:rsidRPr="00EC5473">
        <w:rPr>
          <w:rStyle w:val="CommentReference"/>
        </w:rPr>
        <w:lastRenderedPageBreak/>
        <w:t xml:space="preserve">Figure </w:t>
      </w:r>
      <w:r w:rsidRPr="00EC5473">
        <w:rPr>
          <w:rStyle w:val="CommentReference"/>
        </w:rPr>
        <w:fldChar w:fldCharType="begin"/>
      </w:r>
      <w:r w:rsidRPr="00EC5473">
        <w:rPr>
          <w:rStyle w:val="CommentReference"/>
        </w:rPr>
        <w:instrText xml:space="preserve"> SEQ Figure \* ARABIC </w:instrText>
      </w:r>
      <w:r w:rsidRPr="00EC5473">
        <w:rPr>
          <w:rStyle w:val="CommentReference"/>
        </w:rPr>
        <w:fldChar w:fldCharType="separate"/>
      </w:r>
      <w:r w:rsidR="009C1169">
        <w:rPr>
          <w:rStyle w:val="CommentReference"/>
          <w:noProof/>
        </w:rPr>
        <w:t>2</w:t>
      </w:r>
      <w:r w:rsidRPr="00EC5473">
        <w:rPr>
          <w:rStyle w:val="CommentReference"/>
        </w:rPr>
        <w:fldChar w:fldCharType="end"/>
      </w:r>
      <w:r w:rsidRPr="00EC5473">
        <w:rPr>
          <w:rStyle w:val="CommentReference"/>
        </w:rPr>
        <w:t>: Markov trace UDCA intolerant patients – LEFT PANEL: OCA monotherapy; RIGHT PANEL: no treatment</w:t>
      </w:r>
    </w:p>
    <w:p w:rsidR="00F116C2" w:rsidRDefault="00F116C2">
      <w:pPr>
        <w:keepNext/>
        <w:widowControl/>
        <w:rPr>
          <w:rStyle w:val="CommentReference"/>
          <w:b w:val="0"/>
        </w:rPr>
      </w:pPr>
    </w:p>
    <w:p w:rsidR="00EC5473" w:rsidRDefault="004F0556" w:rsidP="00EC5473">
      <w:pPr>
        <w:keepNext/>
        <w:widowControl/>
      </w:pPr>
      <w:r>
        <w:rPr>
          <w:noProof/>
          <w:lang w:eastAsia="en-AU"/>
        </w:rPr>
        <w:drawing>
          <wp:inline distT="0" distB="0" distL="0" distR="0" wp14:anchorId="4C8BE4B4" wp14:editId="2DD1B2B2">
            <wp:extent cx="2811439" cy="1830233"/>
            <wp:effectExtent l="0" t="0" r="8255" b="0"/>
            <wp:docPr id="10" name="Picture 10" title="Figure 2: Markov trace UDCA intolerant patients – LEFT PANEL: OCA monotherapy; RIGHT PANEL: no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0351" cy="1849055"/>
                    </a:xfrm>
                    <a:prstGeom prst="rect">
                      <a:avLst/>
                    </a:prstGeom>
                    <a:noFill/>
                  </pic:spPr>
                </pic:pic>
              </a:graphicData>
            </a:graphic>
          </wp:inline>
        </w:drawing>
      </w:r>
    </w:p>
    <w:p w:rsidR="00F116C2" w:rsidRDefault="004F0556">
      <w:pPr>
        <w:widowControl/>
      </w:pPr>
      <w:r>
        <w:rPr>
          <w:noProof/>
          <w:lang w:eastAsia="en-AU"/>
        </w:rPr>
        <w:drawing>
          <wp:inline distT="0" distB="0" distL="0" distR="0" wp14:anchorId="60C12051" wp14:editId="6C01B278">
            <wp:extent cx="2881257" cy="18311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9228" cy="1868012"/>
                    </a:xfrm>
                    <a:prstGeom prst="rect">
                      <a:avLst/>
                    </a:prstGeom>
                    <a:noFill/>
                  </pic:spPr>
                </pic:pic>
              </a:graphicData>
            </a:graphic>
          </wp:inline>
        </w:drawing>
      </w:r>
    </w:p>
    <w:p w:rsidR="00F116C2" w:rsidRDefault="004F0556">
      <w:pPr>
        <w:pStyle w:val="TableFooter"/>
        <w:widowControl/>
      </w:pPr>
      <w:r>
        <w:t xml:space="preserve">DCC = decompensated cirrhosis; HCC = hepatocellular cancer; LT = liver transplant; OCA = obeticholic acid; </w:t>
      </w:r>
      <w:r>
        <w:rPr>
          <w:szCs w:val="18"/>
        </w:rPr>
        <w:t xml:space="preserve">PBC = primary biliary cholangitis/cirrhosis; </w:t>
      </w:r>
      <w:r>
        <w:t>UDCA = ursodeoxycholic acid.</w:t>
      </w:r>
    </w:p>
    <w:p w:rsidR="00F116C2" w:rsidRDefault="004F0556">
      <w:pPr>
        <w:widowControl/>
        <w:rPr>
          <w:rFonts w:ascii="Arial Narrow" w:hAnsi="Arial Narrow"/>
          <w:sz w:val="18"/>
          <w:szCs w:val="18"/>
        </w:rPr>
      </w:pPr>
      <w:r>
        <w:rPr>
          <w:rFonts w:ascii="Arial Narrow" w:hAnsi="Arial Narrow"/>
          <w:sz w:val="18"/>
          <w:szCs w:val="18"/>
        </w:rPr>
        <w:t>Source: Compiled during evaluation using Attachment 9</w:t>
      </w:r>
    </w:p>
    <w:p w:rsidR="00F116C2" w:rsidRDefault="00F116C2">
      <w:pPr>
        <w:widowControl/>
      </w:pPr>
    </w:p>
    <w:p w:rsidR="00F116C2" w:rsidRDefault="004F0556">
      <w:pPr>
        <w:pStyle w:val="ListParagraph"/>
        <w:widowControl/>
        <w:numPr>
          <w:ilvl w:val="1"/>
          <w:numId w:val="2"/>
        </w:numPr>
      </w:pPr>
      <w:r>
        <w:t>Figures 3 and 4 summarise the results of the sensitivity analyses.</w:t>
      </w:r>
    </w:p>
    <w:p w:rsidR="00F116C2" w:rsidRDefault="00F116C2">
      <w:pPr>
        <w:widowControl/>
        <w:sectPr w:rsidR="00F116C2">
          <w:headerReference w:type="default" r:id="rId19"/>
          <w:pgSz w:w="11907" w:h="16840" w:code="9"/>
          <w:pgMar w:top="1440" w:right="1440" w:bottom="1440" w:left="1440" w:header="1440" w:footer="1440" w:gutter="0"/>
          <w:cols w:space="708"/>
          <w:docGrid w:linePitch="360"/>
        </w:sectPr>
      </w:pPr>
    </w:p>
    <w:p w:rsidR="00F116C2" w:rsidRDefault="00EC5473">
      <w:pPr>
        <w:keepNext/>
        <w:widowControl/>
        <w:rPr>
          <w:rStyle w:val="CommentReference"/>
        </w:rPr>
      </w:pPr>
      <w:r w:rsidRPr="00EC5473">
        <w:rPr>
          <w:rStyle w:val="CommentReference"/>
        </w:rPr>
        <w:lastRenderedPageBreak/>
        <w:t xml:space="preserve">Figure </w:t>
      </w:r>
      <w:r w:rsidRPr="00EC5473">
        <w:rPr>
          <w:rStyle w:val="CommentReference"/>
        </w:rPr>
        <w:fldChar w:fldCharType="begin"/>
      </w:r>
      <w:r w:rsidRPr="00EC5473">
        <w:rPr>
          <w:rStyle w:val="CommentReference"/>
        </w:rPr>
        <w:instrText xml:space="preserve"> SEQ Figure \* ARABIC </w:instrText>
      </w:r>
      <w:r w:rsidRPr="00EC5473">
        <w:rPr>
          <w:rStyle w:val="CommentReference"/>
        </w:rPr>
        <w:fldChar w:fldCharType="separate"/>
      </w:r>
      <w:r w:rsidR="009C1169">
        <w:rPr>
          <w:rStyle w:val="CommentReference"/>
          <w:noProof/>
        </w:rPr>
        <w:t>3</w:t>
      </w:r>
      <w:r w:rsidRPr="00EC5473">
        <w:rPr>
          <w:rStyle w:val="CommentReference"/>
        </w:rPr>
        <w:fldChar w:fldCharType="end"/>
      </w:r>
      <w:r w:rsidRPr="00EC5473">
        <w:rPr>
          <w:rStyle w:val="CommentReference"/>
        </w:rPr>
        <w:t>: UDCA inadequate responder population - effective price</w:t>
      </w:r>
    </w:p>
    <w:p w:rsidR="00EC5473" w:rsidRDefault="004F0556" w:rsidP="00EC5473">
      <w:pPr>
        <w:keepNext/>
        <w:widowControl/>
      </w:pPr>
      <w:r>
        <w:rPr>
          <w:noProof/>
          <w:lang w:eastAsia="en-AU"/>
        </w:rPr>
        <w:drawing>
          <wp:inline distT="0" distB="0" distL="0" distR="0" wp14:anchorId="182886C7" wp14:editId="65C74A65">
            <wp:extent cx="7915275" cy="3972414"/>
            <wp:effectExtent l="0" t="0" r="0" b="9525"/>
            <wp:docPr id="17" name="Picture 17" title="Figure 3: UDCA inadequate responder population - effective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57724" cy="3993718"/>
                    </a:xfrm>
                    <a:prstGeom prst="rect">
                      <a:avLst/>
                    </a:prstGeom>
                    <a:noFill/>
                  </pic:spPr>
                </pic:pic>
              </a:graphicData>
            </a:graphic>
          </wp:inline>
        </w:drawing>
      </w:r>
    </w:p>
    <w:p w:rsidR="00F116C2" w:rsidRDefault="004F0556">
      <w:pPr>
        <w:widowControl/>
        <w:rPr>
          <w:rFonts w:ascii="Arial Narrow" w:hAnsi="Arial Narrow"/>
          <w:sz w:val="18"/>
          <w:szCs w:val="18"/>
        </w:rPr>
      </w:pPr>
      <w:r>
        <w:rPr>
          <w:rFonts w:ascii="Arial Narrow" w:hAnsi="Arial Narrow"/>
          <w:sz w:val="18"/>
          <w:szCs w:val="18"/>
        </w:rPr>
        <w:t>ALP = alkaline phosphatase; Bili = bilirubin; CC = compensated cirrhosis; DM = disease management; LT = liver transplant; OCA = obeticholic acid; UDCA = ursodeoxycholic acid; ULN = upper limit of normal</w:t>
      </w:r>
    </w:p>
    <w:p w:rsidR="00F116C2" w:rsidRDefault="004F0556">
      <w:pPr>
        <w:widowControl/>
        <w:rPr>
          <w:rFonts w:ascii="Arial Narrow" w:hAnsi="Arial Narrow"/>
          <w:sz w:val="18"/>
          <w:szCs w:val="18"/>
        </w:rPr>
      </w:pPr>
      <w:r>
        <w:rPr>
          <w:rFonts w:ascii="Arial Narrow" w:hAnsi="Arial Narrow"/>
          <w:sz w:val="18"/>
          <w:szCs w:val="18"/>
        </w:rPr>
        <w:t xml:space="preserve">Source: Figure 3.9.2, p129 of the resubmission. </w:t>
      </w:r>
      <w:r>
        <w:rPr>
          <w:rFonts w:ascii="Arial Narrow" w:hAnsi="Arial Narrow"/>
          <w:sz w:val="18"/>
          <w:szCs w:val="18"/>
        </w:rPr>
        <w:br w:type="page"/>
      </w:r>
    </w:p>
    <w:p w:rsidR="00EC5473" w:rsidRPr="00EC5473" w:rsidRDefault="00EC5473" w:rsidP="00EC5473">
      <w:pPr>
        <w:keepNext/>
        <w:widowControl/>
        <w:rPr>
          <w:rFonts w:ascii="Arial Narrow" w:hAnsi="Arial Narrow"/>
          <w:b/>
          <w:bCs/>
          <w:sz w:val="20"/>
          <w:szCs w:val="16"/>
        </w:rPr>
      </w:pPr>
      <w:r w:rsidRPr="00EC5473">
        <w:rPr>
          <w:rFonts w:ascii="Arial Narrow" w:hAnsi="Arial Narrow"/>
          <w:b/>
          <w:bCs/>
          <w:sz w:val="20"/>
          <w:szCs w:val="16"/>
        </w:rPr>
        <w:lastRenderedPageBreak/>
        <w:t xml:space="preserve">Figure </w:t>
      </w:r>
      <w:r w:rsidRPr="00EC5473">
        <w:rPr>
          <w:rFonts w:ascii="Arial Narrow" w:hAnsi="Arial Narrow"/>
          <w:b/>
          <w:bCs/>
          <w:sz w:val="20"/>
          <w:szCs w:val="16"/>
        </w:rPr>
        <w:fldChar w:fldCharType="begin"/>
      </w:r>
      <w:r w:rsidRPr="00EC5473">
        <w:rPr>
          <w:rFonts w:ascii="Arial Narrow" w:hAnsi="Arial Narrow"/>
          <w:b/>
          <w:bCs/>
          <w:sz w:val="20"/>
          <w:szCs w:val="16"/>
        </w:rPr>
        <w:instrText xml:space="preserve"> SEQ Figure \* ARABIC </w:instrText>
      </w:r>
      <w:r w:rsidRPr="00EC5473">
        <w:rPr>
          <w:rFonts w:ascii="Arial Narrow" w:hAnsi="Arial Narrow"/>
          <w:b/>
          <w:bCs/>
          <w:sz w:val="20"/>
          <w:szCs w:val="16"/>
        </w:rPr>
        <w:fldChar w:fldCharType="separate"/>
      </w:r>
      <w:r w:rsidR="009C1169">
        <w:rPr>
          <w:rFonts w:ascii="Arial Narrow" w:hAnsi="Arial Narrow"/>
          <w:b/>
          <w:bCs/>
          <w:noProof/>
          <w:sz w:val="20"/>
          <w:szCs w:val="16"/>
        </w:rPr>
        <w:t>4</w:t>
      </w:r>
      <w:r w:rsidRPr="00EC5473">
        <w:rPr>
          <w:rFonts w:ascii="Arial Narrow" w:hAnsi="Arial Narrow"/>
          <w:sz w:val="20"/>
          <w:szCs w:val="16"/>
        </w:rPr>
        <w:fldChar w:fldCharType="end"/>
      </w:r>
      <w:r w:rsidRPr="00EC5473">
        <w:rPr>
          <w:rFonts w:ascii="Arial Narrow" w:hAnsi="Arial Narrow"/>
          <w:b/>
          <w:bCs/>
          <w:sz w:val="20"/>
          <w:szCs w:val="16"/>
        </w:rPr>
        <w:t>: UDCA intolerant population - effective price</w:t>
      </w:r>
    </w:p>
    <w:p w:rsidR="00F116C2" w:rsidRDefault="00F116C2">
      <w:pPr>
        <w:keepNext/>
        <w:widowControl/>
        <w:rPr>
          <w:rStyle w:val="CommentReference"/>
        </w:rPr>
      </w:pPr>
    </w:p>
    <w:p w:rsidR="00EC5473" w:rsidRDefault="004F0556" w:rsidP="00EC5473">
      <w:pPr>
        <w:keepNext/>
        <w:widowControl/>
      </w:pPr>
      <w:r>
        <w:rPr>
          <w:noProof/>
          <w:lang w:eastAsia="en-AU"/>
        </w:rPr>
        <w:drawing>
          <wp:inline distT="0" distB="0" distL="0" distR="0" wp14:anchorId="297DF72F" wp14:editId="60808E87">
            <wp:extent cx="8134350" cy="4109991"/>
            <wp:effectExtent l="0" t="0" r="0" b="5080"/>
            <wp:docPr id="18" name="Picture 18" title="Figure 4: UDCA intolerant population - effective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92721" cy="4139484"/>
                    </a:xfrm>
                    <a:prstGeom prst="rect">
                      <a:avLst/>
                    </a:prstGeom>
                    <a:noFill/>
                  </pic:spPr>
                </pic:pic>
              </a:graphicData>
            </a:graphic>
          </wp:inline>
        </w:drawing>
      </w:r>
    </w:p>
    <w:p w:rsidR="00F116C2" w:rsidRDefault="004F0556">
      <w:pPr>
        <w:widowControl/>
        <w:rPr>
          <w:rFonts w:ascii="Arial Narrow" w:hAnsi="Arial Narrow"/>
          <w:sz w:val="18"/>
          <w:szCs w:val="18"/>
        </w:rPr>
      </w:pPr>
      <w:r>
        <w:rPr>
          <w:rFonts w:ascii="Arial Narrow" w:hAnsi="Arial Narrow"/>
          <w:sz w:val="18"/>
          <w:szCs w:val="18"/>
        </w:rPr>
        <w:t>ALP = alkaline phosphatase; Bili = bilirubin; CC = compensated cirrhosis; DM = disease management; LT = liver transplant; OCA = obeticholic acid; UDCA = ursodeoxycholic acid; ULN = upper limit of normal</w:t>
      </w:r>
    </w:p>
    <w:p w:rsidR="00F116C2" w:rsidRDefault="004F0556">
      <w:pPr>
        <w:widowControl/>
        <w:rPr>
          <w:rFonts w:ascii="Arial Narrow" w:hAnsi="Arial Narrow"/>
          <w:sz w:val="18"/>
          <w:szCs w:val="18"/>
        </w:rPr>
      </w:pPr>
      <w:r>
        <w:rPr>
          <w:rFonts w:ascii="Arial Narrow" w:hAnsi="Arial Narrow"/>
          <w:sz w:val="18"/>
          <w:szCs w:val="18"/>
        </w:rPr>
        <w:t>Source: Figure 3.9.4, p130 of the resubmission.</w:t>
      </w:r>
    </w:p>
    <w:p w:rsidR="00F116C2" w:rsidRDefault="00F116C2">
      <w:pPr>
        <w:widowControl/>
        <w:rPr>
          <w:rFonts w:ascii="Arial Narrow" w:hAnsi="Arial Narrow"/>
          <w:sz w:val="18"/>
          <w:szCs w:val="18"/>
        </w:rPr>
        <w:sectPr w:rsidR="00F116C2">
          <w:pgSz w:w="16840" w:h="11907" w:orient="landscape" w:code="9"/>
          <w:pgMar w:top="1440" w:right="1440" w:bottom="1440" w:left="1440" w:header="1440" w:footer="1440" w:gutter="0"/>
          <w:cols w:space="708"/>
          <w:docGrid w:linePitch="360"/>
        </w:sectPr>
      </w:pPr>
    </w:p>
    <w:p w:rsidR="00F116C2" w:rsidRDefault="00F116C2">
      <w:pPr>
        <w:widowControl/>
        <w:rPr>
          <w:i/>
        </w:rPr>
      </w:pPr>
    </w:p>
    <w:p w:rsidR="00F116C2" w:rsidRDefault="004F0556">
      <w:pPr>
        <w:pStyle w:val="ListParagraph"/>
        <w:keepNext/>
        <w:widowControl/>
        <w:numPr>
          <w:ilvl w:val="1"/>
          <w:numId w:val="2"/>
        </w:numPr>
      </w:pPr>
      <w:r>
        <w:t>The model was sensitive to the utility values in the biochemical health states, transition probabilities between biochemical health states, and the discontinuation rate in the fourth cycle.</w:t>
      </w:r>
    </w:p>
    <w:p w:rsidR="00F116C2" w:rsidRDefault="004F0556">
      <w:pPr>
        <w:pStyle w:val="ListParagraph"/>
        <w:keepNext/>
        <w:widowControl/>
        <w:numPr>
          <w:ilvl w:val="1"/>
          <w:numId w:val="2"/>
        </w:numPr>
        <w:rPr>
          <w:rFonts w:asciiTheme="minorHAnsi" w:hAnsiTheme="minorHAnsi" w:cstheme="minorHAnsi"/>
        </w:rPr>
      </w:pPr>
      <w:r>
        <w:rPr>
          <w:rFonts w:asciiTheme="minorHAnsi" w:hAnsiTheme="minorHAnsi" w:cstheme="minorHAnsi"/>
        </w:rPr>
        <w:t xml:space="preserve">The ESC considered that due to the unreliability of the presented economic model only Step 1 of the analysis was meaningful. In addition, the ESC considered that it was unlikely that larger trials would become available due to the rare nature of the disease. Therefore, the ESC advised that it might be more appropriate to consider a submission based on a cost per responder analysis (i.e. using Step 1 only), noting the potential difficulties with interpreting an ICER based on this outcome. </w:t>
      </w:r>
    </w:p>
    <w:p w:rsidR="00F116C2" w:rsidRDefault="004F0556">
      <w:pPr>
        <w:pStyle w:val="Heading2"/>
        <w:widowControl/>
      </w:pPr>
      <w:bookmarkStart w:id="17" w:name="_Toc9335719"/>
      <w:r>
        <w:t>Drug cost/patient/year</w:t>
      </w:r>
      <w:bookmarkEnd w:id="17"/>
    </w:p>
    <w:p w:rsidR="00F116C2" w:rsidRDefault="004F0556">
      <w:pPr>
        <w:pStyle w:val="ListParagraph"/>
        <w:keepNext/>
        <w:widowControl/>
        <w:numPr>
          <w:ilvl w:val="1"/>
          <w:numId w:val="2"/>
        </w:numPr>
      </w:pPr>
      <w:r>
        <w:t>The drug cost per patient per year is presented in Table 11. The previous submission assumed that patients received 358.8 days of treatment and miscalculated the weighted cost of treatment in terms of the number of patients receiving 5 mg and 10 mg OCA. The price of OCA was updated in the resubmission to reflect an increase in dispensing fees. The resubmission also applied a discontinuation rate at three and 12 months, which was not previously included in the economic model or financial estimates.</w:t>
      </w:r>
    </w:p>
    <w:p w:rsidR="00EC5473" w:rsidRPr="00EC5473" w:rsidRDefault="00EC5473" w:rsidP="00EC5473">
      <w:pPr>
        <w:keepNext/>
        <w:widowControl/>
        <w:rPr>
          <w:rStyle w:val="CommentReference"/>
        </w:rPr>
      </w:pPr>
      <w:r w:rsidRPr="00EC5473">
        <w:rPr>
          <w:rStyle w:val="CommentReference"/>
        </w:rPr>
        <w:t xml:space="preserve">Table </w:t>
      </w:r>
      <w:r w:rsidRPr="00EC5473">
        <w:rPr>
          <w:rStyle w:val="CommentReference"/>
        </w:rPr>
        <w:fldChar w:fldCharType="begin"/>
      </w:r>
      <w:r w:rsidRPr="00EC5473">
        <w:rPr>
          <w:rStyle w:val="CommentReference"/>
        </w:rPr>
        <w:instrText xml:space="preserve"> SEQ Table \* ARABIC </w:instrText>
      </w:r>
      <w:r w:rsidRPr="00EC5473">
        <w:rPr>
          <w:rStyle w:val="CommentReference"/>
        </w:rPr>
        <w:fldChar w:fldCharType="separate"/>
      </w:r>
      <w:r w:rsidR="009C1169">
        <w:rPr>
          <w:rStyle w:val="CommentReference"/>
          <w:noProof/>
        </w:rPr>
        <w:t>11</w:t>
      </w:r>
      <w:r w:rsidRPr="00EC5473">
        <w:rPr>
          <w:rStyle w:val="CommentReference"/>
        </w:rPr>
        <w:fldChar w:fldCharType="end"/>
      </w:r>
      <w:r w:rsidRPr="00EC5473">
        <w:rPr>
          <w:rStyle w:val="CommentReference"/>
        </w:rPr>
        <w:t>: Drug cost per patient for OCA 5-10mg titration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Drug cost per patient for OCA 5-10mg titration "/>
      </w:tblPr>
      <w:tblGrid>
        <w:gridCol w:w="2458"/>
        <w:gridCol w:w="2209"/>
        <w:gridCol w:w="2206"/>
        <w:gridCol w:w="2144"/>
      </w:tblGrid>
      <w:tr w:rsidR="00F116C2" w:rsidTr="00EC5473">
        <w:trPr>
          <w:trHeight w:val="160"/>
          <w:jc w:val="center"/>
        </w:trPr>
        <w:tc>
          <w:tcPr>
            <w:tcW w:w="1363" w:type="pct"/>
            <w:tcBorders>
              <w:top w:val="single" w:sz="4" w:space="0" w:color="auto"/>
              <w:left w:val="single" w:sz="4" w:space="0" w:color="auto"/>
              <w:bottom w:val="single" w:sz="4" w:space="0" w:color="auto"/>
              <w:right w:val="single" w:sz="4" w:space="0" w:color="auto"/>
            </w:tcBorders>
            <w:vAlign w:val="center"/>
          </w:tcPr>
          <w:p w:rsidR="00F116C2" w:rsidRDefault="00F116C2">
            <w:pPr>
              <w:keepNext/>
              <w:widowControl/>
              <w:spacing w:line="256" w:lineRule="auto"/>
              <w:jc w:val="left"/>
              <w:rPr>
                <w:rFonts w:ascii="Arial Narrow" w:hAnsi="Arial Narrow"/>
                <w:sz w:val="20"/>
                <w:szCs w:val="20"/>
              </w:rPr>
            </w:pPr>
          </w:p>
        </w:tc>
        <w:tc>
          <w:tcPr>
            <w:tcW w:w="1225" w:type="pct"/>
            <w:tcBorders>
              <w:top w:val="single" w:sz="4" w:space="0" w:color="auto"/>
              <w:left w:val="single" w:sz="4" w:space="0" w:color="auto"/>
              <w:bottom w:val="single" w:sz="4" w:space="0" w:color="auto"/>
              <w:right w:val="single" w:sz="4" w:space="0" w:color="auto"/>
            </w:tcBorders>
            <w:vAlign w:val="center"/>
            <w:hideMark/>
          </w:tcPr>
          <w:p w:rsidR="00F116C2" w:rsidRDefault="004F0556">
            <w:pPr>
              <w:keepNext/>
              <w:widowControl/>
              <w:jc w:val="center"/>
              <w:rPr>
                <w:rFonts w:ascii="Arial Narrow" w:hAnsi="Arial Narrow"/>
                <w:b/>
                <w:sz w:val="20"/>
              </w:rPr>
            </w:pPr>
            <w:r>
              <w:rPr>
                <w:rFonts w:ascii="Arial Narrow" w:hAnsi="Arial Narrow"/>
                <w:b/>
                <w:sz w:val="20"/>
              </w:rPr>
              <w:t>Trial dose and duration</w:t>
            </w:r>
          </w:p>
        </w:tc>
        <w:tc>
          <w:tcPr>
            <w:tcW w:w="1223" w:type="pct"/>
            <w:tcBorders>
              <w:top w:val="single" w:sz="4" w:space="0" w:color="auto"/>
              <w:left w:val="single" w:sz="4" w:space="0" w:color="auto"/>
              <w:bottom w:val="single" w:sz="4" w:space="0" w:color="auto"/>
              <w:right w:val="single" w:sz="4" w:space="0" w:color="auto"/>
            </w:tcBorders>
            <w:vAlign w:val="center"/>
            <w:hideMark/>
          </w:tcPr>
          <w:p w:rsidR="00F116C2" w:rsidRDefault="004F0556">
            <w:pPr>
              <w:keepNext/>
              <w:widowControl/>
              <w:jc w:val="center"/>
              <w:rPr>
                <w:rFonts w:ascii="Arial Narrow" w:hAnsi="Arial Narrow"/>
                <w:b/>
                <w:sz w:val="20"/>
              </w:rPr>
            </w:pPr>
            <w:r>
              <w:rPr>
                <w:rFonts w:ascii="Arial Narrow" w:hAnsi="Arial Narrow"/>
                <w:b/>
                <w:sz w:val="20"/>
              </w:rPr>
              <w:t>Model</w:t>
            </w:r>
          </w:p>
        </w:tc>
        <w:tc>
          <w:tcPr>
            <w:tcW w:w="1189" w:type="pct"/>
            <w:tcBorders>
              <w:top w:val="single" w:sz="4" w:space="0" w:color="auto"/>
              <w:left w:val="single" w:sz="4" w:space="0" w:color="auto"/>
              <w:bottom w:val="single" w:sz="4" w:space="0" w:color="auto"/>
              <w:right w:val="single" w:sz="4" w:space="0" w:color="auto"/>
            </w:tcBorders>
            <w:vAlign w:val="center"/>
            <w:hideMark/>
          </w:tcPr>
          <w:p w:rsidR="00F116C2" w:rsidRDefault="004F0556">
            <w:pPr>
              <w:keepNext/>
              <w:widowControl/>
              <w:jc w:val="center"/>
              <w:rPr>
                <w:rFonts w:ascii="Arial Narrow" w:hAnsi="Arial Narrow"/>
                <w:b/>
                <w:sz w:val="20"/>
              </w:rPr>
            </w:pPr>
            <w:r>
              <w:rPr>
                <w:rFonts w:ascii="Arial Narrow" w:hAnsi="Arial Narrow"/>
                <w:b/>
                <w:sz w:val="20"/>
              </w:rPr>
              <w:t>Financial estimates</w:t>
            </w:r>
          </w:p>
        </w:tc>
      </w:tr>
      <w:tr w:rsidR="00F116C2" w:rsidTr="00EC5473">
        <w:trPr>
          <w:jc w:val="center"/>
        </w:trPr>
        <w:tc>
          <w:tcPr>
            <w:tcW w:w="1363" w:type="pct"/>
            <w:tcBorders>
              <w:top w:val="single" w:sz="4" w:space="0" w:color="auto"/>
              <w:left w:val="single" w:sz="4" w:space="0" w:color="auto"/>
              <w:bottom w:val="single" w:sz="4" w:space="0" w:color="auto"/>
              <w:right w:val="single" w:sz="4" w:space="0" w:color="auto"/>
            </w:tcBorders>
            <w:vAlign w:val="center"/>
            <w:hideMark/>
          </w:tcPr>
          <w:p w:rsidR="00F116C2" w:rsidRDefault="004F0556">
            <w:pPr>
              <w:keepNext/>
              <w:widowControl/>
              <w:spacing w:line="256" w:lineRule="auto"/>
              <w:jc w:val="left"/>
              <w:rPr>
                <w:rFonts w:ascii="Arial Narrow" w:hAnsi="Arial Narrow"/>
                <w:sz w:val="20"/>
              </w:rPr>
            </w:pPr>
            <w:r>
              <w:rPr>
                <w:rFonts w:ascii="Arial Narrow" w:hAnsi="Arial Narrow"/>
                <w:sz w:val="20"/>
              </w:rPr>
              <w:t>Mean dose of OCA</w:t>
            </w:r>
          </w:p>
        </w:tc>
        <w:tc>
          <w:tcPr>
            <w:tcW w:w="1225"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6.2mg</w:t>
            </w:r>
          </w:p>
        </w:tc>
        <w:tc>
          <w:tcPr>
            <w:tcW w:w="1223"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NA</w:t>
            </w:r>
          </w:p>
        </w:tc>
        <w:tc>
          <w:tcPr>
            <w:tcW w:w="1189"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NA</w:t>
            </w:r>
          </w:p>
        </w:tc>
      </w:tr>
      <w:tr w:rsidR="00F116C2" w:rsidTr="00EC5473">
        <w:trPr>
          <w:jc w:val="center"/>
        </w:trPr>
        <w:tc>
          <w:tcPr>
            <w:tcW w:w="1363" w:type="pct"/>
            <w:tcBorders>
              <w:top w:val="single" w:sz="4" w:space="0" w:color="auto"/>
              <w:left w:val="single" w:sz="4" w:space="0" w:color="auto"/>
              <w:bottom w:val="single" w:sz="4" w:space="0" w:color="auto"/>
              <w:right w:val="single" w:sz="4" w:space="0" w:color="auto"/>
            </w:tcBorders>
            <w:vAlign w:val="center"/>
            <w:hideMark/>
          </w:tcPr>
          <w:p w:rsidR="00F116C2" w:rsidRDefault="004F0556">
            <w:pPr>
              <w:keepNext/>
              <w:widowControl/>
              <w:spacing w:line="256" w:lineRule="auto"/>
              <w:jc w:val="left"/>
              <w:rPr>
                <w:rFonts w:ascii="Arial Narrow" w:hAnsi="Arial Narrow"/>
                <w:sz w:val="20"/>
              </w:rPr>
            </w:pPr>
            <w:r>
              <w:rPr>
                <w:rFonts w:ascii="Arial Narrow" w:hAnsi="Arial Narrow"/>
                <w:sz w:val="20"/>
              </w:rPr>
              <w:t>Mean duration of OCA</w:t>
            </w:r>
          </w:p>
        </w:tc>
        <w:tc>
          <w:tcPr>
            <w:tcW w:w="1225"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341.7 days</w:t>
            </w:r>
          </w:p>
        </w:tc>
        <w:tc>
          <w:tcPr>
            <w:tcW w:w="1223"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 xml:space="preserve">365 days per year. </w:t>
            </w:r>
            <w:r>
              <w:rPr>
                <w:rFonts w:ascii="Arial Narrow" w:hAnsi="Arial Narrow"/>
                <w:sz w:val="20"/>
              </w:rPr>
              <w:br/>
              <w:t>9.86% discontinue after 3 months and 44.1% discontinue at 12 months.</w:t>
            </w:r>
          </w:p>
        </w:tc>
        <w:tc>
          <w:tcPr>
            <w:tcW w:w="1189"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 xml:space="preserve">365 days per year. </w:t>
            </w:r>
            <w:r>
              <w:rPr>
                <w:rFonts w:ascii="Arial Narrow" w:hAnsi="Arial Narrow"/>
                <w:sz w:val="20"/>
              </w:rPr>
              <w:br/>
              <w:t>54% discontinue at 12 months.</w:t>
            </w:r>
          </w:p>
        </w:tc>
      </w:tr>
      <w:tr w:rsidR="00F116C2" w:rsidTr="00EC5473">
        <w:trPr>
          <w:jc w:val="center"/>
        </w:trPr>
        <w:tc>
          <w:tcPr>
            <w:tcW w:w="1363" w:type="pct"/>
            <w:tcBorders>
              <w:top w:val="single" w:sz="4" w:space="0" w:color="auto"/>
              <w:left w:val="single" w:sz="4" w:space="0" w:color="auto"/>
              <w:bottom w:val="single" w:sz="4" w:space="0" w:color="auto"/>
              <w:right w:val="single" w:sz="4" w:space="0" w:color="auto"/>
            </w:tcBorders>
            <w:vAlign w:val="center"/>
            <w:hideMark/>
          </w:tcPr>
          <w:p w:rsidR="00F116C2" w:rsidRDefault="004F0556">
            <w:pPr>
              <w:keepNext/>
              <w:widowControl/>
              <w:spacing w:line="256" w:lineRule="auto"/>
              <w:jc w:val="left"/>
              <w:rPr>
                <w:rFonts w:ascii="Arial Narrow" w:hAnsi="Arial Narrow"/>
                <w:sz w:val="20"/>
              </w:rPr>
            </w:pPr>
            <w:r>
              <w:rPr>
                <w:rFonts w:ascii="Arial Narrow" w:hAnsi="Arial Narrow"/>
                <w:sz w:val="20"/>
              </w:rPr>
              <w:t>Cost/patient/month of OCA (effective price)</w:t>
            </w:r>
          </w:p>
        </w:tc>
        <w:tc>
          <w:tcPr>
            <w:tcW w:w="1225"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cs="Calibri"/>
                <w:sz w:val="20"/>
              </w:rPr>
              <w:t>$</w:t>
            </w:r>
            <w:r w:rsidR="00B624C9">
              <w:rPr>
                <w:rFonts w:ascii="Arial Narrow" w:hAnsi="Arial Narrow" w:cs="Calibri"/>
                <w:noProof/>
                <w:color w:val="000000"/>
                <w:sz w:val="20"/>
                <w:highlight w:val="black"/>
              </w:rPr>
              <w:t>'''''''''''''''''''''</w:t>
            </w:r>
          </w:p>
        </w:tc>
        <w:tc>
          <w:tcPr>
            <w:tcW w:w="1223"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cs="Calibri"/>
                <w:sz w:val="20"/>
              </w:rPr>
              <w:t>$</w:t>
            </w:r>
            <w:r w:rsidR="00B624C9">
              <w:rPr>
                <w:rFonts w:ascii="Arial Narrow" w:hAnsi="Arial Narrow" w:cs="Calibri"/>
                <w:noProof/>
                <w:color w:val="000000"/>
                <w:sz w:val="20"/>
                <w:highlight w:val="black"/>
              </w:rPr>
              <w:t>'''''''''''''''''''''''</w:t>
            </w:r>
          </w:p>
        </w:tc>
        <w:tc>
          <w:tcPr>
            <w:tcW w:w="1189"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cs="Calibri"/>
                <w:sz w:val="20"/>
              </w:rPr>
              <w:t>$</w:t>
            </w:r>
            <w:r w:rsidR="00B624C9">
              <w:rPr>
                <w:rFonts w:ascii="Arial Narrow" w:hAnsi="Arial Narrow" w:cs="Calibri"/>
                <w:noProof/>
                <w:color w:val="000000"/>
                <w:sz w:val="20"/>
                <w:highlight w:val="black"/>
              </w:rPr>
              <w:t>''''''''''''''''''''''</w:t>
            </w:r>
          </w:p>
        </w:tc>
      </w:tr>
      <w:tr w:rsidR="00F116C2" w:rsidTr="00EC5473">
        <w:trPr>
          <w:jc w:val="center"/>
        </w:trPr>
        <w:tc>
          <w:tcPr>
            <w:tcW w:w="1363" w:type="pct"/>
            <w:tcBorders>
              <w:top w:val="single" w:sz="4" w:space="0" w:color="auto"/>
              <w:left w:val="single" w:sz="4" w:space="0" w:color="auto"/>
              <w:bottom w:val="single" w:sz="4" w:space="0" w:color="auto"/>
              <w:right w:val="single" w:sz="4" w:space="0" w:color="auto"/>
            </w:tcBorders>
            <w:vAlign w:val="center"/>
            <w:hideMark/>
          </w:tcPr>
          <w:p w:rsidR="00F116C2" w:rsidRDefault="004F0556">
            <w:pPr>
              <w:keepNext/>
              <w:widowControl/>
              <w:spacing w:line="256" w:lineRule="auto"/>
              <w:jc w:val="left"/>
              <w:rPr>
                <w:rFonts w:ascii="Arial Narrow" w:hAnsi="Arial Narrow"/>
                <w:sz w:val="20"/>
              </w:rPr>
            </w:pPr>
            <w:r>
              <w:rPr>
                <w:rFonts w:ascii="Arial Narrow" w:hAnsi="Arial Narrow"/>
                <w:sz w:val="20"/>
              </w:rPr>
              <w:t>Cost/patient/year (chronic) of OCA (effective price)</w:t>
            </w:r>
          </w:p>
        </w:tc>
        <w:tc>
          <w:tcPr>
            <w:tcW w:w="1225"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w:t>
            </w:r>
            <w:r w:rsidR="00B624C9">
              <w:rPr>
                <w:rFonts w:ascii="Arial Narrow" w:hAnsi="Arial Narrow"/>
                <w:noProof/>
                <w:color w:val="000000"/>
                <w:sz w:val="20"/>
                <w:highlight w:val="black"/>
              </w:rPr>
              <w:t>''''''''''''''''''''''''''</w:t>
            </w:r>
          </w:p>
        </w:tc>
        <w:tc>
          <w:tcPr>
            <w:tcW w:w="1223"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w:t>
            </w:r>
            <w:r w:rsidR="00B624C9">
              <w:rPr>
                <w:rFonts w:ascii="Arial Narrow" w:hAnsi="Arial Narrow"/>
                <w:noProof/>
                <w:color w:val="000000"/>
                <w:sz w:val="20"/>
                <w:highlight w:val="black"/>
              </w:rPr>
              <w:t>'''''''''''''''''''''''''''''</w:t>
            </w:r>
          </w:p>
        </w:tc>
        <w:tc>
          <w:tcPr>
            <w:tcW w:w="1189" w:type="pct"/>
            <w:tcBorders>
              <w:top w:val="single" w:sz="4" w:space="0" w:color="auto"/>
              <w:left w:val="single" w:sz="4" w:space="0" w:color="auto"/>
              <w:bottom w:val="single" w:sz="4" w:space="0" w:color="auto"/>
              <w:right w:val="single" w:sz="4" w:space="0" w:color="auto"/>
            </w:tcBorders>
            <w:vAlign w:val="center"/>
          </w:tcPr>
          <w:p w:rsidR="00F116C2" w:rsidRDefault="004F0556">
            <w:pPr>
              <w:keepNext/>
              <w:widowControl/>
              <w:spacing w:line="256" w:lineRule="auto"/>
              <w:jc w:val="center"/>
              <w:rPr>
                <w:rFonts w:ascii="Arial Narrow" w:hAnsi="Arial Narrow"/>
                <w:sz w:val="20"/>
              </w:rPr>
            </w:pPr>
            <w:r>
              <w:rPr>
                <w:rFonts w:ascii="Arial Narrow" w:hAnsi="Arial Narrow"/>
                <w:sz w:val="20"/>
              </w:rPr>
              <w:t>$</w:t>
            </w:r>
            <w:r w:rsidR="00B624C9">
              <w:rPr>
                <w:rFonts w:ascii="Arial Narrow" w:hAnsi="Arial Narrow"/>
                <w:noProof/>
                <w:color w:val="000000"/>
                <w:sz w:val="20"/>
                <w:highlight w:val="black"/>
              </w:rPr>
              <w:t>'''''''''''''''''''''''</w:t>
            </w:r>
          </w:p>
        </w:tc>
      </w:tr>
    </w:tbl>
    <w:p w:rsidR="00F116C2" w:rsidRDefault="004F0556">
      <w:pPr>
        <w:widowControl/>
        <w:rPr>
          <w:rFonts w:ascii="Arial Narrow" w:hAnsi="Arial Narrow"/>
          <w:sz w:val="18"/>
          <w:szCs w:val="18"/>
        </w:rPr>
      </w:pPr>
      <w:r>
        <w:rPr>
          <w:rFonts w:ascii="Arial Narrow" w:hAnsi="Arial Narrow"/>
          <w:sz w:val="18"/>
          <w:szCs w:val="18"/>
        </w:rPr>
        <w:t>NA: not applicable as the resubmission did not estimate the proportion using 5 mg versus 10 mg due to flat pricing; OCA = obeticholic acid; UDCA = ursodeoxycholic acid.</w:t>
      </w:r>
    </w:p>
    <w:p w:rsidR="00F116C2" w:rsidRDefault="004F0556">
      <w:pPr>
        <w:widowControl/>
        <w:rPr>
          <w:rFonts w:ascii="Arial Narrow" w:hAnsi="Arial Narrow"/>
          <w:sz w:val="18"/>
          <w:szCs w:val="18"/>
        </w:rPr>
      </w:pPr>
      <w:r>
        <w:rPr>
          <w:rFonts w:ascii="Arial Narrow" w:hAnsi="Arial Narrow"/>
          <w:sz w:val="18"/>
          <w:szCs w:val="18"/>
        </w:rPr>
        <w:t>* Price per 30 tablet pack</w:t>
      </w:r>
    </w:p>
    <w:p w:rsidR="00F116C2" w:rsidRDefault="004F0556">
      <w:pPr>
        <w:widowControl/>
        <w:rPr>
          <w:rFonts w:ascii="Arial Narrow" w:hAnsi="Arial Narrow"/>
          <w:sz w:val="18"/>
          <w:szCs w:val="18"/>
        </w:rPr>
      </w:pPr>
      <w:r>
        <w:rPr>
          <w:rFonts w:ascii="Arial Narrow" w:hAnsi="Arial Narrow"/>
          <w:sz w:val="18"/>
          <w:szCs w:val="18"/>
        </w:rPr>
        <w:t>** Calculated during evaluation using Attachment 9 assuming mean duration of 341.7 days.</w:t>
      </w:r>
    </w:p>
    <w:p w:rsidR="00F116C2" w:rsidRDefault="004F0556">
      <w:pPr>
        <w:widowControl/>
        <w:rPr>
          <w:rFonts w:ascii="Arial Narrow" w:hAnsi="Arial Narrow"/>
          <w:sz w:val="18"/>
          <w:szCs w:val="18"/>
        </w:rPr>
      </w:pPr>
      <w:r>
        <w:rPr>
          <w:rFonts w:ascii="Arial Narrow" w:hAnsi="Arial Narrow"/>
          <w:sz w:val="18"/>
          <w:szCs w:val="18"/>
        </w:rPr>
        <w:t>*** Assuming patients continue treatment</w:t>
      </w:r>
    </w:p>
    <w:p w:rsidR="00F116C2" w:rsidRDefault="004F0556">
      <w:pPr>
        <w:widowControl/>
        <w:rPr>
          <w:rFonts w:ascii="Arial Narrow" w:hAnsi="Arial Narrow"/>
          <w:sz w:val="18"/>
          <w:szCs w:val="18"/>
        </w:rPr>
      </w:pPr>
      <w:r>
        <w:rPr>
          <w:rFonts w:ascii="Arial Narrow" w:hAnsi="Arial Narrow"/>
          <w:sz w:val="18"/>
          <w:szCs w:val="18"/>
        </w:rPr>
        <w:t>Source: Table 52, p200 of CSR for POISE study (Attachment 2), sheet Clinical Inputs and sheet Treatment costs, Attachment 9, and Table 4.11 p131 of the resubmission.</w:t>
      </w:r>
    </w:p>
    <w:p w:rsidR="00F116C2" w:rsidRDefault="00F116C2">
      <w:pPr>
        <w:widowControl/>
      </w:pPr>
    </w:p>
    <w:p w:rsidR="00F116C2" w:rsidRDefault="004F0556">
      <w:pPr>
        <w:pStyle w:val="Heading2"/>
        <w:widowControl/>
      </w:pPr>
      <w:bookmarkStart w:id="18" w:name="_Toc9335720"/>
      <w:r>
        <w:t>Estimated PBS usage &amp; financial implications</w:t>
      </w:r>
      <w:bookmarkEnd w:id="18"/>
    </w:p>
    <w:p w:rsidR="00F116C2" w:rsidRDefault="004F0556">
      <w:pPr>
        <w:pStyle w:val="ListParagraph"/>
        <w:widowControl/>
        <w:numPr>
          <w:ilvl w:val="1"/>
          <w:numId w:val="2"/>
        </w:numPr>
      </w:pPr>
      <w:r>
        <w:t xml:space="preserve">The resubmission was not considered by DUSC. The resubmission used a market share approach to estimate the financial impact of listing OCA on the PBS and RPBS for the treatment of PBC. The key data sources were UDCA PBS utilisation data from the DUSC advice to the November 2018 submission, a specialist survey, and the POISE trial. This approach differed from the previous submission that used an epidemiology approach. </w:t>
      </w:r>
    </w:p>
    <w:p w:rsidR="00F116C2" w:rsidRDefault="004F0556">
      <w:pPr>
        <w:pStyle w:val="ListParagraph"/>
        <w:widowControl/>
        <w:numPr>
          <w:ilvl w:val="1"/>
          <w:numId w:val="2"/>
        </w:numPr>
      </w:pPr>
      <w:r>
        <w:lastRenderedPageBreak/>
        <w:t xml:space="preserve">Estimated uptake was significantly lower than assumed in the previous submission. The other key difference compared to the previous submission was the inclusion of an assumption that 54% of patients discontinue treatment at 12 months. </w:t>
      </w:r>
    </w:p>
    <w:p w:rsidR="00F116C2" w:rsidRDefault="004F0556">
      <w:pPr>
        <w:pStyle w:val="ListParagraph"/>
        <w:widowControl/>
        <w:numPr>
          <w:ilvl w:val="1"/>
          <w:numId w:val="2"/>
        </w:numPr>
      </w:pPr>
      <w:r>
        <w:t>Table 12 presents the estimated use and financial implications.</w:t>
      </w:r>
    </w:p>
    <w:p w:rsidR="00EC5473" w:rsidRPr="00EC5473" w:rsidRDefault="00EC5473" w:rsidP="00EC5473">
      <w:pPr>
        <w:keepNext/>
        <w:widowControl/>
        <w:rPr>
          <w:rStyle w:val="CommentReference"/>
        </w:rPr>
      </w:pPr>
      <w:bookmarkStart w:id="19" w:name="_GoBack"/>
      <w:bookmarkEnd w:id="19"/>
      <w:r w:rsidRPr="00EC5473">
        <w:rPr>
          <w:rStyle w:val="CommentReference"/>
        </w:rPr>
        <w:t xml:space="preserve">Table </w:t>
      </w:r>
      <w:r w:rsidRPr="00EC5473">
        <w:rPr>
          <w:rStyle w:val="CommentReference"/>
        </w:rPr>
        <w:fldChar w:fldCharType="begin"/>
      </w:r>
      <w:r w:rsidRPr="00EC5473">
        <w:rPr>
          <w:rStyle w:val="CommentReference"/>
        </w:rPr>
        <w:instrText xml:space="preserve"> SEQ Table \* ARABIC </w:instrText>
      </w:r>
      <w:r w:rsidRPr="00EC5473">
        <w:rPr>
          <w:rStyle w:val="CommentReference"/>
        </w:rPr>
        <w:fldChar w:fldCharType="separate"/>
      </w:r>
      <w:r w:rsidR="009C1169">
        <w:rPr>
          <w:rStyle w:val="CommentReference"/>
          <w:noProof/>
        </w:rPr>
        <w:t>12</w:t>
      </w:r>
      <w:r w:rsidRPr="00EC5473">
        <w:rPr>
          <w:rStyle w:val="CommentReference"/>
        </w:rPr>
        <w:fldChar w:fldCharType="end"/>
      </w:r>
      <w:r w:rsidRPr="00EC5473">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se and financial implications"/>
      </w:tblPr>
      <w:tblGrid>
        <w:gridCol w:w="2816"/>
        <w:gridCol w:w="997"/>
        <w:gridCol w:w="1060"/>
        <w:gridCol w:w="1028"/>
        <w:gridCol w:w="1028"/>
        <w:gridCol w:w="1028"/>
        <w:gridCol w:w="1060"/>
      </w:tblGrid>
      <w:tr w:rsidR="00F116C2" w:rsidTr="00EC5473">
        <w:trPr>
          <w:tblHeader/>
        </w:trPr>
        <w:tc>
          <w:tcPr>
            <w:tcW w:w="1561" w:type="pct"/>
            <w:shd w:val="clear" w:color="auto" w:fill="auto"/>
            <w:vAlign w:val="center"/>
          </w:tcPr>
          <w:p w:rsidR="00F116C2" w:rsidRDefault="00F116C2">
            <w:pPr>
              <w:pStyle w:val="Tabletext"/>
              <w:keepNext/>
              <w:rPr>
                <w:szCs w:val="20"/>
              </w:rPr>
            </w:pPr>
          </w:p>
        </w:tc>
        <w:tc>
          <w:tcPr>
            <w:tcW w:w="553" w:type="pct"/>
            <w:shd w:val="clear" w:color="auto" w:fill="auto"/>
            <w:vAlign w:val="center"/>
          </w:tcPr>
          <w:p w:rsidR="00F116C2" w:rsidRDefault="004F0556">
            <w:pPr>
              <w:pStyle w:val="Tabletext"/>
              <w:keepNext/>
              <w:jc w:val="center"/>
              <w:rPr>
                <w:b/>
                <w:szCs w:val="20"/>
              </w:rPr>
            </w:pPr>
            <w:r>
              <w:rPr>
                <w:b/>
                <w:szCs w:val="20"/>
              </w:rPr>
              <w:t>Year 1</w:t>
            </w:r>
          </w:p>
          <w:p w:rsidR="00F116C2" w:rsidRDefault="004F0556">
            <w:pPr>
              <w:pStyle w:val="Tabletext"/>
              <w:keepNext/>
              <w:jc w:val="center"/>
              <w:rPr>
                <w:b/>
                <w:szCs w:val="20"/>
              </w:rPr>
            </w:pPr>
            <w:r>
              <w:rPr>
                <w:b/>
                <w:szCs w:val="20"/>
              </w:rPr>
              <w:t>(2020)</w:t>
            </w:r>
          </w:p>
        </w:tc>
        <w:tc>
          <w:tcPr>
            <w:tcW w:w="588" w:type="pct"/>
            <w:shd w:val="clear" w:color="auto" w:fill="auto"/>
            <w:vAlign w:val="center"/>
          </w:tcPr>
          <w:p w:rsidR="00F116C2" w:rsidRDefault="004F0556">
            <w:pPr>
              <w:pStyle w:val="Tabletext"/>
              <w:keepNext/>
              <w:jc w:val="center"/>
              <w:rPr>
                <w:b/>
                <w:szCs w:val="20"/>
              </w:rPr>
            </w:pPr>
            <w:r>
              <w:rPr>
                <w:b/>
                <w:szCs w:val="20"/>
              </w:rPr>
              <w:t>Year 2</w:t>
            </w:r>
          </w:p>
          <w:p w:rsidR="00F116C2" w:rsidRDefault="004F0556">
            <w:pPr>
              <w:pStyle w:val="Tabletext"/>
              <w:keepNext/>
              <w:jc w:val="center"/>
              <w:rPr>
                <w:b/>
                <w:szCs w:val="20"/>
              </w:rPr>
            </w:pPr>
            <w:r>
              <w:rPr>
                <w:b/>
                <w:szCs w:val="20"/>
              </w:rPr>
              <w:t>(2021)</w:t>
            </w:r>
          </w:p>
        </w:tc>
        <w:tc>
          <w:tcPr>
            <w:tcW w:w="570" w:type="pct"/>
            <w:shd w:val="clear" w:color="auto" w:fill="auto"/>
            <w:vAlign w:val="center"/>
          </w:tcPr>
          <w:p w:rsidR="00F116C2" w:rsidRDefault="004F0556">
            <w:pPr>
              <w:pStyle w:val="Tabletext"/>
              <w:keepNext/>
              <w:jc w:val="center"/>
              <w:rPr>
                <w:b/>
                <w:szCs w:val="20"/>
              </w:rPr>
            </w:pPr>
            <w:r>
              <w:rPr>
                <w:b/>
                <w:szCs w:val="20"/>
              </w:rPr>
              <w:t>Year 3</w:t>
            </w:r>
          </w:p>
          <w:p w:rsidR="00F116C2" w:rsidRDefault="004F0556">
            <w:pPr>
              <w:pStyle w:val="Tabletext"/>
              <w:keepNext/>
              <w:jc w:val="center"/>
              <w:rPr>
                <w:b/>
                <w:szCs w:val="20"/>
              </w:rPr>
            </w:pPr>
            <w:r>
              <w:rPr>
                <w:b/>
                <w:szCs w:val="20"/>
              </w:rPr>
              <w:t>(2022)</w:t>
            </w:r>
          </w:p>
        </w:tc>
        <w:tc>
          <w:tcPr>
            <w:tcW w:w="570" w:type="pct"/>
            <w:shd w:val="clear" w:color="auto" w:fill="auto"/>
            <w:vAlign w:val="center"/>
          </w:tcPr>
          <w:p w:rsidR="00F116C2" w:rsidRDefault="004F0556">
            <w:pPr>
              <w:pStyle w:val="Tabletext"/>
              <w:keepNext/>
              <w:jc w:val="center"/>
              <w:rPr>
                <w:b/>
                <w:szCs w:val="20"/>
              </w:rPr>
            </w:pPr>
            <w:r>
              <w:rPr>
                <w:b/>
                <w:szCs w:val="20"/>
              </w:rPr>
              <w:t>Year 4</w:t>
            </w:r>
          </w:p>
          <w:p w:rsidR="00F116C2" w:rsidRDefault="004F0556">
            <w:pPr>
              <w:pStyle w:val="Tabletext"/>
              <w:keepNext/>
              <w:jc w:val="center"/>
              <w:rPr>
                <w:b/>
                <w:szCs w:val="20"/>
              </w:rPr>
            </w:pPr>
            <w:r>
              <w:rPr>
                <w:b/>
                <w:szCs w:val="20"/>
              </w:rPr>
              <w:t>(2023)</w:t>
            </w:r>
          </w:p>
        </w:tc>
        <w:tc>
          <w:tcPr>
            <w:tcW w:w="570" w:type="pct"/>
            <w:shd w:val="clear" w:color="auto" w:fill="auto"/>
            <w:vAlign w:val="center"/>
          </w:tcPr>
          <w:p w:rsidR="00F116C2" w:rsidRDefault="004F0556">
            <w:pPr>
              <w:pStyle w:val="Tabletext"/>
              <w:keepNext/>
              <w:jc w:val="center"/>
              <w:rPr>
                <w:b/>
                <w:szCs w:val="20"/>
              </w:rPr>
            </w:pPr>
            <w:r>
              <w:rPr>
                <w:b/>
                <w:szCs w:val="20"/>
              </w:rPr>
              <w:t>Year 5</w:t>
            </w:r>
          </w:p>
          <w:p w:rsidR="00F116C2" w:rsidRDefault="004F0556">
            <w:pPr>
              <w:pStyle w:val="Tabletext"/>
              <w:keepNext/>
              <w:jc w:val="center"/>
              <w:rPr>
                <w:b/>
                <w:szCs w:val="20"/>
              </w:rPr>
            </w:pPr>
            <w:r>
              <w:rPr>
                <w:b/>
                <w:szCs w:val="20"/>
              </w:rPr>
              <w:t>(2024)</w:t>
            </w:r>
          </w:p>
        </w:tc>
        <w:tc>
          <w:tcPr>
            <w:tcW w:w="588" w:type="pct"/>
          </w:tcPr>
          <w:p w:rsidR="00F116C2" w:rsidRDefault="004F0556">
            <w:pPr>
              <w:pStyle w:val="Tabletext"/>
              <w:keepNext/>
              <w:jc w:val="center"/>
              <w:rPr>
                <w:b/>
                <w:szCs w:val="20"/>
              </w:rPr>
            </w:pPr>
            <w:r>
              <w:rPr>
                <w:b/>
                <w:szCs w:val="20"/>
              </w:rPr>
              <w:t>Year 6</w:t>
            </w:r>
          </w:p>
          <w:p w:rsidR="00F116C2" w:rsidRDefault="004F0556">
            <w:pPr>
              <w:pStyle w:val="Tabletext"/>
              <w:keepNext/>
              <w:jc w:val="center"/>
              <w:rPr>
                <w:b/>
                <w:szCs w:val="20"/>
              </w:rPr>
            </w:pPr>
            <w:r>
              <w:rPr>
                <w:b/>
                <w:szCs w:val="20"/>
              </w:rPr>
              <w:t>(2025)</w:t>
            </w:r>
          </w:p>
        </w:tc>
      </w:tr>
      <w:tr w:rsidR="00F116C2">
        <w:tc>
          <w:tcPr>
            <w:tcW w:w="5000" w:type="pct"/>
            <w:gridSpan w:val="7"/>
            <w:shd w:val="clear" w:color="auto" w:fill="auto"/>
            <w:vAlign w:val="center"/>
          </w:tcPr>
          <w:p w:rsidR="00F116C2" w:rsidRDefault="004F0556">
            <w:pPr>
              <w:pStyle w:val="Tabletext"/>
              <w:keepNext/>
              <w:rPr>
                <w:b/>
                <w:bCs/>
                <w:color w:val="000000"/>
                <w:szCs w:val="20"/>
              </w:rPr>
            </w:pPr>
            <w:r>
              <w:rPr>
                <w:b/>
                <w:bCs/>
                <w:color w:val="000000"/>
                <w:szCs w:val="20"/>
              </w:rPr>
              <w:t>Estimated extent of use</w:t>
            </w:r>
          </w:p>
        </w:tc>
      </w:tr>
      <w:tr w:rsidR="00F116C2" w:rsidTr="00EC5473">
        <w:tc>
          <w:tcPr>
            <w:tcW w:w="1561" w:type="pct"/>
            <w:shd w:val="clear" w:color="auto" w:fill="auto"/>
            <w:vAlign w:val="center"/>
          </w:tcPr>
          <w:p w:rsidR="00F116C2" w:rsidRDefault="004F0556">
            <w:pPr>
              <w:pStyle w:val="Tabletext"/>
              <w:keepNext/>
              <w:rPr>
                <w:rFonts w:ascii="Times" w:hAnsi="Times"/>
                <w:szCs w:val="20"/>
              </w:rPr>
            </w:pPr>
            <w:r>
              <w:rPr>
                <w:szCs w:val="20"/>
              </w:rPr>
              <w:t>Number of patients treated</w:t>
            </w:r>
          </w:p>
        </w:tc>
        <w:tc>
          <w:tcPr>
            <w:tcW w:w="553" w:type="pct"/>
            <w:shd w:val="clear" w:color="auto" w:fill="auto"/>
            <w:vAlign w:val="center"/>
          </w:tcPr>
          <w:p w:rsidR="00F116C2" w:rsidRPr="00B624C9" w:rsidRDefault="00B624C9">
            <w:pPr>
              <w:pStyle w:val="Tabletext"/>
              <w:keepNext/>
              <w:jc w:val="center"/>
              <w:rPr>
                <w:bCs/>
                <w:color w:val="000000"/>
                <w:szCs w:val="20"/>
                <w:highlight w:val="black"/>
              </w:rPr>
            </w:pPr>
            <w:r>
              <w:rPr>
                <w:noProof/>
                <w:color w:val="000000"/>
                <w:szCs w:val="20"/>
                <w:highlight w:val="black"/>
              </w:rPr>
              <w:t>'''''''''</w:t>
            </w:r>
          </w:p>
        </w:tc>
        <w:tc>
          <w:tcPr>
            <w:tcW w:w="588" w:type="pct"/>
            <w:shd w:val="clear" w:color="auto" w:fill="auto"/>
            <w:vAlign w:val="center"/>
          </w:tcPr>
          <w:p w:rsidR="00F116C2" w:rsidRPr="00B624C9" w:rsidRDefault="00B624C9">
            <w:pPr>
              <w:pStyle w:val="Tabletext"/>
              <w:keepNext/>
              <w:jc w:val="center"/>
              <w:rPr>
                <w:bCs/>
                <w:color w:val="000000"/>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bCs/>
                <w:color w:val="000000"/>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bCs/>
                <w:color w:val="000000"/>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bCs/>
                <w:color w:val="000000"/>
                <w:szCs w:val="20"/>
                <w:highlight w:val="black"/>
              </w:rPr>
            </w:pPr>
            <w:r>
              <w:rPr>
                <w:noProof/>
                <w:color w:val="000000"/>
                <w:szCs w:val="20"/>
                <w:highlight w:val="black"/>
              </w:rPr>
              <w:t>''''''''''''''</w:t>
            </w:r>
          </w:p>
        </w:tc>
        <w:tc>
          <w:tcPr>
            <w:tcW w:w="588" w:type="pct"/>
            <w:vAlign w:val="center"/>
          </w:tcPr>
          <w:p w:rsidR="00F116C2" w:rsidRPr="00B624C9" w:rsidRDefault="00B624C9">
            <w:pPr>
              <w:pStyle w:val="Tabletext"/>
              <w:keepNext/>
              <w:jc w:val="center"/>
              <w:rPr>
                <w:bCs/>
                <w:color w:val="000000"/>
                <w:szCs w:val="20"/>
                <w:highlight w:val="black"/>
              </w:rPr>
            </w:pPr>
            <w:r>
              <w:rPr>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 xml:space="preserve">Correct number of patients treated </w:t>
            </w:r>
            <w:r>
              <w:rPr>
                <w:szCs w:val="20"/>
                <w:vertAlign w:val="superscript"/>
              </w:rPr>
              <w:t>a</w:t>
            </w:r>
          </w:p>
        </w:tc>
        <w:tc>
          <w:tcPr>
            <w:tcW w:w="553" w:type="pct"/>
            <w:shd w:val="clear" w:color="auto" w:fill="auto"/>
            <w:vAlign w:val="center"/>
          </w:tcPr>
          <w:p w:rsidR="00F116C2" w:rsidRPr="00B624C9" w:rsidRDefault="00B624C9">
            <w:pPr>
              <w:pStyle w:val="Tabletext"/>
              <w:keepNext/>
              <w:jc w:val="center"/>
              <w:rPr>
                <w:szCs w:val="20"/>
                <w:highlight w:val="black"/>
              </w:rPr>
            </w:pPr>
            <w:r>
              <w:rPr>
                <w:rFonts w:cs="Calibri"/>
                <w:noProof/>
                <w:color w:val="000000"/>
                <w:szCs w:val="20"/>
                <w:highlight w:val="black"/>
              </w:rPr>
              <w:t>''''''''''</w:t>
            </w:r>
          </w:p>
        </w:tc>
        <w:tc>
          <w:tcPr>
            <w:tcW w:w="588" w:type="pct"/>
            <w:shd w:val="clear" w:color="auto" w:fill="auto"/>
            <w:vAlign w:val="center"/>
          </w:tcPr>
          <w:p w:rsidR="00F116C2" w:rsidRPr="00B624C9" w:rsidRDefault="00B624C9">
            <w:pPr>
              <w:pStyle w:val="Tabletext"/>
              <w:keepNext/>
              <w:jc w:val="center"/>
              <w:rPr>
                <w:szCs w:val="20"/>
                <w:highlight w:val="black"/>
              </w:rPr>
            </w:pPr>
            <w:r>
              <w:rPr>
                <w:rFonts w:cs="Calibri"/>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rFonts w:cs="Calibri"/>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rFonts w:cs="Calibri"/>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rFonts w:cs="Calibri"/>
                <w:noProof/>
                <w:color w:val="000000"/>
                <w:szCs w:val="20"/>
                <w:highlight w:val="black"/>
              </w:rPr>
              <w:t>'''''''''</w:t>
            </w:r>
          </w:p>
        </w:tc>
        <w:tc>
          <w:tcPr>
            <w:tcW w:w="588" w:type="pct"/>
            <w:vAlign w:val="center"/>
          </w:tcPr>
          <w:p w:rsidR="00F116C2" w:rsidRPr="00B624C9" w:rsidRDefault="00B624C9">
            <w:pPr>
              <w:pStyle w:val="Tabletext"/>
              <w:keepNext/>
              <w:jc w:val="center"/>
              <w:rPr>
                <w:szCs w:val="20"/>
                <w:highlight w:val="black"/>
              </w:rPr>
            </w:pPr>
            <w:r>
              <w:rPr>
                <w:rFonts w:cs="Calibri"/>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rFonts w:ascii="Times" w:hAnsi="Times"/>
                <w:szCs w:val="20"/>
              </w:rPr>
            </w:pPr>
            <w:r>
              <w:rPr>
                <w:szCs w:val="20"/>
              </w:rPr>
              <w:t>Number of scripts dispensed</w:t>
            </w:r>
          </w:p>
        </w:tc>
        <w:tc>
          <w:tcPr>
            <w:tcW w:w="553"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88"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88" w:type="pct"/>
            <w:vAlign w:val="center"/>
          </w:tcPr>
          <w:p w:rsidR="00F116C2" w:rsidRPr="00B624C9" w:rsidRDefault="00B624C9">
            <w:pPr>
              <w:pStyle w:val="Tabletext"/>
              <w:keepNext/>
              <w:jc w:val="center"/>
              <w:rPr>
                <w:szCs w:val="20"/>
                <w:highlight w:val="black"/>
              </w:rPr>
            </w:pPr>
            <w:r>
              <w:rPr>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 xml:space="preserve">Corrected number of scripts dispensed </w:t>
            </w:r>
            <w:r>
              <w:rPr>
                <w:szCs w:val="20"/>
                <w:vertAlign w:val="superscript"/>
              </w:rPr>
              <w:t>a,b</w:t>
            </w:r>
          </w:p>
        </w:tc>
        <w:tc>
          <w:tcPr>
            <w:tcW w:w="553"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88"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70" w:type="pct"/>
            <w:shd w:val="clear" w:color="auto" w:fill="auto"/>
            <w:vAlign w:val="center"/>
          </w:tcPr>
          <w:p w:rsidR="00F116C2" w:rsidRPr="00B624C9" w:rsidRDefault="00B624C9">
            <w:pPr>
              <w:pStyle w:val="Tabletext"/>
              <w:keepNext/>
              <w:jc w:val="center"/>
              <w:rPr>
                <w:szCs w:val="20"/>
                <w:highlight w:val="black"/>
              </w:rPr>
            </w:pPr>
            <w:r>
              <w:rPr>
                <w:noProof/>
                <w:color w:val="000000"/>
                <w:szCs w:val="20"/>
                <w:highlight w:val="black"/>
              </w:rPr>
              <w:t>'''''''''''''''</w:t>
            </w:r>
          </w:p>
        </w:tc>
        <w:tc>
          <w:tcPr>
            <w:tcW w:w="588" w:type="pct"/>
            <w:vAlign w:val="center"/>
          </w:tcPr>
          <w:p w:rsidR="00F116C2" w:rsidRPr="00B624C9" w:rsidRDefault="00B624C9">
            <w:pPr>
              <w:pStyle w:val="Tabletext"/>
              <w:keepNext/>
              <w:jc w:val="center"/>
              <w:rPr>
                <w:szCs w:val="20"/>
                <w:highlight w:val="black"/>
              </w:rPr>
            </w:pPr>
            <w:r>
              <w:rPr>
                <w:noProof/>
                <w:color w:val="000000"/>
                <w:szCs w:val="20"/>
                <w:highlight w:val="black"/>
              </w:rPr>
              <w:t>'''''''''''''''</w:t>
            </w:r>
          </w:p>
        </w:tc>
      </w:tr>
      <w:tr w:rsidR="00F116C2">
        <w:tc>
          <w:tcPr>
            <w:tcW w:w="5000" w:type="pct"/>
            <w:gridSpan w:val="7"/>
            <w:shd w:val="clear" w:color="auto" w:fill="auto"/>
            <w:vAlign w:val="center"/>
          </w:tcPr>
          <w:p w:rsidR="00F116C2" w:rsidRDefault="004F0556">
            <w:pPr>
              <w:pStyle w:val="Tabletext"/>
              <w:keepNext/>
              <w:rPr>
                <w:b/>
                <w:bCs/>
                <w:color w:val="000000"/>
                <w:szCs w:val="20"/>
              </w:rPr>
            </w:pPr>
            <w:r>
              <w:rPr>
                <w:b/>
                <w:bCs/>
                <w:color w:val="000000"/>
                <w:szCs w:val="20"/>
              </w:rPr>
              <w:t>Estimated financial implications of OCA</w:t>
            </w:r>
          </w:p>
        </w:tc>
      </w:tr>
      <w:tr w:rsidR="00F116C2" w:rsidTr="00EC5473">
        <w:tc>
          <w:tcPr>
            <w:tcW w:w="1561" w:type="pct"/>
            <w:shd w:val="clear" w:color="auto" w:fill="auto"/>
            <w:vAlign w:val="center"/>
          </w:tcPr>
          <w:p w:rsidR="00F116C2" w:rsidRDefault="004F0556">
            <w:pPr>
              <w:pStyle w:val="Tabletext"/>
              <w:keepNext/>
              <w:rPr>
                <w:rFonts w:ascii="Times" w:hAnsi="Times"/>
                <w:szCs w:val="20"/>
              </w:rPr>
            </w:pPr>
            <w:r>
              <w:rPr>
                <w:szCs w:val="20"/>
              </w:rPr>
              <w:t>Cost to PBS/RPBS</w:t>
            </w:r>
          </w:p>
        </w:tc>
        <w:tc>
          <w:tcPr>
            <w:tcW w:w="553"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Copayments</w:t>
            </w:r>
          </w:p>
        </w:tc>
        <w:tc>
          <w:tcPr>
            <w:tcW w:w="553"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Cost to PBS/RPBS less copayments</w:t>
            </w:r>
          </w:p>
        </w:tc>
        <w:tc>
          <w:tcPr>
            <w:tcW w:w="553"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 xml:space="preserve">Corrected cost to PBS/RPBS less copayments </w:t>
            </w:r>
            <w:r>
              <w:rPr>
                <w:szCs w:val="20"/>
                <w:vertAlign w:val="superscript"/>
              </w:rPr>
              <w:t>a,b</w:t>
            </w:r>
          </w:p>
        </w:tc>
        <w:tc>
          <w:tcPr>
            <w:tcW w:w="553" w:type="pct"/>
            <w:shd w:val="clear" w:color="auto" w:fill="auto"/>
            <w:vAlign w:val="center"/>
          </w:tcPr>
          <w:p w:rsidR="00F116C2" w:rsidRDefault="004F0556">
            <w:pPr>
              <w:pStyle w:val="Tabletext"/>
              <w:keepNext/>
              <w:jc w:val="center"/>
              <w:rPr>
                <w:bCs/>
                <w:color w:val="000000"/>
                <w:szCs w:val="20"/>
              </w:rPr>
            </w:pPr>
            <w:r>
              <w:rPr>
                <w:rFonts w:cs="Calibri"/>
                <w:bCs/>
                <w:color w:val="000000"/>
                <w:szCs w:val="20"/>
              </w:rPr>
              <w:t>$</w:t>
            </w:r>
            <w:r w:rsidR="00B624C9">
              <w:rPr>
                <w:rFonts w:cs="Calibri"/>
                <w:bCs/>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rFonts w:cs="Calibri"/>
                <w:bCs/>
                <w:color w:val="000000"/>
                <w:szCs w:val="20"/>
              </w:rPr>
              <w:t>$</w:t>
            </w:r>
            <w:r w:rsidR="00B624C9">
              <w:rPr>
                <w:rFonts w:cs="Calibri"/>
                <w:bCs/>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Calibri"/>
                <w:bCs/>
                <w:color w:val="000000"/>
                <w:szCs w:val="20"/>
              </w:rPr>
              <w:t>$</w:t>
            </w:r>
            <w:r w:rsidR="00B624C9">
              <w:rPr>
                <w:rFonts w:cs="Calibri"/>
                <w:bCs/>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Calibri"/>
                <w:bCs/>
                <w:color w:val="000000"/>
                <w:szCs w:val="20"/>
              </w:rPr>
              <w:t>$</w:t>
            </w:r>
            <w:r w:rsidR="00B624C9">
              <w:rPr>
                <w:rFonts w:cs="Calibri"/>
                <w:bCs/>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Calibri"/>
                <w:bCs/>
                <w:color w:val="000000"/>
                <w:szCs w:val="20"/>
              </w:rPr>
              <w:t>$</w:t>
            </w:r>
            <w:r w:rsidR="00B624C9">
              <w:rPr>
                <w:rFonts w:cs="Calibri"/>
                <w:bCs/>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rFonts w:cs="Calibri"/>
                <w:bCs/>
                <w:color w:val="000000"/>
                <w:szCs w:val="20"/>
              </w:rPr>
              <w:t>$</w:t>
            </w:r>
            <w:r w:rsidR="00B624C9">
              <w:rPr>
                <w:rFonts w:cs="Calibri"/>
                <w:bCs/>
                <w:noProof/>
                <w:color w:val="000000"/>
                <w:szCs w:val="20"/>
                <w:highlight w:val="black"/>
              </w:rPr>
              <w:t>''''''''''''''''''''''''''''</w:t>
            </w:r>
          </w:p>
        </w:tc>
      </w:tr>
      <w:tr w:rsidR="00F116C2">
        <w:tc>
          <w:tcPr>
            <w:tcW w:w="5000" w:type="pct"/>
            <w:gridSpan w:val="7"/>
            <w:shd w:val="clear" w:color="auto" w:fill="auto"/>
            <w:vAlign w:val="center"/>
          </w:tcPr>
          <w:p w:rsidR="00F116C2" w:rsidRDefault="004F0556">
            <w:pPr>
              <w:pStyle w:val="Tabletext"/>
              <w:keepNext/>
              <w:rPr>
                <w:bCs/>
                <w:color w:val="000000"/>
                <w:szCs w:val="20"/>
              </w:rPr>
            </w:pPr>
            <w:r>
              <w:rPr>
                <w:b/>
                <w:bCs/>
                <w:color w:val="000000"/>
                <w:szCs w:val="20"/>
              </w:rPr>
              <w:t>Estimated financial implications for cholestyramine</w:t>
            </w:r>
          </w:p>
        </w:tc>
      </w:tr>
      <w:tr w:rsidR="00F116C2" w:rsidTr="00EC5473">
        <w:tc>
          <w:tcPr>
            <w:tcW w:w="1561" w:type="pct"/>
            <w:shd w:val="clear" w:color="auto" w:fill="auto"/>
            <w:vAlign w:val="center"/>
          </w:tcPr>
          <w:p w:rsidR="00F116C2" w:rsidRDefault="004F0556">
            <w:pPr>
              <w:pStyle w:val="Tabletext"/>
              <w:keepNext/>
              <w:rPr>
                <w:szCs w:val="20"/>
              </w:rPr>
            </w:pPr>
            <w:r>
              <w:rPr>
                <w:szCs w:val="20"/>
              </w:rPr>
              <w:t>Net cost to PBS/RPBS less copayments</w:t>
            </w:r>
          </w:p>
        </w:tc>
        <w:tc>
          <w:tcPr>
            <w:tcW w:w="553"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 xml:space="preserve">Corrected net cost to PBS/RPBS less copayments </w:t>
            </w:r>
            <w:r>
              <w:rPr>
                <w:szCs w:val="20"/>
                <w:vertAlign w:val="superscript"/>
              </w:rPr>
              <w:t>a,b</w:t>
            </w:r>
          </w:p>
        </w:tc>
        <w:tc>
          <w:tcPr>
            <w:tcW w:w="553"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rFonts w:cs="Arial"/>
                <w:szCs w:val="20"/>
              </w:rPr>
              <w:t>$</w:t>
            </w:r>
            <w:r w:rsidR="00B624C9">
              <w:rPr>
                <w:rFonts w:cs="Arial"/>
                <w:noProof/>
                <w:color w:val="000000"/>
                <w:szCs w:val="20"/>
                <w:highlight w:val="black"/>
              </w:rPr>
              <w:t>'''''''''''''''''</w:t>
            </w:r>
          </w:p>
        </w:tc>
      </w:tr>
      <w:tr w:rsidR="00F116C2">
        <w:tc>
          <w:tcPr>
            <w:tcW w:w="5000" w:type="pct"/>
            <w:gridSpan w:val="7"/>
            <w:shd w:val="clear" w:color="auto" w:fill="auto"/>
            <w:vAlign w:val="center"/>
          </w:tcPr>
          <w:p w:rsidR="00F116C2" w:rsidRDefault="004F0556">
            <w:pPr>
              <w:pStyle w:val="Tabletext"/>
              <w:keepNext/>
              <w:rPr>
                <w:b/>
                <w:bCs/>
                <w:color w:val="000000"/>
                <w:szCs w:val="20"/>
              </w:rPr>
            </w:pPr>
            <w:r>
              <w:rPr>
                <w:b/>
                <w:bCs/>
                <w:color w:val="000000"/>
                <w:szCs w:val="20"/>
              </w:rPr>
              <w:t>Net financial implications</w:t>
            </w:r>
          </w:p>
        </w:tc>
      </w:tr>
      <w:tr w:rsidR="00F116C2" w:rsidTr="00EC5473">
        <w:tc>
          <w:tcPr>
            <w:tcW w:w="1561" w:type="pct"/>
            <w:shd w:val="clear" w:color="auto" w:fill="auto"/>
            <w:vAlign w:val="center"/>
          </w:tcPr>
          <w:p w:rsidR="00F116C2" w:rsidRDefault="004F0556">
            <w:pPr>
              <w:pStyle w:val="Tabletext"/>
              <w:keepNext/>
              <w:rPr>
                <w:szCs w:val="20"/>
              </w:rPr>
            </w:pPr>
            <w:r>
              <w:rPr>
                <w:szCs w:val="20"/>
              </w:rPr>
              <w:t>Net cost to PBS/RPBS</w:t>
            </w:r>
          </w:p>
        </w:tc>
        <w:tc>
          <w:tcPr>
            <w:tcW w:w="553"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szCs w:val="20"/>
              </w:rPr>
              <w:t>$</w:t>
            </w:r>
            <w:r w:rsidR="00B624C9">
              <w:rPr>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rFonts w:ascii="Times" w:hAnsi="Times"/>
                <w:szCs w:val="20"/>
              </w:rPr>
            </w:pPr>
            <w:r>
              <w:rPr>
                <w:szCs w:val="20"/>
              </w:rPr>
              <w:t>Net cost to MBS</w:t>
            </w:r>
          </w:p>
        </w:tc>
        <w:tc>
          <w:tcPr>
            <w:tcW w:w="553"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Net cost to PBS/RPBS/MBS</w:t>
            </w:r>
          </w:p>
        </w:tc>
        <w:tc>
          <w:tcPr>
            <w:tcW w:w="553"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rFonts w:cstheme="minorHAnsi"/>
                <w:color w:val="000000"/>
                <w:szCs w:val="20"/>
              </w:rPr>
              <w:t>$</w:t>
            </w:r>
            <w:r w:rsidR="00B624C9">
              <w:rPr>
                <w:rFonts w:cstheme="minorHAnsi"/>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 xml:space="preserve">Corrected net cost to PBS/RPBS/MBS </w:t>
            </w:r>
            <w:r>
              <w:rPr>
                <w:szCs w:val="20"/>
                <w:vertAlign w:val="superscript"/>
              </w:rPr>
              <w:t>a,b</w:t>
            </w:r>
          </w:p>
        </w:tc>
        <w:tc>
          <w:tcPr>
            <w:tcW w:w="553" w:type="pct"/>
            <w:shd w:val="clear" w:color="auto" w:fill="auto"/>
            <w:vAlign w:val="center"/>
          </w:tcPr>
          <w:p w:rsidR="00F116C2" w:rsidRDefault="004F0556">
            <w:pPr>
              <w:pStyle w:val="Tabletext"/>
              <w:keepNext/>
              <w:jc w:val="center"/>
              <w:rPr>
                <w:rFonts w:cstheme="minorHAnsi"/>
                <w:color w:val="000000"/>
                <w:szCs w:val="20"/>
              </w:rPr>
            </w:pPr>
            <w:r>
              <w:rPr>
                <w:rFonts w:cstheme="minorHAnsi"/>
                <w:color w:val="000000"/>
                <w:szCs w:val="20"/>
              </w:rPr>
              <w:t>$</w:t>
            </w:r>
            <w:r w:rsidR="00B624C9">
              <w:rPr>
                <w:rFonts w:cstheme="minorHAnsi"/>
                <w:noProof/>
                <w:color w:val="000000"/>
                <w:szCs w:val="20"/>
                <w:highlight w:val="black"/>
              </w:rPr>
              <w:t>'''''''''''''''''''''''''''</w:t>
            </w:r>
          </w:p>
        </w:tc>
        <w:tc>
          <w:tcPr>
            <w:tcW w:w="588" w:type="pct"/>
            <w:shd w:val="clear" w:color="auto" w:fill="auto"/>
            <w:vAlign w:val="center"/>
          </w:tcPr>
          <w:p w:rsidR="00F116C2" w:rsidRDefault="004F0556">
            <w:pPr>
              <w:pStyle w:val="Tabletext"/>
              <w:keepNext/>
              <w:jc w:val="center"/>
              <w:rPr>
                <w:rFonts w:cstheme="minorHAnsi"/>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rFonts w:cstheme="minorHAnsi"/>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rFonts w:cstheme="minorHAnsi"/>
                <w:color w:val="000000"/>
                <w:szCs w:val="20"/>
              </w:rPr>
            </w:pPr>
            <w:r>
              <w:rPr>
                <w:rFonts w:cstheme="minorHAnsi"/>
                <w:color w:val="000000"/>
                <w:szCs w:val="20"/>
              </w:rPr>
              <w:t>$</w:t>
            </w:r>
            <w:r w:rsidR="00B624C9">
              <w:rPr>
                <w:rFonts w:cstheme="minorHAnsi"/>
                <w:noProof/>
                <w:color w:val="000000"/>
                <w:szCs w:val="20"/>
                <w:highlight w:val="black"/>
              </w:rPr>
              <w:t>''''''''''''''''''''''''''</w:t>
            </w:r>
          </w:p>
        </w:tc>
        <w:tc>
          <w:tcPr>
            <w:tcW w:w="570" w:type="pct"/>
            <w:shd w:val="clear" w:color="auto" w:fill="auto"/>
            <w:vAlign w:val="center"/>
          </w:tcPr>
          <w:p w:rsidR="00F116C2" w:rsidRDefault="004F0556">
            <w:pPr>
              <w:pStyle w:val="Tabletext"/>
              <w:keepNext/>
              <w:jc w:val="center"/>
              <w:rPr>
                <w:rFonts w:cstheme="minorHAnsi"/>
                <w:color w:val="000000"/>
                <w:szCs w:val="20"/>
              </w:rPr>
            </w:pPr>
            <w:r>
              <w:rPr>
                <w:rFonts w:cstheme="minorHAnsi"/>
                <w:color w:val="000000"/>
                <w:szCs w:val="20"/>
              </w:rPr>
              <w:t>$</w:t>
            </w:r>
            <w:r w:rsidR="00B624C9">
              <w:rPr>
                <w:rFonts w:cstheme="minorHAnsi"/>
                <w:noProof/>
                <w:color w:val="000000"/>
                <w:szCs w:val="20"/>
                <w:highlight w:val="black"/>
              </w:rPr>
              <w:t>'''''''''''''''''''''''''</w:t>
            </w:r>
          </w:p>
        </w:tc>
        <w:tc>
          <w:tcPr>
            <w:tcW w:w="588" w:type="pct"/>
            <w:vAlign w:val="center"/>
          </w:tcPr>
          <w:p w:rsidR="00F116C2" w:rsidRDefault="004F0556">
            <w:pPr>
              <w:pStyle w:val="Tabletext"/>
              <w:keepNext/>
              <w:jc w:val="center"/>
              <w:rPr>
                <w:rFonts w:cstheme="minorHAnsi"/>
                <w:color w:val="000000"/>
                <w:szCs w:val="20"/>
              </w:rPr>
            </w:pPr>
            <w:r>
              <w:rPr>
                <w:rFonts w:cstheme="minorHAnsi"/>
                <w:color w:val="000000"/>
                <w:szCs w:val="20"/>
              </w:rPr>
              <w:t>$</w:t>
            </w:r>
            <w:r w:rsidR="00B624C9">
              <w:rPr>
                <w:rFonts w:cstheme="minorHAnsi"/>
                <w:noProof/>
                <w:color w:val="000000"/>
                <w:szCs w:val="20"/>
                <w:highlight w:val="black"/>
              </w:rPr>
              <w:t>'''''''''''''''''''''''''</w:t>
            </w:r>
          </w:p>
        </w:tc>
      </w:tr>
      <w:tr w:rsidR="00F116C2">
        <w:tc>
          <w:tcPr>
            <w:tcW w:w="5000" w:type="pct"/>
            <w:gridSpan w:val="7"/>
            <w:shd w:val="clear" w:color="auto" w:fill="auto"/>
            <w:vAlign w:val="center"/>
          </w:tcPr>
          <w:p w:rsidR="00F116C2" w:rsidRDefault="004F0556">
            <w:pPr>
              <w:pStyle w:val="Tabletext"/>
              <w:keepNext/>
              <w:rPr>
                <w:b/>
                <w:bCs/>
                <w:color w:val="000000"/>
                <w:szCs w:val="20"/>
              </w:rPr>
            </w:pPr>
            <w:r>
              <w:rPr>
                <w:b/>
                <w:bCs/>
                <w:color w:val="000000"/>
                <w:szCs w:val="20"/>
              </w:rPr>
              <w:t xml:space="preserve">November 2018 submission net financial implications </w:t>
            </w:r>
            <w:r>
              <w:rPr>
                <w:b/>
                <w:bCs/>
                <w:color w:val="000000"/>
                <w:szCs w:val="20"/>
                <w:vertAlign w:val="superscript"/>
              </w:rPr>
              <w:t>c</w:t>
            </w:r>
          </w:p>
        </w:tc>
      </w:tr>
      <w:tr w:rsidR="00F116C2" w:rsidTr="00EC5473">
        <w:tc>
          <w:tcPr>
            <w:tcW w:w="1561" w:type="pct"/>
            <w:shd w:val="clear" w:color="auto" w:fill="auto"/>
            <w:vAlign w:val="center"/>
          </w:tcPr>
          <w:p w:rsidR="00F116C2" w:rsidRDefault="004F0556">
            <w:pPr>
              <w:pStyle w:val="Tabletext"/>
              <w:keepNext/>
              <w:rPr>
                <w:szCs w:val="20"/>
              </w:rPr>
            </w:pPr>
            <w:r>
              <w:rPr>
                <w:szCs w:val="20"/>
              </w:rPr>
              <w:t>Number of patients treated</w:t>
            </w:r>
          </w:p>
        </w:tc>
        <w:tc>
          <w:tcPr>
            <w:tcW w:w="553" w:type="pct"/>
            <w:shd w:val="clear" w:color="auto" w:fill="auto"/>
            <w:vAlign w:val="center"/>
          </w:tcPr>
          <w:p w:rsidR="00F116C2" w:rsidRPr="00B624C9" w:rsidRDefault="00B624C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8" w:type="pct"/>
            <w:shd w:val="clear" w:color="auto" w:fill="auto"/>
            <w:vAlign w:val="center"/>
          </w:tcPr>
          <w:p w:rsidR="00F116C2" w:rsidRPr="00B624C9" w:rsidRDefault="00B624C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70" w:type="pct"/>
            <w:shd w:val="clear" w:color="auto" w:fill="auto"/>
            <w:vAlign w:val="center"/>
          </w:tcPr>
          <w:p w:rsidR="00F116C2" w:rsidRPr="00B624C9" w:rsidRDefault="00B624C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70" w:type="pct"/>
            <w:shd w:val="clear" w:color="auto" w:fill="auto"/>
            <w:vAlign w:val="center"/>
          </w:tcPr>
          <w:p w:rsidR="00F116C2" w:rsidRPr="00B624C9" w:rsidRDefault="00B624C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70" w:type="pct"/>
            <w:shd w:val="clear" w:color="auto" w:fill="auto"/>
            <w:vAlign w:val="center"/>
          </w:tcPr>
          <w:p w:rsidR="00F116C2" w:rsidRPr="00B624C9" w:rsidRDefault="00B624C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8" w:type="pct"/>
            <w:vAlign w:val="center"/>
          </w:tcPr>
          <w:p w:rsidR="00F116C2" w:rsidRPr="00B624C9" w:rsidRDefault="00B624C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Net cost to PBS/RPBS</w:t>
            </w:r>
          </w:p>
        </w:tc>
        <w:tc>
          <w:tcPr>
            <w:tcW w:w="553" w:type="pct"/>
            <w:shd w:val="clear" w:color="auto" w:fill="auto"/>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w:t>
            </w:r>
            <w:r w:rsidR="00B624C9">
              <w:rPr>
                <w:rFonts w:ascii="Arial Narrow" w:hAnsi="Arial Narrow"/>
                <w:noProof/>
                <w:color w:val="000000"/>
                <w:sz w:val="20"/>
                <w:szCs w:val="20"/>
                <w:highlight w:val="black"/>
              </w:rPr>
              <w:t>''''''''''''''''''''''</w:t>
            </w:r>
          </w:p>
        </w:tc>
        <w:tc>
          <w:tcPr>
            <w:tcW w:w="588" w:type="pct"/>
            <w:shd w:val="clear" w:color="auto" w:fill="auto"/>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w:t>
            </w:r>
            <w:r w:rsidR="00B624C9">
              <w:rPr>
                <w:rFonts w:ascii="Arial Narrow" w:hAnsi="Arial Narrow"/>
                <w:noProof/>
                <w:color w:val="000000"/>
                <w:sz w:val="20"/>
                <w:szCs w:val="20"/>
                <w:highlight w:val="black"/>
              </w:rPr>
              <w:t>'''''''''''''''''''''''''</w:t>
            </w:r>
          </w:p>
        </w:tc>
        <w:tc>
          <w:tcPr>
            <w:tcW w:w="570" w:type="pct"/>
            <w:shd w:val="clear" w:color="auto" w:fill="auto"/>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w:t>
            </w:r>
            <w:r w:rsidR="00B624C9">
              <w:rPr>
                <w:rFonts w:ascii="Arial Narrow" w:hAnsi="Arial Narrow"/>
                <w:noProof/>
                <w:color w:val="000000"/>
                <w:sz w:val="20"/>
                <w:szCs w:val="20"/>
                <w:highlight w:val="black"/>
              </w:rPr>
              <w:t>'''''''''''''''''''''''''</w:t>
            </w:r>
          </w:p>
        </w:tc>
        <w:tc>
          <w:tcPr>
            <w:tcW w:w="570" w:type="pct"/>
            <w:shd w:val="clear" w:color="auto" w:fill="auto"/>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w:t>
            </w:r>
            <w:r w:rsidR="00B624C9">
              <w:rPr>
                <w:rFonts w:ascii="Arial Narrow" w:hAnsi="Arial Narrow"/>
                <w:noProof/>
                <w:color w:val="000000"/>
                <w:sz w:val="20"/>
                <w:szCs w:val="20"/>
                <w:highlight w:val="black"/>
              </w:rPr>
              <w:t>'''''''''''''''''''''''''''</w:t>
            </w:r>
          </w:p>
        </w:tc>
        <w:tc>
          <w:tcPr>
            <w:tcW w:w="570" w:type="pct"/>
            <w:shd w:val="clear" w:color="auto" w:fill="auto"/>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w:t>
            </w:r>
            <w:r w:rsidR="00B624C9">
              <w:rPr>
                <w:rFonts w:ascii="Arial Narrow" w:hAnsi="Arial Narrow"/>
                <w:noProof/>
                <w:color w:val="000000"/>
                <w:sz w:val="20"/>
                <w:szCs w:val="20"/>
                <w:highlight w:val="black"/>
              </w:rPr>
              <w:t>'''''''''''''''''''''''''</w:t>
            </w:r>
          </w:p>
        </w:tc>
        <w:tc>
          <w:tcPr>
            <w:tcW w:w="588" w:type="pct"/>
            <w:vAlign w:val="center"/>
          </w:tcPr>
          <w:p w:rsidR="00F116C2" w:rsidRDefault="004F0556">
            <w:pPr>
              <w:keepNext/>
              <w:widowControl/>
              <w:jc w:val="center"/>
              <w:rPr>
                <w:rFonts w:ascii="Arial Narrow" w:hAnsi="Arial Narrow"/>
                <w:sz w:val="20"/>
                <w:szCs w:val="20"/>
              </w:rPr>
            </w:pPr>
            <w:r>
              <w:rPr>
                <w:rFonts w:ascii="Arial Narrow" w:hAnsi="Arial Narrow"/>
                <w:sz w:val="20"/>
                <w:szCs w:val="20"/>
              </w:rPr>
              <w:t>$</w:t>
            </w:r>
            <w:r w:rsidR="00B624C9">
              <w:rPr>
                <w:rFonts w:ascii="Arial Narrow" w:hAnsi="Arial Narrow"/>
                <w:noProof/>
                <w:color w:val="000000"/>
                <w:sz w:val="2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Net cost to MBS</w:t>
            </w:r>
          </w:p>
        </w:tc>
        <w:tc>
          <w:tcPr>
            <w:tcW w:w="553" w:type="pct"/>
            <w:shd w:val="clear" w:color="auto" w:fill="auto"/>
            <w:vAlign w:val="center"/>
          </w:tcPr>
          <w:p w:rsidR="00F116C2" w:rsidRDefault="004F0556">
            <w:pPr>
              <w:pStyle w:val="Tabletext"/>
              <w:keepNext/>
              <w:jc w:val="center"/>
              <w:rPr>
                <w:bCs/>
                <w:color w:val="000000"/>
                <w:szCs w:val="20"/>
              </w:rPr>
            </w:pPr>
            <w:r>
              <w:rPr>
                <w:color w:val="000000"/>
                <w:szCs w:val="20"/>
              </w:rPr>
              <w:t>$</w:t>
            </w:r>
            <w:r w:rsidR="00B624C9">
              <w:rPr>
                <w:noProof/>
                <w:color w:val="000000"/>
                <w:szCs w:val="20"/>
                <w:highlight w:val="black"/>
              </w:rPr>
              <w:t>'''''''''''''''</w:t>
            </w:r>
          </w:p>
        </w:tc>
        <w:tc>
          <w:tcPr>
            <w:tcW w:w="588" w:type="pct"/>
            <w:shd w:val="clear" w:color="auto" w:fill="auto"/>
            <w:vAlign w:val="center"/>
          </w:tcPr>
          <w:p w:rsidR="00F116C2" w:rsidRDefault="004F0556">
            <w:pPr>
              <w:pStyle w:val="Tabletext"/>
              <w:keepNext/>
              <w:jc w:val="center"/>
              <w:rPr>
                <w:bCs/>
                <w:color w:val="000000"/>
                <w:szCs w:val="20"/>
              </w:rPr>
            </w:pPr>
            <w:r>
              <w:rPr>
                <w:color w:val="000000"/>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color w:val="000000"/>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color w:val="000000"/>
                <w:szCs w:val="20"/>
              </w:rPr>
              <w:t>$</w:t>
            </w:r>
            <w:r w:rsidR="00B624C9">
              <w:rPr>
                <w:noProof/>
                <w:color w:val="000000"/>
                <w:szCs w:val="20"/>
                <w:highlight w:val="black"/>
              </w:rPr>
              <w:t>'''''''''''''''''</w:t>
            </w:r>
          </w:p>
        </w:tc>
        <w:tc>
          <w:tcPr>
            <w:tcW w:w="570" w:type="pct"/>
            <w:shd w:val="clear" w:color="auto" w:fill="auto"/>
            <w:vAlign w:val="center"/>
          </w:tcPr>
          <w:p w:rsidR="00F116C2" w:rsidRDefault="004F0556">
            <w:pPr>
              <w:pStyle w:val="Tabletext"/>
              <w:keepNext/>
              <w:jc w:val="center"/>
              <w:rPr>
                <w:bCs/>
                <w:color w:val="000000"/>
                <w:szCs w:val="20"/>
              </w:rPr>
            </w:pPr>
            <w:r>
              <w:rPr>
                <w:color w:val="000000"/>
                <w:szCs w:val="20"/>
              </w:rPr>
              <w:t>$</w:t>
            </w:r>
            <w:r w:rsidR="00B624C9">
              <w:rPr>
                <w:noProof/>
                <w:color w:val="000000"/>
                <w:szCs w:val="20"/>
                <w:highlight w:val="black"/>
              </w:rPr>
              <w:t>'''''''''''''''</w:t>
            </w:r>
          </w:p>
        </w:tc>
        <w:tc>
          <w:tcPr>
            <w:tcW w:w="588" w:type="pct"/>
            <w:vAlign w:val="center"/>
          </w:tcPr>
          <w:p w:rsidR="00F116C2" w:rsidRDefault="004F0556">
            <w:pPr>
              <w:pStyle w:val="Tabletext"/>
              <w:keepNext/>
              <w:jc w:val="center"/>
              <w:rPr>
                <w:bCs/>
                <w:color w:val="000000"/>
                <w:szCs w:val="20"/>
              </w:rPr>
            </w:pPr>
            <w:r>
              <w:rPr>
                <w:color w:val="000000"/>
                <w:szCs w:val="20"/>
              </w:rPr>
              <w:t>$</w:t>
            </w:r>
            <w:r w:rsidR="00B624C9">
              <w:rPr>
                <w:noProof/>
                <w:color w:val="000000"/>
                <w:szCs w:val="20"/>
                <w:highlight w:val="black"/>
              </w:rPr>
              <w:t>''''''''''''''''''</w:t>
            </w:r>
          </w:p>
        </w:tc>
      </w:tr>
      <w:tr w:rsidR="00F116C2" w:rsidTr="00EC5473">
        <w:tc>
          <w:tcPr>
            <w:tcW w:w="1561" w:type="pct"/>
            <w:shd w:val="clear" w:color="auto" w:fill="auto"/>
            <w:vAlign w:val="center"/>
          </w:tcPr>
          <w:p w:rsidR="00F116C2" w:rsidRDefault="004F0556">
            <w:pPr>
              <w:pStyle w:val="Tabletext"/>
              <w:keepNext/>
              <w:rPr>
                <w:szCs w:val="20"/>
              </w:rPr>
            </w:pPr>
            <w:r>
              <w:rPr>
                <w:szCs w:val="20"/>
              </w:rPr>
              <w:t>Net cost to PBS/RPBS/MBS</w:t>
            </w:r>
          </w:p>
        </w:tc>
        <w:tc>
          <w:tcPr>
            <w:tcW w:w="553" w:type="pct"/>
            <w:shd w:val="clear" w:color="auto" w:fill="auto"/>
            <w:vAlign w:val="center"/>
          </w:tcPr>
          <w:p w:rsidR="00F116C2" w:rsidRDefault="004F0556">
            <w:pPr>
              <w:pStyle w:val="Tabletext"/>
              <w:keepNext/>
              <w:jc w:val="center"/>
              <w:rPr>
                <w:rFonts w:cstheme="minorHAnsi"/>
                <w:color w:val="000000"/>
                <w:szCs w:val="20"/>
              </w:rPr>
            </w:pPr>
            <w:r>
              <w:rPr>
                <w:rFonts w:cs="Arial"/>
                <w:color w:val="000000"/>
                <w:szCs w:val="20"/>
              </w:rPr>
              <w:t>$</w:t>
            </w:r>
            <w:r w:rsidR="00B624C9">
              <w:rPr>
                <w:rFonts w:cs="Arial"/>
                <w:noProof/>
                <w:color w:val="000000"/>
                <w:szCs w:val="20"/>
                <w:highlight w:val="black"/>
              </w:rPr>
              <w:t>''''''''''''''''''''''''</w:t>
            </w:r>
          </w:p>
        </w:tc>
        <w:tc>
          <w:tcPr>
            <w:tcW w:w="588" w:type="pct"/>
            <w:shd w:val="clear" w:color="auto" w:fill="auto"/>
            <w:vAlign w:val="center"/>
          </w:tcPr>
          <w:p w:rsidR="00F116C2" w:rsidRDefault="004F0556">
            <w:pPr>
              <w:pStyle w:val="Tabletext"/>
              <w:keepNext/>
              <w:jc w:val="center"/>
              <w:rPr>
                <w:rFonts w:cstheme="minorHAnsi"/>
                <w:color w:val="000000"/>
                <w:szCs w:val="20"/>
              </w:rPr>
            </w:pPr>
            <w:r>
              <w:rPr>
                <w:rFonts w:cs="Arial"/>
                <w:color w:val="000000"/>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rFonts w:cstheme="minorHAnsi"/>
                <w:color w:val="000000"/>
                <w:szCs w:val="20"/>
              </w:rPr>
            </w:pPr>
            <w:r>
              <w:rPr>
                <w:rFonts w:cs="Arial"/>
                <w:color w:val="000000"/>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rFonts w:cstheme="minorHAnsi"/>
                <w:color w:val="000000"/>
                <w:szCs w:val="20"/>
              </w:rPr>
            </w:pPr>
            <w:r>
              <w:rPr>
                <w:rFonts w:cs="Arial"/>
                <w:color w:val="000000"/>
                <w:szCs w:val="20"/>
              </w:rPr>
              <w:t>$</w:t>
            </w:r>
            <w:r w:rsidR="00B624C9">
              <w:rPr>
                <w:rFonts w:cs="Arial"/>
                <w:noProof/>
                <w:color w:val="000000"/>
                <w:szCs w:val="20"/>
                <w:highlight w:val="black"/>
              </w:rPr>
              <w:t>''''''''''''''''''''''''''</w:t>
            </w:r>
          </w:p>
        </w:tc>
        <w:tc>
          <w:tcPr>
            <w:tcW w:w="570" w:type="pct"/>
            <w:shd w:val="clear" w:color="auto" w:fill="auto"/>
            <w:vAlign w:val="center"/>
          </w:tcPr>
          <w:p w:rsidR="00F116C2" w:rsidRDefault="004F0556">
            <w:pPr>
              <w:pStyle w:val="Tabletext"/>
              <w:keepNext/>
              <w:jc w:val="center"/>
              <w:rPr>
                <w:rFonts w:cstheme="minorHAnsi"/>
                <w:color w:val="000000"/>
                <w:szCs w:val="20"/>
              </w:rPr>
            </w:pPr>
            <w:r>
              <w:rPr>
                <w:rFonts w:cs="Arial"/>
                <w:color w:val="000000"/>
                <w:szCs w:val="20"/>
              </w:rPr>
              <w:t>$</w:t>
            </w:r>
            <w:r w:rsidR="00B624C9">
              <w:rPr>
                <w:rFonts w:cs="Arial"/>
                <w:noProof/>
                <w:color w:val="000000"/>
                <w:szCs w:val="20"/>
                <w:highlight w:val="black"/>
              </w:rPr>
              <w:t>'''''''''''''''''''''''''''</w:t>
            </w:r>
          </w:p>
        </w:tc>
        <w:tc>
          <w:tcPr>
            <w:tcW w:w="588" w:type="pct"/>
            <w:vAlign w:val="center"/>
          </w:tcPr>
          <w:p w:rsidR="00F116C2" w:rsidRDefault="004F0556">
            <w:pPr>
              <w:pStyle w:val="Tabletext"/>
              <w:keepNext/>
              <w:jc w:val="center"/>
              <w:rPr>
                <w:rFonts w:cstheme="minorHAnsi"/>
                <w:color w:val="000000"/>
                <w:szCs w:val="20"/>
              </w:rPr>
            </w:pPr>
            <w:r>
              <w:rPr>
                <w:rFonts w:cs="Arial"/>
                <w:color w:val="000000"/>
                <w:szCs w:val="20"/>
              </w:rPr>
              <w:t>$</w:t>
            </w:r>
            <w:r w:rsidR="00B624C9">
              <w:rPr>
                <w:rFonts w:cs="Arial"/>
                <w:noProof/>
                <w:color w:val="000000"/>
                <w:szCs w:val="20"/>
                <w:highlight w:val="black"/>
              </w:rPr>
              <w:t>'''''''''''''''''''''''</w:t>
            </w:r>
          </w:p>
        </w:tc>
      </w:tr>
    </w:tbl>
    <w:p w:rsidR="00F116C2" w:rsidRDefault="004F0556">
      <w:pPr>
        <w:widowControl/>
        <w:rPr>
          <w:rFonts w:ascii="Arial Narrow" w:hAnsi="Arial Narrow"/>
          <w:sz w:val="18"/>
          <w:szCs w:val="18"/>
        </w:rPr>
      </w:pPr>
      <w:r>
        <w:rPr>
          <w:rFonts w:ascii="Arial Narrow" w:hAnsi="Arial Narrow"/>
          <w:sz w:val="18"/>
          <w:szCs w:val="18"/>
        </w:rPr>
        <w:t>MBS = Medicare Benefits Schedule; OCA = obeticholic acid; PBS = Pharmaceutical Benefits Scheme; RPBS = Repatriation Pharmaceutical Benefits Scheme</w:t>
      </w:r>
    </w:p>
    <w:p w:rsidR="00F116C2" w:rsidRDefault="004F0556">
      <w:pPr>
        <w:widowControl/>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Revised during the evaluation based on the full financial year for 2020 and only counting grandfathered patients once</w:t>
      </w:r>
    </w:p>
    <w:p w:rsidR="00F116C2" w:rsidRDefault="004F0556">
      <w:pPr>
        <w:widowControl/>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Corrected during evaluation to assume 12.17 scripts per year as estimated by the resubmission</w:t>
      </w:r>
    </w:p>
    <w:p w:rsidR="00F116C2" w:rsidRDefault="004F0556">
      <w:pPr>
        <w:widowControl/>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rPr>
        <w:t xml:space="preserve"> Corrected during the November 2018 evaluation.</w:t>
      </w:r>
    </w:p>
    <w:p w:rsidR="00F116C2" w:rsidRDefault="004F0556">
      <w:pPr>
        <w:widowControl/>
        <w:rPr>
          <w:b/>
          <w:sz w:val="18"/>
          <w:szCs w:val="18"/>
        </w:rPr>
      </w:pPr>
      <w:r>
        <w:rPr>
          <w:rFonts w:ascii="Arial Narrow" w:hAnsi="Arial Narrow"/>
          <w:sz w:val="18"/>
          <w:szCs w:val="18"/>
        </w:rPr>
        <w:t>Source: Table 4.2.1 and Table 4.2.2, p136, Table 4.2.4, p137, Table 4.2.5, p138, Table 4.3.2 p141, Table 4.4.2, p144, Table 4.5.6, p146 of the resubmission</w:t>
      </w:r>
    </w:p>
    <w:p w:rsidR="00F116C2" w:rsidRDefault="00F116C2">
      <w:pPr>
        <w:widowControl/>
      </w:pPr>
    </w:p>
    <w:p w:rsidR="00F116C2" w:rsidRDefault="004F0556">
      <w:pPr>
        <w:widowControl/>
      </w:pPr>
      <w:r>
        <w:t>The redacted table shows that at year 6, the estimated number of patients was less than 10,000 and the net cost to the PBS would be $30 - $60 million per year.</w:t>
      </w:r>
    </w:p>
    <w:p w:rsidR="00F116C2" w:rsidRDefault="004F0556">
      <w:pPr>
        <w:widowControl/>
      </w:pPr>
      <w:r>
        <w:t xml:space="preserve"> </w:t>
      </w:r>
    </w:p>
    <w:p w:rsidR="00F116C2" w:rsidRDefault="004F0556">
      <w:pPr>
        <w:pStyle w:val="ListParagraph"/>
        <w:widowControl/>
        <w:numPr>
          <w:ilvl w:val="1"/>
          <w:numId w:val="2"/>
        </w:numPr>
      </w:pPr>
      <w:r>
        <w:t xml:space="preserve">Patient numbers for Year 1 (2020) were calculated based on an April 2020 listing. As a result, patient number and cost estimates were not for the full calendar year. This was not appropriate. The resubmission also added grandfathered patients (6 patients) to </w:t>
      </w:r>
      <w:r>
        <w:lastRenderedPageBreak/>
        <w:t xml:space="preserve">the number of patients starting treatment every month, rather than once. This overestimated the number of patients treated. The number of patients treated was recalculated during the evaluation. </w:t>
      </w:r>
    </w:p>
    <w:p w:rsidR="00F116C2" w:rsidRDefault="004F0556">
      <w:pPr>
        <w:pStyle w:val="ListParagraph"/>
        <w:widowControl/>
        <w:numPr>
          <w:ilvl w:val="1"/>
          <w:numId w:val="2"/>
        </w:numPr>
      </w:pPr>
      <w:r>
        <w:t>The ESC considered that although the resubmission used PBS UDCA utilisation data, the number of patients treated may again be underestimated as:</w:t>
      </w:r>
    </w:p>
    <w:p w:rsidR="00F116C2" w:rsidRDefault="004F0556">
      <w:pPr>
        <w:pStyle w:val="ListParagraph"/>
        <w:widowControl/>
        <w:numPr>
          <w:ilvl w:val="1"/>
          <w:numId w:val="24"/>
        </w:numPr>
        <w:ind w:left="1134" w:hanging="425"/>
      </w:pPr>
      <w:r>
        <w:t>The assumed annual growth rate of UDCA treated patients (2%) was low compared with DUSC data, which estimated that the growth in patients receiving UDCA was approximately 10% per annum.</w:t>
      </w:r>
    </w:p>
    <w:p w:rsidR="00F116C2" w:rsidRDefault="004F0556">
      <w:pPr>
        <w:pStyle w:val="ListParagraph"/>
        <w:widowControl/>
        <w:numPr>
          <w:ilvl w:val="1"/>
          <w:numId w:val="24"/>
        </w:numPr>
        <w:ind w:left="1134" w:hanging="425"/>
      </w:pPr>
      <w:r>
        <w:t xml:space="preserve">The assumed proportion of patients receiving UDCA who were being treated for PBC was only 68%. However, this may be a considerable underestimate given that UDCA is only listed on the PBS as an Authority Required (STREAMLINED) item for the treatment of PBC. This estimate should be close to 100%, unless the resubmission assumed significant leakage of UDCA to the treatment of other patients (e.g. primary sclerosing cholangitis, drug-induced liver injury, cholestatic pregnancy). The ESC noted that the estimate of 68% was based on a survey of only five clinicians who treat approximately 2.1% of patients with PBC and receiving UDCA. </w:t>
      </w:r>
    </w:p>
    <w:p w:rsidR="00F116C2" w:rsidRDefault="004F0556">
      <w:pPr>
        <w:pStyle w:val="ListParagraph"/>
        <w:widowControl/>
        <w:numPr>
          <w:ilvl w:val="1"/>
          <w:numId w:val="24"/>
        </w:numPr>
        <w:ind w:left="1134" w:hanging="425"/>
      </w:pPr>
      <w:r>
        <w:t>Estimated uptake rates (approximately 13% in year 1, decreasing to approximately 4% in year 6) were considerably lower than those assumed in November 2018 (20% in year 1 increasing to 75% in year 6), which the DUSC had previously considered to be underestimated. Although this was partially explained by uptake being estimated as a proportion of patients currently treated with UDCA, not those experiencing an inadequate response, the number of patients assumed to be commencing treatment was highly uncertain as it was based on the survey of five specialists. The ESC considered that the revised uptake rates were implausibly low.</w:t>
      </w:r>
    </w:p>
    <w:p w:rsidR="00F116C2" w:rsidRDefault="004F0556">
      <w:pPr>
        <w:pStyle w:val="ListParagraph"/>
        <w:widowControl/>
        <w:numPr>
          <w:ilvl w:val="1"/>
          <w:numId w:val="2"/>
        </w:numPr>
      </w:pPr>
      <w:r>
        <w:t>The results were highly sensitive to the estimated uptake of OCA and the assumption that 54% of OCA patients discontinue treatment at 12 months.</w:t>
      </w:r>
    </w:p>
    <w:p w:rsidR="00F116C2" w:rsidRDefault="004F0556">
      <w:pPr>
        <w:pStyle w:val="ListParagraph"/>
        <w:widowControl/>
        <w:numPr>
          <w:ilvl w:val="1"/>
          <w:numId w:val="2"/>
        </w:numPr>
      </w:pPr>
      <w:r>
        <w:t xml:space="preserve">The ESC considered that a Risk-Sharing Arrangement (RSA) would be required to mitigate the uncertainties surrounding the estimated financial implication of OCA, particularly the uptake rate and the risk of leakage to patients who were UDCA responders. </w:t>
      </w:r>
    </w:p>
    <w:p w:rsidR="00F116C2" w:rsidRDefault="004F0556">
      <w:pPr>
        <w:pStyle w:val="Heading2"/>
        <w:widowControl/>
      </w:pPr>
      <w:bookmarkStart w:id="20" w:name="_Toc9335721"/>
      <w:r>
        <w:t>Quality Use of Medicines</w:t>
      </w:r>
      <w:bookmarkEnd w:id="20"/>
    </w:p>
    <w:p w:rsidR="00F116C2" w:rsidRDefault="004F0556">
      <w:pPr>
        <w:pStyle w:val="ListParagraph"/>
        <w:widowControl/>
        <w:numPr>
          <w:ilvl w:val="1"/>
          <w:numId w:val="2"/>
        </w:numPr>
      </w:pPr>
      <w:r>
        <w:t xml:space="preserve">The resubmission stated that they will “provide materials setting out the appropriate dosing with OCA as well as material on whatever entry and continuation criteria are determined by the PBAC. The Sponsor will employ a number of well qualified sales representatives supported by a medical team. They will visit all of the treating centres </w:t>
      </w:r>
      <w:r>
        <w:lastRenderedPageBreak/>
        <w:t xml:space="preserve">to educate treating physicians and nurse practitioners on the approved dosing schedules for OCA.” </w:t>
      </w:r>
    </w:p>
    <w:p w:rsidR="00F116C2" w:rsidRDefault="004F0556">
      <w:pPr>
        <w:pStyle w:val="ListParagraph"/>
        <w:widowControl/>
        <w:rPr>
          <w:i/>
        </w:rPr>
      </w:pPr>
      <w:r>
        <w:rPr>
          <w:i/>
        </w:rPr>
        <w:t>For more detail on PBAC’s view, see Section 7 PBAC outcome.</w:t>
      </w:r>
    </w:p>
    <w:p w:rsidR="00F116C2" w:rsidRDefault="004F0556">
      <w:pPr>
        <w:pStyle w:val="PBACHeading1"/>
      </w:pPr>
      <w:r>
        <w:t>PBAC Outcome</w:t>
      </w:r>
    </w:p>
    <w:p w:rsidR="00F116C2" w:rsidRDefault="004F0556">
      <w:pPr>
        <w:numPr>
          <w:ilvl w:val="1"/>
          <w:numId w:val="2"/>
        </w:numPr>
        <w:spacing w:after="120"/>
        <w:rPr>
          <w:rFonts w:asciiTheme="minorHAnsi" w:hAnsiTheme="minorHAnsi"/>
          <w:bCs/>
        </w:rPr>
      </w:pPr>
      <w:r>
        <w:rPr>
          <w:rFonts w:asciiTheme="minorHAnsi" w:hAnsiTheme="minorHAnsi"/>
          <w:bCs/>
        </w:rPr>
        <w:t>The PBAC did not recommend the listing of obeticholic acid (OCA) as a second-line agent in the treatment of primary biliary cholangitis (PBC). Although again acknowledging the clinical need for effective PBC treatments, the PBAC considered that the magnitude of the clinical benefit remained uncertain, the economic model remained highly uncertain and resulted in an incremental cost-effectiveness ratio (ICER) that was unacceptably high at the requested price and the estimated financial impact was high.</w:t>
      </w:r>
    </w:p>
    <w:p w:rsidR="00F116C2" w:rsidRDefault="004F0556">
      <w:pPr>
        <w:numPr>
          <w:ilvl w:val="1"/>
          <w:numId w:val="2"/>
        </w:numPr>
        <w:spacing w:after="120"/>
        <w:rPr>
          <w:rFonts w:asciiTheme="minorHAnsi" w:hAnsiTheme="minorHAnsi"/>
          <w:bCs/>
        </w:rPr>
      </w:pPr>
      <w:r>
        <w:rPr>
          <w:rFonts w:asciiTheme="minorHAnsi" w:hAnsiTheme="minorHAnsi"/>
          <w:bCs/>
        </w:rPr>
        <w:t>The PBAC acknowledged the consumer comments, which were supportive of the PBS listing. In particular, the PBAC noted comments that described a reduced symptom burden and improved quality of life.</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again considered that the proposed clinical algorithms, in which OCA titration dosing (5-10 mg) was used in combination with ursodeoxycholic acid (UDCA) in patients who have an inadequate response to UDCA and as monotherapy in patients who are intolerant to UDCA, were appropriate. </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noted that the resubmission updated the requested PBS restriction in accordance with previous suggestions, including amending the restriction to align with the inclusion criteria of the key clinical trial (POISE) and the addition of continuation criteria applied at 12 months to identify patients who were intolerant or failed to respond to OCA. The PBAC considered that the restriction should also state that patients should not continue treatment if they experience decompensated cirrhosis (DCC) or hepatocellular cancer (HCC). In addition, the PBAC recommended that the restriction be an Authority Required (written) for initial treatment and Authority Required (telephone) for continuing treatment to reduce the risk of leakage and use in UCDA-tolerant patients. </w:t>
      </w:r>
    </w:p>
    <w:p w:rsidR="00F116C2" w:rsidRDefault="004F0556">
      <w:pPr>
        <w:numPr>
          <w:ilvl w:val="1"/>
          <w:numId w:val="2"/>
        </w:numPr>
        <w:spacing w:after="120"/>
        <w:rPr>
          <w:rFonts w:asciiTheme="minorHAnsi" w:hAnsiTheme="minorHAnsi"/>
          <w:bCs/>
        </w:rPr>
      </w:pPr>
      <w:r>
        <w:rPr>
          <w:rFonts w:asciiTheme="minorHAnsi" w:hAnsiTheme="minorHAnsi"/>
          <w:bCs/>
        </w:rPr>
        <w:t>The PBAC noted that although no new clinical evidence was provided in the resubmission, additional subgroup analyses of the key trial, POISE, were presented providing results for patients who received OCA+UDCA (i.e. UDCA-inadequate responders) and OCA+placebo (i.e. UDCA-intolerant patients).</w:t>
      </w:r>
    </w:p>
    <w:p w:rsidR="00F116C2" w:rsidRDefault="004F0556">
      <w:pPr>
        <w:numPr>
          <w:ilvl w:val="1"/>
          <w:numId w:val="2"/>
        </w:numPr>
        <w:spacing w:after="120"/>
        <w:rPr>
          <w:rFonts w:asciiTheme="minorHAnsi" w:hAnsiTheme="minorHAnsi"/>
          <w:bCs/>
        </w:rPr>
      </w:pPr>
      <w:r>
        <w:rPr>
          <w:rFonts w:asciiTheme="minorHAnsi" w:hAnsiTheme="minorHAnsi"/>
          <w:bCs/>
        </w:rPr>
        <w:t>The PBAC again considered that the clinical claim that OCA 5-10 mg titration + UDCA was superior in terms of effectiveness compared to UDCA monotherapy in patients who were UDCA-inadequate responders was reasonable. The PBAC considered that the magnitude of the clinical benefit remained uncertain given the relatively small sample size in POISE (n = 200) and as over 50% of patients failed to meet the primary end point at 12 months.</w:t>
      </w:r>
    </w:p>
    <w:p w:rsidR="00F116C2" w:rsidRDefault="004F0556">
      <w:pPr>
        <w:numPr>
          <w:ilvl w:val="1"/>
          <w:numId w:val="2"/>
        </w:numPr>
        <w:spacing w:after="120"/>
        <w:rPr>
          <w:rFonts w:asciiTheme="minorHAnsi" w:hAnsiTheme="minorHAnsi"/>
          <w:bCs/>
        </w:rPr>
      </w:pPr>
      <w:r>
        <w:rPr>
          <w:rFonts w:asciiTheme="minorHAnsi" w:hAnsiTheme="minorHAnsi"/>
          <w:bCs/>
        </w:rPr>
        <w:lastRenderedPageBreak/>
        <w:t>The PBAC noted that the population of PBC patients who are intolerant to UDCA appears to be very small (approximately 7% of all PBC patients). Although the resubmission presented a subgroup analysis of the POISE trial (n = 16) and supporting data from trial 747-201 (n = 43) for UCDA-intolerant patients, the small sample sizes and issues surrounding the applicability of trial 747-201 to the proposed PBS population meant it remained difficult to assess the efficacy of OCA monotherapy. The PBAC considered that the clinical claim that OCA 5-10 mg titration as monotherapy was superior in terms of effectiveness to placebo in patients who were UDCA-intolerant was not adequately supported by the data.</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noted that the resubmission updated the safety claim to describe OCA 5-10 mg titration + UDCA and OCA 5-10 mg titration monotherapy as inferior in terms of safety compared to UDCA and placebo respectively. The PBAC considered that this was reasonable. </w:t>
      </w:r>
    </w:p>
    <w:p w:rsidR="00F116C2" w:rsidRDefault="004F0556">
      <w:pPr>
        <w:numPr>
          <w:ilvl w:val="1"/>
          <w:numId w:val="2"/>
        </w:numPr>
        <w:spacing w:after="120"/>
        <w:rPr>
          <w:rFonts w:asciiTheme="minorHAnsi" w:hAnsiTheme="minorHAnsi"/>
          <w:bCs/>
        </w:rPr>
      </w:pPr>
      <w:r>
        <w:rPr>
          <w:rFonts w:asciiTheme="minorHAnsi" w:hAnsiTheme="minorHAnsi"/>
          <w:bCs/>
        </w:rPr>
        <w:t>The PBAC noted that some changes were made to the economic model presented in the resubmission, but that these did not address the major issues described during the November 2018 PBAC consideration. The PBAC again considered that the model lacked transparency and clinical plausibility and was insufficient to inform decision making. The PBAC considered that the ICERs remained unacceptably high at the requested price, especially considering the uncertainty surrounding the incremental clinical benefit.</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considered that due to the unreliability of the presented economic model only the trial based analysis (i.e. Step 1) was meaningful. The PBAC considered that other model inputs required more clarification and justification. The PBAC advised that if this was not possible it might be more appropriate to present a cost per responder analysis, noting the potential difficulties of interpreting an ICER based on this outcome. </w:t>
      </w:r>
    </w:p>
    <w:p w:rsidR="00F116C2" w:rsidRDefault="004F0556">
      <w:pPr>
        <w:numPr>
          <w:ilvl w:val="1"/>
          <w:numId w:val="2"/>
        </w:numPr>
        <w:spacing w:after="120"/>
        <w:rPr>
          <w:rFonts w:asciiTheme="minorHAnsi" w:hAnsiTheme="minorHAnsi"/>
          <w:bCs/>
        </w:rPr>
      </w:pPr>
      <w:r>
        <w:rPr>
          <w:rFonts w:asciiTheme="minorHAnsi" w:hAnsiTheme="minorHAnsi"/>
          <w:bCs/>
        </w:rPr>
        <w:t>The PBAC noted that the financial estimates had been updated, but considered that the number of patients treated may again be underestimated as:</w:t>
      </w:r>
    </w:p>
    <w:p w:rsidR="00F116C2" w:rsidRDefault="004F0556">
      <w:pPr>
        <w:numPr>
          <w:ilvl w:val="1"/>
          <w:numId w:val="46"/>
        </w:numPr>
        <w:spacing w:after="120"/>
        <w:ind w:left="1077" w:hanging="357"/>
        <w:rPr>
          <w:rFonts w:asciiTheme="minorHAnsi" w:hAnsiTheme="minorHAnsi"/>
          <w:bCs/>
        </w:rPr>
      </w:pPr>
      <w:r>
        <w:rPr>
          <w:rFonts w:asciiTheme="minorHAnsi" w:hAnsiTheme="minorHAnsi"/>
          <w:bCs/>
        </w:rPr>
        <w:t>The assumed growth rate of UDCA treated patients (2%) was low compared with DUSC utilisation data (10%);</w:t>
      </w:r>
    </w:p>
    <w:p w:rsidR="00F116C2" w:rsidRDefault="004F0556">
      <w:pPr>
        <w:numPr>
          <w:ilvl w:val="1"/>
          <w:numId w:val="46"/>
        </w:numPr>
        <w:spacing w:after="120"/>
        <w:ind w:left="1077" w:hanging="357"/>
        <w:rPr>
          <w:rFonts w:asciiTheme="minorHAnsi" w:hAnsiTheme="minorHAnsi"/>
          <w:bCs/>
        </w:rPr>
      </w:pPr>
      <w:r>
        <w:rPr>
          <w:rFonts w:asciiTheme="minorHAnsi" w:hAnsiTheme="minorHAnsi"/>
          <w:bCs/>
        </w:rPr>
        <w:t>Only 68% of patients who were receiving UDCA were assumed to have PBC; and</w:t>
      </w:r>
    </w:p>
    <w:p w:rsidR="00F116C2" w:rsidRDefault="004F0556">
      <w:pPr>
        <w:numPr>
          <w:ilvl w:val="1"/>
          <w:numId w:val="46"/>
        </w:numPr>
        <w:spacing w:after="120"/>
        <w:ind w:left="1077" w:hanging="357"/>
        <w:rPr>
          <w:rFonts w:asciiTheme="minorHAnsi" w:hAnsiTheme="minorHAnsi"/>
          <w:bCs/>
        </w:rPr>
      </w:pPr>
      <w:r>
        <w:rPr>
          <w:rFonts w:asciiTheme="minorHAnsi" w:hAnsiTheme="minorHAnsi"/>
          <w:bCs/>
        </w:rPr>
        <w:t>Uptake rates (13% in Year 1 and 4% in Year 6) were implausibly low.</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acknowledged that PBC is a rare disease and that this was reflected in the quantity of the clinical evidence, particularly concerning the population of patients who are intolerant to UDCA. As the uncertainty surrounding the incremental benefit of OCA was unlikely to be reduced by future high quality data, the PBAC considered that this could be mitigated through the requested price. </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advised that an RSA, in the form of subsidisation caps would be an </w:t>
      </w:r>
      <w:r>
        <w:rPr>
          <w:rFonts w:asciiTheme="minorHAnsi" w:hAnsiTheme="minorHAnsi"/>
          <w:bCs/>
        </w:rPr>
        <w:lastRenderedPageBreak/>
        <w:t>appropriate method to manage the uncertainties surrounding uptake and the risk of leakage to patients who were UCDA responders.</w:t>
      </w:r>
    </w:p>
    <w:p w:rsidR="00F116C2" w:rsidRDefault="004F0556">
      <w:pPr>
        <w:numPr>
          <w:ilvl w:val="1"/>
          <w:numId w:val="2"/>
        </w:numPr>
        <w:spacing w:after="120"/>
        <w:rPr>
          <w:rFonts w:asciiTheme="minorHAnsi" w:hAnsiTheme="minorHAnsi"/>
          <w:bCs/>
        </w:rPr>
      </w:pPr>
      <w:r>
        <w:rPr>
          <w:rFonts w:asciiTheme="minorHAnsi" w:hAnsiTheme="minorHAnsi"/>
          <w:bCs/>
        </w:rPr>
        <w:t xml:space="preserve">The PBAC advised that a future resubmission should address the continuing issues with the economic model, changes to the estimated financial implications and the PBAC’s pricing concerns. </w:t>
      </w:r>
    </w:p>
    <w:p w:rsidR="00F116C2" w:rsidRDefault="004F0556">
      <w:pPr>
        <w:numPr>
          <w:ilvl w:val="1"/>
          <w:numId w:val="2"/>
        </w:numPr>
        <w:spacing w:after="120"/>
        <w:rPr>
          <w:rFonts w:asciiTheme="minorHAnsi" w:hAnsiTheme="minorHAnsi"/>
          <w:bCs/>
        </w:rPr>
      </w:pPr>
      <w:r>
        <w:rPr>
          <w:rFonts w:asciiTheme="minorHAnsi" w:hAnsiTheme="minorHAnsi"/>
          <w:bCs/>
        </w:rPr>
        <w:t>The PBAC noted that this submission is eligible for an Independent Review.</w:t>
      </w:r>
    </w:p>
    <w:p w:rsidR="00F116C2" w:rsidRDefault="004F0556">
      <w:pPr>
        <w:spacing w:before="240"/>
        <w:rPr>
          <w:rFonts w:asciiTheme="minorHAnsi" w:hAnsiTheme="minorHAnsi"/>
          <w:b/>
          <w:bCs/>
        </w:rPr>
      </w:pPr>
      <w:r>
        <w:rPr>
          <w:rFonts w:asciiTheme="minorHAnsi" w:hAnsiTheme="minorHAnsi"/>
          <w:b/>
          <w:bCs/>
        </w:rPr>
        <w:t>Outcome:</w:t>
      </w:r>
    </w:p>
    <w:p w:rsidR="00F116C2" w:rsidRDefault="004F0556">
      <w:pPr>
        <w:rPr>
          <w:rFonts w:asciiTheme="minorHAnsi" w:hAnsiTheme="minorHAnsi"/>
          <w:bCs/>
        </w:rPr>
      </w:pPr>
      <w:r>
        <w:rPr>
          <w:rFonts w:asciiTheme="minorHAnsi" w:hAnsiTheme="minorHAnsi"/>
          <w:bCs/>
        </w:rPr>
        <w:t xml:space="preserve">Rejected </w:t>
      </w:r>
    </w:p>
    <w:p w:rsidR="00F116C2" w:rsidRDefault="00F116C2">
      <w:pPr>
        <w:rPr>
          <w:rFonts w:asciiTheme="minorHAnsi" w:hAnsiTheme="minorHAnsi"/>
          <w:bCs/>
        </w:rPr>
      </w:pPr>
    </w:p>
    <w:p w:rsidR="00F116C2" w:rsidRDefault="004F0556">
      <w:pPr>
        <w:pStyle w:val="PBACHeading1"/>
      </w:pPr>
      <w:r>
        <w:t>Context for Decision</w:t>
      </w:r>
    </w:p>
    <w:p w:rsidR="00F116C2" w:rsidRPr="00AC16F5" w:rsidRDefault="004F0556" w:rsidP="00AC16F5">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116C2" w:rsidRDefault="004F0556">
      <w:pPr>
        <w:pStyle w:val="PBACHeading1"/>
      </w:pPr>
      <w:r>
        <w:t>Sponsor’s Comment</w:t>
      </w:r>
    </w:p>
    <w:p w:rsidR="00F116C2" w:rsidRDefault="007D1121" w:rsidP="00575AA8">
      <w:pPr>
        <w:rPr>
          <w:rFonts w:eastAsiaTheme="minorHAnsi"/>
          <w:snapToGrid/>
          <w:szCs w:val="24"/>
        </w:rPr>
      </w:pPr>
      <w:r w:rsidRPr="004411F3">
        <w:rPr>
          <w:rFonts w:eastAsiaTheme="minorHAnsi"/>
          <w:snapToGrid/>
          <w:lang w:val="en-GB"/>
        </w:rPr>
        <w:t>Emerge Health</w:t>
      </w:r>
      <w:r w:rsidR="008A5F5C" w:rsidRPr="004411F3">
        <w:rPr>
          <w:rFonts w:eastAsiaTheme="minorHAnsi"/>
          <w:snapToGrid/>
          <w:lang w:val="en-GB"/>
        </w:rPr>
        <w:t xml:space="preserve"> is </w:t>
      </w:r>
      <w:r w:rsidR="004F0556" w:rsidRPr="004411F3">
        <w:rPr>
          <w:rFonts w:eastAsiaTheme="minorHAnsi"/>
          <w:snapToGrid/>
          <w:lang w:val="en-GB"/>
        </w:rPr>
        <w:t xml:space="preserve">disappointed with the </w:t>
      </w:r>
      <w:r w:rsidR="00FF5445" w:rsidRPr="004411F3">
        <w:rPr>
          <w:rFonts w:eastAsiaTheme="minorHAnsi"/>
          <w:snapToGrid/>
          <w:lang w:val="en-GB"/>
        </w:rPr>
        <w:t xml:space="preserve">decision of the </w:t>
      </w:r>
      <w:r w:rsidR="004F0556" w:rsidRPr="004411F3">
        <w:rPr>
          <w:rFonts w:eastAsiaTheme="minorHAnsi"/>
          <w:snapToGrid/>
          <w:lang w:val="en-GB"/>
        </w:rPr>
        <w:t xml:space="preserve">PBAC not to recommend </w:t>
      </w:r>
      <w:r w:rsidRPr="004411F3">
        <w:rPr>
          <w:rFonts w:eastAsiaTheme="minorHAnsi"/>
          <w:snapToGrid/>
          <w:lang w:val="en-GB"/>
        </w:rPr>
        <w:t xml:space="preserve">listing of obeticholic acid given the unmet clinical need </w:t>
      </w:r>
      <w:r w:rsidR="00575AA8" w:rsidRPr="004411F3">
        <w:rPr>
          <w:rFonts w:eastAsiaTheme="minorHAnsi"/>
          <w:snapToGrid/>
          <w:lang w:val="en-GB"/>
        </w:rPr>
        <w:t>of</w:t>
      </w:r>
      <w:r w:rsidRPr="004411F3">
        <w:rPr>
          <w:rFonts w:eastAsiaTheme="minorHAnsi"/>
          <w:snapToGrid/>
          <w:lang w:val="en-GB"/>
        </w:rPr>
        <w:t xml:space="preserve"> patients with primary biliary cholangitis (PBC) who experience a</w:t>
      </w:r>
      <w:r w:rsidR="00575AA8" w:rsidRPr="004411F3">
        <w:rPr>
          <w:rFonts w:eastAsiaTheme="minorHAnsi"/>
          <w:snapToGrid/>
          <w:lang w:val="en-GB"/>
        </w:rPr>
        <w:t>n</w:t>
      </w:r>
      <w:r w:rsidRPr="004411F3">
        <w:rPr>
          <w:rFonts w:eastAsiaTheme="minorHAnsi"/>
          <w:snapToGrid/>
          <w:lang w:val="en-GB"/>
        </w:rPr>
        <w:t xml:space="preserve"> inadequate response to </w:t>
      </w:r>
      <w:r w:rsidR="00FF5445" w:rsidRPr="004411F3">
        <w:rPr>
          <w:rFonts w:eastAsiaTheme="minorHAnsi"/>
          <w:snapToGrid/>
          <w:lang w:val="en-GB"/>
        </w:rPr>
        <w:t>ursodeoxycholic acid (</w:t>
      </w:r>
      <w:r w:rsidRPr="004411F3">
        <w:rPr>
          <w:rFonts w:eastAsiaTheme="minorHAnsi"/>
          <w:snapToGrid/>
          <w:lang w:val="en-GB"/>
        </w:rPr>
        <w:t>UDCA</w:t>
      </w:r>
      <w:r w:rsidR="00FF5445" w:rsidRPr="004411F3">
        <w:rPr>
          <w:rFonts w:eastAsiaTheme="minorHAnsi"/>
          <w:snapToGrid/>
          <w:lang w:val="en-GB"/>
        </w:rPr>
        <w:t>)</w:t>
      </w:r>
      <w:r w:rsidRPr="004411F3">
        <w:rPr>
          <w:rFonts w:eastAsiaTheme="minorHAnsi"/>
          <w:snapToGrid/>
          <w:lang w:val="en-GB"/>
        </w:rPr>
        <w:t xml:space="preserve"> or who are intolerant to UDCA. Emerge Health will continue to work with </w:t>
      </w:r>
      <w:r w:rsidR="00575AA8" w:rsidRPr="004411F3">
        <w:rPr>
          <w:rFonts w:eastAsiaTheme="minorHAnsi"/>
          <w:snapToGrid/>
          <w:lang w:val="en-GB"/>
        </w:rPr>
        <w:t>t</w:t>
      </w:r>
      <w:r w:rsidRPr="004411F3">
        <w:rPr>
          <w:rFonts w:eastAsiaTheme="minorHAnsi"/>
          <w:snapToGrid/>
          <w:lang w:val="en-GB"/>
        </w:rPr>
        <w:t>h</w:t>
      </w:r>
      <w:r w:rsidR="00575AA8" w:rsidRPr="004411F3">
        <w:rPr>
          <w:rFonts w:eastAsiaTheme="minorHAnsi"/>
          <w:snapToGrid/>
          <w:lang w:val="en-GB"/>
        </w:rPr>
        <w:t>e</w:t>
      </w:r>
      <w:r w:rsidRPr="004411F3">
        <w:rPr>
          <w:rFonts w:eastAsiaTheme="minorHAnsi"/>
          <w:snapToGrid/>
          <w:lang w:val="en-GB"/>
        </w:rPr>
        <w:t xml:space="preserve"> PBAC to ensure that</w:t>
      </w:r>
      <w:r w:rsidR="00575AA8" w:rsidRPr="004411F3">
        <w:rPr>
          <w:rFonts w:eastAsiaTheme="minorHAnsi"/>
          <w:snapToGrid/>
          <w:lang w:val="en-GB"/>
        </w:rPr>
        <w:t xml:space="preserve"> </w:t>
      </w:r>
      <w:r w:rsidRPr="004411F3">
        <w:rPr>
          <w:rFonts w:eastAsiaTheme="minorHAnsi"/>
          <w:snapToGrid/>
          <w:lang w:val="en-GB"/>
        </w:rPr>
        <w:t>patient</w:t>
      </w:r>
      <w:r w:rsidR="00575AA8" w:rsidRPr="004411F3">
        <w:rPr>
          <w:rFonts w:eastAsiaTheme="minorHAnsi"/>
          <w:snapToGrid/>
          <w:lang w:val="en-GB"/>
        </w:rPr>
        <w:t>s</w:t>
      </w:r>
      <w:r w:rsidR="008F1A29" w:rsidRPr="004411F3">
        <w:rPr>
          <w:rFonts w:eastAsiaTheme="minorHAnsi"/>
          <w:snapToGrid/>
          <w:lang w:val="en-GB"/>
        </w:rPr>
        <w:t xml:space="preserve"> with PBC</w:t>
      </w:r>
      <w:r w:rsidR="00575AA8" w:rsidRPr="004411F3">
        <w:rPr>
          <w:rFonts w:eastAsiaTheme="minorHAnsi"/>
          <w:snapToGrid/>
          <w:lang w:val="en-GB"/>
        </w:rPr>
        <w:t xml:space="preserve"> are able to access obeticholic acid in Australia.</w:t>
      </w:r>
      <w:r w:rsidR="00575AA8">
        <w:t xml:space="preserve">  </w:t>
      </w:r>
    </w:p>
    <w:p w:rsidR="00F116C2" w:rsidRDefault="00F116C2">
      <w:pPr>
        <w:rPr>
          <w:rFonts w:asciiTheme="minorHAnsi" w:hAnsiTheme="minorHAnsi"/>
          <w:bCs/>
        </w:rPr>
      </w:pPr>
    </w:p>
    <w:sectPr w:rsidR="00F116C2">
      <w:headerReference w:type="default" r:id="rId2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8D" w:rsidRDefault="00E5768D">
      <w:r>
        <w:separator/>
      </w:r>
    </w:p>
    <w:p w:rsidR="00E5768D" w:rsidRDefault="00E5768D"/>
  </w:endnote>
  <w:endnote w:type="continuationSeparator" w:id="0">
    <w:p w:rsidR="00E5768D" w:rsidRDefault="00E5768D">
      <w:r>
        <w:continuationSeparator/>
      </w:r>
    </w:p>
    <w:p w:rsidR="00E5768D" w:rsidRDefault="00E57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119296"/>
      <w:docPartObj>
        <w:docPartGallery w:val="Page Numbers (Bottom of Page)"/>
        <w:docPartUnique/>
      </w:docPartObj>
    </w:sdtPr>
    <w:sdtEndPr>
      <w:rPr>
        <w:b/>
        <w:noProof/>
      </w:rPr>
    </w:sdtEndPr>
    <w:sdtContent>
      <w:p w:rsidR="00E5768D" w:rsidRDefault="00E5768D">
        <w:pPr>
          <w:pStyle w:val="Footer"/>
          <w:jc w:val="center"/>
        </w:pPr>
      </w:p>
      <w:p w:rsidR="00E5768D" w:rsidRDefault="00E5768D">
        <w:pPr>
          <w:pStyle w:val="Footer"/>
          <w:jc w:val="center"/>
        </w:pPr>
        <w:r>
          <w:rPr>
            <w:b/>
          </w:rPr>
          <w:fldChar w:fldCharType="begin"/>
        </w:r>
        <w:r>
          <w:rPr>
            <w:b/>
          </w:rPr>
          <w:instrText xml:space="preserve"> PAGE   \* MERGEFORMAT </w:instrText>
        </w:r>
        <w:r>
          <w:rPr>
            <w:b/>
          </w:rPr>
          <w:fldChar w:fldCharType="separate"/>
        </w:r>
        <w:r w:rsidR="009C1169">
          <w:rPr>
            <w:b/>
            <w:noProof/>
          </w:rPr>
          <w:t>28</w:t>
        </w:r>
        <w:r>
          <w:rPr>
            <w:b/>
            <w:noProof/>
          </w:rPr>
          <w:fldChar w:fldCharType="end"/>
        </w:r>
      </w:p>
    </w:sdtContent>
  </w:sdt>
  <w:p w:rsidR="00E5768D" w:rsidRDefault="00E5768D">
    <w:pPr>
      <w:ind w:left="709"/>
      <w:contextualSpacing/>
      <w:jc w:val="center"/>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8D" w:rsidRDefault="00E5768D">
      <w:r>
        <w:separator/>
      </w:r>
    </w:p>
    <w:p w:rsidR="00E5768D" w:rsidRDefault="00E5768D"/>
  </w:footnote>
  <w:footnote w:type="continuationSeparator" w:id="0">
    <w:p w:rsidR="00E5768D" w:rsidRDefault="00E5768D">
      <w:r>
        <w:continuationSeparator/>
      </w:r>
    </w:p>
    <w:p w:rsidR="00E5768D" w:rsidRDefault="00E576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tabs>
        <w:tab w:val="left" w:pos="142"/>
        <w:tab w:val="right" w:pos="9027"/>
      </w:tabs>
      <w:jc w:val="center"/>
      <w:rPr>
        <w:i/>
        <w:szCs w:val="24"/>
      </w:rPr>
    </w:pPr>
    <w:r>
      <w:rPr>
        <w:i/>
        <w:szCs w:val="24"/>
      </w:rPr>
      <w:t>Product Summary Document – July 2019 PBAC Meeting</w:t>
    </w:r>
  </w:p>
  <w:p w:rsidR="00E5768D" w:rsidRDefault="00E5768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tabs>
        <w:tab w:val="left" w:pos="142"/>
        <w:tab w:val="right" w:pos="13892"/>
      </w:tabs>
      <w:jc w:val="center"/>
      <w:rPr>
        <w:i/>
        <w:szCs w:val="24"/>
      </w:rPr>
    </w:pPr>
    <w:r>
      <w:rPr>
        <w:i/>
        <w:szCs w:val="24"/>
      </w:rPr>
      <w:t>Ratified Minutes – July 2019 PBAC Meeting</w:t>
    </w:r>
  </w:p>
  <w:p w:rsidR="00E5768D" w:rsidRDefault="00E5768D">
    <w:pPr>
      <w:tabs>
        <w:tab w:val="left" w:pos="142"/>
        <w:tab w:val="right" w:pos="13892"/>
      </w:tabs>
      <w:jc w:val="center"/>
    </w:pPr>
    <w:r>
      <w:rPr>
        <w:i/>
        <w:szCs w:val="24"/>
      </w:rPr>
      <w:t>Commercial-In-Confidence</w:t>
    </w:r>
  </w:p>
  <w:p w:rsidR="00E5768D" w:rsidRDefault="00E5768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tabs>
        <w:tab w:val="left" w:pos="142"/>
        <w:tab w:val="right" w:pos="13892"/>
      </w:tabs>
      <w:jc w:val="center"/>
      <w:rPr>
        <w:i/>
        <w:szCs w:val="24"/>
      </w:rPr>
    </w:pPr>
    <w:r>
      <w:rPr>
        <w:i/>
        <w:szCs w:val="24"/>
      </w:rPr>
      <w:t>Product Summary Document – July 2019 PBAC Meeting</w:t>
    </w:r>
  </w:p>
  <w:p w:rsidR="00E5768D" w:rsidRDefault="00E5768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8D" w:rsidRDefault="00E5768D">
    <w:pPr>
      <w:tabs>
        <w:tab w:val="left" w:pos="142"/>
        <w:tab w:val="right" w:pos="9027"/>
      </w:tabs>
      <w:jc w:val="center"/>
      <w:rPr>
        <w:i/>
        <w:szCs w:val="24"/>
      </w:rPr>
    </w:pPr>
    <w:r>
      <w:rPr>
        <w:i/>
        <w:szCs w:val="24"/>
      </w:rPr>
      <w:t>Product Summary Document – July 2019 PBAC Meeting</w:t>
    </w:r>
  </w:p>
  <w:p w:rsidR="00E5768D" w:rsidRDefault="00E576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A1CE5B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A24F5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8534D7"/>
    <w:multiLevelType w:val="hybridMultilevel"/>
    <w:tmpl w:val="AE1C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D362C"/>
    <w:multiLevelType w:val="singleLevel"/>
    <w:tmpl w:val="5B449934"/>
    <w:lvl w:ilvl="0">
      <w:start w:val="1"/>
      <w:numFmt w:val="decimal"/>
      <w:pStyle w:val="DblIndentPara10"/>
      <w:lvlText w:val="%1."/>
      <w:lvlJc w:val="left"/>
      <w:pPr>
        <w:tabs>
          <w:tab w:val="num" w:pos="360"/>
        </w:tabs>
        <w:ind w:left="360" w:hanging="360"/>
      </w:pPr>
    </w:lvl>
  </w:abstractNum>
  <w:abstractNum w:abstractNumId="5" w15:restartNumberingAfterBreak="0">
    <w:nsid w:val="04DB6EC1"/>
    <w:multiLevelType w:val="hybridMultilevel"/>
    <w:tmpl w:val="8A4ADA28"/>
    <w:lvl w:ilvl="0" w:tplc="04090001">
      <w:start w:val="1"/>
      <w:numFmt w:val="bullet"/>
      <w:lvlText w:val=""/>
      <w:lvlJc w:val="left"/>
      <w:pPr>
        <w:ind w:left="720" w:hanging="360"/>
      </w:pPr>
      <w:rPr>
        <w:rFonts w:ascii="Symbol" w:hAnsi="Symbol" w:hint="default"/>
      </w:rPr>
    </w:lvl>
    <w:lvl w:ilvl="1" w:tplc="BD04E90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45925"/>
    <w:multiLevelType w:val="hybridMultilevel"/>
    <w:tmpl w:val="74B6DB4C"/>
    <w:lvl w:ilvl="0" w:tplc="A2C61D1A">
      <w:start w:val="1"/>
      <w:numFmt w:val="bullet"/>
      <w:lvlText w:val=""/>
      <w:lvlJc w:val="left"/>
      <w:pPr>
        <w:tabs>
          <w:tab w:val="num" w:pos="720"/>
        </w:tabs>
        <w:ind w:left="720" w:hanging="360"/>
      </w:pPr>
      <w:rPr>
        <w:rFonts w:ascii="Wingdings" w:hAnsi="Wingdings" w:hint="default"/>
      </w:rPr>
    </w:lvl>
    <w:lvl w:ilvl="1" w:tplc="EF9E2460">
      <w:start w:val="114"/>
      <w:numFmt w:val="bullet"/>
      <w:lvlText w:val=""/>
      <w:lvlJc w:val="left"/>
      <w:pPr>
        <w:tabs>
          <w:tab w:val="num" w:pos="1440"/>
        </w:tabs>
        <w:ind w:left="1440" w:hanging="360"/>
      </w:pPr>
      <w:rPr>
        <w:rFonts w:ascii="Wingdings" w:hAnsi="Wingdings" w:hint="default"/>
      </w:rPr>
    </w:lvl>
    <w:lvl w:ilvl="2" w:tplc="E0EA30F0">
      <w:start w:val="114"/>
      <w:numFmt w:val="bullet"/>
      <w:lvlText w:val="o"/>
      <w:lvlJc w:val="left"/>
      <w:pPr>
        <w:tabs>
          <w:tab w:val="num" w:pos="2160"/>
        </w:tabs>
        <w:ind w:left="2160" w:hanging="360"/>
      </w:pPr>
      <w:rPr>
        <w:rFonts w:ascii="Courier New" w:hAnsi="Courier New" w:hint="default"/>
      </w:rPr>
    </w:lvl>
    <w:lvl w:ilvl="3" w:tplc="B7CA3A2C" w:tentative="1">
      <w:start w:val="1"/>
      <w:numFmt w:val="bullet"/>
      <w:lvlText w:val=""/>
      <w:lvlJc w:val="left"/>
      <w:pPr>
        <w:tabs>
          <w:tab w:val="num" w:pos="2880"/>
        </w:tabs>
        <w:ind w:left="2880" w:hanging="360"/>
      </w:pPr>
      <w:rPr>
        <w:rFonts w:ascii="Wingdings" w:hAnsi="Wingdings" w:hint="default"/>
      </w:rPr>
    </w:lvl>
    <w:lvl w:ilvl="4" w:tplc="0786EEE2" w:tentative="1">
      <w:start w:val="1"/>
      <w:numFmt w:val="bullet"/>
      <w:lvlText w:val=""/>
      <w:lvlJc w:val="left"/>
      <w:pPr>
        <w:tabs>
          <w:tab w:val="num" w:pos="3600"/>
        </w:tabs>
        <w:ind w:left="3600" w:hanging="360"/>
      </w:pPr>
      <w:rPr>
        <w:rFonts w:ascii="Wingdings" w:hAnsi="Wingdings" w:hint="default"/>
      </w:rPr>
    </w:lvl>
    <w:lvl w:ilvl="5" w:tplc="D4E632E2" w:tentative="1">
      <w:start w:val="1"/>
      <w:numFmt w:val="bullet"/>
      <w:lvlText w:val=""/>
      <w:lvlJc w:val="left"/>
      <w:pPr>
        <w:tabs>
          <w:tab w:val="num" w:pos="4320"/>
        </w:tabs>
        <w:ind w:left="4320" w:hanging="360"/>
      </w:pPr>
      <w:rPr>
        <w:rFonts w:ascii="Wingdings" w:hAnsi="Wingdings" w:hint="default"/>
      </w:rPr>
    </w:lvl>
    <w:lvl w:ilvl="6" w:tplc="8838630C" w:tentative="1">
      <w:start w:val="1"/>
      <w:numFmt w:val="bullet"/>
      <w:lvlText w:val=""/>
      <w:lvlJc w:val="left"/>
      <w:pPr>
        <w:tabs>
          <w:tab w:val="num" w:pos="5040"/>
        </w:tabs>
        <w:ind w:left="5040" w:hanging="360"/>
      </w:pPr>
      <w:rPr>
        <w:rFonts w:ascii="Wingdings" w:hAnsi="Wingdings" w:hint="default"/>
      </w:rPr>
    </w:lvl>
    <w:lvl w:ilvl="7" w:tplc="4508B210" w:tentative="1">
      <w:start w:val="1"/>
      <w:numFmt w:val="bullet"/>
      <w:lvlText w:val=""/>
      <w:lvlJc w:val="left"/>
      <w:pPr>
        <w:tabs>
          <w:tab w:val="num" w:pos="5760"/>
        </w:tabs>
        <w:ind w:left="5760" w:hanging="360"/>
      </w:pPr>
      <w:rPr>
        <w:rFonts w:ascii="Wingdings" w:hAnsi="Wingdings" w:hint="default"/>
      </w:rPr>
    </w:lvl>
    <w:lvl w:ilvl="8" w:tplc="9FFC0E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3269C9"/>
    <w:multiLevelType w:val="multilevel"/>
    <w:tmpl w:val="9872BD6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3E36C6"/>
    <w:multiLevelType w:val="multilevel"/>
    <w:tmpl w:val="9872BD6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664F9"/>
    <w:multiLevelType w:val="multilevel"/>
    <w:tmpl w:val="1556D99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A65988"/>
    <w:multiLevelType w:val="hybridMultilevel"/>
    <w:tmpl w:val="F4A0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B3DDD"/>
    <w:multiLevelType w:val="hybridMultilevel"/>
    <w:tmpl w:val="35F44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A17258"/>
    <w:multiLevelType w:val="multilevel"/>
    <w:tmpl w:val="35F0BE5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7366C7"/>
    <w:multiLevelType w:val="multilevel"/>
    <w:tmpl w:val="4E86F5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DE745C"/>
    <w:multiLevelType w:val="hybridMultilevel"/>
    <w:tmpl w:val="136A4CD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7" w15:restartNumberingAfterBreak="0">
    <w:nsid w:val="305D258F"/>
    <w:multiLevelType w:val="multilevel"/>
    <w:tmpl w:val="15B2B5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7D446D"/>
    <w:multiLevelType w:val="multilevel"/>
    <w:tmpl w:val="7E18DB7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D85802"/>
    <w:multiLevelType w:val="multilevel"/>
    <w:tmpl w:val="35F0BE5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22215F"/>
    <w:multiLevelType w:val="hybridMultilevel"/>
    <w:tmpl w:val="CC78B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B0517B"/>
    <w:multiLevelType w:val="multilevel"/>
    <w:tmpl w:val="2242BF8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EA5731"/>
    <w:multiLevelType w:val="hybridMultilevel"/>
    <w:tmpl w:val="6A605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14688"/>
    <w:multiLevelType w:val="hybridMultilevel"/>
    <w:tmpl w:val="6CE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985E85"/>
    <w:multiLevelType w:val="hybridMultilevel"/>
    <w:tmpl w:val="D6D66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DA05AB"/>
    <w:multiLevelType w:val="multilevel"/>
    <w:tmpl w:val="9528A58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DB0EAC"/>
    <w:multiLevelType w:val="multilevel"/>
    <w:tmpl w:val="2CC266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7F771B"/>
    <w:multiLevelType w:val="multilevel"/>
    <w:tmpl w:val="0CCE9EA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2D0496"/>
    <w:multiLevelType w:val="hybridMultilevel"/>
    <w:tmpl w:val="3A6A53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1AA0DCE"/>
    <w:multiLevelType w:val="hybridMultilevel"/>
    <w:tmpl w:val="9A9AA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2AF30B7"/>
    <w:multiLevelType w:val="hybridMultilevel"/>
    <w:tmpl w:val="4FAC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B0077E"/>
    <w:multiLevelType w:val="hybridMultilevel"/>
    <w:tmpl w:val="30C8D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8110B7"/>
    <w:multiLevelType w:val="hybridMultilevel"/>
    <w:tmpl w:val="BAD2B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15:restartNumberingAfterBreak="0">
    <w:nsid w:val="6B71262C"/>
    <w:multiLevelType w:val="hybridMultilevel"/>
    <w:tmpl w:val="3E9A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96F98"/>
    <w:multiLevelType w:val="multilevel"/>
    <w:tmpl w:val="C1404FA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66D2E"/>
    <w:multiLevelType w:val="hybridMultilevel"/>
    <w:tmpl w:val="330E0D40"/>
    <w:lvl w:ilvl="0" w:tplc="0C09000F">
      <w:numFmt w:val="decimal"/>
      <w:pStyle w:val="SynopsisHeading"/>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40" w15:restartNumberingAfterBreak="0">
    <w:nsid w:val="716C7F2A"/>
    <w:multiLevelType w:val="hybridMultilevel"/>
    <w:tmpl w:val="71AA06F6"/>
    <w:lvl w:ilvl="0" w:tplc="5B8A59B4">
      <w:start w:val="1"/>
      <w:numFmt w:val="decimal"/>
      <w:lvlText w:val="%1."/>
      <w:lvlJc w:val="left"/>
      <w:pPr>
        <w:ind w:left="360" w:hanging="360"/>
      </w:pPr>
      <w:rPr>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53F3FB0"/>
    <w:multiLevelType w:val="multilevel"/>
    <w:tmpl w:val="EF24FAA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4D033C"/>
    <w:multiLevelType w:val="multilevel"/>
    <w:tmpl w:val="1A58FD8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55210B"/>
    <w:multiLevelType w:val="hybridMultilevel"/>
    <w:tmpl w:val="3E906544"/>
    <w:lvl w:ilvl="0" w:tplc="0C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761549"/>
    <w:multiLevelType w:val="multilevel"/>
    <w:tmpl w:val="9528A58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2"/>
  </w:num>
  <w:num w:numId="3">
    <w:abstractNumId w:val="23"/>
  </w:num>
  <w:num w:numId="4">
    <w:abstractNumId w:val="37"/>
  </w:num>
  <w:num w:numId="5">
    <w:abstractNumId w:val="10"/>
  </w:num>
  <w:num w:numId="6">
    <w:abstractNumId w:val="43"/>
  </w:num>
  <w:num w:numId="7">
    <w:abstractNumId w:val="17"/>
  </w:num>
  <w:num w:numId="8">
    <w:abstractNumId w:val="8"/>
  </w:num>
  <w:num w:numId="9">
    <w:abstractNumId w:val="16"/>
  </w:num>
  <w:num w:numId="10">
    <w:abstractNumId w:val="12"/>
  </w:num>
  <w:num w:numId="11">
    <w:abstractNumId w:val="11"/>
  </w:num>
  <w:num w:numId="12">
    <w:abstractNumId w:val="1"/>
  </w:num>
  <w:num w:numId="13">
    <w:abstractNumId w:val="36"/>
  </w:num>
  <w:num w:numId="14">
    <w:abstractNumId w:val="25"/>
  </w:num>
  <w:num w:numId="15">
    <w:abstractNumId w:val="31"/>
  </w:num>
  <w:num w:numId="16">
    <w:abstractNumId w:val="22"/>
  </w:num>
  <w:num w:numId="17">
    <w:abstractNumId w:val="20"/>
  </w:num>
  <w:num w:numId="18">
    <w:abstractNumId w:val="24"/>
  </w:num>
  <w:num w:numId="19">
    <w:abstractNumId w:val="41"/>
  </w:num>
  <w:num w:numId="20">
    <w:abstractNumId w:val="9"/>
  </w:num>
  <w:num w:numId="21">
    <w:abstractNumId w:val="18"/>
  </w:num>
  <w:num w:numId="22">
    <w:abstractNumId w:val="33"/>
  </w:num>
  <w:num w:numId="23">
    <w:abstractNumId w:val="23"/>
  </w:num>
  <w:num w:numId="24">
    <w:abstractNumId w:val="21"/>
  </w:num>
  <w:num w:numId="25">
    <w:abstractNumId w:val="4"/>
  </w:num>
  <w:num w:numId="26">
    <w:abstractNumId w:val="39"/>
  </w:num>
  <w:num w:numId="27">
    <w:abstractNumId w:val="34"/>
  </w:num>
  <w:num w:numId="28">
    <w:abstractNumId w:val="35"/>
  </w:num>
  <w:num w:numId="29">
    <w:abstractNumId w:val="3"/>
  </w:num>
  <w:num w:numId="30">
    <w:abstractNumId w:val="40"/>
  </w:num>
  <w:num w:numId="31">
    <w:abstractNumId w:val="27"/>
  </w:num>
  <w:num w:numId="32">
    <w:abstractNumId w:val="44"/>
  </w:num>
  <w:num w:numId="33">
    <w:abstractNumId w:val="26"/>
  </w:num>
  <w:num w:numId="34">
    <w:abstractNumId w:val="15"/>
  </w:num>
  <w:num w:numId="35">
    <w:abstractNumId w:val="19"/>
  </w:num>
  <w:num w:numId="36">
    <w:abstractNumId w:val="14"/>
  </w:num>
  <w:num w:numId="37">
    <w:abstractNumId w:val="28"/>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0"/>
  </w:num>
  <w:num w:numId="41">
    <w:abstractNumId w:val="29"/>
  </w:num>
  <w:num w:numId="42">
    <w:abstractNumId w:val="30"/>
  </w:num>
  <w:num w:numId="43">
    <w:abstractNumId w:val="7"/>
  </w:num>
  <w:num w:numId="44">
    <w:abstractNumId w:val="2"/>
  </w:num>
  <w:num w:numId="45">
    <w:abstractNumId w:val="13"/>
  </w:num>
  <w:num w:numId="46">
    <w:abstractNumId w:val="38"/>
  </w:num>
  <w:num w:numId="47">
    <w:abstractNumId w:val="6"/>
  </w:num>
  <w:num w:numId="48">
    <w:abstractNumId w:val="42"/>
  </w:num>
  <w:num w:numId="49">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C2"/>
    <w:rsid w:val="000D77CD"/>
    <w:rsid w:val="004411F3"/>
    <w:rsid w:val="004F0556"/>
    <w:rsid w:val="00575AA8"/>
    <w:rsid w:val="007557B2"/>
    <w:rsid w:val="007A4FA8"/>
    <w:rsid w:val="007D1121"/>
    <w:rsid w:val="008A5F5C"/>
    <w:rsid w:val="008F1A29"/>
    <w:rsid w:val="009C1169"/>
    <w:rsid w:val="00AC16F5"/>
    <w:rsid w:val="00B624C9"/>
    <w:rsid w:val="00BB04D3"/>
    <w:rsid w:val="00C7595F"/>
    <w:rsid w:val="00E5768D"/>
    <w:rsid w:val="00EC5473"/>
    <w:rsid w:val="00F116C2"/>
    <w:rsid w:val="00FF54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5D190B"/>
  <w15:docId w15:val="{0CF77C3B-83AC-4032-BF44-EF52DDEB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pPr>
      <w:keepNext/>
      <w:spacing w:after="120"/>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Caption Char1,Caption Char Char,Char Char Char,Char Char1,Char Char,Char1,Table caption,Caption 3,c,appendix,Char"/>
    <w:basedOn w:val="Normal"/>
    <w:next w:val="Normal"/>
    <w:link w:val="CaptionChar"/>
    <w:unhideWhenUsed/>
    <w:qFormat/>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Char Char Char1,Char1 Char,Table caption Char,Caption 3 Char,c Char,appendix Char,Char Char2"/>
    <w:link w:val="Caption"/>
    <w:rPr>
      <w:b/>
      <w:bCs/>
      <w:snapToGrid w:val="0"/>
      <w:color w:val="4F81BD" w:themeColor="accent1"/>
      <w:sz w:val="18"/>
      <w:szCs w:val="18"/>
      <w:lang w:eastAsia="en-US"/>
    </w:rPr>
  </w:style>
  <w:style w:type="paragraph" w:styleId="Title">
    <w:name w:val="Title"/>
    <w:basedOn w:val="Normal"/>
    <w:next w:val="Normal"/>
    <w:link w:val="TitleChar"/>
    <w:qFormat/>
    <w:pPr>
      <w:widowControl/>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
    <w:basedOn w:val="Normal"/>
    <w:link w:val="ListParagraphChar"/>
    <w:uiPriority w:val="34"/>
    <w:qFormat/>
    <w:pPr>
      <w:spacing w:after="160"/>
      <w:ind w:left="720"/>
    </w:pPr>
  </w:style>
  <w:style w:type="character" w:customStyle="1" w:styleId="ListParagraphChar">
    <w:name w:val="List Paragraph Char"/>
    <w:aliases w:val="Numbered para Char,BulletPoints Char,List Paragraph1 Char"/>
    <w:basedOn w:val="DefaultParagraphFont"/>
    <w:link w:val="ListParagraph"/>
    <w:uiPriority w:val="72"/>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ASD Table,RTI AMCP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rPr>
      <w:rFonts w:ascii="Times New Roman" w:hAnsi="Times New Roman" w:cs="Times New Roman"/>
      <w:sz w:val="20"/>
    </w:rPr>
  </w:style>
  <w:style w:type="character" w:customStyle="1" w:styleId="CommentTextChar">
    <w:name w:val="Comment Text Char"/>
    <w:basedOn w:val="DefaultParagraphFont"/>
    <w:link w:val="CommentText"/>
    <w:rPr>
      <w:snapToGrid w:val="0"/>
      <w:lang w:eastAsia="en-US"/>
    </w:rPr>
  </w:style>
  <w:style w:type="paragraph" w:customStyle="1" w:styleId="Bulletpoints">
    <w:name w:val="Bullet points"/>
    <w:basedOn w:val="ListParagraph"/>
    <w:qFormat/>
    <w:pPr>
      <w:numPr>
        <w:numId w:val="3"/>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keepNext/>
      <w:numPr>
        <w:numId w:val="2"/>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Footnoteindent">
    <w:name w:val="Table Footnote indent"/>
    <w:basedOn w:val="Normal"/>
    <w:next w:val="Normal"/>
    <w:link w:val="TableFootnoteindentChar"/>
    <w:autoRedefine/>
    <w:qFormat/>
    <w:pPr>
      <w:widowControl/>
      <w:tabs>
        <w:tab w:val="left" w:pos="284"/>
      </w:tabs>
      <w:ind w:left="284" w:hanging="284"/>
      <w:jc w:val="left"/>
    </w:pPr>
    <w:rPr>
      <w:rFonts w:ascii="Times New Roman" w:hAnsi="Times New Roman" w:cs="Times New Roman"/>
      <w:snapToGrid/>
      <w:sz w:val="16"/>
      <w:szCs w:val="24"/>
      <w:lang w:eastAsia="en-AU"/>
    </w:rPr>
  </w:style>
  <w:style w:type="character" w:customStyle="1" w:styleId="TableFootnoteindentChar">
    <w:name w:val="Table Footnote indent Char"/>
    <w:link w:val="TableFootnoteindent"/>
    <w:rPr>
      <w:sz w:val="16"/>
      <w:szCs w:val="24"/>
    </w:rPr>
  </w:style>
  <w:style w:type="paragraph" w:customStyle="1" w:styleId="Answer">
    <w:name w:val="Answer"/>
    <w:basedOn w:val="Normal"/>
    <w:link w:val="AnswerCharChar"/>
    <w:qFormat/>
    <w:pPr>
      <w:widowControl/>
      <w:spacing w:line="276" w:lineRule="auto"/>
      <w:jc w:val="left"/>
    </w:pPr>
    <w:rPr>
      <w:rFonts w:ascii="Arial" w:eastAsia="Calibri" w:hAnsi="Arial"/>
      <w:snapToGrid/>
      <w:szCs w:val="24"/>
      <w:lang w:val="en-GB" w:eastAsia="en-AU"/>
    </w:rPr>
  </w:style>
  <w:style w:type="character" w:customStyle="1" w:styleId="AnswerCharChar">
    <w:name w:val="Answer Char Char"/>
    <w:link w:val="Answer"/>
    <w:rPr>
      <w:rFonts w:ascii="Arial" w:eastAsia="Calibri" w:hAnsi="Arial" w:cs="Arial"/>
      <w:sz w:val="24"/>
      <w:szCs w:val="24"/>
      <w:lang w:val="en-GB"/>
    </w:rPr>
  </w:style>
  <w:style w:type="paragraph" w:customStyle="1" w:styleId="Tablefootnote">
    <w:name w:val="Table footnote"/>
    <w:basedOn w:val="Tabletext"/>
    <w:next w:val="Normal"/>
    <w:link w:val="TablefootnoteChar"/>
    <w:qFormat/>
    <w:rPr>
      <w:rFonts w:ascii="Times New Roman" w:eastAsia="Calibri" w:hAnsi="Times New Roman"/>
      <w:sz w:val="16"/>
      <w:szCs w:val="20"/>
      <w:lang w:val="en-GB" w:eastAsia="en-AU"/>
    </w:rPr>
  </w:style>
  <w:style w:type="character" w:customStyle="1" w:styleId="TablefootnoteChar">
    <w:name w:val="Table footnote Char"/>
    <w:link w:val="Tablefootnote"/>
    <w:rPr>
      <w:rFonts w:eastAsia="Calibri"/>
      <w:sz w:val="16"/>
      <w:lang w:val="en-GB"/>
    </w:rPr>
  </w:style>
  <w:style w:type="paragraph" w:customStyle="1" w:styleId="Default">
    <w:name w:val="Default"/>
    <w:pPr>
      <w:autoSpaceDE w:val="0"/>
      <w:autoSpaceDN w:val="0"/>
      <w:adjustRightInd w:val="0"/>
    </w:pPr>
    <w:rPr>
      <w:color w:val="000000"/>
      <w:sz w:val="24"/>
      <w:szCs w:val="24"/>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rFonts w:ascii="Calibri" w:hAnsi="Calibri" w:cs="Arial"/>
      <w:snapToGrid w:val="0"/>
      <w:lang w:eastAsia="en-US"/>
    </w:rPr>
  </w:style>
  <w:style w:type="character" w:styleId="FootnoteReference">
    <w:name w:val="footnote reference"/>
    <w:basedOn w:val="DefaultParagraphFont"/>
    <w:unhideWhenUsed/>
    <w:rPr>
      <w:vertAlign w:val="superscript"/>
    </w:rPr>
  </w:style>
  <w:style w:type="paragraph" w:customStyle="1" w:styleId="C-TableText">
    <w:name w:val="C-Table Text"/>
    <w:link w:val="C-TableTextChar"/>
    <w:pPr>
      <w:spacing w:before="60" w:after="60"/>
    </w:pPr>
    <w:rPr>
      <w:sz w:val="22"/>
      <w:lang w:val="en-US" w:eastAsia="en-US"/>
    </w:rPr>
  </w:style>
  <w:style w:type="character" w:customStyle="1" w:styleId="C-TableTextChar">
    <w:name w:val="C-Table Text Char"/>
    <w:link w:val="C-TableText"/>
    <w:rPr>
      <w:sz w:val="22"/>
      <w:lang w:val="en-US" w:eastAsia="en-US"/>
    </w:rPr>
  </w:style>
  <w:style w:type="paragraph" w:customStyle="1" w:styleId="p">
    <w:name w:val="p"/>
    <w:basedOn w:val="Normal"/>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MediumGrid1-Accent21">
    <w:name w:val="Medium Grid 1 - Accent 21"/>
    <w:basedOn w:val="Normal"/>
    <w:uiPriority w:val="34"/>
    <w:qFormat/>
    <w:pPr>
      <w:widowControl/>
      <w:ind w:left="720"/>
      <w:jc w:val="left"/>
    </w:pPr>
    <w:rPr>
      <w:rFonts w:ascii="Times New Roman" w:hAnsi="Times New Roman" w:cs="Times New Roman"/>
      <w:snapToGrid/>
      <w:szCs w:val="24"/>
      <w:lang w:eastAsia="en-AU"/>
    </w:rPr>
  </w:style>
  <w:style w:type="character" w:customStyle="1" w:styleId="V50InstructionsChar">
    <w:name w:val="V5.0 Instructions Char"/>
    <w:basedOn w:val="DefaultParagraphFont"/>
    <w:link w:val="V50Instructions"/>
    <w:locked/>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pPr>
      <w:widowControl/>
      <w:spacing w:before="120" w:after="160"/>
      <w:jc w:val="left"/>
    </w:pPr>
    <w:rPr>
      <w:rFonts w:asciiTheme="minorHAnsi" w:eastAsiaTheme="minorHAnsi" w:hAnsiTheme="minorHAnsi" w:cstheme="minorBidi"/>
      <w:snapToGrid/>
      <w:color w:val="4BACC6" w:themeColor="accent5"/>
    </w:rPr>
  </w:style>
  <w:style w:type="paragraph" w:customStyle="1" w:styleId="TableHeading0">
    <w:name w:val="Table Heading"/>
    <w:basedOn w:val="Normal"/>
    <w:uiPriority w:val="99"/>
    <w:qFormat/>
    <w:pPr>
      <w:keepNext/>
      <w:widowControl/>
      <w:spacing w:after="60"/>
      <w:jc w:val="left"/>
    </w:pPr>
    <w:rPr>
      <w:rFonts w:ascii="Arial Narrow" w:eastAsiaTheme="minorHAnsi" w:hAnsi="Arial Narrow" w:cstheme="minorBidi"/>
      <w:b/>
      <w:snapToGrid/>
      <w:sz w:val="20"/>
    </w:rPr>
  </w:style>
  <w:style w:type="paragraph" w:customStyle="1" w:styleId="bulletlevel2">
    <w:name w:val="bullet level 2"/>
    <w:basedOn w:val="Normal"/>
    <w:pPr>
      <w:widowControl/>
      <w:tabs>
        <w:tab w:val="num" w:pos="567"/>
      </w:tabs>
      <w:ind w:left="567" w:hanging="283"/>
      <w:jc w:val="left"/>
    </w:pPr>
    <w:rPr>
      <w:rFonts w:ascii="Times New Roman" w:hAnsi="Times New Roman" w:cs="Times New Roman"/>
      <w:snapToGrid/>
      <w:color w:val="000000"/>
      <w:szCs w:val="24"/>
      <w:lang w:val="en-US" w:eastAsia="en-AU"/>
    </w:rPr>
  </w:style>
  <w:style w:type="paragraph" w:styleId="ListBullet">
    <w:name w:val="List Bullet"/>
    <w:basedOn w:val="Normal"/>
    <w:unhideWhenUsed/>
    <w:qFormat/>
    <w:pPr>
      <w:widowControl/>
      <w:numPr>
        <w:numId w:val="12"/>
      </w:numPr>
      <w:spacing w:after="200" w:line="276" w:lineRule="auto"/>
      <w:contextualSpacing/>
      <w:jc w:val="left"/>
    </w:pPr>
    <w:rPr>
      <w:rFonts w:ascii="Times New Roman" w:eastAsia="Calibri" w:hAnsi="Times New Roman" w:cs="Times New Roman"/>
      <w:snapToGrid/>
      <w:szCs w:val="24"/>
      <w:lang w:eastAsia="en-AU"/>
    </w:rPr>
  </w:style>
  <w:style w:type="paragraph" w:styleId="ListBullet2">
    <w:name w:val="List Bullet 2"/>
    <w:basedOn w:val="Normal"/>
    <w:autoRedefine/>
    <w:pPr>
      <w:widowControl/>
      <w:spacing w:after="120" w:line="280" w:lineRule="exact"/>
      <w:ind w:left="1276" w:hanging="425"/>
    </w:pPr>
    <w:rPr>
      <w:rFonts w:ascii="Times New Roman" w:hAnsi="Times New Roman" w:cs="Times New Roman"/>
      <w:snapToGrid/>
      <w:spacing w:val="-3"/>
      <w:szCs w:val="20"/>
      <w:lang w:val="en-GB" w:eastAsia="en-AU"/>
    </w:rPr>
  </w:style>
  <w:style w:type="character" w:customStyle="1" w:styleId="CaptionTableChar">
    <w:name w:val="Caption Table Char"/>
    <w:link w:val="CaptionTable"/>
    <w:locked/>
    <w:rPr>
      <w:rFonts w:ascii="Arial Narrow" w:hAnsi="Arial Narrow"/>
      <w:b/>
      <w:bCs/>
      <w:lang w:bidi="en-US"/>
    </w:rPr>
  </w:style>
  <w:style w:type="paragraph" w:customStyle="1" w:styleId="CaptionTable">
    <w:name w:val="Caption Table"/>
    <w:basedOn w:val="Normal"/>
    <w:next w:val="Normal"/>
    <w:link w:val="CaptionTableChar"/>
    <w:autoRedefine/>
    <w:pPr>
      <w:keepNext/>
      <w:widowControl/>
    </w:pPr>
    <w:rPr>
      <w:rFonts w:ascii="Arial Narrow" w:hAnsi="Arial Narrow" w:cs="Times New Roman"/>
      <w:b/>
      <w:bCs/>
      <w:snapToGrid/>
      <w:sz w:val="20"/>
      <w:szCs w:val="20"/>
      <w:lang w:eastAsia="en-AU" w:bidi="en-US"/>
    </w:rPr>
  </w:style>
  <w:style w:type="table" w:customStyle="1" w:styleId="HTATableStyle">
    <w:name w:val="HTATableStyle"/>
    <w:basedOn w:val="TableNormal"/>
    <w:uiPriority w:val="99"/>
    <w:pPr>
      <w:spacing w:before="60" w:after="60"/>
      <w:jc w:val="center"/>
    </w:pPr>
    <w:rPr>
      <w:rFonts w:ascii="Arial" w:eastAsia="Calibri"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tblStylePr w:type="firstCol">
      <w:pPr>
        <w:jc w:val="left"/>
      </w:pPr>
    </w:tblStylePr>
  </w:style>
  <w:style w:type="paragraph" w:customStyle="1" w:styleId="TableSource">
    <w:name w:val="Table Source"/>
    <w:basedOn w:val="Normal"/>
    <w:next w:val="Normal"/>
    <w:link w:val="TableSourceChar"/>
    <w:autoRedefine/>
    <w:qFormat/>
    <w:pPr>
      <w:tabs>
        <w:tab w:val="left" w:pos="709"/>
      </w:tabs>
    </w:pPr>
    <w:rPr>
      <w:rFonts w:ascii="Arial Narrow" w:hAnsi="Arial Narrow" w:cstheme="minorHAnsi"/>
      <w:iCs/>
      <w:snapToGrid/>
      <w:sz w:val="18"/>
      <w:szCs w:val="18"/>
      <w:lang w:eastAsia="en-AU"/>
    </w:rPr>
  </w:style>
  <w:style w:type="character" w:customStyle="1" w:styleId="TableSourceChar">
    <w:name w:val="Table Source Char"/>
    <w:link w:val="TableSource"/>
    <w:rPr>
      <w:rFonts w:ascii="Arial Narrow" w:hAnsi="Arial Narrow" w:cstheme="minorHAnsi"/>
      <w:iCs/>
      <w:sz w:val="18"/>
      <w:szCs w:val="18"/>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ascii="Calibri" w:hAnsi="Calibri" w:cs="Arial"/>
      <w:snapToGrid w:val="0"/>
      <w:lang w:eastAsia="en-US"/>
    </w:rPr>
  </w:style>
  <w:style w:type="character" w:styleId="EndnoteReference">
    <w:name w:val="endnote reference"/>
    <w:basedOn w:val="DefaultParagraphFont"/>
    <w:semiHidden/>
    <w:unhideWhenUsed/>
    <w:rPr>
      <w:vertAlign w:val="superscript"/>
    </w:rPr>
  </w:style>
  <w:style w:type="paragraph" w:customStyle="1" w:styleId="Heading2text">
    <w:name w:val="Heading 2 text"/>
    <w:basedOn w:val="Normal"/>
    <w:next w:val="Normal"/>
    <w:pPr>
      <w:widowControl/>
      <w:tabs>
        <w:tab w:val="num" w:pos="851"/>
      </w:tabs>
      <w:spacing w:before="120" w:after="60"/>
      <w:ind w:left="851" w:hanging="284"/>
      <w:jc w:val="left"/>
      <w:outlineLvl w:val="0"/>
    </w:pPr>
    <w:rPr>
      <w:rFonts w:ascii="Times New Roman" w:hAnsi="Times New Roman"/>
      <w:b/>
      <w:snapToGrid/>
      <w:sz w:val="28"/>
      <w:szCs w:val="24"/>
      <w:lang w:eastAsia="en-AU"/>
    </w:rPr>
  </w:style>
  <w:style w:type="paragraph" w:customStyle="1" w:styleId="C-TableHeader">
    <w:name w:val="C-Table Header"/>
    <w:next w:val="C-TableText"/>
    <w:link w:val="C-TableHeaderChar"/>
    <w:pPr>
      <w:keepNext/>
      <w:spacing w:before="60" w:after="60"/>
    </w:pPr>
    <w:rPr>
      <w:b/>
      <w:sz w:val="22"/>
      <w:lang w:val="en-US" w:eastAsia="en-US"/>
    </w:rPr>
  </w:style>
  <w:style w:type="character" w:customStyle="1" w:styleId="C-TableHeaderChar">
    <w:name w:val="C-Table Header Char"/>
    <w:link w:val="C-TableHeader"/>
    <w:rPr>
      <w:b/>
      <w:sz w:val="22"/>
      <w:lang w:val="en-US" w:eastAsia="en-U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 w:type="character" w:customStyle="1" w:styleId="C-Hyperlink">
    <w:name w:val="C-Hyperlink"/>
    <w:rPr>
      <w:color w:val="0000FF"/>
    </w:rPr>
  </w:style>
  <w:style w:type="paragraph" w:customStyle="1" w:styleId="C-Bullet">
    <w:name w:val="C-Bullet"/>
    <w:pPr>
      <w:numPr>
        <w:numId w:val="13"/>
      </w:numPr>
      <w:spacing w:before="120" w:after="120" w:line="280" w:lineRule="atLeast"/>
    </w:pPr>
    <w:rPr>
      <w:sz w:val="24"/>
      <w:lang w:val="en-US" w:eastAsia="en-US"/>
    </w:rPr>
  </w:style>
  <w:style w:type="paragraph" w:customStyle="1" w:styleId="C-BulletIndented">
    <w:name w:val="C-Bullet Indented"/>
    <w:pPr>
      <w:numPr>
        <w:ilvl w:val="1"/>
        <w:numId w:val="13"/>
      </w:numPr>
      <w:spacing w:before="120" w:after="120" w:line="280" w:lineRule="atLeast"/>
    </w:pPr>
    <w:rPr>
      <w:rFonts w:cs="Arial"/>
      <w:sz w:val="24"/>
      <w:lang w:val="en-US" w:eastAsia="en-US"/>
    </w:rPr>
  </w:style>
  <w:style w:type="paragraph" w:styleId="Index7">
    <w:name w:val="index 7"/>
    <w:basedOn w:val="Normal"/>
    <w:next w:val="Normal"/>
    <w:autoRedefine/>
    <w:pPr>
      <w:widowControl/>
      <w:ind w:left="1680" w:hanging="240"/>
      <w:jc w:val="left"/>
    </w:pPr>
    <w:rPr>
      <w:rFonts w:ascii="Times New Roman" w:hAnsi="Times New Roman" w:cs="Times New Roman"/>
      <w:snapToGrid/>
      <w:spacing w:val="-3"/>
      <w:szCs w:val="20"/>
      <w:lang w:val="en-GB" w:eastAsia="en-AU"/>
    </w:rPr>
  </w:style>
  <w:style w:type="paragraph" w:styleId="Index4">
    <w:name w:val="index 4"/>
    <w:basedOn w:val="Normal"/>
    <w:next w:val="Normal"/>
    <w:autoRedefine/>
    <w:pPr>
      <w:widowControl/>
      <w:ind w:left="960" w:hanging="240"/>
      <w:jc w:val="left"/>
    </w:pPr>
    <w:rPr>
      <w:rFonts w:ascii="Times New Roman" w:hAnsi="Times New Roman" w:cs="Times New Roman"/>
      <w:snapToGrid/>
      <w:spacing w:val="-3"/>
      <w:szCs w:val="20"/>
      <w:lang w:val="en-GB" w:eastAsia="en-AU"/>
    </w:rPr>
  </w:style>
  <w:style w:type="character" w:styleId="Strong">
    <w:name w:val="Strong"/>
    <w:basedOn w:val="DefaultParagraphFont"/>
    <w:uiPriority w:val="22"/>
    <w:qFormat/>
    <w:rPr>
      <w:b/>
      <w:bCs/>
    </w:rPr>
  </w:style>
  <w:style w:type="paragraph" w:customStyle="1" w:styleId="Tabletbullet">
    <w:name w:val="Tablet bullet"/>
    <w:basedOn w:val="ListBullet"/>
    <w:qFormat/>
    <w:pPr>
      <w:numPr>
        <w:numId w:val="0"/>
      </w:numPr>
      <w:tabs>
        <w:tab w:val="num" w:pos="360"/>
      </w:tabs>
      <w:spacing w:before="60" w:after="120" w:line="240" w:lineRule="auto"/>
      <w:ind w:left="227" w:hanging="227"/>
    </w:pPr>
    <w:rPr>
      <w:rFonts w:ascii="Arial" w:eastAsia="Times New Roman" w:hAnsi="Arial"/>
      <w:sz w:val="20"/>
      <w:lang w:val="en-GB" w:eastAsia="en-GB"/>
    </w:rPr>
  </w:style>
  <w:style w:type="paragraph" w:customStyle="1" w:styleId="TableText0">
    <w:name w:val="Table Text"/>
    <w:basedOn w:val="Normal"/>
    <w:link w:val="TableTextChar0"/>
    <w:qFormat/>
    <w:pPr>
      <w:widowControl/>
      <w:spacing w:before="60" w:after="60"/>
      <w:jc w:val="left"/>
    </w:pPr>
    <w:rPr>
      <w:rFonts w:ascii="Times New Roman" w:hAnsi="Times New Roman" w:cs="Times New Roman"/>
      <w:snapToGrid/>
      <w:sz w:val="20"/>
      <w:szCs w:val="20"/>
      <w:lang w:eastAsia="en-AU"/>
    </w:rPr>
  </w:style>
  <w:style w:type="character" w:customStyle="1" w:styleId="TableTextChar0">
    <w:name w:val="Table Text Char"/>
    <w:link w:val="TableText0"/>
  </w:style>
  <w:style w:type="character" w:styleId="Emphasis">
    <w:name w:val="Emphasis"/>
    <w:qFormat/>
    <w:rPr>
      <w:i/>
      <w:iCs/>
    </w:rPr>
  </w:style>
  <w:style w:type="paragraph" w:customStyle="1" w:styleId="DblIndentPara10">
    <w:name w:val="Dbl Indent Para 10"/>
    <w:basedOn w:val="Normal"/>
    <w:uiPriority w:val="99"/>
    <w:pPr>
      <w:widowControl/>
      <w:numPr>
        <w:numId w:val="25"/>
      </w:numPr>
      <w:ind w:left="1667" w:hanging="357"/>
      <w:jc w:val="left"/>
    </w:pPr>
    <w:rPr>
      <w:rFonts w:ascii="Times New Roman" w:hAnsi="Times New Roman" w:cs="Times New Roman"/>
      <w:snapToGrid/>
      <w:spacing w:val="-3"/>
      <w:sz w:val="20"/>
      <w:szCs w:val="20"/>
      <w:lang w:val="en-GB" w:eastAsia="en-AU"/>
    </w:rPr>
  </w:style>
  <w:style w:type="paragraph" w:customStyle="1" w:styleId="SynopsisHeading">
    <w:name w:val="Synopsis Heading"/>
    <w:basedOn w:val="Normal"/>
    <w:uiPriority w:val="99"/>
    <w:pPr>
      <w:widowControl/>
      <w:numPr>
        <w:numId w:val="26"/>
      </w:numPr>
      <w:spacing w:line="360" w:lineRule="auto"/>
      <w:jc w:val="left"/>
    </w:pPr>
    <w:rPr>
      <w:rFonts w:ascii="Verdana" w:hAnsi="Verdana" w:cs="Times New Roman"/>
      <w:b/>
      <w:snapToGrid/>
      <w:szCs w:val="24"/>
      <w:lang w:eastAsia="zh-CN"/>
    </w:rPr>
  </w:style>
  <w:style w:type="paragraph" w:styleId="PlainText">
    <w:name w:val="Plain Text"/>
    <w:basedOn w:val="Normal"/>
    <w:link w:val="PlainTextChar"/>
    <w:uiPriority w:val="99"/>
    <w:pPr>
      <w:widowControl/>
      <w:jc w:val="left"/>
    </w:pPr>
    <w:rPr>
      <w:rFonts w:ascii="Courier New" w:hAnsi="Courier New" w:cs="Times New Roman"/>
      <w:snapToGrid/>
      <w:sz w:val="20"/>
      <w:szCs w:val="20"/>
      <w:lang w:val="en-US" w:eastAsia="en-AU"/>
    </w:rPr>
  </w:style>
  <w:style w:type="character" w:customStyle="1" w:styleId="PlainTextChar">
    <w:name w:val="Plain Text Char"/>
    <w:basedOn w:val="DefaultParagraphFont"/>
    <w:link w:val="PlainText"/>
    <w:uiPriority w:val="99"/>
    <w:rPr>
      <w:rFonts w:ascii="Courier New" w:hAnsi="Courier New"/>
      <w:lang w:val="en-US"/>
    </w:rPr>
  </w:style>
  <w:style w:type="paragraph" w:customStyle="1" w:styleId="PBACheading10">
    <w:name w:val="PBAC heading 1"/>
    <w:qFormat/>
    <w:pPr>
      <w:snapToGrid w:val="0"/>
      <w:ind w:left="720" w:hanging="720"/>
      <w:outlineLvl w:val="0"/>
    </w:pPr>
    <w:rPr>
      <w:rFonts w:asciiTheme="minorHAnsi" w:hAnsiTheme="minorHAnsi" w:cs="Arial"/>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1738">
      <w:bodyDiv w:val="1"/>
      <w:marLeft w:val="0"/>
      <w:marRight w:val="0"/>
      <w:marTop w:val="0"/>
      <w:marBottom w:val="0"/>
      <w:divBdr>
        <w:top w:val="none" w:sz="0" w:space="0" w:color="auto"/>
        <w:left w:val="none" w:sz="0" w:space="0" w:color="auto"/>
        <w:bottom w:val="none" w:sz="0" w:space="0" w:color="auto"/>
        <w:right w:val="none" w:sz="0" w:space="0" w:color="auto"/>
      </w:divBdr>
    </w:div>
    <w:div w:id="36973184">
      <w:bodyDiv w:val="1"/>
      <w:marLeft w:val="0"/>
      <w:marRight w:val="0"/>
      <w:marTop w:val="0"/>
      <w:marBottom w:val="0"/>
      <w:divBdr>
        <w:top w:val="none" w:sz="0" w:space="0" w:color="auto"/>
        <w:left w:val="none" w:sz="0" w:space="0" w:color="auto"/>
        <w:bottom w:val="none" w:sz="0" w:space="0" w:color="auto"/>
        <w:right w:val="none" w:sz="0" w:space="0" w:color="auto"/>
      </w:divBdr>
    </w:div>
    <w:div w:id="47581187">
      <w:bodyDiv w:val="1"/>
      <w:marLeft w:val="0"/>
      <w:marRight w:val="0"/>
      <w:marTop w:val="0"/>
      <w:marBottom w:val="0"/>
      <w:divBdr>
        <w:top w:val="none" w:sz="0" w:space="0" w:color="auto"/>
        <w:left w:val="none" w:sz="0" w:space="0" w:color="auto"/>
        <w:bottom w:val="none" w:sz="0" w:space="0" w:color="auto"/>
        <w:right w:val="none" w:sz="0" w:space="0" w:color="auto"/>
      </w:divBdr>
    </w:div>
    <w:div w:id="108941461">
      <w:bodyDiv w:val="1"/>
      <w:marLeft w:val="0"/>
      <w:marRight w:val="0"/>
      <w:marTop w:val="0"/>
      <w:marBottom w:val="0"/>
      <w:divBdr>
        <w:top w:val="none" w:sz="0" w:space="0" w:color="auto"/>
        <w:left w:val="none" w:sz="0" w:space="0" w:color="auto"/>
        <w:bottom w:val="none" w:sz="0" w:space="0" w:color="auto"/>
        <w:right w:val="none" w:sz="0" w:space="0" w:color="auto"/>
      </w:divBdr>
      <w:divsChild>
        <w:div w:id="773675487">
          <w:marLeft w:val="360"/>
          <w:marRight w:val="0"/>
          <w:marTop w:val="200"/>
          <w:marBottom w:val="0"/>
          <w:divBdr>
            <w:top w:val="none" w:sz="0" w:space="0" w:color="auto"/>
            <w:left w:val="none" w:sz="0" w:space="0" w:color="auto"/>
            <w:bottom w:val="none" w:sz="0" w:space="0" w:color="auto"/>
            <w:right w:val="none" w:sz="0" w:space="0" w:color="auto"/>
          </w:divBdr>
        </w:div>
        <w:div w:id="1262570653">
          <w:marLeft w:val="1080"/>
          <w:marRight w:val="0"/>
          <w:marTop w:val="100"/>
          <w:marBottom w:val="0"/>
          <w:divBdr>
            <w:top w:val="none" w:sz="0" w:space="0" w:color="auto"/>
            <w:left w:val="none" w:sz="0" w:space="0" w:color="auto"/>
            <w:bottom w:val="none" w:sz="0" w:space="0" w:color="auto"/>
            <w:right w:val="none" w:sz="0" w:space="0" w:color="auto"/>
          </w:divBdr>
        </w:div>
        <w:div w:id="595286055">
          <w:marLeft w:val="1080"/>
          <w:marRight w:val="0"/>
          <w:marTop w:val="100"/>
          <w:marBottom w:val="0"/>
          <w:divBdr>
            <w:top w:val="none" w:sz="0" w:space="0" w:color="auto"/>
            <w:left w:val="none" w:sz="0" w:space="0" w:color="auto"/>
            <w:bottom w:val="none" w:sz="0" w:space="0" w:color="auto"/>
            <w:right w:val="none" w:sz="0" w:space="0" w:color="auto"/>
          </w:divBdr>
        </w:div>
        <w:div w:id="1655646394">
          <w:marLeft w:val="1800"/>
          <w:marRight w:val="0"/>
          <w:marTop w:val="100"/>
          <w:marBottom w:val="0"/>
          <w:divBdr>
            <w:top w:val="none" w:sz="0" w:space="0" w:color="auto"/>
            <w:left w:val="none" w:sz="0" w:space="0" w:color="auto"/>
            <w:bottom w:val="none" w:sz="0" w:space="0" w:color="auto"/>
            <w:right w:val="none" w:sz="0" w:space="0" w:color="auto"/>
          </w:divBdr>
        </w:div>
      </w:divsChild>
    </w:div>
    <w:div w:id="111286442">
      <w:bodyDiv w:val="1"/>
      <w:marLeft w:val="0"/>
      <w:marRight w:val="0"/>
      <w:marTop w:val="0"/>
      <w:marBottom w:val="0"/>
      <w:divBdr>
        <w:top w:val="none" w:sz="0" w:space="0" w:color="auto"/>
        <w:left w:val="none" w:sz="0" w:space="0" w:color="auto"/>
        <w:bottom w:val="none" w:sz="0" w:space="0" w:color="auto"/>
        <w:right w:val="none" w:sz="0" w:space="0" w:color="auto"/>
      </w:divBdr>
    </w:div>
    <w:div w:id="119419950">
      <w:bodyDiv w:val="1"/>
      <w:marLeft w:val="0"/>
      <w:marRight w:val="0"/>
      <w:marTop w:val="0"/>
      <w:marBottom w:val="0"/>
      <w:divBdr>
        <w:top w:val="none" w:sz="0" w:space="0" w:color="auto"/>
        <w:left w:val="none" w:sz="0" w:space="0" w:color="auto"/>
        <w:bottom w:val="none" w:sz="0" w:space="0" w:color="auto"/>
        <w:right w:val="none" w:sz="0" w:space="0" w:color="auto"/>
      </w:divBdr>
    </w:div>
    <w:div w:id="128935373">
      <w:bodyDiv w:val="1"/>
      <w:marLeft w:val="0"/>
      <w:marRight w:val="0"/>
      <w:marTop w:val="0"/>
      <w:marBottom w:val="0"/>
      <w:divBdr>
        <w:top w:val="none" w:sz="0" w:space="0" w:color="auto"/>
        <w:left w:val="none" w:sz="0" w:space="0" w:color="auto"/>
        <w:bottom w:val="none" w:sz="0" w:space="0" w:color="auto"/>
        <w:right w:val="none" w:sz="0" w:space="0" w:color="auto"/>
      </w:divBdr>
    </w:div>
    <w:div w:id="158930480">
      <w:bodyDiv w:val="1"/>
      <w:marLeft w:val="0"/>
      <w:marRight w:val="0"/>
      <w:marTop w:val="0"/>
      <w:marBottom w:val="0"/>
      <w:divBdr>
        <w:top w:val="none" w:sz="0" w:space="0" w:color="auto"/>
        <w:left w:val="none" w:sz="0" w:space="0" w:color="auto"/>
        <w:bottom w:val="none" w:sz="0" w:space="0" w:color="auto"/>
        <w:right w:val="none" w:sz="0" w:space="0" w:color="auto"/>
      </w:divBdr>
    </w:div>
    <w:div w:id="185868971">
      <w:bodyDiv w:val="1"/>
      <w:marLeft w:val="0"/>
      <w:marRight w:val="0"/>
      <w:marTop w:val="0"/>
      <w:marBottom w:val="0"/>
      <w:divBdr>
        <w:top w:val="none" w:sz="0" w:space="0" w:color="auto"/>
        <w:left w:val="none" w:sz="0" w:space="0" w:color="auto"/>
        <w:bottom w:val="none" w:sz="0" w:space="0" w:color="auto"/>
        <w:right w:val="none" w:sz="0" w:space="0" w:color="auto"/>
      </w:divBdr>
    </w:div>
    <w:div w:id="192302853">
      <w:bodyDiv w:val="1"/>
      <w:marLeft w:val="0"/>
      <w:marRight w:val="0"/>
      <w:marTop w:val="0"/>
      <w:marBottom w:val="0"/>
      <w:divBdr>
        <w:top w:val="none" w:sz="0" w:space="0" w:color="auto"/>
        <w:left w:val="none" w:sz="0" w:space="0" w:color="auto"/>
        <w:bottom w:val="none" w:sz="0" w:space="0" w:color="auto"/>
        <w:right w:val="none" w:sz="0" w:space="0" w:color="auto"/>
      </w:divBdr>
    </w:div>
    <w:div w:id="193689701">
      <w:bodyDiv w:val="1"/>
      <w:marLeft w:val="0"/>
      <w:marRight w:val="0"/>
      <w:marTop w:val="0"/>
      <w:marBottom w:val="0"/>
      <w:divBdr>
        <w:top w:val="none" w:sz="0" w:space="0" w:color="auto"/>
        <w:left w:val="none" w:sz="0" w:space="0" w:color="auto"/>
        <w:bottom w:val="none" w:sz="0" w:space="0" w:color="auto"/>
        <w:right w:val="none" w:sz="0" w:space="0" w:color="auto"/>
      </w:divBdr>
    </w:div>
    <w:div w:id="199708366">
      <w:bodyDiv w:val="1"/>
      <w:marLeft w:val="0"/>
      <w:marRight w:val="0"/>
      <w:marTop w:val="0"/>
      <w:marBottom w:val="0"/>
      <w:divBdr>
        <w:top w:val="none" w:sz="0" w:space="0" w:color="auto"/>
        <w:left w:val="none" w:sz="0" w:space="0" w:color="auto"/>
        <w:bottom w:val="none" w:sz="0" w:space="0" w:color="auto"/>
        <w:right w:val="none" w:sz="0" w:space="0" w:color="auto"/>
      </w:divBdr>
    </w:div>
    <w:div w:id="199903828">
      <w:bodyDiv w:val="1"/>
      <w:marLeft w:val="0"/>
      <w:marRight w:val="0"/>
      <w:marTop w:val="0"/>
      <w:marBottom w:val="0"/>
      <w:divBdr>
        <w:top w:val="none" w:sz="0" w:space="0" w:color="auto"/>
        <w:left w:val="none" w:sz="0" w:space="0" w:color="auto"/>
        <w:bottom w:val="none" w:sz="0" w:space="0" w:color="auto"/>
        <w:right w:val="none" w:sz="0" w:space="0" w:color="auto"/>
      </w:divBdr>
    </w:div>
    <w:div w:id="225722484">
      <w:bodyDiv w:val="1"/>
      <w:marLeft w:val="0"/>
      <w:marRight w:val="0"/>
      <w:marTop w:val="0"/>
      <w:marBottom w:val="0"/>
      <w:divBdr>
        <w:top w:val="none" w:sz="0" w:space="0" w:color="auto"/>
        <w:left w:val="none" w:sz="0" w:space="0" w:color="auto"/>
        <w:bottom w:val="none" w:sz="0" w:space="0" w:color="auto"/>
        <w:right w:val="none" w:sz="0" w:space="0" w:color="auto"/>
      </w:divBdr>
    </w:div>
    <w:div w:id="267012572">
      <w:bodyDiv w:val="1"/>
      <w:marLeft w:val="0"/>
      <w:marRight w:val="0"/>
      <w:marTop w:val="0"/>
      <w:marBottom w:val="0"/>
      <w:divBdr>
        <w:top w:val="none" w:sz="0" w:space="0" w:color="auto"/>
        <w:left w:val="none" w:sz="0" w:space="0" w:color="auto"/>
        <w:bottom w:val="none" w:sz="0" w:space="0" w:color="auto"/>
        <w:right w:val="none" w:sz="0" w:space="0" w:color="auto"/>
      </w:divBdr>
    </w:div>
    <w:div w:id="284820395">
      <w:bodyDiv w:val="1"/>
      <w:marLeft w:val="0"/>
      <w:marRight w:val="0"/>
      <w:marTop w:val="0"/>
      <w:marBottom w:val="0"/>
      <w:divBdr>
        <w:top w:val="none" w:sz="0" w:space="0" w:color="auto"/>
        <w:left w:val="none" w:sz="0" w:space="0" w:color="auto"/>
        <w:bottom w:val="none" w:sz="0" w:space="0" w:color="auto"/>
        <w:right w:val="none" w:sz="0" w:space="0" w:color="auto"/>
      </w:divBdr>
    </w:div>
    <w:div w:id="306517523">
      <w:bodyDiv w:val="1"/>
      <w:marLeft w:val="0"/>
      <w:marRight w:val="0"/>
      <w:marTop w:val="0"/>
      <w:marBottom w:val="0"/>
      <w:divBdr>
        <w:top w:val="none" w:sz="0" w:space="0" w:color="auto"/>
        <w:left w:val="none" w:sz="0" w:space="0" w:color="auto"/>
        <w:bottom w:val="none" w:sz="0" w:space="0" w:color="auto"/>
        <w:right w:val="none" w:sz="0" w:space="0" w:color="auto"/>
      </w:divBdr>
    </w:div>
    <w:div w:id="346634600">
      <w:bodyDiv w:val="1"/>
      <w:marLeft w:val="0"/>
      <w:marRight w:val="0"/>
      <w:marTop w:val="0"/>
      <w:marBottom w:val="0"/>
      <w:divBdr>
        <w:top w:val="none" w:sz="0" w:space="0" w:color="auto"/>
        <w:left w:val="none" w:sz="0" w:space="0" w:color="auto"/>
        <w:bottom w:val="none" w:sz="0" w:space="0" w:color="auto"/>
        <w:right w:val="none" w:sz="0" w:space="0" w:color="auto"/>
      </w:divBdr>
    </w:div>
    <w:div w:id="352878361">
      <w:bodyDiv w:val="1"/>
      <w:marLeft w:val="0"/>
      <w:marRight w:val="0"/>
      <w:marTop w:val="0"/>
      <w:marBottom w:val="0"/>
      <w:divBdr>
        <w:top w:val="none" w:sz="0" w:space="0" w:color="auto"/>
        <w:left w:val="none" w:sz="0" w:space="0" w:color="auto"/>
        <w:bottom w:val="none" w:sz="0" w:space="0" w:color="auto"/>
        <w:right w:val="none" w:sz="0" w:space="0" w:color="auto"/>
      </w:divBdr>
    </w:div>
    <w:div w:id="355473175">
      <w:bodyDiv w:val="1"/>
      <w:marLeft w:val="0"/>
      <w:marRight w:val="0"/>
      <w:marTop w:val="0"/>
      <w:marBottom w:val="0"/>
      <w:divBdr>
        <w:top w:val="none" w:sz="0" w:space="0" w:color="auto"/>
        <w:left w:val="none" w:sz="0" w:space="0" w:color="auto"/>
        <w:bottom w:val="none" w:sz="0" w:space="0" w:color="auto"/>
        <w:right w:val="none" w:sz="0" w:space="0" w:color="auto"/>
      </w:divBdr>
    </w:div>
    <w:div w:id="360787286">
      <w:bodyDiv w:val="1"/>
      <w:marLeft w:val="0"/>
      <w:marRight w:val="0"/>
      <w:marTop w:val="0"/>
      <w:marBottom w:val="0"/>
      <w:divBdr>
        <w:top w:val="none" w:sz="0" w:space="0" w:color="auto"/>
        <w:left w:val="none" w:sz="0" w:space="0" w:color="auto"/>
        <w:bottom w:val="none" w:sz="0" w:space="0" w:color="auto"/>
        <w:right w:val="none" w:sz="0" w:space="0" w:color="auto"/>
      </w:divBdr>
    </w:div>
    <w:div w:id="438375013">
      <w:bodyDiv w:val="1"/>
      <w:marLeft w:val="0"/>
      <w:marRight w:val="0"/>
      <w:marTop w:val="0"/>
      <w:marBottom w:val="0"/>
      <w:divBdr>
        <w:top w:val="none" w:sz="0" w:space="0" w:color="auto"/>
        <w:left w:val="none" w:sz="0" w:space="0" w:color="auto"/>
        <w:bottom w:val="none" w:sz="0" w:space="0" w:color="auto"/>
        <w:right w:val="none" w:sz="0" w:space="0" w:color="auto"/>
      </w:divBdr>
    </w:div>
    <w:div w:id="531961417">
      <w:bodyDiv w:val="1"/>
      <w:marLeft w:val="0"/>
      <w:marRight w:val="0"/>
      <w:marTop w:val="0"/>
      <w:marBottom w:val="0"/>
      <w:divBdr>
        <w:top w:val="none" w:sz="0" w:space="0" w:color="auto"/>
        <w:left w:val="none" w:sz="0" w:space="0" w:color="auto"/>
        <w:bottom w:val="none" w:sz="0" w:space="0" w:color="auto"/>
        <w:right w:val="none" w:sz="0" w:space="0" w:color="auto"/>
      </w:divBdr>
    </w:div>
    <w:div w:id="543180365">
      <w:bodyDiv w:val="1"/>
      <w:marLeft w:val="0"/>
      <w:marRight w:val="0"/>
      <w:marTop w:val="0"/>
      <w:marBottom w:val="0"/>
      <w:divBdr>
        <w:top w:val="none" w:sz="0" w:space="0" w:color="auto"/>
        <w:left w:val="none" w:sz="0" w:space="0" w:color="auto"/>
        <w:bottom w:val="none" w:sz="0" w:space="0" w:color="auto"/>
        <w:right w:val="none" w:sz="0" w:space="0" w:color="auto"/>
      </w:divBdr>
    </w:div>
    <w:div w:id="547644790">
      <w:bodyDiv w:val="1"/>
      <w:marLeft w:val="0"/>
      <w:marRight w:val="0"/>
      <w:marTop w:val="0"/>
      <w:marBottom w:val="0"/>
      <w:divBdr>
        <w:top w:val="none" w:sz="0" w:space="0" w:color="auto"/>
        <w:left w:val="none" w:sz="0" w:space="0" w:color="auto"/>
        <w:bottom w:val="none" w:sz="0" w:space="0" w:color="auto"/>
        <w:right w:val="none" w:sz="0" w:space="0" w:color="auto"/>
      </w:divBdr>
    </w:div>
    <w:div w:id="629552888">
      <w:bodyDiv w:val="1"/>
      <w:marLeft w:val="0"/>
      <w:marRight w:val="0"/>
      <w:marTop w:val="0"/>
      <w:marBottom w:val="0"/>
      <w:divBdr>
        <w:top w:val="none" w:sz="0" w:space="0" w:color="auto"/>
        <w:left w:val="none" w:sz="0" w:space="0" w:color="auto"/>
        <w:bottom w:val="none" w:sz="0" w:space="0" w:color="auto"/>
        <w:right w:val="none" w:sz="0" w:space="0" w:color="auto"/>
      </w:divBdr>
    </w:div>
    <w:div w:id="698699190">
      <w:bodyDiv w:val="1"/>
      <w:marLeft w:val="0"/>
      <w:marRight w:val="0"/>
      <w:marTop w:val="0"/>
      <w:marBottom w:val="0"/>
      <w:divBdr>
        <w:top w:val="none" w:sz="0" w:space="0" w:color="auto"/>
        <w:left w:val="none" w:sz="0" w:space="0" w:color="auto"/>
        <w:bottom w:val="none" w:sz="0" w:space="0" w:color="auto"/>
        <w:right w:val="none" w:sz="0" w:space="0" w:color="auto"/>
      </w:divBdr>
    </w:div>
    <w:div w:id="704212581">
      <w:bodyDiv w:val="1"/>
      <w:marLeft w:val="0"/>
      <w:marRight w:val="0"/>
      <w:marTop w:val="0"/>
      <w:marBottom w:val="0"/>
      <w:divBdr>
        <w:top w:val="none" w:sz="0" w:space="0" w:color="auto"/>
        <w:left w:val="none" w:sz="0" w:space="0" w:color="auto"/>
        <w:bottom w:val="none" w:sz="0" w:space="0" w:color="auto"/>
        <w:right w:val="none" w:sz="0" w:space="0" w:color="auto"/>
      </w:divBdr>
    </w:div>
    <w:div w:id="755789285">
      <w:bodyDiv w:val="1"/>
      <w:marLeft w:val="0"/>
      <w:marRight w:val="0"/>
      <w:marTop w:val="0"/>
      <w:marBottom w:val="0"/>
      <w:divBdr>
        <w:top w:val="none" w:sz="0" w:space="0" w:color="auto"/>
        <w:left w:val="none" w:sz="0" w:space="0" w:color="auto"/>
        <w:bottom w:val="none" w:sz="0" w:space="0" w:color="auto"/>
        <w:right w:val="none" w:sz="0" w:space="0" w:color="auto"/>
      </w:divBdr>
    </w:div>
    <w:div w:id="79379308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
    <w:div w:id="807825023">
      <w:bodyDiv w:val="1"/>
      <w:marLeft w:val="0"/>
      <w:marRight w:val="0"/>
      <w:marTop w:val="0"/>
      <w:marBottom w:val="0"/>
      <w:divBdr>
        <w:top w:val="none" w:sz="0" w:space="0" w:color="auto"/>
        <w:left w:val="none" w:sz="0" w:space="0" w:color="auto"/>
        <w:bottom w:val="none" w:sz="0" w:space="0" w:color="auto"/>
        <w:right w:val="none" w:sz="0" w:space="0" w:color="auto"/>
      </w:divBdr>
    </w:div>
    <w:div w:id="846403150">
      <w:bodyDiv w:val="1"/>
      <w:marLeft w:val="0"/>
      <w:marRight w:val="0"/>
      <w:marTop w:val="0"/>
      <w:marBottom w:val="0"/>
      <w:divBdr>
        <w:top w:val="none" w:sz="0" w:space="0" w:color="auto"/>
        <w:left w:val="none" w:sz="0" w:space="0" w:color="auto"/>
        <w:bottom w:val="none" w:sz="0" w:space="0" w:color="auto"/>
        <w:right w:val="none" w:sz="0" w:space="0" w:color="auto"/>
      </w:divBdr>
    </w:div>
    <w:div w:id="962073659">
      <w:bodyDiv w:val="1"/>
      <w:marLeft w:val="0"/>
      <w:marRight w:val="0"/>
      <w:marTop w:val="0"/>
      <w:marBottom w:val="0"/>
      <w:divBdr>
        <w:top w:val="none" w:sz="0" w:space="0" w:color="auto"/>
        <w:left w:val="none" w:sz="0" w:space="0" w:color="auto"/>
        <w:bottom w:val="none" w:sz="0" w:space="0" w:color="auto"/>
        <w:right w:val="none" w:sz="0" w:space="0" w:color="auto"/>
      </w:divBdr>
    </w:div>
    <w:div w:id="1016928207">
      <w:bodyDiv w:val="1"/>
      <w:marLeft w:val="0"/>
      <w:marRight w:val="0"/>
      <w:marTop w:val="0"/>
      <w:marBottom w:val="0"/>
      <w:divBdr>
        <w:top w:val="none" w:sz="0" w:space="0" w:color="auto"/>
        <w:left w:val="none" w:sz="0" w:space="0" w:color="auto"/>
        <w:bottom w:val="none" w:sz="0" w:space="0" w:color="auto"/>
        <w:right w:val="none" w:sz="0" w:space="0" w:color="auto"/>
      </w:divBdr>
    </w:div>
    <w:div w:id="1042171666">
      <w:bodyDiv w:val="1"/>
      <w:marLeft w:val="0"/>
      <w:marRight w:val="0"/>
      <w:marTop w:val="0"/>
      <w:marBottom w:val="0"/>
      <w:divBdr>
        <w:top w:val="none" w:sz="0" w:space="0" w:color="auto"/>
        <w:left w:val="none" w:sz="0" w:space="0" w:color="auto"/>
        <w:bottom w:val="none" w:sz="0" w:space="0" w:color="auto"/>
        <w:right w:val="none" w:sz="0" w:space="0" w:color="auto"/>
      </w:divBdr>
    </w:div>
    <w:div w:id="1085497238">
      <w:bodyDiv w:val="1"/>
      <w:marLeft w:val="0"/>
      <w:marRight w:val="0"/>
      <w:marTop w:val="0"/>
      <w:marBottom w:val="0"/>
      <w:divBdr>
        <w:top w:val="none" w:sz="0" w:space="0" w:color="auto"/>
        <w:left w:val="none" w:sz="0" w:space="0" w:color="auto"/>
        <w:bottom w:val="none" w:sz="0" w:space="0" w:color="auto"/>
        <w:right w:val="none" w:sz="0" w:space="0" w:color="auto"/>
      </w:divBdr>
    </w:div>
    <w:div w:id="1125200205">
      <w:bodyDiv w:val="1"/>
      <w:marLeft w:val="0"/>
      <w:marRight w:val="0"/>
      <w:marTop w:val="0"/>
      <w:marBottom w:val="0"/>
      <w:divBdr>
        <w:top w:val="none" w:sz="0" w:space="0" w:color="auto"/>
        <w:left w:val="none" w:sz="0" w:space="0" w:color="auto"/>
        <w:bottom w:val="none" w:sz="0" w:space="0" w:color="auto"/>
        <w:right w:val="none" w:sz="0" w:space="0" w:color="auto"/>
      </w:divBdr>
    </w:div>
    <w:div w:id="1149783446">
      <w:bodyDiv w:val="1"/>
      <w:marLeft w:val="0"/>
      <w:marRight w:val="0"/>
      <w:marTop w:val="0"/>
      <w:marBottom w:val="0"/>
      <w:divBdr>
        <w:top w:val="none" w:sz="0" w:space="0" w:color="auto"/>
        <w:left w:val="none" w:sz="0" w:space="0" w:color="auto"/>
        <w:bottom w:val="none" w:sz="0" w:space="0" w:color="auto"/>
        <w:right w:val="none" w:sz="0" w:space="0" w:color="auto"/>
      </w:divBdr>
    </w:div>
    <w:div w:id="1161777562">
      <w:bodyDiv w:val="1"/>
      <w:marLeft w:val="0"/>
      <w:marRight w:val="0"/>
      <w:marTop w:val="0"/>
      <w:marBottom w:val="0"/>
      <w:divBdr>
        <w:top w:val="none" w:sz="0" w:space="0" w:color="auto"/>
        <w:left w:val="none" w:sz="0" w:space="0" w:color="auto"/>
        <w:bottom w:val="none" w:sz="0" w:space="0" w:color="auto"/>
        <w:right w:val="none" w:sz="0" w:space="0" w:color="auto"/>
      </w:divBdr>
    </w:div>
    <w:div w:id="1167553200">
      <w:bodyDiv w:val="1"/>
      <w:marLeft w:val="0"/>
      <w:marRight w:val="0"/>
      <w:marTop w:val="0"/>
      <w:marBottom w:val="0"/>
      <w:divBdr>
        <w:top w:val="none" w:sz="0" w:space="0" w:color="auto"/>
        <w:left w:val="none" w:sz="0" w:space="0" w:color="auto"/>
        <w:bottom w:val="none" w:sz="0" w:space="0" w:color="auto"/>
        <w:right w:val="none" w:sz="0" w:space="0" w:color="auto"/>
      </w:divBdr>
    </w:div>
    <w:div w:id="1187216146">
      <w:bodyDiv w:val="1"/>
      <w:marLeft w:val="0"/>
      <w:marRight w:val="0"/>
      <w:marTop w:val="0"/>
      <w:marBottom w:val="0"/>
      <w:divBdr>
        <w:top w:val="none" w:sz="0" w:space="0" w:color="auto"/>
        <w:left w:val="none" w:sz="0" w:space="0" w:color="auto"/>
        <w:bottom w:val="none" w:sz="0" w:space="0" w:color="auto"/>
        <w:right w:val="none" w:sz="0" w:space="0" w:color="auto"/>
      </w:divBdr>
    </w:div>
    <w:div w:id="1235973356">
      <w:bodyDiv w:val="1"/>
      <w:marLeft w:val="0"/>
      <w:marRight w:val="0"/>
      <w:marTop w:val="0"/>
      <w:marBottom w:val="0"/>
      <w:divBdr>
        <w:top w:val="none" w:sz="0" w:space="0" w:color="auto"/>
        <w:left w:val="none" w:sz="0" w:space="0" w:color="auto"/>
        <w:bottom w:val="none" w:sz="0" w:space="0" w:color="auto"/>
        <w:right w:val="none" w:sz="0" w:space="0" w:color="auto"/>
      </w:divBdr>
    </w:div>
    <w:div w:id="1239827420">
      <w:bodyDiv w:val="1"/>
      <w:marLeft w:val="0"/>
      <w:marRight w:val="0"/>
      <w:marTop w:val="0"/>
      <w:marBottom w:val="0"/>
      <w:divBdr>
        <w:top w:val="none" w:sz="0" w:space="0" w:color="auto"/>
        <w:left w:val="none" w:sz="0" w:space="0" w:color="auto"/>
        <w:bottom w:val="none" w:sz="0" w:space="0" w:color="auto"/>
        <w:right w:val="none" w:sz="0" w:space="0" w:color="auto"/>
      </w:divBdr>
    </w:div>
    <w:div w:id="1287543296">
      <w:bodyDiv w:val="1"/>
      <w:marLeft w:val="0"/>
      <w:marRight w:val="0"/>
      <w:marTop w:val="0"/>
      <w:marBottom w:val="0"/>
      <w:divBdr>
        <w:top w:val="none" w:sz="0" w:space="0" w:color="auto"/>
        <w:left w:val="none" w:sz="0" w:space="0" w:color="auto"/>
        <w:bottom w:val="none" w:sz="0" w:space="0" w:color="auto"/>
        <w:right w:val="none" w:sz="0" w:space="0" w:color="auto"/>
      </w:divBdr>
    </w:div>
    <w:div w:id="1381709935">
      <w:bodyDiv w:val="1"/>
      <w:marLeft w:val="0"/>
      <w:marRight w:val="0"/>
      <w:marTop w:val="0"/>
      <w:marBottom w:val="0"/>
      <w:divBdr>
        <w:top w:val="none" w:sz="0" w:space="0" w:color="auto"/>
        <w:left w:val="none" w:sz="0" w:space="0" w:color="auto"/>
        <w:bottom w:val="none" w:sz="0" w:space="0" w:color="auto"/>
        <w:right w:val="none" w:sz="0" w:space="0" w:color="auto"/>
      </w:divBdr>
    </w:div>
    <w:div w:id="1418674480">
      <w:bodyDiv w:val="1"/>
      <w:marLeft w:val="0"/>
      <w:marRight w:val="0"/>
      <w:marTop w:val="0"/>
      <w:marBottom w:val="0"/>
      <w:divBdr>
        <w:top w:val="none" w:sz="0" w:space="0" w:color="auto"/>
        <w:left w:val="none" w:sz="0" w:space="0" w:color="auto"/>
        <w:bottom w:val="none" w:sz="0" w:space="0" w:color="auto"/>
        <w:right w:val="none" w:sz="0" w:space="0" w:color="auto"/>
      </w:divBdr>
    </w:div>
    <w:div w:id="1443646998">
      <w:bodyDiv w:val="1"/>
      <w:marLeft w:val="0"/>
      <w:marRight w:val="0"/>
      <w:marTop w:val="0"/>
      <w:marBottom w:val="0"/>
      <w:divBdr>
        <w:top w:val="none" w:sz="0" w:space="0" w:color="auto"/>
        <w:left w:val="none" w:sz="0" w:space="0" w:color="auto"/>
        <w:bottom w:val="none" w:sz="0" w:space="0" w:color="auto"/>
        <w:right w:val="none" w:sz="0" w:space="0" w:color="auto"/>
      </w:divBdr>
    </w:div>
    <w:div w:id="1458832686">
      <w:bodyDiv w:val="1"/>
      <w:marLeft w:val="0"/>
      <w:marRight w:val="0"/>
      <w:marTop w:val="0"/>
      <w:marBottom w:val="0"/>
      <w:divBdr>
        <w:top w:val="none" w:sz="0" w:space="0" w:color="auto"/>
        <w:left w:val="none" w:sz="0" w:space="0" w:color="auto"/>
        <w:bottom w:val="none" w:sz="0" w:space="0" w:color="auto"/>
        <w:right w:val="none" w:sz="0" w:space="0" w:color="auto"/>
      </w:divBdr>
    </w:div>
    <w:div w:id="1471049672">
      <w:bodyDiv w:val="1"/>
      <w:marLeft w:val="0"/>
      <w:marRight w:val="0"/>
      <w:marTop w:val="0"/>
      <w:marBottom w:val="0"/>
      <w:divBdr>
        <w:top w:val="none" w:sz="0" w:space="0" w:color="auto"/>
        <w:left w:val="none" w:sz="0" w:space="0" w:color="auto"/>
        <w:bottom w:val="none" w:sz="0" w:space="0" w:color="auto"/>
        <w:right w:val="none" w:sz="0" w:space="0" w:color="auto"/>
      </w:divBdr>
    </w:div>
    <w:div w:id="1527209083">
      <w:bodyDiv w:val="1"/>
      <w:marLeft w:val="0"/>
      <w:marRight w:val="0"/>
      <w:marTop w:val="0"/>
      <w:marBottom w:val="0"/>
      <w:divBdr>
        <w:top w:val="none" w:sz="0" w:space="0" w:color="auto"/>
        <w:left w:val="none" w:sz="0" w:space="0" w:color="auto"/>
        <w:bottom w:val="none" w:sz="0" w:space="0" w:color="auto"/>
        <w:right w:val="none" w:sz="0" w:space="0" w:color="auto"/>
      </w:divBdr>
    </w:div>
    <w:div w:id="1554195607">
      <w:bodyDiv w:val="1"/>
      <w:marLeft w:val="0"/>
      <w:marRight w:val="0"/>
      <w:marTop w:val="0"/>
      <w:marBottom w:val="0"/>
      <w:divBdr>
        <w:top w:val="none" w:sz="0" w:space="0" w:color="auto"/>
        <w:left w:val="none" w:sz="0" w:space="0" w:color="auto"/>
        <w:bottom w:val="none" w:sz="0" w:space="0" w:color="auto"/>
        <w:right w:val="none" w:sz="0" w:space="0" w:color="auto"/>
      </w:divBdr>
    </w:div>
    <w:div w:id="1573268901">
      <w:bodyDiv w:val="1"/>
      <w:marLeft w:val="0"/>
      <w:marRight w:val="0"/>
      <w:marTop w:val="0"/>
      <w:marBottom w:val="0"/>
      <w:divBdr>
        <w:top w:val="none" w:sz="0" w:space="0" w:color="auto"/>
        <w:left w:val="none" w:sz="0" w:space="0" w:color="auto"/>
        <w:bottom w:val="none" w:sz="0" w:space="0" w:color="auto"/>
        <w:right w:val="none" w:sz="0" w:space="0" w:color="auto"/>
      </w:divBdr>
    </w:div>
    <w:div w:id="1575165986">
      <w:bodyDiv w:val="1"/>
      <w:marLeft w:val="0"/>
      <w:marRight w:val="0"/>
      <w:marTop w:val="0"/>
      <w:marBottom w:val="0"/>
      <w:divBdr>
        <w:top w:val="none" w:sz="0" w:space="0" w:color="auto"/>
        <w:left w:val="none" w:sz="0" w:space="0" w:color="auto"/>
        <w:bottom w:val="none" w:sz="0" w:space="0" w:color="auto"/>
        <w:right w:val="none" w:sz="0" w:space="0" w:color="auto"/>
      </w:divBdr>
    </w:div>
    <w:div w:id="1625427150">
      <w:bodyDiv w:val="1"/>
      <w:marLeft w:val="0"/>
      <w:marRight w:val="0"/>
      <w:marTop w:val="0"/>
      <w:marBottom w:val="0"/>
      <w:divBdr>
        <w:top w:val="none" w:sz="0" w:space="0" w:color="auto"/>
        <w:left w:val="none" w:sz="0" w:space="0" w:color="auto"/>
        <w:bottom w:val="none" w:sz="0" w:space="0" w:color="auto"/>
        <w:right w:val="none" w:sz="0" w:space="0" w:color="auto"/>
      </w:divBdr>
    </w:div>
    <w:div w:id="1720664831">
      <w:bodyDiv w:val="1"/>
      <w:marLeft w:val="0"/>
      <w:marRight w:val="0"/>
      <w:marTop w:val="0"/>
      <w:marBottom w:val="0"/>
      <w:divBdr>
        <w:top w:val="none" w:sz="0" w:space="0" w:color="auto"/>
        <w:left w:val="none" w:sz="0" w:space="0" w:color="auto"/>
        <w:bottom w:val="none" w:sz="0" w:space="0" w:color="auto"/>
        <w:right w:val="none" w:sz="0" w:space="0" w:color="auto"/>
      </w:divBdr>
    </w:div>
    <w:div w:id="1742095789">
      <w:bodyDiv w:val="1"/>
      <w:marLeft w:val="0"/>
      <w:marRight w:val="0"/>
      <w:marTop w:val="0"/>
      <w:marBottom w:val="0"/>
      <w:divBdr>
        <w:top w:val="none" w:sz="0" w:space="0" w:color="auto"/>
        <w:left w:val="none" w:sz="0" w:space="0" w:color="auto"/>
        <w:bottom w:val="none" w:sz="0" w:space="0" w:color="auto"/>
        <w:right w:val="none" w:sz="0" w:space="0" w:color="auto"/>
      </w:divBdr>
    </w:div>
    <w:div w:id="1777673384">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811359591">
      <w:bodyDiv w:val="1"/>
      <w:marLeft w:val="0"/>
      <w:marRight w:val="0"/>
      <w:marTop w:val="0"/>
      <w:marBottom w:val="0"/>
      <w:divBdr>
        <w:top w:val="none" w:sz="0" w:space="0" w:color="auto"/>
        <w:left w:val="none" w:sz="0" w:space="0" w:color="auto"/>
        <w:bottom w:val="none" w:sz="0" w:space="0" w:color="auto"/>
        <w:right w:val="none" w:sz="0" w:space="0" w:color="auto"/>
      </w:divBdr>
    </w:div>
    <w:div w:id="1822575800">
      <w:bodyDiv w:val="1"/>
      <w:marLeft w:val="0"/>
      <w:marRight w:val="0"/>
      <w:marTop w:val="0"/>
      <w:marBottom w:val="0"/>
      <w:divBdr>
        <w:top w:val="none" w:sz="0" w:space="0" w:color="auto"/>
        <w:left w:val="none" w:sz="0" w:space="0" w:color="auto"/>
        <w:bottom w:val="none" w:sz="0" w:space="0" w:color="auto"/>
        <w:right w:val="none" w:sz="0" w:space="0" w:color="auto"/>
      </w:divBdr>
    </w:div>
    <w:div w:id="1832014977">
      <w:bodyDiv w:val="1"/>
      <w:marLeft w:val="0"/>
      <w:marRight w:val="0"/>
      <w:marTop w:val="0"/>
      <w:marBottom w:val="0"/>
      <w:divBdr>
        <w:top w:val="none" w:sz="0" w:space="0" w:color="auto"/>
        <w:left w:val="none" w:sz="0" w:space="0" w:color="auto"/>
        <w:bottom w:val="none" w:sz="0" w:space="0" w:color="auto"/>
        <w:right w:val="none" w:sz="0" w:space="0" w:color="auto"/>
      </w:divBdr>
    </w:div>
    <w:div w:id="1837183855">
      <w:bodyDiv w:val="1"/>
      <w:marLeft w:val="0"/>
      <w:marRight w:val="0"/>
      <w:marTop w:val="0"/>
      <w:marBottom w:val="0"/>
      <w:divBdr>
        <w:top w:val="none" w:sz="0" w:space="0" w:color="auto"/>
        <w:left w:val="none" w:sz="0" w:space="0" w:color="auto"/>
        <w:bottom w:val="none" w:sz="0" w:space="0" w:color="auto"/>
        <w:right w:val="none" w:sz="0" w:space="0" w:color="auto"/>
      </w:divBdr>
    </w:div>
    <w:div w:id="1855028714">
      <w:bodyDiv w:val="1"/>
      <w:marLeft w:val="0"/>
      <w:marRight w:val="0"/>
      <w:marTop w:val="0"/>
      <w:marBottom w:val="0"/>
      <w:divBdr>
        <w:top w:val="none" w:sz="0" w:space="0" w:color="auto"/>
        <w:left w:val="none" w:sz="0" w:space="0" w:color="auto"/>
        <w:bottom w:val="none" w:sz="0" w:space="0" w:color="auto"/>
        <w:right w:val="none" w:sz="0" w:space="0" w:color="auto"/>
      </w:divBdr>
      <w:divsChild>
        <w:div w:id="1157189096">
          <w:marLeft w:val="360"/>
          <w:marRight w:val="0"/>
          <w:marTop w:val="200"/>
          <w:marBottom w:val="0"/>
          <w:divBdr>
            <w:top w:val="none" w:sz="0" w:space="0" w:color="auto"/>
            <w:left w:val="none" w:sz="0" w:space="0" w:color="auto"/>
            <w:bottom w:val="none" w:sz="0" w:space="0" w:color="auto"/>
            <w:right w:val="none" w:sz="0" w:space="0" w:color="auto"/>
          </w:divBdr>
        </w:div>
        <w:div w:id="248850042">
          <w:marLeft w:val="1080"/>
          <w:marRight w:val="0"/>
          <w:marTop w:val="100"/>
          <w:marBottom w:val="0"/>
          <w:divBdr>
            <w:top w:val="none" w:sz="0" w:space="0" w:color="auto"/>
            <w:left w:val="none" w:sz="0" w:space="0" w:color="auto"/>
            <w:bottom w:val="none" w:sz="0" w:space="0" w:color="auto"/>
            <w:right w:val="none" w:sz="0" w:space="0" w:color="auto"/>
          </w:divBdr>
        </w:div>
        <w:div w:id="866069242">
          <w:marLeft w:val="1080"/>
          <w:marRight w:val="0"/>
          <w:marTop w:val="100"/>
          <w:marBottom w:val="0"/>
          <w:divBdr>
            <w:top w:val="none" w:sz="0" w:space="0" w:color="auto"/>
            <w:left w:val="none" w:sz="0" w:space="0" w:color="auto"/>
            <w:bottom w:val="none" w:sz="0" w:space="0" w:color="auto"/>
            <w:right w:val="none" w:sz="0" w:space="0" w:color="auto"/>
          </w:divBdr>
        </w:div>
        <w:div w:id="1091925023">
          <w:marLeft w:val="1800"/>
          <w:marRight w:val="0"/>
          <w:marTop w:val="100"/>
          <w:marBottom w:val="0"/>
          <w:divBdr>
            <w:top w:val="none" w:sz="0" w:space="0" w:color="auto"/>
            <w:left w:val="none" w:sz="0" w:space="0" w:color="auto"/>
            <w:bottom w:val="none" w:sz="0" w:space="0" w:color="auto"/>
            <w:right w:val="none" w:sz="0" w:space="0" w:color="auto"/>
          </w:divBdr>
        </w:div>
      </w:divsChild>
    </w:div>
    <w:div w:id="1860968159">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
    <w:div w:id="1891182176">
      <w:bodyDiv w:val="1"/>
      <w:marLeft w:val="0"/>
      <w:marRight w:val="0"/>
      <w:marTop w:val="0"/>
      <w:marBottom w:val="0"/>
      <w:divBdr>
        <w:top w:val="none" w:sz="0" w:space="0" w:color="auto"/>
        <w:left w:val="none" w:sz="0" w:space="0" w:color="auto"/>
        <w:bottom w:val="none" w:sz="0" w:space="0" w:color="auto"/>
        <w:right w:val="none" w:sz="0" w:space="0" w:color="auto"/>
      </w:divBdr>
    </w:div>
    <w:div w:id="1913540883">
      <w:bodyDiv w:val="1"/>
      <w:marLeft w:val="0"/>
      <w:marRight w:val="0"/>
      <w:marTop w:val="0"/>
      <w:marBottom w:val="0"/>
      <w:divBdr>
        <w:top w:val="none" w:sz="0" w:space="0" w:color="auto"/>
        <w:left w:val="none" w:sz="0" w:space="0" w:color="auto"/>
        <w:bottom w:val="none" w:sz="0" w:space="0" w:color="auto"/>
        <w:right w:val="none" w:sz="0" w:space="0" w:color="auto"/>
      </w:divBdr>
    </w:div>
    <w:div w:id="1914706092">
      <w:bodyDiv w:val="1"/>
      <w:marLeft w:val="0"/>
      <w:marRight w:val="0"/>
      <w:marTop w:val="0"/>
      <w:marBottom w:val="0"/>
      <w:divBdr>
        <w:top w:val="none" w:sz="0" w:space="0" w:color="auto"/>
        <w:left w:val="none" w:sz="0" w:space="0" w:color="auto"/>
        <w:bottom w:val="none" w:sz="0" w:space="0" w:color="auto"/>
        <w:right w:val="none" w:sz="0" w:space="0" w:color="auto"/>
      </w:divBdr>
    </w:div>
    <w:div w:id="2064062649">
      <w:bodyDiv w:val="1"/>
      <w:marLeft w:val="0"/>
      <w:marRight w:val="0"/>
      <w:marTop w:val="0"/>
      <w:marBottom w:val="0"/>
      <w:divBdr>
        <w:top w:val="none" w:sz="0" w:space="0" w:color="auto"/>
        <w:left w:val="none" w:sz="0" w:space="0" w:color="auto"/>
        <w:bottom w:val="none" w:sz="0" w:space="0" w:color="auto"/>
        <w:right w:val="none" w:sz="0" w:space="0" w:color="auto"/>
      </w:divBdr>
    </w:div>
    <w:div w:id="2078430521">
      <w:bodyDiv w:val="1"/>
      <w:marLeft w:val="0"/>
      <w:marRight w:val="0"/>
      <w:marTop w:val="0"/>
      <w:marBottom w:val="0"/>
      <w:divBdr>
        <w:top w:val="none" w:sz="0" w:space="0" w:color="auto"/>
        <w:left w:val="none" w:sz="0" w:space="0" w:color="auto"/>
        <w:bottom w:val="none" w:sz="0" w:space="0" w:color="auto"/>
        <w:right w:val="none" w:sz="0" w:space="0" w:color="auto"/>
      </w:divBdr>
    </w:div>
    <w:div w:id="209481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8CDD7-A41C-4CE6-A973-382DF16E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10519</Words>
  <Characters>59923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4</cp:revision>
  <cp:lastPrinted>2019-10-18T02:24:00Z</cp:lastPrinted>
  <dcterms:created xsi:type="dcterms:W3CDTF">2019-09-19T01:02:00Z</dcterms:created>
  <dcterms:modified xsi:type="dcterms:W3CDTF">2019-10-18T02:24:00Z</dcterms:modified>
</cp:coreProperties>
</file>