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70CB" w:rsidRDefault="006E2E62">
      <w:pPr>
        <w:pStyle w:val="Title"/>
        <w:ind w:left="720" w:hanging="720"/>
        <w:jc w:val="left"/>
      </w:pPr>
      <w:r>
        <w:t>5.08</w:t>
      </w:r>
      <w:r>
        <w:tab/>
      </w:r>
      <w:r>
        <w:rPr>
          <w:caps/>
        </w:rPr>
        <w:t>LUMACAFTOR WITH IVACAFTOR,</w:t>
      </w:r>
      <w:r>
        <w:rPr>
          <w:caps/>
        </w:rPr>
        <w:br/>
      </w:r>
      <w:r>
        <w:t>Sachet containing granules, lumacaftor 100 mg with ivacaftor 125 mg, lumacaftor 150 mg with ivacaftor 188 mg</w:t>
      </w:r>
      <w:r>
        <w:rPr>
          <w:caps/>
        </w:rPr>
        <w:t xml:space="preserve">, </w:t>
      </w:r>
      <w:r>
        <w:rPr>
          <w:caps/>
        </w:rPr>
        <w:br/>
      </w:r>
      <w:r>
        <w:rPr>
          <w:rFonts w:asciiTheme="minorHAnsi" w:hAnsiTheme="minorHAnsi"/>
        </w:rPr>
        <w:t>Orkambi</w:t>
      </w:r>
      <w:r>
        <w:rPr>
          <w:vertAlign w:val="superscript"/>
        </w:rPr>
        <w:t>®</w:t>
      </w:r>
      <w:r>
        <w:t xml:space="preserve">, </w:t>
      </w:r>
      <w:r>
        <w:br/>
        <w:t>Vertex Pharmaceuticals (Australia) Pty Ltd.</w:t>
      </w:r>
    </w:p>
    <w:p w:rsidR="007070CB" w:rsidRDefault="006E2E62">
      <w:pPr>
        <w:pStyle w:val="PBACHeading1"/>
      </w:pPr>
      <w:bookmarkStart w:id="0" w:name="_Toc6931313"/>
      <w:bookmarkStart w:id="1" w:name="_Toc9335649"/>
      <w:r>
        <w:t>Purpose of Application</w:t>
      </w:r>
      <w:bookmarkEnd w:id="0"/>
      <w:bookmarkEnd w:id="1"/>
    </w:p>
    <w:p w:rsidR="007070CB" w:rsidRDefault="006E2E62">
      <w:pPr>
        <w:widowControl/>
        <w:numPr>
          <w:ilvl w:val="1"/>
          <w:numId w:val="1"/>
        </w:numPr>
        <w:spacing w:after="160"/>
        <w:ind w:left="709"/>
      </w:pPr>
      <w:r>
        <w:t xml:space="preserve">The submission requested a Section 100, Authority Required listing for lumacaftor/ivacaftor granules for treatment of cystic fibrosis (CF) patients aged 2 years and older who are homozygous for the F508del mutation in the CF transmembrane conductance regulator (CFTR) gene. The key components of the submission are presented in Table 1. </w:t>
      </w:r>
    </w:p>
    <w:p w:rsidR="00FE09CF" w:rsidRDefault="00FE09CF" w:rsidP="00FE09CF">
      <w:pPr>
        <w:pStyle w:val="PBACTableText"/>
      </w:pPr>
      <w:r>
        <w:t xml:space="preserve">Table </w:t>
      </w:r>
      <w:r w:rsidR="00AF1977">
        <w:rPr>
          <w:noProof/>
        </w:rPr>
        <w:t>1</w:t>
      </w:r>
      <w:r w:rsidRPr="00E74D94">
        <w:t>:</w:t>
      </w:r>
      <w:r w:rsidR="00FE7D84">
        <w:t xml:space="preserve"> </w:t>
      </w:r>
      <w:r w:rsidRPr="00E74D94">
        <w:t>Key components of the clinical issue addressed by the submission</w:t>
      </w:r>
    </w:p>
    <w:tbl>
      <w:tblPr>
        <w:tblStyle w:val="TableHTAsimple"/>
        <w:tblW w:w="5000" w:type="pct"/>
        <w:tblInd w:w="0" w:type="dxa"/>
        <w:tblBorders>
          <w:left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w:tblPr>
      <w:tblGrid>
        <w:gridCol w:w="1696"/>
        <w:gridCol w:w="7321"/>
      </w:tblGrid>
      <w:tr w:rsidR="007070CB">
        <w:trPr>
          <w:cnfStyle w:val="100000000000" w:firstRow="1" w:lastRow="0" w:firstColumn="0" w:lastColumn="0" w:oddVBand="0" w:evenVBand="0" w:oddHBand="0" w:evenHBand="0" w:firstRowFirstColumn="0" w:firstRowLastColumn="0" w:lastRowFirstColumn="0" w:lastRowLastColumn="0"/>
          <w:tblHeader/>
        </w:trPr>
        <w:tc>
          <w:tcPr>
            <w:tcW w:w="1696" w:type="dxa"/>
            <w:tcBorders>
              <w:top w:val="single" w:sz="4" w:space="0" w:color="auto"/>
              <w:left w:val="single" w:sz="4" w:space="0" w:color="auto"/>
              <w:bottom w:val="single" w:sz="4" w:space="0" w:color="auto"/>
              <w:right w:val="single" w:sz="4" w:space="0" w:color="auto"/>
            </w:tcBorders>
            <w:hideMark/>
          </w:tcPr>
          <w:p w:rsidR="007070CB" w:rsidRDefault="006E2E62">
            <w:pPr>
              <w:pStyle w:val="TableLeft"/>
              <w:keepNext/>
              <w:spacing w:before="0" w:beforeAutospacing="0" w:after="0" w:afterAutospacing="0"/>
              <w:rPr>
                <w:rFonts w:ascii="Arial Narrow" w:eastAsia="Times New Roman" w:hAnsi="Arial Narrow" w:cs="Times New Roman"/>
              </w:rPr>
            </w:pPr>
            <w:r>
              <w:rPr>
                <w:rFonts w:ascii="Arial Narrow" w:eastAsia="Times New Roman" w:hAnsi="Arial Narrow" w:cs="Times New Roman"/>
                <w:b/>
              </w:rPr>
              <w:t>Component</w:t>
            </w:r>
          </w:p>
        </w:tc>
        <w:tc>
          <w:tcPr>
            <w:tcW w:w="7321" w:type="dxa"/>
            <w:tcBorders>
              <w:top w:val="single" w:sz="4" w:space="0" w:color="auto"/>
              <w:left w:val="single" w:sz="4" w:space="0" w:color="auto"/>
              <w:bottom w:val="single" w:sz="4" w:space="0" w:color="auto"/>
              <w:right w:val="single" w:sz="4" w:space="0" w:color="auto"/>
            </w:tcBorders>
            <w:hideMark/>
          </w:tcPr>
          <w:p w:rsidR="007070CB" w:rsidRDefault="006E2E62">
            <w:pPr>
              <w:pStyle w:val="TableLeft"/>
              <w:keepNext/>
              <w:spacing w:before="0" w:beforeAutospacing="0" w:after="0" w:afterAutospacing="0"/>
              <w:jc w:val="center"/>
              <w:rPr>
                <w:rFonts w:ascii="Arial Narrow" w:eastAsia="Times New Roman" w:hAnsi="Arial Narrow" w:cs="Times New Roman"/>
                <w:b/>
              </w:rPr>
            </w:pPr>
            <w:r>
              <w:rPr>
                <w:rFonts w:ascii="Arial Narrow" w:eastAsia="Times New Roman" w:hAnsi="Arial Narrow" w:cs="Times New Roman"/>
                <w:b/>
              </w:rPr>
              <w:t>Description</w:t>
            </w:r>
          </w:p>
        </w:tc>
      </w:tr>
      <w:tr w:rsidR="007070CB">
        <w:trPr>
          <w:cnfStyle w:val="000000100000" w:firstRow="0" w:lastRow="0" w:firstColumn="0" w:lastColumn="0" w:oddVBand="0" w:evenVBand="0" w:oddHBand="1" w:evenHBand="0" w:firstRowFirstColumn="0" w:firstRowLastColumn="0" w:lastRowFirstColumn="0" w:lastRowLastColumn="0"/>
        </w:trPr>
        <w:tc>
          <w:tcPr>
            <w:tcW w:w="1696" w:type="dxa"/>
            <w:tcBorders>
              <w:top w:val="single" w:sz="4" w:space="0" w:color="auto"/>
              <w:left w:val="single" w:sz="4" w:space="0" w:color="auto"/>
              <w:bottom w:val="single" w:sz="4" w:space="0" w:color="auto"/>
              <w:right w:val="single" w:sz="4" w:space="0" w:color="auto"/>
            </w:tcBorders>
            <w:hideMark/>
          </w:tcPr>
          <w:p w:rsidR="007070CB" w:rsidRDefault="006E2E62">
            <w:pPr>
              <w:pStyle w:val="TableLeft"/>
              <w:keepNext/>
              <w:spacing w:before="0" w:beforeAutospacing="0" w:after="0" w:afterAutospacing="0"/>
              <w:rPr>
                <w:rFonts w:ascii="Arial Narrow" w:eastAsia="Times New Roman" w:hAnsi="Arial Narrow" w:cs="Times New Roman"/>
              </w:rPr>
            </w:pPr>
            <w:r>
              <w:rPr>
                <w:rFonts w:ascii="Arial Narrow" w:eastAsia="Times New Roman" w:hAnsi="Arial Narrow" w:cs="Times New Roman"/>
              </w:rPr>
              <w:t>Population</w:t>
            </w:r>
          </w:p>
        </w:tc>
        <w:tc>
          <w:tcPr>
            <w:tcW w:w="7321" w:type="dxa"/>
            <w:tcBorders>
              <w:top w:val="single" w:sz="4" w:space="0" w:color="auto"/>
              <w:left w:val="single" w:sz="4" w:space="0" w:color="auto"/>
              <w:bottom w:val="single" w:sz="4" w:space="0" w:color="auto"/>
              <w:right w:val="single" w:sz="4" w:space="0" w:color="auto"/>
            </w:tcBorders>
            <w:hideMark/>
          </w:tcPr>
          <w:p w:rsidR="007070CB" w:rsidRDefault="006E2E62">
            <w:pPr>
              <w:pStyle w:val="TableLeft"/>
              <w:keepNext/>
              <w:spacing w:before="0" w:beforeAutospacing="0" w:after="0" w:afterAutospacing="0"/>
              <w:rPr>
                <w:rFonts w:ascii="Arial Narrow" w:eastAsia="Times New Roman" w:hAnsi="Arial Narrow" w:cs="Times New Roman"/>
              </w:rPr>
            </w:pPr>
            <w:r>
              <w:rPr>
                <w:rFonts w:ascii="Arial Narrow" w:eastAsia="Times New Roman" w:hAnsi="Arial Narrow" w:cs="Times New Roman"/>
              </w:rPr>
              <w:t>CF patients aged 2–5 years who are homozygous for the F508del mutation in the CFTR gene.</w:t>
            </w:r>
          </w:p>
        </w:tc>
      </w:tr>
      <w:tr w:rsidR="007070CB">
        <w:trPr>
          <w:cnfStyle w:val="000000010000" w:firstRow="0" w:lastRow="0" w:firstColumn="0" w:lastColumn="0" w:oddVBand="0" w:evenVBand="0" w:oddHBand="0" w:evenHBand="1" w:firstRowFirstColumn="0" w:firstRowLastColumn="0" w:lastRowFirstColumn="0" w:lastRowLastColumn="0"/>
        </w:trPr>
        <w:tc>
          <w:tcPr>
            <w:tcW w:w="1696" w:type="dxa"/>
            <w:tcBorders>
              <w:top w:val="single" w:sz="4" w:space="0" w:color="auto"/>
              <w:left w:val="single" w:sz="4" w:space="0" w:color="auto"/>
              <w:bottom w:val="single" w:sz="4" w:space="0" w:color="auto"/>
              <w:right w:val="single" w:sz="4" w:space="0" w:color="auto"/>
            </w:tcBorders>
            <w:hideMark/>
          </w:tcPr>
          <w:p w:rsidR="007070CB" w:rsidRDefault="006E2E62">
            <w:pPr>
              <w:pStyle w:val="TableLeft"/>
              <w:keepNext/>
              <w:spacing w:before="0" w:beforeAutospacing="0" w:after="0" w:afterAutospacing="0"/>
              <w:rPr>
                <w:rFonts w:ascii="Arial Narrow" w:eastAsia="Times New Roman" w:hAnsi="Arial Narrow" w:cs="Times New Roman"/>
              </w:rPr>
            </w:pPr>
            <w:r>
              <w:rPr>
                <w:rFonts w:ascii="Arial Narrow" w:eastAsia="Times New Roman" w:hAnsi="Arial Narrow" w:cs="Times New Roman"/>
              </w:rPr>
              <w:t>Intervention</w:t>
            </w:r>
          </w:p>
        </w:tc>
        <w:tc>
          <w:tcPr>
            <w:tcW w:w="7321" w:type="dxa"/>
            <w:tcBorders>
              <w:top w:val="single" w:sz="4" w:space="0" w:color="auto"/>
              <w:left w:val="single" w:sz="4" w:space="0" w:color="auto"/>
              <w:bottom w:val="single" w:sz="4" w:space="0" w:color="auto"/>
              <w:right w:val="single" w:sz="4" w:space="0" w:color="auto"/>
            </w:tcBorders>
            <w:hideMark/>
          </w:tcPr>
          <w:p w:rsidR="007070CB" w:rsidRDefault="006E2E62">
            <w:pPr>
              <w:pStyle w:val="TableLeft"/>
              <w:keepNext/>
              <w:spacing w:before="0" w:beforeAutospacing="0" w:after="0" w:afterAutospacing="0"/>
              <w:rPr>
                <w:rFonts w:ascii="Arial Narrow" w:eastAsia="Times New Roman" w:hAnsi="Arial Narrow" w:cs="Times New Roman"/>
              </w:rPr>
            </w:pPr>
            <w:r>
              <w:rPr>
                <w:rFonts w:ascii="Arial Narrow" w:eastAsia="Times New Roman" w:hAnsi="Arial Narrow" w:cs="Times New Roman"/>
              </w:rPr>
              <w:t xml:space="preserve">Lumacaftor/ivacaftor, weight-based dosing: </w:t>
            </w:r>
          </w:p>
          <w:p w:rsidR="007070CB" w:rsidRDefault="006E2E62">
            <w:pPr>
              <w:pStyle w:val="TableLeft"/>
              <w:keepNext/>
              <w:numPr>
                <w:ilvl w:val="0"/>
                <w:numId w:val="3"/>
              </w:numPr>
              <w:spacing w:before="0" w:beforeAutospacing="0" w:after="0" w:afterAutospacing="0"/>
              <w:ind w:left="281" w:hanging="252"/>
              <w:rPr>
                <w:rFonts w:ascii="Arial Narrow" w:eastAsia="Times New Roman" w:hAnsi="Arial Narrow" w:cs="Times New Roman"/>
              </w:rPr>
            </w:pPr>
            <w:r>
              <w:rPr>
                <w:rFonts w:ascii="Arial Narrow" w:eastAsia="Times New Roman" w:hAnsi="Arial Narrow" w:cs="Times New Roman"/>
              </w:rPr>
              <w:t xml:space="preserve">Weight &lt;14 kg: One sachet of granules (containing lumacaftor 100 mg/ivacaftor 125 mg) PO q12h (lumacaftor 200 mg/ivacaftor 250 mg total daily dose). </w:t>
            </w:r>
          </w:p>
          <w:p w:rsidR="007070CB" w:rsidRDefault="006E2E62">
            <w:pPr>
              <w:pStyle w:val="TableLeft"/>
              <w:keepNext/>
              <w:numPr>
                <w:ilvl w:val="0"/>
                <w:numId w:val="3"/>
              </w:numPr>
              <w:spacing w:before="0" w:beforeAutospacing="0" w:after="0" w:afterAutospacing="0"/>
              <w:ind w:left="281" w:hanging="252"/>
              <w:rPr>
                <w:rFonts w:ascii="Arial Narrow" w:eastAsia="Times New Roman" w:hAnsi="Arial Narrow" w:cs="Times New Roman"/>
              </w:rPr>
            </w:pPr>
            <w:r>
              <w:rPr>
                <w:rFonts w:ascii="Arial Narrow" w:eastAsia="Times New Roman" w:hAnsi="Arial Narrow" w:cs="Times New Roman"/>
              </w:rPr>
              <w:t>Weight ≥14 kg: One sachet of granules (containing lumacaftor 150 mg/ivacaftor 188 mg) PO q12h (lumacaftor 300 mg/ivacaftor 376 mg total daily dose).</w:t>
            </w:r>
          </w:p>
        </w:tc>
      </w:tr>
      <w:tr w:rsidR="007070CB">
        <w:trPr>
          <w:cnfStyle w:val="000000100000" w:firstRow="0" w:lastRow="0" w:firstColumn="0" w:lastColumn="0" w:oddVBand="0" w:evenVBand="0" w:oddHBand="1" w:evenHBand="0" w:firstRowFirstColumn="0" w:firstRowLastColumn="0" w:lastRowFirstColumn="0" w:lastRowLastColumn="0"/>
        </w:trPr>
        <w:tc>
          <w:tcPr>
            <w:tcW w:w="1696" w:type="dxa"/>
            <w:tcBorders>
              <w:top w:val="single" w:sz="4" w:space="0" w:color="auto"/>
              <w:left w:val="single" w:sz="4" w:space="0" w:color="auto"/>
              <w:bottom w:val="single" w:sz="4" w:space="0" w:color="auto"/>
              <w:right w:val="single" w:sz="4" w:space="0" w:color="auto"/>
            </w:tcBorders>
            <w:hideMark/>
          </w:tcPr>
          <w:p w:rsidR="007070CB" w:rsidRDefault="006E2E62">
            <w:pPr>
              <w:pStyle w:val="TableLeft"/>
              <w:keepNext/>
              <w:spacing w:before="0" w:beforeAutospacing="0" w:after="0" w:afterAutospacing="0"/>
              <w:rPr>
                <w:rFonts w:ascii="Arial Narrow" w:eastAsia="Times New Roman" w:hAnsi="Arial Narrow" w:cs="Times New Roman"/>
              </w:rPr>
            </w:pPr>
            <w:r>
              <w:rPr>
                <w:rFonts w:ascii="Arial Narrow" w:eastAsia="Times New Roman" w:hAnsi="Arial Narrow" w:cs="Times New Roman"/>
              </w:rPr>
              <w:t>Comparator</w:t>
            </w:r>
          </w:p>
        </w:tc>
        <w:tc>
          <w:tcPr>
            <w:tcW w:w="7321" w:type="dxa"/>
            <w:tcBorders>
              <w:top w:val="single" w:sz="4" w:space="0" w:color="auto"/>
              <w:left w:val="single" w:sz="4" w:space="0" w:color="auto"/>
              <w:bottom w:val="single" w:sz="4" w:space="0" w:color="auto"/>
              <w:right w:val="single" w:sz="4" w:space="0" w:color="auto"/>
            </w:tcBorders>
            <w:hideMark/>
          </w:tcPr>
          <w:p w:rsidR="007070CB" w:rsidRDefault="006E2E62">
            <w:pPr>
              <w:pStyle w:val="TableLeft"/>
              <w:keepNext/>
              <w:spacing w:before="0" w:beforeAutospacing="0" w:after="0" w:afterAutospacing="0"/>
              <w:rPr>
                <w:rFonts w:ascii="Arial Narrow" w:eastAsia="Times New Roman" w:hAnsi="Arial Narrow" w:cs="Times New Roman"/>
              </w:rPr>
            </w:pPr>
            <w:r>
              <w:rPr>
                <w:rFonts w:ascii="Arial Narrow" w:eastAsia="Times New Roman" w:hAnsi="Arial Narrow" w:cs="Times New Roman"/>
              </w:rPr>
              <w:t>BSC plus placebo.</w:t>
            </w:r>
            <w:r w:rsidR="00FE7D84">
              <w:rPr>
                <w:rFonts w:ascii="Arial Narrow" w:eastAsia="Times New Roman" w:hAnsi="Arial Narrow" w:cs="Times New Roman"/>
              </w:rPr>
              <w:t xml:space="preserve"> </w:t>
            </w:r>
          </w:p>
        </w:tc>
      </w:tr>
      <w:tr w:rsidR="007070CB">
        <w:trPr>
          <w:cnfStyle w:val="000000010000" w:firstRow="0" w:lastRow="0" w:firstColumn="0" w:lastColumn="0" w:oddVBand="0" w:evenVBand="0" w:oddHBand="0" w:evenHBand="1" w:firstRowFirstColumn="0" w:firstRowLastColumn="0" w:lastRowFirstColumn="0" w:lastRowLastColumn="0"/>
        </w:trPr>
        <w:tc>
          <w:tcPr>
            <w:tcW w:w="1696" w:type="dxa"/>
            <w:tcBorders>
              <w:top w:val="single" w:sz="4" w:space="0" w:color="auto"/>
              <w:left w:val="single" w:sz="4" w:space="0" w:color="auto"/>
              <w:bottom w:val="single" w:sz="4" w:space="0" w:color="auto"/>
              <w:right w:val="single" w:sz="4" w:space="0" w:color="auto"/>
            </w:tcBorders>
            <w:hideMark/>
          </w:tcPr>
          <w:p w:rsidR="007070CB" w:rsidRDefault="006E2E62">
            <w:pPr>
              <w:pStyle w:val="TableLeft"/>
              <w:keepNext/>
              <w:spacing w:before="0" w:beforeAutospacing="0" w:after="0" w:afterAutospacing="0"/>
              <w:rPr>
                <w:rFonts w:ascii="Arial Narrow" w:eastAsia="Times New Roman" w:hAnsi="Arial Narrow" w:cs="Times New Roman"/>
              </w:rPr>
            </w:pPr>
            <w:r>
              <w:rPr>
                <w:rFonts w:ascii="Arial Narrow" w:eastAsia="Times New Roman" w:hAnsi="Arial Narrow" w:cs="Times New Roman"/>
              </w:rPr>
              <w:t>Outcomes</w:t>
            </w:r>
          </w:p>
        </w:tc>
        <w:tc>
          <w:tcPr>
            <w:tcW w:w="7321" w:type="dxa"/>
            <w:tcBorders>
              <w:top w:val="single" w:sz="4" w:space="0" w:color="auto"/>
              <w:left w:val="single" w:sz="4" w:space="0" w:color="auto"/>
              <w:bottom w:val="single" w:sz="4" w:space="0" w:color="auto"/>
              <w:right w:val="single" w:sz="4" w:space="0" w:color="auto"/>
            </w:tcBorders>
            <w:hideMark/>
          </w:tcPr>
          <w:p w:rsidR="007070CB" w:rsidRDefault="006E2E62">
            <w:pPr>
              <w:pStyle w:val="TableLeft"/>
              <w:keepNext/>
              <w:spacing w:before="0" w:beforeAutospacing="0" w:after="0" w:afterAutospacing="0"/>
              <w:rPr>
                <w:rFonts w:ascii="Arial Narrow" w:eastAsia="Times New Roman" w:hAnsi="Arial Narrow" w:cs="Times New Roman"/>
              </w:rPr>
            </w:pPr>
            <w:r>
              <w:rPr>
                <w:rFonts w:ascii="Arial Narrow" w:eastAsia="Times New Roman" w:hAnsi="Arial Narrow" w:cs="Times New Roman"/>
              </w:rPr>
              <w:t>Absolute change from baseline in: LCI</w:t>
            </w:r>
            <w:r>
              <w:rPr>
                <w:rFonts w:ascii="Arial Narrow" w:eastAsia="Times New Roman" w:hAnsi="Arial Narrow" w:cs="Times New Roman"/>
                <w:vertAlign w:val="subscript"/>
              </w:rPr>
              <w:t xml:space="preserve">2.5 </w:t>
            </w:r>
            <w:r>
              <w:rPr>
                <w:rFonts w:ascii="Arial Narrow" w:hAnsi="Arial Narrow"/>
              </w:rPr>
              <w:t>&amp;</w:t>
            </w:r>
            <w:r>
              <w:rPr>
                <w:rFonts w:ascii="Arial Narrow" w:eastAsia="Times New Roman" w:hAnsi="Arial Narrow" w:cs="Times New Roman"/>
                <w:vertAlign w:val="subscript"/>
              </w:rPr>
              <w:t xml:space="preserve"> </w:t>
            </w:r>
            <w:r>
              <w:rPr>
                <w:rFonts w:ascii="Arial Narrow" w:eastAsia="Times New Roman" w:hAnsi="Arial Narrow" w:cs="Times New Roman"/>
              </w:rPr>
              <w:t>LCI</w:t>
            </w:r>
            <w:r>
              <w:rPr>
                <w:rFonts w:ascii="Arial Narrow" w:eastAsia="Times New Roman" w:hAnsi="Arial Narrow" w:cs="Times New Roman"/>
                <w:vertAlign w:val="subscript"/>
              </w:rPr>
              <w:t>5.0</w:t>
            </w:r>
            <w:r>
              <w:rPr>
                <w:rFonts w:ascii="Arial Narrow" w:eastAsia="Times New Roman" w:hAnsi="Arial Narrow" w:cs="Times New Roman"/>
              </w:rPr>
              <w:t>; sweat chloride; ppFEV</w:t>
            </w:r>
            <w:r>
              <w:rPr>
                <w:rFonts w:ascii="Arial Narrow" w:eastAsia="Times New Roman" w:hAnsi="Arial Narrow" w:cs="Times New Roman"/>
                <w:vertAlign w:val="subscript"/>
              </w:rPr>
              <w:t>1</w:t>
            </w:r>
            <w:r>
              <w:rPr>
                <w:rFonts w:ascii="Arial Narrow" w:eastAsia="Times New Roman" w:hAnsi="Arial Narrow" w:cs="Times New Roman"/>
              </w:rPr>
              <w:t xml:space="preserve">; nutritional status (BMI, BMI-for-age z-score, weight, weight-for-age z-score, stature, stature-for-height). Pulmonary exacerbation measures. </w:t>
            </w:r>
          </w:p>
          <w:p w:rsidR="007070CB" w:rsidRDefault="006E2E62">
            <w:pPr>
              <w:pStyle w:val="TableLeft"/>
              <w:keepNext/>
              <w:spacing w:before="0" w:beforeAutospacing="0" w:after="0" w:afterAutospacing="0"/>
              <w:rPr>
                <w:rFonts w:ascii="Arial Narrow" w:eastAsia="Times New Roman" w:hAnsi="Arial Narrow" w:cs="Times New Roman"/>
              </w:rPr>
            </w:pPr>
            <w:r>
              <w:rPr>
                <w:rFonts w:ascii="Arial Narrow" w:eastAsia="Times New Roman" w:hAnsi="Arial Narrow" w:cs="Times New Roman"/>
              </w:rPr>
              <w:t>Absolute change in FE-1; IRT.</w:t>
            </w:r>
          </w:p>
        </w:tc>
      </w:tr>
      <w:tr w:rsidR="007070CB">
        <w:trPr>
          <w:cnfStyle w:val="000000100000" w:firstRow="0" w:lastRow="0" w:firstColumn="0" w:lastColumn="0" w:oddVBand="0" w:evenVBand="0" w:oddHBand="1" w:evenHBand="0" w:firstRowFirstColumn="0" w:firstRowLastColumn="0" w:lastRowFirstColumn="0" w:lastRowLastColumn="0"/>
        </w:trPr>
        <w:tc>
          <w:tcPr>
            <w:tcW w:w="1696" w:type="dxa"/>
            <w:tcBorders>
              <w:top w:val="single" w:sz="4" w:space="0" w:color="auto"/>
              <w:left w:val="single" w:sz="4" w:space="0" w:color="auto"/>
              <w:bottom w:val="single" w:sz="4" w:space="0" w:color="auto"/>
              <w:right w:val="single" w:sz="4" w:space="0" w:color="auto"/>
            </w:tcBorders>
            <w:hideMark/>
          </w:tcPr>
          <w:p w:rsidR="007070CB" w:rsidRDefault="006E2E62">
            <w:pPr>
              <w:pStyle w:val="TableLeft"/>
              <w:keepNext/>
              <w:spacing w:before="0" w:beforeAutospacing="0" w:after="0" w:afterAutospacing="0"/>
              <w:rPr>
                <w:rFonts w:ascii="Arial Narrow" w:eastAsia="Times New Roman" w:hAnsi="Arial Narrow" w:cs="Times New Roman"/>
              </w:rPr>
            </w:pPr>
            <w:r>
              <w:rPr>
                <w:rFonts w:ascii="Arial Narrow" w:eastAsia="Times New Roman" w:hAnsi="Arial Narrow" w:cs="Times New Roman"/>
              </w:rPr>
              <w:t>Clinical Claim</w:t>
            </w:r>
          </w:p>
        </w:tc>
        <w:tc>
          <w:tcPr>
            <w:tcW w:w="7321" w:type="dxa"/>
            <w:tcBorders>
              <w:top w:val="single" w:sz="4" w:space="0" w:color="auto"/>
              <w:left w:val="single" w:sz="4" w:space="0" w:color="auto"/>
              <w:bottom w:val="single" w:sz="4" w:space="0" w:color="auto"/>
              <w:right w:val="single" w:sz="4" w:space="0" w:color="auto"/>
            </w:tcBorders>
            <w:hideMark/>
          </w:tcPr>
          <w:p w:rsidR="007070CB" w:rsidRDefault="006E2E62">
            <w:pPr>
              <w:pStyle w:val="TableLeft"/>
              <w:keepNext/>
              <w:spacing w:before="0" w:beforeAutospacing="0" w:after="0" w:afterAutospacing="0"/>
              <w:rPr>
                <w:rFonts w:ascii="Arial Narrow" w:eastAsia="Times New Roman" w:hAnsi="Arial Narrow" w:cs="Times New Roman"/>
              </w:rPr>
            </w:pPr>
            <w:r>
              <w:rPr>
                <w:rFonts w:ascii="Arial Narrow" w:eastAsia="Times New Roman" w:hAnsi="Arial Narrow" w:cs="Times New Roman"/>
              </w:rPr>
              <w:t>Lumacaftor/ivacaftor plus BSC is superior in terms of effectiveness compared with BSC alone.</w:t>
            </w:r>
          </w:p>
          <w:p w:rsidR="007070CB" w:rsidRDefault="006E2E62">
            <w:pPr>
              <w:pStyle w:val="TableLeft"/>
              <w:keepNext/>
              <w:spacing w:before="0" w:beforeAutospacing="0" w:after="0" w:afterAutospacing="0"/>
              <w:rPr>
                <w:rFonts w:ascii="Arial Narrow" w:eastAsia="Times New Roman" w:hAnsi="Arial Narrow" w:cs="Times New Roman"/>
              </w:rPr>
            </w:pPr>
            <w:r>
              <w:rPr>
                <w:rFonts w:ascii="Arial Narrow" w:eastAsia="Times New Roman" w:hAnsi="Arial Narrow" w:cs="Times New Roman"/>
              </w:rPr>
              <w:t>Lumacaftor/ivacaftor plus BSC is non-inferior in terms of safety compared to BSC alone.</w:t>
            </w:r>
          </w:p>
        </w:tc>
      </w:tr>
    </w:tbl>
    <w:p w:rsidR="007070CB" w:rsidRDefault="006E2E62">
      <w:pPr>
        <w:pStyle w:val="TableFooter"/>
        <w:widowControl/>
      </w:pPr>
      <w:r>
        <w:t>Source:</w:t>
      </w:r>
      <w:r w:rsidR="00FE7D84">
        <w:t xml:space="preserve"> </w:t>
      </w:r>
      <w:r>
        <w:t xml:space="preserve">Table 1.1.1 of the submission pp26-27. </w:t>
      </w:r>
    </w:p>
    <w:p w:rsidR="007070CB" w:rsidRDefault="006E2E62">
      <w:pPr>
        <w:pStyle w:val="TableFooter"/>
        <w:widowControl/>
      </w:pPr>
      <w:r>
        <w:t>Abbreviations: BMI = body mass index; BSC=best supportive care; CF=cystic fibrosis; CFTR=cystic fibrosis transmembrane conductance regulator; FE-1=faecal elastase 1; FEV=forced expiratory volume; IRT=immunoreactive trypsinogen; LCI</w:t>
      </w:r>
      <w:r>
        <w:rPr>
          <w:vertAlign w:val="subscript"/>
        </w:rPr>
        <w:t>2.5</w:t>
      </w:r>
      <w:r>
        <w:t>=lung clearance index at 2.5% of starting concentration; LCI</w:t>
      </w:r>
      <w:r>
        <w:rPr>
          <w:vertAlign w:val="subscript"/>
        </w:rPr>
        <w:t>5.0</w:t>
      </w:r>
      <w:r>
        <w:t>=lung clearance index at 5.0% of starting concentration; PO = oral administration; ppFEV</w:t>
      </w:r>
      <w:r>
        <w:rPr>
          <w:vertAlign w:val="subscript"/>
        </w:rPr>
        <w:t>1</w:t>
      </w:r>
      <w:r>
        <w:t xml:space="preserve">= percent predicted forced expiratory volume in one second; q12h = every 12 hours. </w:t>
      </w:r>
    </w:p>
    <w:p w:rsidR="007070CB" w:rsidRDefault="007070CB">
      <w:pPr>
        <w:pStyle w:val="TableFooter"/>
        <w:widowControl/>
        <w:rPr>
          <w:rStyle w:val="CommentReference"/>
          <w:b w:val="0"/>
          <w:sz w:val="18"/>
          <w:szCs w:val="22"/>
        </w:rPr>
      </w:pPr>
    </w:p>
    <w:p w:rsidR="007070CB" w:rsidRDefault="006E2E62">
      <w:pPr>
        <w:widowControl/>
        <w:numPr>
          <w:ilvl w:val="1"/>
          <w:numId w:val="1"/>
        </w:numPr>
        <w:spacing w:after="120"/>
        <w:ind w:left="709"/>
      </w:pPr>
      <w:r>
        <w:t xml:space="preserve">This is the first submission for lumacaftor/ivacaftor granules. Lumacaftor/ivacaftor tablets are currently subsidised on the PBS for the treatment of CF patients aged 6 years and older who are homozygous for the F508del mutation in the CFTR gene. </w:t>
      </w:r>
    </w:p>
    <w:p w:rsidR="007070CB" w:rsidRDefault="006E2E62">
      <w:pPr>
        <w:pStyle w:val="ListParagraph"/>
        <w:widowControl/>
        <w:numPr>
          <w:ilvl w:val="1"/>
          <w:numId w:val="1"/>
        </w:numPr>
      </w:pPr>
      <w:r>
        <w:t xml:space="preserve">The submission presented one pivotal trial (Study 115) to support the clinical claim compared with best supportive care (BSC). However, </w:t>
      </w:r>
      <w:r>
        <w:rPr>
          <w:rFonts w:asciiTheme="minorHAnsi" w:hAnsiTheme="minorHAnsi" w:cstheme="minorHAnsi"/>
          <w:szCs w:val="24"/>
        </w:rPr>
        <w:t>Study 115 was an open-label, non-comparative study, and the submission did not present evidence of the comparative efficacy or safety versus BSC.</w:t>
      </w:r>
      <w:r w:rsidR="00FE7D84">
        <w:rPr>
          <w:rFonts w:asciiTheme="minorHAnsi" w:hAnsiTheme="minorHAnsi" w:cstheme="minorHAnsi"/>
          <w:szCs w:val="24"/>
        </w:rPr>
        <w:t xml:space="preserve"> </w:t>
      </w:r>
    </w:p>
    <w:p w:rsidR="007070CB" w:rsidRDefault="006E2E62">
      <w:pPr>
        <w:widowControl/>
        <w:jc w:val="left"/>
        <w:rPr>
          <w:b/>
          <w:sz w:val="32"/>
        </w:rPr>
      </w:pPr>
      <w:bookmarkStart w:id="2" w:name="_Toc6931314"/>
      <w:bookmarkStart w:id="3" w:name="_Toc9335650"/>
      <w:r>
        <w:br w:type="page"/>
      </w:r>
    </w:p>
    <w:p w:rsidR="007070CB" w:rsidRDefault="006E2E62">
      <w:pPr>
        <w:pStyle w:val="PBACHeading1"/>
        <w:keepNext w:val="0"/>
      </w:pPr>
      <w:r>
        <w:lastRenderedPageBreak/>
        <w:t>Requested listing</w:t>
      </w:r>
      <w:bookmarkEnd w:id="2"/>
      <w:bookmarkEnd w:id="3"/>
    </w:p>
    <w:p w:rsidR="007070CB" w:rsidRDefault="006E2E62">
      <w:pPr>
        <w:pStyle w:val="ListParagraph"/>
        <w:widowControl/>
        <w:numPr>
          <w:ilvl w:val="1"/>
          <w:numId w:val="1"/>
        </w:numPr>
        <w:rPr>
          <w:rFonts w:cs="Calibri"/>
          <w:bCs/>
        </w:rPr>
      </w:pPr>
      <w:r>
        <w:t>The proposed listing is summarised in Table 2.</w:t>
      </w:r>
      <w:r>
        <w:rPr>
          <w:rFonts w:cs="Calibri"/>
          <w:bCs/>
          <w:i/>
        </w:rPr>
        <w:t xml:space="preserve"> </w:t>
      </w:r>
    </w:p>
    <w:p w:rsidR="00FE09CF" w:rsidRDefault="00FE09CF" w:rsidP="00FE09CF">
      <w:pPr>
        <w:pStyle w:val="PBACTableText"/>
      </w:pPr>
      <w:r>
        <w:t xml:space="preserve">Table </w:t>
      </w:r>
      <w:r w:rsidR="00AF1977">
        <w:rPr>
          <w:noProof/>
        </w:rPr>
        <w:t>2</w:t>
      </w:r>
      <w:r w:rsidRPr="00C60EFC">
        <w:t>: Proposed PBS listing</w:t>
      </w:r>
    </w:p>
    <w:tbl>
      <w:tblPr>
        <w:tblW w:w="4977"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Caption w:val="Table 2: Proposed PBS listing"/>
      </w:tblPr>
      <w:tblGrid>
        <w:gridCol w:w="3334"/>
        <w:gridCol w:w="890"/>
        <w:gridCol w:w="849"/>
        <w:gridCol w:w="1560"/>
        <w:gridCol w:w="989"/>
        <w:gridCol w:w="1354"/>
      </w:tblGrid>
      <w:tr w:rsidR="007070CB" w:rsidTr="006E3A86">
        <w:trPr>
          <w:trHeight w:val="463"/>
          <w:tblHeader/>
        </w:trPr>
        <w:tc>
          <w:tcPr>
            <w:tcW w:w="1857" w:type="pct"/>
            <w:vAlign w:val="center"/>
          </w:tcPr>
          <w:p w:rsidR="007070CB" w:rsidRDefault="006E2E62">
            <w:pPr>
              <w:keepNext/>
              <w:widowControl/>
              <w:jc w:val="left"/>
              <w:rPr>
                <w:rFonts w:ascii="Arial Narrow" w:hAnsi="Arial Narrow"/>
                <w:b/>
                <w:sz w:val="20"/>
              </w:rPr>
            </w:pPr>
            <w:r>
              <w:rPr>
                <w:rFonts w:ascii="Arial Narrow" w:hAnsi="Arial Narrow"/>
                <w:b/>
                <w:sz w:val="20"/>
              </w:rPr>
              <w:t>Name, Restriction,</w:t>
            </w:r>
          </w:p>
          <w:p w:rsidR="007070CB" w:rsidRDefault="006E2E62">
            <w:pPr>
              <w:keepNext/>
              <w:widowControl/>
              <w:jc w:val="left"/>
              <w:rPr>
                <w:rFonts w:ascii="Arial Narrow" w:hAnsi="Arial Narrow"/>
                <w:b/>
                <w:sz w:val="20"/>
              </w:rPr>
            </w:pPr>
            <w:r>
              <w:rPr>
                <w:rFonts w:ascii="Arial Narrow" w:hAnsi="Arial Narrow"/>
                <w:b/>
                <w:sz w:val="20"/>
              </w:rPr>
              <w:t>Manner of administration and form</w:t>
            </w:r>
          </w:p>
        </w:tc>
        <w:tc>
          <w:tcPr>
            <w:tcW w:w="496" w:type="pct"/>
            <w:vAlign w:val="center"/>
          </w:tcPr>
          <w:p w:rsidR="007070CB" w:rsidRDefault="006E2E62">
            <w:pPr>
              <w:keepNext/>
              <w:widowControl/>
              <w:jc w:val="center"/>
              <w:rPr>
                <w:rFonts w:ascii="Arial Narrow" w:hAnsi="Arial Narrow"/>
                <w:b/>
                <w:sz w:val="20"/>
              </w:rPr>
            </w:pPr>
            <w:r>
              <w:rPr>
                <w:rFonts w:ascii="Arial Narrow" w:hAnsi="Arial Narrow"/>
                <w:b/>
                <w:sz w:val="20"/>
              </w:rPr>
              <w:t>Max.</w:t>
            </w:r>
          </w:p>
          <w:p w:rsidR="007070CB" w:rsidRDefault="006E2E62">
            <w:pPr>
              <w:keepNext/>
              <w:widowControl/>
              <w:jc w:val="center"/>
              <w:rPr>
                <w:rFonts w:ascii="Arial Narrow" w:hAnsi="Arial Narrow"/>
                <w:b/>
                <w:sz w:val="20"/>
              </w:rPr>
            </w:pPr>
            <w:r>
              <w:rPr>
                <w:rFonts w:ascii="Arial Narrow" w:hAnsi="Arial Narrow"/>
                <w:b/>
                <w:sz w:val="20"/>
              </w:rPr>
              <w:t>Qty</w:t>
            </w:r>
          </w:p>
        </w:tc>
        <w:tc>
          <w:tcPr>
            <w:tcW w:w="473" w:type="pct"/>
            <w:vAlign w:val="center"/>
          </w:tcPr>
          <w:p w:rsidR="007070CB" w:rsidRDefault="006E2E62">
            <w:pPr>
              <w:keepNext/>
              <w:widowControl/>
              <w:jc w:val="center"/>
              <w:rPr>
                <w:rFonts w:ascii="Arial Narrow" w:hAnsi="Arial Narrow"/>
                <w:b/>
                <w:sz w:val="20"/>
              </w:rPr>
            </w:pPr>
            <w:r>
              <w:rPr>
                <w:rFonts w:ascii="Arial Narrow" w:hAnsi="Arial Narrow" w:cs="Times New Roman"/>
                <w:b/>
                <w:sz w:val="20"/>
              </w:rPr>
              <w:t>№</w:t>
            </w:r>
            <w:r>
              <w:rPr>
                <w:rFonts w:ascii="Arial Narrow" w:hAnsi="Arial Narrow"/>
                <w:b/>
                <w:sz w:val="20"/>
              </w:rPr>
              <w:t>.of</w:t>
            </w:r>
          </w:p>
          <w:p w:rsidR="007070CB" w:rsidRDefault="006E2E62">
            <w:pPr>
              <w:keepNext/>
              <w:widowControl/>
              <w:jc w:val="center"/>
              <w:rPr>
                <w:rFonts w:ascii="Arial Narrow" w:hAnsi="Arial Narrow"/>
                <w:b/>
                <w:sz w:val="20"/>
              </w:rPr>
            </w:pPr>
            <w:r>
              <w:rPr>
                <w:rFonts w:ascii="Arial Narrow" w:hAnsi="Arial Narrow"/>
                <w:b/>
                <w:sz w:val="20"/>
              </w:rPr>
              <w:t>Rpts</w:t>
            </w:r>
          </w:p>
        </w:tc>
        <w:tc>
          <w:tcPr>
            <w:tcW w:w="869" w:type="pct"/>
            <w:vAlign w:val="center"/>
          </w:tcPr>
          <w:p w:rsidR="007070CB" w:rsidRDefault="006E2E62">
            <w:pPr>
              <w:keepNext/>
              <w:widowControl/>
              <w:jc w:val="center"/>
              <w:rPr>
                <w:rFonts w:ascii="Arial Narrow" w:hAnsi="Arial Narrow"/>
                <w:b/>
                <w:sz w:val="20"/>
              </w:rPr>
            </w:pPr>
            <w:r>
              <w:rPr>
                <w:rFonts w:ascii="Arial Narrow" w:hAnsi="Arial Narrow"/>
                <w:b/>
                <w:sz w:val="20"/>
              </w:rPr>
              <w:t>Dispensed Price for Max. Qty</w:t>
            </w:r>
          </w:p>
        </w:tc>
        <w:tc>
          <w:tcPr>
            <w:tcW w:w="1305" w:type="pct"/>
            <w:gridSpan w:val="2"/>
            <w:vAlign w:val="center"/>
          </w:tcPr>
          <w:p w:rsidR="007070CB" w:rsidRDefault="006E2E62">
            <w:pPr>
              <w:keepNext/>
              <w:widowControl/>
              <w:jc w:val="center"/>
              <w:rPr>
                <w:rFonts w:ascii="Arial Narrow" w:hAnsi="Arial Narrow"/>
                <w:b/>
                <w:sz w:val="20"/>
                <w:lang w:val="fr-FR"/>
              </w:rPr>
            </w:pPr>
            <w:r>
              <w:rPr>
                <w:rFonts w:ascii="Arial Narrow" w:hAnsi="Arial Narrow"/>
                <w:b/>
                <w:sz w:val="20"/>
              </w:rPr>
              <w:t>Proprietary Name and Manufacturer</w:t>
            </w:r>
          </w:p>
        </w:tc>
      </w:tr>
      <w:tr w:rsidR="007070CB" w:rsidTr="00FE09CF">
        <w:trPr>
          <w:trHeight w:val="567"/>
        </w:trPr>
        <w:tc>
          <w:tcPr>
            <w:tcW w:w="1857" w:type="pct"/>
          </w:tcPr>
          <w:p w:rsidR="007070CB" w:rsidRDefault="006E2E62">
            <w:pPr>
              <w:pStyle w:val="Tabletext"/>
              <w:keepNext/>
            </w:pPr>
            <w:r>
              <w:t>LUMACAFTOR/IVACAFTOR</w:t>
            </w:r>
          </w:p>
          <w:p w:rsidR="007070CB" w:rsidRDefault="006E2E62">
            <w:pPr>
              <w:pStyle w:val="Tabletext"/>
              <w:keepNext/>
            </w:pPr>
            <w:r>
              <w:t>Lumacaftor 100 mg/ivacaftor 125 mg granules, 56 sachets</w:t>
            </w:r>
          </w:p>
          <w:p w:rsidR="007070CB" w:rsidRDefault="006E2E62">
            <w:pPr>
              <w:keepNext/>
              <w:widowControl/>
              <w:jc w:val="left"/>
              <w:rPr>
                <w:rFonts w:ascii="Arial Narrow" w:hAnsi="Arial Narrow"/>
                <w:sz w:val="20"/>
              </w:rPr>
            </w:pPr>
            <w:r>
              <w:rPr>
                <w:rFonts w:ascii="Arial Narrow" w:hAnsi="Arial Narrow"/>
                <w:sz w:val="20"/>
              </w:rPr>
              <w:t>Lumacaftor 150 mg/ivacaftor 188 mg granules, 56 sachets</w:t>
            </w:r>
          </w:p>
        </w:tc>
        <w:tc>
          <w:tcPr>
            <w:tcW w:w="496" w:type="pct"/>
          </w:tcPr>
          <w:p w:rsidR="007070CB" w:rsidRDefault="006E2E62">
            <w:pPr>
              <w:keepNext/>
              <w:widowControl/>
              <w:jc w:val="center"/>
              <w:rPr>
                <w:rFonts w:ascii="Arial Narrow" w:hAnsi="Arial Narrow"/>
                <w:sz w:val="20"/>
              </w:rPr>
            </w:pPr>
            <w:r>
              <w:rPr>
                <w:rFonts w:ascii="Arial Narrow" w:hAnsi="Arial Narrow"/>
                <w:sz w:val="20"/>
              </w:rPr>
              <w:t>1</w:t>
            </w:r>
          </w:p>
        </w:tc>
        <w:tc>
          <w:tcPr>
            <w:tcW w:w="473" w:type="pct"/>
          </w:tcPr>
          <w:p w:rsidR="007070CB" w:rsidRDefault="006E2E62">
            <w:pPr>
              <w:keepNext/>
              <w:widowControl/>
              <w:jc w:val="center"/>
              <w:rPr>
                <w:rFonts w:ascii="Arial Narrow" w:hAnsi="Arial Narrow"/>
                <w:sz w:val="20"/>
              </w:rPr>
            </w:pPr>
            <w:r>
              <w:rPr>
                <w:rFonts w:ascii="Arial Narrow" w:hAnsi="Arial Narrow"/>
                <w:sz w:val="20"/>
              </w:rPr>
              <w:t>5</w:t>
            </w:r>
          </w:p>
        </w:tc>
        <w:tc>
          <w:tcPr>
            <w:tcW w:w="869" w:type="pct"/>
          </w:tcPr>
          <w:p w:rsidR="007070CB" w:rsidRDefault="006E2E62">
            <w:pPr>
              <w:pStyle w:val="Tabletext"/>
              <w:keepNext/>
              <w:jc w:val="center"/>
            </w:pPr>
            <w:r>
              <w:t>$</w:t>
            </w:r>
            <w:r w:rsidR="00C42D5F">
              <w:rPr>
                <w:noProof/>
                <w:color w:val="000000"/>
                <w:highlight w:val="black"/>
              </w:rPr>
              <w:t>'''''''''''''''</w:t>
            </w:r>
          </w:p>
        </w:tc>
        <w:tc>
          <w:tcPr>
            <w:tcW w:w="551" w:type="pct"/>
          </w:tcPr>
          <w:p w:rsidR="007070CB" w:rsidRDefault="006E2E62">
            <w:pPr>
              <w:keepNext/>
              <w:widowControl/>
              <w:jc w:val="center"/>
              <w:rPr>
                <w:rFonts w:ascii="Arial Narrow" w:hAnsi="Arial Narrow"/>
                <w:sz w:val="20"/>
              </w:rPr>
            </w:pPr>
            <w:r>
              <w:rPr>
                <w:rFonts w:ascii="Arial Narrow" w:hAnsi="Arial Narrow"/>
                <w:sz w:val="20"/>
              </w:rPr>
              <w:t>Orkambi®</w:t>
            </w:r>
          </w:p>
        </w:tc>
        <w:tc>
          <w:tcPr>
            <w:tcW w:w="754" w:type="pct"/>
          </w:tcPr>
          <w:p w:rsidR="007070CB" w:rsidRDefault="006E2E62">
            <w:pPr>
              <w:keepNext/>
              <w:widowControl/>
              <w:jc w:val="center"/>
              <w:rPr>
                <w:rFonts w:ascii="Arial Narrow" w:hAnsi="Arial Narrow"/>
                <w:sz w:val="20"/>
              </w:rPr>
            </w:pPr>
            <w:r>
              <w:rPr>
                <w:rFonts w:ascii="Arial Narrow" w:hAnsi="Arial Narrow"/>
                <w:sz w:val="20"/>
              </w:rPr>
              <w:t>Vertex Pharmaceuticals</w:t>
            </w:r>
          </w:p>
        </w:tc>
      </w:tr>
      <w:tr w:rsidR="007070CB" w:rsidTr="00FE09CF">
        <w:tblPrEx>
          <w:tblLook w:val="04A0" w:firstRow="1" w:lastRow="0" w:firstColumn="1" w:lastColumn="0" w:noHBand="0" w:noVBand="1"/>
        </w:tblPrEx>
        <w:trPr>
          <w:trHeight w:val="20"/>
        </w:trPr>
        <w:tc>
          <w:tcPr>
            <w:tcW w:w="5000" w:type="pct"/>
            <w:gridSpan w:val="6"/>
            <w:hideMark/>
          </w:tcPr>
          <w:p w:rsidR="007070CB" w:rsidRDefault="006E2E62">
            <w:pPr>
              <w:keepNext/>
              <w:widowControl/>
              <w:jc w:val="left"/>
              <w:rPr>
                <w:rFonts w:ascii="Arial Narrow" w:hAnsi="Arial Narrow"/>
                <w:b/>
                <w:sz w:val="20"/>
                <w:u w:val="single"/>
                <w:lang w:val="en-US"/>
              </w:rPr>
            </w:pPr>
            <w:r>
              <w:rPr>
                <w:rFonts w:ascii="Arial Narrow" w:hAnsi="Arial Narrow"/>
                <w:b/>
                <w:sz w:val="20"/>
                <w:u w:val="single"/>
                <w:lang w:val="en-US"/>
              </w:rPr>
              <w:t xml:space="preserve">Section 100 (Highly </w:t>
            </w:r>
            <w:r>
              <w:rPr>
                <w:rFonts w:ascii="Arial Narrow" w:hAnsi="Arial Narrow"/>
                <w:b/>
                <w:sz w:val="20"/>
                <w:u w:val="single"/>
              </w:rPr>
              <w:t>Specialised</w:t>
            </w:r>
            <w:r>
              <w:rPr>
                <w:rFonts w:ascii="Arial Narrow" w:hAnsi="Arial Narrow"/>
                <w:b/>
                <w:sz w:val="20"/>
                <w:u w:val="single"/>
                <w:lang w:val="en-US"/>
              </w:rPr>
              <w:t xml:space="preserve"> Drugs Program) Authority required</w:t>
            </w:r>
          </w:p>
          <w:p w:rsidR="007070CB" w:rsidRDefault="006E2E62">
            <w:pPr>
              <w:pStyle w:val="Tabletext"/>
              <w:keepNext/>
              <w:rPr>
                <w:lang w:eastAsia="en-AU"/>
              </w:rPr>
            </w:pPr>
            <w:r>
              <w:t xml:space="preserve">Treatment of cystic fibrosis in patients aged </w:t>
            </w:r>
            <w:r>
              <w:rPr>
                <w:rFonts w:cs="Calibri"/>
                <w:szCs w:val="20"/>
                <w:lang w:val="en-US"/>
              </w:rPr>
              <w:t>≥</w:t>
            </w:r>
            <w:r>
              <w:rPr>
                <w:szCs w:val="20"/>
                <w:lang w:val="en-US"/>
              </w:rPr>
              <w:t xml:space="preserve">2 </w:t>
            </w:r>
            <w:r>
              <w:t>years</w:t>
            </w:r>
            <w:r w:rsidR="00FE7D84">
              <w:rPr>
                <w:szCs w:val="20"/>
                <w:lang w:val="en-US"/>
              </w:rPr>
              <w:t xml:space="preserve"> </w:t>
            </w:r>
            <w:r>
              <w:t>who are homozygous for the F508del mutation in the CFTR gene</w:t>
            </w:r>
          </w:p>
        </w:tc>
      </w:tr>
    </w:tbl>
    <w:p w:rsidR="007070CB" w:rsidRDefault="007070CB">
      <w:pPr>
        <w:pStyle w:val="TableFooter"/>
        <w:widowControl/>
      </w:pPr>
    </w:p>
    <w:p w:rsidR="007070CB" w:rsidRDefault="006E2E62">
      <w:pPr>
        <w:pStyle w:val="ListParagraph"/>
        <w:widowControl/>
        <w:numPr>
          <w:ilvl w:val="1"/>
          <w:numId w:val="1"/>
        </w:numPr>
      </w:pPr>
      <w:r>
        <w:t>The submission requested listing for patients aged 2 years and over. This would potentially allow use of the granules in children aged 6 years and over who might otherwise qualify for access to lumacaftor/ivacaftor tablets. However, the cost per mg associated with the granules is higher than that associated with the tablets such that use of granules in a child over five years of age who could otherwise access lumacaftor/ivacaftor tablets would be less cost-effective. The evaluation considered that it may be appropriate to restrict use of the granules to children between the ages of 2 and 5 years. The PSCR</w:t>
      </w:r>
      <w:r w:rsidR="00FE7D84">
        <w:t xml:space="preserve"> </w:t>
      </w:r>
      <w:r>
        <w:t xml:space="preserve">stated the sponsor would be open to discussing an arrangement similar to ivacaftor granules, where the additional cost is rebated for paediatric patients aged more than 5 years old. </w:t>
      </w:r>
    </w:p>
    <w:p w:rsidR="007070CB" w:rsidRDefault="006E2E62">
      <w:pPr>
        <w:pStyle w:val="ListParagraph"/>
        <w:widowControl/>
        <w:numPr>
          <w:ilvl w:val="1"/>
          <w:numId w:val="1"/>
        </w:numPr>
      </w:pPr>
      <w:r>
        <w:t>Administration of lumacaftor/ivacaftor granules mixed with food presents a wastage risk in very young children (potentially through regurgitation of/refusal to eat lumacaftor/ivacaftor mixed with food, and drug stability of only one hour when mixed). This would be anticipated to affect the cost-effectiveness of lumacaftor/ivacaftor in clinical practice in this setting insofar as more drug would be required to achieve the claimed effect. The PSCR</w:t>
      </w:r>
      <w:r w:rsidR="00FE7D84">
        <w:t xml:space="preserve"> </w:t>
      </w:r>
      <w:r>
        <w:t>stated that “based on experience with the Australian clinical trial patients in this age group (2–5 years), Vertex are not aware of an issue regarding inability to swallow the treatment. Furthermore, the sweat chloride results…clearly indicate that the treatment is being swallowed and absorbed effectively.”</w:t>
      </w:r>
    </w:p>
    <w:p w:rsidR="007070CB" w:rsidRDefault="006E2E62">
      <w:pPr>
        <w:pStyle w:val="ListParagraph"/>
        <w:widowControl/>
        <w:numPr>
          <w:ilvl w:val="1"/>
          <w:numId w:val="1"/>
        </w:numPr>
      </w:pPr>
      <w:r>
        <w:t xml:space="preserve">No special pricing arrangements were proposed in the submission; however, consistent with the Risk Sharing Arrangement (RSA) under the current Deed of Agreement for lumacaftor/ivacaftor, the submission proposed </w:t>
      </w:r>
      <w:r>
        <w:rPr>
          <w:lang w:val="en-GB" w:eastAsia="en-GB"/>
        </w:rPr>
        <w:t xml:space="preserve">a reduction in the gross cost of lumacaftor/ivacaftor granules via a subsidisation cap. </w:t>
      </w:r>
      <w:r>
        <w:rPr>
          <w:lang w:eastAsia="en-GB"/>
        </w:rPr>
        <w:t>While the submission stated that the intent of the proposed RSA was to achieve a price of $</w:t>
      </w:r>
      <w:r w:rsidR="00C42D5F">
        <w:rPr>
          <w:noProof/>
          <w:color w:val="000000"/>
          <w:highlight w:val="black"/>
          <w:lang w:eastAsia="en-GB"/>
        </w:rPr>
        <w:t>''''''''''''''</w:t>
      </w:r>
      <w:r>
        <w:rPr>
          <w:lang w:eastAsia="en-GB"/>
        </w:rPr>
        <w:t xml:space="preserve"> per patient per year, the ESC noted there was a significant risk that the Government would pay a higher amount per full-time equivalent (FTE) patient (see </w:t>
      </w:r>
      <w:r>
        <w:rPr>
          <w:i/>
          <w:lang w:eastAsia="en-GB"/>
        </w:rPr>
        <w:t>Financial Management – Risk Sharing Arrangements</w:t>
      </w:r>
      <w:r>
        <w:rPr>
          <w:lang w:eastAsia="en-GB"/>
        </w:rPr>
        <w:t xml:space="preserve"> in section 6 for further details).</w:t>
      </w:r>
    </w:p>
    <w:p w:rsidR="007070CB" w:rsidRDefault="006E2E62">
      <w:pPr>
        <w:pStyle w:val="ListParagraph"/>
        <w:widowControl/>
        <w:rPr>
          <w:i/>
        </w:rPr>
      </w:pPr>
      <w:r>
        <w:rPr>
          <w:i/>
        </w:rPr>
        <w:t>For more detail on PBAC’s view, see section 7 PBAC outcome.</w:t>
      </w:r>
    </w:p>
    <w:p w:rsidR="007070CB" w:rsidRDefault="006E2E62">
      <w:pPr>
        <w:pStyle w:val="PBACHeading1"/>
        <w:keepNext w:val="0"/>
      </w:pPr>
      <w:bookmarkStart w:id="4" w:name="_Toc6931315"/>
      <w:bookmarkStart w:id="5" w:name="_Toc9335651"/>
      <w:r>
        <w:lastRenderedPageBreak/>
        <w:t>Background</w:t>
      </w:r>
      <w:bookmarkEnd w:id="4"/>
      <w:bookmarkEnd w:id="5"/>
    </w:p>
    <w:p w:rsidR="007070CB" w:rsidRDefault="006E2E62">
      <w:pPr>
        <w:pStyle w:val="Heading2"/>
        <w:keepNext w:val="0"/>
      </w:pPr>
      <w:bookmarkStart w:id="6" w:name="_Toc9335652"/>
      <w:r>
        <w:t>Registration status</w:t>
      </w:r>
      <w:bookmarkEnd w:id="6"/>
    </w:p>
    <w:p w:rsidR="007070CB" w:rsidRDefault="006E2E62">
      <w:pPr>
        <w:pStyle w:val="ListParagraph"/>
        <w:widowControl/>
        <w:numPr>
          <w:ilvl w:val="1"/>
          <w:numId w:val="1"/>
        </w:numPr>
      </w:pPr>
      <w:r>
        <w:rPr>
          <w:rFonts w:eastAsia="Calibri"/>
          <w:b/>
        </w:rPr>
        <w:t>TGA status at time of PBAC advice</w:t>
      </w:r>
      <w:r>
        <w:rPr>
          <w:rFonts w:eastAsia="Calibri"/>
        </w:rPr>
        <w:t>: Lumacaftor/ivacaftor granules were TGA registered on 21 June 2019 for the treatment of cystic fibrosis in patients aged 2 to 5 years who are homozygous for the F508del mutation in the CFTR gene</w:t>
      </w:r>
      <w:r>
        <w:t xml:space="preserve">. </w:t>
      </w:r>
    </w:p>
    <w:p w:rsidR="007070CB" w:rsidRDefault="006E2E62">
      <w:pPr>
        <w:pStyle w:val="Heading2"/>
        <w:keepNext w:val="0"/>
      </w:pPr>
      <w:bookmarkStart w:id="7" w:name="_Toc9335653"/>
      <w:r>
        <w:t>Previous PBAC considerations</w:t>
      </w:r>
      <w:bookmarkEnd w:id="7"/>
    </w:p>
    <w:p w:rsidR="007070CB" w:rsidRDefault="006E2E62">
      <w:pPr>
        <w:pStyle w:val="ListParagraph"/>
        <w:widowControl/>
        <w:numPr>
          <w:ilvl w:val="1"/>
          <w:numId w:val="1"/>
        </w:numPr>
      </w:pPr>
      <w:r>
        <w:t xml:space="preserve">The PBAC has considered submissions for lumacaftor/ivacaftor for use in patients aged 12 years and older on four separate occasions, and for use in patients 6 years and older on one occasion. The submission for lumacaftor/ivacaftor for patients aged 6 to 11 years and the fourth submission for patients aged 12 years and over were considered concurrently and recommended by the PBAC in July 2018. </w:t>
      </w:r>
    </w:p>
    <w:p w:rsidR="007070CB" w:rsidRDefault="006E2E62">
      <w:pPr>
        <w:pStyle w:val="ListParagraph"/>
        <w:widowControl/>
        <w:numPr>
          <w:ilvl w:val="1"/>
          <w:numId w:val="1"/>
        </w:numPr>
      </w:pPr>
      <w:r>
        <w:t xml:space="preserve">A frame of reference was prepared for the current submission (2 to 5 year olds) with the evidence previously considered by the PBAC for those aged 6 years and older; see Table 3. </w:t>
      </w:r>
    </w:p>
    <w:p w:rsidR="00FE09CF" w:rsidRDefault="00FE09CF" w:rsidP="00FE09CF">
      <w:pPr>
        <w:pStyle w:val="PBACTableText"/>
      </w:pPr>
      <w:r>
        <w:t xml:space="preserve">Table </w:t>
      </w:r>
      <w:r w:rsidR="00AF1977">
        <w:rPr>
          <w:noProof/>
        </w:rPr>
        <w:t>3</w:t>
      </w:r>
      <w:r w:rsidRPr="008D7FD8">
        <w:t>:</w:t>
      </w:r>
      <w:r w:rsidR="00FE7D84">
        <w:t xml:space="preserve"> </w:t>
      </w:r>
      <w:r w:rsidRPr="008D7FD8">
        <w:t>Comparison of key clinical and safety data across lumacaftor/ivacaftor (re)submissions</w:t>
      </w:r>
    </w:p>
    <w:tbl>
      <w:tblPr>
        <w:tblStyle w:val="HTATableshaded"/>
        <w:tblW w:w="5000" w:type="pct"/>
        <w:tblLook w:val="04A0" w:firstRow="1" w:lastRow="0" w:firstColumn="1" w:lastColumn="0" w:noHBand="0" w:noVBand="1"/>
        <w:tblCaption w:val="Table 3:  Comparison of key clinical and safety data across lumacaftor/ivacaftor (re)submissions"/>
      </w:tblPr>
      <w:tblGrid>
        <w:gridCol w:w="1555"/>
        <w:gridCol w:w="4011"/>
        <w:gridCol w:w="3451"/>
      </w:tblGrid>
      <w:tr w:rsidR="007070CB" w:rsidTr="007070CB">
        <w:trPr>
          <w:cnfStyle w:val="100000000000" w:firstRow="1" w:lastRow="0" w:firstColumn="0" w:lastColumn="0" w:oddVBand="0" w:evenVBand="0" w:oddHBand="0" w:evenHBand="0" w:firstRowFirstColumn="0" w:firstRowLastColumn="0" w:lastRowFirstColumn="0" w:lastRowLastColumn="0"/>
          <w:cantSplit/>
          <w:tblHeader/>
        </w:trPr>
        <w:tc>
          <w:tcPr>
            <w:tcW w:w="1555" w:type="dxa"/>
          </w:tcPr>
          <w:p w:rsidR="007070CB" w:rsidRDefault="006E2E62">
            <w:pPr>
              <w:widowControl/>
              <w:spacing w:before="0" w:after="0"/>
              <w:jc w:val="left"/>
              <w:rPr>
                <w:rFonts w:ascii="Arial Narrow" w:hAnsi="Arial Narrow"/>
                <w:b/>
                <w:sz w:val="20"/>
              </w:rPr>
            </w:pPr>
            <w:r>
              <w:rPr>
                <w:rFonts w:ascii="Arial Narrow" w:hAnsi="Arial Narrow"/>
                <w:b/>
                <w:sz w:val="20"/>
              </w:rPr>
              <w:t>Component</w:t>
            </w:r>
          </w:p>
        </w:tc>
        <w:tc>
          <w:tcPr>
            <w:tcW w:w="4011" w:type="dxa"/>
          </w:tcPr>
          <w:p w:rsidR="007070CB" w:rsidRDefault="006E2E62">
            <w:pPr>
              <w:widowControl/>
              <w:spacing w:before="0" w:after="0"/>
              <w:jc w:val="center"/>
              <w:rPr>
                <w:rFonts w:ascii="Arial Narrow" w:hAnsi="Arial Narrow"/>
                <w:b/>
                <w:sz w:val="20"/>
              </w:rPr>
            </w:pPr>
            <w:r>
              <w:rPr>
                <w:rFonts w:ascii="Arial Narrow" w:hAnsi="Arial Narrow"/>
                <w:b/>
                <w:sz w:val="20"/>
              </w:rPr>
              <w:t>(Re)submissions March 2016, November 2016, July 2017 and July 2018: aged ≥ 6 years</w:t>
            </w:r>
          </w:p>
        </w:tc>
        <w:tc>
          <w:tcPr>
            <w:tcW w:w="3451" w:type="dxa"/>
          </w:tcPr>
          <w:p w:rsidR="007070CB" w:rsidRDefault="006E2E62">
            <w:pPr>
              <w:widowControl/>
              <w:spacing w:before="0" w:after="0"/>
              <w:jc w:val="center"/>
              <w:rPr>
                <w:rFonts w:ascii="Arial Narrow" w:hAnsi="Arial Narrow"/>
                <w:b/>
                <w:sz w:val="20"/>
              </w:rPr>
            </w:pPr>
            <w:r>
              <w:rPr>
                <w:rFonts w:ascii="Arial Narrow" w:hAnsi="Arial Narrow"/>
                <w:b/>
                <w:sz w:val="20"/>
              </w:rPr>
              <w:t xml:space="preserve">Current submission: July 2019: </w:t>
            </w:r>
            <w:r>
              <w:rPr>
                <w:rFonts w:ascii="Arial Narrow" w:hAnsi="Arial Narrow"/>
                <w:b/>
                <w:sz w:val="20"/>
              </w:rPr>
              <w:br/>
              <w:t>2 to 5 years</w:t>
            </w:r>
          </w:p>
        </w:tc>
      </w:tr>
      <w:tr w:rsidR="007070CB" w:rsidTr="007070CB">
        <w:trPr>
          <w:cantSplit/>
        </w:trPr>
        <w:tc>
          <w:tcPr>
            <w:tcW w:w="1555" w:type="dxa"/>
          </w:tcPr>
          <w:p w:rsidR="007070CB" w:rsidRDefault="006E2E62">
            <w:pPr>
              <w:widowControl/>
              <w:spacing w:before="0" w:after="0"/>
              <w:contextualSpacing/>
              <w:jc w:val="left"/>
              <w:rPr>
                <w:rFonts w:ascii="Arial Narrow" w:hAnsi="Arial Narrow"/>
                <w:sz w:val="20"/>
              </w:rPr>
            </w:pPr>
            <w:r>
              <w:rPr>
                <w:rFonts w:ascii="Arial Narrow" w:hAnsi="Arial Narrow"/>
                <w:sz w:val="20"/>
              </w:rPr>
              <w:t>Indication</w:t>
            </w:r>
          </w:p>
        </w:tc>
        <w:tc>
          <w:tcPr>
            <w:tcW w:w="4011" w:type="dxa"/>
          </w:tcPr>
          <w:p w:rsidR="007070CB" w:rsidRDefault="006E2E62">
            <w:pPr>
              <w:widowControl/>
              <w:spacing w:before="0" w:after="0"/>
              <w:contextualSpacing/>
              <w:jc w:val="left"/>
              <w:rPr>
                <w:rFonts w:ascii="Arial Narrow" w:hAnsi="Arial Narrow"/>
                <w:sz w:val="20"/>
              </w:rPr>
            </w:pPr>
            <w:r>
              <w:rPr>
                <w:rFonts w:ascii="Arial Narrow" w:hAnsi="Arial Narrow"/>
                <w:sz w:val="20"/>
              </w:rPr>
              <w:t>CF patients homozygous for the F508del mutation in the CFTR gene aged:</w:t>
            </w:r>
          </w:p>
          <w:p w:rsidR="007070CB" w:rsidRDefault="006E2E62">
            <w:pPr>
              <w:pStyle w:val="ListParagraph"/>
              <w:widowControl/>
              <w:numPr>
                <w:ilvl w:val="0"/>
                <w:numId w:val="8"/>
              </w:numPr>
              <w:spacing w:before="0" w:after="0"/>
              <w:ind w:left="269" w:hanging="252"/>
              <w:contextualSpacing/>
              <w:jc w:val="left"/>
              <w:rPr>
                <w:rFonts w:ascii="Arial Narrow" w:hAnsi="Arial Narrow" w:cs="Times New Roman"/>
                <w:sz w:val="20"/>
                <w:szCs w:val="18"/>
                <w:lang w:eastAsia="en-AU"/>
              </w:rPr>
            </w:pPr>
            <w:r>
              <w:rPr>
                <w:rFonts w:ascii="Arial Narrow" w:hAnsi="Arial Narrow" w:cs="Times New Roman"/>
                <w:sz w:val="20"/>
                <w:szCs w:val="18"/>
                <w:lang w:eastAsia="en-AU"/>
              </w:rPr>
              <w:t xml:space="preserve">6 to 11 years; and </w:t>
            </w:r>
          </w:p>
          <w:p w:rsidR="007070CB" w:rsidRDefault="006E2E62">
            <w:pPr>
              <w:pStyle w:val="ListParagraph"/>
              <w:widowControl/>
              <w:numPr>
                <w:ilvl w:val="0"/>
                <w:numId w:val="8"/>
              </w:numPr>
              <w:spacing w:before="0" w:after="0"/>
              <w:ind w:left="269" w:hanging="252"/>
              <w:contextualSpacing/>
              <w:jc w:val="left"/>
              <w:rPr>
                <w:rFonts w:ascii="Arial Narrow" w:hAnsi="Arial Narrow" w:cs="Times New Roman"/>
                <w:sz w:val="20"/>
                <w:szCs w:val="18"/>
                <w:lang w:eastAsia="en-AU"/>
              </w:rPr>
            </w:pPr>
            <w:r>
              <w:rPr>
                <w:rFonts w:ascii="Arial Narrow" w:hAnsi="Arial Narrow" w:cs="Times New Roman"/>
                <w:sz w:val="20"/>
                <w:szCs w:val="18"/>
                <w:lang w:eastAsia="en-AU"/>
              </w:rPr>
              <w:t xml:space="preserve">12 and older. </w:t>
            </w:r>
          </w:p>
        </w:tc>
        <w:tc>
          <w:tcPr>
            <w:tcW w:w="3451" w:type="dxa"/>
          </w:tcPr>
          <w:p w:rsidR="007070CB" w:rsidRDefault="006E2E62">
            <w:pPr>
              <w:widowControl/>
              <w:spacing w:before="0" w:after="0"/>
              <w:contextualSpacing/>
              <w:jc w:val="left"/>
              <w:rPr>
                <w:rFonts w:ascii="Arial Narrow" w:hAnsi="Arial Narrow"/>
                <w:sz w:val="20"/>
              </w:rPr>
            </w:pPr>
            <w:r>
              <w:rPr>
                <w:rFonts w:ascii="Arial Narrow" w:hAnsi="Arial Narrow"/>
                <w:sz w:val="20"/>
              </w:rPr>
              <w:t>CF patients homozygous for the F508del mutation in the CFTR gene aged:</w:t>
            </w:r>
          </w:p>
          <w:p w:rsidR="007070CB" w:rsidRDefault="006E2E62">
            <w:pPr>
              <w:pStyle w:val="ListParagraph"/>
              <w:widowControl/>
              <w:numPr>
                <w:ilvl w:val="0"/>
                <w:numId w:val="8"/>
              </w:numPr>
              <w:spacing w:before="0" w:after="0"/>
              <w:ind w:left="269" w:hanging="252"/>
              <w:contextualSpacing/>
              <w:jc w:val="left"/>
              <w:rPr>
                <w:rFonts w:ascii="Arial Narrow" w:hAnsi="Arial Narrow"/>
                <w:sz w:val="20"/>
              </w:rPr>
            </w:pPr>
            <w:r>
              <w:rPr>
                <w:rFonts w:ascii="Arial Narrow" w:hAnsi="Arial Narrow"/>
                <w:sz w:val="20"/>
              </w:rPr>
              <w:t>2</w:t>
            </w:r>
            <w:r>
              <w:rPr>
                <w:rFonts w:ascii="Arial Narrow" w:hAnsi="Arial Narrow" w:cs="Times New Roman"/>
                <w:sz w:val="20"/>
                <w:szCs w:val="18"/>
                <w:lang w:eastAsia="en-AU"/>
              </w:rPr>
              <w:t xml:space="preserve"> to </w:t>
            </w:r>
            <w:r>
              <w:rPr>
                <w:rFonts w:ascii="Arial Narrow" w:hAnsi="Arial Narrow"/>
                <w:sz w:val="20"/>
              </w:rPr>
              <w:t>5</w:t>
            </w:r>
            <w:r>
              <w:rPr>
                <w:rFonts w:ascii="Arial Narrow" w:hAnsi="Arial Narrow" w:cs="Times New Roman"/>
                <w:sz w:val="20"/>
                <w:szCs w:val="18"/>
                <w:lang w:eastAsia="en-AU"/>
              </w:rPr>
              <w:t xml:space="preserve"> years</w:t>
            </w:r>
            <w:r>
              <w:rPr>
                <w:rFonts w:ascii="Arial Narrow" w:hAnsi="Arial Narrow"/>
                <w:sz w:val="20"/>
              </w:rPr>
              <w:t xml:space="preserve">. </w:t>
            </w:r>
          </w:p>
        </w:tc>
      </w:tr>
      <w:tr w:rsidR="007070CB" w:rsidTr="007070CB">
        <w:trPr>
          <w:cantSplit/>
        </w:trPr>
        <w:tc>
          <w:tcPr>
            <w:tcW w:w="1555" w:type="dxa"/>
          </w:tcPr>
          <w:p w:rsidR="007070CB" w:rsidRDefault="006E2E62">
            <w:pPr>
              <w:widowControl/>
              <w:spacing w:before="0" w:after="0"/>
              <w:contextualSpacing/>
              <w:jc w:val="left"/>
              <w:rPr>
                <w:rFonts w:ascii="Arial Narrow" w:hAnsi="Arial Narrow"/>
                <w:sz w:val="20"/>
              </w:rPr>
            </w:pPr>
            <w:r>
              <w:rPr>
                <w:rFonts w:ascii="Arial Narrow" w:hAnsi="Arial Narrow"/>
                <w:sz w:val="20"/>
              </w:rPr>
              <w:t>Dose and recommended course of treatment</w:t>
            </w:r>
          </w:p>
        </w:tc>
        <w:tc>
          <w:tcPr>
            <w:tcW w:w="4011" w:type="dxa"/>
          </w:tcPr>
          <w:p w:rsidR="007070CB" w:rsidRDefault="006E2E62">
            <w:pPr>
              <w:pStyle w:val="ListParagraph"/>
              <w:widowControl/>
              <w:numPr>
                <w:ilvl w:val="0"/>
                <w:numId w:val="8"/>
              </w:numPr>
              <w:spacing w:before="0" w:after="0"/>
              <w:ind w:left="269" w:hanging="252"/>
              <w:contextualSpacing/>
              <w:jc w:val="left"/>
              <w:rPr>
                <w:rFonts w:ascii="Arial Narrow" w:hAnsi="Arial Narrow"/>
                <w:sz w:val="20"/>
              </w:rPr>
            </w:pPr>
            <w:r>
              <w:rPr>
                <w:rFonts w:ascii="Arial Narrow" w:hAnsi="Arial Narrow" w:cs="Times New Roman"/>
                <w:sz w:val="20"/>
                <w:szCs w:val="18"/>
                <w:lang w:eastAsia="en-AU"/>
              </w:rPr>
              <w:t>6 to 11 years</w:t>
            </w:r>
            <w:r>
              <w:rPr>
                <w:rFonts w:ascii="Arial Narrow" w:hAnsi="Arial Narrow"/>
                <w:sz w:val="20"/>
              </w:rPr>
              <w:t>: 2 tablets q12h (luma 200 mg/iva 125 mg)</w:t>
            </w:r>
          </w:p>
          <w:p w:rsidR="007070CB" w:rsidRDefault="006E2E62">
            <w:pPr>
              <w:pStyle w:val="ListParagraph"/>
              <w:widowControl/>
              <w:numPr>
                <w:ilvl w:val="0"/>
                <w:numId w:val="8"/>
              </w:numPr>
              <w:spacing w:before="0" w:after="0"/>
              <w:ind w:left="269" w:hanging="252"/>
              <w:contextualSpacing/>
              <w:jc w:val="left"/>
              <w:rPr>
                <w:rFonts w:ascii="Arial Narrow" w:hAnsi="Arial Narrow"/>
                <w:sz w:val="20"/>
              </w:rPr>
            </w:pPr>
            <w:r>
              <w:rPr>
                <w:rFonts w:ascii="Arial Narrow" w:hAnsi="Arial Narrow" w:cs="Times New Roman"/>
                <w:sz w:val="20"/>
                <w:szCs w:val="18"/>
                <w:lang w:eastAsia="en-AU"/>
              </w:rPr>
              <w:t>12 and older</w:t>
            </w:r>
            <w:r>
              <w:rPr>
                <w:rFonts w:ascii="Arial Narrow" w:hAnsi="Arial Narrow"/>
                <w:sz w:val="20"/>
              </w:rPr>
              <w:t>: 2 tablets q12h (luma 100 mg/iva 125 mg)</w:t>
            </w:r>
          </w:p>
        </w:tc>
        <w:tc>
          <w:tcPr>
            <w:tcW w:w="3451" w:type="dxa"/>
          </w:tcPr>
          <w:p w:rsidR="007070CB" w:rsidRDefault="006E2E62">
            <w:pPr>
              <w:widowControl/>
              <w:spacing w:before="0" w:after="0"/>
              <w:ind w:left="17"/>
              <w:jc w:val="left"/>
              <w:rPr>
                <w:rFonts w:ascii="Arial Narrow" w:hAnsi="Arial Narrow"/>
                <w:sz w:val="20"/>
              </w:rPr>
            </w:pPr>
            <w:r>
              <w:rPr>
                <w:rFonts w:ascii="Arial Narrow" w:hAnsi="Arial Narrow"/>
                <w:sz w:val="20"/>
              </w:rPr>
              <w:t xml:space="preserve">Weight based dosing, </w:t>
            </w:r>
            <w:r>
              <w:rPr>
                <w:rFonts w:ascii="Arial Narrow" w:hAnsi="Arial Narrow" w:cs="Times New Roman"/>
                <w:sz w:val="20"/>
                <w:szCs w:val="18"/>
                <w:lang w:eastAsia="en-AU"/>
              </w:rPr>
              <w:t xml:space="preserve">2 to 5 years: </w:t>
            </w:r>
          </w:p>
          <w:p w:rsidR="007070CB" w:rsidRDefault="006E2E62">
            <w:pPr>
              <w:pStyle w:val="ListParagraph"/>
              <w:widowControl/>
              <w:numPr>
                <w:ilvl w:val="0"/>
                <w:numId w:val="8"/>
              </w:numPr>
              <w:spacing w:before="0" w:after="0"/>
              <w:ind w:left="269" w:hanging="252"/>
              <w:contextualSpacing/>
              <w:jc w:val="left"/>
              <w:rPr>
                <w:rFonts w:ascii="Arial Narrow" w:hAnsi="Arial Narrow"/>
                <w:sz w:val="20"/>
              </w:rPr>
            </w:pPr>
            <w:r>
              <w:rPr>
                <w:rFonts w:ascii="Arial Narrow" w:hAnsi="Arial Narrow"/>
                <w:sz w:val="20"/>
              </w:rPr>
              <w:t>&lt;14 kg: 1 sachet</w:t>
            </w:r>
            <w:r>
              <w:rPr>
                <w:rFonts w:ascii="Arial Narrow" w:hAnsi="Arial Narrow" w:cs="Times New Roman"/>
                <w:sz w:val="20"/>
                <w:szCs w:val="18"/>
                <w:lang w:eastAsia="en-AU"/>
              </w:rPr>
              <w:t xml:space="preserve"> q12h (luma </w:t>
            </w:r>
            <w:r>
              <w:rPr>
                <w:rFonts w:ascii="Arial Narrow" w:hAnsi="Arial Narrow"/>
                <w:sz w:val="20"/>
              </w:rPr>
              <w:t>1</w:t>
            </w:r>
            <w:r>
              <w:rPr>
                <w:rFonts w:ascii="Arial Narrow" w:hAnsi="Arial Narrow" w:cs="Times New Roman"/>
                <w:sz w:val="20"/>
                <w:szCs w:val="18"/>
                <w:lang w:eastAsia="en-AU"/>
              </w:rPr>
              <w:t>00 mg/iva 125 mg)</w:t>
            </w:r>
          </w:p>
          <w:p w:rsidR="007070CB" w:rsidRDefault="006E2E62">
            <w:pPr>
              <w:pStyle w:val="ListParagraph"/>
              <w:widowControl/>
              <w:numPr>
                <w:ilvl w:val="0"/>
                <w:numId w:val="8"/>
              </w:numPr>
              <w:spacing w:before="0" w:after="0"/>
              <w:ind w:left="269" w:hanging="252"/>
              <w:contextualSpacing/>
              <w:jc w:val="left"/>
              <w:rPr>
                <w:rFonts w:ascii="Arial Narrow" w:hAnsi="Arial Narrow"/>
                <w:sz w:val="20"/>
              </w:rPr>
            </w:pPr>
            <w:r>
              <w:rPr>
                <w:rFonts w:ascii="Arial Narrow" w:hAnsi="Arial Narrow"/>
                <w:sz w:val="20"/>
              </w:rPr>
              <w:t>≥14 kg: 1 sachet</w:t>
            </w:r>
            <w:r>
              <w:rPr>
                <w:rFonts w:ascii="Arial Narrow" w:hAnsi="Arial Narrow" w:cs="Times New Roman"/>
                <w:sz w:val="20"/>
                <w:szCs w:val="18"/>
                <w:lang w:eastAsia="en-AU"/>
              </w:rPr>
              <w:t xml:space="preserve"> q12h (luma </w:t>
            </w:r>
            <w:r>
              <w:rPr>
                <w:rFonts w:ascii="Arial Narrow" w:hAnsi="Arial Narrow"/>
                <w:sz w:val="20"/>
              </w:rPr>
              <w:t>15</w:t>
            </w:r>
            <w:r>
              <w:rPr>
                <w:rFonts w:ascii="Arial Narrow" w:hAnsi="Arial Narrow" w:cs="Times New Roman"/>
                <w:sz w:val="20"/>
                <w:szCs w:val="18"/>
                <w:lang w:eastAsia="en-AU"/>
              </w:rPr>
              <w:t>0 mg/iva 1</w:t>
            </w:r>
            <w:r>
              <w:rPr>
                <w:rFonts w:ascii="Arial Narrow" w:hAnsi="Arial Narrow"/>
                <w:sz w:val="20"/>
              </w:rPr>
              <w:t>88</w:t>
            </w:r>
            <w:r>
              <w:rPr>
                <w:rFonts w:ascii="Arial Narrow" w:hAnsi="Arial Narrow" w:cs="Times New Roman"/>
                <w:sz w:val="20"/>
                <w:szCs w:val="18"/>
                <w:lang w:eastAsia="en-AU"/>
              </w:rPr>
              <w:t> mg)</w:t>
            </w:r>
          </w:p>
        </w:tc>
      </w:tr>
      <w:tr w:rsidR="007070CB" w:rsidTr="007070CB">
        <w:trPr>
          <w:cantSplit/>
          <w:trHeight w:val="362"/>
        </w:trPr>
        <w:tc>
          <w:tcPr>
            <w:tcW w:w="1555" w:type="dxa"/>
          </w:tcPr>
          <w:p w:rsidR="007070CB" w:rsidRDefault="006E2E62">
            <w:pPr>
              <w:widowControl/>
              <w:spacing w:before="0" w:after="0"/>
              <w:contextualSpacing/>
              <w:jc w:val="left"/>
              <w:rPr>
                <w:rFonts w:ascii="Arial Narrow" w:hAnsi="Arial Narrow"/>
                <w:sz w:val="20"/>
              </w:rPr>
            </w:pPr>
            <w:r>
              <w:rPr>
                <w:rFonts w:ascii="Arial Narrow" w:hAnsi="Arial Narrow"/>
                <w:sz w:val="20"/>
              </w:rPr>
              <w:t>Comparator</w:t>
            </w:r>
          </w:p>
        </w:tc>
        <w:tc>
          <w:tcPr>
            <w:tcW w:w="4011" w:type="dxa"/>
          </w:tcPr>
          <w:p w:rsidR="007070CB" w:rsidRDefault="006E2E62">
            <w:pPr>
              <w:widowControl/>
              <w:spacing w:before="0" w:after="0"/>
              <w:contextualSpacing/>
              <w:jc w:val="left"/>
              <w:rPr>
                <w:rFonts w:ascii="Arial Narrow" w:hAnsi="Arial Narrow"/>
                <w:sz w:val="20"/>
              </w:rPr>
            </w:pPr>
            <w:r>
              <w:rPr>
                <w:rFonts w:ascii="Arial Narrow" w:hAnsi="Arial Narrow"/>
                <w:sz w:val="20"/>
              </w:rPr>
              <w:t>Best supportive care. The PBAC accepted that BSC is the appropriate comparator for the 12+ population (lumacaftor/ivacaftor (12+), PSD July 2018, paragraph 5.1.</w:t>
            </w:r>
          </w:p>
        </w:tc>
        <w:tc>
          <w:tcPr>
            <w:tcW w:w="3451" w:type="dxa"/>
          </w:tcPr>
          <w:p w:rsidR="007070CB" w:rsidRDefault="006E2E62">
            <w:pPr>
              <w:widowControl/>
              <w:spacing w:before="0" w:after="0"/>
              <w:contextualSpacing/>
              <w:jc w:val="left"/>
              <w:rPr>
                <w:rFonts w:ascii="Arial Narrow" w:hAnsi="Arial Narrow"/>
                <w:sz w:val="20"/>
              </w:rPr>
            </w:pPr>
            <w:r>
              <w:rPr>
                <w:rFonts w:ascii="Arial Narrow" w:hAnsi="Arial Narrow"/>
                <w:sz w:val="20"/>
              </w:rPr>
              <w:t xml:space="preserve">Best supportive care. </w:t>
            </w:r>
          </w:p>
        </w:tc>
      </w:tr>
      <w:tr w:rsidR="007070CB" w:rsidTr="007070CB">
        <w:trPr>
          <w:cantSplit/>
          <w:trHeight w:val="362"/>
        </w:trPr>
        <w:tc>
          <w:tcPr>
            <w:tcW w:w="1555" w:type="dxa"/>
          </w:tcPr>
          <w:p w:rsidR="007070CB" w:rsidRDefault="006E2E62">
            <w:pPr>
              <w:widowControl/>
              <w:spacing w:before="0" w:after="0"/>
              <w:contextualSpacing/>
              <w:jc w:val="left"/>
              <w:rPr>
                <w:rFonts w:ascii="Arial Narrow" w:hAnsi="Arial Narrow"/>
                <w:sz w:val="20"/>
              </w:rPr>
            </w:pPr>
            <w:r>
              <w:rPr>
                <w:rFonts w:ascii="Arial Narrow" w:hAnsi="Arial Narrow"/>
                <w:sz w:val="20"/>
              </w:rPr>
              <w:t>Clinical Evidence</w:t>
            </w:r>
          </w:p>
        </w:tc>
        <w:tc>
          <w:tcPr>
            <w:tcW w:w="4011" w:type="dxa"/>
          </w:tcPr>
          <w:p w:rsidR="007070CB" w:rsidRDefault="006E2E62">
            <w:pPr>
              <w:pStyle w:val="ListParagraph"/>
              <w:widowControl/>
              <w:numPr>
                <w:ilvl w:val="0"/>
                <w:numId w:val="8"/>
              </w:numPr>
              <w:spacing w:before="0" w:after="0"/>
              <w:ind w:left="269" w:hanging="252"/>
              <w:contextualSpacing/>
              <w:jc w:val="left"/>
              <w:rPr>
                <w:rFonts w:ascii="Arial Narrow" w:hAnsi="Arial Narrow"/>
                <w:sz w:val="20"/>
              </w:rPr>
            </w:pPr>
            <w:r>
              <w:rPr>
                <w:rFonts w:ascii="Arial Narrow" w:hAnsi="Arial Narrow"/>
                <w:sz w:val="20"/>
              </w:rPr>
              <w:t xml:space="preserve">6 to 11 years: </w:t>
            </w:r>
          </w:p>
          <w:p w:rsidR="007070CB" w:rsidRDefault="006E2E62">
            <w:pPr>
              <w:pStyle w:val="ListParagraph"/>
              <w:widowControl/>
              <w:spacing w:before="0" w:after="0"/>
              <w:ind w:left="269"/>
              <w:jc w:val="left"/>
              <w:rPr>
                <w:rFonts w:ascii="Arial Narrow" w:hAnsi="Arial Narrow"/>
                <w:sz w:val="20"/>
              </w:rPr>
            </w:pPr>
            <w:r>
              <w:rPr>
                <w:rFonts w:ascii="Arial Narrow" w:hAnsi="Arial Narrow"/>
                <w:sz w:val="20"/>
              </w:rPr>
              <w:t>Study 109 RCT: luma/iva vs. placebo, 24 wks</w:t>
            </w:r>
          </w:p>
          <w:p w:rsidR="007070CB" w:rsidRDefault="006E2E62">
            <w:pPr>
              <w:pStyle w:val="ListParagraph"/>
              <w:widowControl/>
              <w:spacing w:before="0" w:after="0"/>
              <w:ind w:left="269"/>
              <w:jc w:val="left"/>
              <w:rPr>
                <w:rFonts w:ascii="Arial Narrow" w:hAnsi="Arial Narrow" w:cs="Times New Roman"/>
                <w:sz w:val="20"/>
                <w:szCs w:val="18"/>
                <w:lang w:eastAsia="en-AU"/>
              </w:rPr>
            </w:pPr>
            <w:r>
              <w:rPr>
                <w:rFonts w:ascii="Arial Narrow" w:hAnsi="Arial Narrow"/>
                <w:sz w:val="20"/>
              </w:rPr>
              <w:t xml:space="preserve">Study 011: Phase II open-label study. </w:t>
            </w:r>
          </w:p>
          <w:p w:rsidR="007070CB" w:rsidRDefault="006E2E62">
            <w:pPr>
              <w:pStyle w:val="ListParagraph"/>
              <w:widowControl/>
              <w:numPr>
                <w:ilvl w:val="0"/>
                <w:numId w:val="8"/>
              </w:numPr>
              <w:spacing w:before="0" w:after="0"/>
              <w:ind w:left="269" w:hanging="252"/>
              <w:contextualSpacing/>
              <w:jc w:val="left"/>
              <w:rPr>
                <w:rFonts w:ascii="Arial Narrow" w:hAnsi="Arial Narrow"/>
                <w:sz w:val="20"/>
              </w:rPr>
            </w:pPr>
            <w:r>
              <w:rPr>
                <w:rFonts w:ascii="Arial Narrow" w:hAnsi="Arial Narrow" w:cs="Times New Roman"/>
                <w:sz w:val="20"/>
                <w:szCs w:val="18"/>
                <w:lang w:eastAsia="en-AU"/>
              </w:rPr>
              <w:t>12 and older</w:t>
            </w:r>
            <w:r>
              <w:rPr>
                <w:rFonts w:ascii="Arial Narrow" w:hAnsi="Arial Narrow"/>
                <w:sz w:val="20"/>
              </w:rPr>
              <w:t>:</w:t>
            </w:r>
            <w:r w:rsidR="00FE7D84">
              <w:rPr>
                <w:rFonts w:ascii="Arial Narrow" w:hAnsi="Arial Narrow"/>
                <w:sz w:val="20"/>
              </w:rPr>
              <w:t xml:space="preserve"> </w:t>
            </w:r>
          </w:p>
          <w:p w:rsidR="007070CB" w:rsidRDefault="006E2E62">
            <w:pPr>
              <w:pStyle w:val="ListParagraph"/>
              <w:widowControl/>
              <w:spacing w:before="0" w:after="0"/>
              <w:ind w:left="269"/>
              <w:jc w:val="left"/>
              <w:rPr>
                <w:rFonts w:ascii="Arial Narrow" w:hAnsi="Arial Narrow"/>
                <w:sz w:val="20"/>
              </w:rPr>
            </w:pPr>
            <w:r>
              <w:rPr>
                <w:rFonts w:ascii="Arial Narrow" w:hAnsi="Arial Narrow"/>
                <w:sz w:val="20"/>
              </w:rPr>
              <w:t>TRAFFIC &amp; TRANSPORT pooled RCT: luma/iva vs. placebo, 24 wks; PROGRESS: extension study, 96 wks.</w:t>
            </w:r>
          </w:p>
        </w:tc>
        <w:tc>
          <w:tcPr>
            <w:tcW w:w="3451" w:type="dxa"/>
          </w:tcPr>
          <w:p w:rsidR="007070CB" w:rsidRDefault="006E2E62">
            <w:pPr>
              <w:pStyle w:val="ListParagraph"/>
              <w:widowControl/>
              <w:numPr>
                <w:ilvl w:val="0"/>
                <w:numId w:val="8"/>
              </w:numPr>
              <w:spacing w:before="0" w:after="0"/>
              <w:ind w:left="269" w:hanging="252"/>
              <w:contextualSpacing/>
              <w:jc w:val="left"/>
              <w:rPr>
                <w:rFonts w:ascii="Arial Narrow" w:hAnsi="Arial Narrow"/>
                <w:sz w:val="20"/>
              </w:rPr>
            </w:pPr>
            <w:r>
              <w:rPr>
                <w:rFonts w:ascii="Arial Narrow" w:hAnsi="Arial Narrow"/>
                <w:sz w:val="20"/>
              </w:rPr>
              <w:t>2</w:t>
            </w:r>
            <w:r>
              <w:rPr>
                <w:rFonts w:ascii="Arial Narrow" w:hAnsi="Arial Narrow" w:cs="Times New Roman"/>
                <w:sz w:val="20"/>
                <w:szCs w:val="18"/>
                <w:lang w:eastAsia="en-AU"/>
              </w:rPr>
              <w:t xml:space="preserve"> to </w:t>
            </w:r>
            <w:r>
              <w:rPr>
                <w:rFonts w:ascii="Arial Narrow" w:hAnsi="Arial Narrow"/>
                <w:sz w:val="20"/>
              </w:rPr>
              <w:t>5</w:t>
            </w:r>
            <w:r>
              <w:rPr>
                <w:rFonts w:ascii="Arial Narrow" w:hAnsi="Arial Narrow" w:cs="Times New Roman"/>
                <w:sz w:val="20"/>
                <w:szCs w:val="18"/>
                <w:lang w:eastAsia="en-AU"/>
              </w:rPr>
              <w:t xml:space="preserve"> years</w:t>
            </w:r>
            <w:r>
              <w:rPr>
                <w:rFonts w:ascii="Arial Narrow" w:hAnsi="Arial Narrow"/>
                <w:sz w:val="20"/>
              </w:rPr>
              <w:t>:</w:t>
            </w:r>
          </w:p>
          <w:p w:rsidR="007070CB" w:rsidRDefault="006E2E62">
            <w:pPr>
              <w:widowControl/>
              <w:spacing w:before="0" w:after="0"/>
              <w:contextualSpacing/>
              <w:jc w:val="left"/>
              <w:rPr>
                <w:rFonts w:ascii="Arial Narrow" w:hAnsi="Arial Narrow"/>
                <w:sz w:val="20"/>
              </w:rPr>
            </w:pPr>
            <w:r>
              <w:rPr>
                <w:rFonts w:ascii="Arial Narrow" w:hAnsi="Arial Narrow"/>
                <w:sz w:val="20"/>
              </w:rPr>
              <w:t xml:space="preserve">Study 115: non-comparative, open-label study, 24 wks. </w:t>
            </w:r>
          </w:p>
        </w:tc>
      </w:tr>
      <w:tr w:rsidR="007070CB" w:rsidTr="007070CB">
        <w:trPr>
          <w:cantSplit/>
          <w:trHeight w:val="362"/>
        </w:trPr>
        <w:tc>
          <w:tcPr>
            <w:tcW w:w="1555" w:type="dxa"/>
            <w:tcBorders>
              <w:bottom w:val="single" w:sz="4" w:space="0" w:color="auto"/>
            </w:tcBorders>
          </w:tcPr>
          <w:p w:rsidR="007070CB" w:rsidRDefault="006E2E62">
            <w:pPr>
              <w:widowControl/>
              <w:spacing w:before="0" w:after="0"/>
              <w:contextualSpacing/>
              <w:jc w:val="left"/>
              <w:rPr>
                <w:rFonts w:ascii="Arial Narrow" w:hAnsi="Arial Narrow"/>
                <w:sz w:val="20"/>
              </w:rPr>
            </w:pPr>
            <w:r>
              <w:rPr>
                <w:rFonts w:ascii="Arial Narrow" w:hAnsi="Arial Narrow"/>
                <w:sz w:val="20"/>
              </w:rPr>
              <w:t>Key effectiveness data</w:t>
            </w:r>
          </w:p>
          <w:p w:rsidR="007070CB" w:rsidRDefault="007070CB">
            <w:pPr>
              <w:widowControl/>
              <w:spacing w:before="0" w:after="0"/>
              <w:contextualSpacing/>
              <w:jc w:val="left"/>
              <w:rPr>
                <w:rFonts w:ascii="Arial Narrow" w:hAnsi="Arial Narrow"/>
                <w:sz w:val="20"/>
              </w:rPr>
            </w:pPr>
          </w:p>
        </w:tc>
        <w:tc>
          <w:tcPr>
            <w:tcW w:w="4011" w:type="dxa"/>
            <w:tcBorders>
              <w:bottom w:val="single" w:sz="4" w:space="0" w:color="auto"/>
            </w:tcBorders>
          </w:tcPr>
          <w:p w:rsidR="007070CB" w:rsidRDefault="006E2E62">
            <w:pPr>
              <w:widowControl/>
              <w:spacing w:before="0" w:after="0"/>
              <w:contextualSpacing/>
              <w:jc w:val="left"/>
              <w:rPr>
                <w:rFonts w:ascii="Arial Narrow" w:hAnsi="Arial Narrow" w:cs="Times New Roman"/>
                <w:sz w:val="20"/>
                <w:szCs w:val="18"/>
                <w:lang w:eastAsia="en-AU"/>
              </w:rPr>
            </w:pPr>
            <w:r>
              <w:rPr>
                <w:rFonts w:ascii="Arial Narrow" w:hAnsi="Arial Narrow"/>
                <w:sz w:val="20"/>
              </w:rPr>
              <w:t>Absolute change (relative to placebo) from baseline in ppFEV</w:t>
            </w:r>
            <w:r>
              <w:rPr>
                <w:rFonts w:ascii="Arial Narrow" w:hAnsi="Arial Narrow"/>
                <w:sz w:val="20"/>
                <w:vertAlign w:val="subscript"/>
              </w:rPr>
              <w:t xml:space="preserve">1 </w:t>
            </w:r>
            <w:r>
              <w:rPr>
                <w:rFonts w:ascii="Arial Narrow" w:hAnsi="Arial Narrow"/>
                <w:sz w:val="20"/>
              </w:rPr>
              <w:t xml:space="preserve">for lumacaftor/ivacaftor treated patients: </w:t>
            </w:r>
          </w:p>
          <w:p w:rsidR="007070CB" w:rsidRDefault="006E2E62">
            <w:pPr>
              <w:widowControl/>
              <w:spacing w:before="0" w:after="0"/>
              <w:jc w:val="left"/>
              <w:rPr>
                <w:rFonts w:ascii="Arial Narrow" w:hAnsi="Arial Narrow" w:cs="Times New Roman"/>
                <w:sz w:val="20"/>
                <w:szCs w:val="18"/>
                <w:lang w:eastAsia="en-AU"/>
              </w:rPr>
            </w:pPr>
            <w:r>
              <w:rPr>
                <w:rFonts w:ascii="Arial Narrow" w:hAnsi="Arial Narrow"/>
                <w:sz w:val="20"/>
              </w:rPr>
              <w:t xml:space="preserve">At week 24: </w:t>
            </w:r>
          </w:p>
          <w:p w:rsidR="007070CB" w:rsidRDefault="006E2E62">
            <w:pPr>
              <w:pStyle w:val="ListParagraph"/>
              <w:widowControl/>
              <w:numPr>
                <w:ilvl w:val="0"/>
                <w:numId w:val="8"/>
              </w:numPr>
              <w:spacing w:before="0" w:after="0"/>
              <w:ind w:left="269" w:hanging="252"/>
              <w:contextualSpacing/>
              <w:jc w:val="left"/>
              <w:rPr>
                <w:rFonts w:ascii="Arial Narrow" w:hAnsi="Arial Narrow"/>
                <w:sz w:val="20"/>
              </w:rPr>
            </w:pPr>
            <w:r>
              <w:rPr>
                <w:rFonts w:ascii="Arial Narrow" w:hAnsi="Arial Narrow" w:cs="Times New Roman"/>
                <w:sz w:val="20"/>
                <w:szCs w:val="18"/>
                <w:lang w:eastAsia="en-AU"/>
              </w:rPr>
              <w:t>6 to 11 years</w:t>
            </w:r>
            <w:r>
              <w:rPr>
                <w:rFonts w:ascii="Arial Narrow" w:hAnsi="Arial Narrow"/>
                <w:sz w:val="20"/>
              </w:rPr>
              <w:t>: 3% pts</w:t>
            </w:r>
          </w:p>
          <w:p w:rsidR="007070CB" w:rsidRDefault="006E2E62">
            <w:pPr>
              <w:pStyle w:val="ListParagraph"/>
              <w:widowControl/>
              <w:numPr>
                <w:ilvl w:val="0"/>
                <w:numId w:val="8"/>
              </w:numPr>
              <w:spacing w:before="0" w:after="0"/>
              <w:ind w:left="269" w:hanging="252"/>
              <w:contextualSpacing/>
              <w:jc w:val="left"/>
              <w:rPr>
                <w:rFonts w:ascii="Arial Narrow" w:hAnsi="Arial Narrow" w:cs="Times New Roman"/>
                <w:sz w:val="20"/>
                <w:szCs w:val="18"/>
                <w:lang w:eastAsia="en-AU"/>
              </w:rPr>
            </w:pPr>
            <w:r>
              <w:rPr>
                <w:rFonts w:ascii="Arial Narrow" w:hAnsi="Arial Narrow" w:cs="Times New Roman"/>
                <w:sz w:val="20"/>
                <w:szCs w:val="18"/>
                <w:lang w:eastAsia="en-AU"/>
              </w:rPr>
              <w:t>12 and older</w:t>
            </w:r>
            <w:r>
              <w:rPr>
                <w:rFonts w:ascii="Arial Narrow" w:hAnsi="Arial Narrow"/>
                <w:sz w:val="20"/>
              </w:rPr>
              <w:t>: 2.8% pts</w:t>
            </w:r>
          </w:p>
          <w:p w:rsidR="007070CB" w:rsidRDefault="006E2E62">
            <w:pPr>
              <w:widowControl/>
              <w:spacing w:before="0" w:after="0"/>
              <w:jc w:val="left"/>
              <w:rPr>
                <w:rFonts w:ascii="Arial Narrow" w:hAnsi="Arial Narrow"/>
                <w:sz w:val="20"/>
              </w:rPr>
            </w:pPr>
            <w:r>
              <w:rPr>
                <w:rFonts w:ascii="Arial Narrow" w:hAnsi="Arial Narrow"/>
                <w:sz w:val="20"/>
              </w:rPr>
              <w:t xml:space="preserve">At extension Week 96 (up to 120 weeks of continuous treatment). </w:t>
            </w:r>
          </w:p>
          <w:p w:rsidR="007070CB" w:rsidRDefault="006E2E62">
            <w:pPr>
              <w:pStyle w:val="ListParagraph"/>
              <w:widowControl/>
              <w:numPr>
                <w:ilvl w:val="0"/>
                <w:numId w:val="8"/>
              </w:numPr>
              <w:spacing w:before="0" w:after="0"/>
              <w:ind w:left="269" w:hanging="252"/>
              <w:contextualSpacing/>
              <w:jc w:val="left"/>
              <w:rPr>
                <w:rFonts w:ascii="Arial Narrow" w:hAnsi="Arial Narrow"/>
                <w:sz w:val="20"/>
              </w:rPr>
            </w:pPr>
            <w:r>
              <w:rPr>
                <w:rFonts w:ascii="Arial Narrow" w:hAnsi="Arial Narrow" w:cs="Times New Roman"/>
                <w:sz w:val="20"/>
                <w:szCs w:val="18"/>
                <w:lang w:eastAsia="en-AU"/>
              </w:rPr>
              <w:t>12 and older: 0.5% pts</w:t>
            </w:r>
          </w:p>
        </w:tc>
        <w:tc>
          <w:tcPr>
            <w:tcW w:w="3451" w:type="dxa"/>
            <w:tcBorders>
              <w:bottom w:val="single" w:sz="4" w:space="0" w:color="auto"/>
            </w:tcBorders>
          </w:tcPr>
          <w:p w:rsidR="007070CB" w:rsidRDefault="006E2E62">
            <w:pPr>
              <w:widowControl/>
              <w:spacing w:before="0" w:after="0"/>
              <w:contextualSpacing/>
              <w:jc w:val="left"/>
              <w:rPr>
                <w:rFonts w:ascii="Arial Narrow" w:hAnsi="Arial Narrow"/>
                <w:sz w:val="20"/>
              </w:rPr>
            </w:pPr>
            <w:r>
              <w:rPr>
                <w:rFonts w:ascii="Arial Narrow" w:hAnsi="Arial Narrow"/>
                <w:sz w:val="20"/>
              </w:rPr>
              <w:t xml:space="preserve">Primary outcomes for Study 115 was safety and PK. Efficacy outcomes were secondary outcomes. </w:t>
            </w:r>
          </w:p>
          <w:p w:rsidR="007070CB" w:rsidRDefault="007070CB">
            <w:pPr>
              <w:widowControl/>
              <w:spacing w:before="0" w:after="0"/>
              <w:contextualSpacing/>
              <w:jc w:val="left"/>
              <w:rPr>
                <w:rFonts w:ascii="Arial Narrow" w:hAnsi="Arial Narrow"/>
                <w:sz w:val="20"/>
              </w:rPr>
            </w:pPr>
          </w:p>
          <w:p w:rsidR="007070CB" w:rsidRDefault="006E2E62">
            <w:pPr>
              <w:widowControl/>
              <w:spacing w:before="0" w:after="0"/>
              <w:contextualSpacing/>
              <w:jc w:val="left"/>
              <w:rPr>
                <w:rFonts w:ascii="Arial Narrow" w:hAnsi="Arial Narrow"/>
                <w:sz w:val="20"/>
              </w:rPr>
            </w:pPr>
            <w:r>
              <w:rPr>
                <w:rFonts w:ascii="Arial Narrow" w:hAnsi="Arial Narrow"/>
                <w:sz w:val="20"/>
              </w:rPr>
              <w:t>Absolute change from baseline in ppFEV</w:t>
            </w:r>
            <w:r>
              <w:rPr>
                <w:rFonts w:ascii="Arial Narrow" w:hAnsi="Arial Narrow"/>
                <w:sz w:val="20"/>
                <w:vertAlign w:val="subscript"/>
              </w:rPr>
              <w:t xml:space="preserve">1 </w:t>
            </w:r>
            <w:r>
              <w:rPr>
                <w:rFonts w:ascii="Arial Narrow" w:hAnsi="Arial Narrow"/>
                <w:sz w:val="20"/>
              </w:rPr>
              <w:t xml:space="preserve">for lumacaftor/ivacaftor treated patients (n=17), at week 24: 0.5%. </w:t>
            </w:r>
          </w:p>
        </w:tc>
      </w:tr>
      <w:tr w:rsidR="007070CB" w:rsidTr="007070CB">
        <w:trPr>
          <w:cantSplit/>
          <w:trHeight w:val="105"/>
        </w:trPr>
        <w:tc>
          <w:tcPr>
            <w:tcW w:w="1555" w:type="dxa"/>
            <w:tcBorders>
              <w:bottom w:val="nil"/>
            </w:tcBorders>
          </w:tcPr>
          <w:p w:rsidR="007070CB" w:rsidRDefault="006E2E62">
            <w:pPr>
              <w:widowControl/>
              <w:spacing w:before="0" w:after="0"/>
              <w:contextualSpacing/>
              <w:jc w:val="left"/>
              <w:rPr>
                <w:rFonts w:ascii="Arial Narrow" w:hAnsi="Arial Narrow"/>
                <w:sz w:val="20"/>
              </w:rPr>
            </w:pPr>
            <w:r>
              <w:rPr>
                <w:rFonts w:ascii="Arial Narrow" w:hAnsi="Arial Narrow"/>
                <w:sz w:val="20"/>
              </w:rPr>
              <w:t xml:space="preserve">Key safety data </w:t>
            </w:r>
          </w:p>
        </w:tc>
        <w:tc>
          <w:tcPr>
            <w:tcW w:w="4011" w:type="dxa"/>
            <w:tcBorders>
              <w:bottom w:val="nil"/>
            </w:tcBorders>
          </w:tcPr>
          <w:p w:rsidR="007070CB" w:rsidRDefault="006E2E62">
            <w:pPr>
              <w:widowControl/>
              <w:spacing w:before="0" w:after="0"/>
              <w:contextualSpacing/>
              <w:jc w:val="left"/>
              <w:rPr>
                <w:rFonts w:ascii="Arial Narrow" w:hAnsi="Arial Narrow"/>
                <w:sz w:val="20"/>
              </w:rPr>
            </w:pPr>
            <w:r>
              <w:rPr>
                <w:rFonts w:ascii="Arial Narrow" w:hAnsi="Arial Narrow"/>
                <w:sz w:val="20"/>
              </w:rPr>
              <w:t>Pooled TRAFFIC/TRANSPORT, Study 109</w:t>
            </w:r>
          </w:p>
        </w:tc>
        <w:tc>
          <w:tcPr>
            <w:tcW w:w="3451" w:type="dxa"/>
            <w:tcBorders>
              <w:bottom w:val="nil"/>
            </w:tcBorders>
          </w:tcPr>
          <w:p w:rsidR="007070CB" w:rsidRDefault="006E2E62">
            <w:pPr>
              <w:widowControl/>
              <w:spacing w:before="0" w:after="0"/>
              <w:contextualSpacing/>
              <w:jc w:val="left"/>
              <w:rPr>
                <w:rFonts w:ascii="Arial Narrow" w:hAnsi="Arial Narrow"/>
                <w:sz w:val="20"/>
              </w:rPr>
            </w:pPr>
            <w:r>
              <w:rPr>
                <w:rFonts w:ascii="Arial Narrow" w:hAnsi="Arial Narrow"/>
                <w:sz w:val="20"/>
              </w:rPr>
              <w:t>Study 115</w:t>
            </w:r>
          </w:p>
        </w:tc>
      </w:tr>
      <w:tr w:rsidR="007070CB" w:rsidTr="007070CB">
        <w:trPr>
          <w:cantSplit/>
          <w:trHeight w:val="362"/>
        </w:trPr>
        <w:tc>
          <w:tcPr>
            <w:tcW w:w="1555" w:type="dxa"/>
            <w:tcBorders>
              <w:top w:val="nil"/>
              <w:bottom w:val="single" w:sz="4" w:space="0" w:color="auto"/>
            </w:tcBorders>
          </w:tcPr>
          <w:p w:rsidR="007070CB" w:rsidRDefault="007070CB">
            <w:pPr>
              <w:widowControl/>
              <w:spacing w:before="0" w:after="0"/>
              <w:contextualSpacing/>
              <w:jc w:val="left"/>
              <w:rPr>
                <w:rFonts w:ascii="Arial Narrow" w:hAnsi="Arial Narrow"/>
                <w:b/>
                <w:sz w:val="20"/>
              </w:rPr>
            </w:pPr>
          </w:p>
        </w:tc>
        <w:tc>
          <w:tcPr>
            <w:tcW w:w="4011" w:type="dxa"/>
            <w:tcBorders>
              <w:top w:val="nil"/>
              <w:bottom w:val="single" w:sz="4" w:space="0" w:color="auto"/>
            </w:tcBorders>
          </w:tcPr>
          <w:p w:rsidR="007070CB" w:rsidRDefault="007070CB">
            <w:pPr>
              <w:widowControl/>
              <w:spacing w:before="0" w:after="0"/>
              <w:contextualSpacing/>
              <w:jc w:val="left"/>
              <w:rPr>
                <w:rFonts w:ascii="Arial Narrow" w:hAnsi="Arial Narrow"/>
                <w:sz w:val="20"/>
              </w:rPr>
            </w:pPr>
          </w:p>
          <w:tbl>
            <w:tblPr>
              <w:tblStyle w:val="TableGrid"/>
              <w:tblW w:w="5000" w:type="pct"/>
              <w:tblLook w:val="04A0" w:firstRow="1" w:lastRow="0" w:firstColumn="1" w:lastColumn="0" w:noHBand="0" w:noVBand="1"/>
            </w:tblPr>
            <w:tblGrid>
              <w:gridCol w:w="837"/>
              <w:gridCol w:w="737"/>
              <w:gridCol w:w="737"/>
              <w:gridCol w:w="737"/>
              <w:gridCol w:w="737"/>
            </w:tblGrid>
            <w:tr w:rsidR="007070CB" w:rsidTr="00FE7D84">
              <w:trPr>
                <w:tblHeader/>
              </w:trPr>
              <w:tc>
                <w:tcPr>
                  <w:tcW w:w="1105" w:type="pct"/>
                  <w:vMerge w:val="restart"/>
                  <w:tcBorders>
                    <w:top w:val="single" w:sz="4" w:space="0" w:color="auto"/>
                  </w:tcBorders>
                </w:tcPr>
                <w:p w:rsidR="007070CB" w:rsidRDefault="006E2E62">
                  <w:pPr>
                    <w:widowControl/>
                    <w:ind w:left="-64"/>
                    <w:contextualSpacing/>
                    <w:jc w:val="left"/>
                    <w:rPr>
                      <w:rFonts w:ascii="Arial Narrow" w:hAnsi="Arial Narrow"/>
                      <w:b/>
                      <w:sz w:val="20"/>
                    </w:rPr>
                  </w:pPr>
                  <w:r>
                    <w:rPr>
                      <w:rFonts w:ascii="Arial Narrow" w:hAnsi="Arial Narrow"/>
                      <w:b/>
                      <w:sz w:val="20"/>
                    </w:rPr>
                    <w:t xml:space="preserve">Patients (%) </w:t>
                  </w:r>
                </w:p>
              </w:tc>
              <w:tc>
                <w:tcPr>
                  <w:tcW w:w="1947" w:type="pct"/>
                  <w:gridSpan w:val="2"/>
                  <w:tcBorders>
                    <w:top w:val="single" w:sz="4" w:space="0" w:color="auto"/>
                  </w:tcBorders>
                </w:tcPr>
                <w:p w:rsidR="007070CB" w:rsidRDefault="006E2E62">
                  <w:pPr>
                    <w:widowControl/>
                    <w:ind w:left="-71"/>
                    <w:contextualSpacing/>
                    <w:jc w:val="center"/>
                    <w:rPr>
                      <w:rFonts w:ascii="Arial Narrow" w:hAnsi="Arial Narrow"/>
                      <w:b/>
                      <w:sz w:val="20"/>
                    </w:rPr>
                  </w:pPr>
                  <w:r>
                    <w:rPr>
                      <w:rFonts w:ascii="Arial Narrow" w:hAnsi="Arial Narrow"/>
                      <w:b/>
                      <w:sz w:val="20"/>
                    </w:rPr>
                    <w:t>TRAFF/TRANS</w:t>
                  </w:r>
                </w:p>
                <w:p w:rsidR="007070CB" w:rsidRDefault="006E2E62">
                  <w:pPr>
                    <w:widowControl/>
                    <w:ind w:left="-71"/>
                    <w:contextualSpacing/>
                    <w:jc w:val="center"/>
                    <w:rPr>
                      <w:rFonts w:ascii="Arial Narrow" w:hAnsi="Arial Narrow"/>
                      <w:b/>
                      <w:sz w:val="20"/>
                    </w:rPr>
                  </w:pPr>
                  <w:r>
                    <w:rPr>
                      <w:rFonts w:ascii="Arial Narrow" w:hAnsi="Arial Narrow"/>
                      <w:b/>
                      <w:sz w:val="20"/>
                    </w:rPr>
                    <w:t>≥ 12 (%)</w:t>
                  </w:r>
                </w:p>
              </w:tc>
              <w:tc>
                <w:tcPr>
                  <w:tcW w:w="1947" w:type="pct"/>
                  <w:gridSpan w:val="2"/>
                  <w:tcBorders>
                    <w:top w:val="single" w:sz="4" w:space="0" w:color="auto"/>
                  </w:tcBorders>
                </w:tcPr>
                <w:p w:rsidR="007070CB" w:rsidRDefault="006E2E62">
                  <w:pPr>
                    <w:widowControl/>
                    <w:ind w:left="-71"/>
                    <w:contextualSpacing/>
                    <w:jc w:val="center"/>
                    <w:rPr>
                      <w:rFonts w:ascii="Arial Narrow" w:hAnsi="Arial Narrow"/>
                      <w:b/>
                      <w:sz w:val="20"/>
                    </w:rPr>
                  </w:pPr>
                  <w:r>
                    <w:rPr>
                      <w:rFonts w:ascii="Arial Narrow" w:hAnsi="Arial Narrow"/>
                      <w:b/>
                      <w:sz w:val="20"/>
                    </w:rPr>
                    <w:t>Study 109</w:t>
                  </w:r>
                </w:p>
                <w:p w:rsidR="007070CB" w:rsidRDefault="006E2E62">
                  <w:pPr>
                    <w:widowControl/>
                    <w:ind w:left="-71"/>
                    <w:contextualSpacing/>
                    <w:jc w:val="center"/>
                    <w:rPr>
                      <w:rFonts w:ascii="Arial Narrow" w:hAnsi="Arial Narrow"/>
                      <w:b/>
                      <w:sz w:val="20"/>
                    </w:rPr>
                  </w:pPr>
                  <w:r>
                    <w:rPr>
                      <w:rFonts w:ascii="Arial Narrow" w:hAnsi="Arial Narrow"/>
                      <w:b/>
                      <w:sz w:val="20"/>
                    </w:rPr>
                    <w:t>6 to 11 y</w:t>
                  </w:r>
                </w:p>
              </w:tc>
            </w:tr>
            <w:tr w:rsidR="007070CB" w:rsidTr="00FE7D84">
              <w:trPr>
                <w:tblHeader/>
              </w:trPr>
              <w:tc>
                <w:tcPr>
                  <w:tcW w:w="1105" w:type="pct"/>
                  <w:vMerge/>
                </w:tcPr>
                <w:p w:rsidR="007070CB" w:rsidRDefault="007070CB">
                  <w:pPr>
                    <w:widowControl/>
                    <w:contextualSpacing/>
                    <w:jc w:val="left"/>
                    <w:rPr>
                      <w:rFonts w:ascii="Arial Narrow" w:hAnsi="Arial Narrow"/>
                      <w:b/>
                      <w:sz w:val="20"/>
                    </w:rPr>
                  </w:pPr>
                </w:p>
              </w:tc>
              <w:tc>
                <w:tcPr>
                  <w:tcW w:w="973" w:type="pct"/>
                </w:tcPr>
                <w:p w:rsidR="007070CB" w:rsidRDefault="006E2E62">
                  <w:pPr>
                    <w:widowControl/>
                    <w:ind w:left="-71"/>
                    <w:contextualSpacing/>
                    <w:jc w:val="center"/>
                    <w:rPr>
                      <w:rFonts w:ascii="Arial Narrow" w:hAnsi="Arial Narrow"/>
                      <w:b/>
                      <w:sz w:val="20"/>
                    </w:rPr>
                  </w:pPr>
                  <w:r>
                    <w:rPr>
                      <w:rFonts w:ascii="Arial Narrow" w:hAnsi="Arial Narrow"/>
                      <w:b/>
                      <w:sz w:val="20"/>
                    </w:rPr>
                    <w:t>L/I N=369</w:t>
                  </w:r>
                </w:p>
              </w:tc>
              <w:tc>
                <w:tcPr>
                  <w:tcW w:w="974" w:type="pct"/>
                </w:tcPr>
                <w:p w:rsidR="007070CB" w:rsidRDefault="006E2E62">
                  <w:pPr>
                    <w:widowControl/>
                    <w:ind w:left="-71"/>
                    <w:contextualSpacing/>
                    <w:jc w:val="center"/>
                    <w:rPr>
                      <w:rFonts w:ascii="Arial Narrow" w:hAnsi="Arial Narrow"/>
                      <w:b/>
                      <w:sz w:val="20"/>
                    </w:rPr>
                  </w:pPr>
                  <w:r>
                    <w:rPr>
                      <w:rFonts w:ascii="Arial Narrow" w:hAnsi="Arial Narrow"/>
                      <w:b/>
                      <w:sz w:val="20"/>
                    </w:rPr>
                    <w:t>PBO N=370</w:t>
                  </w:r>
                </w:p>
              </w:tc>
              <w:tc>
                <w:tcPr>
                  <w:tcW w:w="973" w:type="pct"/>
                </w:tcPr>
                <w:p w:rsidR="007070CB" w:rsidRDefault="006E2E62">
                  <w:pPr>
                    <w:widowControl/>
                    <w:ind w:left="-71"/>
                    <w:contextualSpacing/>
                    <w:jc w:val="center"/>
                    <w:rPr>
                      <w:rFonts w:ascii="Arial Narrow" w:hAnsi="Arial Narrow"/>
                      <w:b/>
                      <w:sz w:val="20"/>
                    </w:rPr>
                  </w:pPr>
                  <w:r>
                    <w:rPr>
                      <w:rFonts w:ascii="Arial Narrow" w:hAnsi="Arial Narrow"/>
                      <w:b/>
                      <w:sz w:val="20"/>
                    </w:rPr>
                    <w:t>L/I N=103</w:t>
                  </w:r>
                </w:p>
              </w:tc>
              <w:tc>
                <w:tcPr>
                  <w:tcW w:w="974" w:type="pct"/>
                </w:tcPr>
                <w:p w:rsidR="007070CB" w:rsidRDefault="006E2E62">
                  <w:pPr>
                    <w:widowControl/>
                    <w:ind w:left="-71"/>
                    <w:contextualSpacing/>
                    <w:jc w:val="center"/>
                    <w:rPr>
                      <w:rFonts w:ascii="Arial Narrow" w:hAnsi="Arial Narrow"/>
                      <w:b/>
                      <w:sz w:val="20"/>
                    </w:rPr>
                  </w:pPr>
                  <w:r>
                    <w:rPr>
                      <w:rFonts w:ascii="Arial Narrow" w:hAnsi="Arial Narrow"/>
                      <w:b/>
                      <w:sz w:val="20"/>
                    </w:rPr>
                    <w:t>PBO N=101</w:t>
                  </w:r>
                </w:p>
              </w:tc>
            </w:tr>
            <w:tr w:rsidR="007070CB">
              <w:tc>
                <w:tcPr>
                  <w:tcW w:w="1105" w:type="pct"/>
                  <w:vAlign w:val="bottom"/>
                </w:tcPr>
                <w:p w:rsidR="007070CB" w:rsidRDefault="006E2E62">
                  <w:pPr>
                    <w:widowControl/>
                    <w:ind w:left="-58"/>
                    <w:contextualSpacing/>
                    <w:jc w:val="left"/>
                    <w:rPr>
                      <w:rFonts w:ascii="Arial Narrow" w:hAnsi="Arial Narrow"/>
                      <w:sz w:val="20"/>
                    </w:rPr>
                  </w:pPr>
                  <w:r>
                    <w:rPr>
                      <w:rFonts w:ascii="Arial Narrow" w:hAnsi="Arial Narrow"/>
                      <w:sz w:val="20"/>
                    </w:rPr>
                    <w:t>AEs</w:t>
                  </w:r>
                </w:p>
              </w:tc>
              <w:tc>
                <w:tcPr>
                  <w:tcW w:w="973" w:type="pct"/>
                </w:tcPr>
                <w:p w:rsidR="007070CB" w:rsidRDefault="006E2E62">
                  <w:pPr>
                    <w:widowControl/>
                    <w:contextualSpacing/>
                    <w:jc w:val="center"/>
                    <w:rPr>
                      <w:rFonts w:ascii="Arial Narrow" w:hAnsi="Arial Narrow"/>
                      <w:sz w:val="20"/>
                    </w:rPr>
                  </w:pPr>
                  <w:r>
                    <w:rPr>
                      <w:rFonts w:ascii="Arial Narrow" w:hAnsi="Arial Narrow"/>
                      <w:sz w:val="20"/>
                    </w:rPr>
                    <w:t>95.1</w:t>
                  </w:r>
                </w:p>
              </w:tc>
              <w:tc>
                <w:tcPr>
                  <w:tcW w:w="974" w:type="pct"/>
                </w:tcPr>
                <w:p w:rsidR="007070CB" w:rsidRDefault="006E2E62">
                  <w:pPr>
                    <w:widowControl/>
                    <w:contextualSpacing/>
                    <w:jc w:val="center"/>
                    <w:rPr>
                      <w:rFonts w:ascii="Arial Narrow" w:hAnsi="Arial Narrow"/>
                      <w:sz w:val="20"/>
                    </w:rPr>
                  </w:pPr>
                  <w:r>
                    <w:rPr>
                      <w:rFonts w:ascii="Arial Narrow" w:hAnsi="Arial Narrow"/>
                      <w:sz w:val="20"/>
                    </w:rPr>
                    <w:t>95.9</w:t>
                  </w:r>
                </w:p>
              </w:tc>
              <w:tc>
                <w:tcPr>
                  <w:tcW w:w="973" w:type="pct"/>
                </w:tcPr>
                <w:p w:rsidR="007070CB" w:rsidRDefault="006E2E62">
                  <w:pPr>
                    <w:widowControl/>
                    <w:contextualSpacing/>
                    <w:jc w:val="center"/>
                    <w:rPr>
                      <w:rFonts w:ascii="Arial Narrow" w:hAnsi="Arial Narrow"/>
                      <w:sz w:val="20"/>
                    </w:rPr>
                  </w:pPr>
                  <w:r>
                    <w:rPr>
                      <w:rFonts w:ascii="Arial Narrow" w:hAnsi="Arial Narrow"/>
                      <w:sz w:val="20"/>
                    </w:rPr>
                    <w:t>95.1</w:t>
                  </w:r>
                </w:p>
              </w:tc>
              <w:tc>
                <w:tcPr>
                  <w:tcW w:w="974" w:type="pct"/>
                </w:tcPr>
                <w:p w:rsidR="007070CB" w:rsidRDefault="006E2E62">
                  <w:pPr>
                    <w:widowControl/>
                    <w:contextualSpacing/>
                    <w:jc w:val="center"/>
                    <w:rPr>
                      <w:rFonts w:ascii="Arial Narrow" w:hAnsi="Arial Narrow"/>
                      <w:sz w:val="20"/>
                    </w:rPr>
                  </w:pPr>
                  <w:r>
                    <w:rPr>
                      <w:rFonts w:ascii="Arial Narrow" w:hAnsi="Arial Narrow"/>
                      <w:sz w:val="20"/>
                    </w:rPr>
                    <w:t>97.0</w:t>
                  </w:r>
                </w:p>
              </w:tc>
            </w:tr>
            <w:tr w:rsidR="007070CB">
              <w:tc>
                <w:tcPr>
                  <w:tcW w:w="1105" w:type="pct"/>
                </w:tcPr>
                <w:p w:rsidR="007070CB" w:rsidRDefault="006E2E62">
                  <w:pPr>
                    <w:widowControl/>
                    <w:ind w:left="-58"/>
                    <w:contextualSpacing/>
                    <w:jc w:val="left"/>
                    <w:rPr>
                      <w:rFonts w:ascii="Arial Narrow" w:hAnsi="Arial Narrow"/>
                      <w:sz w:val="20"/>
                    </w:rPr>
                  </w:pPr>
                  <w:r>
                    <w:rPr>
                      <w:rFonts w:ascii="Arial Narrow" w:hAnsi="Arial Narrow"/>
                      <w:sz w:val="20"/>
                    </w:rPr>
                    <w:t>SAEs</w:t>
                  </w:r>
                </w:p>
              </w:tc>
              <w:tc>
                <w:tcPr>
                  <w:tcW w:w="973" w:type="pct"/>
                </w:tcPr>
                <w:p w:rsidR="007070CB" w:rsidRDefault="006E2E62">
                  <w:pPr>
                    <w:widowControl/>
                    <w:contextualSpacing/>
                    <w:jc w:val="center"/>
                    <w:rPr>
                      <w:rFonts w:ascii="Arial Narrow" w:hAnsi="Arial Narrow"/>
                      <w:sz w:val="20"/>
                    </w:rPr>
                  </w:pPr>
                  <w:r>
                    <w:rPr>
                      <w:rFonts w:ascii="Arial Narrow" w:hAnsi="Arial Narrow"/>
                      <w:sz w:val="20"/>
                    </w:rPr>
                    <w:t>17.3</w:t>
                  </w:r>
                </w:p>
              </w:tc>
              <w:tc>
                <w:tcPr>
                  <w:tcW w:w="974" w:type="pct"/>
                </w:tcPr>
                <w:p w:rsidR="007070CB" w:rsidRDefault="006E2E62">
                  <w:pPr>
                    <w:widowControl/>
                    <w:contextualSpacing/>
                    <w:jc w:val="center"/>
                    <w:rPr>
                      <w:rFonts w:ascii="Arial Narrow" w:hAnsi="Arial Narrow"/>
                      <w:sz w:val="20"/>
                    </w:rPr>
                  </w:pPr>
                  <w:r>
                    <w:rPr>
                      <w:rFonts w:ascii="Arial Narrow" w:hAnsi="Arial Narrow"/>
                      <w:sz w:val="20"/>
                    </w:rPr>
                    <w:t>28.6</w:t>
                  </w:r>
                </w:p>
              </w:tc>
              <w:tc>
                <w:tcPr>
                  <w:tcW w:w="973" w:type="pct"/>
                </w:tcPr>
                <w:p w:rsidR="007070CB" w:rsidRDefault="006E2E62">
                  <w:pPr>
                    <w:widowControl/>
                    <w:contextualSpacing/>
                    <w:jc w:val="center"/>
                    <w:rPr>
                      <w:rFonts w:ascii="Arial Narrow" w:hAnsi="Arial Narrow"/>
                      <w:sz w:val="20"/>
                    </w:rPr>
                  </w:pPr>
                  <w:r>
                    <w:rPr>
                      <w:rFonts w:ascii="Arial Narrow" w:hAnsi="Arial Narrow"/>
                      <w:sz w:val="20"/>
                    </w:rPr>
                    <w:t>12.6</w:t>
                  </w:r>
                </w:p>
              </w:tc>
              <w:tc>
                <w:tcPr>
                  <w:tcW w:w="974" w:type="pct"/>
                </w:tcPr>
                <w:p w:rsidR="007070CB" w:rsidRDefault="006E2E62">
                  <w:pPr>
                    <w:widowControl/>
                    <w:contextualSpacing/>
                    <w:jc w:val="center"/>
                    <w:rPr>
                      <w:rFonts w:ascii="Arial Narrow" w:hAnsi="Arial Narrow"/>
                      <w:sz w:val="20"/>
                    </w:rPr>
                  </w:pPr>
                  <w:r>
                    <w:rPr>
                      <w:rFonts w:ascii="Arial Narrow" w:hAnsi="Arial Narrow"/>
                      <w:sz w:val="20"/>
                    </w:rPr>
                    <w:t>10.9</w:t>
                  </w:r>
                </w:p>
              </w:tc>
            </w:tr>
            <w:tr w:rsidR="007070CB">
              <w:tc>
                <w:tcPr>
                  <w:tcW w:w="1105" w:type="pct"/>
                </w:tcPr>
                <w:p w:rsidR="007070CB" w:rsidRDefault="006E2E62">
                  <w:pPr>
                    <w:widowControl/>
                    <w:ind w:left="-58"/>
                    <w:contextualSpacing/>
                    <w:jc w:val="left"/>
                    <w:rPr>
                      <w:rFonts w:ascii="Arial Narrow" w:hAnsi="Arial Narrow"/>
                      <w:sz w:val="20"/>
                    </w:rPr>
                  </w:pPr>
                  <w:r>
                    <w:rPr>
                      <w:rFonts w:ascii="Arial Narrow" w:hAnsi="Arial Narrow"/>
                      <w:sz w:val="20"/>
                    </w:rPr>
                    <w:t xml:space="preserve">AEs → treat disc </w:t>
                  </w:r>
                </w:p>
              </w:tc>
              <w:tc>
                <w:tcPr>
                  <w:tcW w:w="973" w:type="pct"/>
                </w:tcPr>
                <w:p w:rsidR="007070CB" w:rsidRDefault="006E2E62">
                  <w:pPr>
                    <w:widowControl/>
                    <w:contextualSpacing/>
                    <w:jc w:val="center"/>
                    <w:rPr>
                      <w:rFonts w:ascii="Arial Narrow" w:hAnsi="Arial Narrow"/>
                      <w:sz w:val="20"/>
                    </w:rPr>
                  </w:pPr>
                  <w:r>
                    <w:rPr>
                      <w:rFonts w:ascii="Arial Narrow" w:hAnsi="Arial Narrow"/>
                      <w:sz w:val="20"/>
                    </w:rPr>
                    <w:t>4.6</w:t>
                  </w:r>
                </w:p>
              </w:tc>
              <w:tc>
                <w:tcPr>
                  <w:tcW w:w="974" w:type="pct"/>
                </w:tcPr>
                <w:p w:rsidR="007070CB" w:rsidRDefault="006E2E62">
                  <w:pPr>
                    <w:widowControl/>
                    <w:contextualSpacing/>
                    <w:jc w:val="center"/>
                    <w:rPr>
                      <w:rFonts w:ascii="Arial Narrow" w:hAnsi="Arial Narrow"/>
                      <w:sz w:val="20"/>
                    </w:rPr>
                  </w:pPr>
                  <w:r>
                    <w:rPr>
                      <w:rFonts w:ascii="Arial Narrow" w:hAnsi="Arial Narrow"/>
                      <w:sz w:val="20"/>
                    </w:rPr>
                    <w:t>1.6</w:t>
                  </w:r>
                </w:p>
              </w:tc>
              <w:tc>
                <w:tcPr>
                  <w:tcW w:w="973" w:type="pct"/>
                </w:tcPr>
                <w:p w:rsidR="007070CB" w:rsidRDefault="006E2E62">
                  <w:pPr>
                    <w:widowControl/>
                    <w:contextualSpacing/>
                    <w:jc w:val="center"/>
                    <w:rPr>
                      <w:rFonts w:ascii="Arial Narrow" w:hAnsi="Arial Narrow"/>
                      <w:sz w:val="20"/>
                    </w:rPr>
                  </w:pPr>
                  <w:r>
                    <w:rPr>
                      <w:rFonts w:ascii="Arial Narrow" w:hAnsi="Arial Narrow"/>
                      <w:sz w:val="20"/>
                    </w:rPr>
                    <w:t>2.9</w:t>
                  </w:r>
                </w:p>
              </w:tc>
              <w:tc>
                <w:tcPr>
                  <w:tcW w:w="974" w:type="pct"/>
                </w:tcPr>
                <w:p w:rsidR="007070CB" w:rsidRDefault="006E2E62">
                  <w:pPr>
                    <w:widowControl/>
                    <w:contextualSpacing/>
                    <w:jc w:val="center"/>
                    <w:rPr>
                      <w:rFonts w:ascii="Arial Narrow" w:hAnsi="Arial Narrow"/>
                      <w:sz w:val="20"/>
                    </w:rPr>
                  </w:pPr>
                  <w:r>
                    <w:rPr>
                      <w:rFonts w:ascii="Arial Narrow" w:hAnsi="Arial Narrow"/>
                      <w:sz w:val="20"/>
                    </w:rPr>
                    <w:t>2.0</w:t>
                  </w:r>
                </w:p>
              </w:tc>
            </w:tr>
          </w:tbl>
          <w:p w:rsidR="007070CB" w:rsidRDefault="007070CB">
            <w:pPr>
              <w:widowControl/>
              <w:spacing w:before="0" w:after="0"/>
              <w:contextualSpacing/>
              <w:jc w:val="left"/>
              <w:rPr>
                <w:rFonts w:ascii="Arial Narrow" w:hAnsi="Arial Narrow"/>
                <w:sz w:val="20"/>
              </w:rPr>
            </w:pPr>
          </w:p>
        </w:tc>
        <w:tc>
          <w:tcPr>
            <w:tcW w:w="3451" w:type="dxa"/>
            <w:tcBorders>
              <w:top w:val="nil"/>
              <w:bottom w:val="single" w:sz="4" w:space="0" w:color="auto"/>
            </w:tcBorders>
          </w:tcPr>
          <w:p w:rsidR="007070CB" w:rsidRDefault="007070CB">
            <w:pPr>
              <w:widowControl/>
              <w:spacing w:before="0" w:after="0"/>
              <w:contextualSpacing/>
              <w:jc w:val="left"/>
              <w:rPr>
                <w:rFonts w:ascii="Arial Narrow" w:hAnsi="Arial Narrow"/>
                <w:sz w:val="20"/>
              </w:rPr>
            </w:pPr>
          </w:p>
          <w:tbl>
            <w:tblPr>
              <w:tblStyle w:val="TableGrid"/>
              <w:tblW w:w="4867" w:type="pct"/>
              <w:tblLook w:val="04A0" w:firstRow="1" w:lastRow="0" w:firstColumn="1" w:lastColumn="0" w:noHBand="0" w:noVBand="1"/>
            </w:tblPr>
            <w:tblGrid>
              <w:gridCol w:w="984"/>
              <w:gridCol w:w="708"/>
              <w:gridCol w:w="667"/>
              <w:gridCol w:w="780"/>
            </w:tblGrid>
            <w:tr w:rsidR="007070CB" w:rsidTr="00FE7D84">
              <w:trPr>
                <w:tblHeader/>
              </w:trPr>
              <w:tc>
                <w:tcPr>
                  <w:tcW w:w="1567" w:type="pct"/>
                </w:tcPr>
                <w:p w:rsidR="007070CB" w:rsidRDefault="006E2E62">
                  <w:pPr>
                    <w:widowControl/>
                    <w:ind w:left="-64"/>
                    <w:contextualSpacing/>
                    <w:jc w:val="left"/>
                    <w:rPr>
                      <w:rFonts w:ascii="Arial Narrow" w:hAnsi="Arial Narrow"/>
                      <w:sz w:val="20"/>
                    </w:rPr>
                  </w:pPr>
                  <w:r>
                    <w:rPr>
                      <w:rFonts w:ascii="Arial Narrow" w:hAnsi="Arial Narrow"/>
                      <w:b/>
                      <w:sz w:val="20"/>
                    </w:rPr>
                    <w:t>Patients (%)</w:t>
                  </w:r>
                </w:p>
              </w:tc>
              <w:tc>
                <w:tcPr>
                  <w:tcW w:w="1128" w:type="pct"/>
                </w:tcPr>
                <w:p w:rsidR="007070CB" w:rsidRDefault="006E2E62">
                  <w:pPr>
                    <w:widowControl/>
                    <w:ind w:left="-71"/>
                    <w:contextualSpacing/>
                    <w:jc w:val="center"/>
                    <w:rPr>
                      <w:rFonts w:ascii="Arial Narrow" w:hAnsi="Arial Narrow"/>
                      <w:b/>
                      <w:sz w:val="20"/>
                    </w:rPr>
                  </w:pPr>
                  <w:r>
                    <w:rPr>
                      <w:rFonts w:ascii="Arial Narrow" w:hAnsi="Arial Narrow"/>
                      <w:b/>
                      <w:sz w:val="20"/>
                    </w:rPr>
                    <w:t xml:space="preserve">L 100 / I 125 </w:t>
                  </w:r>
                  <w:r>
                    <w:rPr>
                      <w:rFonts w:ascii="Arial Narrow" w:hAnsi="Arial Narrow"/>
                      <w:b/>
                      <w:sz w:val="20"/>
                    </w:rPr>
                    <w:br/>
                    <w:t>N=19</w:t>
                  </w:r>
                </w:p>
                <w:p w:rsidR="007070CB" w:rsidRDefault="007070CB">
                  <w:pPr>
                    <w:widowControl/>
                    <w:ind w:left="-71"/>
                    <w:contextualSpacing/>
                    <w:jc w:val="center"/>
                    <w:rPr>
                      <w:rFonts w:ascii="Arial Narrow" w:hAnsi="Arial Narrow"/>
                      <w:b/>
                      <w:sz w:val="20"/>
                    </w:rPr>
                  </w:pPr>
                </w:p>
              </w:tc>
              <w:tc>
                <w:tcPr>
                  <w:tcW w:w="1062" w:type="pct"/>
                </w:tcPr>
                <w:p w:rsidR="007070CB" w:rsidRDefault="006E2E62">
                  <w:pPr>
                    <w:widowControl/>
                    <w:ind w:left="-71"/>
                    <w:contextualSpacing/>
                    <w:jc w:val="center"/>
                    <w:rPr>
                      <w:rFonts w:ascii="Arial Narrow" w:hAnsi="Arial Narrow"/>
                      <w:b/>
                      <w:sz w:val="20"/>
                    </w:rPr>
                  </w:pPr>
                  <w:r>
                    <w:rPr>
                      <w:rFonts w:ascii="Arial Narrow" w:hAnsi="Arial Narrow"/>
                      <w:b/>
                      <w:sz w:val="20"/>
                    </w:rPr>
                    <w:t>L 150 / I 188</w:t>
                  </w:r>
                  <w:r>
                    <w:rPr>
                      <w:rFonts w:ascii="Arial Narrow" w:hAnsi="Arial Narrow"/>
                      <w:b/>
                      <w:sz w:val="20"/>
                    </w:rPr>
                    <w:br/>
                    <w:t>N=41</w:t>
                  </w:r>
                </w:p>
              </w:tc>
              <w:tc>
                <w:tcPr>
                  <w:tcW w:w="1242" w:type="pct"/>
                </w:tcPr>
                <w:p w:rsidR="007070CB" w:rsidRDefault="006E2E62">
                  <w:pPr>
                    <w:widowControl/>
                    <w:ind w:left="-71"/>
                    <w:contextualSpacing/>
                    <w:jc w:val="center"/>
                    <w:rPr>
                      <w:rFonts w:ascii="Arial Narrow" w:hAnsi="Arial Narrow"/>
                      <w:b/>
                      <w:sz w:val="20"/>
                    </w:rPr>
                  </w:pPr>
                  <w:r>
                    <w:rPr>
                      <w:rFonts w:ascii="Arial Narrow" w:hAnsi="Arial Narrow"/>
                      <w:b/>
                      <w:sz w:val="20"/>
                    </w:rPr>
                    <w:t>Pooled</w:t>
                  </w:r>
                </w:p>
              </w:tc>
            </w:tr>
            <w:tr w:rsidR="007070CB">
              <w:tc>
                <w:tcPr>
                  <w:tcW w:w="1567" w:type="pct"/>
                  <w:vAlign w:val="bottom"/>
                </w:tcPr>
                <w:p w:rsidR="007070CB" w:rsidRDefault="006E2E62">
                  <w:pPr>
                    <w:widowControl/>
                    <w:contextualSpacing/>
                    <w:jc w:val="left"/>
                    <w:rPr>
                      <w:rFonts w:ascii="Arial Narrow" w:hAnsi="Arial Narrow"/>
                      <w:sz w:val="20"/>
                    </w:rPr>
                  </w:pPr>
                  <w:r>
                    <w:rPr>
                      <w:rFonts w:ascii="Arial Narrow" w:hAnsi="Arial Narrow"/>
                      <w:sz w:val="20"/>
                    </w:rPr>
                    <w:t>AEs</w:t>
                  </w:r>
                </w:p>
              </w:tc>
              <w:tc>
                <w:tcPr>
                  <w:tcW w:w="1128" w:type="pct"/>
                </w:tcPr>
                <w:p w:rsidR="007070CB" w:rsidRDefault="006E2E62">
                  <w:pPr>
                    <w:widowControl/>
                    <w:contextualSpacing/>
                    <w:jc w:val="center"/>
                    <w:rPr>
                      <w:rFonts w:ascii="Arial Narrow" w:hAnsi="Arial Narrow"/>
                      <w:sz w:val="20"/>
                    </w:rPr>
                  </w:pPr>
                  <w:r>
                    <w:rPr>
                      <w:rFonts w:ascii="Arial Narrow" w:hAnsi="Arial Narrow"/>
                      <w:sz w:val="20"/>
                    </w:rPr>
                    <w:t>100</w:t>
                  </w:r>
                </w:p>
              </w:tc>
              <w:tc>
                <w:tcPr>
                  <w:tcW w:w="1062" w:type="pct"/>
                </w:tcPr>
                <w:p w:rsidR="007070CB" w:rsidRDefault="006E2E62">
                  <w:pPr>
                    <w:widowControl/>
                    <w:contextualSpacing/>
                    <w:jc w:val="center"/>
                    <w:rPr>
                      <w:rFonts w:ascii="Arial Narrow" w:hAnsi="Arial Narrow"/>
                      <w:sz w:val="20"/>
                    </w:rPr>
                  </w:pPr>
                  <w:r>
                    <w:rPr>
                      <w:rFonts w:ascii="Arial Narrow" w:hAnsi="Arial Narrow"/>
                      <w:sz w:val="20"/>
                    </w:rPr>
                    <w:t>97.6</w:t>
                  </w:r>
                </w:p>
              </w:tc>
              <w:tc>
                <w:tcPr>
                  <w:tcW w:w="1242" w:type="pct"/>
                </w:tcPr>
                <w:p w:rsidR="007070CB" w:rsidRDefault="006E2E62">
                  <w:pPr>
                    <w:widowControl/>
                    <w:contextualSpacing/>
                    <w:jc w:val="center"/>
                    <w:rPr>
                      <w:rFonts w:ascii="Arial Narrow" w:hAnsi="Arial Narrow"/>
                      <w:sz w:val="20"/>
                    </w:rPr>
                  </w:pPr>
                  <w:r>
                    <w:rPr>
                      <w:rFonts w:ascii="Arial Narrow" w:hAnsi="Arial Narrow"/>
                      <w:sz w:val="20"/>
                    </w:rPr>
                    <w:t>98.3</w:t>
                  </w:r>
                </w:p>
              </w:tc>
            </w:tr>
            <w:tr w:rsidR="007070CB">
              <w:tc>
                <w:tcPr>
                  <w:tcW w:w="1567" w:type="pct"/>
                </w:tcPr>
                <w:p w:rsidR="007070CB" w:rsidRDefault="006E2E62">
                  <w:pPr>
                    <w:widowControl/>
                    <w:contextualSpacing/>
                    <w:jc w:val="left"/>
                    <w:rPr>
                      <w:rFonts w:ascii="Arial Narrow" w:hAnsi="Arial Narrow"/>
                      <w:sz w:val="20"/>
                    </w:rPr>
                  </w:pPr>
                  <w:r>
                    <w:rPr>
                      <w:rFonts w:ascii="Arial Narrow" w:hAnsi="Arial Narrow"/>
                      <w:sz w:val="20"/>
                    </w:rPr>
                    <w:t>SAEs</w:t>
                  </w:r>
                </w:p>
              </w:tc>
              <w:tc>
                <w:tcPr>
                  <w:tcW w:w="1128" w:type="pct"/>
                </w:tcPr>
                <w:p w:rsidR="007070CB" w:rsidRDefault="006E2E62">
                  <w:pPr>
                    <w:widowControl/>
                    <w:contextualSpacing/>
                    <w:jc w:val="center"/>
                    <w:rPr>
                      <w:rFonts w:ascii="Arial Narrow" w:hAnsi="Arial Narrow"/>
                      <w:sz w:val="20"/>
                    </w:rPr>
                  </w:pPr>
                  <w:r>
                    <w:rPr>
                      <w:rFonts w:ascii="Arial Narrow" w:hAnsi="Arial Narrow"/>
                      <w:sz w:val="20"/>
                    </w:rPr>
                    <w:t>10.5</w:t>
                  </w:r>
                </w:p>
              </w:tc>
              <w:tc>
                <w:tcPr>
                  <w:tcW w:w="1062" w:type="pct"/>
                </w:tcPr>
                <w:p w:rsidR="007070CB" w:rsidRDefault="006E2E62">
                  <w:pPr>
                    <w:widowControl/>
                    <w:contextualSpacing/>
                    <w:jc w:val="center"/>
                    <w:rPr>
                      <w:rFonts w:ascii="Arial Narrow" w:hAnsi="Arial Narrow"/>
                      <w:sz w:val="20"/>
                    </w:rPr>
                  </w:pPr>
                  <w:r>
                    <w:rPr>
                      <w:rFonts w:ascii="Arial Narrow" w:hAnsi="Arial Narrow"/>
                      <w:sz w:val="20"/>
                    </w:rPr>
                    <w:t>4.9</w:t>
                  </w:r>
                </w:p>
              </w:tc>
              <w:tc>
                <w:tcPr>
                  <w:tcW w:w="1242" w:type="pct"/>
                </w:tcPr>
                <w:p w:rsidR="007070CB" w:rsidRDefault="006E2E62">
                  <w:pPr>
                    <w:widowControl/>
                    <w:contextualSpacing/>
                    <w:jc w:val="center"/>
                    <w:rPr>
                      <w:rFonts w:ascii="Arial Narrow" w:hAnsi="Arial Narrow"/>
                      <w:sz w:val="20"/>
                    </w:rPr>
                  </w:pPr>
                  <w:r>
                    <w:rPr>
                      <w:rFonts w:ascii="Arial Narrow" w:hAnsi="Arial Narrow"/>
                      <w:sz w:val="20"/>
                    </w:rPr>
                    <w:t>6.7</w:t>
                  </w:r>
                </w:p>
              </w:tc>
            </w:tr>
            <w:tr w:rsidR="007070CB">
              <w:tc>
                <w:tcPr>
                  <w:tcW w:w="1567" w:type="pct"/>
                </w:tcPr>
                <w:p w:rsidR="007070CB" w:rsidRDefault="006E2E62">
                  <w:pPr>
                    <w:widowControl/>
                    <w:contextualSpacing/>
                    <w:jc w:val="left"/>
                    <w:rPr>
                      <w:rFonts w:ascii="Arial Narrow" w:hAnsi="Arial Narrow"/>
                      <w:sz w:val="20"/>
                    </w:rPr>
                  </w:pPr>
                  <w:r>
                    <w:rPr>
                      <w:rFonts w:ascii="Arial Narrow" w:hAnsi="Arial Narrow"/>
                      <w:sz w:val="20"/>
                    </w:rPr>
                    <w:t xml:space="preserve">AEs → treat disc. </w:t>
                  </w:r>
                </w:p>
              </w:tc>
              <w:tc>
                <w:tcPr>
                  <w:tcW w:w="1128" w:type="pct"/>
                </w:tcPr>
                <w:p w:rsidR="007070CB" w:rsidRDefault="006E2E62">
                  <w:pPr>
                    <w:widowControl/>
                    <w:contextualSpacing/>
                    <w:jc w:val="center"/>
                    <w:rPr>
                      <w:rFonts w:ascii="Arial Narrow" w:hAnsi="Arial Narrow"/>
                      <w:sz w:val="20"/>
                    </w:rPr>
                  </w:pPr>
                  <w:r>
                    <w:rPr>
                      <w:rFonts w:ascii="Arial Narrow" w:hAnsi="Arial Narrow"/>
                      <w:sz w:val="20"/>
                    </w:rPr>
                    <w:t>0</w:t>
                  </w:r>
                </w:p>
              </w:tc>
              <w:tc>
                <w:tcPr>
                  <w:tcW w:w="1062" w:type="pct"/>
                </w:tcPr>
                <w:p w:rsidR="007070CB" w:rsidRDefault="006E2E62">
                  <w:pPr>
                    <w:widowControl/>
                    <w:contextualSpacing/>
                    <w:jc w:val="center"/>
                    <w:rPr>
                      <w:rFonts w:ascii="Arial Narrow" w:hAnsi="Arial Narrow"/>
                      <w:sz w:val="20"/>
                    </w:rPr>
                  </w:pPr>
                  <w:r>
                    <w:rPr>
                      <w:rFonts w:ascii="Arial Narrow" w:hAnsi="Arial Narrow"/>
                      <w:sz w:val="20"/>
                    </w:rPr>
                    <w:t>7.3</w:t>
                  </w:r>
                </w:p>
              </w:tc>
              <w:tc>
                <w:tcPr>
                  <w:tcW w:w="1242" w:type="pct"/>
                </w:tcPr>
                <w:p w:rsidR="007070CB" w:rsidRDefault="006E2E62">
                  <w:pPr>
                    <w:widowControl/>
                    <w:contextualSpacing/>
                    <w:jc w:val="center"/>
                    <w:rPr>
                      <w:rFonts w:ascii="Arial Narrow" w:hAnsi="Arial Narrow"/>
                      <w:sz w:val="20"/>
                    </w:rPr>
                  </w:pPr>
                  <w:r>
                    <w:rPr>
                      <w:rFonts w:ascii="Arial Narrow" w:hAnsi="Arial Narrow"/>
                      <w:sz w:val="20"/>
                    </w:rPr>
                    <w:t>5.0</w:t>
                  </w:r>
                </w:p>
              </w:tc>
            </w:tr>
          </w:tbl>
          <w:p w:rsidR="007070CB" w:rsidRDefault="007070CB">
            <w:pPr>
              <w:widowControl/>
              <w:spacing w:before="0" w:after="0"/>
              <w:contextualSpacing/>
              <w:jc w:val="left"/>
              <w:rPr>
                <w:rFonts w:ascii="Arial Narrow" w:hAnsi="Arial Narrow"/>
                <w:sz w:val="20"/>
              </w:rPr>
            </w:pPr>
          </w:p>
        </w:tc>
      </w:tr>
      <w:tr w:rsidR="007070CB" w:rsidTr="007070CB">
        <w:trPr>
          <w:cantSplit/>
          <w:trHeight w:val="362"/>
        </w:trPr>
        <w:tc>
          <w:tcPr>
            <w:tcW w:w="1555" w:type="dxa"/>
          </w:tcPr>
          <w:p w:rsidR="007070CB" w:rsidRDefault="006E2E62">
            <w:pPr>
              <w:widowControl/>
              <w:spacing w:before="0" w:after="0"/>
              <w:contextualSpacing/>
              <w:jc w:val="left"/>
              <w:rPr>
                <w:rFonts w:ascii="Arial Narrow" w:hAnsi="Arial Narrow"/>
                <w:vertAlign w:val="superscript"/>
              </w:rPr>
            </w:pPr>
            <w:r>
              <w:rPr>
                <w:rFonts w:ascii="Arial Narrow" w:hAnsi="Arial Narrow"/>
                <w:sz w:val="20"/>
              </w:rPr>
              <w:t>Clinical claim</w:t>
            </w:r>
          </w:p>
        </w:tc>
        <w:tc>
          <w:tcPr>
            <w:tcW w:w="4011" w:type="dxa"/>
          </w:tcPr>
          <w:p w:rsidR="007070CB" w:rsidRDefault="006E2E62">
            <w:pPr>
              <w:widowControl/>
              <w:spacing w:before="0" w:after="0"/>
              <w:jc w:val="left"/>
              <w:rPr>
                <w:rFonts w:ascii="Arial Narrow" w:hAnsi="Arial Narrow"/>
                <w:sz w:val="20"/>
              </w:rPr>
            </w:pPr>
            <w:r>
              <w:rPr>
                <w:rFonts w:ascii="Arial Narrow" w:hAnsi="Arial Narrow"/>
                <w:sz w:val="20"/>
              </w:rPr>
              <w:t>Lumacaftor/ivacaftor plus BSC compared with BSC alone is:</w:t>
            </w:r>
          </w:p>
          <w:p w:rsidR="007070CB" w:rsidRDefault="006E2E62">
            <w:pPr>
              <w:pStyle w:val="ListParagraph"/>
              <w:widowControl/>
              <w:numPr>
                <w:ilvl w:val="0"/>
                <w:numId w:val="8"/>
              </w:numPr>
              <w:spacing w:before="0" w:after="0"/>
              <w:ind w:left="269" w:hanging="252"/>
              <w:contextualSpacing/>
              <w:jc w:val="left"/>
              <w:rPr>
                <w:rFonts w:ascii="Arial Narrow" w:hAnsi="Arial Narrow"/>
                <w:sz w:val="20"/>
              </w:rPr>
            </w:pPr>
            <w:r>
              <w:rPr>
                <w:rFonts w:ascii="Arial Narrow" w:hAnsi="Arial Narrow"/>
                <w:sz w:val="20"/>
              </w:rPr>
              <w:t>Superior in terms of effectiveness.</w:t>
            </w:r>
          </w:p>
          <w:p w:rsidR="007070CB" w:rsidRDefault="006E2E62">
            <w:pPr>
              <w:pStyle w:val="ListParagraph"/>
              <w:widowControl/>
              <w:numPr>
                <w:ilvl w:val="0"/>
                <w:numId w:val="8"/>
              </w:numPr>
              <w:spacing w:before="0" w:after="0"/>
              <w:ind w:left="269" w:hanging="252"/>
              <w:contextualSpacing/>
              <w:jc w:val="left"/>
              <w:rPr>
                <w:rFonts w:ascii="Arial Narrow" w:hAnsi="Arial Narrow"/>
                <w:sz w:val="20"/>
              </w:rPr>
            </w:pPr>
            <w:r>
              <w:rPr>
                <w:rFonts w:ascii="Arial Narrow" w:hAnsi="Arial Narrow"/>
                <w:sz w:val="20"/>
              </w:rPr>
              <w:t xml:space="preserve">Non-inferior in terms of safety. </w:t>
            </w:r>
          </w:p>
          <w:p w:rsidR="007070CB" w:rsidRDefault="007070CB">
            <w:pPr>
              <w:widowControl/>
              <w:spacing w:before="0" w:after="0"/>
              <w:jc w:val="left"/>
              <w:rPr>
                <w:rFonts w:ascii="Arial Narrow" w:hAnsi="Arial Narrow"/>
                <w:sz w:val="20"/>
              </w:rPr>
            </w:pPr>
          </w:p>
          <w:p w:rsidR="007070CB" w:rsidRDefault="006E2E62">
            <w:pPr>
              <w:widowControl/>
              <w:spacing w:before="0" w:after="0"/>
              <w:contextualSpacing/>
              <w:jc w:val="left"/>
              <w:rPr>
                <w:rFonts w:ascii="Arial Narrow" w:hAnsi="Arial Narrow"/>
                <w:sz w:val="20"/>
              </w:rPr>
            </w:pPr>
            <w:r>
              <w:rPr>
                <w:rFonts w:ascii="Arial Narrow" w:hAnsi="Arial Narrow"/>
                <w:sz w:val="20"/>
              </w:rPr>
              <w:t>The PBAC considered the claim that lumacaftor/ivacaftor slows the rate of decline in ppFEV</w:t>
            </w:r>
            <w:r>
              <w:rPr>
                <w:rFonts w:ascii="Arial Narrow" w:hAnsi="Arial Narrow"/>
                <w:sz w:val="20"/>
                <w:vertAlign w:val="subscript"/>
              </w:rPr>
              <w:t>1</w:t>
            </w:r>
            <w:r>
              <w:rPr>
                <w:rFonts w:ascii="Arial Narrow" w:hAnsi="Arial Narrow"/>
                <w:sz w:val="20"/>
              </w:rPr>
              <w:t xml:space="preserve"> beyond 24 weeks, compared with patients treated with BSC, was not adequately supported by the resubmission [para 6.39 of the July 2017 PSD].</w:t>
            </w:r>
          </w:p>
        </w:tc>
        <w:tc>
          <w:tcPr>
            <w:tcW w:w="3451" w:type="dxa"/>
          </w:tcPr>
          <w:p w:rsidR="007070CB" w:rsidRDefault="006E2E62">
            <w:pPr>
              <w:widowControl/>
              <w:spacing w:before="0" w:after="0"/>
              <w:jc w:val="left"/>
              <w:rPr>
                <w:rFonts w:ascii="Arial Narrow" w:hAnsi="Arial Narrow"/>
                <w:sz w:val="20"/>
              </w:rPr>
            </w:pPr>
            <w:r>
              <w:rPr>
                <w:rFonts w:ascii="Arial Narrow" w:hAnsi="Arial Narrow"/>
                <w:sz w:val="20"/>
              </w:rPr>
              <w:t>Lumacaftor/ivacaftor plus BSC compared with BSC alone is:</w:t>
            </w:r>
          </w:p>
          <w:p w:rsidR="007070CB" w:rsidRDefault="006E2E62">
            <w:pPr>
              <w:pStyle w:val="ListParagraph"/>
              <w:widowControl/>
              <w:numPr>
                <w:ilvl w:val="0"/>
                <w:numId w:val="8"/>
              </w:numPr>
              <w:spacing w:before="0" w:after="0"/>
              <w:ind w:left="269" w:hanging="252"/>
              <w:contextualSpacing/>
              <w:jc w:val="left"/>
              <w:rPr>
                <w:rFonts w:ascii="Arial Narrow" w:hAnsi="Arial Narrow"/>
                <w:sz w:val="20"/>
              </w:rPr>
            </w:pPr>
            <w:r>
              <w:rPr>
                <w:rFonts w:ascii="Arial Narrow" w:hAnsi="Arial Narrow"/>
                <w:sz w:val="20"/>
              </w:rPr>
              <w:t>Superior in terms of effectiveness.</w:t>
            </w:r>
          </w:p>
          <w:p w:rsidR="007070CB" w:rsidRDefault="006E2E62">
            <w:pPr>
              <w:pStyle w:val="ListParagraph"/>
              <w:widowControl/>
              <w:numPr>
                <w:ilvl w:val="0"/>
                <w:numId w:val="8"/>
              </w:numPr>
              <w:spacing w:before="0" w:after="0"/>
              <w:ind w:left="269" w:hanging="252"/>
              <w:contextualSpacing/>
              <w:jc w:val="left"/>
              <w:rPr>
                <w:rFonts w:ascii="Arial Narrow" w:hAnsi="Arial Narrow"/>
                <w:sz w:val="20"/>
              </w:rPr>
            </w:pPr>
            <w:r>
              <w:rPr>
                <w:rFonts w:ascii="Arial Narrow" w:hAnsi="Arial Narrow"/>
                <w:sz w:val="20"/>
              </w:rPr>
              <w:t>Non-inferior in terms of safety.</w:t>
            </w:r>
          </w:p>
          <w:p w:rsidR="007070CB" w:rsidRDefault="007070CB">
            <w:pPr>
              <w:widowControl/>
              <w:spacing w:before="0" w:after="0"/>
              <w:jc w:val="left"/>
              <w:rPr>
                <w:rFonts w:ascii="Arial Narrow" w:hAnsi="Arial Narrow"/>
                <w:sz w:val="20"/>
              </w:rPr>
            </w:pPr>
          </w:p>
          <w:p w:rsidR="007070CB" w:rsidRDefault="006E2E62">
            <w:pPr>
              <w:widowControl/>
              <w:spacing w:before="0" w:after="0"/>
              <w:contextualSpacing/>
              <w:jc w:val="left"/>
              <w:rPr>
                <w:rFonts w:ascii="Arial Narrow" w:hAnsi="Arial Narrow"/>
                <w:sz w:val="20"/>
              </w:rPr>
            </w:pPr>
            <w:r>
              <w:rPr>
                <w:rFonts w:ascii="Arial Narrow" w:hAnsi="Arial Narrow"/>
                <w:sz w:val="20"/>
              </w:rPr>
              <w:t>The submission did not provide evidence on the comparison of treatment with lumacaftor/ivacaftor + BSC compared with BSC.</w:t>
            </w:r>
            <w:r w:rsidR="00FE7D84">
              <w:rPr>
                <w:rFonts w:ascii="Arial Narrow" w:hAnsi="Arial Narrow"/>
                <w:sz w:val="20"/>
              </w:rPr>
              <w:t xml:space="preserve"> </w:t>
            </w:r>
          </w:p>
        </w:tc>
      </w:tr>
      <w:tr w:rsidR="007070CB" w:rsidTr="007070CB">
        <w:trPr>
          <w:cantSplit/>
          <w:trHeight w:val="1242"/>
        </w:trPr>
        <w:tc>
          <w:tcPr>
            <w:tcW w:w="1555" w:type="dxa"/>
          </w:tcPr>
          <w:p w:rsidR="007070CB" w:rsidRDefault="006E2E62">
            <w:pPr>
              <w:widowControl/>
              <w:spacing w:before="0" w:after="0"/>
              <w:contextualSpacing/>
              <w:jc w:val="left"/>
              <w:rPr>
                <w:rFonts w:ascii="Arial Narrow" w:hAnsi="Arial Narrow"/>
                <w:sz w:val="20"/>
              </w:rPr>
            </w:pPr>
            <w:r>
              <w:rPr>
                <w:rFonts w:ascii="Arial Narrow" w:hAnsi="Arial Narrow"/>
                <w:sz w:val="20"/>
              </w:rPr>
              <w:t>Economic evaluation</w:t>
            </w:r>
          </w:p>
        </w:tc>
        <w:tc>
          <w:tcPr>
            <w:tcW w:w="4011" w:type="dxa"/>
          </w:tcPr>
          <w:p w:rsidR="007070CB" w:rsidRDefault="006E2E62">
            <w:pPr>
              <w:widowControl/>
              <w:spacing w:before="0" w:after="0"/>
              <w:jc w:val="left"/>
              <w:rPr>
                <w:rFonts w:ascii="Arial Narrow" w:hAnsi="Arial Narrow" w:cs="Times New Roman"/>
                <w:sz w:val="20"/>
                <w:szCs w:val="18"/>
                <w:lang w:eastAsia="en-AU"/>
              </w:rPr>
            </w:pPr>
            <w:r>
              <w:rPr>
                <w:rFonts w:ascii="Arial Narrow" w:hAnsi="Arial Narrow"/>
                <w:sz w:val="20"/>
              </w:rPr>
              <w:t>Cost-utility model (cost/QALY)</w:t>
            </w:r>
          </w:p>
          <w:p w:rsidR="007070CB" w:rsidRDefault="006E2E62">
            <w:pPr>
              <w:pStyle w:val="ListParagraph"/>
              <w:widowControl/>
              <w:numPr>
                <w:ilvl w:val="0"/>
                <w:numId w:val="8"/>
              </w:numPr>
              <w:spacing w:before="0" w:after="0"/>
              <w:ind w:left="269" w:hanging="252"/>
              <w:contextualSpacing/>
              <w:jc w:val="left"/>
              <w:rPr>
                <w:rFonts w:ascii="Arial Narrow" w:hAnsi="Arial Narrow"/>
                <w:sz w:val="20"/>
              </w:rPr>
            </w:pPr>
            <w:r>
              <w:rPr>
                <w:rFonts w:ascii="Arial Narrow" w:hAnsi="Arial Narrow" w:cs="Times New Roman"/>
                <w:sz w:val="20"/>
                <w:szCs w:val="18"/>
                <w:lang w:eastAsia="en-AU"/>
              </w:rPr>
              <w:t xml:space="preserve">6 to 11 years; </w:t>
            </w:r>
          </w:p>
          <w:p w:rsidR="007070CB" w:rsidRDefault="00C42D5F">
            <w:pPr>
              <w:pStyle w:val="ListParagraph"/>
              <w:widowControl/>
              <w:spacing w:before="0" w:after="0"/>
              <w:ind w:left="269"/>
              <w:jc w:val="left"/>
              <w:rPr>
                <w:rFonts w:ascii="Arial Narrow" w:hAnsi="Arial Narrow"/>
                <w:sz w:val="20"/>
              </w:rPr>
            </w:pPr>
            <w:r>
              <w:rPr>
                <w:rFonts w:ascii="Arial Narrow" w:hAnsi="Arial Narrow"/>
                <w:noProof/>
                <w:color w:val="000000"/>
                <w:sz w:val="20"/>
                <w:highlight w:val="black"/>
              </w:rPr>
              <w:t>'''''''''''''''''''''''</w:t>
            </w:r>
            <w:r w:rsidR="006E2E62">
              <w:rPr>
                <w:rFonts w:ascii="Arial Narrow" w:hAnsi="Arial Narrow"/>
                <w:sz w:val="20"/>
              </w:rPr>
              <w:t xml:space="preserve"> (restricted to 6 to 11 years)</w:t>
            </w:r>
          </w:p>
          <w:p w:rsidR="007070CB" w:rsidRDefault="00C42D5F">
            <w:pPr>
              <w:pStyle w:val="ListParagraph"/>
              <w:widowControl/>
              <w:spacing w:before="0" w:after="0"/>
              <w:ind w:left="269"/>
              <w:jc w:val="left"/>
              <w:rPr>
                <w:rFonts w:ascii="Arial Narrow" w:hAnsi="Arial Narrow"/>
                <w:sz w:val="20"/>
              </w:rPr>
            </w:pPr>
            <w:r>
              <w:rPr>
                <w:rFonts w:ascii="Arial Narrow" w:hAnsi="Arial Narrow"/>
                <w:noProof/>
                <w:color w:val="000000"/>
                <w:sz w:val="20"/>
                <w:highlight w:val="black"/>
              </w:rPr>
              <w:t>'''''''''''''''''''''''</w:t>
            </w:r>
            <w:r w:rsidR="006E2E62">
              <w:rPr>
                <w:rFonts w:ascii="Arial Narrow" w:hAnsi="Arial Narrow"/>
                <w:sz w:val="20"/>
              </w:rPr>
              <w:t xml:space="preserve"> (≥ 6 years of age)</w:t>
            </w:r>
          </w:p>
          <w:p w:rsidR="007070CB" w:rsidRDefault="006E2E62">
            <w:pPr>
              <w:pStyle w:val="ListParagraph"/>
              <w:widowControl/>
              <w:numPr>
                <w:ilvl w:val="0"/>
                <w:numId w:val="8"/>
              </w:numPr>
              <w:spacing w:before="0" w:after="0"/>
              <w:ind w:left="269" w:hanging="252"/>
              <w:contextualSpacing/>
              <w:jc w:val="left"/>
              <w:rPr>
                <w:rFonts w:ascii="Arial Narrow" w:hAnsi="Arial Narrow"/>
                <w:sz w:val="20"/>
              </w:rPr>
            </w:pPr>
            <w:r>
              <w:rPr>
                <w:rFonts w:ascii="Arial Narrow" w:hAnsi="Arial Narrow" w:cs="Times New Roman"/>
                <w:sz w:val="20"/>
                <w:szCs w:val="18"/>
                <w:lang w:eastAsia="en-AU"/>
              </w:rPr>
              <w:t>12 and older</w:t>
            </w:r>
            <w:r>
              <w:rPr>
                <w:rFonts w:ascii="Arial Narrow" w:hAnsi="Arial Narrow"/>
                <w:sz w:val="20"/>
              </w:rPr>
              <w:t xml:space="preserve">: </w:t>
            </w:r>
            <w:r w:rsidR="00C42D5F">
              <w:rPr>
                <w:rFonts w:ascii="Arial Narrow" w:hAnsi="Arial Narrow" w:cs="Times New Roman"/>
                <w:noProof/>
                <w:color w:val="000000"/>
                <w:sz w:val="20"/>
                <w:szCs w:val="18"/>
                <w:highlight w:val="black"/>
                <w:lang w:eastAsia="en-AU"/>
              </w:rPr>
              <w:t>''''''''''''''''''''''''</w:t>
            </w:r>
          </w:p>
        </w:tc>
        <w:tc>
          <w:tcPr>
            <w:tcW w:w="3451" w:type="dxa"/>
          </w:tcPr>
          <w:p w:rsidR="007070CB" w:rsidRDefault="006E2E62">
            <w:pPr>
              <w:widowControl/>
              <w:spacing w:before="0" w:after="0"/>
              <w:jc w:val="left"/>
              <w:rPr>
                <w:rFonts w:ascii="Arial Narrow" w:hAnsi="Arial Narrow" w:cs="Times New Roman"/>
                <w:sz w:val="20"/>
                <w:szCs w:val="18"/>
                <w:lang w:eastAsia="en-AU"/>
              </w:rPr>
            </w:pPr>
            <w:r>
              <w:rPr>
                <w:rFonts w:ascii="Arial Narrow" w:hAnsi="Arial Narrow"/>
                <w:sz w:val="20"/>
              </w:rPr>
              <w:t>Cost-utility model (cost/QALY)</w:t>
            </w:r>
          </w:p>
          <w:p w:rsidR="007070CB" w:rsidRDefault="006E2E62">
            <w:pPr>
              <w:pStyle w:val="ListParagraph"/>
              <w:widowControl/>
              <w:numPr>
                <w:ilvl w:val="0"/>
                <w:numId w:val="8"/>
              </w:numPr>
              <w:spacing w:before="0" w:after="0"/>
              <w:ind w:left="269" w:hanging="252"/>
              <w:contextualSpacing/>
              <w:jc w:val="left"/>
              <w:rPr>
                <w:rFonts w:ascii="Arial Narrow" w:hAnsi="Arial Narrow"/>
                <w:sz w:val="20"/>
              </w:rPr>
            </w:pPr>
            <w:r>
              <w:rPr>
                <w:rFonts w:ascii="Arial Narrow" w:hAnsi="Arial Narrow"/>
                <w:sz w:val="20"/>
              </w:rPr>
              <w:t>2</w:t>
            </w:r>
            <w:r>
              <w:rPr>
                <w:rFonts w:ascii="Arial Narrow" w:hAnsi="Arial Narrow" w:cs="Times New Roman"/>
                <w:sz w:val="20"/>
                <w:szCs w:val="18"/>
                <w:lang w:eastAsia="en-AU"/>
              </w:rPr>
              <w:t xml:space="preserve"> to</w:t>
            </w:r>
            <w:r>
              <w:rPr>
                <w:rFonts w:ascii="Arial Narrow" w:hAnsi="Arial Narrow"/>
                <w:sz w:val="20"/>
              </w:rPr>
              <w:t xml:space="preserve"> 5</w:t>
            </w:r>
            <w:r>
              <w:rPr>
                <w:rFonts w:ascii="Arial Narrow" w:hAnsi="Arial Narrow" w:cs="Times New Roman"/>
                <w:sz w:val="20"/>
                <w:szCs w:val="18"/>
                <w:lang w:eastAsia="en-AU"/>
              </w:rPr>
              <w:t xml:space="preserve"> years; </w:t>
            </w:r>
          </w:p>
          <w:p w:rsidR="007070CB" w:rsidRDefault="00C42D5F">
            <w:pPr>
              <w:pStyle w:val="ListParagraph"/>
              <w:widowControl/>
              <w:spacing w:before="0" w:after="0"/>
              <w:ind w:left="269"/>
              <w:jc w:val="left"/>
              <w:rPr>
                <w:rFonts w:ascii="Arial Narrow" w:hAnsi="Arial Narrow"/>
                <w:sz w:val="20"/>
              </w:rPr>
            </w:pPr>
            <w:r>
              <w:rPr>
                <w:rFonts w:ascii="Arial Narrow" w:hAnsi="Arial Narrow"/>
                <w:noProof/>
                <w:color w:val="000000"/>
                <w:sz w:val="20"/>
                <w:highlight w:val="black"/>
              </w:rPr>
              <w:t>'''''''''''''''''''''''</w:t>
            </w:r>
            <w:r w:rsidR="006E2E62">
              <w:rPr>
                <w:rFonts w:ascii="Arial Narrow" w:hAnsi="Arial Narrow"/>
                <w:sz w:val="20"/>
              </w:rPr>
              <w:t xml:space="preserve"> (restricted to 2 to 5 year olds)</w:t>
            </w:r>
          </w:p>
          <w:p w:rsidR="007070CB" w:rsidRDefault="00C42D5F">
            <w:pPr>
              <w:pStyle w:val="ListParagraph"/>
              <w:widowControl/>
              <w:spacing w:before="0" w:after="0"/>
              <w:ind w:left="269"/>
              <w:jc w:val="left"/>
              <w:rPr>
                <w:rFonts w:ascii="Arial Narrow" w:hAnsi="Arial Narrow"/>
                <w:sz w:val="20"/>
              </w:rPr>
            </w:pPr>
            <w:r>
              <w:rPr>
                <w:rFonts w:ascii="Arial Narrow" w:hAnsi="Arial Narrow"/>
                <w:noProof/>
                <w:color w:val="000000"/>
                <w:sz w:val="20"/>
                <w:highlight w:val="black"/>
              </w:rPr>
              <w:t>''''''''''''''''''''''</w:t>
            </w:r>
            <w:r w:rsidR="006E2E62">
              <w:rPr>
                <w:rFonts w:ascii="Arial Narrow" w:hAnsi="Arial Narrow"/>
                <w:sz w:val="20"/>
              </w:rPr>
              <w:t xml:space="preserve"> (≥ 2 years of age)</w:t>
            </w:r>
          </w:p>
          <w:p w:rsidR="007070CB" w:rsidRDefault="007070CB">
            <w:pPr>
              <w:widowControl/>
              <w:spacing w:before="0" w:after="0"/>
              <w:contextualSpacing/>
              <w:jc w:val="left"/>
              <w:rPr>
                <w:rFonts w:ascii="Arial Narrow" w:hAnsi="Arial Narrow"/>
                <w:sz w:val="20"/>
              </w:rPr>
            </w:pPr>
          </w:p>
        </w:tc>
      </w:tr>
      <w:tr w:rsidR="007070CB" w:rsidTr="007070CB">
        <w:trPr>
          <w:cantSplit/>
          <w:trHeight w:val="362"/>
        </w:trPr>
        <w:tc>
          <w:tcPr>
            <w:tcW w:w="1555" w:type="dxa"/>
          </w:tcPr>
          <w:p w:rsidR="007070CB" w:rsidRDefault="006E2E62">
            <w:pPr>
              <w:widowControl/>
              <w:spacing w:before="0" w:after="0"/>
              <w:contextualSpacing/>
              <w:jc w:val="left"/>
              <w:rPr>
                <w:rFonts w:ascii="Arial Narrow" w:hAnsi="Arial Narrow"/>
                <w:sz w:val="20"/>
              </w:rPr>
            </w:pPr>
            <w:r>
              <w:rPr>
                <w:rFonts w:ascii="Arial Narrow" w:hAnsi="Arial Narrow"/>
                <w:sz w:val="20"/>
              </w:rPr>
              <w:t>Financial implications</w:t>
            </w:r>
          </w:p>
        </w:tc>
        <w:tc>
          <w:tcPr>
            <w:tcW w:w="4011" w:type="dxa"/>
          </w:tcPr>
          <w:p w:rsidR="007070CB" w:rsidRDefault="006E2E62">
            <w:pPr>
              <w:widowControl/>
              <w:spacing w:before="0" w:after="0"/>
              <w:jc w:val="left"/>
              <w:rPr>
                <w:rFonts w:ascii="Arial Narrow" w:hAnsi="Arial Narrow"/>
                <w:sz w:val="20"/>
              </w:rPr>
            </w:pPr>
            <w:r>
              <w:rPr>
                <w:rFonts w:ascii="Arial Narrow" w:hAnsi="Arial Narrow"/>
                <w:sz w:val="20"/>
              </w:rPr>
              <w:t>Overall impact on government health budget:</w:t>
            </w:r>
          </w:p>
          <w:p w:rsidR="007070CB" w:rsidRDefault="006E2E62">
            <w:pPr>
              <w:widowControl/>
              <w:spacing w:before="0" w:after="0"/>
              <w:jc w:val="left"/>
              <w:rPr>
                <w:rFonts w:ascii="Arial Narrow" w:hAnsi="Arial Narrow"/>
                <w:sz w:val="20"/>
              </w:rPr>
            </w:pPr>
            <w:r>
              <w:rPr>
                <w:rFonts w:ascii="Arial Narrow" w:hAnsi="Arial Narrow"/>
                <w:sz w:val="20"/>
              </w:rPr>
              <w:t>Age 6 years and older:</w:t>
            </w:r>
          </w:p>
          <w:p w:rsidR="007070CB" w:rsidRDefault="006E2E62">
            <w:pPr>
              <w:pStyle w:val="ListParagraph"/>
              <w:widowControl/>
              <w:numPr>
                <w:ilvl w:val="0"/>
                <w:numId w:val="8"/>
              </w:numPr>
              <w:spacing w:before="0" w:after="0"/>
              <w:ind w:left="269" w:hanging="252"/>
              <w:contextualSpacing/>
              <w:jc w:val="left"/>
              <w:rPr>
                <w:rFonts w:ascii="Arial Narrow" w:hAnsi="Arial Narrow"/>
                <w:sz w:val="20"/>
              </w:rPr>
            </w:pPr>
            <w:r>
              <w:rPr>
                <w:rFonts w:ascii="Arial Narrow" w:hAnsi="Arial Narrow"/>
                <w:sz w:val="20"/>
              </w:rPr>
              <w:t xml:space="preserve"> With cap: $</w:t>
            </w:r>
            <w:r w:rsidR="00C42D5F">
              <w:rPr>
                <w:rFonts w:ascii="Arial Narrow" w:hAnsi="Arial Narrow"/>
                <w:noProof/>
                <w:color w:val="000000"/>
                <w:sz w:val="20"/>
                <w:highlight w:val="black"/>
              </w:rPr>
              <w:t>''''''''''''''</w:t>
            </w:r>
            <w:r>
              <w:rPr>
                <w:rFonts w:ascii="Arial Narrow" w:hAnsi="Arial Narrow"/>
                <w:sz w:val="20"/>
              </w:rPr>
              <w:t xml:space="preserve"> in year 1 </w:t>
            </w:r>
            <w:r>
              <w:rPr>
                <w:rFonts w:ascii="Arial Narrow" w:hAnsi="Arial Narrow" w:cs="Times New Roman"/>
                <w:sz w:val="20"/>
                <w:szCs w:val="18"/>
                <w:lang w:eastAsia="en-AU"/>
              </w:rPr>
              <w:t>increasing</w:t>
            </w:r>
            <w:r>
              <w:rPr>
                <w:rFonts w:ascii="Arial Narrow" w:hAnsi="Arial Narrow"/>
                <w:sz w:val="20"/>
              </w:rPr>
              <w:t xml:space="preserve"> to $</w:t>
            </w:r>
            <w:r w:rsidR="00C42D5F">
              <w:rPr>
                <w:rFonts w:ascii="Arial Narrow" w:hAnsi="Arial Narrow"/>
                <w:noProof/>
                <w:color w:val="000000"/>
                <w:sz w:val="20"/>
                <w:highlight w:val="black"/>
              </w:rPr>
              <w:t>''''''''''''''''</w:t>
            </w:r>
            <w:r>
              <w:rPr>
                <w:rFonts w:ascii="Arial Narrow" w:hAnsi="Arial Narrow"/>
                <w:sz w:val="20"/>
              </w:rPr>
              <w:t xml:space="preserve"> in year 5. </w:t>
            </w:r>
          </w:p>
        </w:tc>
        <w:tc>
          <w:tcPr>
            <w:tcW w:w="3451" w:type="dxa"/>
          </w:tcPr>
          <w:p w:rsidR="007070CB" w:rsidRDefault="006E2E62">
            <w:pPr>
              <w:widowControl/>
              <w:spacing w:before="0" w:after="0"/>
              <w:jc w:val="left"/>
              <w:rPr>
                <w:rFonts w:ascii="Arial Narrow" w:hAnsi="Arial Narrow"/>
                <w:sz w:val="20"/>
              </w:rPr>
            </w:pPr>
            <w:r>
              <w:rPr>
                <w:rFonts w:ascii="Arial Narrow" w:hAnsi="Arial Narrow"/>
                <w:sz w:val="20"/>
              </w:rPr>
              <w:t>Overall impact on Government health budget:</w:t>
            </w:r>
          </w:p>
          <w:p w:rsidR="007070CB" w:rsidRDefault="006E2E62">
            <w:pPr>
              <w:pStyle w:val="ListParagraph"/>
              <w:widowControl/>
              <w:numPr>
                <w:ilvl w:val="0"/>
                <w:numId w:val="8"/>
              </w:numPr>
              <w:spacing w:before="0" w:after="0"/>
              <w:ind w:left="269" w:hanging="252"/>
              <w:contextualSpacing/>
              <w:jc w:val="left"/>
              <w:rPr>
                <w:rFonts w:ascii="Arial Narrow" w:hAnsi="Arial Narrow"/>
                <w:sz w:val="20"/>
              </w:rPr>
            </w:pPr>
            <w:r>
              <w:rPr>
                <w:rFonts w:ascii="Arial Narrow" w:hAnsi="Arial Narrow"/>
                <w:sz w:val="20"/>
              </w:rPr>
              <w:t>With cap: $</w:t>
            </w:r>
            <w:r w:rsidR="00C42D5F">
              <w:rPr>
                <w:rFonts w:ascii="Arial Narrow" w:hAnsi="Arial Narrow"/>
                <w:noProof/>
                <w:color w:val="000000"/>
                <w:sz w:val="20"/>
                <w:highlight w:val="black"/>
              </w:rPr>
              <w:t>''''''''''''''</w:t>
            </w:r>
            <w:r>
              <w:rPr>
                <w:rFonts w:ascii="Arial Narrow" w:hAnsi="Arial Narrow"/>
                <w:sz w:val="20"/>
              </w:rPr>
              <w:t xml:space="preserve"> in year 1 </w:t>
            </w:r>
            <w:r>
              <w:rPr>
                <w:rFonts w:ascii="Arial Narrow" w:hAnsi="Arial Narrow" w:cs="Times New Roman"/>
                <w:sz w:val="20"/>
                <w:szCs w:val="18"/>
                <w:lang w:eastAsia="en-AU"/>
              </w:rPr>
              <w:t>increasing</w:t>
            </w:r>
            <w:r>
              <w:rPr>
                <w:rFonts w:ascii="Arial Narrow" w:hAnsi="Arial Narrow"/>
                <w:sz w:val="20"/>
              </w:rPr>
              <w:t xml:space="preserve"> to $</w:t>
            </w:r>
            <w:r w:rsidR="00C42D5F">
              <w:rPr>
                <w:rFonts w:ascii="Arial Narrow" w:hAnsi="Arial Narrow"/>
                <w:noProof/>
                <w:color w:val="000000"/>
                <w:sz w:val="20"/>
                <w:highlight w:val="black"/>
              </w:rPr>
              <w:t>''''''''''''''</w:t>
            </w:r>
            <w:r>
              <w:rPr>
                <w:rFonts w:ascii="Arial Narrow" w:hAnsi="Arial Narrow"/>
                <w:sz w:val="20"/>
              </w:rPr>
              <w:t xml:space="preserve"> in year 6.</w:t>
            </w:r>
            <w:r>
              <w:rPr>
                <w:rFonts w:ascii="Arial Narrow" w:hAnsi="Arial Narrow"/>
                <w:sz w:val="20"/>
                <w:vertAlign w:val="superscript"/>
              </w:rPr>
              <w:t>a</w:t>
            </w:r>
            <w:r>
              <w:rPr>
                <w:rFonts w:ascii="Arial Narrow" w:hAnsi="Arial Narrow"/>
                <w:sz w:val="20"/>
              </w:rPr>
              <w:t xml:space="preserve"> </w:t>
            </w:r>
          </w:p>
          <w:p w:rsidR="007070CB" w:rsidRDefault="006E2E62">
            <w:pPr>
              <w:pStyle w:val="ListParagraph"/>
              <w:widowControl/>
              <w:numPr>
                <w:ilvl w:val="0"/>
                <w:numId w:val="8"/>
              </w:numPr>
              <w:spacing w:before="0" w:after="0"/>
              <w:ind w:left="269" w:hanging="252"/>
              <w:contextualSpacing/>
              <w:jc w:val="left"/>
              <w:rPr>
                <w:rFonts w:ascii="Arial Narrow" w:hAnsi="Arial Narrow"/>
                <w:sz w:val="20"/>
              </w:rPr>
            </w:pPr>
            <w:r>
              <w:rPr>
                <w:rFonts w:ascii="Arial Narrow" w:hAnsi="Arial Narrow"/>
                <w:sz w:val="20"/>
              </w:rPr>
              <w:t>Without cap: $</w:t>
            </w:r>
            <w:r w:rsidR="00C42D5F">
              <w:rPr>
                <w:rFonts w:ascii="Arial Narrow" w:hAnsi="Arial Narrow"/>
                <w:noProof/>
                <w:color w:val="000000"/>
                <w:sz w:val="20"/>
                <w:highlight w:val="black"/>
              </w:rPr>
              <w:t>'''''''''''''''</w:t>
            </w:r>
            <w:r>
              <w:rPr>
                <w:rFonts w:ascii="Arial Narrow" w:hAnsi="Arial Narrow"/>
                <w:sz w:val="20"/>
              </w:rPr>
              <w:t xml:space="preserve"> in year 1 increasing to $</w:t>
            </w:r>
            <w:r w:rsidR="00C42D5F">
              <w:rPr>
                <w:rFonts w:ascii="Arial Narrow" w:hAnsi="Arial Narrow"/>
                <w:noProof/>
                <w:color w:val="000000"/>
                <w:sz w:val="20"/>
                <w:highlight w:val="black"/>
              </w:rPr>
              <w:t>'''''''''''''</w:t>
            </w:r>
            <w:r>
              <w:rPr>
                <w:rFonts w:ascii="Arial Narrow" w:hAnsi="Arial Narrow"/>
                <w:sz w:val="20"/>
              </w:rPr>
              <w:t xml:space="preserve"> in year 6.</w:t>
            </w:r>
            <w:r w:rsidR="00FE7D84">
              <w:rPr>
                <w:rFonts w:ascii="Arial Narrow" w:hAnsi="Arial Narrow"/>
                <w:sz w:val="20"/>
              </w:rPr>
              <w:t xml:space="preserve"> </w:t>
            </w:r>
          </w:p>
        </w:tc>
      </w:tr>
      <w:tr w:rsidR="007070CB" w:rsidTr="007070CB">
        <w:trPr>
          <w:cantSplit/>
          <w:trHeight w:val="362"/>
        </w:trPr>
        <w:tc>
          <w:tcPr>
            <w:tcW w:w="1555" w:type="dxa"/>
          </w:tcPr>
          <w:p w:rsidR="007070CB" w:rsidRDefault="006E2E62">
            <w:pPr>
              <w:widowControl/>
              <w:spacing w:before="0" w:after="0"/>
              <w:contextualSpacing/>
              <w:rPr>
                <w:rFonts w:ascii="Arial Narrow" w:hAnsi="Arial Narrow"/>
                <w:sz w:val="20"/>
                <w:vertAlign w:val="superscript"/>
              </w:rPr>
            </w:pPr>
            <w:r>
              <w:rPr>
                <w:rFonts w:ascii="Arial Narrow" w:hAnsi="Arial Narrow"/>
                <w:sz w:val="20"/>
              </w:rPr>
              <w:t>PBAC decision</w:t>
            </w:r>
          </w:p>
        </w:tc>
        <w:tc>
          <w:tcPr>
            <w:tcW w:w="4011" w:type="dxa"/>
          </w:tcPr>
          <w:p w:rsidR="007070CB" w:rsidRDefault="006E2E62">
            <w:pPr>
              <w:widowControl/>
              <w:spacing w:before="0" w:after="0"/>
              <w:contextualSpacing/>
              <w:jc w:val="left"/>
              <w:rPr>
                <w:rFonts w:ascii="Arial Narrow" w:hAnsi="Arial Narrow"/>
                <w:sz w:val="20"/>
              </w:rPr>
            </w:pPr>
            <w:r>
              <w:rPr>
                <w:rFonts w:ascii="Arial Narrow" w:hAnsi="Arial Narrow"/>
                <w:sz w:val="20"/>
              </w:rPr>
              <w:t>Recommended at July 2018 PBAC meeting (also considered at PBAC meetings: March 2016, November 2016, July 2017)</w:t>
            </w:r>
            <w:r>
              <w:rPr>
                <w:rFonts w:ascii="Arial Narrow" w:hAnsi="Arial Narrow"/>
                <w:i/>
                <w:sz w:val="20"/>
              </w:rPr>
              <w:t xml:space="preserve"> </w:t>
            </w:r>
            <w:r>
              <w:rPr>
                <w:rFonts w:ascii="Arial Narrow" w:hAnsi="Arial Narrow"/>
                <w:sz w:val="20"/>
              </w:rPr>
              <w:t>with a managed access plan, a special pricing arrangement to give effect to a price of $</w:t>
            </w:r>
            <w:r w:rsidR="00C42D5F">
              <w:rPr>
                <w:rFonts w:ascii="Arial Narrow" w:hAnsi="Arial Narrow"/>
                <w:noProof/>
                <w:color w:val="000000"/>
                <w:sz w:val="20"/>
                <w:highlight w:val="black"/>
              </w:rPr>
              <w:t>'''''''''''''''</w:t>
            </w:r>
            <w:r>
              <w:rPr>
                <w:rFonts w:ascii="Arial Narrow" w:hAnsi="Arial Narrow"/>
                <w:sz w:val="20"/>
              </w:rPr>
              <w:t xml:space="preserve"> per patient per year and caps on total expenditure in line with estimated utilisation.</w:t>
            </w:r>
            <w:r w:rsidR="00FE7D84">
              <w:rPr>
                <w:rFonts w:ascii="Arial Narrow" w:hAnsi="Arial Narrow"/>
                <w:sz w:val="20"/>
              </w:rPr>
              <w:t xml:space="preserve"> </w:t>
            </w:r>
          </w:p>
        </w:tc>
        <w:tc>
          <w:tcPr>
            <w:tcW w:w="3451" w:type="dxa"/>
          </w:tcPr>
          <w:p w:rsidR="007070CB" w:rsidRDefault="006E2E62">
            <w:pPr>
              <w:widowControl/>
              <w:spacing w:before="0" w:after="0"/>
              <w:contextualSpacing/>
              <w:jc w:val="left"/>
              <w:rPr>
                <w:rFonts w:ascii="Arial Narrow" w:hAnsi="Arial Narrow"/>
                <w:sz w:val="20"/>
              </w:rPr>
            </w:pPr>
            <w:r>
              <w:rPr>
                <w:rFonts w:ascii="Arial Narrow" w:hAnsi="Arial Narrow"/>
                <w:sz w:val="20"/>
              </w:rPr>
              <w:t>NA</w:t>
            </w:r>
          </w:p>
        </w:tc>
      </w:tr>
    </w:tbl>
    <w:p w:rsidR="007070CB" w:rsidRDefault="006E2E62">
      <w:pPr>
        <w:pStyle w:val="TableFooter"/>
        <w:widowControl/>
        <w:rPr>
          <w:rFonts w:cs="Times New Roman"/>
          <w:snapToGrid/>
          <w:sz w:val="20"/>
          <w:szCs w:val="20"/>
        </w:rPr>
      </w:pPr>
      <w:r>
        <w:t>Source: Lumacaftor/ivacaftor (12+), PBAC minutes July 2018; Lumacaftor/ivacaftor, PSD March 2016; Lumacaftor/ivacaftor, PSD November 2016; Lumacaftor/ivacaftor, PSD July 2017; Lumacaftor/ivacaftor (6-11y), PSD July 2018.</w:t>
      </w:r>
    </w:p>
    <w:p w:rsidR="007070CB" w:rsidRDefault="006E2E62">
      <w:pPr>
        <w:pStyle w:val="TableFooter"/>
        <w:widowControl/>
      </w:pPr>
      <w:r>
        <w:t>Abbreviations: AE = adverse event; BSC = best supportive care; BSC = best supportive care; CF=cystic fibrosis; CFTR=cystic fibrosis transmembrane conductance regulator; ICER = incremental cost-effectiveness ratio; L/I = lumacaftor ivacaftor tablets; L 100/I 125 = lumacaftor 100 mg/ivacaftor 125 mg; L 150/I 188 = lumacaftor 150 mg/ivacaftor 188 mg; luma = lumacaftor; Iva = ivacaftor; mg=milligram NA = not applicable; PBAC = Pharmaceutical Benefits Advisory Committee; PBO = placebo; PK = pharmacokinetics; ppFEV</w:t>
      </w:r>
      <w:r>
        <w:rPr>
          <w:vertAlign w:val="subscript"/>
        </w:rPr>
        <w:t>1</w:t>
      </w:r>
      <w:r>
        <w:t xml:space="preserve">= percent predicted forced expiratory volume in one second; QALYs = quality-adjusted life-years; q12h = every 12 hours; RCT = randomised controlled trial; SAE = serious adverse event. </w:t>
      </w:r>
    </w:p>
    <w:p w:rsidR="007070CB" w:rsidRDefault="006E2E62">
      <w:pPr>
        <w:pStyle w:val="TableFooter"/>
        <w:widowControl/>
      </w:pPr>
      <w:r>
        <w:rPr>
          <w:vertAlign w:val="superscript"/>
        </w:rPr>
        <w:t xml:space="preserve">a </w:t>
      </w:r>
      <w:r>
        <w:t xml:space="preserve">The proposed cap on Government expenditure applies to the first four years of listing only. Accordingly, the estimated impact on the Government health budget in the fifth and sixth years is the same with and without the cap. </w:t>
      </w:r>
    </w:p>
    <w:p w:rsidR="007070CB" w:rsidRDefault="007070CB">
      <w:pPr>
        <w:pStyle w:val="TableFooter"/>
        <w:widowControl/>
        <w:rPr>
          <w:lang w:eastAsia="en-AU"/>
        </w:rPr>
      </w:pPr>
    </w:p>
    <w:p w:rsidR="007070CB" w:rsidRDefault="006E2E62">
      <w:pPr>
        <w:pStyle w:val="ListParagraph"/>
        <w:widowControl/>
        <w:numPr>
          <w:ilvl w:val="1"/>
          <w:numId w:val="1"/>
        </w:numPr>
        <w:rPr>
          <w:rFonts w:asciiTheme="minorHAnsi" w:hAnsiTheme="minorHAnsi"/>
        </w:rPr>
      </w:pPr>
      <w:r>
        <w:rPr>
          <w:rFonts w:asciiTheme="minorHAnsi" w:hAnsiTheme="minorHAnsi"/>
        </w:rPr>
        <w:t xml:space="preserve">The PBAC has previously considered submissions for ivacaftor granules as monotherapy for the treatment of CF patients that have a G551D mutation or other gating (class III) mutation in the CFTR gene for patients aged 2 to 5 years (November 2016 and January 2017) and 12 to &lt;24 months (March 2019). While noting the ivacaftor submissions were for a different CF patient population, the evaluation </w:t>
      </w:r>
      <w:r>
        <w:rPr>
          <w:rFonts w:asciiTheme="minorHAnsi" w:hAnsiTheme="minorHAnsi"/>
        </w:rPr>
        <w:lastRenderedPageBreak/>
        <w:t>considered the basis of these recommendations may provide additional context for the current submission for lumacaftor/ivacaftor granules.</w:t>
      </w:r>
    </w:p>
    <w:p w:rsidR="007070CB" w:rsidRDefault="006E2E62">
      <w:pPr>
        <w:pStyle w:val="ListParagraph"/>
        <w:widowControl/>
        <w:numPr>
          <w:ilvl w:val="2"/>
          <w:numId w:val="12"/>
        </w:numPr>
        <w:ind w:left="1134" w:hanging="425"/>
        <w:rPr>
          <w:rFonts w:asciiTheme="minorHAnsi" w:hAnsiTheme="minorHAnsi"/>
        </w:rPr>
      </w:pPr>
      <w:r>
        <w:rPr>
          <w:rFonts w:asciiTheme="minorHAnsi" w:hAnsiTheme="minorHAnsi"/>
        </w:rPr>
        <w:t xml:space="preserve">In November 2016, the PBAC deferred the submission for ivacaftor granules for patients aged 2 to 5 years. </w:t>
      </w:r>
      <w:r w:rsidR="00C42D5F">
        <w:rPr>
          <w:rFonts w:asciiTheme="minorHAnsi" w:hAnsiTheme="minorHAnsi"/>
          <w:noProof/>
          <w:color w:val="000000"/>
          <w:highlight w:val="black"/>
        </w:rPr>
        <w:t>'''''''' ''''''''''' ''''''''''''''''''''' '''''''' ''''''' '''''''''''''''' ''''' '''''' ''''''''''''''''''' ''''' ''''''' '''''''''''' ''''' '''''''''' '''' '''''' '''''' ''''''''' ''''' ''''''''''''''''''''''''' '''''''' ''''''''''''''''''''</w:t>
      </w:r>
      <w:r>
        <w:rPr>
          <w:rFonts w:asciiTheme="minorHAnsi" w:hAnsiTheme="minorHAnsi"/>
        </w:rPr>
        <w:t xml:space="preserve">, given the difficulty in demonstrating the incremental benefit and therefore cost-effectiveness of earlier treatment with ivacaftor. </w:t>
      </w:r>
      <w:r>
        <w:t xml:space="preserve">However, the PBAC did not agree with the submission’s claim that </w:t>
      </w:r>
      <w:r w:rsidR="00C42D5F">
        <w:rPr>
          <w:noProof/>
          <w:color w:val="000000"/>
          <w:highlight w:val="black"/>
        </w:rPr>
        <w:t>''''''' '''''''''' '''''' ''''''''''''''''' '''' ''''''''''''''''' '''''''''''''''' '''''' '''''''''''''' '''''''' '''''''' ''''''''''''' ''''''''</w:t>
      </w:r>
      <w:r>
        <w:t xml:space="preserve">. The PBAC was of the view that it would be possible to negotiate an alternative arrangement whereby the intended outcome could be achieved, for example, by requiring a </w:t>
      </w:r>
      <w:r w:rsidR="00C42D5F">
        <w:rPr>
          <w:noProof/>
          <w:color w:val="000000"/>
          <w:highlight w:val="black"/>
        </w:rPr>
        <w:t>'''''''</w:t>
      </w:r>
      <w:r>
        <w:t xml:space="preserve">% rebate for patients aged 2 to 5 years (ivacaftor minutes, November 2016, paragraph 7.7). In January 2017, the PBAC subsequently recommended listing ivacaftor granules and including patients aged 2-5 years in the ivacaftor RSA, and that </w:t>
      </w:r>
      <w:r w:rsidR="00C42D5F">
        <w:rPr>
          <w:noProof/>
          <w:color w:val="000000"/>
          <w:highlight w:val="black"/>
        </w:rPr>
        <w:t>''''''' ''''''''''''' ''''''''''''' '''''' '''''''''''''' ''''' '''''''''''''''''</w:t>
      </w:r>
      <w:r>
        <w:t xml:space="preserve"> (ivacaftor minutes, November 2016, addendum).</w:t>
      </w:r>
    </w:p>
    <w:p w:rsidR="007070CB" w:rsidRDefault="006E2E62">
      <w:pPr>
        <w:pStyle w:val="ListParagraph"/>
        <w:widowControl/>
        <w:numPr>
          <w:ilvl w:val="2"/>
          <w:numId w:val="12"/>
        </w:numPr>
        <w:ind w:left="1134" w:hanging="425"/>
        <w:rPr>
          <w:rFonts w:asciiTheme="minorHAnsi" w:hAnsiTheme="minorHAnsi"/>
          <w:bCs/>
          <w:szCs w:val="24"/>
        </w:rPr>
      </w:pPr>
      <w:r>
        <w:rPr>
          <w:rFonts w:asciiTheme="minorHAnsi" w:hAnsiTheme="minorHAnsi"/>
        </w:rPr>
        <w:t>In March 2019, the PBAC recommended extending the listing of ivacaftor granules to include</w:t>
      </w:r>
      <w:r>
        <w:rPr>
          <w:rFonts w:asciiTheme="minorHAnsi" w:hAnsiTheme="minorHAnsi"/>
          <w:bCs/>
          <w:szCs w:val="24"/>
        </w:rPr>
        <w:t xml:space="preserve"> patients aged 12 to &lt;24 months </w:t>
      </w:r>
      <w:r>
        <w:t>(ivacaftor minutes, March 2019, paragraph 7.1)</w:t>
      </w:r>
      <w:r>
        <w:rPr>
          <w:rFonts w:asciiTheme="minorHAnsi" w:hAnsiTheme="minorHAnsi"/>
          <w:bCs/>
          <w:szCs w:val="24"/>
        </w:rPr>
        <w:t>. The PBAC considered that the magnitude of the incremental benefit in commencing treatment with ivacaftor at a younger age was unknown and, therefore, the incremental cost-effectiveness of commencing treatment in this age group was uncertain. Noting the difficulty in demonstrating cost</w:t>
      </w:r>
      <w:r>
        <w:rPr>
          <w:rFonts w:asciiTheme="minorHAnsi" w:hAnsiTheme="minorHAnsi"/>
          <w:bCs/>
          <w:szCs w:val="24"/>
        </w:rPr>
        <w:noBreakHyphen/>
        <w:t xml:space="preserve">effectiveness of earlier treatment with ivacaftor, the PBAC advised that the extension to the listing of ivacaftor should be implemented </w:t>
      </w:r>
      <w:r w:rsidR="00C42D5F">
        <w:rPr>
          <w:rFonts w:asciiTheme="minorHAnsi" w:hAnsiTheme="minorHAnsi"/>
          <w:bCs/>
          <w:noProof/>
          <w:color w:val="000000"/>
          <w:szCs w:val="24"/>
          <w:highlight w:val="black"/>
        </w:rPr>
        <w:t>'''''''' ''''' '''''''''''''''' ''''''''''''' '''' '''''''''''''''''''''''</w:t>
      </w:r>
      <w:r>
        <w:rPr>
          <w:rFonts w:asciiTheme="minorHAnsi" w:hAnsiTheme="minorHAnsi"/>
          <w:bCs/>
          <w:szCs w:val="24"/>
        </w:rPr>
        <w:t xml:space="preserve"> </w:t>
      </w:r>
      <w:r>
        <w:t>(ivacaftor minutes, March 2019, paragraph 7.7).</w:t>
      </w:r>
    </w:p>
    <w:p w:rsidR="007070CB" w:rsidRDefault="006E2E62">
      <w:pPr>
        <w:pStyle w:val="ListParagraph"/>
        <w:widowControl/>
        <w:rPr>
          <w:i/>
        </w:rPr>
      </w:pPr>
      <w:r>
        <w:rPr>
          <w:i/>
        </w:rPr>
        <w:t>For more detail on PBAC’s view, see section 7 PBAC outcome.</w:t>
      </w:r>
    </w:p>
    <w:p w:rsidR="007070CB" w:rsidRDefault="006E2E62">
      <w:pPr>
        <w:pStyle w:val="PBACHeading1"/>
        <w:keepNext w:val="0"/>
      </w:pPr>
      <w:bookmarkStart w:id="8" w:name="_Toc6931316"/>
      <w:bookmarkStart w:id="9" w:name="_Toc9335654"/>
      <w:r>
        <w:t>Population and disease</w:t>
      </w:r>
      <w:bookmarkEnd w:id="8"/>
      <w:bookmarkEnd w:id="9"/>
    </w:p>
    <w:p w:rsidR="007070CB" w:rsidRDefault="006E2E62">
      <w:pPr>
        <w:pStyle w:val="ListParagraph"/>
        <w:widowControl/>
        <w:numPr>
          <w:ilvl w:val="1"/>
          <w:numId w:val="1"/>
        </w:numPr>
        <w:spacing w:before="120"/>
        <w:rPr>
          <w:rFonts w:asciiTheme="minorHAnsi" w:hAnsiTheme="minorHAnsi"/>
        </w:rPr>
      </w:pPr>
      <w:r>
        <w:rPr>
          <w:rFonts w:asciiTheme="minorHAnsi" w:hAnsiTheme="minorHAnsi"/>
        </w:rPr>
        <w:t>CF is an autosomal recessive disease caused by mutations in the CFTR gene that primarily affects the pulmonary and digestive systems.</w:t>
      </w:r>
    </w:p>
    <w:p w:rsidR="007070CB" w:rsidRDefault="006E2E62">
      <w:pPr>
        <w:pStyle w:val="ListParagraph"/>
        <w:widowControl/>
        <w:numPr>
          <w:ilvl w:val="1"/>
          <w:numId w:val="1"/>
        </w:numPr>
        <w:spacing w:before="120"/>
        <w:rPr>
          <w:rFonts w:asciiTheme="minorHAnsi" w:hAnsiTheme="minorHAnsi"/>
        </w:rPr>
      </w:pPr>
      <w:r>
        <w:rPr>
          <w:rFonts w:asciiTheme="minorHAnsi" w:hAnsiTheme="minorHAnsi"/>
        </w:rPr>
        <w:t>Similar to submissions in patients with CF aged 6 years and older, this submission proposed that lumacaftor/ivacaftor be administered in addition to BSC in patients aged 2 years and older who are homozygous for the F508del mutation on the CTFR gene.</w:t>
      </w:r>
    </w:p>
    <w:p w:rsidR="007070CB" w:rsidRDefault="006E2E62">
      <w:pPr>
        <w:pStyle w:val="ListParagraph"/>
        <w:widowControl/>
        <w:numPr>
          <w:ilvl w:val="1"/>
          <w:numId w:val="1"/>
        </w:numPr>
      </w:pPr>
      <w:r>
        <w:t>The proposed clinical place in therapy was in line with the full indication for lumacaftor/ivacaftor included in the TGA approved PI for children aged over 2 years</w:t>
      </w:r>
      <w:r>
        <w:rPr>
          <w:i/>
        </w:rPr>
        <w:t xml:space="preserve">. </w:t>
      </w:r>
    </w:p>
    <w:p w:rsidR="007070CB" w:rsidRDefault="006E2E62">
      <w:pPr>
        <w:pStyle w:val="ListParagraph"/>
        <w:widowControl/>
        <w:numPr>
          <w:ilvl w:val="1"/>
          <w:numId w:val="1"/>
        </w:numPr>
      </w:pPr>
      <w:r>
        <w:t xml:space="preserve">The ESC noted that most patients with CF are diagnosed prior to 3 months of age; accordingly, extending the listing for lumacaftor/ivacaftor to patients aged 2 to 5 years would result in incident patients beginning treatment at 2 years of age (instead of 6 years of age, as per the current listing). </w:t>
      </w:r>
    </w:p>
    <w:p w:rsidR="007070CB" w:rsidRDefault="006E2E62">
      <w:pPr>
        <w:pStyle w:val="ListParagraph"/>
        <w:widowControl/>
        <w:rPr>
          <w:i/>
        </w:rPr>
      </w:pPr>
      <w:r>
        <w:rPr>
          <w:i/>
        </w:rPr>
        <w:t>For more detail on PBAC’s view, see section 7 PBAC outcome.</w:t>
      </w:r>
    </w:p>
    <w:p w:rsidR="007070CB" w:rsidRDefault="006E2E62">
      <w:pPr>
        <w:pStyle w:val="PBACHeading1"/>
        <w:keepNext w:val="0"/>
      </w:pPr>
      <w:bookmarkStart w:id="10" w:name="_Toc6931317"/>
      <w:bookmarkStart w:id="11" w:name="_Toc9335655"/>
      <w:r>
        <w:lastRenderedPageBreak/>
        <w:t>Comparator</w:t>
      </w:r>
      <w:bookmarkEnd w:id="10"/>
      <w:bookmarkEnd w:id="11"/>
    </w:p>
    <w:p w:rsidR="007070CB" w:rsidRDefault="006E2E62">
      <w:pPr>
        <w:widowControl/>
        <w:numPr>
          <w:ilvl w:val="1"/>
          <w:numId w:val="1"/>
        </w:numPr>
        <w:spacing w:after="160"/>
        <w:ind w:left="709"/>
      </w:pPr>
      <w:r>
        <w:t>The submission nominated BSC as the main comparator. The choice of comparator was consistent with previous lumacaftor/ivacaftor submissions in older populations (lumacaftor/ivacaftor PSD, July 2018, paragraph 5.1). However, the submission did not consider that as the majority of CF patients will be diagnosed in their infancy, the requested PBS listing represents an earlier start to therapy (potentially from 2 years of age) as compared with the current PBS listing for lumacaftor/ivacaftor (potentially from 6 years of age). Therefore, the ESC considered that the appropriate comparator would have been BSC from 2-5 years of age, followed by lumacaftor/ivacaftor treatment starting at 6 years of age, as per the current listing for lumacaftor/ivacaftor tablets.</w:t>
      </w:r>
    </w:p>
    <w:p w:rsidR="007070CB" w:rsidRDefault="006E2E62">
      <w:pPr>
        <w:pStyle w:val="PBACHeading1"/>
        <w:keepNext w:val="0"/>
      </w:pPr>
      <w:bookmarkStart w:id="12" w:name="_Toc6931318"/>
      <w:bookmarkStart w:id="13" w:name="_Toc9335656"/>
      <w:r>
        <w:t>Consideration of the evidence</w:t>
      </w:r>
      <w:bookmarkEnd w:id="12"/>
      <w:bookmarkEnd w:id="13"/>
    </w:p>
    <w:p w:rsidR="007070CB" w:rsidRDefault="006E2E62">
      <w:pPr>
        <w:pStyle w:val="Heading2"/>
        <w:keepNext w:val="0"/>
      </w:pPr>
      <w:bookmarkStart w:id="14" w:name="_Toc6931319"/>
      <w:bookmarkStart w:id="15" w:name="_Toc9335657"/>
      <w:r>
        <w:t>Sponsor hearing</w:t>
      </w:r>
    </w:p>
    <w:p w:rsidR="007070CB" w:rsidRDefault="006E2E62">
      <w:pPr>
        <w:widowControl/>
        <w:numPr>
          <w:ilvl w:val="1"/>
          <w:numId w:val="1"/>
        </w:numPr>
        <w:spacing w:after="120"/>
        <w:rPr>
          <w:rFonts w:asciiTheme="minorHAnsi" w:hAnsiTheme="minorHAnsi"/>
          <w:bCs/>
        </w:rPr>
      </w:pPr>
      <w:r>
        <w:rPr>
          <w:rFonts w:asciiTheme="minorHAnsi" w:hAnsiTheme="minorHAnsi"/>
          <w:bCs/>
        </w:rPr>
        <w:t>There was no hearing for this item.</w:t>
      </w:r>
    </w:p>
    <w:p w:rsidR="007070CB" w:rsidRDefault="006E2E62">
      <w:pPr>
        <w:pStyle w:val="Heading2"/>
      </w:pPr>
      <w:r>
        <w:t>Consumer comments</w:t>
      </w:r>
    </w:p>
    <w:p w:rsidR="007070CB" w:rsidRDefault="006E2E62">
      <w:pPr>
        <w:pStyle w:val="ListParagraph"/>
        <w:widowControl/>
        <w:numPr>
          <w:ilvl w:val="1"/>
          <w:numId w:val="1"/>
        </w:numPr>
        <w:rPr>
          <w:rFonts w:cs="Calibri"/>
          <w:snapToGrid/>
          <w:szCs w:val="24"/>
          <w:lang w:val="en-US" w:eastAsia="en-AU"/>
        </w:rPr>
      </w:pPr>
      <w:r>
        <w:rPr>
          <w:rFonts w:cs="Calibri"/>
          <w:snapToGrid/>
          <w:szCs w:val="24"/>
          <w:lang w:val="en-US" w:eastAsia="en-AU"/>
        </w:rPr>
        <w:t>The PBAC noted and welcomed the input from individuals (419) via the Consumer Comments facility on the PBS website.</w:t>
      </w:r>
      <w:r w:rsidR="00FE7D84">
        <w:rPr>
          <w:rFonts w:cs="Calibri"/>
          <w:snapToGrid/>
          <w:szCs w:val="24"/>
          <w:lang w:val="en-US" w:eastAsia="en-AU"/>
        </w:rPr>
        <w:t xml:space="preserve"> </w:t>
      </w:r>
      <w:r>
        <w:rPr>
          <w:rFonts w:cs="Calibri"/>
          <w:snapToGrid/>
          <w:szCs w:val="24"/>
          <w:lang w:val="en-US" w:eastAsia="en-AU"/>
        </w:rPr>
        <w:t>The comments described the potential for improved health outcomes associated with commencing treatment with lumacaftor/ivacaftor at a younger age.</w:t>
      </w:r>
    </w:p>
    <w:p w:rsidR="007070CB" w:rsidRDefault="006E2E62">
      <w:pPr>
        <w:pStyle w:val="Heading2"/>
        <w:keepNext w:val="0"/>
      </w:pPr>
      <w:r>
        <w:t>Clinical trials</w:t>
      </w:r>
      <w:bookmarkEnd w:id="14"/>
      <w:bookmarkEnd w:id="15"/>
    </w:p>
    <w:p w:rsidR="007070CB" w:rsidRDefault="006E2E62">
      <w:pPr>
        <w:pStyle w:val="ListParagraph"/>
        <w:widowControl/>
        <w:numPr>
          <w:ilvl w:val="1"/>
          <w:numId w:val="1"/>
        </w:numPr>
      </w:pPr>
      <w:r>
        <w:rPr>
          <w:rFonts w:cs="Calibri"/>
          <w:snapToGrid/>
          <w:szCs w:val="24"/>
          <w:lang w:val="en-US" w:eastAsia="en-AU"/>
        </w:rPr>
        <w:t xml:space="preserve">The submission was based on one 24-week open label trial evaluating the </w:t>
      </w:r>
      <w:r>
        <w:t>safety and efficacy of lumacaftor/ivacaftor granules (L 100 mg/I 125 mg; L 150 mg/ I 188 mg); Study 115 (Part A (N=19); Part B (N=41)). There were no head-to-head randomised trials available comparing lumacaftor/ivacaftor plus BSC with BSC for the requested ages. The selection of the studies for inclusion in the submission was appropriate.</w:t>
      </w:r>
      <w:r>
        <w:rPr>
          <w:color w:val="3366FF"/>
        </w:rPr>
        <w:t xml:space="preserve"> </w:t>
      </w:r>
    </w:p>
    <w:p w:rsidR="007070CB" w:rsidRDefault="006E2E62">
      <w:pPr>
        <w:pStyle w:val="ListParagraph"/>
        <w:widowControl/>
        <w:numPr>
          <w:ilvl w:val="1"/>
          <w:numId w:val="1"/>
        </w:numPr>
      </w:pPr>
      <w:r>
        <w:rPr>
          <w:rFonts w:cs="Calibri"/>
          <w:snapToGrid/>
          <w:szCs w:val="24"/>
          <w:lang w:val="en-US" w:eastAsia="en-AU"/>
        </w:rPr>
        <w:t>Details of the trial presented in the submission are provided</w:t>
      </w:r>
      <w:r>
        <w:t xml:space="preserve"> in </w:t>
      </w:r>
      <w:r>
        <w:rPr>
          <w:rFonts w:asciiTheme="minorHAnsi" w:hAnsiTheme="minorHAnsi" w:cstheme="minorHAnsi"/>
          <w:szCs w:val="24"/>
        </w:rPr>
        <w:t>theTable 4 below</w:t>
      </w:r>
      <w:r>
        <w:rPr>
          <w:rFonts w:cs="Calibri"/>
          <w:snapToGrid/>
          <w:szCs w:val="24"/>
          <w:lang w:val="en-US" w:eastAsia="en-AU"/>
        </w:rPr>
        <w:t>.</w:t>
      </w:r>
      <w:r w:rsidR="00FE7D84">
        <w:rPr>
          <w:rFonts w:cs="Calibri"/>
          <w:snapToGrid/>
          <w:szCs w:val="24"/>
          <w:lang w:val="en-US" w:eastAsia="en-AU"/>
        </w:rPr>
        <w:t xml:space="preserve"> </w:t>
      </w:r>
    </w:p>
    <w:p w:rsidR="00FE09CF" w:rsidRDefault="00FE09CF" w:rsidP="00FE09CF">
      <w:pPr>
        <w:pStyle w:val="PBACTableText"/>
      </w:pPr>
      <w:r>
        <w:t xml:space="preserve">Table </w:t>
      </w:r>
      <w:r w:rsidR="00AF1977">
        <w:rPr>
          <w:noProof/>
        </w:rPr>
        <w:t>4</w:t>
      </w:r>
      <w:r w:rsidRPr="002A4C04">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4: Trials and associated reports presented in the submission"/>
      </w:tblPr>
      <w:tblGrid>
        <w:gridCol w:w="1435"/>
        <w:gridCol w:w="5459"/>
        <w:gridCol w:w="2123"/>
      </w:tblGrid>
      <w:tr w:rsidR="007070CB">
        <w:trPr>
          <w:tblHeader/>
        </w:trPr>
        <w:tc>
          <w:tcPr>
            <w:tcW w:w="796" w:type="pct"/>
            <w:vAlign w:val="center"/>
          </w:tcPr>
          <w:p w:rsidR="007070CB" w:rsidRDefault="006E2E62">
            <w:pPr>
              <w:pStyle w:val="Tabletext"/>
              <w:rPr>
                <w:b/>
              </w:rPr>
            </w:pPr>
            <w:r>
              <w:rPr>
                <w:b/>
              </w:rPr>
              <w:t>Trial ID</w:t>
            </w:r>
          </w:p>
        </w:tc>
        <w:tc>
          <w:tcPr>
            <w:tcW w:w="3027" w:type="pct"/>
            <w:vAlign w:val="center"/>
          </w:tcPr>
          <w:p w:rsidR="007070CB" w:rsidRDefault="006E2E62">
            <w:pPr>
              <w:pStyle w:val="Tabletext"/>
              <w:jc w:val="center"/>
              <w:rPr>
                <w:b/>
              </w:rPr>
            </w:pPr>
            <w:r>
              <w:rPr>
                <w:b/>
              </w:rPr>
              <w:t>Protocol title/ Publication title</w:t>
            </w:r>
          </w:p>
        </w:tc>
        <w:tc>
          <w:tcPr>
            <w:tcW w:w="1177" w:type="pct"/>
            <w:vAlign w:val="center"/>
          </w:tcPr>
          <w:p w:rsidR="007070CB" w:rsidRDefault="006E2E62">
            <w:pPr>
              <w:pStyle w:val="Tabletext"/>
              <w:jc w:val="center"/>
              <w:rPr>
                <w:b/>
              </w:rPr>
            </w:pPr>
            <w:r>
              <w:rPr>
                <w:b/>
              </w:rPr>
              <w:t>Publication citation</w:t>
            </w:r>
          </w:p>
        </w:tc>
      </w:tr>
      <w:tr w:rsidR="007070CB">
        <w:tc>
          <w:tcPr>
            <w:tcW w:w="796" w:type="pct"/>
            <w:tcBorders>
              <w:bottom w:val="nil"/>
            </w:tcBorders>
          </w:tcPr>
          <w:p w:rsidR="007070CB" w:rsidRDefault="006E2E62">
            <w:pPr>
              <w:pStyle w:val="Tabletext"/>
              <w:rPr>
                <w:rFonts w:ascii="Times" w:hAnsi="Times"/>
              </w:rPr>
            </w:pPr>
            <w:r>
              <w:t>Study 115</w:t>
            </w:r>
          </w:p>
        </w:tc>
        <w:tc>
          <w:tcPr>
            <w:tcW w:w="3027" w:type="pct"/>
            <w:tcBorders>
              <w:bottom w:val="nil"/>
            </w:tcBorders>
            <w:vAlign w:val="center"/>
          </w:tcPr>
          <w:p w:rsidR="007070CB" w:rsidRDefault="006E2E62">
            <w:pPr>
              <w:pStyle w:val="Tabletext"/>
              <w:rPr>
                <w:szCs w:val="18"/>
              </w:rPr>
            </w:pPr>
            <w:r>
              <w:t xml:space="preserve">A Phase 3, two-part, open-label study to evaluate the safety and pharmacokinetics of lumacaftor/ivacaftor combination therapy in subjects aged 2 through 5 years with cystic fibrosis, homozygous for the F508del-CFTR mutation. </w:t>
            </w:r>
          </w:p>
        </w:tc>
        <w:tc>
          <w:tcPr>
            <w:tcW w:w="1177" w:type="pct"/>
            <w:tcBorders>
              <w:bottom w:val="nil"/>
            </w:tcBorders>
          </w:tcPr>
          <w:p w:rsidR="007070CB" w:rsidRDefault="006E2E62">
            <w:pPr>
              <w:pStyle w:val="Tabletext"/>
              <w:rPr>
                <w:rFonts w:ascii="Times" w:hAnsi="Times"/>
              </w:rPr>
            </w:pPr>
            <w:r>
              <w:t xml:space="preserve">Internal study report., </w:t>
            </w:r>
            <w:r>
              <w:br/>
              <w:t>5 January 2018</w:t>
            </w:r>
          </w:p>
        </w:tc>
      </w:tr>
      <w:tr w:rsidR="007070CB">
        <w:tc>
          <w:tcPr>
            <w:tcW w:w="796" w:type="pct"/>
            <w:tcBorders>
              <w:top w:val="nil"/>
              <w:bottom w:val="single" w:sz="4" w:space="0" w:color="auto"/>
            </w:tcBorders>
          </w:tcPr>
          <w:p w:rsidR="007070CB" w:rsidRDefault="007070CB">
            <w:pPr>
              <w:pStyle w:val="Tabletext"/>
            </w:pPr>
          </w:p>
        </w:tc>
        <w:tc>
          <w:tcPr>
            <w:tcW w:w="3027" w:type="pct"/>
            <w:tcBorders>
              <w:top w:val="nil"/>
              <w:bottom w:val="single" w:sz="4" w:space="0" w:color="auto"/>
            </w:tcBorders>
            <w:vAlign w:val="center"/>
          </w:tcPr>
          <w:p w:rsidR="007070CB" w:rsidRDefault="006E2E62">
            <w:pPr>
              <w:pStyle w:val="Tabletext"/>
              <w:rPr>
                <w:szCs w:val="18"/>
                <w:lang w:eastAsia="en-AU"/>
              </w:rPr>
            </w:pPr>
            <w:r>
              <w:t xml:space="preserve">McNamara J, McColley SA, Owen CA, et al. 2018. A two-part, Phase 3, single-arm study to evaluate the safety and pharmacokinetics (PK) of lumacaftor/ivacaftor (LUM/IVA) combination therapy in patients (pts) aged 2 to 5 years with cystic fibrosis (CF) homozygous for the F508del-CFTR mutation. </w:t>
            </w:r>
          </w:p>
        </w:tc>
        <w:tc>
          <w:tcPr>
            <w:tcW w:w="1177" w:type="pct"/>
            <w:tcBorders>
              <w:top w:val="nil"/>
              <w:bottom w:val="single" w:sz="4" w:space="0" w:color="auto"/>
            </w:tcBorders>
          </w:tcPr>
          <w:p w:rsidR="007070CB" w:rsidRDefault="006E2E62">
            <w:pPr>
              <w:pStyle w:val="Tabletext"/>
              <w:rPr>
                <w:szCs w:val="18"/>
                <w:lang w:eastAsia="en-AU"/>
              </w:rPr>
            </w:pPr>
            <w:r>
              <w:t>Journal of Cystic Fibrosis 2018;17(Supplement 3):S2-S3</w:t>
            </w:r>
          </w:p>
        </w:tc>
      </w:tr>
    </w:tbl>
    <w:p w:rsidR="007070CB" w:rsidRDefault="006E2E62">
      <w:pPr>
        <w:pStyle w:val="TableFooter"/>
        <w:widowControl/>
      </w:pPr>
      <w:r>
        <w:t>Source: Table2.2.1 p57 of the submission.</w:t>
      </w:r>
    </w:p>
    <w:p w:rsidR="007070CB" w:rsidRDefault="007070CB">
      <w:pPr>
        <w:pStyle w:val="TableFooter"/>
        <w:widowControl/>
        <w:rPr>
          <w:sz w:val="20"/>
        </w:rPr>
      </w:pPr>
    </w:p>
    <w:p w:rsidR="007070CB" w:rsidRDefault="006E2E62">
      <w:pPr>
        <w:pStyle w:val="ListParagraph"/>
        <w:widowControl/>
        <w:numPr>
          <w:ilvl w:val="1"/>
          <w:numId w:val="1"/>
        </w:numPr>
      </w:pPr>
      <w:r>
        <w:t xml:space="preserve">The key features of Study 115 are summarised in </w:t>
      </w:r>
      <w:r>
        <w:rPr>
          <w:rFonts w:asciiTheme="minorHAnsi" w:hAnsiTheme="minorHAnsi" w:cstheme="minorHAnsi"/>
          <w:szCs w:val="24"/>
        </w:rPr>
        <w:t>Table 5</w:t>
      </w:r>
      <w:r>
        <w:t>.</w:t>
      </w:r>
    </w:p>
    <w:p w:rsidR="00FE09CF" w:rsidRDefault="00FE09CF" w:rsidP="00FE09CF">
      <w:pPr>
        <w:pStyle w:val="PBACTableText"/>
      </w:pPr>
      <w:r>
        <w:lastRenderedPageBreak/>
        <w:t xml:space="preserve">Table </w:t>
      </w:r>
      <w:r w:rsidR="00AF1977">
        <w:rPr>
          <w:noProof/>
        </w:rPr>
        <w:t>5</w:t>
      </w:r>
      <w:r w:rsidRPr="000F12D7">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5: Key features of the included evidence"/>
      </w:tblPr>
      <w:tblGrid>
        <w:gridCol w:w="527"/>
        <w:gridCol w:w="649"/>
        <w:gridCol w:w="2546"/>
        <w:gridCol w:w="671"/>
        <w:gridCol w:w="1701"/>
        <w:gridCol w:w="2923"/>
      </w:tblGrid>
      <w:tr w:rsidR="007070CB" w:rsidTr="006E3A86">
        <w:trPr>
          <w:tblHeader/>
        </w:trPr>
        <w:tc>
          <w:tcPr>
            <w:tcW w:w="292" w:type="pct"/>
            <w:shd w:val="clear" w:color="auto" w:fill="auto"/>
            <w:vAlign w:val="center"/>
          </w:tcPr>
          <w:p w:rsidR="007070CB" w:rsidRDefault="006E2E62">
            <w:pPr>
              <w:widowControl/>
              <w:jc w:val="left"/>
              <w:rPr>
                <w:rFonts w:ascii="Arial Narrow" w:hAnsi="Arial Narrow"/>
                <w:b/>
                <w:sz w:val="20"/>
                <w:szCs w:val="20"/>
                <w:lang w:val="en-US"/>
              </w:rPr>
            </w:pPr>
            <w:r>
              <w:rPr>
                <w:rFonts w:ascii="Arial Narrow" w:hAnsi="Arial Narrow"/>
                <w:b/>
                <w:sz w:val="20"/>
                <w:szCs w:val="20"/>
                <w:lang w:val="en-US"/>
              </w:rPr>
              <w:t>Trial</w:t>
            </w:r>
          </w:p>
        </w:tc>
        <w:tc>
          <w:tcPr>
            <w:tcW w:w="360" w:type="pct"/>
            <w:shd w:val="clear" w:color="auto" w:fill="auto"/>
            <w:vAlign w:val="center"/>
          </w:tcPr>
          <w:p w:rsidR="007070CB" w:rsidRDefault="006E2E62">
            <w:pPr>
              <w:widowControl/>
              <w:jc w:val="left"/>
              <w:rPr>
                <w:rFonts w:ascii="Arial Narrow" w:hAnsi="Arial Narrow"/>
                <w:b/>
                <w:sz w:val="20"/>
                <w:szCs w:val="20"/>
                <w:lang w:val="en-US"/>
              </w:rPr>
            </w:pPr>
            <w:r>
              <w:rPr>
                <w:rFonts w:ascii="Arial Narrow" w:hAnsi="Arial Narrow"/>
                <w:b/>
                <w:sz w:val="20"/>
                <w:szCs w:val="20"/>
                <w:lang w:val="en-US"/>
              </w:rPr>
              <w:t>N</w:t>
            </w:r>
          </w:p>
        </w:tc>
        <w:tc>
          <w:tcPr>
            <w:tcW w:w="1412" w:type="pct"/>
            <w:shd w:val="clear" w:color="auto" w:fill="auto"/>
            <w:vAlign w:val="center"/>
          </w:tcPr>
          <w:p w:rsidR="007070CB" w:rsidRDefault="006E2E62">
            <w:pPr>
              <w:widowControl/>
              <w:jc w:val="left"/>
              <w:rPr>
                <w:rFonts w:ascii="Arial Narrow" w:hAnsi="Arial Narrow"/>
                <w:b/>
                <w:sz w:val="20"/>
                <w:szCs w:val="20"/>
                <w:lang w:val="en-US"/>
              </w:rPr>
            </w:pPr>
            <w:r>
              <w:rPr>
                <w:rFonts w:ascii="Arial Narrow" w:hAnsi="Arial Narrow"/>
                <w:b/>
                <w:sz w:val="20"/>
                <w:szCs w:val="20"/>
                <w:lang w:val="en-US"/>
              </w:rPr>
              <w:t>Design/ duration</w:t>
            </w:r>
          </w:p>
        </w:tc>
        <w:tc>
          <w:tcPr>
            <w:tcW w:w="372" w:type="pct"/>
            <w:shd w:val="clear" w:color="auto" w:fill="auto"/>
            <w:vAlign w:val="center"/>
          </w:tcPr>
          <w:p w:rsidR="007070CB" w:rsidRDefault="006E2E62">
            <w:pPr>
              <w:widowControl/>
              <w:jc w:val="left"/>
              <w:rPr>
                <w:rFonts w:ascii="Arial Narrow" w:hAnsi="Arial Narrow"/>
                <w:b/>
                <w:sz w:val="20"/>
                <w:szCs w:val="20"/>
                <w:lang w:val="en-US"/>
              </w:rPr>
            </w:pPr>
            <w:r>
              <w:rPr>
                <w:rFonts w:ascii="Arial Narrow" w:hAnsi="Arial Narrow"/>
                <w:b/>
                <w:sz w:val="20"/>
                <w:szCs w:val="20"/>
                <w:lang w:val="en-US"/>
              </w:rPr>
              <w:t>Risk of bias</w:t>
            </w:r>
          </w:p>
        </w:tc>
        <w:tc>
          <w:tcPr>
            <w:tcW w:w="943" w:type="pct"/>
            <w:shd w:val="clear" w:color="auto" w:fill="auto"/>
            <w:vAlign w:val="center"/>
          </w:tcPr>
          <w:p w:rsidR="007070CB" w:rsidRDefault="006E2E62">
            <w:pPr>
              <w:widowControl/>
              <w:jc w:val="left"/>
              <w:rPr>
                <w:rFonts w:ascii="Arial Narrow" w:hAnsi="Arial Narrow"/>
                <w:b/>
                <w:sz w:val="20"/>
                <w:szCs w:val="20"/>
                <w:lang w:val="en-US"/>
              </w:rPr>
            </w:pPr>
            <w:r>
              <w:rPr>
                <w:rFonts w:ascii="Arial Narrow" w:hAnsi="Arial Narrow"/>
                <w:b/>
                <w:sz w:val="20"/>
                <w:szCs w:val="20"/>
                <w:lang w:val="en-US"/>
              </w:rPr>
              <w:t>Patient population</w:t>
            </w:r>
          </w:p>
        </w:tc>
        <w:tc>
          <w:tcPr>
            <w:tcW w:w="1621" w:type="pct"/>
            <w:shd w:val="clear" w:color="auto" w:fill="auto"/>
            <w:vAlign w:val="center"/>
          </w:tcPr>
          <w:p w:rsidR="007070CB" w:rsidRDefault="006E2E62">
            <w:pPr>
              <w:widowControl/>
              <w:jc w:val="left"/>
              <w:rPr>
                <w:rFonts w:ascii="Arial Narrow" w:hAnsi="Arial Narrow"/>
                <w:b/>
                <w:sz w:val="20"/>
                <w:szCs w:val="20"/>
                <w:lang w:val="en-US"/>
              </w:rPr>
            </w:pPr>
            <w:r>
              <w:rPr>
                <w:rFonts w:ascii="Arial Narrow" w:hAnsi="Arial Narrow"/>
                <w:b/>
                <w:sz w:val="20"/>
                <w:szCs w:val="20"/>
                <w:lang w:val="en-US"/>
              </w:rPr>
              <w:t>Outcomes</w:t>
            </w:r>
          </w:p>
        </w:tc>
      </w:tr>
      <w:tr w:rsidR="007070CB">
        <w:tc>
          <w:tcPr>
            <w:tcW w:w="5000" w:type="pct"/>
            <w:gridSpan w:val="6"/>
            <w:shd w:val="clear" w:color="auto" w:fill="auto"/>
            <w:vAlign w:val="center"/>
          </w:tcPr>
          <w:p w:rsidR="007070CB" w:rsidRDefault="006E2E62">
            <w:pPr>
              <w:widowControl/>
              <w:jc w:val="left"/>
              <w:rPr>
                <w:rFonts w:ascii="Arial Narrow" w:hAnsi="Arial Narrow"/>
                <w:b/>
                <w:sz w:val="20"/>
                <w:szCs w:val="20"/>
                <w:lang w:val="en-US"/>
              </w:rPr>
            </w:pPr>
            <w:r>
              <w:rPr>
                <w:rFonts w:ascii="Arial Narrow" w:hAnsi="Arial Narrow"/>
                <w:b/>
                <w:sz w:val="20"/>
                <w:szCs w:val="20"/>
                <w:lang w:val="en-US"/>
              </w:rPr>
              <w:t>Lumacaftor/ivacaftor + BSC</w:t>
            </w:r>
          </w:p>
        </w:tc>
      </w:tr>
      <w:tr w:rsidR="007070CB" w:rsidTr="00FE09CF">
        <w:tc>
          <w:tcPr>
            <w:tcW w:w="292" w:type="pct"/>
            <w:shd w:val="clear" w:color="auto" w:fill="auto"/>
          </w:tcPr>
          <w:p w:rsidR="007070CB" w:rsidRDefault="006E2E62">
            <w:pPr>
              <w:widowControl/>
              <w:jc w:val="left"/>
              <w:rPr>
                <w:rFonts w:ascii="Arial Narrow" w:hAnsi="Arial Narrow"/>
                <w:sz w:val="20"/>
                <w:szCs w:val="20"/>
                <w:lang w:val="en-US"/>
              </w:rPr>
            </w:pPr>
            <w:r>
              <w:rPr>
                <w:rFonts w:ascii="Arial Narrow" w:hAnsi="Arial Narrow"/>
                <w:sz w:val="20"/>
                <w:szCs w:val="20"/>
                <w:lang w:val="en-US"/>
              </w:rPr>
              <w:t>Study 115</w:t>
            </w:r>
          </w:p>
        </w:tc>
        <w:tc>
          <w:tcPr>
            <w:tcW w:w="360" w:type="pct"/>
            <w:shd w:val="clear" w:color="auto" w:fill="auto"/>
          </w:tcPr>
          <w:p w:rsidR="007070CB" w:rsidRDefault="006E2E62">
            <w:pPr>
              <w:widowControl/>
              <w:jc w:val="left"/>
              <w:rPr>
                <w:rFonts w:ascii="Arial Narrow" w:hAnsi="Arial Narrow"/>
                <w:sz w:val="20"/>
                <w:szCs w:val="20"/>
                <w:lang w:val="en-US"/>
              </w:rPr>
            </w:pPr>
            <w:r>
              <w:rPr>
                <w:rFonts w:ascii="Arial Narrow" w:hAnsi="Arial Narrow"/>
                <w:sz w:val="20"/>
                <w:szCs w:val="20"/>
                <w:lang w:val="en-US"/>
              </w:rPr>
              <w:t>Part A</w:t>
            </w:r>
            <w:r w:rsidR="00FE7D84">
              <w:rPr>
                <w:rFonts w:ascii="Arial Narrow" w:hAnsi="Arial Narrow"/>
                <w:sz w:val="20"/>
                <w:szCs w:val="20"/>
                <w:lang w:val="en-US"/>
              </w:rPr>
              <w:t xml:space="preserve"> </w:t>
            </w:r>
            <w:r>
              <w:rPr>
                <w:rFonts w:ascii="Arial Narrow" w:hAnsi="Arial Narrow"/>
                <w:sz w:val="20"/>
                <w:szCs w:val="20"/>
                <w:lang w:val="en-US"/>
              </w:rPr>
              <w:t>(N=12)</w:t>
            </w:r>
          </w:p>
          <w:p w:rsidR="007070CB" w:rsidRDefault="006E2E62">
            <w:pPr>
              <w:widowControl/>
              <w:jc w:val="left"/>
              <w:rPr>
                <w:rFonts w:ascii="Arial Narrow" w:hAnsi="Arial Narrow"/>
                <w:sz w:val="20"/>
                <w:szCs w:val="20"/>
                <w:lang w:val="en-US"/>
              </w:rPr>
            </w:pPr>
            <w:r>
              <w:rPr>
                <w:rFonts w:ascii="Arial Narrow" w:hAnsi="Arial Narrow"/>
                <w:sz w:val="20"/>
                <w:szCs w:val="20"/>
                <w:lang w:val="en-US"/>
              </w:rPr>
              <w:t>Part B (N=60)</w:t>
            </w:r>
          </w:p>
        </w:tc>
        <w:tc>
          <w:tcPr>
            <w:tcW w:w="1412" w:type="pct"/>
            <w:shd w:val="clear" w:color="auto" w:fill="auto"/>
          </w:tcPr>
          <w:p w:rsidR="007070CB" w:rsidRDefault="006E2E62">
            <w:pPr>
              <w:widowControl/>
              <w:jc w:val="left"/>
              <w:rPr>
                <w:rFonts w:ascii="Arial Narrow" w:hAnsi="Arial Narrow"/>
                <w:sz w:val="20"/>
                <w:szCs w:val="20"/>
                <w:lang w:val="en-US"/>
              </w:rPr>
            </w:pPr>
            <w:r>
              <w:rPr>
                <w:rFonts w:ascii="Arial Narrow" w:hAnsi="Arial Narrow"/>
                <w:sz w:val="20"/>
                <w:szCs w:val="20"/>
                <w:lang w:val="en-US"/>
              </w:rPr>
              <w:t>OL, MC, 2-part study</w:t>
            </w:r>
          </w:p>
          <w:p w:rsidR="007070CB" w:rsidRDefault="006E2E62">
            <w:pPr>
              <w:widowControl/>
              <w:jc w:val="left"/>
              <w:rPr>
                <w:rFonts w:ascii="Arial Narrow" w:hAnsi="Arial Narrow"/>
                <w:sz w:val="20"/>
                <w:szCs w:val="20"/>
                <w:lang w:val="en-US"/>
              </w:rPr>
            </w:pPr>
            <w:r>
              <w:rPr>
                <w:rFonts w:ascii="Arial Narrow" w:hAnsi="Arial Narrow"/>
                <w:sz w:val="20"/>
                <w:szCs w:val="20"/>
                <w:lang w:val="en-US"/>
              </w:rPr>
              <w:t>Part A: 15 days;</w:t>
            </w:r>
          </w:p>
          <w:p w:rsidR="007070CB" w:rsidRDefault="006E2E62">
            <w:pPr>
              <w:widowControl/>
              <w:jc w:val="left"/>
              <w:rPr>
                <w:rFonts w:ascii="Arial Narrow" w:hAnsi="Arial Narrow"/>
                <w:sz w:val="20"/>
                <w:szCs w:val="20"/>
                <w:lang w:val="en-US"/>
              </w:rPr>
            </w:pPr>
            <w:r>
              <w:rPr>
                <w:rFonts w:ascii="Arial Narrow" w:hAnsi="Arial Narrow"/>
                <w:sz w:val="20"/>
                <w:szCs w:val="20"/>
                <w:lang w:val="en-US"/>
              </w:rPr>
              <w:t>Part B: 24 weeks.</w:t>
            </w:r>
          </w:p>
          <w:p w:rsidR="007070CB" w:rsidRDefault="007070CB">
            <w:pPr>
              <w:widowControl/>
              <w:jc w:val="left"/>
              <w:rPr>
                <w:rFonts w:ascii="Arial Narrow" w:hAnsi="Arial Narrow"/>
                <w:sz w:val="20"/>
                <w:szCs w:val="20"/>
                <w:lang w:val="en-US"/>
              </w:rPr>
            </w:pPr>
          </w:p>
          <w:p w:rsidR="007070CB" w:rsidRDefault="006E2E62">
            <w:pPr>
              <w:widowControl/>
              <w:jc w:val="left"/>
              <w:rPr>
                <w:rFonts w:ascii="Arial Narrow" w:hAnsi="Arial Narrow"/>
                <w:sz w:val="20"/>
                <w:szCs w:val="20"/>
                <w:lang w:val="en-US"/>
              </w:rPr>
            </w:pPr>
            <w:r>
              <w:rPr>
                <w:rFonts w:ascii="Arial Narrow" w:hAnsi="Arial Narrow"/>
                <w:sz w:val="20"/>
                <w:szCs w:val="20"/>
                <w:lang w:val="en-US"/>
              </w:rPr>
              <w:t xml:space="preserve">Weight based dose: </w:t>
            </w:r>
          </w:p>
          <w:p w:rsidR="007070CB" w:rsidRDefault="006E2E62">
            <w:pPr>
              <w:widowControl/>
              <w:jc w:val="left"/>
              <w:rPr>
                <w:rFonts w:ascii="Arial Narrow" w:hAnsi="Arial Narrow"/>
                <w:sz w:val="20"/>
                <w:szCs w:val="20"/>
                <w:lang w:val="en-US"/>
              </w:rPr>
            </w:pPr>
            <w:r>
              <w:rPr>
                <w:rFonts w:ascii="Arial Narrow" w:hAnsi="Arial Narrow"/>
                <w:sz w:val="20"/>
                <w:szCs w:val="20"/>
                <w:lang w:val="en-US"/>
              </w:rPr>
              <w:t>&lt;14 kg: L 100</w:t>
            </w:r>
            <w:r w:rsidR="00FE7D84">
              <w:rPr>
                <w:rFonts w:ascii="Arial Narrow" w:hAnsi="Arial Narrow"/>
                <w:sz w:val="20"/>
                <w:szCs w:val="20"/>
                <w:lang w:val="en-US"/>
              </w:rPr>
              <w:t xml:space="preserve"> </w:t>
            </w:r>
            <w:r>
              <w:rPr>
                <w:rFonts w:ascii="Arial Narrow" w:hAnsi="Arial Narrow"/>
                <w:sz w:val="20"/>
                <w:szCs w:val="20"/>
                <w:lang w:val="en-US"/>
              </w:rPr>
              <w:t xml:space="preserve">mg/I 125 mg q12h; </w:t>
            </w:r>
          </w:p>
          <w:p w:rsidR="007070CB" w:rsidRDefault="006E2E62">
            <w:pPr>
              <w:widowControl/>
              <w:jc w:val="left"/>
              <w:rPr>
                <w:rFonts w:ascii="Arial Narrow" w:hAnsi="Arial Narrow"/>
                <w:sz w:val="20"/>
                <w:szCs w:val="20"/>
                <w:lang w:val="en-US"/>
              </w:rPr>
            </w:pPr>
            <w:r>
              <w:rPr>
                <w:rFonts w:ascii="Arial Narrow" w:hAnsi="Arial Narrow"/>
                <w:sz w:val="20"/>
                <w:szCs w:val="20"/>
                <w:lang w:val="en-US"/>
              </w:rPr>
              <w:t>≥14 kg: L 150 mg/I 188 mg q12h.</w:t>
            </w:r>
          </w:p>
        </w:tc>
        <w:tc>
          <w:tcPr>
            <w:tcW w:w="372" w:type="pct"/>
            <w:shd w:val="clear" w:color="auto" w:fill="auto"/>
          </w:tcPr>
          <w:p w:rsidR="007070CB" w:rsidRDefault="006E2E62">
            <w:pPr>
              <w:widowControl/>
              <w:jc w:val="left"/>
              <w:rPr>
                <w:rFonts w:ascii="Arial Narrow" w:hAnsi="Arial Narrow"/>
                <w:sz w:val="20"/>
                <w:szCs w:val="20"/>
                <w:lang w:val="en-US"/>
              </w:rPr>
            </w:pPr>
            <w:r>
              <w:rPr>
                <w:rFonts w:ascii="Arial Narrow" w:hAnsi="Arial Narrow"/>
                <w:sz w:val="20"/>
                <w:szCs w:val="20"/>
                <w:lang w:val="en-US"/>
              </w:rPr>
              <w:t>High</w:t>
            </w:r>
          </w:p>
        </w:tc>
        <w:tc>
          <w:tcPr>
            <w:tcW w:w="943" w:type="pct"/>
            <w:shd w:val="clear" w:color="auto" w:fill="auto"/>
          </w:tcPr>
          <w:p w:rsidR="007070CB" w:rsidRDefault="006E2E62">
            <w:pPr>
              <w:pStyle w:val="TableLeft"/>
              <w:rPr>
                <w:rFonts w:ascii="Arial Narrow" w:hAnsi="Arial Narrow" w:cs="Times New Roman"/>
              </w:rPr>
            </w:pPr>
            <w:r>
              <w:rPr>
                <w:rFonts w:ascii="Arial Narrow" w:hAnsi="Arial Narrow" w:cs="Times New Roman"/>
              </w:rPr>
              <w:t xml:space="preserve">Aged 2 to 5 years with CF homozygous for the F508del mutation. </w:t>
            </w:r>
          </w:p>
        </w:tc>
        <w:tc>
          <w:tcPr>
            <w:tcW w:w="1621" w:type="pct"/>
            <w:shd w:val="clear" w:color="auto" w:fill="auto"/>
          </w:tcPr>
          <w:p w:rsidR="007070CB" w:rsidRDefault="006E2E62">
            <w:pPr>
              <w:pStyle w:val="TableLeft"/>
              <w:rPr>
                <w:rFonts w:ascii="Arial Narrow" w:hAnsi="Arial Narrow" w:cs="Times New Roman"/>
              </w:rPr>
            </w:pPr>
            <w:r>
              <w:rPr>
                <w:rFonts w:ascii="Arial Narrow" w:hAnsi="Arial Narrow" w:cs="Times New Roman"/>
              </w:rPr>
              <w:t>Absolute change from baseline in: LCI</w:t>
            </w:r>
            <w:r>
              <w:rPr>
                <w:rFonts w:ascii="Arial Narrow" w:hAnsi="Arial Narrow" w:cs="Times New Roman"/>
                <w:vertAlign w:val="subscript"/>
              </w:rPr>
              <w:t xml:space="preserve">2.5 </w:t>
            </w:r>
            <w:r>
              <w:rPr>
                <w:rFonts w:ascii="Arial Narrow" w:hAnsi="Arial Narrow" w:cs="Times New Roman"/>
              </w:rPr>
              <w:t>&amp; LCI</w:t>
            </w:r>
            <w:r>
              <w:rPr>
                <w:rFonts w:ascii="Arial Narrow" w:hAnsi="Arial Narrow" w:cs="Times New Roman"/>
                <w:vertAlign w:val="subscript"/>
              </w:rPr>
              <w:t>5.0</w:t>
            </w:r>
            <w:r>
              <w:rPr>
                <w:rFonts w:ascii="Arial Narrow" w:hAnsi="Arial Narrow" w:cs="Times New Roman"/>
              </w:rPr>
              <w:t>; sweat chloride; ppFEV1; nutritional status (BMI, BMI-for-age z-score, weight, weight-for-age z-score, stature, stature-for-height). Pulmonary exacerbation (PEx) measures; Absolute change in pancreatic function measures (FE-1; IRT).</w:t>
            </w:r>
          </w:p>
        </w:tc>
      </w:tr>
    </w:tbl>
    <w:p w:rsidR="007070CB" w:rsidRDefault="006E2E62">
      <w:pPr>
        <w:pStyle w:val="TableFooter"/>
        <w:widowControl/>
      </w:pPr>
      <w:r>
        <w:t>Abbreviations: BMI = body mass index; BSC=best supportive care; CF=cystic fibrosis; CFTR=cystic fibrosis transmembrane conductance regulator; FE-1=faecal elastase 1; FEV=forced expiratory volume; IRT=immunoreactive trypsinogen; LCI</w:t>
      </w:r>
      <w:r>
        <w:rPr>
          <w:vertAlign w:val="subscript"/>
        </w:rPr>
        <w:t>2.5</w:t>
      </w:r>
      <w:r>
        <w:t>=lung clearance index at 2.5% of starting concentration; LCI</w:t>
      </w:r>
      <w:r>
        <w:rPr>
          <w:vertAlign w:val="subscript"/>
        </w:rPr>
        <w:t>5.0</w:t>
      </w:r>
      <w:r>
        <w:t xml:space="preserve">=lung clearance index at 5.0% of starting concentration; </w:t>
      </w:r>
      <w:r>
        <w:rPr>
          <w:szCs w:val="18"/>
        </w:rPr>
        <w:t xml:space="preserve">MC=multi-centre; OL=open label; PEx=pulmonary exacerbations; </w:t>
      </w:r>
      <w:r>
        <w:t>PO = oral administration; ppFEV</w:t>
      </w:r>
      <w:r>
        <w:rPr>
          <w:vertAlign w:val="subscript"/>
        </w:rPr>
        <w:t>1</w:t>
      </w:r>
      <w:r>
        <w:t xml:space="preserve">= percent predicted forced expiratory volume in one second; q12h = every 12 hours. </w:t>
      </w:r>
    </w:p>
    <w:p w:rsidR="007070CB" w:rsidRDefault="007070CB">
      <w:pPr>
        <w:pStyle w:val="TableFooter"/>
        <w:widowControl/>
      </w:pPr>
    </w:p>
    <w:p w:rsidR="007070CB" w:rsidRDefault="006E2E62">
      <w:pPr>
        <w:widowControl/>
        <w:numPr>
          <w:ilvl w:val="1"/>
          <w:numId w:val="1"/>
        </w:numPr>
        <w:spacing w:after="120"/>
      </w:pPr>
      <w:r>
        <w:t>The following issues were identified with regards to the study design, analysis and its implications for the interpretation of the evidence:</w:t>
      </w:r>
    </w:p>
    <w:p w:rsidR="007070CB" w:rsidRDefault="006E2E62">
      <w:pPr>
        <w:widowControl/>
        <w:numPr>
          <w:ilvl w:val="0"/>
          <w:numId w:val="9"/>
        </w:numPr>
        <w:spacing w:after="120"/>
      </w:pPr>
      <w:r>
        <w:t xml:space="preserve">Study 115 was a non-randomised, non-comparative, open label trial. The study was designed to demonstrate the safety, pharmacokinetics and pharmacodynamics of lumacaftor/ivacaftor in children aged 2 to 5 years. The overall risk of bias was high due to its non-randomised and open-label nature. </w:t>
      </w:r>
    </w:p>
    <w:p w:rsidR="007070CB" w:rsidRDefault="006E2E62">
      <w:pPr>
        <w:widowControl/>
        <w:numPr>
          <w:ilvl w:val="0"/>
          <w:numId w:val="9"/>
        </w:numPr>
        <w:spacing w:after="120"/>
      </w:pPr>
      <w:r>
        <w:t xml:space="preserve">While the study included two parts (Part A and Part B), the number of patients in Part A that transitioned into Part B was unknown; the two parts should thus be considered as stand-alone. </w:t>
      </w:r>
    </w:p>
    <w:p w:rsidR="007070CB" w:rsidRDefault="006E2E62">
      <w:pPr>
        <w:widowControl/>
        <w:numPr>
          <w:ilvl w:val="0"/>
          <w:numId w:val="9"/>
        </w:numPr>
        <w:spacing w:after="120"/>
      </w:pPr>
      <w:r>
        <w:t xml:space="preserve">The sample size was small which influences the robustness of the effects measures and the results were only available for up to 24 weeks of treatment (whereas CF is a chronic condition). </w:t>
      </w:r>
    </w:p>
    <w:p w:rsidR="007070CB" w:rsidRDefault="006E2E62">
      <w:pPr>
        <w:widowControl/>
        <w:numPr>
          <w:ilvl w:val="0"/>
          <w:numId w:val="9"/>
        </w:numPr>
        <w:spacing w:after="120"/>
      </w:pPr>
      <w:r>
        <w:t>The absence of a comparator group means it was not possible to assess the comparative safety/efficacy outcomes for lumacaftor/ivacaftor in this patient group.</w:t>
      </w:r>
    </w:p>
    <w:p w:rsidR="007070CB" w:rsidRDefault="006E2E62">
      <w:pPr>
        <w:pStyle w:val="Heading2"/>
        <w:keepNext w:val="0"/>
      </w:pPr>
      <w:bookmarkStart w:id="16" w:name="_Toc6931320"/>
      <w:bookmarkStart w:id="17" w:name="_Toc9335658"/>
      <w:r>
        <w:t>Comparative effectiveness</w:t>
      </w:r>
      <w:bookmarkEnd w:id="16"/>
      <w:bookmarkEnd w:id="17"/>
    </w:p>
    <w:p w:rsidR="007070CB" w:rsidRDefault="006E2E62">
      <w:pPr>
        <w:widowControl/>
        <w:numPr>
          <w:ilvl w:val="1"/>
          <w:numId w:val="1"/>
        </w:numPr>
        <w:spacing w:after="120"/>
      </w:pPr>
      <w:r>
        <w:t>Efficacy was reported as a secondary outcome from Part B in Study 115; the primary outcome was safety. The results from Study 115 showed that treatment with lumacaftor/ivacaftor resulted in an improvement in the:</w:t>
      </w:r>
    </w:p>
    <w:p w:rsidR="007070CB" w:rsidRDefault="006E2E62">
      <w:pPr>
        <w:widowControl/>
        <w:numPr>
          <w:ilvl w:val="0"/>
          <w:numId w:val="9"/>
        </w:numPr>
        <w:spacing w:after="120"/>
      </w:pPr>
      <w:r>
        <w:t>Absolute change in ppFEV</w:t>
      </w:r>
      <w:r>
        <w:rPr>
          <w:vertAlign w:val="subscript"/>
        </w:rPr>
        <w:t xml:space="preserve">1 </w:t>
      </w:r>
      <w:r>
        <w:t xml:space="preserve">at week 24 compared with baseline (0.5%, 95% CI: </w:t>
      </w:r>
      <w:r>
        <w:noBreakHyphen/>
        <w:t>6.9, 7.9; p=0.8829, n=12) (Figure 1). The submission noted that this</w:t>
      </w:r>
      <w:r>
        <w:rPr>
          <w:rFonts w:cs="Tahoma"/>
        </w:rPr>
        <w:t xml:space="preserve"> change was not significant, potentially due to the limited data available, arising from the difficulty of obtaining spirometry measurements in young children (N=12). This was reasonable.</w:t>
      </w:r>
    </w:p>
    <w:p w:rsidR="007070CB" w:rsidRDefault="006E2E62">
      <w:pPr>
        <w:pStyle w:val="ListParagraph"/>
        <w:widowControl/>
        <w:numPr>
          <w:ilvl w:val="0"/>
          <w:numId w:val="9"/>
        </w:numPr>
        <w:rPr>
          <w:rFonts w:asciiTheme="minorHAnsi" w:hAnsiTheme="minorHAnsi" w:cstheme="minorHAnsi"/>
        </w:rPr>
      </w:pPr>
      <w:r>
        <w:t>LCI</w:t>
      </w:r>
      <w:r>
        <w:rPr>
          <w:vertAlign w:val="subscript"/>
        </w:rPr>
        <w:t>2.5</w:t>
      </w:r>
      <w:r>
        <w:t xml:space="preserve"> after 24 weeks compared with baseline (mean absolute change: -0.58 units; p=0.0559) (</w:t>
      </w:r>
      <w:r>
        <w:rPr>
          <w:rStyle w:val="CommentReference"/>
          <w:rFonts w:ascii="Calibri" w:hAnsi="Calibri" w:cs="Calibri"/>
          <w:b w:val="0"/>
          <w:sz w:val="24"/>
          <w:szCs w:val="24"/>
        </w:rPr>
        <w:t>Figure</w:t>
      </w:r>
      <w:r>
        <w:rPr>
          <w:rFonts w:cs="Calibri"/>
          <w:b/>
          <w:szCs w:val="24"/>
        </w:rPr>
        <w:t xml:space="preserve"> </w:t>
      </w:r>
      <w:r>
        <w:rPr>
          <w:rFonts w:cs="Calibri"/>
          <w:szCs w:val="24"/>
        </w:rPr>
        <w:t>2</w:t>
      </w:r>
      <w:r>
        <w:t xml:space="preserve">). The result was not statistically significant, although the submission asserted this was due to the study not being powered for this outcome. </w:t>
      </w:r>
      <w:r>
        <w:lastRenderedPageBreak/>
        <w:t xml:space="preserve">This was reasonable. </w:t>
      </w:r>
      <w:r>
        <w:rPr>
          <w:rFonts w:asciiTheme="minorHAnsi" w:hAnsiTheme="minorHAnsi" w:cstheme="minorHAnsi"/>
        </w:rPr>
        <w:t>The submission claimed that the change in LCI</w:t>
      </w:r>
      <w:r>
        <w:rPr>
          <w:rFonts w:asciiTheme="minorHAnsi" w:hAnsiTheme="minorHAnsi" w:cstheme="minorHAnsi"/>
          <w:vertAlign w:val="subscript"/>
        </w:rPr>
        <w:t>2.5</w:t>
      </w:r>
      <w:r>
        <w:rPr>
          <w:rFonts w:asciiTheme="minorHAnsi" w:hAnsiTheme="minorHAnsi" w:cstheme="minorHAnsi"/>
        </w:rPr>
        <w:t xml:space="preserve"> exceeded the minimal clinically important difference (MCID; a change of between 0.5</w:t>
      </w:r>
      <w:r>
        <w:rPr>
          <w:rFonts w:asciiTheme="minorHAnsi" w:hAnsiTheme="minorHAnsi" w:cstheme="minorHAnsi"/>
        </w:rPr>
        <w:noBreakHyphen/>
        <w:t xml:space="preserve">1.0 units based on expert opinion; see p73 and 76 of the submission). While the change was numerically within the proposed MCID, it was not statistically significant and the corresponding confidence intervals spanned values outside of the MCID. </w:t>
      </w:r>
      <w:r>
        <w:t>At the follow-up visit (after the two-week washout period), LCI</w:t>
      </w:r>
      <w:r>
        <w:rPr>
          <w:vertAlign w:val="subscript"/>
        </w:rPr>
        <w:t xml:space="preserve">2.5 </w:t>
      </w:r>
      <w:r>
        <w:t xml:space="preserve">returned to the approximate baseline level (Figure 2.5.1). </w:t>
      </w:r>
      <w:r>
        <w:rPr>
          <w:rFonts w:asciiTheme="minorHAnsi" w:hAnsiTheme="minorHAnsi" w:cstheme="minorHAnsi"/>
        </w:rPr>
        <w:t>The PBAC previously considered that there is no established minimum clinically important change in LCI and it is uncertain how improvements in LCI</w:t>
      </w:r>
      <w:r>
        <w:rPr>
          <w:rFonts w:asciiTheme="minorHAnsi" w:hAnsiTheme="minorHAnsi" w:cstheme="minorHAnsi"/>
          <w:vertAlign w:val="subscript"/>
        </w:rPr>
        <w:t>2.5</w:t>
      </w:r>
      <w:r>
        <w:rPr>
          <w:rFonts w:asciiTheme="minorHAnsi" w:hAnsiTheme="minorHAnsi" w:cstheme="minorHAnsi"/>
        </w:rPr>
        <w:t xml:space="preserve"> may contribute to patient relevant outcomes that lead to improvements in survival or quality of life (Lumacaftor/ivacaftor (6</w:t>
      </w:r>
      <w:r>
        <w:rPr>
          <w:rFonts w:asciiTheme="minorHAnsi" w:hAnsiTheme="minorHAnsi" w:cstheme="minorHAnsi"/>
        </w:rPr>
        <w:noBreakHyphen/>
        <w:t xml:space="preserve">11y) PSD, July 2018, paragraph 6.36). </w:t>
      </w:r>
    </w:p>
    <w:p w:rsidR="00FE09CF" w:rsidRDefault="00FE09CF" w:rsidP="00FE09CF">
      <w:pPr>
        <w:pStyle w:val="PBACTableText"/>
      </w:pPr>
      <w:r>
        <w:t xml:space="preserve">Figure </w:t>
      </w:r>
      <w:r w:rsidR="00AF1977">
        <w:rPr>
          <w:noProof/>
        </w:rPr>
        <w:t>1</w:t>
      </w:r>
      <w:r w:rsidRPr="00724E11">
        <w:t>: Absolute change from baseline in ppFEV1 (percentage points) at each visit (FAS)</w:t>
      </w:r>
    </w:p>
    <w:p w:rsidR="007070CB" w:rsidRDefault="006E2E62">
      <w:pPr>
        <w:pStyle w:val="ListParagraph"/>
        <w:keepNext/>
        <w:widowControl/>
        <w:ind w:left="1080" w:hanging="1080"/>
        <w:rPr>
          <w:lang w:val="en-US"/>
        </w:rPr>
      </w:pPr>
      <w:r>
        <w:rPr>
          <w:noProof/>
          <w:lang w:eastAsia="en-AU"/>
        </w:rPr>
        <w:drawing>
          <wp:inline distT="0" distB="0" distL="0" distR="0" wp14:anchorId="1C3FF71A" wp14:editId="5CF752CC">
            <wp:extent cx="5237480" cy="3124731"/>
            <wp:effectExtent l="0" t="0" r="1270" b="0"/>
            <wp:docPr id="1" name="Picture 1" title="Figure 1: Absolute change from baseline in ppFEV1 (percentage points) at each visit (F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86598" cy="3154035"/>
                    </a:xfrm>
                    <a:prstGeom prst="rect">
                      <a:avLst/>
                    </a:prstGeom>
                  </pic:spPr>
                </pic:pic>
              </a:graphicData>
            </a:graphic>
          </wp:inline>
        </w:drawing>
      </w:r>
    </w:p>
    <w:p w:rsidR="007070CB" w:rsidRDefault="006E2E62">
      <w:pPr>
        <w:pStyle w:val="TableFooter"/>
        <w:keepNext/>
        <w:widowControl/>
      </w:pPr>
      <w:r>
        <w:t>Source: Figure 2.5.3 p78 of the submission; Study 115 CSR Figure 11-15 p100</w:t>
      </w:r>
    </w:p>
    <w:p w:rsidR="007070CB" w:rsidRDefault="006E2E62">
      <w:pPr>
        <w:pStyle w:val="TableFooter"/>
        <w:keepNext/>
        <w:widowControl/>
      </w:pPr>
      <w:r>
        <w:t>Abbreviations: Abs = absolute; BL = baseline; Chg = change; CI = confidence interval; FAS = full analysis set; IVA = ivacaftor; LUM = lumacaftor; N = number; ppFEV1 = percent predicted forced expiratory volume in one second; q12h = every 12 hours</w:t>
      </w:r>
    </w:p>
    <w:p w:rsidR="007070CB" w:rsidRDefault="007070CB">
      <w:pPr>
        <w:pStyle w:val="TableFooter"/>
        <w:widowControl/>
      </w:pPr>
    </w:p>
    <w:p w:rsidR="007070CB" w:rsidRDefault="006E2E62">
      <w:pPr>
        <w:widowControl/>
        <w:jc w:val="left"/>
        <w:rPr>
          <w:rStyle w:val="CommentReference"/>
        </w:rPr>
      </w:pPr>
      <w:bookmarkStart w:id="18" w:name="_Ref6855520"/>
      <w:r>
        <w:rPr>
          <w:rStyle w:val="CommentReference"/>
        </w:rPr>
        <w:br w:type="page"/>
      </w:r>
    </w:p>
    <w:bookmarkEnd w:id="18"/>
    <w:p w:rsidR="00FE09CF" w:rsidRDefault="00FE09CF" w:rsidP="00FE09CF">
      <w:pPr>
        <w:pStyle w:val="PBACTableText"/>
      </w:pPr>
      <w:r>
        <w:lastRenderedPageBreak/>
        <w:t xml:space="preserve">Figure </w:t>
      </w:r>
      <w:r w:rsidR="00AF1977">
        <w:rPr>
          <w:noProof/>
        </w:rPr>
        <w:t>2</w:t>
      </w:r>
      <w:r w:rsidRPr="004676C5">
        <w:t>: Absolute change from baseline in LCI2.5 at each visit (LCI substudy set)</w:t>
      </w:r>
    </w:p>
    <w:p w:rsidR="007070CB" w:rsidRDefault="006E2E62">
      <w:pPr>
        <w:pStyle w:val="ListParagraph"/>
        <w:widowControl/>
        <w:ind w:left="1080" w:hanging="1080"/>
        <w:jc w:val="left"/>
        <w:rPr>
          <w:lang w:val="en-US"/>
        </w:rPr>
      </w:pPr>
      <w:r>
        <w:rPr>
          <w:noProof/>
          <w:lang w:eastAsia="en-AU"/>
        </w:rPr>
        <w:drawing>
          <wp:inline distT="0" distB="0" distL="0" distR="0" wp14:anchorId="17303859" wp14:editId="2FEE78D0">
            <wp:extent cx="5237480" cy="3089336"/>
            <wp:effectExtent l="0" t="0" r="1270" b="0"/>
            <wp:docPr id="3" name="Picture 3" title="Figure 2: Absolute change from baseline in LCI2.5 at each visit (LCI substudy 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37480" cy="3089336"/>
                    </a:xfrm>
                    <a:prstGeom prst="rect">
                      <a:avLst/>
                    </a:prstGeom>
                  </pic:spPr>
                </pic:pic>
              </a:graphicData>
            </a:graphic>
          </wp:inline>
        </w:drawing>
      </w:r>
    </w:p>
    <w:p w:rsidR="007070CB" w:rsidRDefault="006E2E62">
      <w:pPr>
        <w:pStyle w:val="TableFooter"/>
        <w:widowControl/>
      </w:pPr>
      <w:r>
        <w:t>Source: Figure 2.5.1 p77 of the submission; Study 115 CSR Figure 11-16 p102</w:t>
      </w:r>
    </w:p>
    <w:p w:rsidR="007070CB" w:rsidRDefault="006E2E62">
      <w:pPr>
        <w:pStyle w:val="TableFooter"/>
        <w:widowControl/>
      </w:pPr>
      <w:r>
        <w:t xml:space="preserve">Abbreviations: Abs = absolute; BL = baseline; Chg = change; CI = confidence interval; FAS = full analysis set; IVA = ivacaftor; LCI = lung clearance index; LCI2.5 = number of lung turnovers required to reduce the end tidal inert gas concentration to 1/40th of its starting value; LUM = lumacaftor; N = number; q12h = every 12 hours. </w:t>
      </w:r>
    </w:p>
    <w:p w:rsidR="007070CB" w:rsidRDefault="007070CB">
      <w:pPr>
        <w:pStyle w:val="TableFooter"/>
        <w:widowControl/>
      </w:pPr>
    </w:p>
    <w:p w:rsidR="007070CB" w:rsidRDefault="006E2E62">
      <w:pPr>
        <w:widowControl/>
        <w:numPr>
          <w:ilvl w:val="1"/>
          <w:numId w:val="1"/>
        </w:numPr>
        <w:spacing w:after="120"/>
      </w:pPr>
      <w:r>
        <w:t>Other results from the secondary outcomes from Part B in Study 115 showed 24 weeks of treatment with lumacaftor/</w:t>
      </w:r>
      <w:r>
        <w:rPr>
          <w:lang w:val="en-GB" w:eastAsia="en-GB"/>
        </w:rPr>
        <w:t>ivacaftor</w:t>
      </w:r>
      <w:r>
        <w:t xml:space="preserve"> resulted in a statistically significant improvement from baseline in the absolute change in: </w:t>
      </w:r>
    </w:p>
    <w:p w:rsidR="007070CB" w:rsidRDefault="006E2E62">
      <w:pPr>
        <w:widowControl/>
        <w:numPr>
          <w:ilvl w:val="0"/>
          <w:numId w:val="9"/>
        </w:numPr>
        <w:spacing w:after="120"/>
      </w:pPr>
      <w:r>
        <w:t>Sweat chloride (-31.7 mmol/L, p&lt;0.0001).</w:t>
      </w:r>
    </w:p>
    <w:p w:rsidR="007070CB" w:rsidRDefault="006E2E62">
      <w:pPr>
        <w:widowControl/>
        <w:numPr>
          <w:ilvl w:val="0"/>
          <w:numId w:val="9"/>
        </w:numPr>
        <w:spacing w:after="120"/>
      </w:pPr>
      <w:r>
        <w:t>Nutritional status measures (BMI, weight and stature): BMI of 0.27 kg/m</w:t>
      </w:r>
      <w:r>
        <w:rPr>
          <w:vertAlign w:val="superscript"/>
        </w:rPr>
        <w:t>2</w:t>
      </w:r>
      <w:r>
        <w:t xml:space="preserve"> (p=0.0091); BMI-for-age z-score of 0.29 (p=0.0003); Weight of 1.4 kg (p&lt;0.0001); Weight-for-age z-score of 0.26 (p&lt;0.0001); Stature of 3.6 cm (p&lt;0.0001); Stature-for-age z-score of 0.09 (p=0.0104).</w:t>
      </w:r>
    </w:p>
    <w:p w:rsidR="007070CB" w:rsidRDefault="006E2E62">
      <w:pPr>
        <w:widowControl/>
        <w:numPr>
          <w:ilvl w:val="0"/>
          <w:numId w:val="9"/>
        </w:numPr>
        <w:spacing w:after="120"/>
      </w:pPr>
      <w:r>
        <w:t>Pancreatic function measures: FE-1 of 52.6 μg/g (p=.0012); IRT of -129.9 ng/mL (p=0.0009).</w:t>
      </w:r>
    </w:p>
    <w:p w:rsidR="007070CB" w:rsidRDefault="006E2E62">
      <w:pPr>
        <w:widowControl/>
        <w:numPr>
          <w:ilvl w:val="1"/>
          <w:numId w:val="1"/>
        </w:numPr>
        <w:spacing w:after="120"/>
      </w:pPr>
      <w:r>
        <w:t>The benefits of treatment with lumacaftor/ivacaftor as reported from Study 115 should be interpreted with caution due to the small sample size and the lack of a comparable placebo control group.</w:t>
      </w:r>
    </w:p>
    <w:p w:rsidR="007070CB" w:rsidRDefault="006E2E62">
      <w:pPr>
        <w:widowControl/>
        <w:numPr>
          <w:ilvl w:val="1"/>
          <w:numId w:val="1"/>
        </w:numPr>
        <w:spacing w:after="120"/>
      </w:pPr>
      <w:r>
        <w:t>The PSCR</w:t>
      </w:r>
      <w:r w:rsidR="00FE7D84">
        <w:t xml:space="preserve"> </w:t>
      </w:r>
      <w:r>
        <w:t xml:space="preserve">claimed that the observed changes in sweat chloride would not occur as a result of standard treatment and indicate a consistent effect on CFTR function, as observed in other Phase 3 studies in older patients. The ESC considered that the observed change in sweat chloride indicated at best a moderate effect on the function of the CFTR when compared with the change observed in the clinical trials for ivacaftor granules in CF patients aged 2-5 years with a CFTR gating mutation (a different CF </w:t>
      </w:r>
      <w:r>
        <w:lastRenderedPageBreak/>
        <w:t>patient population) at 24 weeks (-46.9 mmol/L, p&lt;0.0001) and 108 weeks (</w:t>
      </w:r>
      <w:r>
        <w:noBreakHyphen/>
        <w:t>54.7 mmol/L, p&lt;0.0001) (ivacaftor PSD, November 2016, paragraph 6.10).</w:t>
      </w:r>
    </w:p>
    <w:p w:rsidR="007070CB" w:rsidRDefault="006E2E62">
      <w:pPr>
        <w:widowControl/>
        <w:numPr>
          <w:ilvl w:val="1"/>
          <w:numId w:val="1"/>
        </w:numPr>
        <w:spacing w:after="120"/>
      </w:pPr>
      <w:r>
        <w:t>A comparison of efficacy results for the use of lumacaftor/ivacaftor in older children with those for children aged 2 to 5 years was not presented in the submission. A summary of the efficacy outcomes from the pivotal studies for lumacaftor/ivacaftor was conducted during the evaluation and presented in Table 6. Younger patients have numerically higher results than older patients with respect to nutritional status outcomes (weight-for-age z-scores, stature-for-age z-scores and BMI-for-age z</w:t>
      </w:r>
      <w:r>
        <w:noBreakHyphen/>
        <w:t xml:space="preserve">scores). The number of PEx events per person is higher for patients aged 2 to 5 years compared with patients aged 6 to 11 years. </w:t>
      </w:r>
    </w:p>
    <w:p w:rsidR="00FE09CF" w:rsidRDefault="00FE09CF" w:rsidP="00FE09CF">
      <w:pPr>
        <w:pStyle w:val="PBACTableText"/>
      </w:pPr>
      <w:r>
        <w:t xml:space="preserve">Table </w:t>
      </w:r>
      <w:r w:rsidR="00AF1977">
        <w:rPr>
          <w:noProof/>
        </w:rPr>
        <w:t>6</w:t>
      </w:r>
      <w:r w:rsidRPr="00A31FF8">
        <w:t>: Comparison of efficacy outcomes across the lumacaftor/ivacaftor trials and age groups</w:t>
      </w:r>
    </w:p>
    <w:tbl>
      <w:tblPr>
        <w:tblStyle w:val="TableGrid"/>
        <w:tblW w:w="5000" w:type="pct"/>
        <w:tblLook w:val="04A0" w:firstRow="1" w:lastRow="0" w:firstColumn="1" w:lastColumn="0" w:noHBand="0" w:noVBand="1"/>
        <w:tblCaption w:val="Table 6: Comparison of efficacy outcomes across the lumacaftor/ivacaftor trials and age groups"/>
      </w:tblPr>
      <w:tblGrid>
        <w:gridCol w:w="2513"/>
        <w:gridCol w:w="1262"/>
        <w:gridCol w:w="1262"/>
        <w:gridCol w:w="1262"/>
        <w:gridCol w:w="1461"/>
        <w:gridCol w:w="1257"/>
      </w:tblGrid>
      <w:tr w:rsidR="007070CB">
        <w:trPr>
          <w:tblHeader/>
        </w:trPr>
        <w:tc>
          <w:tcPr>
            <w:tcW w:w="1393" w:type="pct"/>
            <w:tcBorders>
              <w:bottom w:val="single" w:sz="4" w:space="0" w:color="auto"/>
            </w:tcBorders>
          </w:tcPr>
          <w:p w:rsidR="007070CB" w:rsidRDefault="006E2E62">
            <w:pPr>
              <w:pStyle w:val="TableHeading"/>
              <w:spacing w:before="0" w:after="0"/>
              <w:ind w:left="-67" w:right="-103"/>
            </w:pPr>
            <w:r>
              <w:t>Age group</w:t>
            </w:r>
          </w:p>
        </w:tc>
        <w:tc>
          <w:tcPr>
            <w:tcW w:w="2099" w:type="pct"/>
            <w:gridSpan w:val="3"/>
          </w:tcPr>
          <w:p w:rsidR="007070CB" w:rsidRDefault="006E2E62">
            <w:pPr>
              <w:pStyle w:val="TableHeading"/>
              <w:spacing w:before="0" w:after="0"/>
              <w:ind w:left="-86" w:right="-91"/>
              <w:jc w:val="center"/>
            </w:pPr>
            <w:r>
              <w:t>2 – 5 years</w:t>
            </w:r>
          </w:p>
        </w:tc>
        <w:tc>
          <w:tcPr>
            <w:tcW w:w="810" w:type="pct"/>
          </w:tcPr>
          <w:p w:rsidR="007070CB" w:rsidRDefault="006E2E62">
            <w:pPr>
              <w:pStyle w:val="TableHeading"/>
              <w:spacing w:before="0" w:after="0"/>
              <w:ind w:left="-86" w:right="-91"/>
              <w:jc w:val="center"/>
            </w:pPr>
            <w:r>
              <w:t>6 – 11 years</w:t>
            </w:r>
          </w:p>
        </w:tc>
        <w:tc>
          <w:tcPr>
            <w:tcW w:w="697" w:type="pct"/>
            <w:tcBorders>
              <w:bottom w:val="single" w:sz="4" w:space="0" w:color="auto"/>
            </w:tcBorders>
          </w:tcPr>
          <w:p w:rsidR="007070CB" w:rsidRDefault="006E2E62">
            <w:pPr>
              <w:pStyle w:val="TableHeading"/>
              <w:spacing w:before="0" w:after="0"/>
              <w:ind w:left="-86" w:right="-91"/>
              <w:jc w:val="center"/>
              <w:rPr>
                <w:szCs w:val="20"/>
                <w:lang w:eastAsia="en-AU"/>
              </w:rPr>
            </w:pPr>
            <w:r>
              <w:t>≥ 12 years</w:t>
            </w:r>
          </w:p>
        </w:tc>
      </w:tr>
      <w:tr w:rsidR="007070CB">
        <w:trPr>
          <w:tblHeader/>
        </w:trPr>
        <w:tc>
          <w:tcPr>
            <w:tcW w:w="1393" w:type="pct"/>
            <w:tcBorders>
              <w:bottom w:val="nil"/>
            </w:tcBorders>
          </w:tcPr>
          <w:p w:rsidR="007070CB" w:rsidRDefault="006E2E62">
            <w:pPr>
              <w:pStyle w:val="TableHeading"/>
              <w:spacing w:before="0" w:after="0"/>
              <w:ind w:left="-67" w:right="-103"/>
            </w:pPr>
            <w:r>
              <w:t>Study ID</w:t>
            </w:r>
          </w:p>
        </w:tc>
        <w:tc>
          <w:tcPr>
            <w:tcW w:w="700" w:type="pct"/>
            <w:tcBorders>
              <w:bottom w:val="single" w:sz="4" w:space="0" w:color="auto"/>
            </w:tcBorders>
          </w:tcPr>
          <w:p w:rsidR="007070CB" w:rsidRDefault="006E2E62">
            <w:pPr>
              <w:pStyle w:val="TableHeading"/>
              <w:spacing w:before="0" w:after="0"/>
              <w:ind w:left="-86" w:right="-91"/>
              <w:jc w:val="center"/>
            </w:pPr>
            <w:r>
              <w:t xml:space="preserve">Study 115 </w:t>
            </w:r>
            <w:r>
              <w:br/>
              <w:t>L 100 mg/ I 125mg</w:t>
            </w:r>
          </w:p>
        </w:tc>
        <w:tc>
          <w:tcPr>
            <w:tcW w:w="700" w:type="pct"/>
            <w:tcBorders>
              <w:bottom w:val="single" w:sz="4" w:space="0" w:color="auto"/>
            </w:tcBorders>
          </w:tcPr>
          <w:p w:rsidR="007070CB" w:rsidRDefault="006E2E62">
            <w:pPr>
              <w:pStyle w:val="TableHeading"/>
              <w:spacing w:before="0" w:after="0"/>
              <w:ind w:left="-86" w:right="-91"/>
              <w:jc w:val="center"/>
            </w:pPr>
            <w:r>
              <w:t xml:space="preserve">Study 115 </w:t>
            </w:r>
            <w:r>
              <w:br/>
              <w:t xml:space="preserve">L 150 mg/ </w:t>
            </w:r>
            <w:r>
              <w:br/>
              <w:t>I 188 mg</w:t>
            </w:r>
            <w:r>
              <w:rPr>
                <w:b w:val="0"/>
              </w:rPr>
              <w:t xml:space="preserve"> </w:t>
            </w:r>
          </w:p>
        </w:tc>
        <w:tc>
          <w:tcPr>
            <w:tcW w:w="700" w:type="pct"/>
            <w:tcBorders>
              <w:bottom w:val="single" w:sz="4" w:space="0" w:color="auto"/>
            </w:tcBorders>
          </w:tcPr>
          <w:p w:rsidR="007070CB" w:rsidRDefault="006E2E62">
            <w:pPr>
              <w:pStyle w:val="TableHeading"/>
              <w:spacing w:before="0" w:after="0"/>
              <w:ind w:left="-86" w:right="-91"/>
              <w:jc w:val="center"/>
            </w:pPr>
            <w:r>
              <w:t xml:space="preserve">Study 115 </w:t>
            </w:r>
            <w:r>
              <w:br/>
              <w:t>Pooled</w:t>
            </w:r>
          </w:p>
        </w:tc>
        <w:tc>
          <w:tcPr>
            <w:tcW w:w="810" w:type="pct"/>
            <w:tcBorders>
              <w:bottom w:val="single" w:sz="4" w:space="0" w:color="auto"/>
            </w:tcBorders>
          </w:tcPr>
          <w:p w:rsidR="007070CB" w:rsidRDefault="006E2E62">
            <w:pPr>
              <w:pStyle w:val="TableHeading"/>
              <w:spacing w:before="0" w:after="0"/>
              <w:ind w:left="-86" w:right="-91"/>
              <w:jc w:val="center"/>
            </w:pPr>
            <w:r>
              <w:t>Study 109</w:t>
            </w:r>
          </w:p>
        </w:tc>
        <w:tc>
          <w:tcPr>
            <w:tcW w:w="697" w:type="pct"/>
            <w:tcBorders>
              <w:bottom w:val="single" w:sz="4" w:space="0" w:color="auto"/>
            </w:tcBorders>
          </w:tcPr>
          <w:p w:rsidR="007070CB" w:rsidRDefault="006E2E62">
            <w:pPr>
              <w:pStyle w:val="TableHeading"/>
              <w:spacing w:before="0" w:after="0"/>
              <w:ind w:left="-86" w:right="-91"/>
              <w:jc w:val="center"/>
            </w:pPr>
            <w:r>
              <w:t xml:space="preserve">TRAFFIC/ </w:t>
            </w:r>
            <w:r>
              <w:br/>
              <w:t>TRANSPORT</w:t>
            </w:r>
          </w:p>
        </w:tc>
      </w:tr>
      <w:tr w:rsidR="007070CB">
        <w:tc>
          <w:tcPr>
            <w:tcW w:w="1393" w:type="pct"/>
            <w:vMerge w:val="restart"/>
            <w:tcBorders>
              <w:top w:val="nil"/>
            </w:tcBorders>
            <w:vAlign w:val="bottom"/>
          </w:tcPr>
          <w:p w:rsidR="007070CB" w:rsidRDefault="007070CB">
            <w:pPr>
              <w:pStyle w:val="TableHeading"/>
              <w:spacing w:before="0" w:after="0"/>
              <w:ind w:left="-67" w:right="-103"/>
            </w:pPr>
          </w:p>
        </w:tc>
        <w:tc>
          <w:tcPr>
            <w:tcW w:w="700" w:type="pct"/>
          </w:tcPr>
          <w:p w:rsidR="007070CB" w:rsidRDefault="006E2E62">
            <w:pPr>
              <w:pStyle w:val="TableHeading"/>
              <w:spacing w:before="0" w:after="0"/>
              <w:ind w:left="-86" w:right="-91"/>
              <w:jc w:val="center"/>
            </w:pPr>
            <w:r>
              <w:t>24 wks</w:t>
            </w:r>
          </w:p>
        </w:tc>
        <w:tc>
          <w:tcPr>
            <w:tcW w:w="700" w:type="pct"/>
          </w:tcPr>
          <w:p w:rsidR="007070CB" w:rsidRDefault="006E2E62">
            <w:pPr>
              <w:pStyle w:val="TableHeading"/>
              <w:spacing w:before="0" w:after="0"/>
              <w:ind w:left="-86" w:right="-91"/>
              <w:jc w:val="center"/>
            </w:pPr>
            <w:r>
              <w:t>24 wks</w:t>
            </w:r>
          </w:p>
        </w:tc>
        <w:tc>
          <w:tcPr>
            <w:tcW w:w="700" w:type="pct"/>
          </w:tcPr>
          <w:p w:rsidR="007070CB" w:rsidRDefault="006E2E62">
            <w:pPr>
              <w:pStyle w:val="TableHeading"/>
              <w:spacing w:before="0" w:after="0"/>
              <w:ind w:left="-86" w:right="-91"/>
              <w:jc w:val="center"/>
            </w:pPr>
            <w:r>
              <w:t>24 wks</w:t>
            </w:r>
          </w:p>
        </w:tc>
        <w:tc>
          <w:tcPr>
            <w:tcW w:w="810" w:type="pct"/>
          </w:tcPr>
          <w:p w:rsidR="007070CB" w:rsidRDefault="006E2E62">
            <w:pPr>
              <w:pStyle w:val="TableHeading"/>
              <w:spacing w:before="0" w:after="0"/>
              <w:ind w:left="-86" w:right="-91"/>
              <w:jc w:val="center"/>
            </w:pPr>
            <w:r>
              <w:t>24 wks</w:t>
            </w:r>
          </w:p>
        </w:tc>
        <w:tc>
          <w:tcPr>
            <w:tcW w:w="697" w:type="pct"/>
            <w:tcBorders>
              <w:left w:val="single" w:sz="4" w:space="0" w:color="auto"/>
              <w:bottom w:val="single" w:sz="4" w:space="0" w:color="auto"/>
              <w:right w:val="single" w:sz="4" w:space="0" w:color="auto"/>
            </w:tcBorders>
          </w:tcPr>
          <w:p w:rsidR="007070CB" w:rsidRDefault="006E2E62">
            <w:pPr>
              <w:pStyle w:val="TableHeading"/>
              <w:spacing w:before="0" w:after="0"/>
              <w:ind w:left="-86" w:right="-91"/>
              <w:jc w:val="center"/>
            </w:pPr>
            <w:r>
              <w:t>24 wks</w:t>
            </w:r>
          </w:p>
        </w:tc>
      </w:tr>
      <w:tr w:rsidR="007070CB">
        <w:tc>
          <w:tcPr>
            <w:tcW w:w="1393" w:type="pct"/>
            <w:vMerge/>
            <w:tcBorders>
              <w:bottom w:val="single" w:sz="4" w:space="0" w:color="auto"/>
            </w:tcBorders>
          </w:tcPr>
          <w:p w:rsidR="007070CB" w:rsidRDefault="007070CB">
            <w:pPr>
              <w:pStyle w:val="TableHeading"/>
              <w:spacing w:before="0" w:after="0"/>
              <w:ind w:left="-67" w:right="-103"/>
              <w:jc w:val="center"/>
            </w:pPr>
          </w:p>
        </w:tc>
        <w:tc>
          <w:tcPr>
            <w:tcW w:w="700" w:type="pct"/>
            <w:tcBorders>
              <w:bottom w:val="single" w:sz="4" w:space="0" w:color="auto"/>
            </w:tcBorders>
          </w:tcPr>
          <w:p w:rsidR="007070CB" w:rsidRDefault="006E2E62">
            <w:pPr>
              <w:pStyle w:val="TableHeading"/>
              <w:spacing w:before="0" w:after="0"/>
              <w:ind w:left="-86" w:right="-91"/>
              <w:jc w:val="center"/>
            </w:pPr>
            <w:r>
              <w:t>N=19</w:t>
            </w:r>
          </w:p>
        </w:tc>
        <w:tc>
          <w:tcPr>
            <w:tcW w:w="700" w:type="pct"/>
            <w:tcBorders>
              <w:bottom w:val="single" w:sz="4" w:space="0" w:color="auto"/>
            </w:tcBorders>
          </w:tcPr>
          <w:p w:rsidR="007070CB" w:rsidRDefault="006E2E62">
            <w:pPr>
              <w:pStyle w:val="TableHeading"/>
              <w:spacing w:before="0" w:after="0"/>
              <w:ind w:left="-86" w:right="-91"/>
              <w:jc w:val="center"/>
            </w:pPr>
            <w:r>
              <w:t>N=41</w:t>
            </w:r>
          </w:p>
        </w:tc>
        <w:tc>
          <w:tcPr>
            <w:tcW w:w="700" w:type="pct"/>
            <w:tcBorders>
              <w:bottom w:val="single" w:sz="4" w:space="0" w:color="auto"/>
            </w:tcBorders>
          </w:tcPr>
          <w:p w:rsidR="007070CB" w:rsidRDefault="006E2E62">
            <w:pPr>
              <w:pStyle w:val="TableHeading"/>
              <w:spacing w:before="0" w:after="0"/>
              <w:ind w:left="-86" w:right="-91"/>
              <w:jc w:val="center"/>
            </w:pPr>
            <w:r>
              <w:t>N=60</w:t>
            </w:r>
          </w:p>
        </w:tc>
        <w:tc>
          <w:tcPr>
            <w:tcW w:w="810" w:type="pct"/>
            <w:tcBorders>
              <w:bottom w:val="single" w:sz="4" w:space="0" w:color="auto"/>
            </w:tcBorders>
          </w:tcPr>
          <w:p w:rsidR="007070CB" w:rsidRDefault="006E2E62">
            <w:pPr>
              <w:pStyle w:val="TableHeading"/>
              <w:spacing w:before="0" w:after="0"/>
              <w:ind w:left="-86" w:right="-91"/>
              <w:jc w:val="center"/>
            </w:pPr>
            <w:r>
              <w:t>N=204</w:t>
            </w:r>
          </w:p>
        </w:tc>
        <w:tc>
          <w:tcPr>
            <w:tcW w:w="697" w:type="pct"/>
            <w:tcBorders>
              <w:bottom w:val="single" w:sz="4" w:space="0" w:color="auto"/>
              <w:right w:val="single" w:sz="4" w:space="0" w:color="auto"/>
            </w:tcBorders>
          </w:tcPr>
          <w:p w:rsidR="007070CB" w:rsidRDefault="006E2E62">
            <w:pPr>
              <w:pStyle w:val="TableHeading"/>
              <w:spacing w:before="0" w:after="0"/>
              <w:ind w:left="-86" w:right="-91"/>
              <w:jc w:val="center"/>
            </w:pPr>
            <w:r>
              <w:t>N=369</w:t>
            </w:r>
          </w:p>
        </w:tc>
      </w:tr>
      <w:tr w:rsidR="007070CB">
        <w:tc>
          <w:tcPr>
            <w:tcW w:w="1393" w:type="pct"/>
            <w:tcBorders>
              <w:bottom w:val="nil"/>
            </w:tcBorders>
          </w:tcPr>
          <w:p w:rsidR="007070CB" w:rsidRDefault="006E2E62">
            <w:pPr>
              <w:pStyle w:val="TableHeading"/>
              <w:spacing w:before="0" w:after="0"/>
              <w:ind w:left="-67" w:right="-103"/>
              <w:rPr>
                <w:b w:val="0"/>
              </w:rPr>
            </w:pPr>
            <w:r>
              <w:rPr>
                <w:b w:val="0"/>
              </w:rPr>
              <w:t>ppFEV</w:t>
            </w:r>
            <w:r>
              <w:rPr>
                <w:b w:val="0"/>
                <w:vertAlign w:val="subscript"/>
              </w:rPr>
              <w:t>1</w:t>
            </w:r>
            <w:r>
              <w:rPr>
                <w:b w:val="0"/>
              </w:rPr>
              <w:t xml:space="preserve"> </w:t>
            </w:r>
          </w:p>
        </w:tc>
        <w:tc>
          <w:tcPr>
            <w:tcW w:w="700" w:type="pct"/>
            <w:tcBorders>
              <w:bottom w:val="nil"/>
            </w:tcBorders>
          </w:tcPr>
          <w:p w:rsidR="007070CB" w:rsidRDefault="006E2E62">
            <w:pPr>
              <w:pStyle w:val="TableHeading"/>
              <w:spacing w:before="0" w:after="0"/>
              <w:ind w:left="-86" w:right="-91"/>
              <w:jc w:val="center"/>
              <w:rPr>
                <w:b w:val="0"/>
              </w:rPr>
            </w:pPr>
            <w:r>
              <w:rPr>
                <w:b w:val="0"/>
              </w:rPr>
              <w:t>n=0</w:t>
            </w:r>
          </w:p>
        </w:tc>
        <w:tc>
          <w:tcPr>
            <w:tcW w:w="700" w:type="pct"/>
            <w:tcBorders>
              <w:bottom w:val="nil"/>
            </w:tcBorders>
          </w:tcPr>
          <w:p w:rsidR="007070CB" w:rsidRDefault="006E2E62">
            <w:pPr>
              <w:pStyle w:val="TableHeading"/>
              <w:spacing w:before="0" w:after="0"/>
              <w:ind w:left="-86" w:right="-91"/>
              <w:jc w:val="center"/>
              <w:rPr>
                <w:b w:val="0"/>
              </w:rPr>
            </w:pPr>
            <w:r>
              <w:rPr>
                <w:b w:val="0"/>
              </w:rPr>
              <w:t>n=12</w:t>
            </w:r>
          </w:p>
        </w:tc>
        <w:tc>
          <w:tcPr>
            <w:tcW w:w="700" w:type="pct"/>
            <w:tcBorders>
              <w:bottom w:val="nil"/>
            </w:tcBorders>
          </w:tcPr>
          <w:p w:rsidR="007070CB" w:rsidRDefault="006E2E62">
            <w:pPr>
              <w:pStyle w:val="TableText0"/>
              <w:spacing w:before="0" w:after="0"/>
              <w:ind w:left="-86" w:right="-91"/>
              <w:jc w:val="center"/>
            </w:pPr>
            <w:r>
              <w:t>n=12</w:t>
            </w:r>
          </w:p>
        </w:tc>
        <w:tc>
          <w:tcPr>
            <w:tcW w:w="810" w:type="pct"/>
            <w:tcBorders>
              <w:bottom w:val="nil"/>
            </w:tcBorders>
          </w:tcPr>
          <w:p w:rsidR="007070CB" w:rsidRDefault="006E2E62">
            <w:pPr>
              <w:pStyle w:val="TableHeading"/>
              <w:spacing w:before="0" w:after="0"/>
              <w:ind w:left="-86" w:right="-91"/>
              <w:jc w:val="center"/>
              <w:rPr>
                <w:b w:val="0"/>
              </w:rPr>
            </w:pPr>
            <w:r>
              <w:rPr>
                <w:rFonts w:eastAsia="SimSun"/>
                <w:b w:val="0"/>
              </w:rPr>
              <w:t>n=103</w:t>
            </w:r>
          </w:p>
        </w:tc>
        <w:tc>
          <w:tcPr>
            <w:tcW w:w="697" w:type="pct"/>
            <w:tcBorders>
              <w:bottom w:val="nil"/>
              <w:right w:val="single" w:sz="4" w:space="0" w:color="auto"/>
            </w:tcBorders>
          </w:tcPr>
          <w:p w:rsidR="007070CB" w:rsidRDefault="006E2E62">
            <w:pPr>
              <w:pStyle w:val="TableHeading"/>
              <w:spacing w:before="0" w:after="0"/>
              <w:ind w:left="-86" w:right="-91"/>
              <w:jc w:val="center"/>
              <w:rPr>
                <w:b w:val="0"/>
              </w:rPr>
            </w:pPr>
            <w:r>
              <w:rPr>
                <w:b w:val="0"/>
              </w:rPr>
              <w:t>n=369</w:t>
            </w:r>
          </w:p>
        </w:tc>
      </w:tr>
      <w:tr w:rsidR="007070CB">
        <w:tc>
          <w:tcPr>
            <w:tcW w:w="1393" w:type="pct"/>
            <w:tcBorders>
              <w:top w:val="nil"/>
              <w:bottom w:val="single" w:sz="4" w:space="0" w:color="auto"/>
            </w:tcBorders>
          </w:tcPr>
          <w:p w:rsidR="007070CB" w:rsidRDefault="006E2E62">
            <w:pPr>
              <w:pStyle w:val="TableText0"/>
              <w:spacing w:before="0" w:after="0"/>
              <w:ind w:left="-67" w:right="-103"/>
            </w:pPr>
            <w:r>
              <w:rPr>
                <w:rFonts w:cs="Times New Roman"/>
              </w:rPr>
              <w:t>LS Mean</w:t>
            </w:r>
            <w:r>
              <w:rPr>
                <w:rFonts w:cs="Times New Roman"/>
                <w:vertAlign w:val="superscript"/>
              </w:rPr>
              <w:t>a</w:t>
            </w:r>
            <w:r>
              <w:rPr>
                <w:rFonts w:cs="Times New Roman"/>
              </w:rPr>
              <w:t xml:space="preserve"> (SE), % points</w:t>
            </w:r>
          </w:p>
        </w:tc>
        <w:tc>
          <w:tcPr>
            <w:tcW w:w="700" w:type="pct"/>
            <w:tcBorders>
              <w:top w:val="nil"/>
              <w:bottom w:val="single" w:sz="4" w:space="0" w:color="auto"/>
            </w:tcBorders>
          </w:tcPr>
          <w:p w:rsidR="007070CB" w:rsidRDefault="006E2E62">
            <w:pPr>
              <w:pStyle w:val="TableText0"/>
              <w:spacing w:before="0" w:after="0"/>
              <w:ind w:left="-86" w:right="-91"/>
              <w:jc w:val="center"/>
            </w:pPr>
            <w:r>
              <w:t>NA</w:t>
            </w:r>
          </w:p>
        </w:tc>
        <w:tc>
          <w:tcPr>
            <w:tcW w:w="700" w:type="pct"/>
            <w:tcBorders>
              <w:top w:val="nil"/>
              <w:bottom w:val="single" w:sz="4" w:space="0" w:color="auto"/>
            </w:tcBorders>
          </w:tcPr>
          <w:p w:rsidR="007070CB" w:rsidRDefault="006E2E62">
            <w:pPr>
              <w:pStyle w:val="TableText0"/>
              <w:spacing w:before="0" w:after="0"/>
              <w:ind w:left="-86" w:right="-91"/>
              <w:jc w:val="center"/>
            </w:pPr>
            <w:r>
              <w:t>0.5 (11.6)</w:t>
            </w:r>
          </w:p>
        </w:tc>
        <w:tc>
          <w:tcPr>
            <w:tcW w:w="700" w:type="pct"/>
            <w:tcBorders>
              <w:top w:val="nil"/>
              <w:bottom w:val="single" w:sz="4" w:space="0" w:color="auto"/>
            </w:tcBorders>
          </w:tcPr>
          <w:p w:rsidR="007070CB" w:rsidRDefault="006E2E62">
            <w:pPr>
              <w:pStyle w:val="TableText0"/>
              <w:spacing w:before="0" w:after="0"/>
              <w:ind w:left="-86" w:right="-91"/>
              <w:jc w:val="center"/>
            </w:pPr>
            <w:r>
              <w:t>0.5 (11.6)</w:t>
            </w:r>
          </w:p>
        </w:tc>
        <w:tc>
          <w:tcPr>
            <w:tcW w:w="810" w:type="pct"/>
            <w:tcBorders>
              <w:top w:val="nil"/>
              <w:bottom w:val="single" w:sz="4" w:space="0" w:color="auto"/>
            </w:tcBorders>
          </w:tcPr>
          <w:p w:rsidR="007070CB" w:rsidRDefault="006E2E62">
            <w:pPr>
              <w:pStyle w:val="tabletextleftjustified"/>
              <w:keepNext/>
              <w:spacing w:before="0" w:after="0"/>
              <w:ind w:left="-86" w:right="-91"/>
              <w:jc w:val="center"/>
              <w:rPr>
                <w:rFonts w:ascii="Arial Narrow" w:eastAsia="SimSun" w:hAnsi="Arial Narrow" w:cs="Arial Narrow"/>
                <w:lang w:val="en-AU"/>
              </w:rPr>
            </w:pPr>
            <w:r>
              <w:rPr>
                <w:rFonts w:ascii="Arial Narrow" w:eastAsia="SimSun" w:hAnsi="Arial Narrow" w:cs="Arial Narrow"/>
                <w:lang w:val="en-AU"/>
              </w:rPr>
              <w:t>2.5 (0.9)</w:t>
            </w:r>
          </w:p>
        </w:tc>
        <w:tc>
          <w:tcPr>
            <w:tcW w:w="697" w:type="pct"/>
            <w:tcBorders>
              <w:top w:val="nil"/>
              <w:bottom w:val="single" w:sz="4" w:space="0" w:color="auto"/>
            </w:tcBorders>
          </w:tcPr>
          <w:p w:rsidR="007070CB" w:rsidRDefault="006E2E62">
            <w:pPr>
              <w:pStyle w:val="TableText0"/>
              <w:spacing w:before="0" w:after="0"/>
              <w:ind w:left="-86" w:right="-91"/>
              <w:jc w:val="center"/>
            </w:pPr>
            <w:r>
              <w:t>2.49 (0.379)</w:t>
            </w:r>
          </w:p>
        </w:tc>
      </w:tr>
      <w:tr w:rsidR="007070CB">
        <w:tc>
          <w:tcPr>
            <w:tcW w:w="1393" w:type="pct"/>
            <w:tcBorders>
              <w:bottom w:val="nil"/>
            </w:tcBorders>
          </w:tcPr>
          <w:p w:rsidR="007070CB" w:rsidRDefault="006E2E62">
            <w:pPr>
              <w:pStyle w:val="TableText0"/>
              <w:spacing w:before="0" w:after="0"/>
              <w:ind w:left="-67" w:right="-103"/>
            </w:pPr>
            <w:r>
              <w:t>LCI</w:t>
            </w:r>
            <w:r>
              <w:rPr>
                <w:vertAlign w:val="subscript"/>
              </w:rPr>
              <w:t>2.5</w:t>
            </w:r>
            <w:r>
              <w:t xml:space="preserve"> </w:t>
            </w:r>
          </w:p>
        </w:tc>
        <w:tc>
          <w:tcPr>
            <w:tcW w:w="700" w:type="pct"/>
            <w:tcBorders>
              <w:bottom w:val="nil"/>
            </w:tcBorders>
          </w:tcPr>
          <w:p w:rsidR="007070CB" w:rsidRDefault="006E2E62">
            <w:pPr>
              <w:pStyle w:val="TableText0"/>
              <w:spacing w:before="0" w:after="0"/>
              <w:ind w:left="-86" w:right="-91"/>
              <w:jc w:val="center"/>
            </w:pPr>
            <w:r>
              <w:t>n=3</w:t>
            </w:r>
          </w:p>
        </w:tc>
        <w:tc>
          <w:tcPr>
            <w:tcW w:w="700" w:type="pct"/>
            <w:tcBorders>
              <w:bottom w:val="nil"/>
            </w:tcBorders>
          </w:tcPr>
          <w:p w:rsidR="007070CB" w:rsidRDefault="006E2E62">
            <w:pPr>
              <w:pStyle w:val="TableText0"/>
              <w:spacing w:before="0" w:after="0"/>
              <w:ind w:left="-86" w:right="-91"/>
              <w:jc w:val="center"/>
            </w:pPr>
            <w:r>
              <w:t>n=14</w:t>
            </w:r>
          </w:p>
        </w:tc>
        <w:tc>
          <w:tcPr>
            <w:tcW w:w="700" w:type="pct"/>
            <w:tcBorders>
              <w:bottom w:val="nil"/>
            </w:tcBorders>
          </w:tcPr>
          <w:p w:rsidR="007070CB" w:rsidRDefault="006E2E62">
            <w:pPr>
              <w:pStyle w:val="TableText0"/>
              <w:spacing w:before="0" w:after="0"/>
              <w:ind w:left="-86" w:right="-91"/>
              <w:jc w:val="center"/>
            </w:pPr>
            <w:r>
              <w:t>n=17</w:t>
            </w:r>
          </w:p>
        </w:tc>
        <w:tc>
          <w:tcPr>
            <w:tcW w:w="810" w:type="pct"/>
            <w:tcBorders>
              <w:bottom w:val="nil"/>
            </w:tcBorders>
          </w:tcPr>
          <w:p w:rsidR="007070CB" w:rsidRDefault="006E2E62">
            <w:pPr>
              <w:pStyle w:val="tabletextleftjustified"/>
              <w:keepNext/>
              <w:spacing w:before="0" w:after="0"/>
              <w:ind w:left="-86" w:right="-91"/>
              <w:jc w:val="center"/>
              <w:rPr>
                <w:rFonts w:ascii="Arial Narrow" w:eastAsia="SimSun" w:hAnsi="Arial Narrow" w:cs="Arial Narrow"/>
                <w:lang w:val="en-AU"/>
              </w:rPr>
            </w:pPr>
            <w:r>
              <w:rPr>
                <w:rFonts w:ascii="Arial Narrow" w:eastAsia="SimSun" w:hAnsi="Arial Narrow" w:cs="Arial Narrow"/>
                <w:lang w:val="en-AU"/>
              </w:rPr>
              <w:t>N=103</w:t>
            </w:r>
          </w:p>
        </w:tc>
        <w:tc>
          <w:tcPr>
            <w:tcW w:w="697" w:type="pct"/>
            <w:tcBorders>
              <w:bottom w:val="nil"/>
            </w:tcBorders>
          </w:tcPr>
          <w:p w:rsidR="007070CB" w:rsidRDefault="006E2E62">
            <w:pPr>
              <w:pStyle w:val="TableText0"/>
              <w:spacing w:before="0" w:after="0"/>
              <w:ind w:left="-86" w:right="-91"/>
              <w:jc w:val="center"/>
            </w:pPr>
            <w:r>
              <w:rPr>
                <w:rFonts w:eastAsia="Times New Roman"/>
              </w:rPr>
              <w:t>NR</w:t>
            </w:r>
          </w:p>
        </w:tc>
      </w:tr>
      <w:tr w:rsidR="007070CB">
        <w:tc>
          <w:tcPr>
            <w:tcW w:w="1393" w:type="pct"/>
            <w:tcBorders>
              <w:top w:val="nil"/>
              <w:bottom w:val="single" w:sz="4" w:space="0" w:color="auto"/>
            </w:tcBorders>
          </w:tcPr>
          <w:p w:rsidR="007070CB" w:rsidRDefault="006E2E62">
            <w:pPr>
              <w:pStyle w:val="TableText0"/>
              <w:spacing w:before="0" w:after="0"/>
              <w:ind w:left="-67" w:right="-103"/>
            </w:pPr>
            <w:r>
              <w:rPr>
                <w:rFonts w:cs="Times New Roman"/>
              </w:rPr>
              <w:t>LS Mean</w:t>
            </w:r>
            <w:r>
              <w:rPr>
                <w:rFonts w:cs="Times New Roman"/>
                <w:vertAlign w:val="superscript"/>
              </w:rPr>
              <w:t>a</w:t>
            </w:r>
            <w:r>
              <w:rPr>
                <w:rFonts w:cs="Times New Roman"/>
              </w:rPr>
              <w:t xml:space="preserve"> (SE), units</w:t>
            </w:r>
          </w:p>
        </w:tc>
        <w:tc>
          <w:tcPr>
            <w:tcW w:w="700" w:type="pct"/>
            <w:tcBorders>
              <w:top w:val="nil"/>
              <w:bottom w:val="single" w:sz="4" w:space="0" w:color="auto"/>
            </w:tcBorders>
          </w:tcPr>
          <w:p w:rsidR="007070CB" w:rsidRDefault="006E2E62">
            <w:pPr>
              <w:pStyle w:val="TableText0"/>
              <w:spacing w:before="0" w:after="0"/>
              <w:ind w:left="-86" w:right="-91"/>
              <w:jc w:val="center"/>
            </w:pPr>
            <w:r>
              <w:t>0.27 (0.48)</w:t>
            </w:r>
          </w:p>
        </w:tc>
        <w:tc>
          <w:tcPr>
            <w:tcW w:w="700" w:type="pct"/>
            <w:tcBorders>
              <w:top w:val="nil"/>
              <w:bottom w:val="single" w:sz="4" w:space="0" w:color="auto"/>
            </w:tcBorders>
          </w:tcPr>
          <w:p w:rsidR="007070CB" w:rsidRDefault="006E2E62">
            <w:pPr>
              <w:pStyle w:val="TableText0"/>
              <w:spacing w:before="0" w:after="0"/>
              <w:ind w:left="-86" w:right="-91"/>
              <w:jc w:val="center"/>
            </w:pPr>
            <w:r>
              <w:t>-0.76 (1.19)</w:t>
            </w:r>
          </w:p>
        </w:tc>
        <w:tc>
          <w:tcPr>
            <w:tcW w:w="700" w:type="pct"/>
            <w:tcBorders>
              <w:top w:val="nil"/>
              <w:bottom w:val="single" w:sz="4" w:space="0" w:color="auto"/>
            </w:tcBorders>
          </w:tcPr>
          <w:p w:rsidR="007070CB" w:rsidRDefault="006E2E62">
            <w:pPr>
              <w:pStyle w:val="TableText0"/>
              <w:spacing w:before="0" w:after="0"/>
              <w:ind w:left="-86" w:right="-91"/>
              <w:jc w:val="center"/>
            </w:pPr>
            <w:r>
              <w:t>-0.58 (1.16)</w:t>
            </w:r>
          </w:p>
        </w:tc>
        <w:tc>
          <w:tcPr>
            <w:tcW w:w="810" w:type="pct"/>
            <w:tcBorders>
              <w:top w:val="nil"/>
              <w:bottom w:val="single" w:sz="4" w:space="0" w:color="auto"/>
            </w:tcBorders>
          </w:tcPr>
          <w:p w:rsidR="007070CB" w:rsidRDefault="006E2E62">
            <w:pPr>
              <w:pStyle w:val="tabletextleftjustified"/>
              <w:keepNext/>
              <w:spacing w:before="0" w:after="0"/>
              <w:ind w:left="-86" w:right="-91"/>
              <w:jc w:val="center"/>
              <w:rPr>
                <w:rFonts w:ascii="Arial Narrow" w:eastAsia="SimSun" w:hAnsi="Arial Narrow" w:cs="Arial Narrow"/>
                <w:lang w:val="en-AU"/>
              </w:rPr>
            </w:pPr>
            <w:r>
              <w:rPr>
                <w:rFonts w:ascii="Arial Narrow" w:eastAsia="SimSun" w:hAnsi="Arial Narrow" w:cs="Arial Narrow"/>
                <w:lang w:val="en-AU"/>
              </w:rPr>
              <w:t>-1.01 (0.13)</w:t>
            </w:r>
          </w:p>
        </w:tc>
        <w:tc>
          <w:tcPr>
            <w:tcW w:w="697" w:type="pct"/>
            <w:tcBorders>
              <w:top w:val="nil"/>
              <w:bottom w:val="single" w:sz="4" w:space="0" w:color="auto"/>
            </w:tcBorders>
          </w:tcPr>
          <w:p w:rsidR="007070CB" w:rsidRDefault="007070CB">
            <w:pPr>
              <w:pStyle w:val="TableText0"/>
              <w:spacing w:before="0" w:after="0"/>
              <w:ind w:left="-86" w:right="-91"/>
              <w:jc w:val="center"/>
            </w:pPr>
          </w:p>
        </w:tc>
      </w:tr>
      <w:tr w:rsidR="007070CB">
        <w:tc>
          <w:tcPr>
            <w:tcW w:w="1393" w:type="pct"/>
            <w:tcBorders>
              <w:bottom w:val="nil"/>
            </w:tcBorders>
          </w:tcPr>
          <w:p w:rsidR="007070CB" w:rsidRDefault="006E2E62">
            <w:pPr>
              <w:pStyle w:val="TableText0"/>
              <w:spacing w:before="0" w:after="0"/>
              <w:ind w:left="-67" w:right="-103"/>
            </w:pPr>
            <w:r>
              <w:t>Sweat chloride</w:t>
            </w:r>
          </w:p>
        </w:tc>
        <w:tc>
          <w:tcPr>
            <w:tcW w:w="700" w:type="pct"/>
            <w:tcBorders>
              <w:bottom w:val="nil"/>
            </w:tcBorders>
          </w:tcPr>
          <w:p w:rsidR="007070CB" w:rsidRDefault="006E2E62">
            <w:pPr>
              <w:pStyle w:val="TableText0"/>
              <w:spacing w:before="0" w:after="0"/>
              <w:ind w:left="-86" w:right="-91"/>
              <w:jc w:val="center"/>
            </w:pPr>
            <w:r>
              <w:t>n=18</w:t>
            </w:r>
          </w:p>
        </w:tc>
        <w:tc>
          <w:tcPr>
            <w:tcW w:w="700" w:type="pct"/>
            <w:tcBorders>
              <w:bottom w:val="nil"/>
            </w:tcBorders>
          </w:tcPr>
          <w:p w:rsidR="007070CB" w:rsidRDefault="006E2E62">
            <w:pPr>
              <w:pStyle w:val="TableText0"/>
              <w:spacing w:before="0" w:after="0"/>
              <w:ind w:left="-86" w:right="-91"/>
              <w:jc w:val="center"/>
            </w:pPr>
            <w:r>
              <w:t>n=31</w:t>
            </w:r>
          </w:p>
        </w:tc>
        <w:tc>
          <w:tcPr>
            <w:tcW w:w="700" w:type="pct"/>
            <w:tcBorders>
              <w:bottom w:val="nil"/>
            </w:tcBorders>
          </w:tcPr>
          <w:p w:rsidR="007070CB" w:rsidRDefault="006E2E62">
            <w:pPr>
              <w:pStyle w:val="TableText0"/>
              <w:spacing w:before="0" w:after="0"/>
              <w:ind w:left="-86" w:right="-91"/>
              <w:jc w:val="center"/>
            </w:pPr>
            <w:r>
              <w:t>n=49</w:t>
            </w:r>
          </w:p>
        </w:tc>
        <w:tc>
          <w:tcPr>
            <w:tcW w:w="810" w:type="pct"/>
            <w:tcBorders>
              <w:bottom w:val="nil"/>
            </w:tcBorders>
          </w:tcPr>
          <w:p w:rsidR="007070CB" w:rsidRDefault="006E2E62">
            <w:pPr>
              <w:pStyle w:val="tabletextleftjustified"/>
              <w:keepNext/>
              <w:spacing w:before="0" w:after="0"/>
              <w:ind w:left="-86" w:right="-91"/>
              <w:jc w:val="center"/>
              <w:rPr>
                <w:rFonts w:ascii="Arial Narrow" w:eastAsia="SimSun" w:hAnsi="Arial Narrow" w:cs="Arial Narrow"/>
                <w:lang w:val="en-AU"/>
              </w:rPr>
            </w:pPr>
            <w:r>
              <w:rPr>
                <w:rFonts w:ascii="Arial Narrow" w:eastAsia="SimSun" w:hAnsi="Arial Narrow" w:cs="Arial Narrow"/>
                <w:lang w:val="en-AU"/>
              </w:rPr>
              <w:t>n=103</w:t>
            </w:r>
          </w:p>
        </w:tc>
        <w:tc>
          <w:tcPr>
            <w:tcW w:w="697" w:type="pct"/>
            <w:tcBorders>
              <w:bottom w:val="nil"/>
            </w:tcBorders>
          </w:tcPr>
          <w:p w:rsidR="007070CB" w:rsidRDefault="006E2E62">
            <w:pPr>
              <w:pStyle w:val="TableText0"/>
              <w:spacing w:before="0" w:after="0"/>
              <w:ind w:left="-86" w:right="-91"/>
              <w:jc w:val="center"/>
            </w:pPr>
            <w:r>
              <w:t>NR</w:t>
            </w:r>
          </w:p>
        </w:tc>
      </w:tr>
      <w:tr w:rsidR="007070CB">
        <w:tc>
          <w:tcPr>
            <w:tcW w:w="1393" w:type="pct"/>
            <w:tcBorders>
              <w:top w:val="nil"/>
            </w:tcBorders>
          </w:tcPr>
          <w:p w:rsidR="007070CB" w:rsidRDefault="006E2E62">
            <w:pPr>
              <w:pStyle w:val="TableText0"/>
              <w:spacing w:before="0" w:after="0"/>
              <w:ind w:left="-67" w:right="-103"/>
            </w:pPr>
            <w:r>
              <w:rPr>
                <w:rFonts w:cs="Times New Roman"/>
              </w:rPr>
              <w:t>LS Mean</w:t>
            </w:r>
            <w:r>
              <w:rPr>
                <w:rFonts w:cs="Times New Roman"/>
                <w:vertAlign w:val="superscript"/>
              </w:rPr>
              <w:t>a</w:t>
            </w:r>
            <w:r>
              <w:rPr>
                <w:rFonts w:cs="Times New Roman"/>
              </w:rPr>
              <w:t xml:space="preserve"> (SE), mmol/L</w:t>
            </w:r>
          </w:p>
        </w:tc>
        <w:tc>
          <w:tcPr>
            <w:tcW w:w="700" w:type="pct"/>
            <w:tcBorders>
              <w:top w:val="nil"/>
            </w:tcBorders>
          </w:tcPr>
          <w:p w:rsidR="007070CB" w:rsidRDefault="006E2E62">
            <w:pPr>
              <w:pStyle w:val="TableText0"/>
              <w:spacing w:before="0" w:after="0"/>
              <w:ind w:left="-86" w:right="-91"/>
              <w:jc w:val="center"/>
            </w:pPr>
            <w:r>
              <w:t>-33.5 (14.5)</w:t>
            </w:r>
          </w:p>
        </w:tc>
        <w:tc>
          <w:tcPr>
            <w:tcW w:w="700" w:type="pct"/>
            <w:tcBorders>
              <w:top w:val="nil"/>
            </w:tcBorders>
          </w:tcPr>
          <w:p w:rsidR="007070CB" w:rsidRDefault="006E2E62">
            <w:pPr>
              <w:pStyle w:val="TableText0"/>
              <w:spacing w:before="0" w:after="0"/>
              <w:ind w:left="-86" w:right="-91"/>
              <w:jc w:val="center"/>
            </w:pPr>
            <w:r>
              <w:t>-30.7 (14.0)</w:t>
            </w:r>
          </w:p>
        </w:tc>
        <w:tc>
          <w:tcPr>
            <w:tcW w:w="700" w:type="pct"/>
            <w:tcBorders>
              <w:top w:val="nil"/>
            </w:tcBorders>
          </w:tcPr>
          <w:p w:rsidR="007070CB" w:rsidRDefault="006E2E62">
            <w:pPr>
              <w:pStyle w:val="TableText0"/>
              <w:spacing w:before="0" w:after="0"/>
              <w:ind w:left="-86" w:right="-91"/>
              <w:jc w:val="center"/>
            </w:pPr>
            <w:r>
              <w:t>-31.7 (14.1)</w:t>
            </w:r>
          </w:p>
        </w:tc>
        <w:tc>
          <w:tcPr>
            <w:tcW w:w="810" w:type="pct"/>
            <w:tcBorders>
              <w:top w:val="nil"/>
            </w:tcBorders>
          </w:tcPr>
          <w:p w:rsidR="007070CB" w:rsidRDefault="006E2E62">
            <w:pPr>
              <w:pStyle w:val="TableText0"/>
              <w:spacing w:before="0" w:after="0"/>
              <w:ind w:left="-86" w:right="-91"/>
              <w:jc w:val="center"/>
            </w:pPr>
            <w:r>
              <w:t>-20.0 (1.0)</w:t>
            </w:r>
          </w:p>
        </w:tc>
        <w:tc>
          <w:tcPr>
            <w:tcW w:w="697" w:type="pct"/>
            <w:tcBorders>
              <w:top w:val="nil"/>
            </w:tcBorders>
          </w:tcPr>
          <w:p w:rsidR="007070CB" w:rsidRDefault="007070CB">
            <w:pPr>
              <w:pStyle w:val="TableText0"/>
              <w:spacing w:before="0" w:after="0"/>
              <w:ind w:left="-86" w:right="-91"/>
              <w:jc w:val="center"/>
            </w:pPr>
          </w:p>
        </w:tc>
      </w:tr>
      <w:tr w:rsidR="007070CB">
        <w:tc>
          <w:tcPr>
            <w:tcW w:w="1393" w:type="pct"/>
            <w:tcBorders>
              <w:bottom w:val="nil"/>
            </w:tcBorders>
          </w:tcPr>
          <w:p w:rsidR="007070CB" w:rsidRDefault="006E2E62">
            <w:pPr>
              <w:pStyle w:val="TableText0"/>
              <w:spacing w:before="0" w:after="0"/>
              <w:ind w:left="-67" w:right="-103"/>
            </w:pPr>
            <w:r>
              <w:t>BMI-for-age z-score</w:t>
            </w:r>
          </w:p>
        </w:tc>
        <w:tc>
          <w:tcPr>
            <w:tcW w:w="700" w:type="pct"/>
            <w:tcBorders>
              <w:bottom w:val="nil"/>
            </w:tcBorders>
          </w:tcPr>
          <w:p w:rsidR="007070CB" w:rsidRDefault="006E2E62">
            <w:pPr>
              <w:pStyle w:val="TableText0"/>
              <w:spacing w:before="0" w:after="0"/>
              <w:ind w:left="-86" w:right="-91"/>
              <w:jc w:val="center"/>
            </w:pPr>
            <w:r>
              <w:t>n=19</w:t>
            </w:r>
          </w:p>
        </w:tc>
        <w:tc>
          <w:tcPr>
            <w:tcW w:w="700" w:type="pct"/>
            <w:tcBorders>
              <w:bottom w:val="nil"/>
            </w:tcBorders>
          </w:tcPr>
          <w:p w:rsidR="007070CB" w:rsidRDefault="006E2E62">
            <w:pPr>
              <w:pStyle w:val="TableText0"/>
              <w:spacing w:before="0" w:after="0"/>
              <w:ind w:left="-86" w:right="-91"/>
              <w:jc w:val="center"/>
            </w:pPr>
            <w:r>
              <w:t>n=38</w:t>
            </w:r>
          </w:p>
        </w:tc>
        <w:tc>
          <w:tcPr>
            <w:tcW w:w="700" w:type="pct"/>
            <w:tcBorders>
              <w:bottom w:val="nil"/>
            </w:tcBorders>
          </w:tcPr>
          <w:p w:rsidR="007070CB" w:rsidRDefault="006E2E62">
            <w:pPr>
              <w:pStyle w:val="TableText0"/>
              <w:spacing w:before="0" w:after="0"/>
              <w:ind w:left="-86" w:right="-91"/>
              <w:jc w:val="center"/>
              <w:rPr>
                <w:rFonts w:cs="Times New Roman"/>
                <w:lang w:val="de-DE" w:eastAsia="en-AU"/>
              </w:rPr>
            </w:pPr>
            <w:r>
              <w:t>n=57</w:t>
            </w:r>
          </w:p>
        </w:tc>
        <w:tc>
          <w:tcPr>
            <w:tcW w:w="810" w:type="pct"/>
            <w:tcBorders>
              <w:bottom w:val="nil"/>
            </w:tcBorders>
          </w:tcPr>
          <w:p w:rsidR="007070CB" w:rsidRDefault="006E2E62">
            <w:pPr>
              <w:pStyle w:val="TableText0"/>
              <w:spacing w:before="0" w:after="0"/>
              <w:ind w:left="-86" w:right="-91"/>
              <w:jc w:val="center"/>
              <w:rPr>
                <w:rFonts w:cs="Times New Roman"/>
                <w:lang w:val="de-DE" w:eastAsia="en-AU"/>
              </w:rPr>
            </w:pPr>
            <w:r>
              <w:t>n=103</w:t>
            </w:r>
          </w:p>
        </w:tc>
        <w:tc>
          <w:tcPr>
            <w:tcW w:w="697" w:type="pct"/>
            <w:tcBorders>
              <w:bottom w:val="nil"/>
            </w:tcBorders>
          </w:tcPr>
          <w:p w:rsidR="007070CB" w:rsidRDefault="006E2E62">
            <w:pPr>
              <w:pStyle w:val="TableText0"/>
              <w:spacing w:before="0" w:after="0"/>
              <w:ind w:left="-86" w:right="-91"/>
              <w:jc w:val="center"/>
              <w:rPr>
                <w:b/>
                <w:szCs w:val="18"/>
              </w:rPr>
            </w:pPr>
            <w:r>
              <w:t>NR</w:t>
            </w:r>
          </w:p>
        </w:tc>
      </w:tr>
      <w:tr w:rsidR="007070CB">
        <w:tc>
          <w:tcPr>
            <w:tcW w:w="1393" w:type="pct"/>
            <w:tcBorders>
              <w:top w:val="nil"/>
              <w:bottom w:val="single" w:sz="4" w:space="0" w:color="auto"/>
            </w:tcBorders>
          </w:tcPr>
          <w:p w:rsidR="007070CB" w:rsidRDefault="006E2E62">
            <w:pPr>
              <w:pStyle w:val="TableText0"/>
              <w:spacing w:before="0" w:after="0"/>
              <w:ind w:left="-67" w:right="-103"/>
            </w:pPr>
            <w:r>
              <w:rPr>
                <w:rFonts w:cs="Times New Roman"/>
              </w:rPr>
              <w:t>LS Mean</w:t>
            </w:r>
            <w:r>
              <w:rPr>
                <w:rFonts w:cs="Times New Roman"/>
                <w:vertAlign w:val="superscript"/>
              </w:rPr>
              <w:t>a</w:t>
            </w:r>
            <w:r>
              <w:rPr>
                <w:rFonts w:cs="Times New Roman"/>
              </w:rPr>
              <w:t xml:space="preserve"> (SE), units</w:t>
            </w:r>
          </w:p>
        </w:tc>
        <w:tc>
          <w:tcPr>
            <w:tcW w:w="700" w:type="pct"/>
            <w:tcBorders>
              <w:top w:val="nil"/>
              <w:bottom w:val="single" w:sz="4" w:space="0" w:color="auto"/>
            </w:tcBorders>
          </w:tcPr>
          <w:p w:rsidR="007070CB" w:rsidRDefault="006E2E62">
            <w:pPr>
              <w:pStyle w:val="tabletextleftjustified"/>
              <w:keepNext/>
              <w:spacing w:before="0" w:after="0"/>
              <w:ind w:left="-86" w:right="-91"/>
              <w:jc w:val="center"/>
              <w:rPr>
                <w:rFonts w:ascii="Arial Narrow" w:hAnsi="Arial Narrow"/>
              </w:rPr>
            </w:pPr>
            <w:r>
              <w:rPr>
                <w:rFonts w:ascii="Arial Narrow" w:hAnsi="Arial Narrow"/>
              </w:rPr>
              <w:t>0.36 (0.67)</w:t>
            </w:r>
          </w:p>
        </w:tc>
        <w:tc>
          <w:tcPr>
            <w:tcW w:w="700" w:type="pct"/>
            <w:tcBorders>
              <w:top w:val="nil"/>
              <w:bottom w:val="single" w:sz="4" w:space="0" w:color="auto"/>
            </w:tcBorders>
          </w:tcPr>
          <w:p w:rsidR="007070CB" w:rsidRDefault="006E2E62">
            <w:pPr>
              <w:pStyle w:val="tabletextleftjustified"/>
              <w:keepNext/>
              <w:spacing w:before="0" w:after="0"/>
              <w:ind w:left="-86" w:right="-91"/>
              <w:jc w:val="center"/>
              <w:rPr>
                <w:rFonts w:ascii="Arial Narrow" w:hAnsi="Arial Narrow"/>
              </w:rPr>
            </w:pPr>
            <w:r>
              <w:rPr>
                <w:rFonts w:ascii="Arial Narrow" w:hAnsi="Arial Narrow"/>
              </w:rPr>
              <w:t>0.26 (0.53)</w:t>
            </w:r>
          </w:p>
        </w:tc>
        <w:tc>
          <w:tcPr>
            <w:tcW w:w="700" w:type="pct"/>
            <w:tcBorders>
              <w:top w:val="nil"/>
              <w:bottom w:val="single" w:sz="4" w:space="0" w:color="auto"/>
            </w:tcBorders>
          </w:tcPr>
          <w:p w:rsidR="007070CB" w:rsidRDefault="006E2E62">
            <w:pPr>
              <w:pStyle w:val="tabletextleftjustified"/>
              <w:keepNext/>
              <w:spacing w:before="0" w:after="0"/>
              <w:ind w:left="-86" w:right="-91"/>
              <w:jc w:val="center"/>
              <w:rPr>
                <w:rFonts w:ascii="Arial Narrow" w:hAnsi="Arial Narrow"/>
              </w:rPr>
            </w:pPr>
            <w:r>
              <w:rPr>
                <w:rFonts w:ascii="Arial Narrow" w:hAnsi="Arial Narrow"/>
              </w:rPr>
              <w:t>0.29 (0.57)</w:t>
            </w:r>
          </w:p>
        </w:tc>
        <w:tc>
          <w:tcPr>
            <w:tcW w:w="810" w:type="pct"/>
            <w:tcBorders>
              <w:top w:val="nil"/>
              <w:bottom w:val="single" w:sz="4" w:space="0" w:color="auto"/>
            </w:tcBorders>
          </w:tcPr>
          <w:p w:rsidR="007070CB" w:rsidRDefault="006E2E62">
            <w:pPr>
              <w:pStyle w:val="tabletextleftjustified"/>
              <w:keepNext/>
              <w:spacing w:before="0" w:after="0"/>
              <w:ind w:left="-86" w:right="-91"/>
              <w:jc w:val="center"/>
              <w:rPr>
                <w:rFonts w:ascii="Arial Narrow" w:eastAsia="SimSun" w:hAnsi="Arial Narrow" w:cs="Arial Narrow"/>
                <w:lang w:val="en-AU"/>
              </w:rPr>
            </w:pPr>
            <w:r>
              <w:rPr>
                <w:rFonts w:ascii="Arial Narrow" w:hAnsi="Arial Narrow"/>
              </w:rPr>
              <w:t>0.08 (0.04)</w:t>
            </w:r>
          </w:p>
        </w:tc>
        <w:tc>
          <w:tcPr>
            <w:tcW w:w="697" w:type="pct"/>
            <w:tcBorders>
              <w:top w:val="nil"/>
              <w:bottom w:val="single" w:sz="4" w:space="0" w:color="auto"/>
            </w:tcBorders>
          </w:tcPr>
          <w:p w:rsidR="007070CB" w:rsidRDefault="007070CB">
            <w:pPr>
              <w:pStyle w:val="TableText0"/>
              <w:spacing w:before="0" w:after="0"/>
              <w:ind w:left="-86" w:right="-91"/>
              <w:jc w:val="center"/>
            </w:pPr>
          </w:p>
        </w:tc>
      </w:tr>
      <w:tr w:rsidR="007070CB">
        <w:tc>
          <w:tcPr>
            <w:tcW w:w="1393" w:type="pct"/>
            <w:tcBorders>
              <w:bottom w:val="nil"/>
            </w:tcBorders>
          </w:tcPr>
          <w:p w:rsidR="007070CB" w:rsidRDefault="006E2E62">
            <w:pPr>
              <w:pStyle w:val="TableText0"/>
              <w:spacing w:before="0" w:after="0"/>
              <w:ind w:left="-67" w:right="-103"/>
            </w:pPr>
            <w:r>
              <w:t xml:space="preserve">BMI </w:t>
            </w:r>
          </w:p>
        </w:tc>
        <w:tc>
          <w:tcPr>
            <w:tcW w:w="700" w:type="pct"/>
            <w:tcBorders>
              <w:bottom w:val="nil"/>
            </w:tcBorders>
          </w:tcPr>
          <w:p w:rsidR="007070CB" w:rsidRDefault="006E2E62">
            <w:pPr>
              <w:pStyle w:val="TableText0"/>
              <w:spacing w:before="0" w:after="0"/>
              <w:ind w:left="-86" w:right="-91"/>
              <w:jc w:val="center"/>
            </w:pPr>
            <w:r>
              <w:t>n=19</w:t>
            </w:r>
          </w:p>
        </w:tc>
        <w:tc>
          <w:tcPr>
            <w:tcW w:w="700" w:type="pct"/>
            <w:tcBorders>
              <w:bottom w:val="nil"/>
            </w:tcBorders>
          </w:tcPr>
          <w:p w:rsidR="007070CB" w:rsidRDefault="006E2E62">
            <w:pPr>
              <w:pStyle w:val="TableText0"/>
              <w:spacing w:before="0" w:after="0"/>
              <w:ind w:left="-86" w:right="-91"/>
              <w:jc w:val="center"/>
            </w:pPr>
            <w:r>
              <w:t>n=38</w:t>
            </w:r>
          </w:p>
        </w:tc>
        <w:tc>
          <w:tcPr>
            <w:tcW w:w="700" w:type="pct"/>
            <w:tcBorders>
              <w:bottom w:val="nil"/>
            </w:tcBorders>
          </w:tcPr>
          <w:p w:rsidR="007070CB" w:rsidRDefault="006E2E62">
            <w:pPr>
              <w:pStyle w:val="TableText0"/>
              <w:spacing w:before="0" w:after="0"/>
              <w:ind w:left="-86" w:right="-91"/>
              <w:jc w:val="center"/>
            </w:pPr>
            <w:r>
              <w:t>n=57</w:t>
            </w:r>
          </w:p>
        </w:tc>
        <w:tc>
          <w:tcPr>
            <w:tcW w:w="810" w:type="pct"/>
            <w:tcBorders>
              <w:bottom w:val="nil"/>
            </w:tcBorders>
          </w:tcPr>
          <w:p w:rsidR="007070CB" w:rsidRDefault="006E2E62">
            <w:pPr>
              <w:pStyle w:val="tabletextleftjustified"/>
              <w:keepNext/>
              <w:spacing w:before="0" w:after="0"/>
              <w:ind w:left="-86" w:right="-91"/>
              <w:jc w:val="center"/>
              <w:rPr>
                <w:rFonts w:ascii="Arial Narrow" w:hAnsi="Arial Narrow"/>
              </w:rPr>
            </w:pPr>
            <w:r>
              <w:rPr>
                <w:rFonts w:ascii="Arial Narrow" w:hAnsi="Arial Narrow"/>
              </w:rPr>
              <w:t>n=103</w:t>
            </w:r>
          </w:p>
        </w:tc>
        <w:tc>
          <w:tcPr>
            <w:tcW w:w="697" w:type="pct"/>
            <w:tcBorders>
              <w:bottom w:val="nil"/>
            </w:tcBorders>
          </w:tcPr>
          <w:p w:rsidR="007070CB" w:rsidRDefault="006E2E62">
            <w:pPr>
              <w:pStyle w:val="TableText0"/>
              <w:spacing w:before="0" w:after="0"/>
              <w:ind w:left="-86" w:right="-91"/>
              <w:jc w:val="center"/>
            </w:pPr>
            <w:r>
              <w:t>n=369</w:t>
            </w:r>
          </w:p>
        </w:tc>
      </w:tr>
      <w:tr w:rsidR="007070CB">
        <w:tc>
          <w:tcPr>
            <w:tcW w:w="1393" w:type="pct"/>
            <w:tcBorders>
              <w:top w:val="nil"/>
              <w:bottom w:val="single" w:sz="4" w:space="0" w:color="auto"/>
            </w:tcBorders>
          </w:tcPr>
          <w:p w:rsidR="007070CB" w:rsidRDefault="006E2E62">
            <w:pPr>
              <w:pStyle w:val="TableText0"/>
              <w:spacing w:before="0" w:after="0"/>
              <w:ind w:left="-67" w:right="-103"/>
            </w:pPr>
            <w:r>
              <w:rPr>
                <w:rFonts w:cs="Times New Roman"/>
              </w:rPr>
              <w:t>LS Mean</w:t>
            </w:r>
            <w:r>
              <w:rPr>
                <w:rFonts w:cs="Times New Roman"/>
                <w:vertAlign w:val="superscript"/>
              </w:rPr>
              <w:t>a</w:t>
            </w:r>
            <w:r>
              <w:rPr>
                <w:rFonts w:cs="Times New Roman"/>
              </w:rPr>
              <w:t xml:space="preserve"> (SE), </w:t>
            </w:r>
            <w:r>
              <w:t>kg/m</w:t>
            </w:r>
            <w:r>
              <w:rPr>
                <w:vertAlign w:val="superscript"/>
              </w:rPr>
              <w:t>2</w:t>
            </w:r>
          </w:p>
        </w:tc>
        <w:tc>
          <w:tcPr>
            <w:tcW w:w="700" w:type="pct"/>
            <w:tcBorders>
              <w:top w:val="nil"/>
              <w:bottom w:val="single" w:sz="4" w:space="0" w:color="auto"/>
            </w:tcBorders>
          </w:tcPr>
          <w:p w:rsidR="007070CB" w:rsidRDefault="006E2E62">
            <w:pPr>
              <w:pStyle w:val="TableText0"/>
              <w:spacing w:before="0" w:after="0"/>
              <w:ind w:left="-86" w:right="-91"/>
              <w:jc w:val="center"/>
            </w:pPr>
            <w:r>
              <w:t>0.22 (0.78)</w:t>
            </w:r>
          </w:p>
        </w:tc>
        <w:tc>
          <w:tcPr>
            <w:tcW w:w="700" w:type="pct"/>
            <w:tcBorders>
              <w:top w:val="nil"/>
              <w:bottom w:val="single" w:sz="4" w:space="0" w:color="auto"/>
            </w:tcBorders>
          </w:tcPr>
          <w:p w:rsidR="007070CB" w:rsidRDefault="006E2E62">
            <w:pPr>
              <w:pStyle w:val="TableText0"/>
              <w:spacing w:before="0" w:after="0"/>
              <w:ind w:left="-86" w:right="-91"/>
              <w:jc w:val="center"/>
            </w:pPr>
            <w:r>
              <w:t>0.29 (0.75)</w:t>
            </w:r>
          </w:p>
        </w:tc>
        <w:tc>
          <w:tcPr>
            <w:tcW w:w="700" w:type="pct"/>
            <w:tcBorders>
              <w:top w:val="nil"/>
              <w:bottom w:val="single" w:sz="4" w:space="0" w:color="auto"/>
            </w:tcBorders>
          </w:tcPr>
          <w:p w:rsidR="007070CB" w:rsidRDefault="006E2E62">
            <w:pPr>
              <w:pStyle w:val="TableText0"/>
              <w:spacing w:before="0" w:after="0"/>
              <w:ind w:left="-86" w:right="-91"/>
              <w:jc w:val="center"/>
            </w:pPr>
            <w:r>
              <w:t>0.27 (0.75)</w:t>
            </w:r>
          </w:p>
        </w:tc>
        <w:tc>
          <w:tcPr>
            <w:tcW w:w="810" w:type="pct"/>
            <w:tcBorders>
              <w:top w:val="nil"/>
              <w:bottom w:val="single" w:sz="4" w:space="0" w:color="auto"/>
            </w:tcBorders>
          </w:tcPr>
          <w:p w:rsidR="007070CB" w:rsidRDefault="006E2E62">
            <w:pPr>
              <w:pStyle w:val="TableText0"/>
              <w:spacing w:before="0" w:after="0"/>
              <w:ind w:left="-86" w:right="-91"/>
              <w:jc w:val="center"/>
            </w:pPr>
            <w:r>
              <w:t>0.38 (0.07)</w:t>
            </w:r>
          </w:p>
        </w:tc>
        <w:tc>
          <w:tcPr>
            <w:tcW w:w="697" w:type="pct"/>
            <w:tcBorders>
              <w:top w:val="nil"/>
              <w:bottom w:val="single" w:sz="4" w:space="0" w:color="auto"/>
            </w:tcBorders>
          </w:tcPr>
          <w:p w:rsidR="007070CB" w:rsidRDefault="006E2E62">
            <w:pPr>
              <w:pStyle w:val="TableText0"/>
              <w:spacing w:before="0" w:after="0"/>
              <w:ind w:left="-86" w:right="-91"/>
              <w:jc w:val="center"/>
            </w:pPr>
            <w:r>
              <w:t>0.37 (0.28, 0.47)</w:t>
            </w:r>
          </w:p>
        </w:tc>
      </w:tr>
      <w:tr w:rsidR="007070CB">
        <w:tc>
          <w:tcPr>
            <w:tcW w:w="1393" w:type="pct"/>
            <w:tcBorders>
              <w:bottom w:val="nil"/>
            </w:tcBorders>
          </w:tcPr>
          <w:p w:rsidR="007070CB" w:rsidRDefault="006E2E62">
            <w:pPr>
              <w:pStyle w:val="TableText0"/>
              <w:spacing w:before="0" w:after="0"/>
              <w:ind w:left="-67" w:right="-103"/>
            </w:pPr>
            <w:r>
              <w:t>Weight-for-age z-score</w:t>
            </w:r>
          </w:p>
        </w:tc>
        <w:tc>
          <w:tcPr>
            <w:tcW w:w="700" w:type="pct"/>
            <w:tcBorders>
              <w:bottom w:val="nil"/>
            </w:tcBorders>
          </w:tcPr>
          <w:p w:rsidR="007070CB" w:rsidRDefault="006E2E62">
            <w:pPr>
              <w:keepNext/>
              <w:widowControl/>
              <w:adjustRightInd w:val="0"/>
              <w:ind w:left="-86" w:right="-91"/>
              <w:jc w:val="center"/>
              <w:rPr>
                <w:rFonts w:ascii="Arial Narrow" w:hAnsi="Arial Narrow"/>
                <w:sz w:val="20"/>
                <w:szCs w:val="20"/>
              </w:rPr>
            </w:pPr>
            <w:r>
              <w:rPr>
                <w:rFonts w:ascii="Arial Narrow" w:hAnsi="Arial Narrow"/>
                <w:sz w:val="20"/>
                <w:szCs w:val="20"/>
              </w:rPr>
              <w:t>n=19</w:t>
            </w:r>
          </w:p>
        </w:tc>
        <w:tc>
          <w:tcPr>
            <w:tcW w:w="700" w:type="pct"/>
            <w:tcBorders>
              <w:bottom w:val="nil"/>
            </w:tcBorders>
          </w:tcPr>
          <w:p w:rsidR="007070CB" w:rsidRDefault="006E2E62">
            <w:pPr>
              <w:keepNext/>
              <w:widowControl/>
              <w:adjustRightInd w:val="0"/>
              <w:ind w:left="-86" w:right="-91"/>
              <w:jc w:val="center"/>
              <w:rPr>
                <w:rFonts w:ascii="Arial Narrow" w:hAnsi="Arial Narrow"/>
                <w:sz w:val="20"/>
                <w:szCs w:val="20"/>
              </w:rPr>
            </w:pPr>
            <w:r>
              <w:rPr>
                <w:rFonts w:ascii="Arial Narrow" w:hAnsi="Arial Narrow"/>
                <w:sz w:val="20"/>
                <w:szCs w:val="20"/>
              </w:rPr>
              <w:t>n=38</w:t>
            </w:r>
          </w:p>
        </w:tc>
        <w:tc>
          <w:tcPr>
            <w:tcW w:w="700" w:type="pct"/>
            <w:tcBorders>
              <w:bottom w:val="nil"/>
            </w:tcBorders>
          </w:tcPr>
          <w:p w:rsidR="007070CB" w:rsidRDefault="006E2E62">
            <w:pPr>
              <w:keepNext/>
              <w:widowControl/>
              <w:adjustRightInd w:val="0"/>
              <w:ind w:left="-86" w:right="-91"/>
              <w:jc w:val="center"/>
              <w:rPr>
                <w:rFonts w:ascii="Arial Narrow" w:hAnsi="Arial Narrow"/>
                <w:sz w:val="20"/>
                <w:szCs w:val="20"/>
              </w:rPr>
            </w:pPr>
            <w:r>
              <w:rPr>
                <w:rFonts w:ascii="Arial Narrow" w:hAnsi="Arial Narrow"/>
                <w:sz w:val="20"/>
                <w:szCs w:val="20"/>
              </w:rPr>
              <w:t>n=57</w:t>
            </w:r>
          </w:p>
        </w:tc>
        <w:tc>
          <w:tcPr>
            <w:tcW w:w="810" w:type="pct"/>
            <w:tcBorders>
              <w:bottom w:val="nil"/>
            </w:tcBorders>
          </w:tcPr>
          <w:p w:rsidR="007070CB" w:rsidRDefault="006E2E62">
            <w:pPr>
              <w:pStyle w:val="TableText0"/>
              <w:spacing w:before="0" w:after="0"/>
              <w:ind w:left="-86" w:right="-91"/>
              <w:jc w:val="center"/>
            </w:pPr>
            <w:r>
              <w:t>n=103</w:t>
            </w:r>
          </w:p>
        </w:tc>
        <w:tc>
          <w:tcPr>
            <w:tcW w:w="697" w:type="pct"/>
            <w:tcBorders>
              <w:bottom w:val="nil"/>
            </w:tcBorders>
          </w:tcPr>
          <w:p w:rsidR="007070CB" w:rsidRDefault="006E2E62">
            <w:pPr>
              <w:pStyle w:val="TableText0"/>
              <w:spacing w:before="0" w:after="0"/>
              <w:ind w:left="-86" w:right="-91"/>
              <w:jc w:val="center"/>
              <w:rPr>
                <w:szCs w:val="18"/>
              </w:rPr>
            </w:pPr>
            <w:r>
              <w:rPr>
                <w:szCs w:val="18"/>
              </w:rPr>
              <w:t>n=369</w:t>
            </w:r>
          </w:p>
        </w:tc>
      </w:tr>
      <w:tr w:rsidR="007070CB">
        <w:tc>
          <w:tcPr>
            <w:tcW w:w="1393" w:type="pct"/>
            <w:tcBorders>
              <w:top w:val="nil"/>
              <w:bottom w:val="single" w:sz="4" w:space="0" w:color="auto"/>
            </w:tcBorders>
          </w:tcPr>
          <w:p w:rsidR="007070CB" w:rsidRDefault="006E2E62">
            <w:pPr>
              <w:pStyle w:val="TableText0"/>
              <w:spacing w:before="0" w:after="0"/>
              <w:ind w:left="-67" w:right="-103"/>
            </w:pPr>
            <w:r>
              <w:rPr>
                <w:rFonts w:cs="Times New Roman"/>
              </w:rPr>
              <w:t>LS Mean</w:t>
            </w:r>
            <w:r>
              <w:rPr>
                <w:rFonts w:cs="Times New Roman"/>
                <w:vertAlign w:val="superscript"/>
              </w:rPr>
              <w:t>a</w:t>
            </w:r>
            <w:r>
              <w:rPr>
                <w:rFonts w:cs="Times New Roman"/>
              </w:rPr>
              <w:t xml:space="preserve"> (SE), units</w:t>
            </w:r>
          </w:p>
        </w:tc>
        <w:tc>
          <w:tcPr>
            <w:tcW w:w="700" w:type="pct"/>
            <w:tcBorders>
              <w:top w:val="nil"/>
              <w:bottom w:val="single" w:sz="4" w:space="0" w:color="auto"/>
            </w:tcBorders>
          </w:tcPr>
          <w:p w:rsidR="007070CB" w:rsidRDefault="006E2E62">
            <w:pPr>
              <w:keepNext/>
              <w:widowControl/>
              <w:adjustRightInd w:val="0"/>
              <w:ind w:left="-86" w:right="-91"/>
              <w:jc w:val="center"/>
              <w:rPr>
                <w:rFonts w:ascii="Arial Narrow" w:hAnsi="Arial Narrow"/>
                <w:sz w:val="20"/>
                <w:szCs w:val="20"/>
              </w:rPr>
            </w:pPr>
            <w:r>
              <w:rPr>
                <w:rFonts w:ascii="Arial Narrow" w:hAnsi="Arial Narrow"/>
                <w:sz w:val="20"/>
                <w:szCs w:val="20"/>
              </w:rPr>
              <w:t>0.44 (0.52)</w:t>
            </w:r>
          </w:p>
        </w:tc>
        <w:tc>
          <w:tcPr>
            <w:tcW w:w="700" w:type="pct"/>
            <w:tcBorders>
              <w:top w:val="nil"/>
              <w:bottom w:val="single" w:sz="4" w:space="0" w:color="auto"/>
            </w:tcBorders>
          </w:tcPr>
          <w:p w:rsidR="007070CB" w:rsidRDefault="006E2E62">
            <w:pPr>
              <w:keepNext/>
              <w:widowControl/>
              <w:adjustRightInd w:val="0"/>
              <w:ind w:left="-86" w:right="-91"/>
              <w:jc w:val="center"/>
              <w:rPr>
                <w:rFonts w:ascii="Arial Narrow" w:hAnsi="Arial Narrow"/>
                <w:sz w:val="20"/>
                <w:szCs w:val="20"/>
              </w:rPr>
            </w:pPr>
            <w:r>
              <w:rPr>
                <w:rFonts w:ascii="Arial Narrow" w:hAnsi="Arial Narrow"/>
                <w:sz w:val="20"/>
                <w:szCs w:val="20"/>
              </w:rPr>
              <w:t>0.17 (0.36)</w:t>
            </w:r>
          </w:p>
        </w:tc>
        <w:tc>
          <w:tcPr>
            <w:tcW w:w="700" w:type="pct"/>
            <w:tcBorders>
              <w:top w:val="nil"/>
              <w:bottom w:val="single" w:sz="4" w:space="0" w:color="auto"/>
            </w:tcBorders>
          </w:tcPr>
          <w:p w:rsidR="007070CB" w:rsidRDefault="006E2E62">
            <w:pPr>
              <w:keepNext/>
              <w:widowControl/>
              <w:adjustRightInd w:val="0"/>
              <w:ind w:left="-86" w:right="-91"/>
              <w:jc w:val="center"/>
              <w:rPr>
                <w:rFonts w:ascii="Arial Narrow" w:hAnsi="Arial Narrow"/>
                <w:sz w:val="20"/>
                <w:szCs w:val="20"/>
              </w:rPr>
            </w:pPr>
            <w:r>
              <w:rPr>
                <w:rFonts w:ascii="Arial Narrow" w:hAnsi="Arial Narrow"/>
                <w:sz w:val="20"/>
                <w:szCs w:val="20"/>
              </w:rPr>
              <w:t>0.26 (0.44)</w:t>
            </w:r>
          </w:p>
        </w:tc>
        <w:tc>
          <w:tcPr>
            <w:tcW w:w="810" w:type="pct"/>
            <w:tcBorders>
              <w:top w:val="nil"/>
              <w:bottom w:val="single" w:sz="4" w:space="0" w:color="auto"/>
            </w:tcBorders>
          </w:tcPr>
          <w:p w:rsidR="007070CB" w:rsidRDefault="006E2E62">
            <w:pPr>
              <w:pStyle w:val="TableText0"/>
              <w:spacing w:before="0" w:after="0"/>
              <w:ind w:left="-86" w:right="-91"/>
              <w:jc w:val="center"/>
            </w:pPr>
            <w:r>
              <w:t>0.06 (0.02)</w:t>
            </w:r>
          </w:p>
        </w:tc>
        <w:tc>
          <w:tcPr>
            <w:tcW w:w="697" w:type="pct"/>
            <w:tcBorders>
              <w:top w:val="nil"/>
              <w:bottom w:val="single" w:sz="4" w:space="0" w:color="auto"/>
            </w:tcBorders>
            <w:vAlign w:val="center"/>
          </w:tcPr>
          <w:p w:rsidR="007070CB" w:rsidRDefault="006E2E62">
            <w:pPr>
              <w:pStyle w:val="TableText0"/>
              <w:spacing w:before="0" w:after="0"/>
              <w:ind w:left="-86" w:right="-91"/>
              <w:jc w:val="center"/>
            </w:pPr>
            <w:r>
              <w:t>0.10 (0.02)</w:t>
            </w:r>
          </w:p>
        </w:tc>
      </w:tr>
      <w:tr w:rsidR="007070CB">
        <w:tc>
          <w:tcPr>
            <w:tcW w:w="1393" w:type="pct"/>
            <w:tcBorders>
              <w:bottom w:val="nil"/>
            </w:tcBorders>
          </w:tcPr>
          <w:p w:rsidR="007070CB" w:rsidRDefault="006E2E62">
            <w:pPr>
              <w:pStyle w:val="TableText0"/>
              <w:spacing w:before="0" w:after="0"/>
              <w:ind w:left="-67" w:right="-103"/>
            </w:pPr>
            <w:r>
              <w:t>Weight</w:t>
            </w:r>
          </w:p>
        </w:tc>
        <w:tc>
          <w:tcPr>
            <w:tcW w:w="700" w:type="pct"/>
            <w:tcBorders>
              <w:bottom w:val="nil"/>
            </w:tcBorders>
          </w:tcPr>
          <w:p w:rsidR="007070CB" w:rsidRDefault="006E2E62">
            <w:pPr>
              <w:keepNext/>
              <w:widowControl/>
              <w:adjustRightInd w:val="0"/>
              <w:ind w:left="-86" w:right="-91"/>
              <w:jc w:val="center"/>
              <w:rPr>
                <w:rFonts w:ascii="Arial Narrow" w:hAnsi="Arial Narrow"/>
                <w:sz w:val="20"/>
                <w:szCs w:val="20"/>
              </w:rPr>
            </w:pPr>
            <w:r>
              <w:rPr>
                <w:rFonts w:ascii="Arial Narrow" w:hAnsi="Arial Narrow"/>
                <w:sz w:val="20"/>
                <w:szCs w:val="20"/>
              </w:rPr>
              <w:t>n=19</w:t>
            </w:r>
          </w:p>
        </w:tc>
        <w:tc>
          <w:tcPr>
            <w:tcW w:w="700" w:type="pct"/>
            <w:tcBorders>
              <w:bottom w:val="nil"/>
            </w:tcBorders>
          </w:tcPr>
          <w:p w:rsidR="007070CB" w:rsidRDefault="006E2E62">
            <w:pPr>
              <w:keepNext/>
              <w:widowControl/>
              <w:adjustRightInd w:val="0"/>
              <w:ind w:left="-86" w:right="-91"/>
              <w:jc w:val="center"/>
              <w:rPr>
                <w:rFonts w:ascii="Arial Narrow" w:hAnsi="Arial Narrow"/>
                <w:sz w:val="20"/>
                <w:szCs w:val="20"/>
              </w:rPr>
            </w:pPr>
            <w:r>
              <w:rPr>
                <w:rFonts w:ascii="Arial Narrow" w:hAnsi="Arial Narrow"/>
                <w:sz w:val="20"/>
                <w:szCs w:val="20"/>
              </w:rPr>
              <w:t>n=38</w:t>
            </w:r>
          </w:p>
        </w:tc>
        <w:tc>
          <w:tcPr>
            <w:tcW w:w="700" w:type="pct"/>
            <w:tcBorders>
              <w:bottom w:val="nil"/>
            </w:tcBorders>
          </w:tcPr>
          <w:p w:rsidR="007070CB" w:rsidRDefault="006E2E62">
            <w:pPr>
              <w:keepNext/>
              <w:widowControl/>
              <w:adjustRightInd w:val="0"/>
              <w:ind w:left="-86" w:right="-91"/>
              <w:jc w:val="center"/>
              <w:rPr>
                <w:rFonts w:ascii="Arial Narrow" w:hAnsi="Arial Narrow"/>
                <w:sz w:val="20"/>
                <w:szCs w:val="20"/>
              </w:rPr>
            </w:pPr>
            <w:r>
              <w:rPr>
                <w:rFonts w:ascii="Arial Narrow" w:hAnsi="Arial Narrow"/>
                <w:sz w:val="20"/>
                <w:szCs w:val="20"/>
              </w:rPr>
              <w:t>n=57</w:t>
            </w:r>
          </w:p>
        </w:tc>
        <w:tc>
          <w:tcPr>
            <w:tcW w:w="810" w:type="pct"/>
            <w:tcBorders>
              <w:bottom w:val="nil"/>
            </w:tcBorders>
          </w:tcPr>
          <w:p w:rsidR="007070CB" w:rsidRDefault="006E2E62">
            <w:pPr>
              <w:pStyle w:val="TableText0"/>
              <w:spacing w:before="0" w:after="0"/>
              <w:ind w:left="-86" w:right="-91"/>
              <w:jc w:val="center"/>
            </w:pPr>
            <w:r>
              <w:t>n=103</w:t>
            </w:r>
          </w:p>
        </w:tc>
        <w:tc>
          <w:tcPr>
            <w:tcW w:w="697" w:type="pct"/>
            <w:tcBorders>
              <w:bottom w:val="nil"/>
            </w:tcBorders>
          </w:tcPr>
          <w:p w:rsidR="007070CB" w:rsidRDefault="006E2E62">
            <w:pPr>
              <w:pStyle w:val="TableText0"/>
              <w:spacing w:before="0" w:after="0"/>
              <w:ind w:left="-86" w:right="-91"/>
              <w:jc w:val="center"/>
            </w:pPr>
            <w:r>
              <w:t>NR</w:t>
            </w:r>
          </w:p>
        </w:tc>
      </w:tr>
      <w:tr w:rsidR="007070CB">
        <w:tc>
          <w:tcPr>
            <w:tcW w:w="1393" w:type="pct"/>
            <w:tcBorders>
              <w:top w:val="nil"/>
              <w:bottom w:val="single" w:sz="4" w:space="0" w:color="auto"/>
            </w:tcBorders>
          </w:tcPr>
          <w:p w:rsidR="007070CB" w:rsidRDefault="006E2E62">
            <w:pPr>
              <w:pStyle w:val="TableText0"/>
              <w:spacing w:before="0" w:after="0"/>
              <w:ind w:left="-67" w:right="-103"/>
            </w:pPr>
            <w:r>
              <w:rPr>
                <w:rFonts w:cs="Times New Roman"/>
              </w:rPr>
              <w:t>LS Mean</w:t>
            </w:r>
            <w:r>
              <w:rPr>
                <w:rFonts w:cs="Times New Roman"/>
                <w:vertAlign w:val="superscript"/>
              </w:rPr>
              <w:t>a</w:t>
            </w:r>
            <w:r>
              <w:rPr>
                <w:rFonts w:cs="Times New Roman"/>
              </w:rPr>
              <w:t xml:space="preserve"> (SE), kg</w:t>
            </w:r>
          </w:p>
        </w:tc>
        <w:tc>
          <w:tcPr>
            <w:tcW w:w="700" w:type="pct"/>
            <w:tcBorders>
              <w:top w:val="nil"/>
              <w:bottom w:val="single" w:sz="4" w:space="0" w:color="auto"/>
            </w:tcBorders>
          </w:tcPr>
          <w:p w:rsidR="007070CB" w:rsidRDefault="006E2E62">
            <w:pPr>
              <w:keepNext/>
              <w:widowControl/>
              <w:adjustRightInd w:val="0"/>
              <w:ind w:left="-86" w:right="-91"/>
              <w:jc w:val="center"/>
              <w:rPr>
                <w:rFonts w:ascii="Arial Narrow" w:hAnsi="Arial Narrow"/>
                <w:sz w:val="20"/>
                <w:szCs w:val="20"/>
              </w:rPr>
            </w:pPr>
            <w:r>
              <w:rPr>
                <w:rFonts w:ascii="Arial Narrow" w:hAnsi="Arial Narrow"/>
                <w:sz w:val="20"/>
                <w:szCs w:val="20"/>
              </w:rPr>
              <w:t>1.4 (0.7)</w:t>
            </w:r>
          </w:p>
        </w:tc>
        <w:tc>
          <w:tcPr>
            <w:tcW w:w="700" w:type="pct"/>
            <w:tcBorders>
              <w:top w:val="nil"/>
              <w:bottom w:val="single" w:sz="4" w:space="0" w:color="auto"/>
            </w:tcBorders>
          </w:tcPr>
          <w:p w:rsidR="007070CB" w:rsidRDefault="006E2E62">
            <w:pPr>
              <w:keepNext/>
              <w:widowControl/>
              <w:adjustRightInd w:val="0"/>
              <w:ind w:left="-86" w:right="-91"/>
              <w:jc w:val="center"/>
              <w:rPr>
                <w:rFonts w:ascii="Arial Narrow" w:hAnsi="Arial Narrow"/>
                <w:sz w:val="20"/>
                <w:szCs w:val="20"/>
              </w:rPr>
            </w:pPr>
            <w:r>
              <w:rPr>
                <w:rFonts w:ascii="Arial Narrow" w:hAnsi="Arial Narrow"/>
                <w:sz w:val="20"/>
                <w:szCs w:val="20"/>
              </w:rPr>
              <w:t>1.5 (1.0)</w:t>
            </w:r>
          </w:p>
        </w:tc>
        <w:tc>
          <w:tcPr>
            <w:tcW w:w="700" w:type="pct"/>
            <w:tcBorders>
              <w:top w:val="nil"/>
              <w:bottom w:val="single" w:sz="4" w:space="0" w:color="auto"/>
            </w:tcBorders>
          </w:tcPr>
          <w:p w:rsidR="007070CB" w:rsidRDefault="006E2E62">
            <w:pPr>
              <w:keepNext/>
              <w:widowControl/>
              <w:adjustRightInd w:val="0"/>
              <w:ind w:left="-86" w:right="-91"/>
              <w:jc w:val="center"/>
              <w:rPr>
                <w:rFonts w:ascii="Arial Narrow" w:hAnsi="Arial Narrow"/>
                <w:sz w:val="20"/>
                <w:szCs w:val="20"/>
              </w:rPr>
            </w:pPr>
            <w:r>
              <w:rPr>
                <w:rFonts w:ascii="Arial Narrow" w:hAnsi="Arial Narrow"/>
                <w:sz w:val="20"/>
                <w:szCs w:val="20"/>
              </w:rPr>
              <w:t>1.4 (0.9)</w:t>
            </w:r>
          </w:p>
        </w:tc>
        <w:tc>
          <w:tcPr>
            <w:tcW w:w="810" w:type="pct"/>
            <w:tcBorders>
              <w:top w:val="nil"/>
              <w:bottom w:val="single" w:sz="4" w:space="0" w:color="auto"/>
            </w:tcBorders>
          </w:tcPr>
          <w:p w:rsidR="007070CB" w:rsidRDefault="006E2E62">
            <w:pPr>
              <w:pStyle w:val="TableText0"/>
              <w:spacing w:before="0" w:after="0"/>
              <w:ind w:left="-86" w:right="-91"/>
              <w:jc w:val="center"/>
            </w:pPr>
            <w:r>
              <w:t>2.0 (0.1)</w:t>
            </w:r>
          </w:p>
        </w:tc>
        <w:tc>
          <w:tcPr>
            <w:tcW w:w="697" w:type="pct"/>
            <w:tcBorders>
              <w:top w:val="nil"/>
              <w:bottom w:val="single" w:sz="4" w:space="0" w:color="auto"/>
            </w:tcBorders>
          </w:tcPr>
          <w:p w:rsidR="007070CB" w:rsidRDefault="007070CB">
            <w:pPr>
              <w:pStyle w:val="TableText0"/>
              <w:spacing w:before="0" w:after="0"/>
              <w:ind w:left="-86" w:right="-91"/>
              <w:jc w:val="center"/>
            </w:pPr>
          </w:p>
        </w:tc>
      </w:tr>
      <w:tr w:rsidR="007070CB">
        <w:tc>
          <w:tcPr>
            <w:tcW w:w="1393" w:type="pct"/>
            <w:tcBorders>
              <w:bottom w:val="nil"/>
            </w:tcBorders>
          </w:tcPr>
          <w:p w:rsidR="007070CB" w:rsidRDefault="006E2E62">
            <w:pPr>
              <w:pStyle w:val="TableText0"/>
              <w:spacing w:before="0" w:after="0"/>
              <w:ind w:left="-67" w:right="-103"/>
            </w:pPr>
            <w:r>
              <w:t>Stature-for-age z-score</w:t>
            </w:r>
          </w:p>
        </w:tc>
        <w:tc>
          <w:tcPr>
            <w:tcW w:w="700" w:type="pct"/>
            <w:tcBorders>
              <w:bottom w:val="nil"/>
            </w:tcBorders>
          </w:tcPr>
          <w:p w:rsidR="007070CB" w:rsidRDefault="006E2E62">
            <w:pPr>
              <w:keepNext/>
              <w:widowControl/>
              <w:adjustRightInd w:val="0"/>
              <w:ind w:left="-86" w:right="-91"/>
              <w:jc w:val="center"/>
              <w:rPr>
                <w:rFonts w:ascii="Arial Narrow" w:hAnsi="Arial Narrow"/>
                <w:sz w:val="20"/>
                <w:szCs w:val="20"/>
              </w:rPr>
            </w:pPr>
            <w:r>
              <w:rPr>
                <w:rFonts w:ascii="Arial Narrow" w:hAnsi="Arial Narrow"/>
                <w:sz w:val="20"/>
                <w:szCs w:val="20"/>
              </w:rPr>
              <w:t>n=19</w:t>
            </w:r>
          </w:p>
        </w:tc>
        <w:tc>
          <w:tcPr>
            <w:tcW w:w="700" w:type="pct"/>
            <w:tcBorders>
              <w:bottom w:val="nil"/>
            </w:tcBorders>
          </w:tcPr>
          <w:p w:rsidR="007070CB" w:rsidRDefault="006E2E62">
            <w:pPr>
              <w:keepNext/>
              <w:widowControl/>
              <w:adjustRightInd w:val="0"/>
              <w:ind w:left="-86" w:right="-91"/>
              <w:jc w:val="center"/>
              <w:rPr>
                <w:rFonts w:ascii="Arial Narrow" w:hAnsi="Arial Narrow"/>
                <w:sz w:val="20"/>
                <w:szCs w:val="20"/>
              </w:rPr>
            </w:pPr>
            <w:r>
              <w:rPr>
                <w:rFonts w:ascii="Arial Narrow" w:hAnsi="Arial Narrow"/>
                <w:sz w:val="20"/>
                <w:szCs w:val="20"/>
              </w:rPr>
              <w:t>n=38</w:t>
            </w:r>
          </w:p>
        </w:tc>
        <w:tc>
          <w:tcPr>
            <w:tcW w:w="700" w:type="pct"/>
            <w:tcBorders>
              <w:bottom w:val="nil"/>
            </w:tcBorders>
          </w:tcPr>
          <w:p w:rsidR="007070CB" w:rsidRDefault="006E2E62">
            <w:pPr>
              <w:keepNext/>
              <w:widowControl/>
              <w:adjustRightInd w:val="0"/>
              <w:ind w:left="-86" w:right="-91"/>
              <w:jc w:val="center"/>
              <w:rPr>
                <w:rFonts w:ascii="Arial Narrow" w:hAnsi="Arial Narrow"/>
                <w:sz w:val="20"/>
                <w:szCs w:val="20"/>
              </w:rPr>
            </w:pPr>
            <w:r>
              <w:rPr>
                <w:rFonts w:ascii="Arial Narrow" w:hAnsi="Arial Narrow"/>
                <w:sz w:val="20"/>
                <w:szCs w:val="20"/>
              </w:rPr>
              <w:t>n=57</w:t>
            </w:r>
          </w:p>
        </w:tc>
        <w:tc>
          <w:tcPr>
            <w:tcW w:w="810" w:type="pct"/>
            <w:tcBorders>
              <w:bottom w:val="nil"/>
            </w:tcBorders>
          </w:tcPr>
          <w:p w:rsidR="007070CB" w:rsidRDefault="006E2E62">
            <w:pPr>
              <w:pStyle w:val="TableText0"/>
              <w:spacing w:before="0" w:after="0"/>
              <w:ind w:left="-86" w:right="-91"/>
              <w:jc w:val="center"/>
            </w:pPr>
            <w:r>
              <w:t>N=103</w:t>
            </w:r>
          </w:p>
        </w:tc>
        <w:tc>
          <w:tcPr>
            <w:tcW w:w="697" w:type="pct"/>
            <w:tcBorders>
              <w:bottom w:val="nil"/>
            </w:tcBorders>
          </w:tcPr>
          <w:p w:rsidR="007070CB" w:rsidRDefault="006E2E62">
            <w:pPr>
              <w:pStyle w:val="TableText0"/>
              <w:spacing w:before="0" w:after="0"/>
              <w:ind w:left="-86" w:right="-91"/>
              <w:jc w:val="center"/>
            </w:pPr>
            <w:r>
              <w:t>NR</w:t>
            </w:r>
          </w:p>
        </w:tc>
      </w:tr>
      <w:tr w:rsidR="007070CB">
        <w:tc>
          <w:tcPr>
            <w:tcW w:w="1393" w:type="pct"/>
            <w:tcBorders>
              <w:top w:val="nil"/>
              <w:bottom w:val="single" w:sz="4" w:space="0" w:color="auto"/>
            </w:tcBorders>
          </w:tcPr>
          <w:p w:rsidR="007070CB" w:rsidRDefault="006E2E62">
            <w:pPr>
              <w:pStyle w:val="TableText0"/>
              <w:spacing w:before="0" w:after="0"/>
              <w:ind w:left="-67" w:right="-103"/>
            </w:pPr>
            <w:r>
              <w:rPr>
                <w:rFonts w:cs="Times New Roman"/>
              </w:rPr>
              <w:t>LS Mean</w:t>
            </w:r>
            <w:r>
              <w:rPr>
                <w:rFonts w:cs="Times New Roman"/>
                <w:vertAlign w:val="superscript"/>
              </w:rPr>
              <w:t>a</w:t>
            </w:r>
            <w:r>
              <w:rPr>
                <w:rFonts w:cs="Times New Roman"/>
              </w:rPr>
              <w:t xml:space="preserve"> (SE), units</w:t>
            </w:r>
          </w:p>
        </w:tc>
        <w:tc>
          <w:tcPr>
            <w:tcW w:w="700" w:type="pct"/>
            <w:tcBorders>
              <w:top w:val="nil"/>
              <w:bottom w:val="single" w:sz="4" w:space="0" w:color="auto"/>
            </w:tcBorders>
          </w:tcPr>
          <w:p w:rsidR="007070CB" w:rsidRDefault="006E2E62">
            <w:pPr>
              <w:keepNext/>
              <w:widowControl/>
              <w:adjustRightInd w:val="0"/>
              <w:ind w:left="-86" w:right="-91"/>
              <w:jc w:val="center"/>
              <w:rPr>
                <w:rFonts w:ascii="Arial Narrow" w:hAnsi="Arial Narrow"/>
                <w:sz w:val="20"/>
                <w:szCs w:val="20"/>
              </w:rPr>
            </w:pPr>
            <w:r>
              <w:rPr>
                <w:rFonts w:ascii="Arial Narrow" w:hAnsi="Arial Narrow"/>
                <w:sz w:val="20"/>
                <w:szCs w:val="20"/>
              </w:rPr>
              <w:t>0.19 (0.32)</w:t>
            </w:r>
          </w:p>
        </w:tc>
        <w:tc>
          <w:tcPr>
            <w:tcW w:w="700" w:type="pct"/>
            <w:tcBorders>
              <w:top w:val="nil"/>
              <w:bottom w:val="single" w:sz="4" w:space="0" w:color="auto"/>
            </w:tcBorders>
          </w:tcPr>
          <w:p w:rsidR="007070CB" w:rsidRDefault="006E2E62">
            <w:pPr>
              <w:keepNext/>
              <w:widowControl/>
              <w:adjustRightInd w:val="0"/>
              <w:ind w:left="-86" w:right="-91"/>
              <w:jc w:val="center"/>
              <w:rPr>
                <w:rFonts w:ascii="Arial Narrow" w:hAnsi="Arial Narrow"/>
                <w:sz w:val="20"/>
                <w:szCs w:val="20"/>
              </w:rPr>
            </w:pPr>
            <w:r>
              <w:rPr>
                <w:rFonts w:ascii="Arial Narrow" w:hAnsi="Arial Narrow"/>
                <w:sz w:val="20"/>
                <w:szCs w:val="20"/>
              </w:rPr>
              <w:t>0.04 (0.19)</w:t>
            </w:r>
          </w:p>
        </w:tc>
        <w:tc>
          <w:tcPr>
            <w:tcW w:w="700" w:type="pct"/>
            <w:tcBorders>
              <w:top w:val="nil"/>
              <w:bottom w:val="single" w:sz="4" w:space="0" w:color="auto"/>
            </w:tcBorders>
          </w:tcPr>
          <w:p w:rsidR="007070CB" w:rsidRDefault="006E2E62">
            <w:pPr>
              <w:keepNext/>
              <w:widowControl/>
              <w:adjustRightInd w:val="0"/>
              <w:ind w:left="-86" w:right="-91"/>
              <w:jc w:val="center"/>
              <w:rPr>
                <w:rFonts w:ascii="Arial Narrow" w:hAnsi="Arial Narrow"/>
                <w:sz w:val="20"/>
                <w:szCs w:val="20"/>
              </w:rPr>
            </w:pPr>
            <w:r>
              <w:rPr>
                <w:rFonts w:ascii="Arial Narrow" w:hAnsi="Arial Narrow"/>
                <w:sz w:val="20"/>
                <w:szCs w:val="20"/>
              </w:rPr>
              <w:t>0.09 (0.25)</w:t>
            </w:r>
          </w:p>
        </w:tc>
        <w:tc>
          <w:tcPr>
            <w:tcW w:w="810" w:type="pct"/>
            <w:tcBorders>
              <w:top w:val="nil"/>
              <w:bottom w:val="single" w:sz="4" w:space="0" w:color="auto"/>
            </w:tcBorders>
          </w:tcPr>
          <w:p w:rsidR="007070CB" w:rsidRDefault="006E2E62">
            <w:pPr>
              <w:keepNext/>
              <w:widowControl/>
              <w:adjustRightInd w:val="0"/>
              <w:ind w:left="-86" w:right="-91"/>
              <w:jc w:val="center"/>
              <w:rPr>
                <w:rFonts w:ascii="Arial Narrow" w:eastAsia="SimSun" w:hAnsi="Arial Narrow" w:cs="Arial Narrow"/>
                <w:sz w:val="20"/>
                <w:szCs w:val="20"/>
              </w:rPr>
            </w:pPr>
            <w:r>
              <w:rPr>
                <w:rFonts w:ascii="Arial Narrow" w:hAnsi="Arial Narrow"/>
                <w:sz w:val="20"/>
                <w:szCs w:val="20"/>
              </w:rPr>
              <w:t>0.03 (0.02)</w:t>
            </w:r>
          </w:p>
        </w:tc>
        <w:tc>
          <w:tcPr>
            <w:tcW w:w="697" w:type="pct"/>
            <w:tcBorders>
              <w:top w:val="nil"/>
              <w:bottom w:val="single" w:sz="4" w:space="0" w:color="auto"/>
            </w:tcBorders>
          </w:tcPr>
          <w:p w:rsidR="007070CB" w:rsidRDefault="007070CB">
            <w:pPr>
              <w:pStyle w:val="TableText0"/>
              <w:spacing w:before="0" w:after="0"/>
              <w:ind w:left="-86" w:right="-91"/>
              <w:jc w:val="center"/>
            </w:pPr>
          </w:p>
        </w:tc>
      </w:tr>
      <w:tr w:rsidR="007070CB">
        <w:tc>
          <w:tcPr>
            <w:tcW w:w="1393" w:type="pct"/>
            <w:tcBorders>
              <w:bottom w:val="nil"/>
            </w:tcBorders>
          </w:tcPr>
          <w:p w:rsidR="007070CB" w:rsidRDefault="006E2E62">
            <w:pPr>
              <w:pStyle w:val="TableText0"/>
              <w:spacing w:before="0" w:after="0"/>
              <w:ind w:left="-67" w:right="-103"/>
            </w:pPr>
            <w:r>
              <w:t>Stature</w:t>
            </w:r>
          </w:p>
        </w:tc>
        <w:tc>
          <w:tcPr>
            <w:tcW w:w="700" w:type="pct"/>
            <w:tcBorders>
              <w:bottom w:val="nil"/>
            </w:tcBorders>
          </w:tcPr>
          <w:p w:rsidR="007070CB" w:rsidRDefault="006E2E62">
            <w:pPr>
              <w:keepNext/>
              <w:widowControl/>
              <w:adjustRightInd w:val="0"/>
              <w:ind w:left="-86" w:right="-91"/>
              <w:jc w:val="center"/>
              <w:rPr>
                <w:rFonts w:ascii="Arial Narrow" w:hAnsi="Arial Narrow"/>
                <w:sz w:val="20"/>
                <w:szCs w:val="20"/>
              </w:rPr>
            </w:pPr>
            <w:r>
              <w:rPr>
                <w:rFonts w:ascii="Arial Narrow" w:hAnsi="Arial Narrow"/>
                <w:sz w:val="20"/>
                <w:szCs w:val="20"/>
              </w:rPr>
              <w:t>n=19</w:t>
            </w:r>
          </w:p>
        </w:tc>
        <w:tc>
          <w:tcPr>
            <w:tcW w:w="700" w:type="pct"/>
            <w:tcBorders>
              <w:bottom w:val="nil"/>
            </w:tcBorders>
          </w:tcPr>
          <w:p w:rsidR="007070CB" w:rsidRDefault="006E2E62">
            <w:pPr>
              <w:keepNext/>
              <w:widowControl/>
              <w:adjustRightInd w:val="0"/>
              <w:ind w:left="-86" w:right="-91"/>
              <w:jc w:val="center"/>
              <w:rPr>
                <w:rFonts w:ascii="Arial Narrow" w:hAnsi="Arial Narrow"/>
                <w:sz w:val="20"/>
                <w:szCs w:val="20"/>
              </w:rPr>
            </w:pPr>
            <w:r>
              <w:rPr>
                <w:rFonts w:ascii="Arial Narrow" w:hAnsi="Arial Narrow"/>
                <w:sz w:val="20"/>
                <w:szCs w:val="20"/>
              </w:rPr>
              <w:t>n=38</w:t>
            </w:r>
          </w:p>
        </w:tc>
        <w:tc>
          <w:tcPr>
            <w:tcW w:w="700" w:type="pct"/>
            <w:tcBorders>
              <w:bottom w:val="nil"/>
            </w:tcBorders>
          </w:tcPr>
          <w:p w:rsidR="007070CB" w:rsidRDefault="006E2E62">
            <w:pPr>
              <w:keepNext/>
              <w:widowControl/>
              <w:adjustRightInd w:val="0"/>
              <w:ind w:left="-86" w:right="-91"/>
              <w:jc w:val="center"/>
              <w:rPr>
                <w:rFonts w:ascii="Arial Narrow" w:hAnsi="Arial Narrow"/>
                <w:sz w:val="20"/>
                <w:szCs w:val="20"/>
              </w:rPr>
            </w:pPr>
            <w:r>
              <w:rPr>
                <w:rFonts w:ascii="Arial Narrow" w:hAnsi="Arial Narrow"/>
                <w:sz w:val="20"/>
                <w:szCs w:val="20"/>
              </w:rPr>
              <w:t>n=57</w:t>
            </w:r>
          </w:p>
        </w:tc>
        <w:tc>
          <w:tcPr>
            <w:tcW w:w="810" w:type="pct"/>
            <w:tcBorders>
              <w:bottom w:val="nil"/>
            </w:tcBorders>
          </w:tcPr>
          <w:p w:rsidR="007070CB" w:rsidRDefault="006E2E62">
            <w:pPr>
              <w:keepNext/>
              <w:widowControl/>
              <w:adjustRightInd w:val="0"/>
              <w:ind w:left="-86" w:right="-91"/>
              <w:jc w:val="center"/>
              <w:rPr>
                <w:rFonts w:ascii="Arial Narrow" w:hAnsi="Arial Narrow"/>
                <w:sz w:val="20"/>
                <w:szCs w:val="20"/>
              </w:rPr>
            </w:pPr>
            <w:r>
              <w:rPr>
                <w:rFonts w:ascii="Arial Narrow" w:hAnsi="Arial Narrow"/>
                <w:sz w:val="20"/>
                <w:szCs w:val="20"/>
              </w:rPr>
              <w:t>n=103</w:t>
            </w:r>
          </w:p>
        </w:tc>
        <w:tc>
          <w:tcPr>
            <w:tcW w:w="697" w:type="pct"/>
            <w:tcBorders>
              <w:bottom w:val="nil"/>
            </w:tcBorders>
          </w:tcPr>
          <w:p w:rsidR="007070CB" w:rsidRDefault="006E2E62">
            <w:pPr>
              <w:pStyle w:val="TableText0"/>
              <w:spacing w:before="0" w:after="0"/>
              <w:ind w:left="-86" w:right="-91"/>
              <w:jc w:val="center"/>
            </w:pPr>
            <w:r>
              <w:t>NR</w:t>
            </w:r>
          </w:p>
        </w:tc>
      </w:tr>
      <w:tr w:rsidR="007070CB">
        <w:tc>
          <w:tcPr>
            <w:tcW w:w="1393" w:type="pct"/>
            <w:tcBorders>
              <w:top w:val="nil"/>
              <w:bottom w:val="single" w:sz="4" w:space="0" w:color="auto"/>
            </w:tcBorders>
          </w:tcPr>
          <w:p w:rsidR="007070CB" w:rsidRDefault="006E2E62">
            <w:pPr>
              <w:pStyle w:val="TableText0"/>
              <w:spacing w:before="0" w:after="0"/>
              <w:ind w:left="-67" w:right="-103"/>
            </w:pPr>
            <w:r>
              <w:rPr>
                <w:rFonts w:cs="Times New Roman"/>
              </w:rPr>
              <w:t>LS Mean</w:t>
            </w:r>
            <w:r>
              <w:rPr>
                <w:rFonts w:cs="Times New Roman"/>
                <w:vertAlign w:val="superscript"/>
              </w:rPr>
              <w:t>a</w:t>
            </w:r>
            <w:r>
              <w:rPr>
                <w:rFonts w:cs="Times New Roman"/>
              </w:rPr>
              <w:t xml:space="preserve"> (SE), cm</w:t>
            </w:r>
          </w:p>
        </w:tc>
        <w:tc>
          <w:tcPr>
            <w:tcW w:w="700" w:type="pct"/>
            <w:tcBorders>
              <w:top w:val="nil"/>
              <w:bottom w:val="single" w:sz="4" w:space="0" w:color="auto"/>
            </w:tcBorders>
          </w:tcPr>
          <w:p w:rsidR="007070CB" w:rsidRDefault="006E2E62">
            <w:pPr>
              <w:keepNext/>
              <w:widowControl/>
              <w:adjustRightInd w:val="0"/>
              <w:ind w:left="-86" w:right="-91"/>
              <w:jc w:val="center"/>
              <w:rPr>
                <w:rFonts w:ascii="Arial Narrow" w:hAnsi="Arial Narrow"/>
                <w:sz w:val="20"/>
                <w:szCs w:val="20"/>
              </w:rPr>
            </w:pPr>
            <w:r>
              <w:rPr>
                <w:rFonts w:ascii="Arial Narrow" w:hAnsi="Arial Narrow"/>
                <w:sz w:val="20"/>
                <w:szCs w:val="20"/>
              </w:rPr>
              <w:t>4.1 (1.4)</w:t>
            </w:r>
          </w:p>
        </w:tc>
        <w:tc>
          <w:tcPr>
            <w:tcW w:w="700" w:type="pct"/>
            <w:tcBorders>
              <w:top w:val="nil"/>
              <w:bottom w:val="single" w:sz="4" w:space="0" w:color="auto"/>
            </w:tcBorders>
          </w:tcPr>
          <w:p w:rsidR="007070CB" w:rsidRDefault="006E2E62">
            <w:pPr>
              <w:keepNext/>
              <w:widowControl/>
              <w:adjustRightInd w:val="0"/>
              <w:ind w:left="-86" w:right="-91"/>
              <w:jc w:val="center"/>
              <w:rPr>
                <w:rFonts w:ascii="Arial Narrow" w:hAnsi="Arial Narrow"/>
                <w:sz w:val="20"/>
                <w:szCs w:val="20"/>
              </w:rPr>
            </w:pPr>
            <w:r>
              <w:rPr>
                <w:rFonts w:ascii="Arial Narrow" w:hAnsi="Arial Narrow"/>
                <w:sz w:val="20"/>
                <w:szCs w:val="20"/>
              </w:rPr>
              <w:t>3.4 (1.0)</w:t>
            </w:r>
          </w:p>
        </w:tc>
        <w:tc>
          <w:tcPr>
            <w:tcW w:w="700" w:type="pct"/>
            <w:tcBorders>
              <w:top w:val="nil"/>
              <w:bottom w:val="single" w:sz="4" w:space="0" w:color="auto"/>
            </w:tcBorders>
          </w:tcPr>
          <w:p w:rsidR="007070CB" w:rsidRDefault="006E2E62">
            <w:pPr>
              <w:keepNext/>
              <w:widowControl/>
              <w:adjustRightInd w:val="0"/>
              <w:ind w:left="-86" w:right="-91"/>
              <w:jc w:val="center"/>
              <w:rPr>
                <w:rFonts w:ascii="Arial Narrow" w:hAnsi="Arial Narrow"/>
                <w:sz w:val="20"/>
                <w:szCs w:val="20"/>
              </w:rPr>
            </w:pPr>
            <w:r>
              <w:rPr>
                <w:rFonts w:ascii="Arial Narrow" w:hAnsi="Arial Narrow"/>
                <w:sz w:val="20"/>
                <w:szCs w:val="20"/>
              </w:rPr>
              <w:t>3.6 (1.2)</w:t>
            </w:r>
          </w:p>
        </w:tc>
        <w:tc>
          <w:tcPr>
            <w:tcW w:w="810" w:type="pct"/>
            <w:tcBorders>
              <w:top w:val="nil"/>
              <w:bottom w:val="single" w:sz="4" w:space="0" w:color="auto"/>
            </w:tcBorders>
          </w:tcPr>
          <w:p w:rsidR="007070CB" w:rsidRDefault="006E2E62">
            <w:pPr>
              <w:pStyle w:val="TableText0"/>
              <w:spacing w:before="0" w:after="0"/>
              <w:ind w:left="-86" w:right="-91"/>
              <w:jc w:val="center"/>
            </w:pPr>
            <w:r>
              <w:t>2.9 (0.1)</w:t>
            </w:r>
          </w:p>
        </w:tc>
        <w:tc>
          <w:tcPr>
            <w:tcW w:w="697" w:type="pct"/>
            <w:tcBorders>
              <w:top w:val="nil"/>
              <w:bottom w:val="single" w:sz="4" w:space="0" w:color="auto"/>
            </w:tcBorders>
          </w:tcPr>
          <w:p w:rsidR="007070CB" w:rsidRDefault="007070CB">
            <w:pPr>
              <w:pStyle w:val="TableText0"/>
              <w:spacing w:before="0" w:after="0"/>
              <w:ind w:left="-86" w:right="-91"/>
              <w:jc w:val="center"/>
            </w:pPr>
          </w:p>
        </w:tc>
      </w:tr>
      <w:tr w:rsidR="007070CB">
        <w:tc>
          <w:tcPr>
            <w:tcW w:w="1393" w:type="pct"/>
            <w:tcBorders>
              <w:top w:val="single" w:sz="4" w:space="0" w:color="auto"/>
              <w:bottom w:val="nil"/>
            </w:tcBorders>
          </w:tcPr>
          <w:p w:rsidR="007070CB" w:rsidRDefault="006E2E62">
            <w:pPr>
              <w:pStyle w:val="TableText0"/>
              <w:spacing w:before="0" w:after="0"/>
              <w:ind w:left="-67" w:right="-103"/>
              <w:rPr>
                <w:rFonts w:cs="Times New Roman"/>
                <w:b/>
              </w:rPr>
            </w:pPr>
            <w:r>
              <w:rPr>
                <w:rFonts w:cs="Times New Roman"/>
                <w:b/>
              </w:rPr>
              <w:t>Pulmonary exacerbation</w:t>
            </w:r>
          </w:p>
        </w:tc>
        <w:tc>
          <w:tcPr>
            <w:tcW w:w="700" w:type="pct"/>
            <w:tcBorders>
              <w:top w:val="single" w:sz="4" w:space="0" w:color="auto"/>
              <w:bottom w:val="nil"/>
            </w:tcBorders>
          </w:tcPr>
          <w:p w:rsidR="007070CB" w:rsidRDefault="007070CB">
            <w:pPr>
              <w:keepNext/>
              <w:widowControl/>
              <w:adjustRightInd w:val="0"/>
              <w:ind w:left="-86" w:right="-91"/>
              <w:jc w:val="center"/>
              <w:rPr>
                <w:rFonts w:ascii="Arial Narrow" w:hAnsi="Arial Narrow"/>
                <w:sz w:val="20"/>
                <w:szCs w:val="20"/>
              </w:rPr>
            </w:pPr>
          </w:p>
        </w:tc>
        <w:tc>
          <w:tcPr>
            <w:tcW w:w="700" w:type="pct"/>
            <w:tcBorders>
              <w:top w:val="single" w:sz="4" w:space="0" w:color="auto"/>
              <w:bottom w:val="nil"/>
            </w:tcBorders>
          </w:tcPr>
          <w:p w:rsidR="007070CB" w:rsidRDefault="007070CB">
            <w:pPr>
              <w:keepNext/>
              <w:widowControl/>
              <w:adjustRightInd w:val="0"/>
              <w:ind w:left="-86" w:right="-91"/>
              <w:jc w:val="center"/>
              <w:rPr>
                <w:rFonts w:ascii="Arial Narrow" w:hAnsi="Arial Narrow"/>
                <w:sz w:val="20"/>
                <w:szCs w:val="20"/>
              </w:rPr>
            </w:pPr>
          </w:p>
        </w:tc>
        <w:tc>
          <w:tcPr>
            <w:tcW w:w="700" w:type="pct"/>
            <w:tcBorders>
              <w:top w:val="single" w:sz="4" w:space="0" w:color="auto"/>
              <w:bottom w:val="nil"/>
            </w:tcBorders>
          </w:tcPr>
          <w:p w:rsidR="007070CB" w:rsidRDefault="007070CB">
            <w:pPr>
              <w:keepNext/>
              <w:widowControl/>
              <w:adjustRightInd w:val="0"/>
              <w:ind w:left="-86" w:right="-91"/>
              <w:jc w:val="center"/>
              <w:rPr>
                <w:rFonts w:ascii="Arial Narrow" w:hAnsi="Arial Narrow"/>
                <w:sz w:val="20"/>
                <w:szCs w:val="20"/>
              </w:rPr>
            </w:pPr>
          </w:p>
        </w:tc>
        <w:tc>
          <w:tcPr>
            <w:tcW w:w="810" w:type="pct"/>
            <w:tcBorders>
              <w:top w:val="single" w:sz="4" w:space="0" w:color="auto"/>
              <w:bottom w:val="nil"/>
            </w:tcBorders>
          </w:tcPr>
          <w:p w:rsidR="007070CB" w:rsidRDefault="007070CB">
            <w:pPr>
              <w:pStyle w:val="TableText0"/>
              <w:spacing w:before="0" w:after="0"/>
              <w:ind w:left="-86" w:right="-91"/>
              <w:jc w:val="center"/>
            </w:pPr>
          </w:p>
        </w:tc>
        <w:tc>
          <w:tcPr>
            <w:tcW w:w="697" w:type="pct"/>
            <w:tcBorders>
              <w:top w:val="single" w:sz="4" w:space="0" w:color="auto"/>
              <w:bottom w:val="nil"/>
            </w:tcBorders>
          </w:tcPr>
          <w:p w:rsidR="007070CB" w:rsidRDefault="007070CB">
            <w:pPr>
              <w:pStyle w:val="TableText0"/>
              <w:spacing w:before="0" w:after="0"/>
              <w:ind w:left="-86" w:right="-91"/>
              <w:jc w:val="center"/>
            </w:pPr>
          </w:p>
        </w:tc>
      </w:tr>
      <w:tr w:rsidR="007070CB">
        <w:tc>
          <w:tcPr>
            <w:tcW w:w="1393" w:type="pct"/>
            <w:tcBorders>
              <w:top w:val="nil"/>
              <w:bottom w:val="nil"/>
            </w:tcBorders>
          </w:tcPr>
          <w:p w:rsidR="007070CB" w:rsidRDefault="006E2E62">
            <w:pPr>
              <w:pStyle w:val="TableText0"/>
              <w:spacing w:before="0" w:after="0"/>
              <w:ind w:left="-67" w:right="-103"/>
              <w:rPr>
                <w:rFonts w:cs="Times New Roman"/>
              </w:rPr>
            </w:pPr>
            <w:r>
              <w:t>Event rate per pt year, Mean (SD)</w:t>
            </w:r>
          </w:p>
        </w:tc>
        <w:tc>
          <w:tcPr>
            <w:tcW w:w="700" w:type="pct"/>
            <w:tcBorders>
              <w:top w:val="nil"/>
              <w:bottom w:val="nil"/>
            </w:tcBorders>
          </w:tcPr>
          <w:p w:rsidR="007070CB" w:rsidRDefault="006E2E62">
            <w:pPr>
              <w:keepNext/>
              <w:widowControl/>
              <w:adjustRightInd w:val="0"/>
              <w:ind w:left="-86" w:right="-91"/>
              <w:jc w:val="center"/>
              <w:rPr>
                <w:rFonts w:ascii="Arial Narrow" w:hAnsi="Arial Narrow"/>
                <w:sz w:val="20"/>
                <w:szCs w:val="20"/>
              </w:rPr>
            </w:pPr>
            <w:r>
              <w:rPr>
                <w:rFonts w:ascii="Arial Narrow" w:hAnsi="Arial Narrow"/>
                <w:sz w:val="20"/>
                <w:szCs w:val="20"/>
              </w:rPr>
              <w:t>0.54 (1.51)</w:t>
            </w:r>
          </w:p>
        </w:tc>
        <w:tc>
          <w:tcPr>
            <w:tcW w:w="700" w:type="pct"/>
            <w:tcBorders>
              <w:top w:val="nil"/>
              <w:bottom w:val="nil"/>
            </w:tcBorders>
          </w:tcPr>
          <w:p w:rsidR="007070CB" w:rsidRDefault="006E2E62">
            <w:pPr>
              <w:keepNext/>
              <w:widowControl/>
              <w:adjustRightInd w:val="0"/>
              <w:ind w:left="-86" w:right="-91"/>
              <w:jc w:val="center"/>
              <w:rPr>
                <w:rFonts w:ascii="Arial Narrow" w:hAnsi="Arial Narrow"/>
                <w:sz w:val="20"/>
                <w:szCs w:val="20"/>
              </w:rPr>
            </w:pPr>
            <w:r>
              <w:rPr>
                <w:rFonts w:ascii="Arial Narrow" w:hAnsi="Arial Narrow"/>
                <w:sz w:val="20"/>
                <w:szCs w:val="20"/>
              </w:rPr>
              <w:t>1.07 (1.77)</w:t>
            </w:r>
          </w:p>
        </w:tc>
        <w:tc>
          <w:tcPr>
            <w:tcW w:w="700" w:type="pct"/>
            <w:tcBorders>
              <w:top w:val="nil"/>
              <w:bottom w:val="nil"/>
            </w:tcBorders>
          </w:tcPr>
          <w:p w:rsidR="007070CB" w:rsidRDefault="006E2E62">
            <w:pPr>
              <w:keepNext/>
              <w:widowControl/>
              <w:adjustRightInd w:val="0"/>
              <w:ind w:left="-86" w:right="-91"/>
              <w:jc w:val="center"/>
              <w:rPr>
                <w:rFonts w:ascii="Arial Narrow" w:hAnsi="Arial Narrow"/>
                <w:sz w:val="20"/>
                <w:szCs w:val="20"/>
              </w:rPr>
            </w:pPr>
            <w:r>
              <w:rPr>
                <w:rFonts w:ascii="Arial Narrow" w:hAnsi="Arial Narrow"/>
                <w:sz w:val="20"/>
                <w:szCs w:val="20"/>
              </w:rPr>
              <w:t>0.90 (1.70)</w:t>
            </w:r>
          </w:p>
        </w:tc>
        <w:tc>
          <w:tcPr>
            <w:tcW w:w="810" w:type="pct"/>
            <w:tcBorders>
              <w:top w:val="nil"/>
              <w:bottom w:val="nil"/>
            </w:tcBorders>
          </w:tcPr>
          <w:p w:rsidR="007070CB" w:rsidRDefault="006E2E62">
            <w:pPr>
              <w:pStyle w:val="TableText0"/>
              <w:spacing w:before="0" w:after="0"/>
              <w:ind w:left="-86" w:right="-91"/>
              <w:jc w:val="center"/>
            </w:pPr>
            <w:r>
              <w:t>NR</w:t>
            </w:r>
          </w:p>
        </w:tc>
        <w:tc>
          <w:tcPr>
            <w:tcW w:w="697" w:type="pct"/>
            <w:tcBorders>
              <w:top w:val="nil"/>
              <w:bottom w:val="nil"/>
            </w:tcBorders>
          </w:tcPr>
          <w:p w:rsidR="007070CB" w:rsidRDefault="006E2E62">
            <w:pPr>
              <w:pStyle w:val="TableText0"/>
              <w:spacing w:before="0" w:after="0"/>
              <w:ind w:left="-86" w:right="-91"/>
              <w:jc w:val="center"/>
            </w:pPr>
            <w:r>
              <w:t>NR</w:t>
            </w:r>
          </w:p>
        </w:tc>
      </w:tr>
      <w:tr w:rsidR="007070CB">
        <w:tc>
          <w:tcPr>
            <w:tcW w:w="1393" w:type="pct"/>
            <w:tcBorders>
              <w:top w:val="nil"/>
              <w:bottom w:val="nil"/>
            </w:tcBorders>
          </w:tcPr>
          <w:p w:rsidR="007070CB" w:rsidRDefault="006E2E62">
            <w:pPr>
              <w:pStyle w:val="TableText0"/>
              <w:spacing w:before="0" w:after="0"/>
              <w:ind w:left="-67" w:right="-103"/>
              <w:rPr>
                <w:rFonts w:cs="Times New Roman"/>
              </w:rPr>
            </w:pPr>
            <w:r>
              <w:t>Patients with events, n (%)</w:t>
            </w:r>
          </w:p>
        </w:tc>
        <w:tc>
          <w:tcPr>
            <w:tcW w:w="700" w:type="pct"/>
            <w:tcBorders>
              <w:top w:val="nil"/>
              <w:bottom w:val="nil"/>
            </w:tcBorders>
          </w:tcPr>
          <w:p w:rsidR="007070CB" w:rsidRDefault="006E2E62">
            <w:pPr>
              <w:pStyle w:val="TableText0"/>
              <w:spacing w:before="0" w:after="0"/>
              <w:ind w:left="-86" w:right="-91"/>
              <w:jc w:val="center"/>
            </w:pPr>
            <w:r>
              <w:t>3 (16)</w:t>
            </w:r>
          </w:p>
        </w:tc>
        <w:tc>
          <w:tcPr>
            <w:tcW w:w="700" w:type="pct"/>
            <w:tcBorders>
              <w:top w:val="nil"/>
              <w:bottom w:val="nil"/>
            </w:tcBorders>
          </w:tcPr>
          <w:p w:rsidR="007070CB" w:rsidRDefault="006E2E62">
            <w:pPr>
              <w:pStyle w:val="TableText0"/>
              <w:spacing w:before="0" w:after="0"/>
              <w:ind w:left="-86" w:right="-91"/>
              <w:jc w:val="center"/>
            </w:pPr>
            <w:r>
              <w:t>15 (37)</w:t>
            </w:r>
          </w:p>
        </w:tc>
        <w:tc>
          <w:tcPr>
            <w:tcW w:w="700" w:type="pct"/>
            <w:tcBorders>
              <w:top w:val="nil"/>
              <w:bottom w:val="nil"/>
            </w:tcBorders>
          </w:tcPr>
          <w:p w:rsidR="007070CB" w:rsidRDefault="006E2E62">
            <w:pPr>
              <w:pStyle w:val="TableText0"/>
              <w:spacing w:before="0" w:after="0"/>
              <w:ind w:left="-86" w:right="-91"/>
              <w:jc w:val="center"/>
            </w:pPr>
            <w:r>
              <w:t>18 (30)</w:t>
            </w:r>
          </w:p>
        </w:tc>
        <w:tc>
          <w:tcPr>
            <w:tcW w:w="810" w:type="pct"/>
            <w:tcBorders>
              <w:top w:val="nil"/>
              <w:bottom w:val="nil"/>
            </w:tcBorders>
          </w:tcPr>
          <w:p w:rsidR="007070CB" w:rsidRDefault="006E2E62">
            <w:pPr>
              <w:pStyle w:val="TableText0"/>
              <w:spacing w:before="0" w:after="0"/>
              <w:ind w:left="-86" w:right="-91"/>
              <w:jc w:val="center"/>
            </w:pPr>
            <w:r>
              <w:t>20 (19)</w:t>
            </w:r>
          </w:p>
        </w:tc>
        <w:tc>
          <w:tcPr>
            <w:tcW w:w="697" w:type="pct"/>
            <w:tcBorders>
              <w:top w:val="nil"/>
              <w:bottom w:val="nil"/>
            </w:tcBorders>
          </w:tcPr>
          <w:p w:rsidR="007070CB" w:rsidRDefault="006E2E62">
            <w:pPr>
              <w:pStyle w:val="TableText0"/>
              <w:spacing w:before="0" w:after="0"/>
              <w:ind w:left="-86" w:right="-91"/>
              <w:jc w:val="center"/>
            </w:pPr>
            <w:r>
              <w:t>NR</w:t>
            </w:r>
          </w:p>
        </w:tc>
      </w:tr>
      <w:tr w:rsidR="007070CB">
        <w:tc>
          <w:tcPr>
            <w:tcW w:w="1393" w:type="pct"/>
            <w:tcBorders>
              <w:top w:val="nil"/>
              <w:bottom w:val="nil"/>
            </w:tcBorders>
          </w:tcPr>
          <w:p w:rsidR="007070CB" w:rsidRDefault="006E2E62">
            <w:pPr>
              <w:pStyle w:val="TableText0"/>
              <w:spacing w:before="0" w:after="0"/>
              <w:ind w:left="-67" w:right="-103"/>
              <w:rPr>
                <w:rFonts w:cs="Times New Roman"/>
              </w:rPr>
            </w:pPr>
            <w:r>
              <w:t>Events, n</w:t>
            </w:r>
          </w:p>
        </w:tc>
        <w:tc>
          <w:tcPr>
            <w:tcW w:w="700" w:type="pct"/>
            <w:tcBorders>
              <w:top w:val="nil"/>
              <w:bottom w:val="nil"/>
            </w:tcBorders>
          </w:tcPr>
          <w:p w:rsidR="007070CB" w:rsidRDefault="006E2E62">
            <w:pPr>
              <w:pStyle w:val="TableText0"/>
              <w:spacing w:before="0" w:after="0"/>
              <w:ind w:left="-86" w:right="-91"/>
              <w:jc w:val="center"/>
            </w:pPr>
            <w:r>
              <w:t>5</w:t>
            </w:r>
          </w:p>
        </w:tc>
        <w:tc>
          <w:tcPr>
            <w:tcW w:w="700" w:type="pct"/>
            <w:tcBorders>
              <w:top w:val="nil"/>
              <w:bottom w:val="nil"/>
            </w:tcBorders>
          </w:tcPr>
          <w:p w:rsidR="007070CB" w:rsidRDefault="006E2E62">
            <w:pPr>
              <w:pStyle w:val="TableText0"/>
              <w:spacing w:before="0" w:after="0"/>
              <w:ind w:left="-86" w:right="-91"/>
              <w:jc w:val="center"/>
            </w:pPr>
            <w:r>
              <w:t>20</w:t>
            </w:r>
          </w:p>
        </w:tc>
        <w:tc>
          <w:tcPr>
            <w:tcW w:w="700" w:type="pct"/>
            <w:tcBorders>
              <w:top w:val="nil"/>
              <w:bottom w:val="nil"/>
            </w:tcBorders>
          </w:tcPr>
          <w:p w:rsidR="007070CB" w:rsidRDefault="006E2E62">
            <w:pPr>
              <w:pStyle w:val="TableText0"/>
              <w:spacing w:before="0" w:after="0"/>
              <w:ind w:left="-86" w:right="-91"/>
              <w:jc w:val="center"/>
            </w:pPr>
            <w:r>
              <w:t>25</w:t>
            </w:r>
          </w:p>
        </w:tc>
        <w:tc>
          <w:tcPr>
            <w:tcW w:w="810" w:type="pct"/>
            <w:tcBorders>
              <w:top w:val="nil"/>
              <w:bottom w:val="nil"/>
            </w:tcBorders>
          </w:tcPr>
          <w:p w:rsidR="007070CB" w:rsidRDefault="006E2E62">
            <w:pPr>
              <w:pStyle w:val="TableText0"/>
              <w:spacing w:before="0" w:after="0"/>
              <w:ind w:left="-86" w:right="-91"/>
              <w:jc w:val="center"/>
            </w:pPr>
            <w:r>
              <w:t>24</w:t>
            </w:r>
          </w:p>
        </w:tc>
        <w:tc>
          <w:tcPr>
            <w:tcW w:w="697" w:type="pct"/>
            <w:tcBorders>
              <w:top w:val="nil"/>
              <w:bottom w:val="nil"/>
            </w:tcBorders>
          </w:tcPr>
          <w:p w:rsidR="007070CB" w:rsidRDefault="006E2E62">
            <w:pPr>
              <w:pStyle w:val="TableText0"/>
              <w:spacing w:before="0" w:after="0"/>
              <w:ind w:left="-86" w:right="-91"/>
              <w:jc w:val="center"/>
            </w:pPr>
            <w:r>
              <w:t>152</w:t>
            </w:r>
          </w:p>
        </w:tc>
      </w:tr>
      <w:tr w:rsidR="007070CB">
        <w:tc>
          <w:tcPr>
            <w:tcW w:w="1393" w:type="pct"/>
            <w:tcBorders>
              <w:top w:val="nil"/>
            </w:tcBorders>
          </w:tcPr>
          <w:p w:rsidR="007070CB" w:rsidRDefault="006E2E62">
            <w:pPr>
              <w:pStyle w:val="TableText0"/>
              <w:spacing w:before="0" w:after="0"/>
              <w:ind w:left="-67" w:right="-103"/>
              <w:rPr>
                <w:rFonts w:cs="Times New Roman"/>
              </w:rPr>
            </w:pPr>
            <w:r>
              <w:t>Events per person</w:t>
            </w:r>
          </w:p>
        </w:tc>
        <w:tc>
          <w:tcPr>
            <w:tcW w:w="700" w:type="pct"/>
            <w:tcBorders>
              <w:top w:val="nil"/>
            </w:tcBorders>
            <w:vAlign w:val="bottom"/>
          </w:tcPr>
          <w:p w:rsidR="007070CB" w:rsidRDefault="006E2E62">
            <w:pPr>
              <w:pStyle w:val="TableText0"/>
              <w:spacing w:before="0" w:after="0"/>
              <w:ind w:left="-86" w:right="-91"/>
              <w:jc w:val="center"/>
            </w:pPr>
            <w:r>
              <w:t>1.67</w:t>
            </w:r>
          </w:p>
        </w:tc>
        <w:tc>
          <w:tcPr>
            <w:tcW w:w="700" w:type="pct"/>
            <w:tcBorders>
              <w:top w:val="nil"/>
            </w:tcBorders>
            <w:vAlign w:val="bottom"/>
          </w:tcPr>
          <w:p w:rsidR="007070CB" w:rsidRDefault="006E2E62">
            <w:pPr>
              <w:pStyle w:val="TableText0"/>
              <w:spacing w:before="0" w:after="0"/>
              <w:ind w:left="-86" w:right="-91"/>
              <w:jc w:val="center"/>
            </w:pPr>
            <w:r>
              <w:t>1.33</w:t>
            </w:r>
          </w:p>
        </w:tc>
        <w:tc>
          <w:tcPr>
            <w:tcW w:w="700" w:type="pct"/>
            <w:tcBorders>
              <w:top w:val="nil"/>
            </w:tcBorders>
            <w:vAlign w:val="bottom"/>
          </w:tcPr>
          <w:p w:rsidR="007070CB" w:rsidRDefault="006E2E62">
            <w:pPr>
              <w:pStyle w:val="TableText0"/>
              <w:spacing w:before="0" w:after="0"/>
              <w:ind w:left="-86" w:right="-91"/>
              <w:jc w:val="center"/>
            </w:pPr>
            <w:r>
              <w:t>1.39</w:t>
            </w:r>
          </w:p>
        </w:tc>
        <w:tc>
          <w:tcPr>
            <w:tcW w:w="810" w:type="pct"/>
            <w:tcBorders>
              <w:top w:val="nil"/>
            </w:tcBorders>
            <w:vAlign w:val="bottom"/>
          </w:tcPr>
          <w:p w:rsidR="007070CB" w:rsidRDefault="006E2E62">
            <w:pPr>
              <w:pStyle w:val="TableText0"/>
              <w:spacing w:before="0" w:after="0"/>
              <w:ind w:left="-86" w:right="-91"/>
              <w:jc w:val="center"/>
            </w:pPr>
            <w:r>
              <w:t>1.20</w:t>
            </w:r>
          </w:p>
        </w:tc>
        <w:tc>
          <w:tcPr>
            <w:tcW w:w="697" w:type="pct"/>
            <w:tcBorders>
              <w:top w:val="nil"/>
            </w:tcBorders>
          </w:tcPr>
          <w:p w:rsidR="007070CB" w:rsidRDefault="006E2E62">
            <w:pPr>
              <w:pStyle w:val="TableText0"/>
              <w:spacing w:before="0" w:after="0"/>
              <w:ind w:left="-86" w:right="-91"/>
              <w:jc w:val="center"/>
            </w:pPr>
            <w:r>
              <w:t>NR</w:t>
            </w:r>
          </w:p>
        </w:tc>
      </w:tr>
    </w:tbl>
    <w:p w:rsidR="007070CB" w:rsidRDefault="006E2E62">
      <w:pPr>
        <w:pStyle w:val="TableFooter"/>
        <w:keepNext/>
        <w:widowControl/>
      </w:pPr>
      <w:r>
        <w:t>Source: Study 115: Table 2.5.2 p78, Table 2.5.1 p76, Table 2.5.3 p79, Table 2.5.4 p80-81, Table 2.5.5 p83, Table 2.5.6 p85 of the submission; Study 109: Lumacaftor/ivacaftor (6-11 y), PSD July 2018 Table 5, Table 6: Lumacaftor/ivacaftor (6-11 y) COM Table 2.5.3, Table 2.5.10, Table 2.5.11, Table 2.5.12; TRAFFIC/TRANSPORT and PROGRESS: Lumacaftor/ivacaftor, PSD March 2016 Table 4, Table 5; Lumacaftor/ivacaftor, PSD July 2017 Table 5, Table 7, Table 9; 5.04 lumacaftor/ivacaftor COM Table B.6.4, Table B.6.5; Lumacaftor/ivacaftor (6-11 y), July 2018 COM; Lumacaftor/ivacaftor March 2016 COM.</w:t>
      </w:r>
    </w:p>
    <w:p w:rsidR="007070CB" w:rsidRDefault="006E2E62">
      <w:pPr>
        <w:pStyle w:val="TableFooter"/>
        <w:widowControl/>
      </w:pPr>
      <w:r>
        <w:t>Abbreviations: BMI = body mass index; BSC=best supportive care; CF=cystic fibrosis; CFTR=cystic fibrosis transmembrane conductance regulator; CI = confidence interval; FEV=forced expiratory volume; LCI = lung clearance index; LCI</w:t>
      </w:r>
      <w:r>
        <w:rPr>
          <w:vertAlign w:val="subscript"/>
        </w:rPr>
        <w:t>2.5</w:t>
      </w:r>
      <w:r>
        <w:t>=lung clearance index at 2.5% of starting concentration; LCI</w:t>
      </w:r>
      <w:r>
        <w:rPr>
          <w:vertAlign w:val="subscript"/>
        </w:rPr>
        <w:t>5.0</w:t>
      </w:r>
      <w:r>
        <w:t>=lung clearance index at 5.0% of starting concentration; L/I = lumacaftor/ivacaftor; LS = least squares; NR = not reported; PBO = placebo; PEx = Pulmonary exacerbation; ppFEV</w:t>
      </w:r>
      <w:r>
        <w:rPr>
          <w:vertAlign w:val="subscript"/>
        </w:rPr>
        <w:t>1</w:t>
      </w:r>
      <w:r>
        <w:t>= percent predicted forced expiratory volume in one second; SD = standard deviation; SE = standard error.</w:t>
      </w:r>
    </w:p>
    <w:p w:rsidR="007070CB" w:rsidRDefault="006E2E62">
      <w:pPr>
        <w:pStyle w:val="TableFooter"/>
        <w:widowControl/>
      </w:pPr>
      <w:r>
        <w:t>a LS Mean values reported show the change from baseline to 24 weeks.</w:t>
      </w:r>
    </w:p>
    <w:p w:rsidR="007070CB" w:rsidRDefault="007070CB">
      <w:pPr>
        <w:pStyle w:val="TableFooter"/>
        <w:widowControl/>
      </w:pPr>
    </w:p>
    <w:p w:rsidR="007070CB" w:rsidRDefault="006E2E62">
      <w:pPr>
        <w:widowControl/>
        <w:numPr>
          <w:ilvl w:val="1"/>
          <w:numId w:val="1"/>
        </w:numPr>
        <w:spacing w:after="160"/>
      </w:pPr>
      <w:r>
        <w:lastRenderedPageBreak/>
        <w:t>The PSCR</w:t>
      </w:r>
      <w:r w:rsidR="00FE7D84">
        <w:t xml:space="preserve"> </w:t>
      </w:r>
      <w:r>
        <w:t>stated that the main objective of treatment is to minimise the rate of lung function deterioration. In patients aged 12 years and older, treatment with lumacaftor/ivacaftor resulted in a 42% reduction in the rate of ppFEV1 decline over 96 weeks, compared with a matched control group (Konstan et al 2017). The PSCR stated that, when stratified by age, there was a 45% reduction for 12 to 17‐year old patients, and a 41% reduction for ≥18‐year old patients. While the PSCR acknowledged that the decline in the older cohort is not directly applicable to the younger cohort, the PSCR suggested that this evidence suggests that the longer-term impact of slowing the decline in FEV</w:t>
      </w:r>
      <w:r>
        <w:rPr>
          <w:vertAlign w:val="subscript"/>
        </w:rPr>
        <w:t>1</w:t>
      </w:r>
      <w:r>
        <w:t xml:space="preserve"> is consistent across age groups and that treating patients early before significant structural damage occurs may yield improved long-term benefits with lumacaftor/ivacaftor [compared with treatment onset from 6 years of age]. </w:t>
      </w:r>
    </w:p>
    <w:p w:rsidR="007070CB" w:rsidRDefault="006E2E62">
      <w:pPr>
        <w:pStyle w:val="Heading2"/>
        <w:keepNext w:val="0"/>
      </w:pPr>
      <w:bookmarkStart w:id="19" w:name="_Toc6931321"/>
      <w:bookmarkStart w:id="20" w:name="_Toc9335659"/>
      <w:r>
        <w:t>Comparative harms</w:t>
      </w:r>
      <w:bookmarkEnd w:id="19"/>
      <w:bookmarkEnd w:id="20"/>
    </w:p>
    <w:p w:rsidR="007070CB" w:rsidRDefault="006E2E62">
      <w:pPr>
        <w:widowControl/>
        <w:numPr>
          <w:ilvl w:val="1"/>
          <w:numId w:val="1"/>
        </w:numPr>
        <w:spacing w:after="160"/>
      </w:pPr>
      <w:r>
        <w:t xml:space="preserve">The submission did not present a comparison of safety outcomes for lumacaftor/ivacaftor + BSC versus BSC. </w:t>
      </w:r>
    </w:p>
    <w:p w:rsidR="007070CB" w:rsidRDefault="006E2E62">
      <w:pPr>
        <w:pStyle w:val="ListParagraph"/>
        <w:widowControl/>
        <w:numPr>
          <w:ilvl w:val="1"/>
          <w:numId w:val="1"/>
        </w:numPr>
      </w:pPr>
      <w:r>
        <w:t xml:space="preserve">A summary of the AEs for lumacaftor/ivacaftor is presented in </w:t>
      </w:r>
      <w:r>
        <w:rPr>
          <w:rFonts w:asciiTheme="minorHAnsi" w:hAnsiTheme="minorHAnsi" w:cstheme="minorHAnsi"/>
          <w:szCs w:val="24"/>
        </w:rPr>
        <w:t>Table 7</w:t>
      </w:r>
      <w:r>
        <w:t>. In Part B of Study 115, the majority of patients had AEs that were considered mild (48.3%) or moderate (41.7%) in severity. Three (5.0%) patients had at least one AE that led to lumacaftor/ivacaftor discontinuation (elevated transaminases, n=3). Three (5.0%) patients had at least one AE that led to lumacaftor/ivacaftor interruption (elevated transaminases, n=2; constipation, n=1). Four (6.7%) patients had SAEs (infective PEx of CF, n=2; gastroenteritis viral, n=1; constipation, n=1). The most common AEs were cough (63.3%), vomiting and pyrexia (28.3% each), rhinorrhoea (25.0%), nasal congestion and upper respiratory tract infection (16.7% each), increased ALT (13.3%), ear infection and constipation (11.7% each), and diarrhoea and increased AST (10.0% each).</w:t>
      </w:r>
    </w:p>
    <w:p w:rsidR="007070CB" w:rsidRDefault="006E2E62">
      <w:pPr>
        <w:widowControl/>
        <w:jc w:val="left"/>
        <w:rPr>
          <w:rFonts w:ascii="Arial Narrow" w:hAnsi="Arial Narrow"/>
          <w:b/>
          <w:bCs/>
          <w:sz w:val="20"/>
          <w:szCs w:val="20"/>
        </w:rPr>
      </w:pPr>
      <w:bookmarkStart w:id="21" w:name="_Ref6855956"/>
      <w:r>
        <w:rPr>
          <w:rFonts w:ascii="Arial Narrow" w:hAnsi="Arial Narrow"/>
          <w:b/>
          <w:bCs/>
          <w:sz w:val="20"/>
          <w:szCs w:val="20"/>
        </w:rPr>
        <w:br w:type="page"/>
      </w:r>
    </w:p>
    <w:bookmarkEnd w:id="21"/>
    <w:p w:rsidR="00FE09CF" w:rsidRDefault="00FE09CF" w:rsidP="00FE09CF">
      <w:pPr>
        <w:pStyle w:val="PBACTableText"/>
      </w:pPr>
      <w:r>
        <w:lastRenderedPageBreak/>
        <w:t xml:space="preserve">Table </w:t>
      </w:r>
      <w:r w:rsidR="00AF1977">
        <w:rPr>
          <w:noProof/>
        </w:rPr>
        <w:t>7</w:t>
      </w:r>
      <w:r w:rsidRPr="00B03430">
        <w:t>: Summary of key adverse events in Study 115</w:t>
      </w:r>
    </w:p>
    <w:tbl>
      <w:tblPr>
        <w:tblStyle w:val="HTATableshaded"/>
        <w:tblW w:w="5000" w:type="pct"/>
        <w:tblInd w:w="-5" w:type="dxa"/>
        <w:tblLayout w:type="fixed"/>
        <w:tblLook w:val="04A0" w:firstRow="1" w:lastRow="0" w:firstColumn="1" w:lastColumn="0" w:noHBand="0" w:noVBand="1"/>
        <w:tblCaption w:val="Table 7: Summary of key adverse events in Study 115"/>
      </w:tblPr>
      <w:tblGrid>
        <w:gridCol w:w="1843"/>
        <w:gridCol w:w="1195"/>
        <w:gridCol w:w="1196"/>
        <w:gridCol w:w="1196"/>
        <w:gridCol w:w="1195"/>
        <w:gridCol w:w="1196"/>
        <w:gridCol w:w="1196"/>
      </w:tblGrid>
      <w:tr w:rsidR="007070CB" w:rsidTr="007070CB">
        <w:trPr>
          <w:cnfStyle w:val="100000000000" w:firstRow="1" w:lastRow="0" w:firstColumn="0" w:lastColumn="0" w:oddVBand="0" w:evenVBand="0" w:oddHBand="0" w:evenHBand="0" w:firstRowFirstColumn="0" w:firstRowLastColumn="0" w:lastRowFirstColumn="0" w:lastRowLastColumn="0"/>
          <w:tblHeader/>
        </w:trPr>
        <w:tc>
          <w:tcPr>
            <w:tcW w:w="1843" w:type="dxa"/>
            <w:vMerge w:val="restart"/>
            <w:shd w:val="clear" w:color="auto" w:fill="auto"/>
          </w:tcPr>
          <w:p w:rsidR="007070CB" w:rsidRDefault="007070CB">
            <w:pPr>
              <w:pStyle w:val="TableH1"/>
              <w:keepNext w:val="0"/>
              <w:spacing w:before="0" w:after="0"/>
            </w:pPr>
          </w:p>
        </w:tc>
        <w:tc>
          <w:tcPr>
            <w:tcW w:w="3587" w:type="dxa"/>
            <w:gridSpan w:val="3"/>
            <w:shd w:val="clear" w:color="auto" w:fill="auto"/>
          </w:tcPr>
          <w:p w:rsidR="007070CB" w:rsidRDefault="006E2E62">
            <w:pPr>
              <w:pStyle w:val="Tabletext"/>
              <w:tabs>
                <w:tab w:val="left" w:pos="964"/>
              </w:tabs>
              <w:spacing w:before="0" w:after="0"/>
              <w:ind w:left="-100"/>
              <w:jc w:val="center"/>
              <w:rPr>
                <w:b/>
              </w:rPr>
            </w:pPr>
            <w:r>
              <w:rPr>
                <w:b/>
              </w:rPr>
              <w:t>Part A (15 days)</w:t>
            </w:r>
          </w:p>
        </w:tc>
        <w:tc>
          <w:tcPr>
            <w:tcW w:w="3587" w:type="dxa"/>
            <w:gridSpan w:val="3"/>
            <w:shd w:val="clear" w:color="auto" w:fill="auto"/>
          </w:tcPr>
          <w:p w:rsidR="007070CB" w:rsidRDefault="006E2E62">
            <w:pPr>
              <w:pStyle w:val="Tabletext"/>
              <w:tabs>
                <w:tab w:val="left" w:pos="964"/>
              </w:tabs>
              <w:spacing w:before="0" w:after="0"/>
              <w:ind w:left="-100"/>
              <w:jc w:val="center"/>
              <w:rPr>
                <w:b/>
              </w:rPr>
            </w:pPr>
            <w:r>
              <w:rPr>
                <w:b/>
              </w:rPr>
              <w:t>Part B (24 weeks)</w:t>
            </w:r>
          </w:p>
        </w:tc>
      </w:tr>
      <w:tr w:rsidR="007070CB" w:rsidTr="007070CB">
        <w:trPr>
          <w:cnfStyle w:val="100000000000" w:firstRow="1" w:lastRow="0" w:firstColumn="0" w:lastColumn="0" w:oddVBand="0" w:evenVBand="0" w:oddHBand="0" w:evenHBand="0" w:firstRowFirstColumn="0" w:firstRowLastColumn="0" w:lastRowFirstColumn="0" w:lastRowLastColumn="0"/>
          <w:tblHeader/>
        </w:trPr>
        <w:tc>
          <w:tcPr>
            <w:tcW w:w="1843" w:type="dxa"/>
            <w:vMerge/>
            <w:shd w:val="clear" w:color="auto" w:fill="auto"/>
          </w:tcPr>
          <w:p w:rsidR="007070CB" w:rsidRDefault="007070CB">
            <w:pPr>
              <w:pStyle w:val="TableH1"/>
              <w:keepNext w:val="0"/>
              <w:spacing w:before="0" w:after="0"/>
            </w:pPr>
          </w:p>
        </w:tc>
        <w:tc>
          <w:tcPr>
            <w:tcW w:w="1195" w:type="dxa"/>
            <w:shd w:val="clear" w:color="auto" w:fill="auto"/>
          </w:tcPr>
          <w:p w:rsidR="007070CB" w:rsidRDefault="006E2E62">
            <w:pPr>
              <w:pStyle w:val="Tabletext"/>
              <w:tabs>
                <w:tab w:val="left" w:pos="964"/>
              </w:tabs>
              <w:spacing w:before="0" w:after="0"/>
              <w:ind w:left="-100"/>
              <w:jc w:val="center"/>
              <w:rPr>
                <w:b/>
              </w:rPr>
            </w:pPr>
            <w:r>
              <w:rPr>
                <w:b/>
              </w:rPr>
              <w:t xml:space="preserve">L 100 mg/ I 125 mg </w:t>
            </w:r>
            <w:r>
              <w:rPr>
                <w:b/>
              </w:rPr>
              <w:br/>
              <w:t>(N=4)</w:t>
            </w:r>
          </w:p>
        </w:tc>
        <w:tc>
          <w:tcPr>
            <w:tcW w:w="1196" w:type="dxa"/>
            <w:shd w:val="clear" w:color="auto" w:fill="auto"/>
          </w:tcPr>
          <w:p w:rsidR="007070CB" w:rsidRDefault="006E2E62">
            <w:pPr>
              <w:pStyle w:val="Tabletext"/>
              <w:tabs>
                <w:tab w:val="left" w:pos="964"/>
              </w:tabs>
              <w:spacing w:before="0" w:after="0"/>
              <w:ind w:left="-100"/>
              <w:jc w:val="center"/>
              <w:rPr>
                <w:b/>
              </w:rPr>
            </w:pPr>
            <w:r>
              <w:rPr>
                <w:b/>
              </w:rPr>
              <w:t xml:space="preserve">L 150 mg/ I 188 mg </w:t>
            </w:r>
            <w:r>
              <w:rPr>
                <w:b/>
              </w:rPr>
              <w:br/>
              <w:t>(N=8)</w:t>
            </w:r>
          </w:p>
        </w:tc>
        <w:tc>
          <w:tcPr>
            <w:tcW w:w="1196" w:type="dxa"/>
            <w:shd w:val="clear" w:color="auto" w:fill="auto"/>
          </w:tcPr>
          <w:p w:rsidR="007070CB" w:rsidRDefault="006E2E62">
            <w:pPr>
              <w:pStyle w:val="Tabletext"/>
              <w:tabs>
                <w:tab w:val="left" w:pos="964"/>
              </w:tabs>
              <w:spacing w:before="0" w:after="0"/>
              <w:ind w:left="-100"/>
              <w:jc w:val="center"/>
              <w:rPr>
                <w:b/>
              </w:rPr>
            </w:pPr>
            <w:r>
              <w:rPr>
                <w:b/>
              </w:rPr>
              <w:t>Total (N=12)</w:t>
            </w:r>
          </w:p>
        </w:tc>
        <w:tc>
          <w:tcPr>
            <w:tcW w:w="1195" w:type="dxa"/>
            <w:shd w:val="clear" w:color="auto" w:fill="auto"/>
          </w:tcPr>
          <w:p w:rsidR="007070CB" w:rsidRDefault="006E2E62">
            <w:pPr>
              <w:pStyle w:val="Tabletext"/>
              <w:tabs>
                <w:tab w:val="left" w:pos="964"/>
              </w:tabs>
              <w:spacing w:before="0" w:after="0"/>
              <w:ind w:left="-100"/>
              <w:jc w:val="center"/>
              <w:rPr>
                <w:b/>
              </w:rPr>
            </w:pPr>
            <w:r>
              <w:rPr>
                <w:b/>
              </w:rPr>
              <w:t>L 100 mg/ I 125 mg (N=19)</w:t>
            </w:r>
          </w:p>
        </w:tc>
        <w:tc>
          <w:tcPr>
            <w:tcW w:w="1196" w:type="dxa"/>
            <w:shd w:val="clear" w:color="auto" w:fill="auto"/>
          </w:tcPr>
          <w:p w:rsidR="007070CB" w:rsidRDefault="006E2E62">
            <w:pPr>
              <w:pStyle w:val="Tabletext"/>
              <w:tabs>
                <w:tab w:val="left" w:pos="964"/>
              </w:tabs>
              <w:spacing w:before="0" w:after="0"/>
              <w:ind w:left="-100"/>
              <w:jc w:val="center"/>
              <w:rPr>
                <w:b/>
              </w:rPr>
            </w:pPr>
            <w:r>
              <w:rPr>
                <w:b/>
              </w:rPr>
              <w:t>L 150 mg/ I 188 mg (N=41)</w:t>
            </w:r>
          </w:p>
        </w:tc>
        <w:tc>
          <w:tcPr>
            <w:tcW w:w="1196" w:type="dxa"/>
            <w:shd w:val="clear" w:color="auto" w:fill="auto"/>
          </w:tcPr>
          <w:p w:rsidR="007070CB" w:rsidRDefault="006E2E62">
            <w:pPr>
              <w:pStyle w:val="Tabletext"/>
              <w:tabs>
                <w:tab w:val="left" w:pos="964"/>
              </w:tabs>
              <w:spacing w:before="0" w:after="0"/>
              <w:ind w:left="-100"/>
              <w:jc w:val="center"/>
              <w:rPr>
                <w:b/>
              </w:rPr>
            </w:pPr>
            <w:r>
              <w:rPr>
                <w:b/>
              </w:rPr>
              <w:t>Total (N=60)</w:t>
            </w:r>
          </w:p>
        </w:tc>
      </w:tr>
      <w:tr w:rsidR="007070CB" w:rsidTr="007070CB">
        <w:tc>
          <w:tcPr>
            <w:tcW w:w="1843" w:type="dxa"/>
            <w:tcBorders>
              <w:bottom w:val="single" w:sz="4" w:space="0" w:color="auto"/>
            </w:tcBorders>
          </w:tcPr>
          <w:p w:rsidR="007070CB" w:rsidRDefault="006E2E62">
            <w:pPr>
              <w:pStyle w:val="Tabletext"/>
              <w:tabs>
                <w:tab w:val="left" w:pos="147"/>
              </w:tabs>
              <w:spacing w:before="0" w:after="0"/>
            </w:pPr>
            <w:r>
              <w:t>Total number of AEs</w:t>
            </w:r>
          </w:p>
        </w:tc>
        <w:tc>
          <w:tcPr>
            <w:tcW w:w="1195" w:type="dxa"/>
            <w:tcBorders>
              <w:bottom w:val="single" w:sz="4" w:space="0" w:color="auto"/>
            </w:tcBorders>
          </w:tcPr>
          <w:p w:rsidR="007070CB" w:rsidRDefault="006E2E62">
            <w:pPr>
              <w:pStyle w:val="Tabletext"/>
              <w:tabs>
                <w:tab w:val="left" w:pos="964"/>
              </w:tabs>
              <w:spacing w:before="0" w:after="0"/>
              <w:ind w:left="-100"/>
              <w:jc w:val="center"/>
            </w:pPr>
            <w:r>
              <w:t>11</w:t>
            </w:r>
          </w:p>
        </w:tc>
        <w:tc>
          <w:tcPr>
            <w:tcW w:w="1196" w:type="dxa"/>
            <w:tcBorders>
              <w:bottom w:val="single" w:sz="4" w:space="0" w:color="auto"/>
            </w:tcBorders>
          </w:tcPr>
          <w:p w:rsidR="007070CB" w:rsidRDefault="006E2E62">
            <w:pPr>
              <w:pStyle w:val="Tabletext"/>
              <w:tabs>
                <w:tab w:val="left" w:pos="964"/>
              </w:tabs>
              <w:spacing w:before="0" w:after="0"/>
              <w:ind w:left="-100"/>
              <w:jc w:val="center"/>
            </w:pPr>
            <w:r>
              <w:t>9</w:t>
            </w:r>
          </w:p>
        </w:tc>
        <w:tc>
          <w:tcPr>
            <w:tcW w:w="1196" w:type="dxa"/>
            <w:tcBorders>
              <w:bottom w:val="single" w:sz="4" w:space="0" w:color="auto"/>
            </w:tcBorders>
          </w:tcPr>
          <w:p w:rsidR="007070CB" w:rsidRDefault="006E2E62">
            <w:pPr>
              <w:pStyle w:val="Tabletext"/>
              <w:tabs>
                <w:tab w:val="left" w:pos="964"/>
              </w:tabs>
              <w:spacing w:before="0" w:after="0"/>
              <w:ind w:left="-100"/>
              <w:jc w:val="center"/>
            </w:pPr>
            <w:r>
              <w:t>20</w:t>
            </w:r>
          </w:p>
        </w:tc>
        <w:tc>
          <w:tcPr>
            <w:tcW w:w="1195" w:type="dxa"/>
            <w:tcBorders>
              <w:bottom w:val="single" w:sz="4" w:space="0" w:color="auto"/>
            </w:tcBorders>
          </w:tcPr>
          <w:p w:rsidR="007070CB" w:rsidRDefault="006E2E62">
            <w:pPr>
              <w:pStyle w:val="Tabletext"/>
              <w:tabs>
                <w:tab w:val="left" w:pos="964"/>
              </w:tabs>
              <w:spacing w:before="0" w:after="0"/>
              <w:ind w:left="-100"/>
              <w:jc w:val="center"/>
            </w:pPr>
            <w:r>
              <w:t>131</w:t>
            </w:r>
          </w:p>
        </w:tc>
        <w:tc>
          <w:tcPr>
            <w:tcW w:w="1196" w:type="dxa"/>
            <w:tcBorders>
              <w:bottom w:val="single" w:sz="4" w:space="0" w:color="auto"/>
            </w:tcBorders>
          </w:tcPr>
          <w:p w:rsidR="007070CB" w:rsidRDefault="006E2E62">
            <w:pPr>
              <w:pStyle w:val="Tabletext"/>
              <w:tabs>
                <w:tab w:val="left" w:pos="964"/>
              </w:tabs>
              <w:spacing w:before="0" w:after="0"/>
              <w:ind w:left="-100"/>
              <w:jc w:val="center"/>
            </w:pPr>
            <w:r>
              <w:t>236</w:t>
            </w:r>
          </w:p>
        </w:tc>
        <w:tc>
          <w:tcPr>
            <w:tcW w:w="1196" w:type="dxa"/>
            <w:tcBorders>
              <w:bottom w:val="single" w:sz="4" w:space="0" w:color="auto"/>
            </w:tcBorders>
          </w:tcPr>
          <w:p w:rsidR="007070CB" w:rsidRDefault="006E2E62">
            <w:pPr>
              <w:pStyle w:val="Tabletext"/>
              <w:tabs>
                <w:tab w:val="left" w:pos="964"/>
              </w:tabs>
              <w:spacing w:before="0" w:after="0"/>
              <w:ind w:left="-100"/>
              <w:jc w:val="center"/>
            </w:pPr>
            <w:r>
              <w:t>367</w:t>
            </w:r>
          </w:p>
        </w:tc>
      </w:tr>
      <w:tr w:rsidR="007070CB" w:rsidTr="007070CB">
        <w:tc>
          <w:tcPr>
            <w:tcW w:w="1843" w:type="dxa"/>
            <w:tcBorders>
              <w:right w:val="nil"/>
            </w:tcBorders>
          </w:tcPr>
          <w:p w:rsidR="007070CB" w:rsidRDefault="006E2E62">
            <w:pPr>
              <w:pStyle w:val="Tabletext"/>
              <w:tabs>
                <w:tab w:val="left" w:pos="147"/>
              </w:tabs>
              <w:spacing w:before="0" w:after="0"/>
            </w:pPr>
            <w:r>
              <w:t>Patients, n (%)</w:t>
            </w:r>
          </w:p>
        </w:tc>
        <w:tc>
          <w:tcPr>
            <w:tcW w:w="1195" w:type="dxa"/>
            <w:tcBorders>
              <w:left w:val="nil"/>
              <w:right w:val="nil"/>
            </w:tcBorders>
          </w:tcPr>
          <w:p w:rsidR="007070CB" w:rsidRDefault="007070CB">
            <w:pPr>
              <w:pStyle w:val="Tabletext"/>
              <w:tabs>
                <w:tab w:val="left" w:pos="964"/>
              </w:tabs>
              <w:spacing w:before="0" w:after="0"/>
              <w:ind w:left="-100"/>
              <w:jc w:val="center"/>
            </w:pPr>
          </w:p>
        </w:tc>
        <w:tc>
          <w:tcPr>
            <w:tcW w:w="1196" w:type="dxa"/>
            <w:tcBorders>
              <w:left w:val="nil"/>
              <w:right w:val="nil"/>
            </w:tcBorders>
          </w:tcPr>
          <w:p w:rsidR="007070CB" w:rsidRDefault="007070CB">
            <w:pPr>
              <w:pStyle w:val="Tabletext"/>
              <w:tabs>
                <w:tab w:val="left" w:pos="964"/>
              </w:tabs>
              <w:spacing w:before="0" w:after="0"/>
              <w:ind w:left="-100"/>
              <w:jc w:val="center"/>
            </w:pPr>
          </w:p>
        </w:tc>
        <w:tc>
          <w:tcPr>
            <w:tcW w:w="1196" w:type="dxa"/>
            <w:tcBorders>
              <w:left w:val="nil"/>
              <w:right w:val="nil"/>
            </w:tcBorders>
          </w:tcPr>
          <w:p w:rsidR="007070CB" w:rsidRDefault="007070CB">
            <w:pPr>
              <w:pStyle w:val="Tabletext"/>
              <w:tabs>
                <w:tab w:val="left" w:pos="964"/>
              </w:tabs>
              <w:spacing w:before="0" w:after="0"/>
              <w:ind w:left="-100"/>
              <w:jc w:val="center"/>
            </w:pPr>
          </w:p>
        </w:tc>
        <w:tc>
          <w:tcPr>
            <w:tcW w:w="1195" w:type="dxa"/>
            <w:tcBorders>
              <w:left w:val="nil"/>
              <w:right w:val="nil"/>
            </w:tcBorders>
          </w:tcPr>
          <w:p w:rsidR="007070CB" w:rsidRDefault="007070CB">
            <w:pPr>
              <w:pStyle w:val="Tabletext"/>
              <w:tabs>
                <w:tab w:val="left" w:pos="964"/>
              </w:tabs>
              <w:spacing w:before="0" w:after="0"/>
              <w:ind w:left="-100"/>
              <w:jc w:val="center"/>
            </w:pPr>
          </w:p>
        </w:tc>
        <w:tc>
          <w:tcPr>
            <w:tcW w:w="1196" w:type="dxa"/>
            <w:tcBorders>
              <w:left w:val="nil"/>
              <w:right w:val="nil"/>
            </w:tcBorders>
          </w:tcPr>
          <w:p w:rsidR="007070CB" w:rsidRDefault="007070CB">
            <w:pPr>
              <w:pStyle w:val="Tabletext"/>
              <w:tabs>
                <w:tab w:val="left" w:pos="964"/>
              </w:tabs>
              <w:spacing w:before="0" w:after="0"/>
              <w:ind w:left="-100"/>
              <w:jc w:val="center"/>
            </w:pPr>
          </w:p>
        </w:tc>
        <w:tc>
          <w:tcPr>
            <w:tcW w:w="1196" w:type="dxa"/>
            <w:tcBorders>
              <w:left w:val="nil"/>
            </w:tcBorders>
          </w:tcPr>
          <w:p w:rsidR="007070CB" w:rsidRDefault="007070CB">
            <w:pPr>
              <w:pStyle w:val="Tabletext"/>
              <w:tabs>
                <w:tab w:val="left" w:pos="964"/>
              </w:tabs>
              <w:spacing w:before="0" w:after="0"/>
              <w:ind w:left="-100"/>
              <w:jc w:val="center"/>
            </w:pPr>
          </w:p>
        </w:tc>
      </w:tr>
      <w:tr w:rsidR="007070CB" w:rsidTr="007070CB">
        <w:tc>
          <w:tcPr>
            <w:tcW w:w="1843" w:type="dxa"/>
            <w:tcBorders>
              <w:bottom w:val="single" w:sz="4" w:space="0" w:color="auto"/>
            </w:tcBorders>
          </w:tcPr>
          <w:p w:rsidR="007070CB" w:rsidRDefault="006E2E62">
            <w:pPr>
              <w:pStyle w:val="Tabletext"/>
              <w:tabs>
                <w:tab w:val="left" w:pos="147"/>
              </w:tabs>
              <w:spacing w:before="0" w:after="0"/>
            </w:pPr>
            <w:r>
              <w:t>Any AEs</w:t>
            </w:r>
          </w:p>
        </w:tc>
        <w:tc>
          <w:tcPr>
            <w:tcW w:w="1195" w:type="dxa"/>
            <w:tcBorders>
              <w:bottom w:val="single" w:sz="4" w:space="0" w:color="auto"/>
            </w:tcBorders>
          </w:tcPr>
          <w:p w:rsidR="007070CB" w:rsidRDefault="006E2E62">
            <w:pPr>
              <w:pStyle w:val="Tabletext"/>
              <w:tabs>
                <w:tab w:val="left" w:pos="964"/>
              </w:tabs>
              <w:spacing w:before="0" w:after="0"/>
              <w:ind w:left="-100"/>
              <w:jc w:val="center"/>
            </w:pPr>
            <w:r>
              <w:t>4 (100.0)</w:t>
            </w:r>
          </w:p>
        </w:tc>
        <w:tc>
          <w:tcPr>
            <w:tcW w:w="1196" w:type="dxa"/>
            <w:tcBorders>
              <w:bottom w:val="single" w:sz="4" w:space="0" w:color="auto"/>
            </w:tcBorders>
          </w:tcPr>
          <w:p w:rsidR="007070CB" w:rsidRDefault="006E2E62">
            <w:pPr>
              <w:pStyle w:val="Tabletext"/>
              <w:tabs>
                <w:tab w:val="left" w:pos="964"/>
              </w:tabs>
              <w:spacing w:before="0" w:after="0"/>
              <w:ind w:left="-100"/>
              <w:jc w:val="center"/>
            </w:pPr>
            <w:r>
              <w:t>6 (75.0)</w:t>
            </w:r>
          </w:p>
        </w:tc>
        <w:tc>
          <w:tcPr>
            <w:tcW w:w="1196" w:type="dxa"/>
            <w:tcBorders>
              <w:bottom w:val="single" w:sz="4" w:space="0" w:color="auto"/>
            </w:tcBorders>
          </w:tcPr>
          <w:p w:rsidR="007070CB" w:rsidRDefault="006E2E62">
            <w:pPr>
              <w:pStyle w:val="Tabletext"/>
              <w:tabs>
                <w:tab w:val="left" w:pos="964"/>
              </w:tabs>
              <w:spacing w:before="0" w:after="0"/>
              <w:ind w:left="-100"/>
              <w:jc w:val="center"/>
            </w:pPr>
            <w:r>
              <w:t>10 (83.3)</w:t>
            </w:r>
          </w:p>
        </w:tc>
        <w:tc>
          <w:tcPr>
            <w:tcW w:w="1195" w:type="dxa"/>
            <w:tcBorders>
              <w:bottom w:val="single" w:sz="4" w:space="0" w:color="auto"/>
            </w:tcBorders>
          </w:tcPr>
          <w:p w:rsidR="007070CB" w:rsidRDefault="006E2E62">
            <w:pPr>
              <w:pStyle w:val="Tabletext"/>
              <w:tabs>
                <w:tab w:val="left" w:pos="964"/>
              </w:tabs>
              <w:spacing w:before="0" w:after="0"/>
              <w:ind w:left="-100"/>
              <w:jc w:val="center"/>
            </w:pPr>
            <w:r>
              <w:t>19 (100.0)</w:t>
            </w:r>
          </w:p>
        </w:tc>
        <w:tc>
          <w:tcPr>
            <w:tcW w:w="1196" w:type="dxa"/>
            <w:tcBorders>
              <w:bottom w:val="single" w:sz="4" w:space="0" w:color="auto"/>
            </w:tcBorders>
          </w:tcPr>
          <w:p w:rsidR="007070CB" w:rsidRDefault="006E2E62">
            <w:pPr>
              <w:pStyle w:val="Tabletext"/>
              <w:tabs>
                <w:tab w:val="left" w:pos="964"/>
              </w:tabs>
              <w:spacing w:before="0" w:after="0"/>
              <w:ind w:left="-100"/>
              <w:jc w:val="center"/>
            </w:pPr>
            <w:r>
              <w:t>40 (97.6)</w:t>
            </w:r>
          </w:p>
        </w:tc>
        <w:tc>
          <w:tcPr>
            <w:tcW w:w="1196" w:type="dxa"/>
            <w:tcBorders>
              <w:bottom w:val="single" w:sz="4" w:space="0" w:color="auto"/>
            </w:tcBorders>
          </w:tcPr>
          <w:p w:rsidR="007070CB" w:rsidRDefault="006E2E62">
            <w:pPr>
              <w:pStyle w:val="Tabletext"/>
              <w:tabs>
                <w:tab w:val="left" w:pos="964"/>
              </w:tabs>
              <w:spacing w:before="0" w:after="0"/>
              <w:ind w:left="-100"/>
              <w:jc w:val="center"/>
            </w:pPr>
            <w:r>
              <w:t>59 (98.3)</w:t>
            </w:r>
          </w:p>
        </w:tc>
      </w:tr>
      <w:tr w:rsidR="007070CB" w:rsidTr="007070CB">
        <w:tc>
          <w:tcPr>
            <w:tcW w:w="9017" w:type="dxa"/>
            <w:gridSpan w:val="7"/>
          </w:tcPr>
          <w:p w:rsidR="007070CB" w:rsidRDefault="006E2E62">
            <w:pPr>
              <w:pStyle w:val="Tabletext"/>
              <w:tabs>
                <w:tab w:val="left" w:pos="964"/>
              </w:tabs>
              <w:spacing w:before="0" w:after="0"/>
            </w:pPr>
            <w:r>
              <w:t>AEs by maximum severity</w:t>
            </w:r>
          </w:p>
        </w:tc>
      </w:tr>
      <w:tr w:rsidR="007070CB" w:rsidTr="007070CB">
        <w:tc>
          <w:tcPr>
            <w:tcW w:w="1843" w:type="dxa"/>
          </w:tcPr>
          <w:p w:rsidR="007070CB" w:rsidRDefault="006E2E62">
            <w:pPr>
              <w:pStyle w:val="Tabletext"/>
              <w:tabs>
                <w:tab w:val="left" w:pos="147"/>
              </w:tabs>
              <w:spacing w:before="0" w:after="0"/>
              <w:ind w:left="173"/>
            </w:pPr>
            <w:r>
              <w:t>Mild</w:t>
            </w:r>
          </w:p>
        </w:tc>
        <w:tc>
          <w:tcPr>
            <w:tcW w:w="1195" w:type="dxa"/>
          </w:tcPr>
          <w:p w:rsidR="007070CB" w:rsidRDefault="006E2E62">
            <w:pPr>
              <w:pStyle w:val="Tabletext"/>
              <w:tabs>
                <w:tab w:val="left" w:pos="964"/>
              </w:tabs>
              <w:spacing w:before="0" w:after="0"/>
              <w:ind w:left="-100"/>
              <w:jc w:val="center"/>
            </w:pPr>
            <w:r>
              <w:t>4 (100.0)</w:t>
            </w:r>
          </w:p>
        </w:tc>
        <w:tc>
          <w:tcPr>
            <w:tcW w:w="1196" w:type="dxa"/>
          </w:tcPr>
          <w:p w:rsidR="007070CB" w:rsidRDefault="006E2E62">
            <w:pPr>
              <w:pStyle w:val="Tabletext"/>
              <w:tabs>
                <w:tab w:val="left" w:pos="964"/>
              </w:tabs>
              <w:spacing w:before="0" w:after="0"/>
              <w:ind w:left="-100"/>
              <w:jc w:val="center"/>
            </w:pPr>
            <w:r>
              <w:t>5 (62.5)</w:t>
            </w:r>
          </w:p>
        </w:tc>
        <w:tc>
          <w:tcPr>
            <w:tcW w:w="1196" w:type="dxa"/>
          </w:tcPr>
          <w:p w:rsidR="007070CB" w:rsidRDefault="006E2E62">
            <w:pPr>
              <w:pStyle w:val="Tabletext"/>
              <w:tabs>
                <w:tab w:val="left" w:pos="964"/>
              </w:tabs>
              <w:spacing w:before="0" w:after="0"/>
              <w:ind w:left="-100"/>
              <w:jc w:val="center"/>
            </w:pPr>
            <w:r>
              <w:t>9 (75.0)</w:t>
            </w:r>
          </w:p>
        </w:tc>
        <w:tc>
          <w:tcPr>
            <w:tcW w:w="1195" w:type="dxa"/>
          </w:tcPr>
          <w:p w:rsidR="007070CB" w:rsidRDefault="006E2E62">
            <w:pPr>
              <w:pStyle w:val="Tabletext"/>
              <w:tabs>
                <w:tab w:val="left" w:pos="964"/>
              </w:tabs>
              <w:spacing w:before="0" w:after="0"/>
              <w:ind w:left="-100"/>
              <w:jc w:val="center"/>
            </w:pPr>
            <w:r>
              <w:t>7 (36.8)</w:t>
            </w:r>
          </w:p>
        </w:tc>
        <w:tc>
          <w:tcPr>
            <w:tcW w:w="1196" w:type="dxa"/>
          </w:tcPr>
          <w:p w:rsidR="007070CB" w:rsidRDefault="006E2E62">
            <w:pPr>
              <w:pStyle w:val="Tabletext"/>
              <w:tabs>
                <w:tab w:val="left" w:pos="964"/>
              </w:tabs>
              <w:spacing w:before="0" w:after="0"/>
              <w:ind w:left="-100"/>
              <w:jc w:val="center"/>
            </w:pPr>
            <w:r>
              <w:t>22 (53.7)</w:t>
            </w:r>
          </w:p>
        </w:tc>
        <w:tc>
          <w:tcPr>
            <w:tcW w:w="1196" w:type="dxa"/>
          </w:tcPr>
          <w:p w:rsidR="007070CB" w:rsidRDefault="006E2E62">
            <w:pPr>
              <w:pStyle w:val="Tabletext"/>
              <w:tabs>
                <w:tab w:val="left" w:pos="964"/>
              </w:tabs>
              <w:spacing w:before="0" w:after="0"/>
              <w:ind w:left="-100"/>
              <w:jc w:val="center"/>
            </w:pPr>
            <w:r>
              <w:t>29 (48.3)</w:t>
            </w:r>
          </w:p>
        </w:tc>
      </w:tr>
      <w:tr w:rsidR="007070CB" w:rsidTr="007070CB">
        <w:tc>
          <w:tcPr>
            <w:tcW w:w="1843" w:type="dxa"/>
          </w:tcPr>
          <w:p w:rsidR="007070CB" w:rsidRDefault="006E2E62">
            <w:pPr>
              <w:pStyle w:val="Tabletext"/>
              <w:tabs>
                <w:tab w:val="left" w:pos="147"/>
              </w:tabs>
              <w:spacing w:before="0" w:after="0"/>
              <w:ind w:left="173"/>
            </w:pPr>
            <w:r>
              <w:t>Moderate</w:t>
            </w:r>
          </w:p>
        </w:tc>
        <w:tc>
          <w:tcPr>
            <w:tcW w:w="1195" w:type="dxa"/>
          </w:tcPr>
          <w:p w:rsidR="007070CB" w:rsidRDefault="006E2E62">
            <w:pPr>
              <w:pStyle w:val="Tabletext"/>
              <w:tabs>
                <w:tab w:val="left" w:pos="964"/>
              </w:tabs>
              <w:spacing w:before="0" w:after="0"/>
              <w:ind w:left="-100"/>
              <w:jc w:val="center"/>
            </w:pPr>
            <w:r>
              <w:t>0</w:t>
            </w:r>
          </w:p>
        </w:tc>
        <w:tc>
          <w:tcPr>
            <w:tcW w:w="1196" w:type="dxa"/>
          </w:tcPr>
          <w:p w:rsidR="007070CB" w:rsidRDefault="006E2E62">
            <w:pPr>
              <w:pStyle w:val="Tabletext"/>
              <w:tabs>
                <w:tab w:val="left" w:pos="964"/>
              </w:tabs>
              <w:spacing w:before="0" w:after="0"/>
              <w:ind w:left="-100"/>
              <w:jc w:val="center"/>
            </w:pPr>
            <w:r>
              <w:t>1 (12.5)</w:t>
            </w:r>
          </w:p>
        </w:tc>
        <w:tc>
          <w:tcPr>
            <w:tcW w:w="1196" w:type="dxa"/>
          </w:tcPr>
          <w:p w:rsidR="007070CB" w:rsidRDefault="006E2E62">
            <w:pPr>
              <w:pStyle w:val="Tabletext"/>
              <w:tabs>
                <w:tab w:val="left" w:pos="964"/>
              </w:tabs>
              <w:spacing w:before="0" w:after="0"/>
              <w:ind w:left="-100"/>
              <w:jc w:val="center"/>
            </w:pPr>
            <w:r>
              <w:t>1 (8.3)</w:t>
            </w:r>
          </w:p>
        </w:tc>
        <w:tc>
          <w:tcPr>
            <w:tcW w:w="1195" w:type="dxa"/>
          </w:tcPr>
          <w:p w:rsidR="007070CB" w:rsidRDefault="006E2E62">
            <w:pPr>
              <w:pStyle w:val="Tabletext"/>
              <w:tabs>
                <w:tab w:val="left" w:pos="964"/>
              </w:tabs>
              <w:spacing w:before="0" w:after="0"/>
              <w:ind w:left="-100"/>
              <w:jc w:val="center"/>
            </w:pPr>
            <w:r>
              <w:t>10 (52.6)</w:t>
            </w:r>
          </w:p>
        </w:tc>
        <w:tc>
          <w:tcPr>
            <w:tcW w:w="1196" w:type="dxa"/>
          </w:tcPr>
          <w:p w:rsidR="007070CB" w:rsidRDefault="006E2E62">
            <w:pPr>
              <w:pStyle w:val="Tabletext"/>
              <w:tabs>
                <w:tab w:val="left" w:pos="964"/>
              </w:tabs>
              <w:spacing w:before="0" w:after="0"/>
              <w:ind w:left="-100"/>
              <w:jc w:val="center"/>
            </w:pPr>
            <w:r>
              <w:t>15 (36.6)</w:t>
            </w:r>
          </w:p>
        </w:tc>
        <w:tc>
          <w:tcPr>
            <w:tcW w:w="1196" w:type="dxa"/>
          </w:tcPr>
          <w:p w:rsidR="007070CB" w:rsidRDefault="006E2E62">
            <w:pPr>
              <w:pStyle w:val="Tabletext"/>
              <w:tabs>
                <w:tab w:val="left" w:pos="964"/>
              </w:tabs>
              <w:spacing w:before="0" w:after="0"/>
              <w:ind w:left="-100"/>
              <w:jc w:val="center"/>
            </w:pPr>
            <w:r>
              <w:t>25 (41.7)</w:t>
            </w:r>
          </w:p>
        </w:tc>
      </w:tr>
      <w:tr w:rsidR="007070CB" w:rsidTr="007070CB">
        <w:tc>
          <w:tcPr>
            <w:tcW w:w="1843" w:type="dxa"/>
          </w:tcPr>
          <w:p w:rsidR="007070CB" w:rsidRDefault="006E2E62">
            <w:pPr>
              <w:pStyle w:val="Tabletext"/>
              <w:tabs>
                <w:tab w:val="left" w:pos="147"/>
              </w:tabs>
              <w:spacing w:before="0" w:after="0"/>
              <w:ind w:left="173"/>
            </w:pPr>
            <w:r>
              <w:t>Severe</w:t>
            </w:r>
          </w:p>
        </w:tc>
        <w:tc>
          <w:tcPr>
            <w:tcW w:w="1195" w:type="dxa"/>
          </w:tcPr>
          <w:p w:rsidR="007070CB" w:rsidRDefault="006E2E62">
            <w:pPr>
              <w:pStyle w:val="Tabletext"/>
              <w:tabs>
                <w:tab w:val="left" w:pos="964"/>
              </w:tabs>
              <w:spacing w:before="0" w:after="0"/>
              <w:ind w:left="-100"/>
              <w:jc w:val="center"/>
            </w:pPr>
            <w:r>
              <w:t>0</w:t>
            </w:r>
          </w:p>
        </w:tc>
        <w:tc>
          <w:tcPr>
            <w:tcW w:w="1196" w:type="dxa"/>
          </w:tcPr>
          <w:p w:rsidR="007070CB" w:rsidRDefault="006E2E62">
            <w:pPr>
              <w:pStyle w:val="Tabletext"/>
              <w:tabs>
                <w:tab w:val="left" w:pos="964"/>
              </w:tabs>
              <w:spacing w:before="0" w:after="0"/>
              <w:ind w:left="-100"/>
              <w:jc w:val="center"/>
            </w:pPr>
            <w:r>
              <w:t>0</w:t>
            </w:r>
          </w:p>
        </w:tc>
        <w:tc>
          <w:tcPr>
            <w:tcW w:w="1196" w:type="dxa"/>
          </w:tcPr>
          <w:p w:rsidR="007070CB" w:rsidRDefault="006E2E62">
            <w:pPr>
              <w:pStyle w:val="Tabletext"/>
              <w:tabs>
                <w:tab w:val="left" w:pos="964"/>
              </w:tabs>
              <w:spacing w:before="0" w:after="0"/>
              <w:ind w:left="-100"/>
              <w:jc w:val="center"/>
            </w:pPr>
            <w:r>
              <w:t>0</w:t>
            </w:r>
          </w:p>
        </w:tc>
        <w:tc>
          <w:tcPr>
            <w:tcW w:w="1195" w:type="dxa"/>
          </w:tcPr>
          <w:p w:rsidR="007070CB" w:rsidRDefault="006E2E62">
            <w:pPr>
              <w:pStyle w:val="Tabletext"/>
              <w:tabs>
                <w:tab w:val="left" w:pos="964"/>
              </w:tabs>
              <w:spacing w:before="0" w:after="0"/>
              <w:ind w:left="-100"/>
              <w:jc w:val="center"/>
            </w:pPr>
            <w:r>
              <w:t>2 (10.5)</w:t>
            </w:r>
          </w:p>
        </w:tc>
        <w:tc>
          <w:tcPr>
            <w:tcW w:w="1196" w:type="dxa"/>
          </w:tcPr>
          <w:p w:rsidR="007070CB" w:rsidRDefault="006E2E62">
            <w:pPr>
              <w:pStyle w:val="Tabletext"/>
              <w:tabs>
                <w:tab w:val="left" w:pos="964"/>
              </w:tabs>
              <w:spacing w:before="0" w:after="0"/>
              <w:ind w:left="-100"/>
              <w:jc w:val="center"/>
            </w:pPr>
            <w:r>
              <w:t>3 (7.3)</w:t>
            </w:r>
          </w:p>
        </w:tc>
        <w:tc>
          <w:tcPr>
            <w:tcW w:w="1196" w:type="dxa"/>
          </w:tcPr>
          <w:p w:rsidR="007070CB" w:rsidRDefault="006E2E62">
            <w:pPr>
              <w:pStyle w:val="Tabletext"/>
              <w:tabs>
                <w:tab w:val="left" w:pos="964"/>
              </w:tabs>
              <w:spacing w:before="0" w:after="0"/>
              <w:ind w:left="-100"/>
              <w:jc w:val="center"/>
            </w:pPr>
            <w:r>
              <w:t>5 (8.3)</w:t>
            </w:r>
          </w:p>
        </w:tc>
      </w:tr>
      <w:tr w:rsidR="007070CB" w:rsidTr="007070CB">
        <w:tc>
          <w:tcPr>
            <w:tcW w:w="1843" w:type="dxa"/>
          </w:tcPr>
          <w:p w:rsidR="007070CB" w:rsidRDefault="006E2E62">
            <w:pPr>
              <w:pStyle w:val="Tabletext"/>
              <w:tabs>
                <w:tab w:val="left" w:pos="147"/>
              </w:tabs>
              <w:spacing w:before="0" w:after="0"/>
              <w:ind w:left="173"/>
            </w:pPr>
            <w:r>
              <w:t>Life-threatening</w:t>
            </w:r>
          </w:p>
        </w:tc>
        <w:tc>
          <w:tcPr>
            <w:tcW w:w="1195" w:type="dxa"/>
          </w:tcPr>
          <w:p w:rsidR="007070CB" w:rsidRDefault="006E2E62">
            <w:pPr>
              <w:pStyle w:val="Tabletext"/>
              <w:tabs>
                <w:tab w:val="left" w:pos="964"/>
              </w:tabs>
              <w:spacing w:before="0" w:after="0"/>
              <w:ind w:left="-100"/>
              <w:jc w:val="center"/>
            </w:pPr>
            <w:r>
              <w:t>0</w:t>
            </w:r>
          </w:p>
        </w:tc>
        <w:tc>
          <w:tcPr>
            <w:tcW w:w="1196" w:type="dxa"/>
          </w:tcPr>
          <w:p w:rsidR="007070CB" w:rsidRDefault="006E2E62">
            <w:pPr>
              <w:pStyle w:val="Tabletext"/>
              <w:tabs>
                <w:tab w:val="left" w:pos="964"/>
              </w:tabs>
              <w:spacing w:before="0" w:after="0"/>
              <w:ind w:left="-100"/>
              <w:jc w:val="center"/>
            </w:pPr>
            <w:r>
              <w:t>0</w:t>
            </w:r>
          </w:p>
        </w:tc>
        <w:tc>
          <w:tcPr>
            <w:tcW w:w="1196" w:type="dxa"/>
          </w:tcPr>
          <w:p w:rsidR="007070CB" w:rsidRDefault="006E2E62">
            <w:pPr>
              <w:pStyle w:val="Tabletext"/>
              <w:tabs>
                <w:tab w:val="left" w:pos="964"/>
              </w:tabs>
              <w:spacing w:before="0" w:after="0"/>
              <w:ind w:left="-100"/>
              <w:jc w:val="center"/>
            </w:pPr>
            <w:r>
              <w:t>0</w:t>
            </w:r>
          </w:p>
        </w:tc>
        <w:tc>
          <w:tcPr>
            <w:tcW w:w="1195" w:type="dxa"/>
          </w:tcPr>
          <w:p w:rsidR="007070CB" w:rsidRDefault="006E2E62">
            <w:pPr>
              <w:pStyle w:val="Tabletext"/>
              <w:tabs>
                <w:tab w:val="left" w:pos="964"/>
              </w:tabs>
              <w:spacing w:before="0" w:after="0"/>
              <w:ind w:left="-100"/>
              <w:jc w:val="center"/>
            </w:pPr>
            <w:r>
              <w:t>0</w:t>
            </w:r>
          </w:p>
        </w:tc>
        <w:tc>
          <w:tcPr>
            <w:tcW w:w="1196" w:type="dxa"/>
          </w:tcPr>
          <w:p w:rsidR="007070CB" w:rsidRDefault="006E2E62">
            <w:pPr>
              <w:pStyle w:val="Tabletext"/>
              <w:tabs>
                <w:tab w:val="left" w:pos="964"/>
              </w:tabs>
              <w:spacing w:before="0" w:after="0"/>
              <w:ind w:left="-100"/>
              <w:jc w:val="center"/>
            </w:pPr>
            <w:r>
              <w:t>0</w:t>
            </w:r>
          </w:p>
        </w:tc>
        <w:tc>
          <w:tcPr>
            <w:tcW w:w="1196" w:type="dxa"/>
          </w:tcPr>
          <w:p w:rsidR="007070CB" w:rsidRDefault="006E2E62">
            <w:pPr>
              <w:pStyle w:val="Tabletext"/>
              <w:tabs>
                <w:tab w:val="left" w:pos="964"/>
              </w:tabs>
              <w:spacing w:before="0" w:after="0"/>
              <w:ind w:left="-100"/>
              <w:jc w:val="center"/>
            </w:pPr>
            <w:r>
              <w:t>0</w:t>
            </w:r>
          </w:p>
        </w:tc>
      </w:tr>
      <w:tr w:rsidR="007070CB" w:rsidTr="007070CB">
        <w:tc>
          <w:tcPr>
            <w:tcW w:w="1843" w:type="dxa"/>
          </w:tcPr>
          <w:p w:rsidR="007070CB" w:rsidRDefault="006E2E62">
            <w:pPr>
              <w:pStyle w:val="Tabletext"/>
              <w:tabs>
                <w:tab w:val="left" w:pos="147"/>
              </w:tabs>
              <w:spacing w:before="0" w:after="0"/>
            </w:pPr>
            <w:r>
              <w:t xml:space="preserve">AEs leading to treat. discontinuation </w:t>
            </w:r>
          </w:p>
        </w:tc>
        <w:tc>
          <w:tcPr>
            <w:tcW w:w="1195" w:type="dxa"/>
          </w:tcPr>
          <w:p w:rsidR="007070CB" w:rsidRDefault="006E2E62">
            <w:pPr>
              <w:pStyle w:val="Tabletext"/>
              <w:tabs>
                <w:tab w:val="left" w:pos="964"/>
              </w:tabs>
              <w:spacing w:before="0" w:after="0"/>
              <w:ind w:left="-100"/>
              <w:jc w:val="center"/>
            </w:pPr>
            <w:r>
              <w:t>0</w:t>
            </w:r>
          </w:p>
        </w:tc>
        <w:tc>
          <w:tcPr>
            <w:tcW w:w="1196" w:type="dxa"/>
          </w:tcPr>
          <w:p w:rsidR="007070CB" w:rsidRDefault="006E2E62">
            <w:pPr>
              <w:pStyle w:val="Tabletext"/>
              <w:tabs>
                <w:tab w:val="left" w:pos="964"/>
              </w:tabs>
              <w:spacing w:before="0" w:after="0"/>
              <w:ind w:left="-100"/>
              <w:jc w:val="center"/>
            </w:pPr>
            <w:r>
              <w:t>1 (12.5)</w:t>
            </w:r>
          </w:p>
        </w:tc>
        <w:tc>
          <w:tcPr>
            <w:tcW w:w="1196" w:type="dxa"/>
          </w:tcPr>
          <w:p w:rsidR="007070CB" w:rsidRDefault="006E2E62">
            <w:pPr>
              <w:pStyle w:val="Tabletext"/>
              <w:tabs>
                <w:tab w:val="left" w:pos="964"/>
              </w:tabs>
              <w:spacing w:before="0" w:after="0"/>
              <w:ind w:left="-100"/>
              <w:jc w:val="center"/>
            </w:pPr>
            <w:r>
              <w:t>1 (8.3)</w:t>
            </w:r>
          </w:p>
        </w:tc>
        <w:tc>
          <w:tcPr>
            <w:tcW w:w="1195" w:type="dxa"/>
          </w:tcPr>
          <w:p w:rsidR="007070CB" w:rsidRDefault="006E2E62">
            <w:pPr>
              <w:pStyle w:val="Tabletext"/>
              <w:tabs>
                <w:tab w:val="left" w:pos="964"/>
              </w:tabs>
              <w:spacing w:before="0" w:after="0"/>
              <w:ind w:left="-100"/>
              <w:jc w:val="center"/>
            </w:pPr>
            <w:r>
              <w:t>0</w:t>
            </w:r>
          </w:p>
        </w:tc>
        <w:tc>
          <w:tcPr>
            <w:tcW w:w="1196" w:type="dxa"/>
          </w:tcPr>
          <w:p w:rsidR="007070CB" w:rsidRDefault="006E2E62">
            <w:pPr>
              <w:pStyle w:val="Tabletext"/>
              <w:tabs>
                <w:tab w:val="left" w:pos="964"/>
              </w:tabs>
              <w:spacing w:before="0" w:after="0"/>
              <w:ind w:left="-100"/>
              <w:jc w:val="center"/>
            </w:pPr>
            <w:r>
              <w:t>3 (7.3)</w:t>
            </w:r>
          </w:p>
        </w:tc>
        <w:tc>
          <w:tcPr>
            <w:tcW w:w="1196" w:type="dxa"/>
          </w:tcPr>
          <w:p w:rsidR="007070CB" w:rsidRDefault="006E2E62">
            <w:pPr>
              <w:pStyle w:val="Tabletext"/>
              <w:tabs>
                <w:tab w:val="left" w:pos="964"/>
              </w:tabs>
              <w:spacing w:before="0" w:after="0"/>
              <w:ind w:left="-100"/>
              <w:jc w:val="center"/>
            </w:pPr>
            <w:r>
              <w:t>3 (5.0)</w:t>
            </w:r>
          </w:p>
        </w:tc>
      </w:tr>
      <w:tr w:rsidR="007070CB" w:rsidTr="007070CB">
        <w:tc>
          <w:tcPr>
            <w:tcW w:w="1843" w:type="dxa"/>
          </w:tcPr>
          <w:p w:rsidR="007070CB" w:rsidRDefault="006E2E62">
            <w:pPr>
              <w:pStyle w:val="Tabletext"/>
              <w:tabs>
                <w:tab w:val="left" w:pos="147"/>
              </w:tabs>
              <w:spacing w:before="0" w:after="0"/>
            </w:pPr>
            <w:r>
              <w:t>AEs leading to treatment interruption</w:t>
            </w:r>
          </w:p>
        </w:tc>
        <w:tc>
          <w:tcPr>
            <w:tcW w:w="1195" w:type="dxa"/>
          </w:tcPr>
          <w:p w:rsidR="007070CB" w:rsidRDefault="006E2E62">
            <w:pPr>
              <w:pStyle w:val="Tabletext"/>
              <w:tabs>
                <w:tab w:val="left" w:pos="964"/>
              </w:tabs>
              <w:spacing w:before="0" w:after="0"/>
              <w:ind w:left="-100"/>
              <w:jc w:val="center"/>
            </w:pPr>
            <w:r>
              <w:t>0</w:t>
            </w:r>
          </w:p>
        </w:tc>
        <w:tc>
          <w:tcPr>
            <w:tcW w:w="1196" w:type="dxa"/>
          </w:tcPr>
          <w:p w:rsidR="007070CB" w:rsidRDefault="006E2E62">
            <w:pPr>
              <w:pStyle w:val="Tabletext"/>
              <w:tabs>
                <w:tab w:val="left" w:pos="964"/>
              </w:tabs>
              <w:spacing w:before="0" w:after="0"/>
              <w:ind w:left="-100"/>
              <w:jc w:val="center"/>
            </w:pPr>
            <w:r>
              <w:t>0</w:t>
            </w:r>
          </w:p>
        </w:tc>
        <w:tc>
          <w:tcPr>
            <w:tcW w:w="1196" w:type="dxa"/>
          </w:tcPr>
          <w:p w:rsidR="007070CB" w:rsidRDefault="006E2E62">
            <w:pPr>
              <w:pStyle w:val="Tabletext"/>
              <w:tabs>
                <w:tab w:val="left" w:pos="964"/>
              </w:tabs>
              <w:spacing w:before="0" w:after="0"/>
              <w:ind w:left="-100"/>
              <w:jc w:val="center"/>
            </w:pPr>
            <w:r>
              <w:t>0</w:t>
            </w:r>
          </w:p>
        </w:tc>
        <w:tc>
          <w:tcPr>
            <w:tcW w:w="1195" w:type="dxa"/>
          </w:tcPr>
          <w:p w:rsidR="007070CB" w:rsidRDefault="006E2E62">
            <w:pPr>
              <w:pStyle w:val="Tabletext"/>
              <w:tabs>
                <w:tab w:val="left" w:pos="964"/>
              </w:tabs>
              <w:spacing w:before="0" w:after="0"/>
              <w:ind w:left="-100"/>
              <w:jc w:val="center"/>
            </w:pPr>
            <w:r>
              <w:t>2 (10.5)</w:t>
            </w:r>
          </w:p>
        </w:tc>
        <w:tc>
          <w:tcPr>
            <w:tcW w:w="1196" w:type="dxa"/>
          </w:tcPr>
          <w:p w:rsidR="007070CB" w:rsidRDefault="006E2E62">
            <w:pPr>
              <w:pStyle w:val="Tabletext"/>
              <w:tabs>
                <w:tab w:val="left" w:pos="964"/>
              </w:tabs>
              <w:spacing w:before="0" w:after="0"/>
              <w:ind w:left="-100"/>
              <w:jc w:val="center"/>
            </w:pPr>
            <w:r>
              <w:t>1 (2.4)</w:t>
            </w:r>
          </w:p>
        </w:tc>
        <w:tc>
          <w:tcPr>
            <w:tcW w:w="1196" w:type="dxa"/>
          </w:tcPr>
          <w:p w:rsidR="007070CB" w:rsidRDefault="006E2E62">
            <w:pPr>
              <w:pStyle w:val="Tabletext"/>
              <w:tabs>
                <w:tab w:val="left" w:pos="964"/>
              </w:tabs>
              <w:spacing w:before="0" w:after="0"/>
              <w:ind w:left="-100"/>
              <w:jc w:val="center"/>
            </w:pPr>
            <w:r>
              <w:t>3 (5.0)</w:t>
            </w:r>
          </w:p>
        </w:tc>
      </w:tr>
      <w:tr w:rsidR="007070CB" w:rsidTr="007070CB">
        <w:tc>
          <w:tcPr>
            <w:tcW w:w="1843" w:type="dxa"/>
          </w:tcPr>
          <w:p w:rsidR="007070CB" w:rsidRDefault="006E2E62">
            <w:pPr>
              <w:pStyle w:val="Tabletext"/>
              <w:tabs>
                <w:tab w:val="left" w:pos="147"/>
              </w:tabs>
              <w:spacing w:before="0" w:after="0"/>
            </w:pPr>
            <w:r>
              <w:t xml:space="preserve">SAEs </w:t>
            </w:r>
          </w:p>
        </w:tc>
        <w:tc>
          <w:tcPr>
            <w:tcW w:w="1195" w:type="dxa"/>
          </w:tcPr>
          <w:p w:rsidR="007070CB" w:rsidRDefault="006E2E62">
            <w:pPr>
              <w:pStyle w:val="Tabletext"/>
              <w:tabs>
                <w:tab w:val="left" w:pos="964"/>
              </w:tabs>
              <w:spacing w:before="0" w:after="0"/>
              <w:ind w:left="-100"/>
              <w:jc w:val="center"/>
            </w:pPr>
            <w:r>
              <w:t>0</w:t>
            </w:r>
          </w:p>
        </w:tc>
        <w:tc>
          <w:tcPr>
            <w:tcW w:w="1196" w:type="dxa"/>
          </w:tcPr>
          <w:p w:rsidR="007070CB" w:rsidRDefault="006E2E62">
            <w:pPr>
              <w:pStyle w:val="Tabletext"/>
              <w:tabs>
                <w:tab w:val="left" w:pos="964"/>
              </w:tabs>
              <w:spacing w:before="0" w:after="0"/>
              <w:ind w:left="-100"/>
              <w:jc w:val="center"/>
            </w:pPr>
            <w:r>
              <w:t>0</w:t>
            </w:r>
          </w:p>
        </w:tc>
        <w:tc>
          <w:tcPr>
            <w:tcW w:w="1196" w:type="dxa"/>
          </w:tcPr>
          <w:p w:rsidR="007070CB" w:rsidRDefault="006E2E62">
            <w:pPr>
              <w:pStyle w:val="Tabletext"/>
              <w:tabs>
                <w:tab w:val="left" w:pos="964"/>
              </w:tabs>
              <w:spacing w:before="0" w:after="0"/>
              <w:ind w:left="-100"/>
              <w:jc w:val="center"/>
            </w:pPr>
            <w:r>
              <w:t>0</w:t>
            </w:r>
          </w:p>
        </w:tc>
        <w:tc>
          <w:tcPr>
            <w:tcW w:w="1195" w:type="dxa"/>
          </w:tcPr>
          <w:p w:rsidR="007070CB" w:rsidRDefault="006E2E62">
            <w:pPr>
              <w:pStyle w:val="Tabletext"/>
              <w:tabs>
                <w:tab w:val="left" w:pos="964"/>
              </w:tabs>
              <w:spacing w:before="0" w:after="0"/>
              <w:ind w:left="-100"/>
              <w:jc w:val="center"/>
            </w:pPr>
            <w:r>
              <w:t>2 (10.5)</w:t>
            </w:r>
          </w:p>
        </w:tc>
        <w:tc>
          <w:tcPr>
            <w:tcW w:w="1196" w:type="dxa"/>
          </w:tcPr>
          <w:p w:rsidR="007070CB" w:rsidRDefault="006E2E62">
            <w:pPr>
              <w:pStyle w:val="Tabletext"/>
              <w:tabs>
                <w:tab w:val="left" w:pos="964"/>
              </w:tabs>
              <w:spacing w:before="0" w:after="0"/>
              <w:ind w:left="-100"/>
              <w:jc w:val="center"/>
            </w:pPr>
            <w:r>
              <w:t>2 (4.9)</w:t>
            </w:r>
          </w:p>
        </w:tc>
        <w:tc>
          <w:tcPr>
            <w:tcW w:w="1196" w:type="dxa"/>
          </w:tcPr>
          <w:p w:rsidR="007070CB" w:rsidRDefault="006E2E62">
            <w:pPr>
              <w:pStyle w:val="Tabletext"/>
              <w:tabs>
                <w:tab w:val="left" w:pos="964"/>
              </w:tabs>
              <w:spacing w:before="0" w:after="0"/>
              <w:ind w:left="-100"/>
              <w:jc w:val="center"/>
            </w:pPr>
            <w:r>
              <w:t>4 (6.7)</w:t>
            </w:r>
          </w:p>
        </w:tc>
      </w:tr>
      <w:tr w:rsidR="007070CB" w:rsidTr="007070CB">
        <w:tc>
          <w:tcPr>
            <w:tcW w:w="1843" w:type="dxa"/>
          </w:tcPr>
          <w:p w:rsidR="007070CB" w:rsidRDefault="006E2E62">
            <w:pPr>
              <w:pStyle w:val="Tabletext"/>
              <w:tabs>
                <w:tab w:val="left" w:pos="147"/>
              </w:tabs>
              <w:spacing w:before="0" w:after="0"/>
            </w:pPr>
            <w:r>
              <w:t xml:space="preserve">Related SAEs </w:t>
            </w:r>
          </w:p>
        </w:tc>
        <w:tc>
          <w:tcPr>
            <w:tcW w:w="1195" w:type="dxa"/>
          </w:tcPr>
          <w:p w:rsidR="007070CB" w:rsidRDefault="006E2E62">
            <w:pPr>
              <w:pStyle w:val="Tabletext"/>
              <w:tabs>
                <w:tab w:val="left" w:pos="964"/>
              </w:tabs>
              <w:spacing w:before="0" w:after="0"/>
              <w:ind w:left="-100"/>
              <w:jc w:val="center"/>
            </w:pPr>
            <w:r>
              <w:t>0</w:t>
            </w:r>
          </w:p>
        </w:tc>
        <w:tc>
          <w:tcPr>
            <w:tcW w:w="1196" w:type="dxa"/>
          </w:tcPr>
          <w:p w:rsidR="007070CB" w:rsidRDefault="006E2E62">
            <w:pPr>
              <w:pStyle w:val="Tabletext"/>
              <w:tabs>
                <w:tab w:val="left" w:pos="964"/>
              </w:tabs>
              <w:spacing w:before="0" w:after="0"/>
              <w:ind w:left="-100"/>
              <w:jc w:val="center"/>
            </w:pPr>
            <w:r>
              <w:t>0</w:t>
            </w:r>
          </w:p>
        </w:tc>
        <w:tc>
          <w:tcPr>
            <w:tcW w:w="1196" w:type="dxa"/>
          </w:tcPr>
          <w:p w:rsidR="007070CB" w:rsidRDefault="006E2E62">
            <w:pPr>
              <w:pStyle w:val="Tabletext"/>
              <w:tabs>
                <w:tab w:val="left" w:pos="964"/>
              </w:tabs>
              <w:spacing w:before="0" w:after="0"/>
              <w:ind w:left="-100"/>
              <w:jc w:val="center"/>
            </w:pPr>
            <w:r>
              <w:t>0</w:t>
            </w:r>
          </w:p>
        </w:tc>
        <w:tc>
          <w:tcPr>
            <w:tcW w:w="1195" w:type="dxa"/>
          </w:tcPr>
          <w:p w:rsidR="007070CB" w:rsidRDefault="006E2E62">
            <w:pPr>
              <w:pStyle w:val="Tabletext"/>
              <w:tabs>
                <w:tab w:val="left" w:pos="964"/>
              </w:tabs>
              <w:spacing w:before="0" w:after="0"/>
              <w:ind w:left="-100"/>
              <w:jc w:val="center"/>
            </w:pPr>
            <w:r>
              <w:t>1 (5.3)</w:t>
            </w:r>
          </w:p>
        </w:tc>
        <w:tc>
          <w:tcPr>
            <w:tcW w:w="1196" w:type="dxa"/>
          </w:tcPr>
          <w:p w:rsidR="007070CB" w:rsidRDefault="006E2E62">
            <w:pPr>
              <w:pStyle w:val="Tabletext"/>
              <w:tabs>
                <w:tab w:val="left" w:pos="964"/>
              </w:tabs>
              <w:spacing w:before="0" w:after="0"/>
              <w:ind w:left="-100"/>
              <w:jc w:val="center"/>
            </w:pPr>
            <w:r>
              <w:t>0</w:t>
            </w:r>
          </w:p>
        </w:tc>
        <w:tc>
          <w:tcPr>
            <w:tcW w:w="1196" w:type="dxa"/>
          </w:tcPr>
          <w:p w:rsidR="007070CB" w:rsidRDefault="006E2E62">
            <w:pPr>
              <w:pStyle w:val="Tabletext"/>
              <w:tabs>
                <w:tab w:val="left" w:pos="964"/>
              </w:tabs>
              <w:spacing w:before="0" w:after="0"/>
              <w:ind w:left="-100"/>
              <w:jc w:val="center"/>
            </w:pPr>
            <w:r>
              <w:t>1 (1.7)</w:t>
            </w:r>
          </w:p>
        </w:tc>
      </w:tr>
      <w:tr w:rsidR="007070CB" w:rsidTr="007070CB">
        <w:tc>
          <w:tcPr>
            <w:tcW w:w="1843" w:type="dxa"/>
          </w:tcPr>
          <w:p w:rsidR="007070CB" w:rsidRDefault="006E2E62">
            <w:pPr>
              <w:pStyle w:val="Tabletext"/>
              <w:tabs>
                <w:tab w:val="left" w:pos="147"/>
              </w:tabs>
              <w:spacing w:before="0" w:after="0"/>
            </w:pPr>
            <w:r>
              <w:t xml:space="preserve">AEs leading to death </w:t>
            </w:r>
          </w:p>
        </w:tc>
        <w:tc>
          <w:tcPr>
            <w:tcW w:w="1195" w:type="dxa"/>
          </w:tcPr>
          <w:p w:rsidR="007070CB" w:rsidRDefault="006E2E62">
            <w:pPr>
              <w:pStyle w:val="Tabletext"/>
              <w:tabs>
                <w:tab w:val="left" w:pos="964"/>
              </w:tabs>
              <w:spacing w:before="0" w:after="0"/>
              <w:ind w:left="-100"/>
              <w:jc w:val="center"/>
            </w:pPr>
            <w:r>
              <w:t>0</w:t>
            </w:r>
          </w:p>
        </w:tc>
        <w:tc>
          <w:tcPr>
            <w:tcW w:w="1196" w:type="dxa"/>
          </w:tcPr>
          <w:p w:rsidR="007070CB" w:rsidRDefault="006E2E62">
            <w:pPr>
              <w:pStyle w:val="Tabletext"/>
              <w:tabs>
                <w:tab w:val="left" w:pos="964"/>
              </w:tabs>
              <w:spacing w:before="0" w:after="0"/>
              <w:ind w:left="-100"/>
              <w:jc w:val="center"/>
            </w:pPr>
            <w:r>
              <w:t>0</w:t>
            </w:r>
          </w:p>
        </w:tc>
        <w:tc>
          <w:tcPr>
            <w:tcW w:w="1196" w:type="dxa"/>
          </w:tcPr>
          <w:p w:rsidR="007070CB" w:rsidRDefault="006E2E62">
            <w:pPr>
              <w:pStyle w:val="Tabletext"/>
              <w:tabs>
                <w:tab w:val="left" w:pos="964"/>
              </w:tabs>
              <w:spacing w:before="0" w:after="0"/>
              <w:ind w:left="-100"/>
              <w:jc w:val="center"/>
            </w:pPr>
            <w:r>
              <w:t>0</w:t>
            </w:r>
          </w:p>
        </w:tc>
        <w:tc>
          <w:tcPr>
            <w:tcW w:w="1195" w:type="dxa"/>
          </w:tcPr>
          <w:p w:rsidR="007070CB" w:rsidRDefault="006E2E62">
            <w:pPr>
              <w:pStyle w:val="Tabletext"/>
              <w:tabs>
                <w:tab w:val="left" w:pos="964"/>
              </w:tabs>
              <w:spacing w:before="0" w:after="0"/>
              <w:ind w:left="-100"/>
              <w:jc w:val="center"/>
            </w:pPr>
            <w:r>
              <w:t>0</w:t>
            </w:r>
          </w:p>
        </w:tc>
        <w:tc>
          <w:tcPr>
            <w:tcW w:w="1196" w:type="dxa"/>
          </w:tcPr>
          <w:p w:rsidR="007070CB" w:rsidRDefault="006E2E62">
            <w:pPr>
              <w:pStyle w:val="Tabletext"/>
              <w:tabs>
                <w:tab w:val="left" w:pos="964"/>
              </w:tabs>
              <w:spacing w:before="0" w:after="0"/>
              <w:ind w:left="-100"/>
              <w:jc w:val="center"/>
            </w:pPr>
            <w:r>
              <w:t>0</w:t>
            </w:r>
          </w:p>
        </w:tc>
        <w:tc>
          <w:tcPr>
            <w:tcW w:w="1196" w:type="dxa"/>
          </w:tcPr>
          <w:p w:rsidR="007070CB" w:rsidRDefault="006E2E62">
            <w:pPr>
              <w:pStyle w:val="Tabletext"/>
              <w:tabs>
                <w:tab w:val="left" w:pos="964"/>
              </w:tabs>
              <w:spacing w:before="0" w:after="0"/>
              <w:ind w:left="-100"/>
              <w:jc w:val="center"/>
            </w:pPr>
            <w:r>
              <w:t>0</w:t>
            </w:r>
          </w:p>
        </w:tc>
      </w:tr>
    </w:tbl>
    <w:p w:rsidR="007070CB" w:rsidRDefault="006E2E62">
      <w:pPr>
        <w:pStyle w:val="TableFooter"/>
        <w:widowControl/>
      </w:pPr>
      <w:r>
        <w:t>Source: Table 2.5.1 p76 and Table 2.5.9 p91 of the submission.</w:t>
      </w:r>
    </w:p>
    <w:p w:rsidR="007070CB" w:rsidRDefault="006E2E62">
      <w:pPr>
        <w:pStyle w:val="TableFooter"/>
        <w:widowControl/>
        <w:rPr>
          <w:rFonts w:eastAsia="Calibri"/>
        </w:rPr>
      </w:pPr>
      <w:r>
        <w:rPr>
          <w:rFonts w:eastAsia="Calibri"/>
        </w:rPr>
        <w:t xml:space="preserve">Abbreviations: AE = adverse event; </w:t>
      </w:r>
      <w:r>
        <w:t>L 100 mg/I 125 mg = lumacaftor 100 mg/ivacaftor 125 mg; L 150 mg/I 188 mg = lumacaftor 150 mg/ivacaftor 188 mg</w:t>
      </w:r>
      <w:r>
        <w:rPr>
          <w:rFonts w:eastAsia="Calibri"/>
        </w:rPr>
        <w:t xml:space="preserve">; N = number of patients; SAE = serious adverse event. </w:t>
      </w:r>
    </w:p>
    <w:p w:rsidR="007070CB" w:rsidRDefault="007070CB">
      <w:pPr>
        <w:pStyle w:val="TableFooter"/>
        <w:widowControl/>
      </w:pPr>
    </w:p>
    <w:p w:rsidR="007070CB" w:rsidRDefault="006E2E62">
      <w:pPr>
        <w:pStyle w:val="Heading2"/>
      </w:pPr>
      <w:bookmarkStart w:id="22" w:name="_Toc6931322"/>
      <w:bookmarkStart w:id="23" w:name="_Toc9335660"/>
      <w:r>
        <w:t>Benefits/harms</w:t>
      </w:r>
      <w:bookmarkEnd w:id="22"/>
      <w:bookmarkEnd w:id="23"/>
    </w:p>
    <w:p w:rsidR="007070CB" w:rsidRDefault="006E2E62">
      <w:pPr>
        <w:pStyle w:val="ListParagraph"/>
        <w:widowControl/>
        <w:numPr>
          <w:ilvl w:val="1"/>
          <w:numId w:val="1"/>
        </w:numPr>
      </w:pPr>
      <w:r>
        <w:t>Study 115 was a non-comparative study. As such, it is not possible to present a comparative benefits-to-harms summary.</w:t>
      </w:r>
    </w:p>
    <w:p w:rsidR="007070CB" w:rsidRDefault="006E2E62">
      <w:pPr>
        <w:pStyle w:val="Heading2"/>
      </w:pPr>
      <w:bookmarkStart w:id="24" w:name="_Toc6931323"/>
      <w:bookmarkStart w:id="25" w:name="_Toc9335661"/>
      <w:r>
        <w:t>Clinical claim</w:t>
      </w:r>
      <w:bookmarkEnd w:id="24"/>
      <w:bookmarkEnd w:id="25"/>
    </w:p>
    <w:p w:rsidR="007070CB" w:rsidRDefault="006E2E62">
      <w:pPr>
        <w:pStyle w:val="ListParagraph"/>
        <w:widowControl/>
        <w:numPr>
          <w:ilvl w:val="1"/>
          <w:numId w:val="1"/>
        </w:numPr>
      </w:pPr>
      <w:r>
        <w:t xml:space="preserve">The submission described lumacaftor/ivacaftor plus BSC as superior in terms of effectiveness compared with BSC alone and non-inferior in terms of safety compared with BSC alone. Previous submissions of lumacaftor/ivacaftor in patients aged 6 years and older with CF who are homozygous for the F508del mutation (March 2016; July 2017; July 2018) have also described lumacaftor/ivacaftor as superior in terms of comparative effectiveness and equivalent in terms of comparative safety over BSC. </w:t>
      </w:r>
    </w:p>
    <w:p w:rsidR="007070CB" w:rsidRDefault="006E2E62">
      <w:pPr>
        <w:widowControl/>
        <w:numPr>
          <w:ilvl w:val="1"/>
          <w:numId w:val="1"/>
        </w:numPr>
        <w:spacing w:after="120"/>
      </w:pPr>
      <w:r>
        <w:t xml:space="preserve">Given the absence of a comparator group and the small number of patients in Study 115, the therapeutic conclusion presented was not adequately supported by the evidence presented in Section 2 of the submission. The following should be noted with respect to interpreting the evidence presented: </w:t>
      </w:r>
    </w:p>
    <w:p w:rsidR="007070CB" w:rsidRDefault="006E2E62">
      <w:pPr>
        <w:widowControl/>
        <w:numPr>
          <w:ilvl w:val="0"/>
          <w:numId w:val="10"/>
        </w:numPr>
        <w:spacing w:after="120"/>
        <w:ind w:left="993" w:hanging="284"/>
      </w:pPr>
      <w:r>
        <w:t>Study 115 was a non-randomised, non-comparative and open label study. As such, the study results were subject to considerable uncertainty.</w:t>
      </w:r>
    </w:p>
    <w:p w:rsidR="007070CB" w:rsidRDefault="006E2E62">
      <w:pPr>
        <w:widowControl/>
        <w:numPr>
          <w:ilvl w:val="0"/>
          <w:numId w:val="10"/>
        </w:numPr>
        <w:spacing w:after="120"/>
        <w:ind w:left="993" w:hanging="284"/>
      </w:pPr>
      <w:r>
        <w:t>The absence of a comparator group in Study 115 means that positive results in terms of changes in ppFEV</w:t>
      </w:r>
      <w:r>
        <w:rPr>
          <w:vertAlign w:val="subscript"/>
        </w:rPr>
        <w:t>1</w:t>
      </w:r>
      <w:r>
        <w:t>, LCI</w:t>
      </w:r>
      <w:r>
        <w:rPr>
          <w:vertAlign w:val="subscript"/>
        </w:rPr>
        <w:t>2.5</w:t>
      </w:r>
      <w:r>
        <w:t>,</w:t>
      </w:r>
      <w:r>
        <w:rPr>
          <w:vertAlign w:val="subscript"/>
        </w:rPr>
        <w:t xml:space="preserve"> </w:t>
      </w:r>
      <w:r>
        <w:t>weight gain and other outcomes should be interpreted with caution.</w:t>
      </w:r>
    </w:p>
    <w:p w:rsidR="007070CB" w:rsidRDefault="006E2E62">
      <w:pPr>
        <w:widowControl/>
        <w:numPr>
          <w:ilvl w:val="0"/>
          <w:numId w:val="10"/>
        </w:numPr>
        <w:spacing w:after="120"/>
        <w:ind w:left="993" w:hanging="284"/>
      </w:pPr>
      <w:r>
        <w:t xml:space="preserve">Study 115 assessed the efficacy of lumacaftor/ivacaftor in terms of intermediate outcomes, collected over a short period of time (24 weeks). However, the </w:t>
      </w:r>
      <w:r>
        <w:lastRenderedPageBreak/>
        <w:t>submission did not use these data to inform the comparison over the long-term, which is relevant as lumacaftor/ivacaftor may be used as a lifelong treatment.</w:t>
      </w:r>
    </w:p>
    <w:p w:rsidR="007070CB" w:rsidRDefault="006E2E62">
      <w:pPr>
        <w:widowControl/>
        <w:numPr>
          <w:ilvl w:val="1"/>
          <w:numId w:val="1"/>
        </w:numPr>
        <w:spacing w:after="120"/>
        <w:rPr>
          <w:rFonts w:cs="Calibri"/>
          <w:snapToGrid/>
          <w:szCs w:val="24"/>
          <w:lang w:eastAsia="en-AU"/>
        </w:rPr>
      </w:pPr>
      <w:r>
        <w:rPr>
          <w:rFonts w:cs="Calibri"/>
          <w:snapToGrid/>
          <w:szCs w:val="24"/>
          <w:lang w:eastAsia="en-AU"/>
        </w:rPr>
        <w:t>The evaluation considered that the therapeutic conclusion with regard to clinical efficacy presented in the submission was not adequately supported by the evidence presented, particularly in the absence of long-term data. This is particularly relevant in light of the data from the PROGRESS study that demonstrated that the modest ppFEV</w:t>
      </w:r>
      <w:r>
        <w:rPr>
          <w:rFonts w:cs="Calibri"/>
          <w:snapToGrid/>
          <w:szCs w:val="24"/>
          <w:vertAlign w:val="subscript"/>
          <w:lang w:eastAsia="en-AU"/>
        </w:rPr>
        <w:t>1</w:t>
      </w:r>
      <w:r>
        <w:rPr>
          <w:rFonts w:cs="Calibri"/>
          <w:snapToGrid/>
          <w:szCs w:val="24"/>
          <w:lang w:eastAsia="en-AU"/>
        </w:rPr>
        <w:t xml:space="preserve"> increase in lumacaftor/ivacaftor treated patients (12 years of age and older) was not maintained in the longer term, with the improvement from baseline not being statistically significant at extension week 96 (i.e. up to 120 weeks of treatment) (PROGRESS; </w:t>
      </w:r>
      <w:r>
        <w:rPr>
          <w:rFonts w:asciiTheme="minorHAnsi" w:hAnsiTheme="minorHAnsi" w:cstheme="minorHAnsi"/>
          <w:snapToGrid/>
          <w:szCs w:val="24"/>
          <w:lang w:eastAsia="en-AU"/>
        </w:rPr>
        <w:t>see Figure 3</w:t>
      </w:r>
      <w:r>
        <w:rPr>
          <w:rFonts w:cs="Calibri"/>
          <w:snapToGrid/>
          <w:szCs w:val="24"/>
          <w:lang w:eastAsia="en-AU"/>
        </w:rPr>
        <w:t>)</w:t>
      </w:r>
      <w:r>
        <w:t xml:space="preserve"> (lumacaftor/ivacaftor, PSD July 2017 paragraph 7.4). </w:t>
      </w:r>
    </w:p>
    <w:p w:rsidR="00FE09CF" w:rsidRDefault="00FE09CF" w:rsidP="00FE09CF">
      <w:pPr>
        <w:pStyle w:val="PBACTableText"/>
      </w:pPr>
      <w:r>
        <w:t xml:space="preserve">Figure </w:t>
      </w:r>
      <w:r w:rsidR="00AF1977">
        <w:rPr>
          <w:noProof/>
        </w:rPr>
        <w:t>3</w:t>
      </w:r>
      <w:r w:rsidRPr="00316323">
        <w:t>: Absolute change in ppFEV1 across trials, (Study 115, TRAFFIC and TRANSPORT POOLED, PROGRESS)</w:t>
      </w:r>
    </w:p>
    <w:p w:rsidR="007070CB" w:rsidRDefault="006E2E62">
      <w:pPr>
        <w:keepNext/>
        <w:widowControl/>
      </w:pPr>
      <w:r>
        <w:rPr>
          <w:noProof/>
          <w:lang w:eastAsia="en-AU"/>
        </w:rPr>
        <w:drawing>
          <wp:inline distT="0" distB="0" distL="0" distR="0" wp14:anchorId="6A9D8C2A" wp14:editId="391727D6">
            <wp:extent cx="6034314" cy="1783014"/>
            <wp:effectExtent l="0" t="0" r="5080" b="8255"/>
            <wp:docPr id="8" name="Picture 8" title="Figure 3: Absolute change in ppFEV1 across trials, (Study 115, TRAFFIC and TRANSPORT POOLED, PROG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49547" cy="1817063"/>
                    </a:xfrm>
                    <a:prstGeom prst="rect">
                      <a:avLst/>
                    </a:prstGeom>
                    <a:noFill/>
                  </pic:spPr>
                </pic:pic>
              </a:graphicData>
            </a:graphic>
          </wp:inline>
        </w:drawing>
      </w:r>
    </w:p>
    <w:p w:rsidR="007070CB" w:rsidRDefault="006E2E62">
      <w:pPr>
        <w:pStyle w:val="TableFooter"/>
        <w:keepNext/>
        <w:widowControl/>
        <w:rPr>
          <w:snapToGrid/>
          <w:lang w:eastAsia="en-AU"/>
        </w:rPr>
      </w:pPr>
      <w:r>
        <w:rPr>
          <w:snapToGrid/>
          <w:lang w:eastAsia="en-AU"/>
        </w:rPr>
        <w:t>Abbreviations: Ext=extension, ppFEV</w:t>
      </w:r>
      <w:r>
        <w:rPr>
          <w:snapToGrid/>
          <w:vertAlign w:val="subscript"/>
          <w:lang w:eastAsia="en-AU"/>
        </w:rPr>
        <w:t>1</w:t>
      </w:r>
      <w:r>
        <w:rPr>
          <w:snapToGrid/>
          <w:lang w:eastAsia="en-AU"/>
        </w:rPr>
        <w:t>= percent predicted forced expiratory volume in one second</w:t>
      </w:r>
    </w:p>
    <w:p w:rsidR="007070CB" w:rsidRDefault="006E2E62">
      <w:pPr>
        <w:pStyle w:val="TableFooter"/>
        <w:keepNext/>
        <w:widowControl/>
        <w:rPr>
          <w:snapToGrid/>
          <w:lang w:eastAsia="en-AU"/>
        </w:rPr>
      </w:pPr>
      <w:r>
        <w:rPr>
          <w:snapToGrid/>
          <w:lang w:eastAsia="en-AU"/>
        </w:rPr>
        <w:t xml:space="preserve">Source: Compiled by the evaluation based on </w:t>
      </w:r>
      <w:r>
        <w:t>Table 2.5.2 p78 of the submission</w:t>
      </w:r>
      <w:r>
        <w:rPr>
          <w:snapToGrid/>
          <w:lang w:eastAsia="en-AU"/>
        </w:rPr>
        <w:t xml:space="preserve">; Table 11-4, p131 of CSR TRAFFIC; Table 11-5, p141 of CSR TRANSPORT; Table 11-2 p102 of CSR PROGRESS. </w:t>
      </w:r>
    </w:p>
    <w:p w:rsidR="007070CB" w:rsidRDefault="007070CB">
      <w:pPr>
        <w:pStyle w:val="TableFooter"/>
        <w:widowControl/>
        <w:rPr>
          <w:snapToGrid/>
          <w:lang w:eastAsia="en-AU"/>
        </w:rPr>
      </w:pPr>
    </w:p>
    <w:p w:rsidR="007070CB" w:rsidRDefault="006E2E62">
      <w:pPr>
        <w:widowControl/>
        <w:numPr>
          <w:ilvl w:val="1"/>
          <w:numId w:val="1"/>
        </w:numPr>
        <w:spacing w:after="120"/>
      </w:pPr>
      <w:r>
        <w:t>The ESC considered that given the aetiology of CF, difficulties in obtaining comparative data in this patient population, and the results of intermediate outcomes from Study 115 (including reduction in sweat chloride), the claim of superior efficacy compared with BSC alone was biologically plausible. However the ESC noted the magnitude of benefit over both the short-term and a lifetime was unknown as the supportive evidence was limited by the lack of a control, the short duration (24 weeks) of Study 115 and lack of ppFEV</w:t>
      </w:r>
      <w:r>
        <w:rPr>
          <w:vertAlign w:val="subscript"/>
        </w:rPr>
        <w:t>1</w:t>
      </w:r>
      <w:r>
        <w:t xml:space="preserve"> outcomes (which were previously considered the primary endpoint upon which to assess the efficacy of ivacaftor). </w:t>
      </w:r>
    </w:p>
    <w:p w:rsidR="007070CB" w:rsidRDefault="006E2E62">
      <w:pPr>
        <w:widowControl/>
        <w:numPr>
          <w:ilvl w:val="1"/>
          <w:numId w:val="1"/>
        </w:numPr>
        <w:spacing w:after="120"/>
      </w:pPr>
      <w:r>
        <w:t>The ESC considered the claim of non-inferior safety to BSC was reasonable noting there were no major safety signals with lumacaftor/ivacaftor in the study presented or in older patients.</w:t>
      </w:r>
    </w:p>
    <w:p w:rsidR="007070CB" w:rsidRDefault="006E2E62">
      <w:pPr>
        <w:pStyle w:val="ListParagraph"/>
        <w:widowControl/>
        <w:numPr>
          <w:ilvl w:val="1"/>
          <w:numId w:val="1"/>
        </w:numPr>
      </w:pPr>
      <w:r>
        <w:t xml:space="preserve">The PBAC considered that the claim of superior effectiveness compared with BSC was biologically plausible. However, </w:t>
      </w:r>
      <w:r>
        <w:rPr>
          <w:rFonts w:asciiTheme="minorHAnsi" w:hAnsiTheme="minorHAnsi"/>
          <w:bCs/>
          <w:lang w:val="en-GB"/>
        </w:rPr>
        <w:t>the PBAC noted that the magnitude of benefit of commencing treatment at a younger age, in terms of reducing the rate of lung function deterioration over both the short- and long-term, was unknown</w:t>
      </w:r>
      <w:r>
        <w:t xml:space="preserve"> (see paragraph 6.19).</w:t>
      </w:r>
    </w:p>
    <w:p w:rsidR="007070CB" w:rsidRDefault="006E2E62">
      <w:pPr>
        <w:pStyle w:val="ListParagraph"/>
        <w:widowControl/>
        <w:numPr>
          <w:ilvl w:val="1"/>
          <w:numId w:val="1"/>
        </w:numPr>
      </w:pPr>
      <w:r>
        <w:t>Based on data presented previously from older age groups, the PBAC considered that the claim of non-inferior safety compared with BSC was reasonable.</w:t>
      </w:r>
    </w:p>
    <w:p w:rsidR="007070CB" w:rsidRDefault="006E2E62">
      <w:pPr>
        <w:widowControl/>
        <w:jc w:val="left"/>
        <w:rPr>
          <w:b/>
          <w:i/>
          <w:sz w:val="28"/>
        </w:rPr>
      </w:pPr>
      <w:bookmarkStart w:id="26" w:name="_Toc6931324"/>
      <w:bookmarkStart w:id="27" w:name="_Toc9335662"/>
      <w:r>
        <w:br w:type="page"/>
      </w:r>
    </w:p>
    <w:p w:rsidR="007070CB" w:rsidRDefault="006E2E62">
      <w:pPr>
        <w:pStyle w:val="Heading2"/>
        <w:keepNext w:val="0"/>
      </w:pPr>
      <w:r>
        <w:lastRenderedPageBreak/>
        <w:t>Economic analysis</w:t>
      </w:r>
      <w:bookmarkEnd w:id="26"/>
      <w:bookmarkEnd w:id="27"/>
      <w:r>
        <w:t xml:space="preserve"> </w:t>
      </w:r>
    </w:p>
    <w:p w:rsidR="007070CB" w:rsidRDefault="006E2E62">
      <w:pPr>
        <w:pStyle w:val="ListParagraph"/>
        <w:widowControl/>
        <w:numPr>
          <w:ilvl w:val="1"/>
          <w:numId w:val="1"/>
        </w:numPr>
      </w:pPr>
      <w:r>
        <w:t xml:space="preserve">The economic evaluation presented was a cost-utility analysis (CUA). </w:t>
      </w:r>
      <w:r>
        <w:rPr>
          <w:rFonts w:asciiTheme="minorHAnsi" w:hAnsiTheme="minorHAnsi"/>
        </w:rPr>
        <w:t xml:space="preserve">The structure of the model was the same as in the previous (re)submissions (March 2016, November 2016, July 2017, July 2018), which presented a CUA of lumacaftor/ivacaftor compared with BSC. </w:t>
      </w:r>
      <w:r>
        <w:t>The economic evaluation did not rely directly on the clinical data (efficacy and safety) presented in Section 2; data from older age cohorts were used to populate the model and infer the comparative clinical benefit for lumacaftor/ivacaftor in the proposed age group (children aged 2 to 5 years).</w:t>
      </w:r>
    </w:p>
    <w:p w:rsidR="007070CB" w:rsidRDefault="006E2E62">
      <w:pPr>
        <w:widowControl/>
        <w:numPr>
          <w:ilvl w:val="1"/>
          <w:numId w:val="1"/>
        </w:numPr>
        <w:spacing w:after="120"/>
      </w:pPr>
      <w:r>
        <w:t>The ESC noted that the submission did not present an estimate of the incremental cost effectiveness of starting treatment with lumacaftor/ivacaftor from two years of age (early onset treatment) compared with BSC from 2-5 years, followed by lumacaftor/ivacaftor treatment starting at 6 years of age (as is currently funded via the PBS). The ESC considered that the magnitude of the incremental benefit in commencing treatment with lumacaftor/ivacaftor at a younger age was uncertain and, therefore, the incremental cost effectiveness of early onset treatment was uncertain.</w:t>
      </w:r>
    </w:p>
    <w:p w:rsidR="007070CB" w:rsidRDefault="006E2E62">
      <w:pPr>
        <w:widowControl/>
        <w:numPr>
          <w:ilvl w:val="1"/>
          <w:numId w:val="1"/>
        </w:numPr>
        <w:spacing w:after="120"/>
      </w:pPr>
      <w:r>
        <w:t xml:space="preserve">The pre-PBAC response stated that an analysis of the incremental cost effectiveness of early onset treatment would require a higher evidentiary burden than that applied to other age-based sub-groups. The PBAC noted that while the submissions for ivacaftor granules for eligble CF patients aged 2 to 5 years and 12 to &lt;24 months also did not present the incremental cost effectiveness of early onset, </w:t>
      </w:r>
      <w:r w:rsidR="00C42D5F">
        <w:rPr>
          <w:noProof/>
          <w:color w:val="000000"/>
          <w:highlight w:val="black"/>
        </w:rPr>
        <w:t>'''''''''''' '''''' '''''''''''''' '''''''''' '''''''''''''''''''''''''''' ''''''''' ''' ''''''''''''''''' '''' '''''' ''''''''''''''''''''''''' ''''''' '''''''' ''''' ''''' ''''''''''''''' '''''''''''' '''' '''''''''''''''''''''' ''''''''''''''''''''''''' '''''''' '''''''''''''''''' '''''''''</w:t>
      </w:r>
      <w:r>
        <w:t xml:space="preserve"> By comparison, the current submission requested an increase in the current lumacaftor/ivacaftor subsidisation caps through the current RSA by over </w:t>
      </w:r>
      <w:r w:rsidR="00C42D5F">
        <w:rPr>
          <w:noProof/>
          <w:color w:val="000000"/>
          <w:highlight w:val="black"/>
        </w:rPr>
        <w:t>'''''''' '''''''''''''</w:t>
      </w:r>
      <w:r>
        <w:t xml:space="preserve"> for each of the remaining years of the current Deed of Agreement.</w:t>
      </w:r>
    </w:p>
    <w:p w:rsidR="007070CB" w:rsidRDefault="006E2E62">
      <w:pPr>
        <w:pStyle w:val="ListParagraph"/>
        <w:widowControl/>
        <w:numPr>
          <w:ilvl w:val="1"/>
          <w:numId w:val="1"/>
        </w:numPr>
      </w:pPr>
      <w:r>
        <w:t xml:space="preserve">The key components of the economic evaluation are provided in Table 8. </w:t>
      </w:r>
    </w:p>
    <w:p w:rsidR="007070CB" w:rsidRDefault="006E2E62">
      <w:pPr>
        <w:widowControl/>
        <w:jc w:val="left"/>
        <w:rPr>
          <w:rFonts w:ascii="Arial Narrow" w:hAnsi="Arial Narrow" w:cs="Times New Roman"/>
          <w:b/>
          <w:snapToGrid/>
          <w:sz w:val="20"/>
        </w:rPr>
      </w:pPr>
      <w:bookmarkStart w:id="28" w:name="_Ref6859934"/>
      <w:r>
        <w:rPr>
          <w:b/>
        </w:rPr>
        <w:br w:type="page"/>
      </w:r>
    </w:p>
    <w:bookmarkEnd w:id="28"/>
    <w:p w:rsidR="00FE09CF" w:rsidRDefault="00FE09CF" w:rsidP="00FE09CF">
      <w:pPr>
        <w:pStyle w:val="PBACTableText"/>
      </w:pPr>
      <w:r>
        <w:lastRenderedPageBreak/>
        <w:t xml:space="preserve">Table </w:t>
      </w:r>
      <w:r w:rsidR="00AF1977">
        <w:rPr>
          <w:noProof/>
        </w:rPr>
        <w:t>8</w:t>
      </w:r>
      <w:r w:rsidRPr="00861EE6">
        <w:t>: Summary of model structure and rationale</w:t>
      </w:r>
    </w:p>
    <w:tbl>
      <w:tblPr>
        <w:tblStyle w:val="TableGrid"/>
        <w:tblW w:w="5000" w:type="pct"/>
        <w:tblLook w:val="04A0" w:firstRow="1" w:lastRow="0" w:firstColumn="1" w:lastColumn="0" w:noHBand="0" w:noVBand="1"/>
        <w:tblCaption w:val="Table 8: Summary of model structure and rationale"/>
      </w:tblPr>
      <w:tblGrid>
        <w:gridCol w:w="1998"/>
        <w:gridCol w:w="7019"/>
      </w:tblGrid>
      <w:tr w:rsidR="007070CB">
        <w:trPr>
          <w:tblHeader/>
        </w:trPr>
        <w:tc>
          <w:tcPr>
            <w:tcW w:w="1108" w:type="pct"/>
            <w:tcBorders>
              <w:top w:val="single" w:sz="4" w:space="0" w:color="auto"/>
              <w:left w:val="single" w:sz="4" w:space="0" w:color="auto"/>
              <w:bottom w:val="single" w:sz="4" w:space="0" w:color="auto"/>
              <w:right w:val="single" w:sz="4" w:space="0" w:color="auto"/>
            </w:tcBorders>
            <w:shd w:val="clear" w:color="auto" w:fill="auto"/>
            <w:hideMark/>
          </w:tcPr>
          <w:p w:rsidR="007070CB" w:rsidRDefault="006E2E62">
            <w:pPr>
              <w:pStyle w:val="TableLeft"/>
              <w:rPr>
                <w:rFonts w:ascii="Arial Narrow" w:hAnsi="Arial Narrow"/>
                <w:b/>
                <w:lang w:val="en-US" w:bidi="en-US"/>
              </w:rPr>
            </w:pPr>
            <w:r>
              <w:rPr>
                <w:rFonts w:ascii="Arial Narrow" w:hAnsi="Arial Narrow"/>
                <w:b/>
              </w:rPr>
              <w:t>Component</w:t>
            </w:r>
          </w:p>
        </w:tc>
        <w:tc>
          <w:tcPr>
            <w:tcW w:w="3892" w:type="pct"/>
            <w:tcBorders>
              <w:top w:val="single" w:sz="4" w:space="0" w:color="auto"/>
              <w:left w:val="single" w:sz="4" w:space="0" w:color="auto"/>
              <w:bottom w:val="single" w:sz="4" w:space="0" w:color="auto"/>
              <w:right w:val="single" w:sz="4" w:space="0" w:color="auto"/>
            </w:tcBorders>
            <w:shd w:val="clear" w:color="auto" w:fill="auto"/>
            <w:hideMark/>
          </w:tcPr>
          <w:p w:rsidR="007070CB" w:rsidRDefault="006E2E62">
            <w:pPr>
              <w:pStyle w:val="TableLeft"/>
              <w:rPr>
                <w:rFonts w:ascii="Arial Narrow" w:hAnsi="Arial Narrow"/>
                <w:b/>
              </w:rPr>
            </w:pPr>
            <w:r>
              <w:rPr>
                <w:rFonts w:ascii="Arial Narrow" w:hAnsi="Arial Narrow"/>
                <w:b/>
              </w:rPr>
              <w:t>Summary</w:t>
            </w:r>
          </w:p>
        </w:tc>
      </w:tr>
      <w:tr w:rsidR="007070CB">
        <w:tc>
          <w:tcPr>
            <w:tcW w:w="1108" w:type="pct"/>
            <w:tcBorders>
              <w:top w:val="single" w:sz="4" w:space="0" w:color="auto"/>
              <w:left w:val="single" w:sz="4" w:space="0" w:color="auto"/>
              <w:bottom w:val="single" w:sz="4" w:space="0" w:color="auto"/>
              <w:right w:val="single" w:sz="4" w:space="0" w:color="auto"/>
            </w:tcBorders>
            <w:hideMark/>
          </w:tcPr>
          <w:p w:rsidR="007070CB" w:rsidRDefault="006E2E62">
            <w:pPr>
              <w:pStyle w:val="TableLeft"/>
              <w:rPr>
                <w:rFonts w:ascii="Arial Narrow" w:hAnsi="Arial Narrow"/>
              </w:rPr>
            </w:pPr>
            <w:r>
              <w:rPr>
                <w:rFonts w:ascii="Arial Narrow" w:hAnsi="Arial Narrow"/>
              </w:rPr>
              <w:t>Types of analysis</w:t>
            </w:r>
          </w:p>
        </w:tc>
        <w:tc>
          <w:tcPr>
            <w:tcW w:w="3892" w:type="pct"/>
            <w:tcBorders>
              <w:top w:val="single" w:sz="4" w:space="0" w:color="auto"/>
              <w:left w:val="single" w:sz="4" w:space="0" w:color="auto"/>
              <w:bottom w:val="single" w:sz="4" w:space="0" w:color="auto"/>
              <w:right w:val="single" w:sz="4" w:space="0" w:color="auto"/>
            </w:tcBorders>
          </w:tcPr>
          <w:p w:rsidR="007070CB" w:rsidRDefault="006E2E62">
            <w:pPr>
              <w:pStyle w:val="TableLeft"/>
              <w:rPr>
                <w:rFonts w:ascii="Arial Narrow" w:hAnsi="Arial Narrow"/>
              </w:rPr>
            </w:pPr>
            <w:r>
              <w:rPr>
                <w:rFonts w:ascii="Arial Narrow" w:hAnsi="Arial Narrow"/>
              </w:rPr>
              <w:t xml:space="preserve">Cost utility analysis </w:t>
            </w:r>
          </w:p>
        </w:tc>
      </w:tr>
      <w:tr w:rsidR="007070CB">
        <w:tc>
          <w:tcPr>
            <w:tcW w:w="1108" w:type="pct"/>
            <w:tcBorders>
              <w:top w:val="single" w:sz="4" w:space="0" w:color="auto"/>
              <w:left w:val="single" w:sz="4" w:space="0" w:color="auto"/>
              <w:bottom w:val="single" w:sz="4" w:space="0" w:color="auto"/>
              <w:right w:val="single" w:sz="4" w:space="0" w:color="auto"/>
            </w:tcBorders>
            <w:hideMark/>
          </w:tcPr>
          <w:p w:rsidR="007070CB" w:rsidRDefault="006E2E62">
            <w:pPr>
              <w:pStyle w:val="TableLeft"/>
              <w:rPr>
                <w:rFonts w:ascii="Arial Narrow" w:hAnsi="Arial Narrow"/>
              </w:rPr>
            </w:pPr>
            <w:r>
              <w:rPr>
                <w:rFonts w:ascii="Arial Narrow" w:hAnsi="Arial Narrow"/>
              </w:rPr>
              <w:t>Outcomes</w:t>
            </w:r>
          </w:p>
        </w:tc>
        <w:tc>
          <w:tcPr>
            <w:tcW w:w="3892" w:type="pct"/>
            <w:tcBorders>
              <w:top w:val="single" w:sz="4" w:space="0" w:color="auto"/>
              <w:left w:val="single" w:sz="4" w:space="0" w:color="auto"/>
              <w:bottom w:val="single" w:sz="4" w:space="0" w:color="auto"/>
              <w:right w:val="single" w:sz="4" w:space="0" w:color="auto"/>
            </w:tcBorders>
          </w:tcPr>
          <w:p w:rsidR="007070CB" w:rsidRDefault="006E2E62">
            <w:pPr>
              <w:pStyle w:val="TableLeft"/>
              <w:rPr>
                <w:rFonts w:ascii="Arial Narrow" w:hAnsi="Arial Narrow"/>
              </w:rPr>
            </w:pPr>
            <w:r>
              <w:rPr>
                <w:rFonts w:ascii="Arial Narrow" w:hAnsi="Arial Narrow"/>
              </w:rPr>
              <w:t xml:space="preserve">Quality-adjusted life years </w:t>
            </w:r>
          </w:p>
        </w:tc>
      </w:tr>
      <w:tr w:rsidR="007070CB">
        <w:tc>
          <w:tcPr>
            <w:tcW w:w="1108" w:type="pct"/>
            <w:tcBorders>
              <w:top w:val="single" w:sz="4" w:space="0" w:color="auto"/>
              <w:left w:val="single" w:sz="4" w:space="0" w:color="auto"/>
              <w:bottom w:val="single" w:sz="4" w:space="0" w:color="auto"/>
              <w:right w:val="single" w:sz="4" w:space="0" w:color="auto"/>
            </w:tcBorders>
            <w:hideMark/>
          </w:tcPr>
          <w:p w:rsidR="007070CB" w:rsidRDefault="006E2E62">
            <w:pPr>
              <w:pStyle w:val="TableLeft"/>
              <w:rPr>
                <w:rFonts w:ascii="Arial Narrow" w:hAnsi="Arial Narrow"/>
              </w:rPr>
            </w:pPr>
            <w:r>
              <w:rPr>
                <w:rFonts w:ascii="Arial Narrow" w:hAnsi="Arial Narrow"/>
              </w:rPr>
              <w:t>Time horizon</w:t>
            </w:r>
          </w:p>
        </w:tc>
        <w:tc>
          <w:tcPr>
            <w:tcW w:w="3892" w:type="pct"/>
            <w:tcBorders>
              <w:top w:val="single" w:sz="4" w:space="0" w:color="auto"/>
              <w:left w:val="single" w:sz="4" w:space="0" w:color="auto"/>
              <w:bottom w:val="single" w:sz="4" w:space="0" w:color="auto"/>
              <w:right w:val="single" w:sz="4" w:space="0" w:color="auto"/>
            </w:tcBorders>
          </w:tcPr>
          <w:p w:rsidR="007070CB" w:rsidRDefault="006E2E62">
            <w:pPr>
              <w:pStyle w:val="TableLeft"/>
              <w:rPr>
                <w:rFonts w:ascii="Arial Narrow" w:hAnsi="Arial Narrow"/>
              </w:rPr>
            </w:pPr>
            <w:r>
              <w:rPr>
                <w:rFonts w:ascii="Arial Narrow" w:hAnsi="Arial Narrow"/>
              </w:rPr>
              <w:t xml:space="preserve">Base case analysis: lifetime vs. the following durations in the pivotal evidence: </w:t>
            </w:r>
          </w:p>
          <w:p w:rsidR="007070CB" w:rsidRDefault="006E2E62">
            <w:pPr>
              <w:pStyle w:val="TableLeft"/>
              <w:rPr>
                <w:rFonts w:ascii="Arial Narrow" w:hAnsi="Arial Narrow"/>
              </w:rPr>
            </w:pPr>
            <w:r>
              <w:rPr>
                <w:rFonts w:ascii="Arial Narrow" w:hAnsi="Arial Narrow"/>
              </w:rPr>
              <w:t>Patients aged 12+: 24 weeks (randomised) with 96 weeks of extension data (up to 120 weeks of treatment);</w:t>
            </w:r>
          </w:p>
          <w:p w:rsidR="007070CB" w:rsidRDefault="006E2E62">
            <w:pPr>
              <w:pStyle w:val="TableLeft"/>
              <w:rPr>
                <w:rFonts w:ascii="Arial Narrow" w:hAnsi="Arial Narrow"/>
              </w:rPr>
            </w:pPr>
            <w:r>
              <w:rPr>
                <w:rFonts w:ascii="Arial Narrow" w:hAnsi="Arial Narrow"/>
              </w:rPr>
              <w:t xml:space="preserve">Patients aged 6–11: 24 weeks (randomised) </w:t>
            </w:r>
          </w:p>
          <w:p w:rsidR="007070CB" w:rsidRDefault="006E2E62">
            <w:pPr>
              <w:pStyle w:val="TableLeft"/>
              <w:rPr>
                <w:rFonts w:ascii="Arial Narrow" w:hAnsi="Arial Narrow"/>
              </w:rPr>
            </w:pPr>
            <w:r>
              <w:rPr>
                <w:rFonts w:ascii="Arial Narrow" w:hAnsi="Arial Narrow"/>
              </w:rPr>
              <w:t>Patients aged 2–5: 24 weeks (non-randomised)</w:t>
            </w:r>
          </w:p>
        </w:tc>
      </w:tr>
      <w:tr w:rsidR="007070CB">
        <w:tc>
          <w:tcPr>
            <w:tcW w:w="1108" w:type="pct"/>
            <w:tcBorders>
              <w:top w:val="single" w:sz="4" w:space="0" w:color="auto"/>
              <w:left w:val="single" w:sz="4" w:space="0" w:color="auto"/>
              <w:bottom w:val="single" w:sz="4" w:space="0" w:color="auto"/>
              <w:right w:val="single" w:sz="4" w:space="0" w:color="auto"/>
            </w:tcBorders>
            <w:hideMark/>
          </w:tcPr>
          <w:p w:rsidR="007070CB" w:rsidRDefault="006E2E62">
            <w:pPr>
              <w:pStyle w:val="TableLeft"/>
              <w:rPr>
                <w:rFonts w:ascii="Arial Narrow" w:hAnsi="Arial Narrow"/>
              </w:rPr>
            </w:pPr>
            <w:r>
              <w:rPr>
                <w:rFonts w:ascii="Arial Narrow" w:hAnsi="Arial Narrow"/>
              </w:rPr>
              <w:t>Method used to generate results</w:t>
            </w:r>
          </w:p>
        </w:tc>
        <w:tc>
          <w:tcPr>
            <w:tcW w:w="3892" w:type="pct"/>
            <w:tcBorders>
              <w:top w:val="single" w:sz="4" w:space="0" w:color="auto"/>
              <w:left w:val="single" w:sz="4" w:space="0" w:color="auto"/>
              <w:bottom w:val="single" w:sz="4" w:space="0" w:color="auto"/>
              <w:right w:val="single" w:sz="4" w:space="0" w:color="auto"/>
            </w:tcBorders>
          </w:tcPr>
          <w:p w:rsidR="007070CB" w:rsidRDefault="006E2E62">
            <w:pPr>
              <w:pStyle w:val="TableLeft"/>
              <w:rPr>
                <w:rFonts w:ascii="Arial Narrow" w:hAnsi="Arial Narrow"/>
              </w:rPr>
            </w:pPr>
            <w:r>
              <w:rPr>
                <w:rFonts w:ascii="Arial Narrow" w:hAnsi="Arial Narrow"/>
              </w:rPr>
              <w:t>Individual patient microsimulation</w:t>
            </w:r>
          </w:p>
        </w:tc>
      </w:tr>
      <w:tr w:rsidR="007070CB">
        <w:tc>
          <w:tcPr>
            <w:tcW w:w="1108" w:type="pct"/>
            <w:tcBorders>
              <w:top w:val="single" w:sz="4" w:space="0" w:color="auto"/>
              <w:left w:val="single" w:sz="4" w:space="0" w:color="auto"/>
              <w:bottom w:val="single" w:sz="4" w:space="0" w:color="auto"/>
              <w:right w:val="single" w:sz="4" w:space="0" w:color="auto"/>
            </w:tcBorders>
            <w:hideMark/>
          </w:tcPr>
          <w:p w:rsidR="007070CB" w:rsidRDefault="006E2E62">
            <w:pPr>
              <w:pStyle w:val="TableLeft"/>
              <w:rPr>
                <w:rFonts w:ascii="Arial Narrow" w:hAnsi="Arial Narrow"/>
              </w:rPr>
            </w:pPr>
            <w:r>
              <w:rPr>
                <w:rFonts w:ascii="Arial Narrow" w:hAnsi="Arial Narrow"/>
              </w:rPr>
              <w:t>Health states</w:t>
            </w:r>
          </w:p>
        </w:tc>
        <w:tc>
          <w:tcPr>
            <w:tcW w:w="3892" w:type="pct"/>
            <w:tcBorders>
              <w:top w:val="single" w:sz="4" w:space="0" w:color="auto"/>
              <w:left w:val="single" w:sz="4" w:space="0" w:color="auto"/>
              <w:bottom w:val="single" w:sz="4" w:space="0" w:color="auto"/>
              <w:right w:val="single" w:sz="4" w:space="0" w:color="auto"/>
            </w:tcBorders>
          </w:tcPr>
          <w:p w:rsidR="007070CB" w:rsidRDefault="006E2E62">
            <w:pPr>
              <w:pStyle w:val="TableLeft"/>
              <w:rPr>
                <w:rFonts w:ascii="Arial Narrow" w:hAnsi="Arial Narrow"/>
              </w:rPr>
            </w:pPr>
            <w:r>
              <w:rPr>
                <w:rFonts w:ascii="Arial Narrow" w:hAnsi="Arial Narrow"/>
              </w:rPr>
              <w:t>Changes are recorded based on individual patient underlying risk factors. Health states based on ppFEV</w:t>
            </w:r>
            <w:r>
              <w:rPr>
                <w:rFonts w:ascii="Arial Narrow" w:hAnsi="Arial Narrow"/>
                <w:vertAlign w:val="subscript"/>
              </w:rPr>
              <w:t>1</w:t>
            </w:r>
            <w:r>
              <w:rPr>
                <w:rFonts w:ascii="Arial Narrow" w:hAnsi="Arial Narrow"/>
              </w:rPr>
              <w:t xml:space="preserve"> status of normal (&gt;90%), mild (70-90%), moderate (40-70%) and severe (&lt;40%).</w:t>
            </w:r>
          </w:p>
        </w:tc>
      </w:tr>
      <w:tr w:rsidR="007070CB">
        <w:tc>
          <w:tcPr>
            <w:tcW w:w="1108" w:type="pct"/>
            <w:tcBorders>
              <w:top w:val="single" w:sz="4" w:space="0" w:color="auto"/>
              <w:left w:val="single" w:sz="4" w:space="0" w:color="auto"/>
              <w:bottom w:val="single" w:sz="4" w:space="0" w:color="auto"/>
              <w:right w:val="single" w:sz="4" w:space="0" w:color="auto"/>
            </w:tcBorders>
            <w:hideMark/>
          </w:tcPr>
          <w:p w:rsidR="007070CB" w:rsidRDefault="006E2E62">
            <w:pPr>
              <w:pStyle w:val="TableLeft"/>
              <w:rPr>
                <w:rFonts w:ascii="Arial Narrow" w:hAnsi="Arial Narrow"/>
              </w:rPr>
            </w:pPr>
            <w:r>
              <w:rPr>
                <w:rFonts w:ascii="Arial Narrow" w:hAnsi="Arial Narrow"/>
              </w:rPr>
              <w:t>Cycle length</w:t>
            </w:r>
          </w:p>
        </w:tc>
        <w:tc>
          <w:tcPr>
            <w:tcW w:w="3892" w:type="pct"/>
            <w:tcBorders>
              <w:top w:val="single" w:sz="4" w:space="0" w:color="auto"/>
              <w:left w:val="single" w:sz="4" w:space="0" w:color="auto"/>
              <w:bottom w:val="single" w:sz="4" w:space="0" w:color="auto"/>
              <w:right w:val="single" w:sz="4" w:space="0" w:color="auto"/>
            </w:tcBorders>
          </w:tcPr>
          <w:p w:rsidR="007070CB" w:rsidRDefault="006E2E62">
            <w:pPr>
              <w:pStyle w:val="TableLeft"/>
              <w:rPr>
                <w:rFonts w:ascii="Arial Narrow" w:hAnsi="Arial Narrow"/>
              </w:rPr>
            </w:pPr>
            <w:r>
              <w:rPr>
                <w:rFonts w:ascii="Arial Narrow" w:hAnsi="Arial Narrow"/>
              </w:rPr>
              <w:t>Four weekly cycle for the initial two years, annual thereafter.</w:t>
            </w:r>
          </w:p>
        </w:tc>
      </w:tr>
      <w:tr w:rsidR="007070CB">
        <w:trPr>
          <w:trHeight w:val="235"/>
        </w:trPr>
        <w:tc>
          <w:tcPr>
            <w:tcW w:w="1108" w:type="pct"/>
            <w:tcBorders>
              <w:top w:val="single" w:sz="4" w:space="0" w:color="auto"/>
              <w:left w:val="single" w:sz="4" w:space="0" w:color="auto"/>
              <w:bottom w:val="single" w:sz="4" w:space="0" w:color="auto"/>
              <w:right w:val="single" w:sz="4" w:space="0" w:color="auto"/>
            </w:tcBorders>
          </w:tcPr>
          <w:p w:rsidR="007070CB" w:rsidRDefault="006E2E62">
            <w:pPr>
              <w:pStyle w:val="TableLeft"/>
              <w:rPr>
                <w:rFonts w:ascii="Arial Narrow" w:hAnsi="Arial Narrow"/>
              </w:rPr>
            </w:pPr>
            <w:r>
              <w:rPr>
                <w:rFonts w:ascii="Arial Narrow" w:hAnsi="Arial Narrow"/>
              </w:rPr>
              <w:t>Transition probabilities</w:t>
            </w:r>
          </w:p>
        </w:tc>
        <w:tc>
          <w:tcPr>
            <w:tcW w:w="3892" w:type="pct"/>
            <w:tcBorders>
              <w:top w:val="single" w:sz="4" w:space="0" w:color="auto"/>
              <w:left w:val="single" w:sz="4" w:space="0" w:color="auto"/>
              <w:bottom w:val="single" w:sz="4" w:space="0" w:color="auto"/>
              <w:right w:val="single" w:sz="4" w:space="0" w:color="auto"/>
            </w:tcBorders>
          </w:tcPr>
          <w:p w:rsidR="007070CB" w:rsidRDefault="006E2E62">
            <w:pPr>
              <w:widowControl/>
              <w:jc w:val="left"/>
              <w:rPr>
                <w:rFonts w:ascii="Arial Narrow" w:hAnsi="Arial Narrow" w:cs="Times New Roman"/>
                <w:snapToGrid/>
                <w:sz w:val="20"/>
              </w:rPr>
            </w:pPr>
            <w:r>
              <w:rPr>
                <w:rFonts w:ascii="Arial Narrow" w:hAnsi="Arial Narrow" w:cs="Times New Roman"/>
                <w:snapToGrid/>
                <w:sz w:val="20"/>
              </w:rPr>
              <w:t>Modelled survival using Liou CPH model. Treatment effects were based on Study 109 (ppFEV</w:t>
            </w:r>
            <w:r>
              <w:rPr>
                <w:rFonts w:ascii="Arial Narrow" w:hAnsi="Arial Narrow" w:cs="Times New Roman"/>
                <w:snapToGrid/>
                <w:sz w:val="20"/>
                <w:vertAlign w:val="subscript"/>
              </w:rPr>
              <w:t xml:space="preserve">1 </w:t>
            </w:r>
            <w:r>
              <w:rPr>
                <w:rFonts w:ascii="Arial Narrow" w:hAnsi="Arial Narrow" w:cs="Times New Roman"/>
                <w:snapToGrid/>
                <w:sz w:val="20"/>
              </w:rPr>
              <w:t>for patients aged 6-11 years) and TRAFFIC/TRANSPORT (weight-for-age z-score).</w:t>
            </w:r>
          </w:p>
          <w:p w:rsidR="007070CB" w:rsidRDefault="006E2E62">
            <w:pPr>
              <w:widowControl/>
              <w:jc w:val="left"/>
              <w:rPr>
                <w:rFonts w:ascii="Arial Narrow" w:hAnsi="Arial Narrow" w:cs="Times New Roman"/>
                <w:snapToGrid/>
                <w:sz w:val="20"/>
              </w:rPr>
            </w:pPr>
            <w:r>
              <w:rPr>
                <w:rFonts w:ascii="Arial Narrow" w:hAnsi="Arial Narrow" w:cs="Times New Roman"/>
                <w:snapToGrid/>
                <w:sz w:val="20"/>
              </w:rPr>
              <w:t>Changes in treatment effect and patient characteristics over time from PROGRESS (decline in ppFEV</w:t>
            </w:r>
            <w:r>
              <w:rPr>
                <w:rFonts w:ascii="Arial Narrow" w:hAnsi="Arial Narrow" w:cs="Times New Roman"/>
                <w:snapToGrid/>
                <w:sz w:val="20"/>
                <w:vertAlign w:val="subscript"/>
              </w:rPr>
              <w:t xml:space="preserve">1 </w:t>
            </w:r>
            <w:r>
              <w:rPr>
                <w:rFonts w:ascii="Arial Narrow" w:hAnsi="Arial Narrow" w:cs="Times New Roman"/>
                <w:snapToGrid/>
                <w:sz w:val="20"/>
              </w:rPr>
              <w:t>post 24 weeks) and change in weight-for-age z-score.</w:t>
            </w:r>
          </w:p>
          <w:p w:rsidR="007070CB" w:rsidRDefault="006E2E62">
            <w:pPr>
              <w:pStyle w:val="TableText0"/>
              <w:keepNext w:val="0"/>
              <w:spacing w:before="0" w:after="0"/>
              <w:ind w:right="-103"/>
            </w:pPr>
            <w:r>
              <w:rPr>
                <w:rFonts w:cs="Times New Roman"/>
              </w:rPr>
              <w:t>Baseline hazard function from Cystic Fibrosis Registry of Ireland 2013.</w:t>
            </w:r>
          </w:p>
        </w:tc>
      </w:tr>
      <w:tr w:rsidR="007070CB">
        <w:trPr>
          <w:trHeight w:val="235"/>
        </w:trPr>
        <w:tc>
          <w:tcPr>
            <w:tcW w:w="1108" w:type="pct"/>
            <w:tcBorders>
              <w:top w:val="single" w:sz="4" w:space="0" w:color="auto"/>
              <w:left w:val="single" w:sz="4" w:space="0" w:color="auto"/>
              <w:bottom w:val="single" w:sz="4" w:space="0" w:color="auto"/>
              <w:right w:val="single" w:sz="4" w:space="0" w:color="auto"/>
            </w:tcBorders>
          </w:tcPr>
          <w:p w:rsidR="007070CB" w:rsidRDefault="006E2E62">
            <w:pPr>
              <w:pStyle w:val="TableLeft"/>
              <w:rPr>
                <w:rFonts w:ascii="Arial Narrow" w:hAnsi="Arial Narrow"/>
              </w:rPr>
            </w:pPr>
            <w:r>
              <w:rPr>
                <w:rFonts w:ascii="Arial Narrow" w:hAnsi="Arial Narrow"/>
              </w:rPr>
              <w:t>Utilities</w:t>
            </w:r>
          </w:p>
        </w:tc>
        <w:tc>
          <w:tcPr>
            <w:tcW w:w="3892" w:type="pct"/>
            <w:tcBorders>
              <w:top w:val="single" w:sz="4" w:space="0" w:color="auto"/>
              <w:left w:val="single" w:sz="4" w:space="0" w:color="auto"/>
              <w:bottom w:val="single" w:sz="4" w:space="0" w:color="auto"/>
              <w:right w:val="single" w:sz="4" w:space="0" w:color="auto"/>
            </w:tcBorders>
          </w:tcPr>
          <w:p w:rsidR="007070CB" w:rsidRDefault="006E2E62">
            <w:pPr>
              <w:widowControl/>
              <w:jc w:val="left"/>
              <w:rPr>
                <w:rFonts w:ascii="Arial Narrow" w:hAnsi="Arial Narrow" w:cs="Times New Roman"/>
                <w:snapToGrid/>
                <w:sz w:val="20"/>
              </w:rPr>
            </w:pPr>
            <w:r>
              <w:rPr>
                <w:rFonts w:ascii="Arial Narrow" w:hAnsi="Arial Narrow"/>
                <w:sz w:val="20"/>
              </w:rPr>
              <w:t>Derived from a clinician survey: Normal=0.98, Mild=0.88, Moderate=0.67, Severe=0.37. Patients with lung transplant=0.81 (Anyanwu et al 2002)</w:t>
            </w:r>
          </w:p>
        </w:tc>
      </w:tr>
      <w:tr w:rsidR="007070CB">
        <w:tc>
          <w:tcPr>
            <w:tcW w:w="1108" w:type="pct"/>
            <w:tcBorders>
              <w:top w:val="single" w:sz="4" w:space="0" w:color="auto"/>
              <w:left w:val="single" w:sz="4" w:space="0" w:color="auto"/>
              <w:bottom w:val="single" w:sz="4" w:space="0" w:color="auto"/>
              <w:right w:val="single" w:sz="4" w:space="0" w:color="auto"/>
            </w:tcBorders>
            <w:hideMark/>
          </w:tcPr>
          <w:p w:rsidR="007070CB" w:rsidRDefault="006E2E62">
            <w:pPr>
              <w:pStyle w:val="TableLeft"/>
              <w:rPr>
                <w:rFonts w:ascii="Arial Narrow" w:hAnsi="Arial Narrow"/>
              </w:rPr>
            </w:pPr>
            <w:r>
              <w:rPr>
                <w:rFonts w:ascii="Arial Narrow" w:hAnsi="Arial Narrow"/>
              </w:rPr>
              <w:t>Software</w:t>
            </w:r>
          </w:p>
        </w:tc>
        <w:tc>
          <w:tcPr>
            <w:tcW w:w="3892" w:type="pct"/>
            <w:tcBorders>
              <w:top w:val="single" w:sz="4" w:space="0" w:color="auto"/>
              <w:left w:val="single" w:sz="4" w:space="0" w:color="auto"/>
              <w:bottom w:val="single" w:sz="4" w:space="0" w:color="auto"/>
              <w:right w:val="single" w:sz="4" w:space="0" w:color="auto"/>
            </w:tcBorders>
          </w:tcPr>
          <w:p w:rsidR="007070CB" w:rsidRDefault="006E2E62">
            <w:pPr>
              <w:pStyle w:val="TableLeft"/>
              <w:rPr>
                <w:rFonts w:ascii="Arial Narrow" w:hAnsi="Arial Narrow"/>
              </w:rPr>
            </w:pPr>
            <w:r>
              <w:rPr>
                <w:rFonts w:ascii="Arial Narrow" w:hAnsi="Arial Narrow"/>
              </w:rPr>
              <w:t>Microsoft Excel making use of Visual Basic.</w:t>
            </w:r>
          </w:p>
        </w:tc>
      </w:tr>
    </w:tbl>
    <w:p w:rsidR="007070CB" w:rsidRDefault="006E2E62">
      <w:pPr>
        <w:pStyle w:val="Default"/>
        <w:jc w:val="both"/>
        <w:rPr>
          <w:rFonts w:ascii="Arial Narrow" w:hAnsi="Arial Narrow" w:cs="Arial"/>
          <w:bCs/>
          <w:sz w:val="18"/>
          <w:szCs w:val="18"/>
          <w:lang w:val="en-AU"/>
        </w:rPr>
      </w:pPr>
      <w:r>
        <w:rPr>
          <w:rFonts w:ascii="Arial Narrow" w:hAnsi="Arial Narrow" w:cs="Arial"/>
          <w:bCs/>
          <w:sz w:val="18"/>
          <w:szCs w:val="18"/>
          <w:lang w:val="en-AU"/>
        </w:rPr>
        <w:t>Source:</w:t>
      </w:r>
      <w:r w:rsidR="00FE7D84">
        <w:rPr>
          <w:rFonts w:ascii="Arial Narrow" w:hAnsi="Arial Narrow" w:cs="Arial"/>
          <w:bCs/>
          <w:sz w:val="18"/>
          <w:szCs w:val="18"/>
          <w:lang w:val="en-AU"/>
        </w:rPr>
        <w:t xml:space="preserve"> </w:t>
      </w:r>
      <w:r>
        <w:rPr>
          <w:rFonts w:ascii="Arial Narrow" w:hAnsi="Arial Narrow" w:cs="Arial"/>
          <w:bCs/>
          <w:sz w:val="18"/>
          <w:szCs w:val="18"/>
          <w:lang w:val="en-AU"/>
        </w:rPr>
        <w:t xml:space="preserve">Table 3.1.1 of the submission pp99-100. </w:t>
      </w:r>
    </w:p>
    <w:p w:rsidR="007070CB" w:rsidRDefault="006E2E62">
      <w:pPr>
        <w:widowControl/>
        <w:rPr>
          <w:rFonts w:ascii="Arial Narrow" w:hAnsi="Arial Narrow"/>
          <w:sz w:val="18"/>
        </w:rPr>
      </w:pPr>
      <w:r>
        <w:rPr>
          <w:rFonts w:ascii="Arial Narrow" w:hAnsi="Arial Narrow"/>
          <w:sz w:val="18"/>
        </w:rPr>
        <w:t>Abbreviations: CF=cystic fibrosis; CPH = Cox Proportional Hazards; N/A= not applicable; PEx= pulmonary exacerbation; ppFEV</w:t>
      </w:r>
      <w:r>
        <w:rPr>
          <w:rFonts w:ascii="Arial Narrow" w:hAnsi="Arial Narrow"/>
          <w:sz w:val="18"/>
          <w:vertAlign w:val="subscript"/>
        </w:rPr>
        <w:t xml:space="preserve">1 </w:t>
      </w:r>
      <w:r>
        <w:rPr>
          <w:rFonts w:ascii="Arial Narrow" w:hAnsi="Arial Narrow"/>
          <w:sz w:val="18"/>
        </w:rPr>
        <w:t xml:space="preserve">= predicted percent forced expiratory volume in 1 second; RCT=randomised controlled trial. </w:t>
      </w:r>
    </w:p>
    <w:p w:rsidR="007070CB" w:rsidRDefault="007070CB">
      <w:pPr>
        <w:widowControl/>
        <w:rPr>
          <w:rFonts w:ascii="Arial Narrow" w:hAnsi="Arial Narrow"/>
          <w:sz w:val="18"/>
        </w:rPr>
      </w:pPr>
    </w:p>
    <w:p w:rsidR="007070CB" w:rsidRDefault="006E2E62">
      <w:pPr>
        <w:widowControl/>
        <w:numPr>
          <w:ilvl w:val="1"/>
          <w:numId w:val="1"/>
        </w:numPr>
        <w:spacing w:after="120"/>
        <w:ind w:left="709" w:hanging="709"/>
      </w:pPr>
      <w:r>
        <w:t>The ESC noted that the model was similar in structure to that presented in previous PBAC submissions for lumacaftor/ivacaftor and a number of concerns persist including assumptions around ongoing effect, the application of the Liou et al algorithm to link clinical outcomes with risk, the validity of the Irish CF Registry data to model baseline risk, and the derivation of utility weights.</w:t>
      </w:r>
    </w:p>
    <w:p w:rsidR="007070CB" w:rsidRDefault="006E2E62">
      <w:pPr>
        <w:widowControl/>
        <w:numPr>
          <w:ilvl w:val="1"/>
          <w:numId w:val="1"/>
        </w:numPr>
        <w:spacing w:after="120"/>
        <w:ind w:left="709" w:hanging="709"/>
      </w:pPr>
      <w:r>
        <w:t xml:space="preserve">The inputs that changed compared with the July 2018 model included specifying a starting age of 2 years for the model cohort, the application of an intended annual price of </w:t>
      </w:r>
      <w:r w:rsidR="00C42D5F">
        <w:rPr>
          <w:noProof/>
          <w:color w:val="000000"/>
          <w:highlight w:val="black"/>
        </w:rPr>
        <w:t>''''''''''''''''</w:t>
      </w:r>
      <w:r>
        <w:t xml:space="preserve"> per patient and an assumed treatment compliance of 99.20% for patients aged 2 to 5 years. The assumed rate of treatment compliance was the only model input that was informed by Study 115; by comparison, the July 2018 model assumed 90% compliance for patients aged 6 years and older.</w:t>
      </w:r>
    </w:p>
    <w:p w:rsidR="007070CB" w:rsidRDefault="006E2E62">
      <w:pPr>
        <w:widowControl/>
        <w:numPr>
          <w:ilvl w:val="1"/>
          <w:numId w:val="1"/>
        </w:numPr>
        <w:spacing w:after="120"/>
        <w:ind w:left="709" w:hanging="709"/>
      </w:pPr>
      <w:r>
        <w:t xml:space="preserve">The key model inputs defined by the PBAC in an alternative scenario at the July 2017 PBAC meeting </w:t>
      </w:r>
      <w:r>
        <w:rPr>
          <w:rFonts w:asciiTheme="minorHAnsi" w:hAnsiTheme="minorHAnsi"/>
          <w:szCs w:val="24"/>
        </w:rPr>
        <w:t>(lumacaftor/ivacaftor (12+) PSD, July 2018 paragraph 6.52),</w:t>
      </w:r>
      <w:r>
        <w:t xml:space="preserve"> and how they have been incorporated into the current </w:t>
      </w:r>
      <w:r>
        <w:rPr>
          <w:rFonts w:asciiTheme="minorHAnsi" w:hAnsiTheme="minorHAnsi" w:cstheme="minorHAnsi"/>
          <w:szCs w:val="24"/>
        </w:rPr>
        <w:t>submission, are summarised in</w:t>
      </w:r>
      <w:r>
        <w:t xml:space="preserve"> Table 9. </w:t>
      </w:r>
    </w:p>
    <w:p w:rsidR="007070CB" w:rsidRDefault="006E2E62">
      <w:pPr>
        <w:widowControl/>
        <w:jc w:val="left"/>
        <w:rPr>
          <w:rFonts w:ascii="Arial Narrow" w:hAnsi="Arial Narrow"/>
          <w:b/>
          <w:bCs/>
          <w:sz w:val="20"/>
          <w:szCs w:val="20"/>
        </w:rPr>
      </w:pPr>
      <w:bookmarkStart w:id="29" w:name="_Ref511372710"/>
      <w:r>
        <w:rPr>
          <w:rFonts w:ascii="Arial Narrow" w:hAnsi="Arial Narrow"/>
          <w:b/>
          <w:bCs/>
          <w:sz w:val="20"/>
          <w:szCs w:val="20"/>
        </w:rPr>
        <w:br w:type="page"/>
      </w:r>
    </w:p>
    <w:p w:rsidR="00C15476" w:rsidRDefault="00C15476" w:rsidP="00C15476">
      <w:pPr>
        <w:pStyle w:val="PBACTableText"/>
      </w:pPr>
      <w:r>
        <w:lastRenderedPageBreak/>
        <w:t xml:space="preserve">Table </w:t>
      </w:r>
      <w:r w:rsidR="00AF1977">
        <w:rPr>
          <w:noProof/>
        </w:rPr>
        <w:t>9</w:t>
      </w:r>
      <w:r w:rsidRPr="00935B34">
        <w:t>: Summary of the alternative scenario defined by PBAC in July 2017 and how it was addressed in this submission</w:t>
      </w:r>
    </w:p>
    <w:tbl>
      <w:tblPr>
        <w:tblW w:w="50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9: Summary of the alternative scenario defined by PBAC in July 2017 and how it was addressed in this submission"/>
      </w:tblPr>
      <w:tblGrid>
        <w:gridCol w:w="1543"/>
        <w:gridCol w:w="3557"/>
        <w:gridCol w:w="4076"/>
      </w:tblGrid>
      <w:tr w:rsidR="007070CB" w:rsidTr="00C15476">
        <w:trPr>
          <w:tblHeader/>
        </w:trPr>
        <w:tc>
          <w:tcPr>
            <w:tcW w:w="841" w:type="pct"/>
            <w:shd w:val="clear" w:color="auto" w:fill="auto"/>
            <w:vAlign w:val="center"/>
          </w:tcPr>
          <w:bookmarkEnd w:id="29"/>
          <w:p w:rsidR="007070CB" w:rsidRDefault="006E2E62">
            <w:pPr>
              <w:widowControl/>
              <w:jc w:val="left"/>
              <w:rPr>
                <w:rFonts w:ascii="Arial Narrow" w:hAnsi="Arial Narrow" w:cs="Times New Roman"/>
                <w:b/>
                <w:snapToGrid/>
                <w:sz w:val="20"/>
              </w:rPr>
            </w:pPr>
            <w:r>
              <w:rPr>
                <w:rFonts w:ascii="Arial Narrow" w:hAnsi="Arial Narrow" w:cs="Times New Roman"/>
                <w:b/>
                <w:snapToGrid/>
                <w:sz w:val="20"/>
              </w:rPr>
              <w:t>Component</w:t>
            </w:r>
          </w:p>
        </w:tc>
        <w:tc>
          <w:tcPr>
            <w:tcW w:w="1938" w:type="pct"/>
            <w:shd w:val="clear" w:color="auto" w:fill="auto"/>
            <w:vAlign w:val="center"/>
          </w:tcPr>
          <w:p w:rsidR="007070CB" w:rsidRDefault="006E2E62">
            <w:pPr>
              <w:widowControl/>
              <w:jc w:val="center"/>
              <w:rPr>
                <w:rFonts w:ascii="Arial Narrow" w:hAnsi="Arial Narrow" w:cs="Times New Roman"/>
                <w:b/>
                <w:snapToGrid/>
                <w:sz w:val="20"/>
              </w:rPr>
            </w:pPr>
            <w:r>
              <w:rPr>
                <w:rFonts w:ascii="Arial Narrow" w:hAnsi="Arial Narrow" w:cs="Times New Roman"/>
                <w:b/>
                <w:snapToGrid/>
                <w:sz w:val="20"/>
              </w:rPr>
              <w:t>PBAC Alternative Scenario</w:t>
            </w:r>
          </w:p>
        </w:tc>
        <w:tc>
          <w:tcPr>
            <w:tcW w:w="2221" w:type="pct"/>
          </w:tcPr>
          <w:p w:rsidR="007070CB" w:rsidRDefault="006E2E62">
            <w:pPr>
              <w:widowControl/>
              <w:jc w:val="center"/>
              <w:rPr>
                <w:rFonts w:ascii="Arial Narrow" w:hAnsi="Arial Narrow" w:cs="Times New Roman"/>
                <w:b/>
                <w:snapToGrid/>
                <w:sz w:val="20"/>
              </w:rPr>
            </w:pPr>
            <w:r>
              <w:rPr>
                <w:rFonts w:ascii="Arial Narrow" w:hAnsi="Arial Narrow" w:cs="Times New Roman"/>
                <w:b/>
                <w:snapToGrid/>
                <w:sz w:val="20"/>
              </w:rPr>
              <w:t>Current Submission Approach</w:t>
            </w:r>
          </w:p>
        </w:tc>
      </w:tr>
      <w:tr w:rsidR="007070CB" w:rsidTr="00C15476">
        <w:tc>
          <w:tcPr>
            <w:tcW w:w="841" w:type="pct"/>
            <w:shd w:val="clear" w:color="auto" w:fill="auto"/>
            <w:vAlign w:val="center"/>
          </w:tcPr>
          <w:p w:rsidR="007070CB" w:rsidRDefault="006E2E62">
            <w:pPr>
              <w:widowControl/>
              <w:jc w:val="left"/>
              <w:rPr>
                <w:rFonts w:ascii="Arial Narrow" w:hAnsi="Arial Narrow" w:cs="Times New Roman"/>
                <w:snapToGrid/>
                <w:sz w:val="20"/>
              </w:rPr>
            </w:pPr>
            <w:r>
              <w:rPr>
                <w:rFonts w:ascii="Arial Narrow" w:hAnsi="Arial Narrow" w:cs="Times New Roman"/>
                <w:snapToGrid/>
                <w:sz w:val="20"/>
              </w:rPr>
              <w:t>Lumacaftor/ivacaftor cap and price adjustments</w:t>
            </w:r>
          </w:p>
        </w:tc>
        <w:tc>
          <w:tcPr>
            <w:tcW w:w="1938" w:type="pct"/>
            <w:shd w:val="clear" w:color="auto" w:fill="auto"/>
            <w:vAlign w:val="center"/>
          </w:tcPr>
          <w:p w:rsidR="007070CB" w:rsidRDefault="006E2E62">
            <w:pPr>
              <w:widowControl/>
              <w:jc w:val="left"/>
              <w:rPr>
                <w:rFonts w:ascii="Arial Narrow" w:hAnsi="Arial Narrow" w:cs="Times New Roman"/>
                <w:snapToGrid/>
                <w:sz w:val="20"/>
              </w:rPr>
            </w:pPr>
            <w:r>
              <w:rPr>
                <w:rFonts w:ascii="Arial Narrow" w:hAnsi="Arial Narrow" w:cs="Times New Roman"/>
                <w:snapToGrid/>
                <w:sz w:val="20"/>
              </w:rPr>
              <w:t>Removal of the 5% statutory price reduction and 90% generic price reduction.</w:t>
            </w:r>
          </w:p>
          <w:p w:rsidR="007070CB" w:rsidRDefault="006E2E62">
            <w:pPr>
              <w:widowControl/>
              <w:jc w:val="left"/>
              <w:rPr>
                <w:rFonts w:ascii="Arial Narrow" w:hAnsi="Arial Narrow" w:cs="Times New Roman"/>
                <w:snapToGrid/>
                <w:sz w:val="20"/>
              </w:rPr>
            </w:pPr>
            <w:r>
              <w:rPr>
                <w:rFonts w:ascii="Arial Narrow" w:hAnsi="Arial Narrow" w:cs="Times New Roman"/>
                <w:snapToGrid/>
                <w:sz w:val="20"/>
              </w:rPr>
              <w:t>Removal of the proposed cap.</w:t>
            </w:r>
          </w:p>
        </w:tc>
        <w:tc>
          <w:tcPr>
            <w:tcW w:w="2221" w:type="pct"/>
          </w:tcPr>
          <w:p w:rsidR="007070CB" w:rsidRDefault="006E2E62">
            <w:pPr>
              <w:widowControl/>
              <w:jc w:val="left"/>
              <w:rPr>
                <w:rFonts w:ascii="Arial Narrow" w:hAnsi="Arial Narrow" w:cs="Times New Roman"/>
                <w:snapToGrid/>
                <w:sz w:val="20"/>
              </w:rPr>
            </w:pPr>
            <w:r>
              <w:rPr>
                <w:rFonts w:ascii="Arial Narrow" w:hAnsi="Arial Narrow" w:cs="Times New Roman"/>
                <w:snapToGrid/>
                <w:sz w:val="20"/>
              </w:rPr>
              <w:t>Price reductions were reinstated and applied to the intended annual price of $</w:t>
            </w:r>
            <w:r w:rsidR="00C42D5F">
              <w:rPr>
                <w:rFonts w:ascii="Arial Narrow" w:hAnsi="Arial Narrow" w:cs="Times New Roman"/>
                <w:noProof/>
                <w:snapToGrid/>
                <w:color w:val="000000"/>
                <w:sz w:val="20"/>
                <w:highlight w:val="black"/>
              </w:rPr>
              <w:t>'''''''''''''''''</w:t>
            </w:r>
            <w:r>
              <w:rPr>
                <w:rFonts w:ascii="Arial Narrow" w:hAnsi="Arial Narrow" w:cs="Times New Roman"/>
                <w:snapToGrid/>
                <w:sz w:val="20"/>
              </w:rPr>
              <w:t xml:space="preserve"> per patient. </w:t>
            </w:r>
          </w:p>
          <w:p w:rsidR="007070CB" w:rsidRDefault="006E2E62">
            <w:pPr>
              <w:widowControl/>
              <w:jc w:val="left"/>
              <w:rPr>
                <w:rFonts w:ascii="Arial Narrow" w:hAnsi="Arial Narrow" w:cs="Times New Roman"/>
                <w:snapToGrid/>
                <w:sz w:val="20"/>
              </w:rPr>
            </w:pPr>
            <w:r>
              <w:rPr>
                <w:rFonts w:ascii="Arial Narrow" w:hAnsi="Arial Narrow" w:cs="Times New Roman"/>
                <w:snapToGrid/>
                <w:sz w:val="20"/>
              </w:rPr>
              <w:t>Removal of price reductions and the cap was tested in sensitivity analyses in the evaluation.</w:t>
            </w:r>
          </w:p>
        </w:tc>
      </w:tr>
      <w:tr w:rsidR="007070CB" w:rsidTr="00C15476">
        <w:tc>
          <w:tcPr>
            <w:tcW w:w="841" w:type="pct"/>
            <w:shd w:val="clear" w:color="auto" w:fill="auto"/>
            <w:vAlign w:val="center"/>
          </w:tcPr>
          <w:p w:rsidR="007070CB" w:rsidRDefault="006E2E62">
            <w:pPr>
              <w:widowControl/>
              <w:jc w:val="left"/>
              <w:rPr>
                <w:rFonts w:ascii="Arial Narrow" w:hAnsi="Arial Narrow" w:cs="Times New Roman"/>
                <w:snapToGrid/>
                <w:sz w:val="20"/>
              </w:rPr>
            </w:pPr>
            <w:r>
              <w:rPr>
                <w:rFonts w:ascii="Arial Narrow" w:hAnsi="Arial Narrow" w:cs="Times New Roman"/>
                <w:snapToGrid/>
                <w:sz w:val="20"/>
              </w:rPr>
              <w:t>Sustained clinical effect in ppFEV</w:t>
            </w:r>
            <w:r>
              <w:rPr>
                <w:rFonts w:ascii="Arial Narrow" w:hAnsi="Arial Narrow" w:cs="Times New Roman"/>
                <w:snapToGrid/>
                <w:sz w:val="20"/>
                <w:vertAlign w:val="subscript"/>
              </w:rPr>
              <w:t>1</w:t>
            </w:r>
          </w:p>
        </w:tc>
        <w:tc>
          <w:tcPr>
            <w:tcW w:w="1938" w:type="pct"/>
            <w:shd w:val="clear" w:color="auto" w:fill="auto"/>
            <w:vAlign w:val="center"/>
          </w:tcPr>
          <w:p w:rsidR="007070CB" w:rsidRDefault="006E2E62">
            <w:pPr>
              <w:widowControl/>
              <w:jc w:val="left"/>
              <w:rPr>
                <w:rFonts w:ascii="Arial Narrow" w:hAnsi="Arial Narrow" w:cs="Times New Roman"/>
                <w:snapToGrid/>
                <w:sz w:val="20"/>
              </w:rPr>
            </w:pPr>
            <w:r>
              <w:rPr>
                <w:rFonts w:ascii="Arial Narrow" w:hAnsi="Arial Narrow" w:cs="Times New Roman"/>
                <w:snapToGrid/>
                <w:sz w:val="20"/>
              </w:rPr>
              <w:t>Assumed that the annual rate of decline in ppFEV</w:t>
            </w:r>
            <w:r>
              <w:rPr>
                <w:rFonts w:ascii="Arial Narrow" w:hAnsi="Arial Narrow" w:cs="Times New Roman"/>
                <w:snapToGrid/>
                <w:sz w:val="20"/>
                <w:vertAlign w:val="subscript"/>
              </w:rPr>
              <w:t>1</w:t>
            </w:r>
            <w:r>
              <w:rPr>
                <w:rFonts w:ascii="Arial Narrow" w:hAnsi="Arial Narrow" w:cs="Times New Roman"/>
                <w:snapToGrid/>
                <w:sz w:val="20"/>
              </w:rPr>
              <w:t xml:space="preserve"> for lumacaftor/ivacaftor post 24 weeks was the same as that seen in BSC (i.e. a 0% decrease in the annual rate of decline in ppFEV</w:t>
            </w:r>
            <w:r>
              <w:rPr>
                <w:rFonts w:ascii="Arial Narrow" w:hAnsi="Arial Narrow" w:cs="Times New Roman"/>
                <w:snapToGrid/>
                <w:sz w:val="20"/>
                <w:vertAlign w:val="subscript"/>
              </w:rPr>
              <w:t>1</w:t>
            </w:r>
            <w:r>
              <w:rPr>
                <w:rFonts w:ascii="Arial Narrow" w:hAnsi="Arial Narrow" w:cs="Times New Roman"/>
                <w:snapToGrid/>
                <w:sz w:val="20"/>
              </w:rPr>
              <w:t>, relative to BSC).</w:t>
            </w:r>
          </w:p>
        </w:tc>
        <w:tc>
          <w:tcPr>
            <w:tcW w:w="2221" w:type="pct"/>
          </w:tcPr>
          <w:p w:rsidR="007070CB" w:rsidRDefault="006E2E62">
            <w:pPr>
              <w:widowControl/>
              <w:jc w:val="left"/>
              <w:rPr>
                <w:rFonts w:ascii="Arial Narrow" w:hAnsi="Arial Narrow" w:cs="Times New Roman"/>
                <w:snapToGrid/>
                <w:sz w:val="20"/>
              </w:rPr>
            </w:pPr>
            <w:r>
              <w:rPr>
                <w:rFonts w:ascii="Arial Narrow" w:hAnsi="Arial Narrow" w:cs="Times New Roman"/>
                <w:snapToGrid/>
                <w:sz w:val="20"/>
              </w:rPr>
              <w:t>The post 24 week decrease in the annual rate of decline in ppFEV</w:t>
            </w:r>
            <w:r>
              <w:rPr>
                <w:rFonts w:ascii="Arial Narrow" w:hAnsi="Arial Narrow" w:cs="Times New Roman"/>
                <w:snapToGrid/>
                <w:sz w:val="20"/>
                <w:vertAlign w:val="subscript"/>
              </w:rPr>
              <w:t>1</w:t>
            </w:r>
            <w:r>
              <w:rPr>
                <w:rFonts w:ascii="Arial Narrow" w:hAnsi="Arial Narrow" w:cs="Times New Roman"/>
                <w:snapToGrid/>
                <w:sz w:val="20"/>
              </w:rPr>
              <w:t xml:space="preserve"> for lumacaftor/ivacaftor was set at 42%, relative to BSC.</w:t>
            </w:r>
          </w:p>
          <w:p w:rsidR="007070CB" w:rsidRDefault="006E2E62">
            <w:pPr>
              <w:widowControl/>
              <w:jc w:val="left"/>
              <w:rPr>
                <w:rFonts w:ascii="Arial Narrow" w:hAnsi="Arial Narrow" w:cs="Times New Roman"/>
                <w:snapToGrid/>
                <w:sz w:val="20"/>
              </w:rPr>
            </w:pPr>
            <w:r>
              <w:rPr>
                <w:rFonts w:ascii="Arial Narrow" w:hAnsi="Arial Narrow" w:cs="Times New Roman"/>
                <w:snapToGrid/>
                <w:sz w:val="20"/>
              </w:rPr>
              <w:t>Varied to 25% and 75% decrease in the decline, relative to BSC in the submission, and 0% in sensitivity analyses in the evaluation.</w:t>
            </w:r>
          </w:p>
        </w:tc>
      </w:tr>
      <w:tr w:rsidR="007070CB" w:rsidTr="00C15476">
        <w:tc>
          <w:tcPr>
            <w:tcW w:w="841" w:type="pct"/>
            <w:shd w:val="clear" w:color="auto" w:fill="auto"/>
            <w:vAlign w:val="center"/>
          </w:tcPr>
          <w:p w:rsidR="007070CB" w:rsidRDefault="006E2E62">
            <w:pPr>
              <w:widowControl/>
              <w:jc w:val="left"/>
              <w:rPr>
                <w:rFonts w:ascii="Arial Narrow" w:hAnsi="Arial Narrow" w:cs="Times New Roman"/>
                <w:snapToGrid/>
                <w:sz w:val="20"/>
              </w:rPr>
            </w:pPr>
            <w:r>
              <w:rPr>
                <w:rFonts w:ascii="Arial Narrow" w:hAnsi="Arial Narrow" w:cs="Times New Roman"/>
                <w:snapToGrid/>
                <w:sz w:val="20"/>
              </w:rPr>
              <w:t>Cost reductions due to hospitalisations</w:t>
            </w:r>
          </w:p>
        </w:tc>
        <w:tc>
          <w:tcPr>
            <w:tcW w:w="1938" w:type="pct"/>
            <w:shd w:val="clear" w:color="auto" w:fill="auto"/>
            <w:vAlign w:val="center"/>
          </w:tcPr>
          <w:p w:rsidR="007070CB" w:rsidRDefault="006E2E62">
            <w:pPr>
              <w:widowControl/>
              <w:jc w:val="left"/>
              <w:rPr>
                <w:rFonts w:ascii="Arial Narrow" w:hAnsi="Arial Narrow" w:cs="Times New Roman"/>
                <w:snapToGrid/>
                <w:sz w:val="20"/>
              </w:rPr>
            </w:pPr>
            <w:r>
              <w:rPr>
                <w:rFonts w:ascii="Arial Narrow" w:hAnsi="Arial Narrow" w:cs="Times New Roman"/>
                <w:snapToGrid/>
                <w:sz w:val="20"/>
              </w:rPr>
              <w:t xml:space="preserve">Assumed that only 75% of CF hospitalisations are due to PEx and therefore eligible for cost-reductions. </w:t>
            </w:r>
          </w:p>
        </w:tc>
        <w:tc>
          <w:tcPr>
            <w:tcW w:w="2221" w:type="pct"/>
          </w:tcPr>
          <w:p w:rsidR="007070CB" w:rsidRDefault="006E2E62">
            <w:pPr>
              <w:widowControl/>
              <w:jc w:val="left"/>
              <w:rPr>
                <w:rFonts w:ascii="Arial Narrow" w:hAnsi="Arial Narrow" w:cs="Times New Roman"/>
                <w:snapToGrid/>
                <w:sz w:val="20"/>
              </w:rPr>
            </w:pPr>
            <w:r>
              <w:rPr>
                <w:rFonts w:ascii="Arial Narrow" w:hAnsi="Arial Narrow" w:cs="Times New Roman"/>
                <w:snapToGrid/>
                <w:sz w:val="20"/>
              </w:rPr>
              <w:t xml:space="preserve">Assumed that all CF hospitalisations are due to PEx, and that there was a reduction of 61% applied to lumacaftor/ivacaftor. Assuming 75% of hospitalisations are due to PEx was applied in sensitivity analyses in the evaluation. </w:t>
            </w:r>
          </w:p>
          <w:p w:rsidR="007070CB" w:rsidRDefault="006E2E62">
            <w:pPr>
              <w:widowControl/>
              <w:jc w:val="left"/>
              <w:rPr>
                <w:rFonts w:ascii="Arial Narrow" w:hAnsi="Arial Narrow" w:cs="Times New Roman"/>
                <w:snapToGrid/>
                <w:sz w:val="20"/>
              </w:rPr>
            </w:pPr>
            <w:r>
              <w:rPr>
                <w:rFonts w:ascii="Arial Narrow" w:hAnsi="Arial Narrow" w:cs="Times New Roman"/>
                <w:snapToGrid/>
                <w:sz w:val="20"/>
              </w:rPr>
              <w:t>The submission also assumed no reduction in PEx among children aged 2-11 years.</w:t>
            </w:r>
          </w:p>
        </w:tc>
      </w:tr>
    </w:tbl>
    <w:p w:rsidR="007070CB" w:rsidRDefault="006E2E62">
      <w:pPr>
        <w:widowControl/>
        <w:rPr>
          <w:rFonts w:ascii="Arial Narrow" w:hAnsi="Arial Narrow"/>
          <w:sz w:val="18"/>
        </w:rPr>
      </w:pPr>
      <w:r>
        <w:rPr>
          <w:rFonts w:ascii="Arial Narrow" w:hAnsi="Arial Narrow"/>
          <w:sz w:val="18"/>
        </w:rPr>
        <w:t>Abbreviations: BSC=best supportive care; CF=cystic fibrosis; PEx=pulmonary exacerbations; ppFEV</w:t>
      </w:r>
      <w:r>
        <w:rPr>
          <w:rFonts w:ascii="Arial Narrow" w:hAnsi="Arial Narrow"/>
          <w:sz w:val="18"/>
          <w:vertAlign w:val="subscript"/>
        </w:rPr>
        <w:t>1</w:t>
      </w:r>
      <w:r>
        <w:rPr>
          <w:rFonts w:ascii="Arial Narrow" w:hAnsi="Arial Narrow"/>
          <w:sz w:val="18"/>
        </w:rPr>
        <w:t xml:space="preserve"> =percent predicted forced expiratory volume in one second.</w:t>
      </w:r>
      <w:r w:rsidR="00FE7D84">
        <w:rPr>
          <w:rFonts w:ascii="Arial Narrow" w:hAnsi="Arial Narrow"/>
          <w:sz w:val="18"/>
        </w:rPr>
        <w:t xml:space="preserve"> </w:t>
      </w:r>
    </w:p>
    <w:p w:rsidR="007070CB" w:rsidRDefault="006E2E62">
      <w:pPr>
        <w:widowControl/>
        <w:rPr>
          <w:rFonts w:ascii="Arial Narrow" w:hAnsi="Arial Narrow"/>
          <w:sz w:val="18"/>
        </w:rPr>
      </w:pPr>
      <w:r>
        <w:rPr>
          <w:rFonts w:ascii="Arial Narrow" w:hAnsi="Arial Narrow"/>
          <w:sz w:val="18"/>
        </w:rPr>
        <w:t xml:space="preserve">Source: Compiled during the evaluation from the Lumacaftor/Ivacaftor, PSD July 2017, paragraph 6.57; Lumacaftor/Ivacaftor (12+), PSD July 2018, paragraph 6.52. </w:t>
      </w:r>
    </w:p>
    <w:p w:rsidR="007070CB" w:rsidRDefault="007070CB">
      <w:pPr>
        <w:widowControl/>
      </w:pPr>
    </w:p>
    <w:p w:rsidR="007070CB" w:rsidRDefault="006E2E62">
      <w:pPr>
        <w:pStyle w:val="ListParagraph"/>
        <w:widowControl/>
        <w:numPr>
          <w:ilvl w:val="1"/>
          <w:numId w:val="1"/>
        </w:numPr>
      </w:pPr>
      <w:r>
        <w:rPr>
          <w:rFonts w:asciiTheme="minorHAnsi" w:hAnsiTheme="minorHAnsi" w:cstheme="minorHAnsi"/>
          <w:szCs w:val="24"/>
        </w:rPr>
        <w:t xml:space="preserve">The drivers of the </w:t>
      </w:r>
      <w:r>
        <w:t xml:space="preserve">model are reported in </w:t>
      </w:r>
      <w:r>
        <w:rPr>
          <w:rFonts w:asciiTheme="minorHAnsi" w:hAnsiTheme="minorHAnsi" w:cstheme="minorHAnsi"/>
          <w:szCs w:val="24"/>
        </w:rPr>
        <w:t>Table 10</w:t>
      </w:r>
      <w:r>
        <w:t>; these are largely unchanged from the July 2018 resubmission of lumacaftor/ivacaftor for patients aged 12 years and older and the July 2018 submissio</w:t>
      </w:r>
      <w:r w:rsidR="00C15476">
        <w:t>n for patients aged 6-11 years.</w:t>
      </w:r>
    </w:p>
    <w:p w:rsidR="00C15476" w:rsidRDefault="00C15476">
      <w:pPr>
        <w:widowControl/>
        <w:jc w:val="left"/>
        <w:rPr>
          <w:rFonts w:ascii="Arial Narrow" w:eastAsia="Batang" w:hAnsi="Arial Narrow" w:cs="Times New Roman"/>
          <w:b/>
          <w:snapToGrid/>
          <w:sz w:val="20"/>
          <w:szCs w:val="20"/>
          <w:lang w:eastAsia="en-AU"/>
        </w:rPr>
      </w:pPr>
      <w:r>
        <w:br w:type="page"/>
      </w:r>
    </w:p>
    <w:p w:rsidR="00C15476" w:rsidRDefault="00C15476" w:rsidP="00C15476">
      <w:pPr>
        <w:pStyle w:val="PBACTableText"/>
      </w:pPr>
      <w:r>
        <w:lastRenderedPageBreak/>
        <w:t xml:space="preserve">Table </w:t>
      </w:r>
      <w:r w:rsidR="00AF1977">
        <w:rPr>
          <w:noProof/>
        </w:rPr>
        <w:t>10</w:t>
      </w:r>
      <w:r w:rsidRPr="00445F69">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0: Key drivers of the model"/>
      </w:tblPr>
      <w:tblGrid>
        <w:gridCol w:w="1980"/>
        <w:gridCol w:w="3816"/>
        <w:gridCol w:w="1571"/>
        <w:gridCol w:w="1650"/>
      </w:tblGrid>
      <w:tr w:rsidR="007070CB">
        <w:trPr>
          <w:trHeight w:val="20"/>
          <w:tblHeader/>
        </w:trPr>
        <w:tc>
          <w:tcPr>
            <w:tcW w:w="1098" w:type="pct"/>
            <w:shd w:val="clear" w:color="auto" w:fill="auto"/>
            <w:vAlign w:val="center"/>
          </w:tcPr>
          <w:p w:rsidR="007070CB" w:rsidRDefault="006E2E62">
            <w:pPr>
              <w:keepNext/>
              <w:widowControl/>
              <w:spacing w:before="40" w:after="40"/>
              <w:jc w:val="left"/>
              <w:rPr>
                <w:rFonts w:ascii="Arial Narrow" w:eastAsiaTheme="minorHAnsi" w:hAnsi="Arial Narrow" w:cstheme="minorBidi"/>
                <w:b/>
                <w:snapToGrid/>
                <w:sz w:val="20"/>
              </w:rPr>
            </w:pPr>
            <w:r>
              <w:rPr>
                <w:rFonts w:ascii="Arial Narrow" w:eastAsiaTheme="minorHAnsi" w:hAnsi="Arial Narrow" w:cstheme="minorBidi"/>
                <w:b/>
                <w:snapToGrid/>
                <w:sz w:val="20"/>
              </w:rPr>
              <w:t>Description</w:t>
            </w:r>
          </w:p>
        </w:tc>
        <w:tc>
          <w:tcPr>
            <w:tcW w:w="2116" w:type="pct"/>
            <w:shd w:val="clear" w:color="auto" w:fill="auto"/>
            <w:vAlign w:val="center"/>
          </w:tcPr>
          <w:p w:rsidR="007070CB" w:rsidRDefault="006E2E62">
            <w:pPr>
              <w:keepNext/>
              <w:widowControl/>
              <w:spacing w:before="40" w:after="40"/>
              <w:jc w:val="left"/>
              <w:rPr>
                <w:rFonts w:ascii="Arial Narrow" w:eastAsiaTheme="minorHAnsi" w:hAnsi="Arial Narrow" w:cstheme="minorBidi"/>
                <w:b/>
                <w:snapToGrid/>
                <w:sz w:val="20"/>
              </w:rPr>
            </w:pPr>
            <w:r>
              <w:rPr>
                <w:rFonts w:ascii="Arial Narrow" w:eastAsiaTheme="minorHAnsi" w:hAnsi="Arial Narrow" w:cstheme="minorBidi"/>
                <w:b/>
                <w:snapToGrid/>
                <w:sz w:val="20"/>
              </w:rPr>
              <w:t>Method/Value</w:t>
            </w:r>
          </w:p>
        </w:tc>
        <w:tc>
          <w:tcPr>
            <w:tcW w:w="871" w:type="pct"/>
            <w:shd w:val="clear" w:color="auto" w:fill="auto"/>
            <w:vAlign w:val="center"/>
          </w:tcPr>
          <w:p w:rsidR="007070CB" w:rsidRDefault="006E2E62">
            <w:pPr>
              <w:keepNext/>
              <w:widowControl/>
              <w:spacing w:before="40" w:after="40"/>
              <w:jc w:val="center"/>
              <w:rPr>
                <w:rFonts w:ascii="Arial Narrow" w:eastAsiaTheme="minorHAnsi" w:hAnsi="Arial Narrow" w:cstheme="minorBidi"/>
                <w:b/>
                <w:snapToGrid/>
                <w:sz w:val="20"/>
              </w:rPr>
            </w:pPr>
            <w:r>
              <w:rPr>
                <w:rFonts w:ascii="Arial Narrow" w:eastAsiaTheme="minorHAnsi" w:hAnsi="Arial Narrow" w:cstheme="minorBidi"/>
                <w:b/>
                <w:snapToGrid/>
                <w:sz w:val="20"/>
              </w:rPr>
              <w:t>Impact</w:t>
            </w:r>
          </w:p>
        </w:tc>
        <w:tc>
          <w:tcPr>
            <w:tcW w:w="915" w:type="pct"/>
          </w:tcPr>
          <w:p w:rsidR="007070CB" w:rsidRDefault="006E2E62">
            <w:pPr>
              <w:keepNext/>
              <w:widowControl/>
              <w:spacing w:before="40" w:after="40"/>
              <w:jc w:val="center"/>
              <w:rPr>
                <w:rFonts w:ascii="Arial Narrow" w:eastAsiaTheme="minorHAnsi" w:hAnsi="Arial Narrow" w:cstheme="minorBidi"/>
                <w:b/>
                <w:snapToGrid/>
                <w:sz w:val="20"/>
              </w:rPr>
            </w:pPr>
            <w:r>
              <w:rPr>
                <w:rFonts w:ascii="Arial Narrow" w:eastAsiaTheme="minorHAnsi" w:hAnsi="Arial Narrow" w:cstheme="minorBidi"/>
                <w:b/>
                <w:snapToGrid/>
                <w:sz w:val="20"/>
              </w:rPr>
              <w:t>ICER ($/QALY)</w:t>
            </w:r>
          </w:p>
          <w:p w:rsidR="007070CB" w:rsidRDefault="006E2E62">
            <w:pPr>
              <w:keepNext/>
              <w:widowControl/>
              <w:spacing w:before="40" w:after="40"/>
              <w:jc w:val="center"/>
              <w:rPr>
                <w:rFonts w:ascii="Arial Narrow" w:eastAsiaTheme="minorHAnsi" w:hAnsi="Arial Narrow" w:cstheme="minorBidi"/>
                <w:b/>
                <w:snapToGrid/>
                <w:sz w:val="20"/>
              </w:rPr>
            </w:pPr>
            <w:r>
              <w:rPr>
                <w:rFonts w:ascii="Arial Narrow" w:eastAsiaTheme="minorHAnsi" w:hAnsi="Arial Narrow" w:cstheme="minorBidi"/>
                <w:b/>
                <w:snapToGrid/>
                <w:sz w:val="20"/>
              </w:rPr>
              <w:t>Base case: $</w:t>
            </w:r>
            <w:r w:rsidR="00C42D5F">
              <w:rPr>
                <w:rFonts w:ascii="Arial Narrow" w:eastAsiaTheme="minorHAnsi" w:hAnsi="Arial Narrow" w:cstheme="minorBidi"/>
                <w:b/>
                <w:noProof/>
                <w:snapToGrid/>
                <w:color w:val="000000"/>
                <w:sz w:val="20"/>
                <w:highlight w:val="black"/>
              </w:rPr>
              <w:t>'''''''''''''''''</w:t>
            </w:r>
          </w:p>
        </w:tc>
      </w:tr>
      <w:tr w:rsidR="007070CB">
        <w:trPr>
          <w:trHeight w:val="20"/>
        </w:trPr>
        <w:tc>
          <w:tcPr>
            <w:tcW w:w="1098" w:type="pct"/>
            <w:shd w:val="clear" w:color="auto" w:fill="auto"/>
            <w:vAlign w:val="center"/>
          </w:tcPr>
          <w:p w:rsidR="007070CB" w:rsidRDefault="006E2E62">
            <w:pPr>
              <w:keepNext/>
              <w:widowControl/>
              <w:spacing w:before="40" w:after="40"/>
              <w:jc w:val="left"/>
              <w:rPr>
                <w:rFonts w:ascii="Arial Narrow" w:eastAsiaTheme="minorHAnsi" w:hAnsi="Arial Narrow" w:cstheme="minorBidi"/>
                <w:snapToGrid/>
                <w:sz w:val="20"/>
                <w:lang w:val="en-US"/>
              </w:rPr>
            </w:pPr>
            <w:r>
              <w:rPr>
                <w:rFonts w:ascii="Arial Narrow" w:eastAsiaTheme="minorHAnsi" w:hAnsi="Arial Narrow" w:cstheme="minorBidi"/>
                <w:snapToGrid/>
                <w:sz w:val="20"/>
                <w:lang w:val="en-US"/>
              </w:rPr>
              <w:t>Intended annual price per patient</w:t>
            </w:r>
          </w:p>
        </w:tc>
        <w:tc>
          <w:tcPr>
            <w:tcW w:w="2116" w:type="pct"/>
            <w:shd w:val="clear" w:color="auto" w:fill="auto"/>
            <w:vAlign w:val="center"/>
          </w:tcPr>
          <w:p w:rsidR="007070CB" w:rsidRDefault="006E2E62">
            <w:pPr>
              <w:keepNext/>
              <w:widowControl/>
              <w:spacing w:before="40" w:after="40"/>
              <w:jc w:val="left"/>
              <w:rPr>
                <w:rFonts w:ascii="Arial Narrow" w:eastAsiaTheme="minorHAnsi" w:hAnsi="Arial Narrow" w:cstheme="minorBidi"/>
                <w:snapToGrid/>
                <w:sz w:val="20"/>
                <w:lang w:val="en-US"/>
              </w:rPr>
            </w:pPr>
            <w:r>
              <w:rPr>
                <w:rFonts w:ascii="Arial Narrow" w:eastAsiaTheme="minorHAnsi" w:hAnsi="Arial Narrow" w:cstheme="minorBidi"/>
                <w:snapToGrid/>
                <w:sz w:val="20"/>
                <w:lang w:val="en-US"/>
              </w:rPr>
              <w:t>Intended annual price of $</w:t>
            </w:r>
            <w:r w:rsidR="00C42D5F">
              <w:rPr>
                <w:rFonts w:ascii="Arial Narrow" w:eastAsiaTheme="minorHAnsi" w:hAnsi="Arial Narrow" w:cstheme="minorBidi"/>
                <w:noProof/>
                <w:snapToGrid/>
                <w:color w:val="000000"/>
                <w:sz w:val="20"/>
                <w:highlight w:val="black"/>
                <w:lang w:val="en-US"/>
              </w:rPr>
              <w:t>''''''''''''''''</w:t>
            </w:r>
            <w:r>
              <w:rPr>
                <w:rFonts w:ascii="Arial Narrow" w:eastAsiaTheme="minorHAnsi" w:hAnsi="Arial Narrow" w:cstheme="minorBidi"/>
                <w:snapToGrid/>
                <w:sz w:val="20"/>
                <w:lang w:val="en-US"/>
              </w:rPr>
              <w:t xml:space="preserve"> per patient, implemented through subsidisation caps, applied for lumacaftor/ivacaftor drug cost. Sensitivity analysis performed in the evaluation using the requested published price.</w:t>
            </w:r>
          </w:p>
        </w:tc>
        <w:tc>
          <w:tcPr>
            <w:tcW w:w="871" w:type="pct"/>
            <w:shd w:val="clear" w:color="auto" w:fill="auto"/>
            <w:vAlign w:val="center"/>
          </w:tcPr>
          <w:p w:rsidR="007070CB" w:rsidRDefault="006E2E62">
            <w:pPr>
              <w:keepNext/>
              <w:widowControl/>
              <w:spacing w:before="40" w:after="40"/>
              <w:jc w:val="center"/>
              <w:rPr>
                <w:rFonts w:ascii="Arial Narrow" w:eastAsiaTheme="minorHAnsi" w:hAnsi="Arial Narrow" w:cstheme="minorBidi"/>
                <w:snapToGrid/>
                <w:sz w:val="20"/>
                <w:lang w:val="en-US"/>
              </w:rPr>
            </w:pPr>
            <w:r>
              <w:rPr>
                <w:rFonts w:ascii="Arial Narrow" w:eastAsiaTheme="minorHAnsi" w:hAnsi="Arial Narrow" w:cstheme="minorBidi"/>
                <w:snapToGrid/>
                <w:sz w:val="20"/>
                <w:lang w:val="en-US"/>
              </w:rPr>
              <w:t xml:space="preserve">High, </w:t>
            </w:r>
            <w:r>
              <w:rPr>
                <w:rFonts w:ascii="Arial Narrow" w:eastAsiaTheme="minorHAnsi" w:hAnsi="Arial Narrow" w:cstheme="minorBidi"/>
                <w:snapToGrid/>
                <w:sz w:val="20"/>
              </w:rPr>
              <w:t>favours</w:t>
            </w:r>
            <w:r>
              <w:rPr>
                <w:rFonts w:ascii="Arial Narrow" w:eastAsiaTheme="minorHAnsi" w:hAnsi="Arial Narrow" w:cstheme="minorBidi"/>
                <w:snapToGrid/>
                <w:sz w:val="20"/>
                <w:lang w:val="en-US"/>
              </w:rPr>
              <w:t xml:space="preserve"> lumacaftor/ivacaftor</w:t>
            </w:r>
          </w:p>
        </w:tc>
        <w:tc>
          <w:tcPr>
            <w:tcW w:w="915" w:type="pct"/>
            <w:vAlign w:val="center"/>
          </w:tcPr>
          <w:p w:rsidR="007070CB" w:rsidRPr="00C42D5F" w:rsidRDefault="00C42D5F">
            <w:pPr>
              <w:keepNext/>
              <w:widowControl/>
              <w:spacing w:before="40" w:after="40"/>
              <w:jc w:val="center"/>
              <w:rPr>
                <w:rFonts w:ascii="Arial Narrow" w:eastAsiaTheme="minorHAnsi" w:hAnsi="Arial Narrow" w:cstheme="minorBidi"/>
                <w:snapToGrid/>
                <w:sz w:val="20"/>
                <w:highlight w:val="black"/>
                <w:lang w:val="en-US"/>
              </w:rPr>
            </w:pPr>
            <w:r>
              <w:rPr>
                <w:rFonts w:ascii="Arial Narrow" w:hAnsi="Arial Narrow" w:cs="Calibri"/>
                <w:iCs/>
                <w:noProof/>
                <w:color w:val="000000"/>
                <w:sz w:val="20"/>
                <w:szCs w:val="20"/>
                <w:highlight w:val="black"/>
              </w:rPr>
              <w:t>'''''''''''''''''''''</w:t>
            </w:r>
          </w:p>
        </w:tc>
      </w:tr>
      <w:tr w:rsidR="007070CB">
        <w:trPr>
          <w:trHeight w:val="20"/>
        </w:trPr>
        <w:tc>
          <w:tcPr>
            <w:tcW w:w="1098" w:type="pct"/>
            <w:shd w:val="clear" w:color="auto" w:fill="auto"/>
            <w:vAlign w:val="center"/>
          </w:tcPr>
          <w:p w:rsidR="007070CB" w:rsidRDefault="006E2E62">
            <w:pPr>
              <w:keepNext/>
              <w:widowControl/>
              <w:spacing w:before="40" w:after="40"/>
              <w:jc w:val="left"/>
              <w:rPr>
                <w:rFonts w:ascii="Arial Narrow" w:eastAsiaTheme="minorHAnsi" w:hAnsi="Arial Narrow" w:cstheme="minorBidi"/>
                <w:snapToGrid/>
                <w:sz w:val="20"/>
              </w:rPr>
            </w:pPr>
            <w:r>
              <w:rPr>
                <w:rFonts w:ascii="Arial Narrow" w:eastAsiaTheme="minorHAnsi" w:hAnsi="Arial Narrow" w:cstheme="minorBidi"/>
                <w:snapToGrid/>
                <w:sz w:val="20"/>
                <w:lang w:val="en-US"/>
              </w:rPr>
              <w:t>Time horizon</w:t>
            </w:r>
          </w:p>
        </w:tc>
        <w:tc>
          <w:tcPr>
            <w:tcW w:w="2116" w:type="pct"/>
            <w:shd w:val="clear" w:color="auto" w:fill="auto"/>
            <w:vAlign w:val="center"/>
          </w:tcPr>
          <w:p w:rsidR="007070CB" w:rsidRDefault="006E2E62">
            <w:pPr>
              <w:keepNext/>
              <w:widowControl/>
              <w:spacing w:before="40" w:after="40"/>
              <w:jc w:val="left"/>
              <w:rPr>
                <w:rFonts w:ascii="Arial Narrow" w:eastAsiaTheme="minorHAnsi" w:hAnsi="Arial Narrow" w:cstheme="minorBidi"/>
                <w:snapToGrid/>
                <w:sz w:val="20"/>
                <w:lang w:val="en-US"/>
              </w:rPr>
            </w:pPr>
            <w:r>
              <w:rPr>
                <w:rFonts w:ascii="Arial Narrow" w:eastAsiaTheme="minorHAnsi" w:hAnsi="Arial Narrow" w:cstheme="minorBidi"/>
                <w:snapToGrid/>
                <w:sz w:val="20"/>
                <w:lang w:val="en-US"/>
              </w:rPr>
              <w:t>Treatment effect continued beyond 24-week trial period for lifetime. Sensitivity analysis: reduce time horizon to 5 years (and to the trial-based period).</w:t>
            </w:r>
          </w:p>
        </w:tc>
        <w:tc>
          <w:tcPr>
            <w:tcW w:w="871" w:type="pct"/>
            <w:shd w:val="clear" w:color="auto" w:fill="auto"/>
            <w:vAlign w:val="center"/>
          </w:tcPr>
          <w:p w:rsidR="007070CB" w:rsidRDefault="006E2E62">
            <w:pPr>
              <w:keepNext/>
              <w:widowControl/>
              <w:spacing w:before="40" w:after="40"/>
              <w:jc w:val="center"/>
              <w:rPr>
                <w:rFonts w:ascii="Arial Narrow" w:eastAsiaTheme="minorHAnsi" w:hAnsi="Arial Narrow" w:cstheme="minorBidi"/>
                <w:snapToGrid/>
                <w:sz w:val="20"/>
                <w:lang w:val="en-US"/>
              </w:rPr>
            </w:pPr>
            <w:r>
              <w:rPr>
                <w:rFonts w:ascii="Arial Narrow" w:eastAsiaTheme="minorHAnsi" w:hAnsi="Arial Narrow" w:cstheme="minorBidi"/>
                <w:snapToGrid/>
                <w:sz w:val="20"/>
                <w:lang w:val="en-US"/>
              </w:rPr>
              <w:t xml:space="preserve">High, </w:t>
            </w:r>
            <w:r>
              <w:rPr>
                <w:rFonts w:ascii="Arial Narrow" w:eastAsiaTheme="minorHAnsi" w:hAnsi="Arial Narrow" w:cstheme="minorBidi"/>
                <w:snapToGrid/>
                <w:sz w:val="20"/>
              </w:rPr>
              <w:t>favours</w:t>
            </w:r>
            <w:r>
              <w:rPr>
                <w:rFonts w:ascii="Arial Narrow" w:eastAsiaTheme="minorHAnsi" w:hAnsi="Arial Narrow" w:cstheme="minorBidi"/>
                <w:snapToGrid/>
                <w:sz w:val="20"/>
                <w:lang w:val="en-US"/>
              </w:rPr>
              <w:t xml:space="preserve"> lumacaftor/ivacaftor</w:t>
            </w:r>
          </w:p>
        </w:tc>
        <w:tc>
          <w:tcPr>
            <w:tcW w:w="915" w:type="pct"/>
            <w:vAlign w:val="center"/>
          </w:tcPr>
          <w:p w:rsidR="007070CB" w:rsidRDefault="006E2E62">
            <w:pPr>
              <w:keepNext/>
              <w:widowControl/>
              <w:spacing w:before="40" w:after="40"/>
              <w:jc w:val="center"/>
              <w:rPr>
                <w:rFonts w:ascii="Arial Narrow" w:eastAsiaTheme="minorHAnsi" w:hAnsi="Arial Narrow" w:cstheme="minorBidi"/>
                <w:snapToGrid/>
                <w:sz w:val="20"/>
                <w:lang w:val="en-US"/>
              </w:rPr>
            </w:pPr>
            <w:r>
              <w:rPr>
                <w:rFonts w:ascii="Arial Narrow" w:eastAsiaTheme="minorHAnsi" w:hAnsi="Arial Narrow" w:cstheme="minorBidi"/>
                <w:snapToGrid/>
                <w:sz w:val="20"/>
                <w:lang w:val="en-US"/>
              </w:rPr>
              <w:t xml:space="preserve">5 years: </w:t>
            </w:r>
            <w:r w:rsidR="00C42D5F">
              <w:rPr>
                <w:rFonts w:ascii="Arial Narrow" w:eastAsiaTheme="minorHAnsi" w:hAnsi="Arial Narrow" w:cstheme="minorBidi"/>
                <w:noProof/>
                <w:snapToGrid/>
                <w:color w:val="000000"/>
                <w:sz w:val="20"/>
                <w:highlight w:val="black"/>
                <w:lang w:val="en-US"/>
              </w:rPr>
              <w:t>'''''''''''''''''''''''''</w:t>
            </w:r>
          </w:p>
          <w:p w:rsidR="007070CB" w:rsidRDefault="006E2E62">
            <w:pPr>
              <w:keepNext/>
              <w:widowControl/>
              <w:spacing w:before="40" w:after="40"/>
              <w:jc w:val="center"/>
              <w:rPr>
                <w:rFonts w:ascii="Arial Narrow" w:eastAsiaTheme="minorHAnsi" w:hAnsi="Arial Narrow" w:cstheme="minorBidi"/>
                <w:snapToGrid/>
                <w:sz w:val="20"/>
                <w:lang w:val="en-US"/>
              </w:rPr>
            </w:pPr>
            <w:r>
              <w:rPr>
                <w:rFonts w:ascii="Arial Narrow" w:eastAsiaTheme="minorHAnsi" w:hAnsi="Arial Narrow" w:cstheme="minorBidi"/>
                <w:snapToGrid/>
                <w:sz w:val="20"/>
                <w:lang w:val="en-US"/>
              </w:rPr>
              <w:t xml:space="preserve">(Trial based: </w:t>
            </w:r>
            <w:r w:rsidR="00C42D5F">
              <w:rPr>
                <w:rFonts w:ascii="Arial Narrow" w:eastAsiaTheme="minorHAnsi" w:hAnsi="Arial Narrow" w:cstheme="minorBidi"/>
                <w:noProof/>
                <w:snapToGrid/>
                <w:color w:val="000000"/>
                <w:sz w:val="20"/>
                <w:highlight w:val="black"/>
                <w:lang w:val="en-US"/>
              </w:rPr>
              <w:t>''''''''''''''''''''''''''''''''</w:t>
            </w:r>
            <w:r>
              <w:rPr>
                <w:rFonts w:ascii="Arial Narrow" w:eastAsiaTheme="minorHAnsi" w:hAnsi="Arial Narrow" w:cstheme="minorBidi"/>
                <w:snapToGrid/>
                <w:sz w:val="20"/>
                <w:lang w:val="en-US"/>
              </w:rPr>
              <w:t>)</w:t>
            </w:r>
          </w:p>
        </w:tc>
      </w:tr>
      <w:tr w:rsidR="007070CB">
        <w:trPr>
          <w:trHeight w:val="20"/>
        </w:trPr>
        <w:tc>
          <w:tcPr>
            <w:tcW w:w="1098" w:type="pct"/>
            <w:shd w:val="clear" w:color="auto" w:fill="auto"/>
            <w:vAlign w:val="center"/>
          </w:tcPr>
          <w:p w:rsidR="007070CB" w:rsidRDefault="006E2E62">
            <w:pPr>
              <w:keepNext/>
              <w:widowControl/>
              <w:spacing w:before="40" w:after="40"/>
              <w:jc w:val="left"/>
              <w:rPr>
                <w:rFonts w:ascii="Arial Narrow" w:eastAsiaTheme="minorHAnsi" w:hAnsi="Arial Narrow" w:cstheme="minorBidi"/>
                <w:snapToGrid/>
                <w:sz w:val="20"/>
                <w:lang w:val="en-US"/>
              </w:rPr>
            </w:pPr>
            <w:r>
              <w:rPr>
                <w:rFonts w:ascii="Arial Narrow" w:eastAsiaTheme="minorHAnsi" w:hAnsi="Arial Narrow" w:cstheme="minorBidi"/>
                <w:snapToGrid/>
                <w:sz w:val="20"/>
                <w:lang w:val="en-US"/>
              </w:rPr>
              <w:t>Modelled change in pp</w:t>
            </w:r>
            <w:r>
              <w:rPr>
                <w:rFonts w:ascii="Arial Narrow" w:eastAsiaTheme="minorHAnsi" w:hAnsi="Arial Narrow" w:cstheme="minorBidi"/>
                <w:snapToGrid/>
                <w:sz w:val="20"/>
                <w:szCs w:val="24"/>
              </w:rPr>
              <w:t>FEV</w:t>
            </w:r>
            <w:r>
              <w:rPr>
                <w:rFonts w:ascii="Arial Narrow" w:eastAsiaTheme="minorHAnsi" w:hAnsi="Arial Narrow" w:cstheme="minorBidi"/>
                <w:snapToGrid/>
                <w:sz w:val="20"/>
                <w:szCs w:val="24"/>
                <w:vertAlign w:val="subscript"/>
              </w:rPr>
              <w:t>1</w:t>
            </w:r>
            <w:r>
              <w:rPr>
                <w:rFonts w:ascii="Arial Narrow" w:eastAsiaTheme="minorHAnsi" w:hAnsi="Arial Narrow" w:cstheme="minorBidi"/>
                <w:snapToGrid/>
                <w:sz w:val="20"/>
                <w:vertAlign w:val="subscript"/>
                <w:lang w:val="en-US"/>
              </w:rPr>
              <w:t xml:space="preserve"> </w:t>
            </w:r>
            <w:r>
              <w:rPr>
                <w:rFonts w:ascii="Arial Narrow" w:eastAsiaTheme="minorHAnsi" w:hAnsi="Arial Narrow" w:cstheme="minorBidi"/>
                <w:snapToGrid/>
                <w:sz w:val="20"/>
                <w:lang w:val="en-US"/>
              </w:rPr>
              <w:t>in lumacaftor/ivacaftor patients.</w:t>
            </w:r>
          </w:p>
        </w:tc>
        <w:tc>
          <w:tcPr>
            <w:tcW w:w="2116" w:type="pct"/>
            <w:shd w:val="clear" w:color="auto" w:fill="auto"/>
            <w:vAlign w:val="center"/>
          </w:tcPr>
          <w:p w:rsidR="007070CB" w:rsidRDefault="006E2E62">
            <w:pPr>
              <w:keepNext/>
              <w:widowControl/>
              <w:spacing w:before="40" w:after="40"/>
              <w:jc w:val="left"/>
              <w:rPr>
                <w:rFonts w:ascii="Arial Narrow" w:eastAsiaTheme="minorHAnsi" w:hAnsi="Arial Narrow" w:cstheme="minorBidi"/>
                <w:snapToGrid/>
                <w:sz w:val="20"/>
                <w:lang w:val="en-US"/>
              </w:rPr>
            </w:pPr>
            <w:r>
              <w:rPr>
                <w:rFonts w:ascii="Arial Narrow" w:eastAsiaTheme="minorHAnsi" w:hAnsi="Arial Narrow" w:cstheme="minorBidi"/>
                <w:snapToGrid/>
                <w:sz w:val="20"/>
                <w:lang w:val="en-US"/>
              </w:rPr>
              <w:t>Decrease in the annual decline in pp</w:t>
            </w:r>
            <w:r>
              <w:rPr>
                <w:rFonts w:ascii="Arial Narrow" w:eastAsiaTheme="minorHAnsi" w:hAnsi="Arial Narrow" w:cstheme="minorBidi"/>
                <w:snapToGrid/>
                <w:sz w:val="20"/>
                <w:szCs w:val="24"/>
              </w:rPr>
              <w:t>FEV</w:t>
            </w:r>
            <w:r>
              <w:rPr>
                <w:rFonts w:ascii="Arial Narrow" w:eastAsiaTheme="minorHAnsi" w:hAnsi="Arial Narrow" w:cstheme="minorBidi"/>
                <w:snapToGrid/>
                <w:sz w:val="20"/>
                <w:szCs w:val="24"/>
                <w:vertAlign w:val="subscript"/>
              </w:rPr>
              <w:t>1</w:t>
            </w:r>
            <w:r>
              <w:rPr>
                <w:rFonts w:ascii="Arial Narrow" w:eastAsiaTheme="minorHAnsi" w:hAnsi="Arial Narrow" w:cstheme="minorBidi"/>
                <w:snapToGrid/>
                <w:sz w:val="20"/>
                <w:vertAlign w:val="subscript"/>
                <w:lang w:val="en-US"/>
              </w:rPr>
              <w:t xml:space="preserve"> </w:t>
            </w:r>
            <w:r>
              <w:rPr>
                <w:rFonts w:ascii="Arial Narrow" w:eastAsiaTheme="minorHAnsi" w:hAnsi="Arial Narrow" w:cstheme="minorBidi"/>
                <w:snapToGrid/>
                <w:sz w:val="20"/>
                <w:lang w:val="en-US"/>
              </w:rPr>
              <w:t>after the first 24 weeks set to 42%, relative to BSC. Sensitivity analysis to set decline equivalent to BSC.</w:t>
            </w:r>
          </w:p>
        </w:tc>
        <w:tc>
          <w:tcPr>
            <w:tcW w:w="871" w:type="pct"/>
            <w:shd w:val="clear" w:color="auto" w:fill="auto"/>
            <w:vAlign w:val="center"/>
          </w:tcPr>
          <w:p w:rsidR="007070CB" w:rsidRDefault="006E2E62">
            <w:pPr>
              <w:keepNext/>
              <w:widowControl/>
              <w:spacing w:before="40" w:after="40"/>
              <w:jc w:val="center"/>
              <w:rPr>
                <w:rFonts w:ascii="Arial Narrow" w:eastAsiaTheme="minorHAnsi" w:hAnsi="Arial Narrow" w:cstheme="minorBidi"/>
                <w:snapToGrid/>
                <w:sz w:val="20"/>
                <w:lang w:val="en-US"/>
              </w:rPr>
            </w:pPr>
            <w:r>
              <w:rPr>
                <w:rFonts w:ascii="Arial Narrow" w:eastAsiaTheme="minorHAnsi" w:hAnsi="Arial Narrow" w:cstheme="minorBidi"/>
                <w:snapToGrid/>
                <w:sz w:val="20"/>
                <w:lang w:val="en-US"/>
              </w:rPr>
              <w:t xml:space="preserve">High, </w:t>
            </w:r>
            <w:r>
              <w:rPr>
                <w:rFonts w:ascii="Arial Narrow" w:eastAsiaTheme="minorHAnsi" w:hAnsi="Arial Narrow" w:cstheme="minorBidi"/>
                <w:snapToGrid/>
                <w:sz w:val="20"/>
              </w:rPr>
              <w:t>favours</w:t>
            </w:r>
            <w:r>
              <w:rPr>
                <w:rFonts w:ascii="Arial Narrow" w:eastAsiaTheme="minorHAnsi" w:hAnsi="Arial Narrow" w:cstheme="minorBidi"/>
                <w:snapToGrid/>
                <w:sz w:val="20"/>
                <w:lang w:val="en-US"/>
              </w:rPr>
              <w:t xml:space="preserve"> lumacaftor/ivacaftor</w:t>
            </w:r>
          </w:p>
        </w:tc>
        <w:tc>
          <w:tcPr>
            <w:tcW w:w="915" w:type="pct"/>
            <w:vAlign w:val="center"/>
          </w:tcPr>
          <w:p w:rsidR="007070CB" w:rsidRPr="00C42D5F" w:rsidRDefault="00C42D5F">
            <w:pPr>
              <w:keepNext/>
              <w:widowControl/>
              <w:spacing w:before="40" w:after="40"/>
              <w:jc w:val="center"/>
              <w:rPr>
                <w:rFonts w:ascii="Arial Narrow" w:eastAsiaTheme="minorHAnsi" w:hAnsi="Arial Narrow" w:cstheme="minorBidi"/>
                <w:snapToGrid/>
                <w:sz w:val="20"/>
                <w:highlight w:val="black"/>
                <w:lang w:val="en-US"/>
              </w:rPr>
            </w:pPr>
            <w:r>
              <w:rPr>
                <w:rFonts w:ascii="Arial Narrow" w:hAnsi="Arial Narrow" w:cs="Calibri"/>
                <w:iCs/>
                <w:noProof/>
                <w:color w:val="000000"/>
                <w:sz w:val="20"/>
                <w:szCs w:val="20"/>
                <w:highlight w:val="black"/>
              </w:rPr>
              <w:t>'''''''''''''''''''''''</w:t>
            </w:r>
          </w:p>
        </w:tc>
      </w:tr>
      <w:tr w:rsidR="007070CB">
        <w:trPr>
          <w:trHeight w:val="20"/>
        </w:trPr>
        <w:tc>
          <w:tcPr>
            <w:tcW w:w="1098" w:type="pct"/>
            <w:shd w:val="clear" w:color="auto" w:fill="auto"/>
            <w:vAlign w:val="center"/>
          </w:tcPr>
          <w:p w:rsidR="007070CB" w:rsidRDefault="006E2E62">
            <w:pPr>
              <w:keepNext/>
              <w:widowControl/>
              <w:spacing w:before="40" w:after="40"/>
              <w:jc w:val="left"/>
              <w:rPr>
                <w:rFonts w:ascii="Arial Narrow" w:eastAsiaTheme="minorHAnsi" w:hAnsi="Arial Narrow" w:cstheme="minorBidi"/>
                <w:snapToGrid/>
                <w:sz w:val="20"/>
                <w:lang w:val="en-US"/>
              </w:rPr>
            </w:pPr>
            <w:r>
              <w:rPr>
                <w:rFonts w:ascii="Arial Narrow" w:eastAsiaTheme="minorHAnsi" w:hAnsi="Arial Narrow" w:cstheme="minorBidi"/>
                <w:snapToGrid/>
                <w:sz w:val="20"/>
                <w:lang w:val="en-US"/>
              </w:rPr>
              <w:t xml:space="preserve">Assumption of 90% price reduction at patent expiry and F1 statutory price reduction. </w:t>
            </w:r>
          </w:p>
        </w:tc>
        <w:tc>
          <w:tcPr>
            <w:tcW w:w="2116" w:type="pct"/>
            <w:shd w:val="clear" w:color="auto" w:fill="auto"/>
            <w:vAlign w:val="center"/>
          </w:tcPr>
          <w:p w:rsidR="007070CB" w:rsidRDefault="006E2E62">
            <w:pPr>
              <w:keepNext/>
              <w:widowControl/>
              <w:spacing w:before="40" w:after="40"/>
              <w:jc w:val="left"/>
              <w:rPr>
                <w:rFonts w:ascii="Arial Narrow" w:eastAsiaTheme="minorHAnsi" w:hAnsi="Arial Narrow" w:cstheme="minorBidi"/>
                <w:snapToGrid/>
                <w:sz w:val="20"/>
                <w:lang w:val="en-US"/>
              </w:rPr>
            </w:pPr>
            <w:r>
              <w:rPr>
                <w:rFonts w:ascii="Arial Narrow" w:eastAsiaTheme="minorHAnsi" w:hAnsi="Arial Narrow" w:cstheme="minorBidi"/>
                <w:snapToGrid/>
                <w:sz w:val="20"/>
                <w:lang w:val="en-US"/>
              </w:rPr>
              <w:t>90% price reduction at end of patent life and 5% statutory price reduction. Sensitivity analysis: price reductions removed.</w:t>
            </w:r>
            <w:r w:rsidR="00FE7D84">
              <w:rPr>
                <w:rFonts w:ascii="Arial Narrow" w:eastAsiaTheme="minorHAnsi" w:hAnsi="Arial Narrow" w:cstheme="minorBidi"/>
                <w:snapToGrid/>
                <w:sz w:val="20"/>
                <w:lang w:val="en-US"/>
              </w:rPr>
              <w:t xml:space="preserve"> </w:t>
            </w:r>
          </w:p>
        </w:tc>
        <w:tc>
          <w:tcPr>
            <w:tcW w:w="871" w:type="pct"/>
            <w:shd w:val="clear" w:color="auto" w:fill="auto"/>
            <w:vAlign w:val="center"/>
          </w:tcPr>
          <w:p w:rsidR="007070CB" w:rsidRDefault="006E2E62">
            <w:pPr>
              <w:keepNext/>
              <w:widowControl/>
              <w:spacing w:before="40" w:after="40"/>
              <w:jc w:val="center"/>
              <w:rPr>
                <w:rFonts w:ascii="Arial Narrow" w:eastAsiaTheme="minorHAnsi" w:hAnsi="Arial Narrow" w:cstheme="minorBidi"/>
                <w:snapToGrid/>
                <w:sz w:val="20"/>
                <w:lang w:val="en-US"/>
              </w:rPr>
            </w:pPr>
            <w:r>
              <w:rPr>
                <w:rFonts w:ascii="Arial Narrow" w:eastAsiaTheme="minorHAnsi" w:hAnsi="Arial Narrow" w:cstheme="minorBidi"/>
                <w:snapToGrid/>
                <w:sz w:val="20"/>
                <w:lang w:val="en-US"/>
              </w:rPr>
              <w:t>High, favours lumacaftor/ivacaftor</w:t>
            </w:r>
          </w:p>
        </w:tc>
        <w:tc>
          <w:tcPr>
            <w:tcW w:w="915" w:type="pct"/>
            <w:vAlign w:val="center"/>
          </w:tcPr>
          <w:p w:rsidR="007070CB" w:rsidRPr="00C42D5F" w:rsidRDefault="00C42D5F">
            <w:pPr>
              <w:keepNext/>
              <w:widowControl/>
              <w:spacing w:before="40" w:after="40"/>
              <w:jc w:val="center"/>
              <w:rPr>
                <w:rFonts w:ascii="Arial Narrow" w:eastAsiaTheme="minorHAnsi" w:hAnsi="Arial Narrow" w:cstheme="minorBidi"/>
                <w:snapToGrid/>
                <w:sz w:val="20"/>
                <w:highlight w:val="black"/>
                <w:lang w:val="en-US"/>
              </w:rPr>
            </w:pPr>
            <w:r>
              <w:rPr>
                <w:rFonts w:ascii="Arial Narrow" w:hAnsi="Arial Narrow" w:cs="Calibri"/>
                <w:iCs/>
                <w:noProof/>
                <w:color w:val="000000"/>
                <w:sz w:val="20"/>
                <w:szCs w:val="20"/>
                <w:highlight w:val="black"/>
              </w:rPr>
              <w:t>''''''''''''''''''''</w:t>
            </w:r>
          </w:p>
        </w:tc>
      </w:tr>
      <w:tr w:rsidR="007070CB">
        <w:trPr>
          <w:trHeight w:val="20"/>
        </w:trPr>
        <w:tc>
          <w:tcPr>
            <w:tcW w:w="1098" w:type="pct"/>
            <w:shd w:val="clear" w:color="auto" w:fill="auto"/>
            <w:vAlign w:val="center"/>
          </w:tcPr>
          <w:p w:rsidR="007070CB" w:rsidRDefault="006E2E62">
            <w:pPr>
              <w:keepNext/>
              <w:widowControl/>
              <w:spacing w:before="40" w:after="40"/>
              <w:jc w:val="left"/>
              <w:rPr>
                <w:rFonts w:ascii="Arial Narrow" w:eastAsiaTheme="minorHAnsi" w:hAnsi="Arial Narrow" w:cstheme="minorBidi"/>
                <w:snapToGrid/>
                <w:sz w:val="20"/>
                <w:lang w:val="en-US"/>
              </w:rPr>
            </w:pPr>
            <w:r>
              <w:rPr>
                <w:rFonts w:ascii="Arial Narrow" w:eastAsiaTheme="minorHAnsi" w:hAnsi="Arial Narrow" w:cstheme="minorBidi"/>
                <w:snapToGrid/>
                <w:sz w:val="20"/>
                <w:lang w:val="en-US"/>
              </w:rPr>
              <w:t>Assumption of reduction in PE-related hospitalisation costs for lumacaftor/ivacaftor.</w:t>
            </w:r>
          </w:p>
        </w:tc>
        <w:tc>
          <w:tcPr>
            <w:tcW w:w="2116" w:type="pct"/>
            <w:shd w:val="clear" w:color="auto" w:fill="auto"/>
            <w:vAlign w:val="center"/>
          </w:tcPr>
          <w:p w:rsidR="007070CB" w:rsidRDefault="006E2E62">
            <w:pPr>
              <w:keepNext/>
              <w:widowControl/>
              <w:spacing w:before="40" w:after="40"/>
              <w:jc w:val="left"/>
              <w:rPr>
                <w:rFonts w:ascii="Arial Narrow" w:eastAsiaTheme="minorHAnsi" w:hAnsi="Arial Narrow" w:cstheme="minorBidi"/>
                <w:snapToGrid/>
                <w:sz w:val="20"/>
                <w:lang w:val="en-US"/>
              </w:rPr>
            </w:pPr>
            <w:r>
              <w:rPr>
                <w:rFonts w:ascii="Arial Narrow" w:eastAsiaTheme="minorHAnsi" w:hAnsi="Arial Narrow" w:cstheme="minorBidi"/>
                <w:snapToGrid/>
                <w:sz w:val="20"/>
                <w:lang w:val="en-US"/>
              </w:rPr>
              <w:t xml:space="preserve">61% reduction in PE-related </w:t>
            </w:r>
            <w:r>
              <w:rPr>
                <w:rFonts w:ascii="Arial Narrow" w:eastAsiaTheme="minorHAnsi" w:hAnsi="Arial Narrow" w:cstheme="minorBidi"/>
                <w:snapToGrid/>
                <w:sz w:val="20"/>
              </w:rPr>
              <w:t>hospitalisation</w:t>
            </w:r>
            <w:r>
              <w:rPr>
                <w:rFonts w:ascii="Arial Narrow" w:eastAsiaTheme="minorHAnsi" w:hAnsi="Arial Narrow" w:cstheme="minorBidi"/>
                <w:snapToGrid/>
                <w:sz w:val="20"/>
                <w:lang w:val="en-US"/>
              </w:rPr>
              <w:t xml:space="preserve"> costs; estimated by multiplying </w:t>
            </w:r>
            <w:r>
              <w:rPr>
                <w:rFonts w:ascii="Arial Narrow" w:eastAsiaTheme="minorHAnsi" w:hAnsi="Arial Narrow" w:cstheme="minorBidi"/>
                <w:snapToGrid/>
                <w:sz w:val="20"/>
              </w:rPr>
              <w:t>hospitalisation</w:t>
            </w:r>
            <w:r>
              <w:rPr>
                <w:rFonts w:ascii="Arial Narrow" w:eastAsiaTheme="minorHAnsi" w:hAnsi="Arial Narrow" w:cstheme="minorBidi"/>
                <w:snapToGrid/>
                <w:sz w:val="20"/>
                <w:lang w:val="en-US"/>
              </w:rPr>
              <w:t xml:space="preserve"> costs associated with BSC by 0.61. Sensitivity analysis assuming 75% of hospitalisations are due to PEx.</w:t>
            </w:r>
          </w:p>
        </w:tc>
        <w:tc>
          <w:tcPr>
            <w:tcW w:w="871" w:type="pct"/>
            <w:shd w:val="clear" w:color="auto" w:fill="auto"/>
            <w:vAlign w:val="center"/>
          </w:tcPr>
          <w:p w:rsidR="007070CB" w:rsidRDefault="006E2E62">
            <w:pPr>
              <w:keepNext/>
              <w:widowControl/>
              <w:spacing w:before="40" w:after="40"/>
              <w:jc w:val="center"/>
              <w:rPr>
                <w:rFonts w:ascii="Arial Narrow" w:eastAsiaTheme="minorHAnsi" w:hAnsi="Arial Narrow" w:cstheme="minorBidi"/>
                <w:snapToGrid/>
                <w:sz w:val="20"/>
                <w:lang w:val="en-US"/>
              </w:rPr>
            </w:pPr>
            <w:r>
              <w:rPr>
                <w:rFonts w:ascii="Arial Narrow" w:eastAsiaTheme="minorHAnsi" w:hAnsi="Arial Narrow" w:cstheme="minorBidi"/>
                <w:snapToGrid/>
                <w:sz w:val="20"/>
                <w:lang w:val="en-US"/>
              </w:rPr>
              <w:t>Moderate, favours lumacaftor/ivacaftor</w:t>
            </w:r>
          </w:p>
        </w:tc>
        <w:tc>
          <w:tcPr>
            <w:tcW w:w="915" w:type="pct"/>
            <w:vAlign w:val="center"/>
          </w:tcPr>
          <w:p w:rsidR="007070CB" w:rsidRPr="00C42D5F" w:rsidRDefault="00C42D5F">
            <w:pPr>
              <w:keepNext/>
              <w:widowControl/>
              <w:spacing w:before="40" w:after="40"/>
              <w:jc w:val="center"/>
              <w:rPr>
                <w:rFonts w:ascii="Arial Narrow" w:eastAsiaTheme="minorHAnsi" w:hAnsi="Arial Narrow" w:cstheme="minorBidi"/>
                <w:snapToGrid/>
                <w:sz w:val="20"/>
                <w:highlight w:val="black"/>
                <w:lang w:val="en-US"/>
              </w:rPr>
            </w:pPr>
            <w:r>
              <w:rPr>
                <w:rFonts w:ascii="Arial Narrow" w:hAnsi="Arial Narrow" w:cs="Calibri"/>
                <w:iCs/>
                <w:noProof/>
                <w:color w:val="000000"/>
                <w:sz w:val="20"/>
                <w:szCs w:val="20"/>
                <w:highlight w:val="black"/>
              </w:rPr>
              <w:t>''''''''''''''''''''''''</w:t>
            </w:r>
          </w:p>
        </w:tc>
      </w:tr>
      <w:tr w:rsidR="007070CB">
        <w:trPr>
          <w:trHeight w:val="20"/>
        </w:trPr>
        <w:tc>
          <w:tcPr>
            <w:tcW w:w="1098" w:type="pct"/>
            <w:shd w:val="clear" w:color="auto" w:fill="auto"/>
            <w:vAlign w:val="center"/>
          </w:tcPr>
          <w:p w:rsidR="007070CB" w:rsidRDefault="006E2E62">
            <w:pPr>
              <w:keepNext/>
              <w:widowControl/>
              <w:spacing w:before="40" w:after="40"/>
              <w:jc w:val="left"/>
              <w:rPr>
                <w:rFonts w:ascii="Arial Narrow" w:eastAsiaTheme="minorHAnsi" w:hAnsi="Arial Narrow" w:cstheme="minorBidi"/>
                <w:snapToGrid/>
                <w:sz w:val="20"/>
                <w:lang w:val="en-US"/>
              </w:rPr>
            </w:pPr>
            <w:r>
              <w:rPr>
                <w:rFonts w:ascii="Arial Narrow" w:eastAsiaTheme="minorHAnsi" w:hAnsi="Arial Narrow" w:cstheme="minorBidi"/>
                <w:snapToGrid/>
                <w:sz w:val="20"/>
                <w:lang w:val="en-US"/>
              </w:rPr>
              <w:t>Discontinuation beyond 24 weeks</w:t>
            </w:r>
          </w:p>
        </w:tc>
        <w:tc>
          <w:tcPr>
            <w:tcW w:w="2116" w:type="pct"/>
            <w:shd w:val="clear" w:color="auto" w:fill="auto"/>
            <w:vAlign w:val="center"/>
          </w:tcPr>
          <w:p w:rsidR="007070CB" w:rsidRDefault="006E2E62">
            <w:pPr>
              <w:keepNext/>
              <w:widowControl/>
              <w:spacing w:before="40" w:after="40"/>
              <w:jc w:val="left"/>
              <w:rPr>
                <w:rFonts w:ascii="Arial Narrow" w:eastAsiaTheme="minorHAnsi" w:hAnsi="Arial Narrow" w:cstheme="minorBidi"/>
                <w:snapToGrid/>
                <w:sz w:val="20"/>
                <w:lang w:val="en-US"/>
              </w:rPr>
            </w:pPr>
            <w:r>
              <w:rPr>
                <w:rFonts w:ascii="Arial Narrow" w:eastAsiaTheme="minorHAnsi" w:hAnsi="Arial Narrow" w:cstheme="minorBidi"/>
                <w:snapToGrid/>
                <w:sz w:val="20"/>
                <w:lang w:val="en-US"/>
              </w:rPr>
              <w:t xml:space="preserve">Assumed no discontinuation beyond 24 weeks. Sensitivity analysis assuming the same discontinuation rate applied throughout (post 24 weeks), and no discontinuation until post 96 weeks. </w:t>
            </w:r>
          </w:p>
        </w:tc>
        <w:tc>
          <w:tcPr>
            <w:tcW w:w="871" w:type="pct"/>
            <w:shd w:val="clear" w:color="auto" w:fill="auto"/>
            <w:vAlign w:val="center"/>
          </w:tcPr>
          <w:p w:rsidR="007070CB" w:rsidRDefault="006E2E62">
            <w:pPr>
              <w:keepNext/>
              <w:widowControl/>
              <w:spacing w:before="40" w:after="40"/>
              <w:jc w:val="center"/>
              <w:rPr>
                <w:rFonts w:ascii="Arial Narrow" w:eastAsiaTheme="minorHAnsi" w:hAnsi="Arial Narrow" w:cstheme="minorBidi"/>
                <w:snapToGrid/>
                <w:sz w:val="20"/>
                <w:lang w:val="en-US"/>
              </w:rPr>
            </w:pPr>
            <w:r>
              <w:rPr>
                <w:rFonts w:ascii="Arial Narrow" w:eastAsiaTheme="minorHAnsi" w:hAnsi="Arial Narrow" w:cstheme="minorBidi"/>
                <w:snapToGrid/>
                <w:sz w:val="20"/>
                <w:lang w:val="en-US"/>
              </w:rPr>
              <w:t>High, favours lumacaftor/ivacaftor</w:t>
            </w:r>
          </w:p>
        </w:tc>
        <w:tc>
          <w:tcPr>
            <w:tcW w:w="915" w:type="pct"/>
            <w:vAlign w:val="center"/>
          </w:tcPr>
          <w:p w:rsidR="007070CB" w:rsidRDefault="006E2E62">
            <w:pPr>
              <w:keepNext/>
              <w:widowControl/>
              <w:spacing w:before="40" w:after="40"/>
              <w:jc w:val="center"/>
              <w:rPr>
                <w:rFonts w:ascii="Arial Narrow" w:hAnsi="Arial Narrow" w:cs="Calibri"/>
                <w:iCs/>
                <w:color w:val="000000"/>
                <w:sz w:val="20"/>
                <w:szCs w:val="20"/>
              </w:rPr>
            </w:pPr>
            <w:r>
              <w:rPr>
                <w:rFonts w:ascii="Arial Narrow" w:hAnsi="Arial Narrow" w:cs="Calibri"/>
                <w:iCs/>
                <w:color w:val="000000"/>
                <w:sz w:val="20"/>
                <w:szCs w:val="20"/>
              </w:rPr>
              <w:t xml:space="preserve">24 wks: </w:t>
            </w:r>
            <w:r w:rsidR="00C42D5F">
              <w:rPr>
                <w:rFonts w:ascii="Arial Narrow" w:hAnsi="Arial Narrow" w:cs="Calibri"/>
                <w:iCs/>
                <w:noProof/>
                <w:color w:val="000000"/>
                <w:sz w:val="20"/>
                <w:szCs w:val="20"/>
                <w:highlight w:val="black"/>
              </w:rPr>
              <w:t>'''''''''''''''''''''''</w:t>
            </w:r>
          </w:p>
          <w:p w:rsidR="007070CB" w:rsidRDefault="006E2E62">
            <w:pPr>
              <w:keepNext/>
              <w:widowControl/>
              <w:spacing w:before="40" w:after="40"/>
              <w:jc w:val="center"/>
              <w:rPr>
                <w:rFonts w:ascii="Arial Narrow" w:eastAsiaTheme="minorHAnsi" w:hAnsi="Arial Narrow" w:cstheme="minorBidi"/>
                <w:snapToGrid/>
                <w:sz w:val="20"/>
                <w:lang w:val="en-US"/>
              </w:rPr>
            </w:pPr>
            <w:r>
              <w:rPr>
                <w:rFonts w:ascii="Arial Narrow" w:hAnsi="Arial Narrow" w:cs="Calibri"/>
                <w:iCs/>
                <w:color w:val="000000"/>
                <w:sz w:val="20"/>
                <w:szCs w:val="20"/>
              </w:rPr>
              <w:t xml:space="preserve">(96 wks: </w:t>
            </w:r>
            <w:r w:rsidR="00C42D5F">
              <w:rPr>
                <w:rFonts w:ascii="Arial Narrow" w:hAnsi="Arial Narrow" w:cs="Calibri"/>
                <w:iCs/>
                <w:noProof/>
                <w:color w:val="000000"/>
                <w:sz w:val="20"/>
                <w:szCs w:val="20"/>
                <w:highlight w:val="black"/>
              </w:rPr>
              <w:t>''''''''''''''''''''''</w:t>
            </w:r>
            <w:r>
              <w:rPr>
                <w:rFonts w:ascii="Arial Narrow" w:hAnsi="Arial Narrow" w:cs="Calibri"/>
                <w:iCs/>
                <w:color w:val="000000"/>
                <w:sz w:val="20"/>
                <w:szCs w:val="20"/>
              </w:rPr>
              <w:t>)</w:t>
            </w:r>
          </w:p>
        </w:tc>
      </w:tr>
    </w:tbl>
    <w:p w:rsidR="007070CB" w:rsidRDefault="006E2E62">
      <w:pPr>
        <w:keepNext/>
        <w:widowControl/>
        <w:jc w:val="left"/>
        <w:rPr>
          <w:rFonts w:ascii="Arial Narrow" w:hAnsi="Arial Narrow"/>
          <w:sz w:val="18"/>
          <w:szCs w:val="16"/>
        </w:rPr>
      </w:pPr>
      <w:r>
        <w:rPr>
          <w:rFonts w:ascii="Arial Narrow" w:hAnsi="Arial Narrow"/>
          <w:sz w:val="18"/>
          <w:szCs w:val="16"/>
        </w:rPr>
        <w:t>Abbreviations: BSC = best supportive care; ICER = incremental cost-effectiveness ratio; PE = pulmonary exacerbation; pp</w:t>
      </w:r>
      <w:r>
        <w:rPr>
          <w:rFonts w:ascii="Arial Narrow" w:hAnsi="Arial Narrow"/>
          <w:sz w:val="18"/>
          <w:szCs w:val="24"/>
        </w:rPr>
        <w:t>FEV</w:t>
      </w:r>
      <w:r>
        <w:rPr>
          <w:rFonts w:ascii="Arial Narrow" w:hAnsi="Arial Narrow"/>
          <w:sz w:val="18"/>
          <w:szCs w:val="24"/>
          <w:vertAlign w:val="subscript"/>
        </w:rPr>
        <w:t>1</w:t>
      </w:r>
      <w:r>
        <w:rPr>
          <w:rFonts w:ascii="Arial Narrow" w:hAnsi="Arial Narrow"/>
          <w:sz w:val="18"/>
          <w:szCs w:val="16"/>
        </w:rPr>
        <w:t>= per cent predicted forced expiratory volume in one second; QALY = quality adjusted life year.</w:t>
      </w:r>
    </w:p>
    <w:p w:rsidR="007070CB" w:rsidRDefault="006E2E62">
      <w:pPr>
        <w:keepNext/>
        <w:widowControl/>
        <w:jc w:val="left"/>
        <w:rPr>
          <w:rFonts w:ascii="Arial Narrow" w:hAnsi="Arial Narrow"/>
          <w:sz w:val="18"/>
          <w:szCs w:val="16"/>
        </w:rPr>
      </w:pPr>
      <w:r>
        <w:rPr>
          <w:rFonts w:ascii="Arial Narrow" w:hAnsi="Arial Narrow"/>
          <w:sz w:val="18"/>
          <w:szCs w:val="16"/>
        </w:rPr>
        <w:t xml:space="preserve">Source: compiled during the evaluation. </w:t>
      </w:r>
    </w:p>
    <w:p w:rsidR="007070CB" w:rsidRDefault="007070CB">
      <w:pPr>
        <w:widowControl/>
      </w:pPr>
    </w:p>
    <w:p w:rsidR="007070CB" w:rsidRDefault="006E2E62">
      <w:pPr>
        <w:widowControl/>
      </w:pPr>
      <w:r>
        <w:t xml:space="preserve">The redacted table shows ICERs in the range of </w:t>
      </w:r>
      <w:r w:rsidR="00F94EE4">
        <w:t xml:space="preserve">$105,000/QALY to </w:t>
      </w:r>
      <w:r w:rsidR="006C3B75">
        <w:t xml:space="preserve">more than </w:t>
      </w:r>
      <w:r>
        <w:t>$200,000/QALY.</w:t>
      </w:r>
    </w:p>
    <w:p w:rsidR="007070CB" w:rsidRDefault="007070CB">
      <w:pPr>
        <w:widowControl/>
      </w:pPr>
    </w:p>
    <w:p w:rsidR="007070CB" w:rsidRDefault="006E2E62">
      <w:pPr>
        <w:pStyle w:val="ListParagraph"/>
        <w:widowControl/>
        <w:numPr>
          <w:ilvl w:val="1"/>
          <w:numId w:val="1"/>
        </w:numPr>
      </w:pPr>
      <w:r>
        <w:t>The submission did not present a stepped analysis for the economic evaluation. The results of the CUA are presented in Table 11.</w:t>
      </w:r>
    </w:p>
    <w:p w:rsidR="00C15476" w:rsidRDefault="00C15476" w:rsidP="00C15476">
      <w:pPr>
        <w:pStyle w:val="PBACTableText"/>
      </w:pPr>
      <w:r>
        <w:t xml:space="preserve">Table </w:t>
      </w:r>
      <w:r w:rsidR="00AF1977">
        <w:rPr>
          <w:noProof/>
        </w:rPr>
        <w:t>11</w:t>
      </w:r>
      <w:r w:rsidRPr="00642B6A">
        <w:t>: Results of the economic evaluation, lumacaftor/ivacaftor vs BSC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28" w:type="dxa"/>
          <w:right w:w="28" w:type="dxa"/>
        </w:tblCellMar>
        <w:tblLook w:val="04A0" w:firstRow="1" w:lastRow="0" w:firstColumn="1" w:lastColumn="0" w:noHBand="0" w:noVBand="1"/>
        <w:tblCaption w:val="Table 11: Results of the economic evaluation, lumacaftor/ivacaftor vs BSC"/>
      </w:tblPr>
      <w:tblGrid>
        <w:gridCol w:w="2825"/>
        <w:gridCol w:w="947"/>
        <w:gridCol w:w="781"/>
        <w:gridCol w:w="988"/>
        <w:gridCol w:w="990"/>
        <w:gridCol w:w="705"/>
        <w:gridCol w:w="988"/>
        <w:gridCol w:w="793"/>
      </w:tblGrid>
      <w:tr w:rsidR="007070CB" w:rsidTr="00C15476">
        <w:trPr>
          <w:cantSplit/>
          <w:trHeight w:val="227"/>
          <w:tblHeader/>
        </w:trPr>
        <w:tc>
          <w:tcPr>
            <w:tcW w:w="1566" w:type="pct"/>
            <w:vMerge w:val="restart"/>
            <w:shd w:val="clear" w:color="auto" w:fill="FFFFFF" w:themeFill="background1"/>
            <w:vAlign w:val="center"/>
          </w:tcPr>
          <w:p w:rsidR="007070CB" w:rsidRDefault="006E2E62">
            <w:pPr>
              <w:pStyle w:val="Tabletext"/>
              <w:rPr>
                <w:b/>
                <w:szCs w:val="20"/>
              </w:rPr>
            </w:pPr>
            <w:r>
              <w:rPr>
                <w:b/>
                <w:szCs w:val="20"/>
              </w:rPr>
              <w:t>Population</w:t>
            </w:r>
          </w:p>
        </w:tc>
        <w:tc>
          <w:tcPr>
            <w:tcW w:w="1506" w:type="pct"/>
            <w:gridSpan w:val="3"/>
            <w:shd w:val="clear" w:color="auto" w:fill="FFFFFF" w:themeFill="background1"/>
            <w:vAlign w:val="center"/>
          </w:tcPr>
          <w:p w:rsidR="007070CB" w:rsidRDefault="006E2E62">
            <w:pPr>
              <w:pStyle w:val="Tabletext"/>
              <w:jc w:val="center"/>
              <w:rPr>
                <w:b/>
                <w:szCs w:val="20"/>
              </w:rPr>
            </w:pPr>
            <w:r>
              <w:rPr>
                <w:b/>
                <w:szCs w:val="20"/>
              </w:rPr>
              <w:t>Costs</w:t>
            </w:r>
          </w:p>
        </w:tc>
        <w:tc>
          <w:tcPr>
            <w:tcW w:w="1488" w:type="pct"/>
            <w:gridSpan w:val="3"/>
            <w:shd w:val="clear" w:color="auto" w:fill="FFFFFF" w:themeFill="background1"/>
            <w:vAlign w:val="center"/>
          </w:tcPr>
          <w:p w:rsidR="007070CB" w:rsidRDefault="006E2E62">
            <w:pPr>
              <w:pStyle w:val="Tabletext"/>
              <w:jc w:val="center"/>
              <w:rPr>
                <w:b/>
                <w:szCs w:val="20"/>
              </w:rPr>
            </w:pPr>
            <w:r>
              <w:rPr>
                <w:b/>
                <w:szCs w:val="20"/>
              </w:rPr>
              <w:t>QALYs</w:t>
            </w:r>
          </w:p>
        </w:tc>
        <w:tc>
          <w:tcPr>
            <w:tcW w:w="440" w:type="pct"/>
            <w:vMerge w:val="restart"/>
            <w:shd w:val="clear" w:color="auto" w:fill="FFFFFF" w:themeFill="background1"/>
            <w:vAlign w:val="center"/>
          </w:tcPr>
          <w:p w:rsidR="007070CB" w:rsidRDefault="006E2E62">
            <w:pPr>
              <w:pStyle w:val="Tabletext"/>
              <w:jc w:val="center"/>
              <w:rPr>
                <w:b/>
                <w:szCs w:val="20"/>
              </w:rPr>
            </w:pPr>
            <w:r>
              <w:rPr>
                <w:b/>
                <w:szCs w:val="20"/>
              </w:rPr>
              <w:t>ICER</w:t>
            </w:r>
            <w:r w:rsidR="00FE7D84">
              <w:rPr>
                <w:b/>
                <w:szCs w:val="20"/>
              </w:rPr>
              <w:t xml:space="preserve"> </w:t>
            </w:r>
          </w:p>
          <w:p w:rsidR="007070CB" w:rsidRDefault="006E2E62">
            <w:pPr>
              <w:pStyle w:val="Tabletext"/>
              <w:jc w:val="center"/>
              <w:rPr>
                <w:b/>
                <w:szCs w:val="20"/>
              </w:rPr>
            </w:pPr>
            <w:r>
              <w:rPr>
                <w:b/>
                <w:szCs w:val="20"/>
              </w:rPr>
              <w:t>$/QALY</w:t>
            </w:r>
          </w:p>
        </w:tc>
      </w:tr>
      <w:tr w:rsidR="007070CB" w:rsidTr="00C15476">
        <w:trPr>
          <w:cantSplit/>
          <w:trHeight w:val="465"/>
          <w:tblHeader/>
        </w:trPr>
        <w:tc>
          <w:tcPr>
            <w:tcW w:w="1566" w:type="pct"/>
            <w:vMerge/>
            <w:shd w:val="clear" w:color="auto" w:fill="FFFFFF" w:themeFill="background1"/>
            <w:vAlign w:val="center"/>
          </w:tcPr>
          <w:p w:rsidR="007070CB" w:rsidRDefault="007070CB">
            <w:pPr>
              <w:pStyle w:val="Tabletext"/>
              <w:rPr>
                <w:szCs w:val="20"/>
                <w:highlight w:val="yellow"/>
              </w:rPr>
            </w:pPr>
          </w:p>
        </w:tc>
        <w:tc>
          <w:tcPr>
            <w:tcW w:w="525" w:type="pct"/>
            <w:shd w:val="clear" w:color="auto" w:fill="FFFFFF" w:themeFill="background1"/>
            <w:vAlign w:val="center"/>
          </w:tcPr>
          <w:p w:rsidR="007070CB" w:rsidRDefault="006E2E62">
            <w:pPr>
              <w:pStyle w:val="Tabletext"/>
              <w:jc w:val="center"/>
              <w:rPr>
                <w:b/>
                <w:szCs w:val="20"/>
              </w:rPr>
            </w:pPr>
            <w:r>
              <w:rPr>
                <w:b/>
                <w:szCs w:val="20"/>
              </w:rPr>
              <w:t>lumacaftor/ ivacaftor</w:t>
            </w:r>
          </w:p>
        </w:tc>
        <w:tc>
          <w:tcPr>
            <w:tcW w:w="433" w:type="pct"/>
            <w:shd w:val="clear" w:color="auto" w:fill="FFFFFF" w:themeFill="background1"/>
            <w:vAlign w:val="center"/>
          </w:tcPr>
          <w:p w:rsidR="007070CB" w:rsidRDefault="006E2E62">
            <w:pPr>
              <w:pStyle w:val="Tabletext"/>
              <w:jc w:val="center"/>
              <w:rPr>
                <w:b/>
                <w:szCs w:val="20"/>
              </w:rPr>
            </w:pPr>
            <w:r>
              <w:rPr>
                <w:b/>
                <w:szCs w:val="20"/>
              </w:rPr>
              <w:t>BSC</w:t>
            </w:r>
          </w:p>
        </w:tc>
        <w:tc>
          <w:tcPr>
            <w:tcW w:w="548" w:type="pct"/>
            <w:shd w:val="clear" w:color="auto" w:fill="FFFFFF" w:themeFill="background1"/>
            <w:vAlign w:val="center"/>
          </w:tcPr>
          <w:p w:rsidR="007070CB" w:rsidRDefault="006E2E62">
            <w:pPr>
              <w:pStyle w:val="Tabletext"/>
              <w:jc w:val="center"/>
              <w:rPr>
                <w:b/>
                <w:szCs w:val="20"/>
              </w:rPr>
            </w:pPr>
            <w:r>
              <w:rPr>
                <w:b/>
                <w:szCs w:val="20"/>
              </w:rPr>
              <w:t>Incremental</w:t>
            </w:r>
          </w:p>
        </w:tc>
        <w:tc>
          <w:tcPr>
            <w:tcW w:w="549" w:type="pct"/>
            <w:shd w:val="clear" w:color="auto" w:fill="FFFFFF" w:themeFill="background1"/>
            <w:vAlign w:val="center"/>
          </w:tcPr>
          <w:p w:rsidR="007070CB" w:rsidRDefault="006E2E62">
            <w:pPr>
              <w:pStyle w:val="Tabletext"/>
              <w:jc w:val="center"/>
              <w:rPr>
                <w:b/>
                <w:szCs w:val="20"/>
              </w:rPr>
            </w:pPr>
            <w:r>
              <w:rPr>
                <w:b/>
                <w:szCs w:val="20"/>
              </w:rPr>
              <w:t>lumacaftor/ ivacaftor</w:t>
            </w:r>
          </w:p>
        </w:tc>
        <w:tc>
          <w:tcPr>
            <w:tcW w:w="391" w:type="pct"/>
            <w:shd w:val="clear" w:color="auto" w:fill="FFFFFF" w:themeFill="background1"/>
            <w:vAlign w:val="center"/>
          </w:tcPr>
          <w:p w:rsidR="007070CB" w:rsidRDefault="006E2E62">
            <w:pPr>
              <w:pStyle w:val="Tabletext"/>
              <w:jc w:val="center"/>
              <w:rPr>
                <w:b/>
                <w:szCs w:val="20"/>
              </w:rPr>
            </w:pPr>
            <w:r>
              <w:rPr>
                <w:b/>
                <w:szCs w:val="20"/>
              </w:rPr>
              <w:t>BSC</w:t>
            </w:r>
          </w:p>
        </w:tc>
        <w:tc>
          <w:tcPr>
            <w:tcW w:w="548" w:type="pct"/>
            <w:shd w:val="clear" w:color="auto" w:fill="FFFFFF" w:themeFill="background1"/>
            <w:vAlign w:val="center"/>
          </w:tcPr>
          <w:p w:rsidR="007070CB" w:rsidRDefault="006E2E62">
            <w:pPr>
              <w:pStyle w:val="Tabletext"/>
              <w:jc w:val="center"/>
              <w:rPr>
                <w:b/>
                <w:szCs w:val="20"/>
              </w:rPr>
            </w:pPr>
            <w:r>
              <w:rPr>
                <w:b/>
                <w:szCs w:val="20"/>
              </w:rPr>
              <w:t>Incremental</w:t>
            </w:r>
          </w:p>
        </w:tc>
        <w:tc>
          <w:tcPr>
            <w:tcW w:w="440" w:type="pct"/>
            <w:vMerge/>
            <w:shd w:val="clear" w:color="auto" w:fill="FFFFFF" w:themeFill="background1"/>
            <w:vAlign w:val="center"/>
          </w:tcPr>
          <w:p w:rsidR="007070CB" w:rsidRDefault="007070CB">
            <w:pPr>
              <w:pStyle w:val="Tabletext"/>
              <w:jc w:val="center"/>
              <w:rPr>
                <w:szCs w:val="20"/>
                <w:highlight w:val="yellow"/>
              </w:rPr>
            </w:pPr>
          </w:p>
        </w:tc>
      </w:tr>
      <w:tr w:rsidR="007070CB" w:rsidTr="00C15476">
        <w:trPr>
          <w:cantSplit/>
          <w:trHeight w:val="227"/>
        </w:trPr>
        <w:tc>
          <w:tcPr>
            <w:tcW w:w="1566" w:type="pct"/>
            <w:shd w:val="clear" w:color="auto" w:fill="FFFFFF" w:themeFill="background1"/>
            <w:vAlign w:val="center"/>
          </w:tcPr>
          <w:p w:rsidR="007070CB" w:rsidRDefault="006E2E62">
            <w:pPr>
              <w:pStyle w:val="Tabletext"/>
              <w:rPr>
                <w:szCs w:val="20"/>
              </w:rPr>
            </w:pPr>
            <w:r>
              <w:rPr>
                <w:szCs w:val="20"/>
              </w:rPr>
              <w:t xml:space="preserve">Submission base case: </w:t>
            </w:r>
            <w:r>
              <w:t>CF patients aged 2 to 5 years</w:t>
            </w:r>
          </w:p>
        </w:tc>
        <w:tc>
          <w:tcPr>
            <w:tcW w:w="525" w:type="pct"/>
            <w:shd w:val="clear" w:color="auto" w:fill="FFFFFF" w:themeFill="background1"/>
            <w:vAlign w:val="center"/>
          </w:tcPr>
          <w:p w:rsidR="007070CB" w:rsidRPr="00C42D5F" w:rsidRDefault="00C42D5F">
            <w:pPr>
              <w:pStyle w:val="Tabletext"/>
              <w:jc w:val="center"/>
              <w:rPr>
                <w:highlight w:val="black"/>
              </w:rPr>
            </w:pPr>
            <w:r>
              <w:rPr>
                <w:noProof/>
                <w:color w:val="000000"/>
                <w:highlight w:val="black"/>
              </w:rPr>
              <w:t>'''''''''''''''''''''</w:t>
            </w:r>
          </w:p>
        </w:tc>
        <w:tc>
          <w:tcPr>
            <w:tcW w:w="433" w:type="pct"/>
            <w:shd w:val="clear" w:color="auto" w:fill="FFFFFF" w:themeFill="background1"/>
            <w:vAlign w:val="center"/>
          </w:tcPr>
          <w:p w:rsidR="007070CB" w:rsidRPr="00C42D5F" w:rsidRDefault="00C42D5F">
            <w:pPr>
              <w:pStyle w:val="Tabletext"/>
              <w:jc w:val="center"/>
              <w:rPr>
                <w:highlight w:val="black"/>
              </w:rPr>
            </w:pPr>
            <w:r>
              <w:rPr>
                <w:noProof/>
                <w:color w:val="000000"/>
                <w:highlight w:val="black"/>
              </w:rPr>
              <w:t>''''''''''''''''''''</w:t>
            </w:r>
          </w:p>
        </w:tc>
        <w:tc>
          <w:tcPr>
            <w:tcW w:w="548" w:type="pct"/>
            <w:shd w:val="clear" w:color="auto" w:fill="FFFFFF" w:themeFill="background1"/>
            <w:vAlign w:val="center"/>
          </w:tcPr>
          <w:p w:rsidR="007070CB" w:rsidRPr="00C42D5F" w:rsidRDefault="00C42D5F">
            <w:pPr>
              <w:pStyle w:val="Tabletext"/>
              <w:jc w:val="center"/>
              <w:rPr>
                <w:highlight w:val="black"/>
              </w:rPr>
            </w:pPr>
            <w:r>
              <w:rPr>
                <w:noProof/>
                <w:color w:val="000000"/>
                <w:highlight w:val="black"/>
              </w:rPr>
              <w:t>''''''''''''''''''''</w:t>
            </w:r>
          </w:p>
        </w:tc>
        <w:tc>
          <w:tcPr>
            <w:tcW w:w="549" w:type="pct"/>
            <w:shd w:val="clear" w:color="auto" w:fill="FFFFFF" w:themeFill="background1"/>
            <w:vAlign w:val="center"/>
          </w:tcPr>
          <w:p w:rsidR="007070CB" w:rsidRDefault="006E2E62">
            <w:pPr>
              <w:pStyle w:val="Tabletext"/>
              <w:jc w:val="center"/>
            </w:pPr>
            <w:r>
              <w:t>13.53</w:t>
            </w:r>
          </w:p>
        </w:tc>
        <w:tc>
          <w:tcPr>
            <w:tcW w:w="391" w:type="pct"/>
            <w:shd w:val="clear" w:color="auto" w:fill="FFFFFF" w:themeFill="background1"/>
            <w:vAlign w:val="center"/>
          </w:tcPr>
          <w:p w:rsidR="007070CB" w:rsidRDefault="006E2E62">
            <w:pPr>
              <w:pStyle w:val="Tabletext"/>
              <w:jc w:val="center"/>
            </w:pPr>
            <w:r>
              <w:t>11.10</w:t>
            </w:r>
          </w:p>
        </w:tc>
        <w:tc>
          <w:tcPr>
            <w:tcW w:w="548" w:type="pct"/>
            <w:shd w:val="clear" w:color="auto" w:fill="FFFFFF" w:themeFill="background1"/>
            <w:vAlign w:val="center"/>
          </w:tcPr>
          <w:p w:rsidR="007070CB" w:rsidRDefault="006E2E62">
            <w:pPr>
              <w:pStyle w:val="Tabletext"/>
              <w:jc w:val="center"/>
            </w:pPr>
            <w:r>
              <w:t>2.42</w:t>
            </w:r>
          </w:p>
        </w:tc>
        <w:tc>
          <w:tcPr>
            <w:tcW w:w="440" w:type="pct"/>
            <w:shd w:val="clear" w:color="auto" w:fill="FFFFFF" w:themeFill="background1"/>
            <w:vAlign w:val="center"/>
          </w:tcPr>
          <w:p w:rsidR="007070CB" w:rsidRPr="00C42D5F" w:rsidRDefault="00C42D5F">
            <w:pPr>
              <w:pStyle w:val="Tabletext"/>
              <w:jc w:val="center"/>
              <w:rPr>
                <w:highlight w:val="black"/>
              </w:rPr>
            </w:pPr>
            <w:r>
              <w:rPr>
                <w:noProof/>
                <w:color w:val="000000"/>
                <w:highlight w:val="black"/>
              </w:rPr>
              <w:t>''''''''''''''''''''''</w:t>
            </w:r>
          </w:p>
        </w:tc>
      </w:tr>
      <w:tr w:rsidR="007070CB" w:rsidTr="00C15476">
        <w:trPr>
          <w:cantSplit/>
          <w:trHeight w:val="227"/>
        </w:trPr>
        <w:tc>
          <w:tcPr>
            <w:tcW w:w="1566" w:type="pct"/>
            <w:shd w:val="clear" w:color="auto" w:fill="FFFFFF" w:themeFill="background1"/>
            <w:vAlign w:val="center"/>
          </w:tcPr>
          <w:p w:rsidR="007070CB" w:rsidRDefault="006E2E62">
            <w:pPr>
              <w:pStyle w:val="Tabletext"/>
              <w:rPr>
                <w:szCs w:val="20"/>
              </w:rPr>
            </w:pPr>
            <w:r>
              <w:rPr>
                <w:szCs w:val="20"/>
              </w:rPr>
              <w:t xml:space="preserve">Submission scenario analysis: </w:t>
            </w:r>
            <w:r>
              <w:t>CF patients aged 2 years and older</w:t>
            </w:r>
          </w:p>
        </w:tc>
        <w:tc>
          <w:tcPr>
            <w:tcW w:w="525" w:type="pct"/>
            <w:shd w:val="clear" w:color="auto" w:fill="FFFFFF" w:themeFill="background1"/>
            <w:vAlign w:val="center"/>
          </w:tcPr>
          <w:p w:rsidR="007070CB" w:rsidRPr="00C42D5F" w:rsidRDefault="00C42D5F">
            <w:pPr>
              <w:pStyle w:val="Tabletext"/>
              <w:jc w:val="center"/>
              <w:rPr>
                <w:highlight w:val="black"/>
              </w:rPr>
            </w:pPr>
            <w:r>
              <w:rPr>
                <w:noProof/>
                <w:color w:val="000000"/>
                <w:highlight w:val="black"/>
              </w:rPr>
              <w:t>'''''''''''''''''''''</w:t>
            </w:r>
          </w:p>
        </w:tc>
        <w:tc>
          <w:tcPr>
            <w:tcW w:w="433" w:type="pct"/>
            <w:shd w:val="clear" w:color="auto" w:fill="FFFFFF" w:themeFill="background1"/>
            <w:vAlign w:val="center"/>
          </w:tcPr>
          <w:p w:rsidR="007070CB" w:rsidRPr="00C42D5F" w:rsidRDefault="00C42D5F">
            <w:pPr>
              <w:pStyle w:val="Tabletext"/>
              <w:jc w:val="center"/>
              <w:rPr>
                <w:highlight w:val="black"/>
              </w:rPr>
            </w:pPr>
            <w:r>
              <w:rPr>
                <w:noProof/>
                <w:color w:val="000000"/>
                <w:highlight w:val="black"/>
              </w:rPr>
              <w:t>'''''''''''''''''''''</w:t>
            </w:r>
          </w:p>
        </w:tc>
        <w:tc>
          <w:tcPr>
            <w:tcW w:w="548" w:type="pct"/>
            <w:shd w:val="clear" w:color="auto" w:fill="FFFFFF" w:themeFill="background1"/>
            <w:vAlign w:val="center"/>
          </w:tcPr>
          <w:p w:rsidR="007070CB" w:rsidRPr="00C42D5F" w:rsidRDefault="00C42D5F">
            <w:pPr>
              <w:pStyle w:val="Tabletext"/>
              <w:jc w:val="center"/>
              <w:rPr>
                <w:highlight w:val="black"/>
              </w:rPr>
            </w:pPr>
            <w:r>
              <w:rPr>
                <w:noProof/>
                <w:color w:val="000000"/>
                <w:highlight w:val="black"/>
              </w:rPr>
              <w:t>''''''''''''''''''''</w:t>
            </w:r>
          </w:p>
        </w:tc>
        <w:tc>
          <w:tcPr>
            <w:tcW w:w="549" w:type="pct"/>
            <w:shd w:val="clear" w:color="auto" w:fill="FFFFFF" w:themeFill="background1"/>
            <w:vAlign w:val="center"/>
          </w:tcPr>
          <w:p w:rsidR="007070CB" w:rsidRDefault="006E2E62">
            <w:pPr>
              <w:pStyle w:val="Tabletext"/>
              <w:jc w:val="center"/>
            </w:pPr>
            <w:r>
              <w:t>8.66</w:t>
            </w:r>
          </w:p>
        </w:tc>
        <w:tc>
          <w:tcPr>
            <w:tcW w:w="391" w:type="pct"/>
            <w:shd w:val="clear" w:color="auto" w:fill="FFFFFF" w:themeFill="background1"/>
            <w:vAlign w:val="center"/>
          </w:tcPr>
          <w:p w:rsidR="007070CB" w:rsidRDefault="006E2E62">
            <w:pPr>
              <w:pStyle w:val="Tabletext"/>
              <w:jc w:val="center"/>
            </w:pPr>
            <w:r>
              <w:t>6.66</w:t>
            </w:r>
          </w:p>
        </w:tc>
        <w:tc>
          <w:tcPr>
            <w:tcW w:w="548" w:type="pct"/>
            <w:shd w:val="clear" w:color="auto" w:fill="FFFFFF" w:themeFill="background1"/>
            <w:vAlign w:val="center"/>
          </w:tcPr>
          <w:p w:rsidR="007070CB" w:rsidRDefault="006E2E62">
            <w:pPr>
              <w:pStyle w:val="Tabletext"/>
              <w:jc w:val="center"/>
            </w:pPr>
            <w:r>
              <w:t>2.01</w:t>
            </w:r>
          </w:p>
        </w:tc>
        <w:tc>
          <w:tcPr>
            <w:tcW w:w="440" w:type="pct"/>
            <w:shd w:val="clear" w:color="auto" w:fill="FFFFFF" w:themeFill="background1"/>
            <w:vAlign w:val="center"/>
          </w:tcPr>
          <w:p w:rsidR="007070CB" w:rsidRPr="00C42D5F" w:rsidRDefault="00C42D5F">
            <w:pPr>
              <w:pStyle w:val="Tabletext"/>
              <w:jc w:val="center"/>
              <w:rPr>
                <w:highlight w:val="black"/>
              </w:rPr>
            </w:pPr>
            <w:r>
              <w:rPr>
                <w:noProof/>
                <w:color w:val="000000"/>
                <w:highlight w:val="black"/>
              </w:rPr>
              <w:t>'''''''''''''''''''''</w:t>
            </w:r>
          </w:p>
        </w:tc>
      </w:tr>
      <w:tr w:rsidR="007070CB" w:rsidTr="00C15476">
        <w:trPr>
          <w:cantSplit/>
          <w:trHeight w:val="227"/>
        </w:trPr>
        <w:tc>
          <w:tcPr>
            <w:tcW w:w="1566" w:type="pct"/>
            <w:shd w:val="clear" w:color="auto" w:fill="FFFFFF" w:themeFill="background1"/>
            <w:vAlign w:val="center"/>
          </w:tcPr>
          <w:p w:rsidR="007070CB" w:rsidRDefault="006E2E62">
            <w:pPr>
              <w:pStyle w:val="Tabletext"/>
              <w:rPr>
                <w:szCs w:val="20"/>
              </w:rPr>
            </w:pPr>
            <w:r>
              <w:t>CF patients aged 6 years and older</w:t>
            </w:r>
          </w:p>
        </w:tc>
        <w:tc>
          <w:tcPr>
            <w:tcW w:w="525" w:type="pct"/>
            <w:shd w:val="clear" w:color="auto" w:fill="FFFFFF" w:themeFill="background1"/>
            <w:vAlign w:val="center"/>
          </w:tcPr>
          <w:p w:rsidR="007070CB" w:rsidRPr="00C42D5F" w:rsidRDefault="00C42D5F">
            <w:pPr>
              <w:pStyle w:val="Tabletext"/>
              <w:jc w:val="center"/>
              <w:rPr>
                <w:highlight w:val="black"/>
              </w:rPr>
            </w:pPr>
            <w:r>
              <w:rPr>
                <w:noProof/>
                <w:color w:val="000000"/>
                <w:highlight w:val="black"/>
              </w:rPr>
              <w:t>'''''''''''''''''''''''</w:t>
            </w:r>
          </w:p>
        </w:tc>
        <w:tc>
          <w:tcPr>
            <w:tcW w:w="433" w:type="pct"/>
            <w:shd w:val="clear" w:color="auto" w:fill="FFFFFF" w:themeFill="background1"/>
            <w:vAlign w:val="center"/>
          </w:tcPr>
          <w:p w:rsidR="007070CB" w:rsidRPr="00C42D5F" w:rsidRDefault="00C42D5F">
            <w:pPr>
              <w:pStyle w:val="Tabletext"/>
              <w:jc w:val="center"/>
              <w:rPr>
                <w:highlight w:val="black"/>
              </w:rPr>
            </w:pPr>
            <w:r>
              <w:rPr>
                <w:noProof/>
                <w:color w:val="000000"/>
                <w:highlight w:val="black"/>
              </w:rPr>
              <w:t>'''''''''''''''''''''''</w:t>
            </w:r>
          </w:p>
        </w:tc>
        <w:tc>
          <w:tcPr>
            <w:tcW w:w="548" w:type="pct"/>
            <w:shd w:val="clear" w:color="auto" w:fill="FFFFFF" w:themeFill="background1"/>
            <w:vAlign w:val="center"/>
          </w:tcPr>
          <w:p w:rsidR="007070CB" w:rsidRPr="00C42D5F" w:rsidRDefault="00C42D5F">
            <w:pPr>
              <w:pStyle w:val="Tabletext"/>
              <w:jc w:val="center"/>
              <w:rPr>
                <w:highlight w:val="black"/>
              </w:rPr>
            </w:pPr>
            <w:r>
              <w:rPr>
                <w:noProof/>
                <w:color w:val="000000"/>
                <w:highlight w:val="black"/>
              </w:rPr>
              <w:t>''''''''''''''''''''''</w:t>
            </w:r>
          </w:p>
        </w:tc>
        <w:tc>
          <w:tcPr>
            <w:tcW w:w="549" w:type="pct"/>
            <w:shd w:val="clear" w:color="auto" w:fill="FFFFFF" w:themeFill="background1"/>
            <w:vAlign w:val="center"/>
          </w:tcPr>
          <w:p w:rsidR="007070CB" w:rsidRDefault="006E2E62">
            <w:pPr>
              <w:pStyle w:val="Tabletext"/>
              <w:jc w:val="center"/>
            </w:pPr>
            <w:r>
              <w:t>7.97</w:t>
            </w:r>
          </w:p>
        </w:tc>
        <w:tc>
          <w:tcPr>
            <w:tcW w:w="391" w:type="pct"/>
            <w:shd w:val="clear" w:color="auto" w:fill="FFFFFF" w:themeFill="background1"/>
            <w:vAlign w:val="center"/>
          </w:tcPr>
          <w:p w:rsidR="007070CB" w:rsidRDefault="006E2E62">
            <w:pPr>
              <w:pStyle w:val="Tabletext"/>
              <w:jc w:val="center"/>
            </w:pPr>
            <w:r>
              <w:t>6.14</w:t>
            </w:r>
          </w:p>
        </w:tc>
        <w:tc>
          <w:tcPr>
            <w:tcW w:w="548" w:type="pct"/>
            <w:shd w:val="clear" w:color="auto" w:fill="FFFFFF" w:themeFill="background1"/>
            <w:vAlign w:val="center"/>
          </w:tcPr>
          <w:p w:rsidR="007070CB" w:rsidRDefault="006E2E62">
            <w:pPr>
              <w:pStyle w:val="Tabletext"/>
              <w:jc w:val="center"/>
            </w:pPr>
            <w:r>
              <w:t>1.83</w:t>
            </w:r>
          </w:p>
        </w:tc>
        <w:tc>
          <w:tcPr>
            <w:tcW w:w="440" w:type="pct"/>
            <w:shd w:val="clear" w:color="auto" w:fill="FFFFFF" w:themeFill="background1"/>
            <w:vAlign w:val="center"/>
          </w:tcPr>
          <w:p w:rsidR="007070CB" w:rsidRPr="00C42D5F" w:rsidRDefault="00C42D5F">
            <w:pPr>
              <w:pStyle w:val="Tabletext"/>
              <w:jc w:val="center"/>
              <w:rPr>
                <w:highlight w:val="black"/>
              </w:rPr>
            </w:pPr>
            <w:r>
              <w:rPr>
                <w:rFonts w:cs="Calibri"/>
                <w:iCs/>
                <w:noProof/>
                <w:color w:val="000000"/>
                <w:szCs w:val="20"/>
                <w:highlight w:val="black"/>
              </w:rPr>
              <w:t>'''''''''''''''''''''''</w:t>
            </w:r>
          </w:p>
        </w:tc>
      </w:tr>
    </w:tbl>
    <w:p w:rsidR="007070CB" w:rsidRDefault="006E2E62">
      <w:pPr>
        <w:pStyle w:val="TableFooter"/>
        <w:widowControl/>
      </w:pPr>
      <w:r>
        <w:t>Abbreviations: BSC= best supportive care; ICER= incremental cost-effectiveness ratio; QALYs= quality-adjusted life-years.</w:t>
      </w:r>
    </w:p>
    <w:p w:rsidR="007070CB" w:rsidRDefault="006E2E62">
      <w:pPr>
        <w:pStyle w:val="TableFooter"/>
        <w:widowControl/>
      </w:pPr>
      <w:r>
        <w:t>Source: Table 3.6.5 p134, Table 3.6.6 p135 of the submission and calculated during the evaluation using the patient filter function in the economic model workbook</w:t>
      </w:r>
    </w:p>
    <w:p w:rsidR="007070CB" w:rsidRDefault="007070CB">
      <w:pPr>
        <w:pStyle w:val="TableFooter"/>
        <w:widowControl/>
      </w:pPr>
    </w:p>
    <w:p w:rsidR="007070CB" w:rsidRDefault="006E2E62">
      <w:pPr>
        <w:widowControl/>
        <w:spacing w:after="120"/>
      </w:pPr>
      <w:r>
        <w:t>The redacted table shows ICERs in the range of $105,000/QALY - $200,000/QALY.</w:t>
      </w:r>
    </w:p>
    <w:p w:rsidR="007070CB" w:rsidRDefault="006E2E62">
      <w:pPr>
        <w:widowControl/>
        <w:numPr>
          <w:ilvl w:val="1"/>
          <w:numId w:val="1"/>
        </w:numPr>
        <w:spacing w:after="120"/>
        <w:ind w:left="709" w:hanging="709"/>
      </w:pPr>
      <w:r>
        <w:rPr>
          <w:rFonts w:asciiTheme="minorHAnsi" w:hAnsiTheme="minorHAnsi" w:cstheme="minorHAnsi"/>
          <w:szCs w:val="24"/>
        </w:rPr>
        <w:lastRenderedPageBreak/>
        <w:t>The cost per QALY gained for patients initiating treatment between the ages of 2 to 5 years, compared with BSC, was estimated in the submission to be</w:t>
      </w:r>
      <w:r w:rsidR="00FE7D84">
        <w:rPr>
          <w:rFonts w:asciiTheme="minorHAnsi" w:hAnsiTheme="minorHAnsi" w:cstheme="minorHAnsi"/>
          <w:szCs w:val="24"/>
        </w:rPr>
        <w:t xml:space="preserve"> </w:t>
      </w:r>
      <w:r>
        <w:rPr>
          <w:rFonts w:asciiTheme="minorHAnsi" w:hAnsiTheme="minorHAnsi" w:cstheme="minorHAnsi"/>
          <w:szCs w:val="24"/>
        </w:rPr>
        <w:t xml:space="preserve">from $105,000/QALY - $200,000/QALY gained. </w:t>
      </w:r>
      <w:r>
        <w:t>By comparison, the ICER for all patients initiating treatment from 2 years of age, compared with BSC, was estimated to be from</w:t>
      </w:r>
      <w:r w:rsidR="00FE7D84">
        <w:t xml:space="preserve"> </w:t>
      </w:r>
      <w:r>
        <w:t>$105,000/QALY - $200,000/QALY gained. This difference arose because the analysis for the 2 to 5 year cohort assumed that this age cohort forms 100% of the treated population over time, while in the over 2 years cohort all patients are included (of which the 2 to 5 year cohort represents only 12% of the treated cohort). This indicates that the model is implicitly factoring higher cost</w:t>
      </w:r>
      <w:r>
        <w:noBreakHyphen/>
        <w:t xml:space="preserve">effectiveness ratios for older cohorts; lumacaftor/ivacaftor is less cost-effective in older individuals because they have fewer years to benefit from treatment. </w:t>
      </w:r>
    </w:p>
    <w:p w:rsidR="007070CB" w:rsidRDefault="006E2E62">
      <w:pPr>
        <w:widowControl/>
        <w:numPr>
          <w:ilvl w:val="1"/>
          <w:numId w:val="1"/>
        </w:numPr>
        <w:spacing w:after="120"/>
      </w:pPr>
      <w:r>
        <w:t>The model incorporated a decline in ppFEV</w:t>
      </w:r>
      <w:r>
        <w:rPr>
          <w:vertAlign w:val="subscript"/>
        </w:rPr>
        <w:t>1</w:t>
      </w:r>
      <w:r>
        <w:t xml:space="preserve"> in lumacaftor/ivacaftor patients beyond the 24-week trial period to a lifetime. This decline was informed by the longer-term ppFEV</w:t>
      </w:r>
      <w:r>
        <w:rPr>
          <w:vertAlign w:val="subscript"/>
        </w:rPr>
        <w:t>1</w:t>
      </w:r>
      <w:r>
        <w:t xml:space="preserve"> data from the extension trial PROGRESS. Beyond 24 weeks, the model included a 42% decrease in the annual decline in ppFEV</w:t>
      </w:r>
      <w:r>
        <w:rPr>
          <w:vertAlign w:val="subscript"/>
        </w:rPr>
        <w:t>1</w:t>
      </w:r>
      <w:r>
        <w:t xml:space="preserve"> in lumacaftor/ivacaftor treated patients, relative to BSC. At the July 2017 meeting, the PBAC sought to be informed of the impact on the cost-effectiveness of assuming that the decline in ppFEV</w:t>
      </w:r>
      <w:r>
        <w:rPr>
          <w:vertAlign w:val="subscript"/>
        </w:rPr>
        <w:t>1</w:t>
      </w:r>
      <w:r>
        <w:t xml:space="preserve"> for patients treated with lumacaftor/ivacaftor was the same as BSC after 24 weeks (</w:t>
      </w:r>
      <w:r>
        <w:rPr>
          <w:rFonts w:asciiTheme="minorHAnsi" w:hAnsiTheme="minorHAnsi"/>
          <w:szCs w:val="24"/>
        </w:rPr>
        <w:t>lumacaftor/ivacaftor (12+), PSD July 2018, paragraph 6.52</w:t>
      </w:r>
      <w:r>
        <w:t xml:space="preserve">). A sensitivity analysis setting the decrease in the decline to 0% of BSC was conducted during the evaluation (see Table 12) which increased the ICER to more than $200,000/QALY gained. </w:t>
      </w:r>
    </w:p>
    <w:p w:rsidR="007070CB" w:rsidRDefault="006E2E62">
      <w:pPr>
        <w:pStyle w:val="ListParagraph"/>
        <w:widowControl/>
        <w:numPr>
          <w:ilvl w:val="1"/>
          <w:numId w:val="1"/>
        </w:numPr>
      </w:pPr>
      <w:r>
        <w:t xml:space="preserve">The submission’s base case included application of a </w:t>
      </w:r>
      <w:r>
        <w:rPr>
          <w:bCs/>
        </w:rPr>
        <w:t>5% F1 statutory price reduction and a 90% price reduction after patent expiry (loss of exclusivity) to the intended annual price of $</w:t>
      </w:r>
      <w:r w:rsidR="00C42D5F">
        <w:rPr>
          <w:bCs/>
          <w:noProof/>
          <w:color w:val="000000"/>
          <w:highlight w:val="black"/>
        </w:rPr>
        <w:t>''''''''''''''</w:t>
      </w:r>
      <w:r>
        <w:rPr>
          <w:bCs/>
        </w:rPr>
        <w:t xml:space="preserve"> per patient.</w:t>
      </w:r>
      <w:r>
        <w:t xml:space="preserve"> </w:t>
      </w:r>
      <w:r>
        <w:rPr>
          <w:bCs/>
        </w:rPr>
        <w:t>The PBAC previously noted that application of these price reductions was inappropriate and inconsistent with the PBAC Guidelines (lumacaftor/ivacaftor</w:t>
      </w:r>
      <w:r>
        <w:t xml:space="preserve"> (aged 12+ years) PSD, July 2017 </w:t>
      </w:r>
      <w:r>
        <w:rPr>
          <w:rFonts w:asciiTheme="minorHAnsi" w:hAnsiTheme="minorHAnsi"/>
          <w:szCs w:val="24"/>
        </w:rPr>
        <w:t>paragraph</w:t>
      </w:r>
      <w:r>
        <w:t xml:space="preserve"> 6.42; lumacaftor/ivacaftor (aged 6-11 years) PSD, July 2018 </w:t>
      </w:r>
      <w:r>
        <w:rPr>
          <w:rFonts w:asciiTheme="minorHAnsi" w:hAnsiTheme="minorHAnsi"/>
          <w:szCs w:val="24"/>
        </w:rPr>
        <w:t>paragraph</w:t>
      </w:r>
      <w:r>
        <w:t xml:space="preserve"> 6.49</w:t>
      </w:r>
      <w:r>
        <w:rPr>
          <w:bCs/>
        </w:rPr>
        <w:t xml:space="preserve">). </w:t>
      </w:r>
      <w:r>
        <w:t xml:space="preserve">During the evaluation, these price reductions were removed in sensitivity analyses (see Table 12) which increased the ICER to more than $200,000/QALY gained. </w:t>
      </w:r>
    </w:p>
    <w:p w:rsidR="007070CB" w:rsidRDefault="006E2E62">
      <w:pPr>
        <w:pStyle w:val="ListParagraph"/>
        <w:widowControl/>
        <w:numPr>
          <w:ilvl w:val="1"/>
          <w:numId w:val="1"/>
        </w:numPr>
      </w:pPr>
      <w:r>
        <w:t xml:space="preserve">Furthermore, there is a significant risk that the Government would pay a higher amount than </w:t>
      </w:r>
      <w:r w:rsidR="00C42D5F">
        <w:rPr>
          <w:noProof/>
          <w:color w:val="000000"/>
          <w:highlight w:val="black"/>
        </w:rPr>
        <w:t>''''''''''''''''</w:t>
      </w:r>
      <w:r>
        <w:t xml:space="preserve"> per FTE patient per year, as realisation of this price through subsidisation caps is dependent on estimated utilisation being achieved </w:t>
      </w:r>
      <w:r>
        <w:rPr>
          <w:lang w:eastAsia="en-GB"/>
        </w:rPr>
        <w:t xml:space="preserve">(see </w:t>
      </w:r>
      <w:r>
        <w:rPr>
          <w:i/>
          <w:lang w:eastAsia="en-GB"/>
        </w:rPr>
        <w:t>Financial Management – Risk Sharing Arrangements</w:t>
      </w:r>
      <w:r>
        <w:rPr>
          <w:lang w:eastAsia="en-GB"/>
        </w:rPr>
        <w:t xml:space="preserve"> in section 6 for further details)</w:t>
      </w:r>
      <w:r>
        <w:t xml:space="preserve">. </w:t>
      </w:r>
    </w:p>
    <w:p w:rsidR="007070CB" w:rsidRDefault="006E2E62">
      <w:pPr>
        <w:widowControl/>
        <w:numPr>
          <w:ilvl w:val="1"/>
          <w:numId w:val="1"/>
        </w:numPr>
        <w:spacing w:after="120"/>
        <w:ind w:left="709" w:hanging="709"/>
      </w:pPr>
      <w:r>
        <w:t>The impact of key sensitivity analyses conducted in the submission and during the evaluation are presented in Table 12. These show that the largest single impact on the ICER was due to the application of the proposed financial cap and associated price reductions.</w:t>
      </w:r>
    </w:p>
    <w:p w:rsidR="00C15476" w:rsidRDefault="00C15476">
      <w:pPr>
        <w:widowControl/>
        <w:jc w:val="left"/>
        <w:rPr>
          <w:rFonts w:ascii="Arial Narrow" w:eastAsia="Batang" w:hAnsi="Arial Narrow" w:cs="Times New Roman"/>
          <w:b/>
          <w:snapToGrid/>
          <w:sz w:val="20"/>
          <w:szCs w:val="20"/>
          <w:lang w:eastAsia="en-AU"/>
        </w:rPr>
      </w:pPr>
      <w:r>
        <w:br w:type="page"/>
      </w:r>
    </w:p>
    <w:p w:rsidR="00C15476" w:rsidRDefault="00C15476" w:rsidP="00C15476">
      <w:pPr>
        <w:pStyle w:val="PBACTableText"/>
      </w:pPr>
      <w:r>
        <w:lastRenderedPageBreak/>
        <w:t xml:space="preserve">Table </w:t>
      </w:r>
      <w:r w:rsidR="00AF1977">
        <w:rPr>
          <w:noProof/>
        </w:rPr>
        <w:t>12</w:t>
      </w:r>
      <w:r w:rsidRPr="008E6152">
        <w:t>: Results of sensitivity analyses for the submission base case: patients initiating treatment between the ages of 2 to 5 years, compared with BSC</w:t>
      </w:r>
    </w:p>
    <w:tbl>
      <w:tblPr>
        <w:tblStyle w:val="OPTUMTableNormal"/>
        <w:tblW w:w="0" w:type="auto"/>
        <w:tblLayout w:type="fixed"/>
        <w:tblLook w:val="04A0" w:firstRow="1" w:lastRow="0" w:firstColumn="1" w:lastColumn="0" w:noHBand="0" w:noVBand="1"/>
        <w:tblCaption w:val="Table 12: Results of sensitivity analyses for the submission base case: patients initiating treatment between the ages of 2 to 5 years, compared with BSC"/>
      </w:tblPr>
      <w:tblGrid>
        <w:gridCol w:w="4673"/>
        <w:gridCol w:w="1086"/>
        <w:gridCol w:w="1086"/>
        <w:gridCol w:w="1372"/>
        <w:gridCol w:w="800"/>
      </w:tblGrid>
      <w:tr w:rsidR="007070CB" w:rsidTr="007070CB">
        <w:trPr>
          <w:cnfStyle w:val="100000000000" w:firstRow="1" w:lastRow="0" w:firstColumn="0" w:lastColumn="0" w:oddVBand="0" w:evenVBand="0" w:oddHBand="0" w:evenHBand="0" w:firstRowFirstColumn="0" w:firstRowLastColumn="0" w:lastRowFirstColumn="0" w:lastRowLastColumn="0"/>
          <w:tblHeader/>
        </w:trPr>
        <w:tc>
          <w:tcPr>
            <w:tcW w:w="4673" w:type="dxa"/>
            <w:shd w:val="clear" w:color="auto" w:fill="auto"/>
            <w:vAlign w:val="center"/>
          </w:tcPr>
          <w:p w:rsidR="007070CB" w:rsidRDefault="006E2E62">
            <w:pPr>
              <w:keepNext/>
              <w:widowControl/>
              <w:spacing w:before="0" w:after="0"/>
              <w:ind w:left="-50" w:right="-117"/>
              <w:jc w:val="left"/>
              <w:rPr>
                <w:rFonts w:ascii="Arial Narrow" w:hAnsi="Arial Narrow"/>
                <w:b/>
                <w:sz w:val="20"/>
                <w:szCs w:val="20"/>
                <w:lang w:val="en-NZ"/>
              </w:rPr>
            </w:pPr>
            <w:r>
              <w:rPr>
                <w:rFonts w:ascii="Arial Narrow" w:hAnsi="Arial Narrow"/>
                <w:b/>
                <w:sz w:val="20"/>
                <w:szCs w:val="20"/>
                <w:lang w:val="en-NZ"/>
              </w:rPr>
              <w:t>Analysis description</w:t>
            </w:r>
          </w:p>
        </w:tc>
        <w:tc>
          <w:tcPr>
            <w:tcW w:w="1086" w:type="dxa"/>
            <w:shd w:val="clear" w:color="auto" w:fill="auto"/>
            <w:vAlign w:val="center"/>
          </w:tcPr>
          <w:p w:rsidR="007070CB" w:rsidRDefault="006E2E62">
            <w:pPr>
              <w:keepNext/>
              <w:widowControl/>
              <w:spacing w:before="0" w:after="0"/>
              <w:jc w:val="center"/>
              <w:rPr>
                <w:rFonts w:ascii="Arial Narrow" w:hAnsi="Arial Narrow"/>
                <w:b/>
                <w:sz w:val="20"/>
                <w:szCs w:val="20"/>
                <w:lang w:val="en-NZ"/>
              </w:rPr>
            </w:pPr>
            <w:r>
              <w:rPr>
                <w:rFonts w:ascii="Arial Narrow" w:hAnsi="Arial Narrow"/>
                <w:b/>
                <w:sz w:val="20"/>
                <w:szCs w:val="20"/>
                <w:lang w:val="en-NZ"/>
              </w:rPr>
              <w:t>Incre. cost ($)</w:t>
            </w:r>
          </w:p>
        </w:tc>
        <w:tc>
          <w:tcPr>
            <w:tcW w:w="1086" w:type="dxa"/>
            <w:shd w:val="clear" w:color="auto" w:fill="auto"/>
            <w:vAlign w:val="center"/>
          </w:tcPr>
          <w:p w:rsidR="007070CB" w:rsidRDefault="006E2E62">
            <w:pPr>
              <w:keepNext/>
              <w:widowControl/>
              <w:spacing w:before="0" w:after="0"/>
              <w:ind w:left="-78" w:right="-3"/>
              <w:jc w:val="center"/>
              <w:rPr>
                <w:rFonts w:ascii="Arial Narrow" w:hAnsi="Arial Narrow"/>
                <w:b/>
                <w:sz w:val="20"/>
                <w:szCs w:val="20"/>
                <w:lang w:val="en-NZ"/>
              </w:rPr>
            </w:pPr>
            <w:r>
              <w:rPr>
                <w:rFonts w:ascii="Arial Narrow" w:hAnsi="Arial Narrow"/>
                <w:b/>
                <w:sz w:val="20"/>
                <w:szCs w:val="20"/>
                <w:lang w:val="en-NZ"/>
              </w:rPr>
              <w:t>Incre. effect (QALYs)</w:t>
            </w:r>
          </w:p>
        </w:tc>
        <w:tc>
          <w:tcPr>
            <w:tcW w:w="1372" w:type="dxa"/>
            <w:shd w:val="clear" w:color="auto" w:fill="auto"/>
            <w:vAlign w:val="center"/>
          </w:tcPr>
          <w:p w:rsidR="007070CB" w:rsidRDefault="006E2E62">
            <w:pPr>
              <w:keepNext/>
              <w:widowControl/>
              <w:spacing w:before="0" w:after="0"/>
              <w:ind w:left="-48"/>
              <w:jc w:val="center"/>
              <w:rPr>
                <w:rFonts w:ascii="Arial Narrow" w:hAnsi="Arial Narrow"/>
                <w:b/>
                <w:sz w:val="20"/>
                <w:szCs w:val="20"/>
                <w:lang w:val="en-NZ"/>
              </w:rPr>
            </w:pPr>
            <w:r>
              <w:rPr>
                <w:rFonts w:ascii="Arial Narrow" w:hAnsi="Arial Narrow"/>
                <w:b/>
                <w:sz w:val="20"/>
                <w:szCs w:val="20"/>
                <w:lang w:val="en-NZ"/>
              </w:rPr>
              <w:t xml:space="preserve">ICER </w:t>
            </w:r>
            <w:r>
              <w:rPr>
                <w:rFonts w:ascii="Arial Narrow" w:hAnsi="Arial Narrow"/>
                <w:b/>
                <w:sz w:val="20"/>
                <w:szCs w:val="20"/>
                <w:lang w:val="en-NZ"/>
              </w:rPr>
              <w:br/>
              <w:t>($/QALY gained)</w:t>
            </w:r>
          </w:p>
        </w:tc>
        <w:tc>
          <w:tcPr>
            <w:tcW w:w="800" w:type="dxa"/>
            <w:vAlign w:val="center"/>
          </w:tcPr>
          <w:p w:rsidR="007070CB" w:rsidRDefault="006E2E62">
            <w:pPr>
              <w:keepNext/>
              <w:widowControl/>
              <w:spacing w:before="0" w:after="0"/>
              <w:ind w:left="-125" w:right="-24" w:hanging="20"/>
              <w:jc w:val="center"/>
              <w:rPr>
                <w:rFonts w:ascii="Arial Narrow" w:hAnsi="Arial Narrow"/>
                <w:b/>
                <w:sz w:val="20"/>
                <w:szCs w:val="20"/>
                <w:lang w:val="en-NZ"/>
              </w:rPr>
            </w:pPr>
            <w:r>
              <w:rPr>
                <w:rFonts w:ascii="Arial Narrow" w:hAnsi="Arial Narrow"/>
                <w:b/>
                <w:sz w:val="20"/>
                <w:szCs w:val="20"/>
                <w:lang w:val="en-NZ"/>
              </w:rPr>
              <w:t>% Variation</w:t>
            </w:r>
          </w:p>
        </w:tc>
      </w:tr>
      <w:tr w:rsidR="007070CB" w:rsidTr="007070CB">
        <w:trPr>
          <w:cnfStyle w:val="100000000000" w:firstRow="1" w:lastRow="0" w:firstColumn="0" w:lastColumn="0" w:oddVBand="0" w:evenVBand="0" w:oddHBand="0" w:evenHBand="0" w:firstRowFirstColumn="0" w:firstRowLastColumn="0" w:lastRowFirstColumn="0" w:lastRowLastColumn="0"/>
          <w:tblHeader/>
        </w:trPr>
        <w:tc>
          <w:tcPr>
            <w:tcW w:w="4673" w:type="dxa"/>
            <w:shd w:val="clear" w:color="auto" w:fill="auto"/>
            <w:vAlign w:val="center"/>
          </w:tcPr>
          <w:p w:rsidR="007070CB" w:rsidRDefault="006E2E62">
            <w:pPr>
              <w:keepNext/>
              <w:widowControl/>
              <w:spacing w:before="0" w:after="0"/>
              <w:ind w:left="-50" w:right="-117"/>
              <w:jc w:val="left"/>
              <w:rPr>
                <w:rFonts w:ascii="Arial Narrow" w:hAnsi="Arial Narrow"/>
                <w:sz w:val="20"/>
                <w:szCs w:val="20"/>
                <w:lang w:val="en-NZ"/>
              </w:rPr>
            </w:pPr>
            <w:r>
              <w:rPr>
                <w:rFonts w:ascii="Arial Narrow" w:hAnsi="Arial Narrow"/>
                <w:sz w:val="20"/>
                <w:szCs w:val="20"/>
                <w:lang w:val="en-NZ"/>
              </w:rPr>
              <w:t xml:space="preserve">Base case </w:t>
            </w:r>
          </w:p>
        </w:tc>
        <w:tc>
          <w:tcPr>
            <w:tcW w:w="1086" w:type="dxa"/>
            <w:shd w:val="clear" w:color="auto" w:fill="auto"/>
            <w:vAlign w:val="center"/>
          </w:tcPr>
          <w:p w:rsidR="007070CB" w:rsidRPr="00C42D5F" w:rsidRDefault="00C42D5F">
            <w:pPr>
              <w:keepNext/>
              <w:widowControl/>
              <w:spacing w:before="0" w:after="0"/>
              <w:jc w:val="center"/>
              <w:rPr>
                <w:rFonts w:ascii="Arial Narrow" w:hAnsi="Arial Narrow"/>
                <w:sz w:val="20"/>
                <w:szCs w:val="20"/>
                <w:highlight w:val="black"/>
              </w:rPr>
            </w:pPr>
            <w:r>
              <w:rPr>
                <w:rFonts w:ascii="Arial Narrow" w:hAnsi="Arial Narrow" w:cs="Calibri"/>
                <w:noProof/>
                <w:color w:val="000000"/>
                <w:sz w:val="20"/>
                <w:szCs w:val="20"/>
                <w:highlight w:val="black"/>
              </w:rPr>
              <w:t>''''''''''''''''''''</w:t>
            </w:r>
          </w:p>
        </w:tc>
        <w:tc>
          <w:tcPr>
            <w:tcW w:w="1086" w:type="dxa"/>
            <w:shd w:val="clear" w:color="auto" w:fill="auto"/>
            <w:vAlign w:val="center"/>
          </w:tcPr>
          <w:p w:rsidR="007070CB" w:rsidRDefault="006E2E62">
            <w:pPr>
              <w:keepNext/>
              <w:widowControl/>
              <w:spacing w:before="0" w:after="0"/>
              <w:jc w:val="center"/>
              <w:rPr>
                <w:rFonts w:ascii="Arial Narrow" w:hAnsi="Arial Narrow"/>
                <w:sz w:val="20"/>
                <w:szCs w:val="20"/>
              </w:rPr>
            </w:pPr>
            <w:r>
              <w:rPr>
                <w:rFonts w:ascii="Arial Narrow" w:hAnsi="Arial Narrow" w:cs="Calibri"/>
                <w:color w:val="000000"/>
                <w:sz w:val="20"/>
                <w:szCs w:val="20"/>
              </w:rPr>
              <w:t>2.42</w:t>
            </w:r>
          </w:p>
        </w:tc>
        <w:tc>
          <w:tcPr>
            <w:tcW w:w="1372" w:type="dxa"/>
            <w:shd w:val="clear" w:color="auto" w:fill="auto"/>
            <w:vAlign w:val="center"/>
          </w:tcPr>
          <w:p w:rsidR="007070CB" w:rsidRPr="00C42D5F" w:rsidRDefault="00C42D5F">
            <w:pPr>
              <w:keepNext/>
              <w:widowControl/>
              <w:spacing w:before="0" w:after="0"/>
              <w:jc w:val="center"/>
              <w:rPr>
                <w:rFonts w:ascii="Arial Narrow" w:hAnsi="Arial Narrow"/>
                <w:sz w:val="20"/>
                <w:szCs w:val="20"/>
                <w:highlight w:val="black"/>
              </w:rPr>
            </w:pPr>
            <w:r>
              <w:rPr>
                <w:rFonts w:ascii="Arial Narrow" w:hAnsi="Arial Narrow" w:cs="Calibri"/>
                <w:noProof/>
                <w:color w:val="000000"/>
                <w:sz w:val="20"/>
                <w:szCs w:val="20"/>
                <w:highlight w:val="black"/>
              </w:rPr>
              <w:t>'''''''''''''''''''''''</w:t>
            </w:r>
          </w:p>
        </w:tc>
        <w:tc>
          <w:tcPr>
            <w:tcW w:w="800" w:type="dxa"/>
            <w:vAlign w:val="center"/>
          </w:tcPr>
          <w:p w:rsidR="007070CB" w:rsidRDefault="006E2E62">
            <w:pPr>
              <w:keepNext/>
              <w:widowControl/>
              <w:spacing w:before="0" w:after="0"/>
              <w:jc w:val="center"/>
              <w:rPr>
                <w:rFonts w:ascii="Arial Narrow" w:hAnsi="Arial Narrow" w:cs="Calibri"/>
                <w:color w:val="000000"/>
                <w:sz w:val="20"/>
                <w:szCs w:val="20"/>
              </w:rPr>
            </w:pPr>
            <w:r>
              <w:rPr>
                <w:rFonts w:ascii="Arial Narrow" w:hAnsi="Arial Narrow" w:cs="Calibri"/>
                <w:color w:val="000000"/>
                <w:sz w:val="20"/>
                <w:szCs w:val="20"/>
              </w:rPr>
              <w:t>NA</w:t>
            </w:r>
          </w:p>
        </w:tc>
      </w:tr>
      <w:tr w:rsidR="007070CB" w:rsidTr="007070CB">
        <w:tc>
          <w:tcPr>
            <w:tcW w:w="4673" w:type="dxa"/>
            <w:tcBorders>
              <w:right w:val="nil"/>
            </w:tcBorders>
            <w:shd w:val="clear" w:color="auto" w:fill="auto"/>
          </w:tcPr>
          <w:p w:rsidR="007070CB" w:rsidRDefault="006E2E62">
            <w:pPr>
              <w:keepNext/>
              <w:widowControl/>
              <w:spacing w:before="0" w:after="0"/>
              <w:ind w:left="-50" w:right="-117"/>
              <w:jc w:val="left"/>
              <w:rPr>
                <w:rFonts w:ascii="Arial Narrow" w:hAnsi="Arial Narrow"/>
                <w:b/>
                <w:sz w:val="20"/>
                <w:szCs w:val="20"/>
                <w:lang w:val="en-NZ"/>
              </w:rPr>
            </w:pPr>
            <w:r>
              <w:rPr>
                <w:rFonts w:ascii="Arial Narrow" w:hAnsi="Arial Narrow"/>
                <w:b/>
                <w:sz w:val="20"/>
                <w:szCs w:val="20"/>
                <w:lang w:val="en-NZ"/>
              </w:rPr>
              <w:t>Sensitivity analyses conducted by the submission</w:t>
            </w:r>
          </w:p>
        </w:tc>
        <w:tc>
          <w:tcPr>
            <w:tcW w:w="1086" w:type="dxa"/>
            <w:tcBorders>
              <w:left w:val="nil"/>
              <w:right w:val="nil"/>
            </w:tcBorders>
            <w:shd w:val="clear" w:color="auto" w:fill="auto"/>
            <w:vAlign w:val="center"/>
          </w:tcPr>
          <w:p w:rsidR="007070CB" w:rsidRDefault="007070CB">
            <w:pPr>
              <w:keepNext/>
              <w:widowControl/>
              <w:spacing w:before="0" w:after="0"/>
              <w:jc w:val="center"/>
              <w:rPr>
                <w:rFonts w:ascii="Arial Narrow" w:hAnsi="Arial Narrow" w:cs="Calibri"/>
                <w:color w:val="000000"/>
                <w:sz w:val="20"/>
                <w:szCs w:val="20"/>
              </w:rPr>
            </w:pPr>
          </w:p>
        </w:tc>
        <w:tc>
          <w:tcPr>
            <w:tcW w:w="1086" w:type="dxa"/>
            <w:tcBorders>
              <w:left w:val="nil"/>
              <w:right w:val="nil"/>
            </w:tcBorders>
            <w:shd w:val="clear" w:color="auto" w:fill="auto"/>
            <w:vAlign w:val="center"/>
          </w:tcPr>
          <w:p w:rsidR="007070CB" w:rsidRDefault="007070CB">
            <w:pPr>
              <w:keepNext/>
              <w:widowControl/>
              <w:spacing w:before="0" w:after="0"/>
              <w:jc w:val="center"/>
              <w:rPr>
                <w:rFonts w:ascii="Arial Narrow" w:hAnsi="Arial Narrow" w:cs="Calibri"/>
                <w:color w:val="000000"/>
                <w:sz w:val="20"/>
                <w:szCs w:val="20"/>
              </w:rPr>
            </w:pPr>
          </w:p>
        </w:tc>
        <w:tc>
          <w:tcPr>
            <w:tcW w:w="1372" w:type="dxa"/>
            <w:tcBorders>
              <w:left w:val="nil"/>
              <w:right w:val="nil"/>
            </w:tcBorders>
            <w:shd w:val="clear" w:color="auto" w:fill="auto"/>
            <w:vAlign w:val="center"/>
          </w:tcPr>
          <w:p w:rsidR="007070CB" w:rsidRDefault="007070CB">
            <w:pPr>
              <w:keepNext/>
              <w:widowControl/>
              <w:spacing w:before="0" w:after="0"/>
              <w:jc w:val="center"/>
              <w:rPr>
                <w:rFonts w:ascii="Arial Narrow" w:hAnsi="Arial Narrow" w:cs="Calibri"/>
                <w:color w:val="000000"/>
                <w:sz w:val="20"/>
                <w:szCs w:val="20"/>
              </w:rPr>
            </w:pPr>
          </w:p>
        </w:tc>
        <w:tc>
          <w:tcPr>
            <w:tcW w:w="800" w:type="dxa"/>
            <w:tcBorders>
              <w:left w:val="nil"/>
            </w:tcBorders>
            <w:vAlign w:val="center"/>
          </w:tcPr>
          <w:p w:rsidR="007070CB" w:rsidRDefault="007070CB">
            <w:pPr>
              <w:keepNext/>
              <w:widowControl/>
              <w:spacing w:before="0" w:after="0"/>
              <w:jc w:val="center"/>
              <w:rPr>
                <w:rFonts w:ascii="Arial Narrow" w:hAnsi="Arial Narrow" w:cs="Calibri"/>
                <w:color w:val="000000"/>
                <w:sz w:val="20"/>
                <w:szCs w:val="20"/>
              </w:rPr>
            </w:pPr>
          </w:p>
        </w:tc>
      </w:tr>
      <w:tr w:rsidR="007070CB" w:rsidTr="007070CB">
        <w:tc>
          <w:tcPr>
            <w:tcW w:w="4673" w:type="dxa"/>
            <w:tcBorders>
              <w:right w:val="nil"/>
            </w:tcBorders>
            <w:vAlign w:val="center"/>
          </w:tcPr>
          <w:p w:rsidR="007070CB" w:rsidRDefault="006E2E62">
            <w:pPr>
              <w:keepNext/>
              <w:widowControl/>
              <w:spacing w:before="0" w:after="0"/>
              <w:ind w:left="-50" w:right="-117"/>
              <w:jc w:val="left"/>
              <w:rPr>
                <w:rFonts w:ascii="Arial Narrow" w:hAnsi="Arial Narrow"/>
                <w:sz w:val="20"/>
                <w:szCs w:val="20"/>
                <w:lang w:val="en-NZ"/>
              </w:rPr>
            </w:pPr>
            <w:r>
              <w:rPr>
                <w:rFonts w:ascii="Arial Narrow" w:hAnsi="Arial Narrow"/>
                <w:sz w:val="20"/>
                <w:szCs w:val="20"/>
                <w:lang w:val="en-NZ"/>
              </w:rPr>
              <w:t>Costs/prices</w:t>
            </w:r>
          </w:p>
        </w:tc>
        <w:tc>
          <w:tcPr>
            <w:tcW w:w="1086" w:type="dxa"/>
            <w:tcBorders>
              <w:left w:val="nil"/>
              <w:right w:val="nil"/>
            </w:tcBorders>
            <w:vAlign w:val="center"/>
          </w:tcPr>
          <w:p w:rsidR="007070CB" w:rsidRDefault="007070CB">
            <w:pPr>
              <w:keepNext/>
              <w:widowControl/>
              <w:spacing w:before="0" w:after="0"/>
              <w:jc w:val="center"/>
              <w:rPr>
                <w:rFonts w:ascii="Arial Narrow" w:hAnsi="Arial Narrow"/>
                <w:sz w:val="20"/>
                <w:szCs w:val="20"/>
              </w:rPr>
            </w:pPr>
          </w:p>
        </w:tc>
        <w:tc>
          <w:tcPr>
            <w:tcW w:w="1086" w:type="dxa"/>
            <w:tcBorders>
              <w:left w:val="nil"/>
              <w:right w:val="nil"/>
            </w:tcBorders>
            <w:vAlign w:val="center"/>
          </w:tcPr>
          <w:p w:rsidR="007070CB" w:rsidRDefault="007070CB">
            <w:pPr>
              <w:keepNext/>
              <w:widowControl/>
              <w:spacing w:before="0" w:after="0"/>
              <w:jc w:val="center"/>
              <w:rPr>
                <w:rFonts w:ascii="Arial Narrow" w:hAnsi="Arial Narrow"/>
                <w:sz w:val="20"/>
                <w:szCs w:val="20"/>
              </w:rPr>
            </w:pPr>
          </w:p>
        </w:tc>
        <w:tc>
          <w:tcPr>
            <w:tcW w:w="1372" w:type="dxa"/>
            <w:tcBorders>
              <w:left w:val="nil"/>
            </w:tcBorders>
            <w:vAlign w:val="center"/>
          </w:tcPr>
          <w:p w:rsidR="007070CB" w:rsidRDefault="007070CB">
            <w:pPr>
              <w:keepNext/>
              <w:widowControl/>
              <w:spacing w:before="0" w:after="0"/>
              <w:jc w:val="center"/>
              <w:rPr>
                <w:rFonts w:ascii="Arial Narrow" w:hAnsi="Arial Narrow"/>
                <w:sz w:val="20"/>
                <w:szCs w:val="20"/>
              </w:rPr>
            </w:pPr>
          </w:p>
        </w:tc>
        <w:tc>
          <w:tcPr>
            <w:tcW w:w="800" w:type="dxa"/>
            <w:tcBorders>
              <w:left w:val="nil"/>
            </w:tcBorders>
            <w:vAlign w:val="center"/>
          </w:tcPr>
          <w:p w:rsidR="007070CB" w:rsidRDefault="007070CB">
            <w:pPr>
              <w:keepNext/>
              <w:widowControl/>
              <w:spacing w:before="0" w:after="0"/>
              <w:jc w:val="center"/>
              <w:rPr>
                <w:rFonts w:ascii="Arial Narrow" w:hAnsi="Arial Narrow" w:cs="Calibri"/>
                <w:color w:val="000000"/>
                <w:sz w:val="20"/>
                <w:szCs w:val="20"/>
              </w:rPr>
            </w:pPr>
          </w:p>
        </w:tc>
      </w:tr>
      <w:tr w:rsidR="007070CB" w:rsidTr="007070CB">
        <w:tc>
          <w:tcPr>
            <w:tcW w:w="4673" w:type="dxa"/>
          </w:tcPr>
          <w:p w:rsidR="007070CB" w:rsidRDefault="006E2E62">
            <w:pPr>
              <w:keepNext/>
              <w:widowControl/>
              <w:spacing w:before="0" w:after="0"/>
              <w:ind w:left="-50" w:right="-117"/>
              <w:jc w:val="left"/>
              <w:rPr>
                <w:rFonts w:ascii="Arial Narrow" w:hAnsi="Arial Narrow"/>
                <w:sz w:val="20"/>
                <w:szCs w:val="20"/>
                <w:lang w:val="en-NZ"/>
              </w:rPr>
            </w:pPr>
            <w:r>
              <w:rPr>
                <w:rFonts w:ascii="Arial Narrow" w:hAnsi="Arial Narrow"/>
                <w:sz w:val="20"/>
                <w:szCs w:val="20"/>
                <w:lang w:val="en-NZ"/>
              </w:rPr>
              <w:t>Cost of CF disease management including BSC doubled</w:t>
            </w:r>
          </w:p>
        </w:tc>
        <w:tc>
          <w:tcPr>
            <w:tcW w:w="1086" w:type="dxa"/>
            <w:vAlign w:val="center"/>
          </w:tcPr>
          <w:p w:rsidR="007070CB" w:rsidRPr="00C42D5F" w:rsidRDefault="00C42D5F">
            <w:pPr>
              <w:keepNext/>
              <w:widowControl/>
              <w:spacing w:before="0" w:after="0"/>
              <w:jc w:val="center"/>
              <w:rPr>
                <w:rFonts w:ascii="Arial Narrow" w:hAnsi="Arial Narrow"/>
                <w:sz w:val="20"/>
                <w:szCs w:val="20"/>
                <w:highlight w:val="black"/>
              </w:rPr>
            </w:pPr>
            <w:r>
              <w:rPr>
                <w:rFonts w:ascii="Arial Narrow" w:hAnsi="Arial Narrow" w:cs="Calibri"/>
                <w:noProof/>
                <w:color w:val="000000"/>
                <w:sz w:val="20"/>
                <w:szCs w:val="20"/>
                <w:highlight w:val="black"/>
              </w:rPr>
              <w:t>'''''''''''''''''''''</w:t>
            </w:r>
          </w:p>
        </w:tc>
        <w:tc>
          <w:tcPr>
            <w:tcW w:w="1086" w:type="dxa"/>
            <w:vAlign w:val="center"/>
          </w:tcPr>
          <w:p w:rsidR="007070CB" w:rsidRDefault="006E2E62">
            <w:pPr>
              <w:keepNext/>
              <w:widowControl/>
              <w:spacing w:before="0" w:after="0"/>
              <w:jc w:val="center"/>
              <w:rPr>
                <w:rFonts w:ascii="Arial Narrow" w:hAnsi="Arial Narrow"/>
                <w:sz w:val="20"/>
                <w:szCs w:val="20"/>
              </w:rPr>
            </w:pPr>
            <w:r>
              <w:rPr>
                <w:rFonts w:ascii="Arial Narrow" w:hAnsi="Arial Narrow" w:cs="Calibri"/>
                <w:color w:val="000000"/>
                <w:sz w:val="20"/>
                <w:szCs w:val="20"/>
              </w:rPr>
              <w:t>2.42</w:t>
            </w:r>
          </w:p>
        </w:tc>
        <w:tc>
          <w:tcPr>
            <w:tcW w:w="1372" w:type="dxa"/>
            <w:vAlign w:val="center"/>
          </w:tcPr>
          <w:p w:rsidR="007070CB" w:rsidRPr="00C42D5F" w:rsidRDefault="00C42D5F">
            <w:pPr>
              <w:keepNext/>
              <w:widowControl/>
              <w:spacing w:before="0" w:after="0"/>
              <w:jc w:val="center"/>
              <w:rPr>
                <w:rFonts w:ascii="Arial Narrow" w:hAnsi="Arial Narrow"/>
                <w:sz w:val="20"/>
                <w:szCs w:val="20"/>
                <w:highlight w:val="black"/>
              </w:rPr>
            </w:pPr>
            <w:r>
              <w:rPr>
                <w:rFonts w:ascii="Arial Narrow" w:hAnsi="Arial Narrow" w:cs="Calibri"/>
                <w:noProof/>
                <w:color w:val="000000"/>
                <w:sz w:val="20"/>
                <w:szCs w:val="20"/>
                <w:highlight w:val="black"/>
              </w:rPr>
              <w:t>'''''''''''''''''''''</w:t>
            </w:r>
          </w:p>
        </w:tc>
        <w:tc>
          <w:tcPr>
            <w:tcW w:w="800" w:type="dxa"/>
            <w:vAlign w:val="center"/>
          </w:tcPr>
          <w:p w:rsidR="007070CB" w:rsidRDefault="006E2E62">
            <w:pPr>
              <w:keepNext/>
              <w:widowControl/>
              <w:spacing w:before="0" w:after="0"/>
              <w:jc w:val="center"/>
              <w:rPr>
                <w:rFonts w:ascii="Arial Narrow" w:hAnsi="Arial Narrow" w:cs="Calibri"/>
                <w:color w:val="000000"/>
                <w:sz w:val="20"/>
                <w:szCs w:val="20"/>
              </w:rPr>
            </w:pPr>
            <w:r>
              <w:rPr>
                <w:rFonts w:ascii="Arial Narrow" w:hAnsi="Arial Narrow" w:cs="Calibri"/>
                <w:color w:val="000000"/>
                <w:sz w:val="20"/>
                <w:szCs w:val="20"/>
              </w:rPr>
              <w:t>-66%</w:t>
            </w:r>
          </w:p>
        </w:tc>
      </w:tr>
      <w:tr w:rsidR="007070CB" w:rsidTr="007070CB">
        <w:tc>
          <w:tcPr>
            <w:tcW w:w="4673" w:type="dxa"/>
          </w:tcPr>
          <w:p w:rsidR="007070CB" w:rsidRDefault="006E2E62">
            <w:pPr>
              <w:keepNext/>
              <w:widowControl/>
              <w:spacing w:before="0" w:after="0"/>
              <w:ind w:left="-50" w:right="-117"/>
              <w:jc w:val="left"/>
              <w:rPr>
                <w:rFonts w:ascii="Arial Narrow" w:hAnsi="Arial Narrow"/>
                <w:sz w:val="20"/>
                <w:szCs w:val="20"/>
                <w:lang w:val="en-NZ"/>
              </w:rPr>
            </w:pPr>
            <w:r>
              <w:rPr>
                <w:rFonts w:ascii="Arial Narrow" w:hAnsi="Arial Narrow"/>
                <w:sz w:val="20"/>
                <w:szCs w:val="20"/>
                <w:lang w:val="en-NZ"/>
              </w:rPr>
              <w:t>Cost of CF disease management including BSC halved</w:t>
            </w:r>
          </w:p>
        </w:tc>
        <w:tc>
          <w:tcPr>
            <w:tcW w:w="1086" w:type="dxa"/>
            <w:vAlign w:val="center"/>
          </w:tcPr>
          <w:p w:rsidR="007070CB" w:rsidRPr="00C42D5F" w:rsidRDefault="00C42D5F">
            <w:pPr>
              <w:keepNext/>
              <w:widowControl/>
              <w:spacing w:before="0" w:after="0"/>
              <w:jc w:val="center"/>
              <w:rPr>
                <w:rFonts w:ascii="Arial Narrow" w:hAnsi="Arial Narrow"/>
                <w:sz w:val="20"/>
                <w:szCs w:val="20"/>
                <w:highlight w:val="black"/>
              </w:rPr>
            </w:pPr>
            <w:r>
              <w:rPr>
                <w:rFonts w:ascii="Arial Narrow" w:hAnsi="Arial Narrow" w:cs="Calibri"/>
                <w:noProof/>
                <w:color w:val="000000"/>
                <w:sz w:val="20"/>
                <w:szCs w:val="20"/>
                <w:highlight w:val="black"/>
              </w:rPr>
              <w:t>'''''''''''''''''''''''</w:t>
            </w:r>
          </w:p>
        </w:tc>
        <w:tc>
          <w:tcPr>
            <w:tcW w:w="1086" w:type="dxa"/>
            <w:vAlign w:val="center"/>
          </w:tcPr>
          <w:p w:rsidR="007070CB" w:rsidRDefault="006E2E62">
            <w:pPr>
              <w:keepNext/>
              <w:widowControl/>
              <w:spacing w:before="0" w:after="0"/>
              <w:jc w:val="center"/>
              <w:rPr>
                <w:rFonts w:ascii="Arial Narrow" w:hAnsi="Arial Narrow"/>
                <w:sz w:val="20"/>
                <w:szCs w:val="20"/>
              </w:rPr>
            </w:pPr>
            <w:r>
              <w:rPr>
                <w:rFonts w:ascii="Arial Narrow" w:hAnsi="Arial Narrow" w:cs="Calibri"/>
                <w:color w:val="000000"/>
                <w:sz w:val="20"/>
                <w:szCs w:val="20"/>
              </w:rPr>
              <w:t>2.42</w:t>
            </w:r>
          </w:p>
        </w:tc>
        <w:tc>
          <w:tcPr>
            <w:tcW w:w="1372" w:type="dxa"/>
            <w:vAlign w:val="center"/>
          </w:tcPr>
          <w:p w:rsidR="007070CB" w:rsidRPr="00C42D5F" w:rsidRDefault="00C42D5F">
            <w:pPr>
              <w:keepNext/>
              <w:widowControl/>
              <w:spacing w:before="0" w:after="0"/>
              <w:jc w:val="center"/>
              <w:rPr>
                <w:rFonts w:ascii="Arial Narrow" w:hAnsi="Arial Narrow"/>
                <w:sz w:val="20"/>
                <w:szCs w:val="20"/>
                <w:highlight w:val="black"/>
              </w:rPr>
            </w:pPr>
            <w:r>
              <w:rPr>
                <w:rFonts w:ascii="Arial Narrow" w:hAnsi="Arial Narrow" w:cs="Calibri"/>
                <w:noProof/>
                <w:color w:val="000000"/>
                <w:sz w:val="20"/>
                <w:szCs w:val="20"/>
                <w:highlight w:val="black"/>
              </w:rPr>
              <w:t>'''''''''''''''''''''</w:t>
            </w:r>
          </w:p>
        </w:tc>
        <w:tc>
          <w:tcPr>
            <w:tcW w:w="800" w:type="dxa"/>
            <w:vAlign w:val="center"/>
          </w:tcPr>
          <w:p w:rsidR="007070CB" w:rsidRDefault="006E2E62">
            <w:pPr>
              <w:keepNext/>
              <w:widowControl/>
              <w:spacing w:before="0" w:after="0"/>
              <w:jc w:val="center"/>
              <w:rPr>
                <w:rFonts w:ascii="Arial Narrow" w:hAnsi="Arial Narrow" w:cs="Calibri"/>
                <w:color w:val="000000"/>
                <w:sz w:val="20"/>
                <w:szCs w:val="20"/>
              </w:rPr>
            </w:pPr>
            <w:r>
              <w:rPr>
                <w:rFonts w:ascii="Arial Narrow" w:hAnsi="Arial Narrow" w:cs="Calibri"/>
                <w:color w:val="000000"/>
                <w:sz w:val="20"/>
                <w:szCs w:val="20"/>
              </w:rPr>
              <w:t>33%</w:t>
            </w:r>
          </w:p>
        </w:tc>
      </w:tr>
      <w:tr w:rsidR="007070CB" w:rsidTr="007070CB">
        <w:tc>
          <w:tcPr>
            <w:tcW w:w="4673" w:type="dxa"/>
            <w:tcBorders>
              <w:right w:val="nil"/>
            </w:tcBorders>
          </w:tcPr>
          <w:p w:rsidR="007070CB" w:rsidRDefault="006E2E62">
            <w:pPr>
              <w:keepNext/>
              <w:widowControl/>
              <w:spacing w:before="0" w:after="0"/>
              <w:ind w:left="-50" w:right="-117"/>
              <w:jc w:val="left"/>
              <w:rPr>
                <w:rFonts w:ascii="Arial Narrow" w:hAnsi="Arial Narrow"/>
                <w:sz w:val="20"/>
                <w:szCs w:val="20"/>
                <w:lang w:val="en-NZ"/>
              </w:rPr>
            </w:pPr>
            <w:r>
              <w:rPr>
                <w:rFonts w:ascii="Arial Narrow" w:hAnsi="Arial Narrow"/>
                <w:sz w:val="20"/>
                <w:szCs w:val="20"/>
                <w:lang w:val="en-NZ"/>
              </w:rPr>
              <w:t>Effects</w:t>
            </w:r>
          </w:p>
        </w:tc>
        <w:tc>
          <w:tcPr>
            <w:tcW w:w="1086" w:type="dxa"/>
            <w:tcBorders>
              <w:left w:val="nil"/>
              <w:right w:val="nil"/>
            </w:tcBorders>
            <w:vAlign w:val="center"/>
          </w:tcPr>
          <w:p w:rsidR="007070CB" w:rsidRDefault="007070CB">
            <w:pPr>
              <w:keepNext/>
              <w:widowControl/>
              <w:spacing w:before="0" w:after="0"/>
              <w:jc w:val="center"/>
              <w:rPr>
                <w:rFonts w:ascii="Arial Narrow" w:hAnsi="Arial Narrow"/>
                <w:sz w:val="20"/>
                <w:szCs w:val="20"/>
              </w:rPr>
            </w:pPr>
          </w:p>
        </w:tc>
        <w:tc>
          <w:tcPr>
            <w:tcW w:w="1086" w:type="dxa"/>
            <w:tcBorders>
              <w:left w:val="nil"/>
              <w:right w:val="nil"/>
            </w:tcBorders>
            <w:vAlign w:val="center"/>
          </w:tcPr>
          <w:p w:rsidR="007070CB" w:rsidRDefault="007070CB">
            <w:pPr>
              <w:keepNext/>
              <w:widowControl/>
              <w:spacing w:before="0" w:after="0"/>
              <w:jc w:val="center"/>
              <w:rPr>
                <w:rFonts w:ascii="Arial Narrow" w:hAnsi="Arial Narrow"/>
                <w:sz w:val="20"/>
                <w:szCs w:val="20"/>
              </w:rPr>
            </w:pPr>
          </w:p>
        </w:tc>
        <w:tc>
          <w:tcPr>
            <w:tcW w:w="1372" w:type="dxa"/>
            <w:tcBorders>
              <w:left w:val="nil"/>
            </w:tcBorders>
            <w:vAlign w:val="center"/>
          </w:tcPr>
          <w:p w:rsidR="007070CB" w:rsidRDefault="007070CB">
            <w:pPr>
              <w:keepNext/>
              <w:widowControl/>
              <w:spacing w:before="0" w:after="0"/>
              <w:jc w:val="center"/>
              <w:rPr>
                <w:rFonts w:ascii="Arial Narrow" w:hAnsi="Arial Narrow"/>
                <w:sz w:val="20"/>
                <w:szCs w:val="20"/>
              </w:rPr>
            </w:pPr>
          </w:p>
        </w:tc>
        <w:tc>
          <w:tcPr>
            <w:tcW w:w="800" w:type="dxa"/>
            <w:tcBorders>
              <w:left w:val="nil"/>
            </w:tcBorders>
            <w:vAlign w:val="center"/>
          </w:tcPr>
          <w:p w:rsidR="007070CB" w:rsidRDefault="007070CB">
            <w:pPr>
              <w:keepNext/>
              <w:widowControl/>
              <w:spacing w:before="0" w:after="0"/>
              <w:jc w:val="center"/>
              <w:rPr>
                <w:rFonts w:ascii="Arial Narrow" w:hAnsi="Arial Narrow" w:cs="Calibri"/>
                <w:color w:val="000000"/>
                <w:sz w:val="20"/>
                <w:szCs w:val="20"/>
              </w:rPr>
            </w:pPr>
          </w:p>
        </w:tc>
      </w:tr>
      <w:tr w:rsidR="007070CB" w:rsidTr="007070CB">
        <w:tc>
          <w:tcPr>
            <w:tcW w:w="4673" w:type="dxa"/>
          </w:tcPr>
          <w:p w:rsidR="007070CB" w:rsidRDefault="006E2E62">
            <w:pPr>
              <w:keepNext/>
              <w:widowControl/>
              <w:spacing w:before="0" w:after="0"/>
              <w:ind w:left="-50" w:right="-117"/>
              <w:jc w:val="left"/>
              <w:rPr>
                <w:rFonts w:ascii="Arial Narrow" w:hAnsi="Arial Narrow"/>
                <w:sz w:val="20"/>
                <w:szCs w:val="20"/>
                <w:lang w:val="en-NZ"/>
              </w:rPr>
            </w:pPr>
            <w:r>
              <w:rPr>
                <w:rFonts w:ascii="Arial Narrow" w:hAnsi="Arial Narrow"/>
                <w:sz w:val="20"/>
                <w:szCs w:val="20"/>
                <w:lang w:val="en-NZ"/>
              </w:rPr>
              <w:t xml:space="preserve">FEV1 improvement due to lumacaftor /ivacaftor treatment increased to upper 95% CI (2-11 years FEV1 improvement = 5.5%; 12 years+ FEV1 improvement = 3.8%) </w:t>
            </w:r>
          </w:p>
        </w:tc>
        <w:tc>
          <w:tcPr>
            <w:tcW w:w="1086" w:type="dxa"/>
            <w:vAlign w:val="center"/>
          </w:tcPr>
          <w:p w:rsidR="007070CB" w:rsidRPr="00C42D5F" w:rsidRDefault="00C42D5F">
            <w:pPr>
              <w:keepNext/>
              <w:widowControl/>
              <w:spacing w:before="0" w:after="0"/>
              <w:jc w:val="center"/>
              <w:rPr>
                <w:rFonts w:ascii="Arial Narrow" w:hAnsi="Arial Narrow"/>
                <w:sz w:val="20"/>
                <w:szCs w:val="20"/>
                <w:highlight w:val="black"/>
              </w:rPr>
            </w:pPr>
            <w:r>
              <w:rPr>
                <w:rFonts w:ascii="Arial Narrow" w:hAnsi="Arial Narrow" w:cs="Calibri"/>
                <w:noProof/>
                <w:color w:val="000000"/>
                <w:sz w:val="20"/>
                <w:szCs w:val="20"/>
                <w:highlight w:val="black"/>
              </w:rPr>
              <w:t>'''''''''''''''''''''''</w:t>
            </w:r>
          </w:p>
        </w:tc>
        <w:tc>
          <w:tcPr>
            <w:tcW w:w="1086" w:type="dxa"/>
            <w:vAlign w:val="center"/>
          </w:tcPr>
          <w:p w:rsidR="007070CB" w:rsidRDefault="006E2E62">
            <w:pPr>
              <w:keepNext/>
              <w:widowControl/>
              <w:spacing w:before="0" w:after="0"/>
              <w:jc w:val="center"/>
              <w:rPr>
                <w:rFonts w:ascii="Arial Narrow" w:hAnsi="Arial Narrow"/>
                <w:sz w:val="20"/>
                <w:szCs w:val="20"/>
              </w:rPr>
            </w:pPr>
            <w:r>
              <w:rPr>
                <w:rFonts w:ascii="Arial Narrow" w:hAnsi="Arial Narrow" w:cs="Calibri"/>
                <w:color w:val="000000"/>
                <w:sz w:val="20"/>
                <w:szCs w:val="20"/>
              </w:rPr>
              <w:t>2.76</w:t>
            </w:r>
          </w:p>
        </w:tc>
        <w:tc>
          <w:tcPr>
            <w:tcW w:w="1372" w:type="dxa"/>
            <w:vAlign w:val="center"/>
          </w:tcPr>
          <w:p w:rsidR="007070CB" w:rsidRPr="00C42D5F" w:rsidRDefault="00C42D5F">
            <w:pPr>
              <w:keepNext/>
              <w:widowControl/>
              <w:spacing w:before="0" w:after="0"/>
              <w:jc w:val="center"/>
              <w:rPr>
                <w:rFonts w:ascii="Arial Narrow" w:hAnsi="Arial Narrow"/>
                <w:sz w:val="20"/>
                <w:szCs w:val="20"/>
                <w:highlight w:val="black"/>
              </w:rPr>
            </w:pPr>
            <w:r>
              <w:rPr>
                <w:rFonts w:ascii="Arial Narrow" w:hAnsi="Arial Narrow" w:cs="Calibri"/>
                <w:noProof/>
                <w:color w:val="000000"/>
                <w:sz w:val="20"/>
                <w:szCs w:val="20"/>
                <w:highlight w:val="black"/>
              </w:rPr>
              <w:t>''''''''''''''''''''''</w:t>
            </w:r>
          </w:p>
        </w:tc>
        <w:tc>
          <w:tcPr>
            <w:tcW w:w="800" w:type="dxa"/>
            <w:vAlign w:val="center"/>
          </w:tcPr>
          <w:p w:rsidR="007070CB" w:rsidRDefault="006E2E62">
            <w:pPr>
              <w:keepNext/>
              <w:widowControl/>
              <w:spacing w:before="0" w:after="0"/>
              <w:jc w:val="center"/>
              <w:rPr>
                <w:rFonts w:ascii="Arial Narrow" w:hAnsi="Arial Narrow" w:cs="Calibri"/>
                <w:color w:val="000000"/>
                <w:sz w:val="20"/>
                <w:szCs w:val="20"/>
              </w:rPr>
            </w:pPr>
            <w:r>
              <w:rPr>
                <w:rFonts w:ascii="Arial Narrow" w:hAnsi="Arial Narrow" w:cs="Calibri"/>
                <w:color w:val="000000"/>
                <w:sz w:val="20"/>
                <w:szCs w:val="20"/>
              </w:rPr>
              <w:t>-14%</w:t>
            </w:r>
          </w:p>
        </w:tc>
      </w:tr>
      <w:tr w:rsidR="007070CB" w:rsidTr="007070CB">
        <w:tc>
          <w:tcPr>
            <w:tcW w:w="4673" w:type="dxa"/>
          </w:tcPr>
          <w:p w:rsidR="007070CB" w:rsidRDefault="006E2E62">
            <w:pPr>
              <w:keepNext/>
              <w:widowControl/>
              <w:spacing w:before="0" w:after="0"/>
              <w:ind w:left="-50" w:right="-117"/>
              <w:jc w:val="left"/>
              <w:rPr>
                <w:rFonts w:ascii="Arial Narrow" w:hAnsi="Arial Narrow"/>
                <w:sz w:val="20"/>
                <w:szCs w:val="20"/>
                <w:lang w:val="en-NZ"/>
              </w:rPr>
            </w:pPr>
            <w:r>
              <w:rPr>
                <w:rFonts w:ascii="Arial Narrow" w:hAnsi="Arial Narrow"/>
                <w:sz w:val="20"/>
                <w:szCs w:val="20"/>
                <w:lang w:val="en-NZ"/>
              </w:rPr>
              <w:t>FEV1 improvement due to lumacaftor /ivacaftor treatment decreased to lower 95% CI (2-11 years FEV1 improvement = 0.5%; 12 years+FEV1 improvement = 1.8%)</w:t>
            </w:r>
          </w:p>
        </w:tc>
        <w:tc>
          <w:tcPr>
            <w:tcW w:w="1086" w:type="dxa"/>
            <w:vAlign w:val="center"/>
          </w:tcPr>
          <w:p w:rsidR="007070CB" w:rsidRPr="00C42D5F" w:rsidRDefault="00C42D5F">
            <w:pPr>
              <w:keepNext/>
              <w:widowControl/>
              <w:spacing w:before="0" w:after="0"/>
              <w:jc w:val="center"/>
              <w:rPr>
                <w:rFonts w:ascii="Arial Narrow" w:hAnsi="Arial Narrow"/>
                <w:sz w:val="20"/>
                <w:szCs w:val="20"/>
                <w:highlight w:val="black"/>
              </w:rPr>
            </w:pPr>
            <w:r>
              <w:rPr>
                <w:rFonts w:ascii="Arial Narrow" w:hAnsi="Arial Narrow" w:cs="Calibri"/>
                <w:noProof/>
                <w:color w:val="000000"/>
                <w:sz w:val="20"/>
                <w:szCs w:val="20"/>
                <w:highlight w:val="black"/>
              </w:rPr>
              <w:t>''''''''''''''''''''''''</w:t>
            </w:r>
          </w:p>
        </w:tc>
        <w:tc>
          <w:tcPr>
            <w:tcW w:w="1086" w:type="dxa"/>
            <w:vAlign w:val="center"/>
          </w:tcPr>
          <w:p w:rsidR="007070CB" w:rsidRDefault="006E2E62">
            <w:pPr>
              <w:keepNext/>
              <w:widowControl/>
              <w:spacing w:before="0" w:after="0"/>
              <w:jc w:val="center"/>
              <w:rPr>
                <w:rFonts w:ascii="Arial Narrow" w:hAnsi="Arial Narrow"/>
                <w:sz w:val="20"/>
                <w:szCs w:val="20"/>
              </w:rPr>
            </w:pPr>
            <w:r>
              <w:rPr>
                <w:rFonts w:ascii="Arial Narrow" w:hAnsi="Arial Narrow" w:cs="Calibri"/>
                <w:color w:val="000000"/>
                <w:sz w:val="20"/>
                <w:szCs w:val="20"/>
              </w:rPr>
              <w:t>2.05</w:t>
            </w:r>
          </w:p>
        </w:tc>
        <w:tc>
          <w:tcPr>
            <w:tcW w:w="1372" w:type="dxa"/>
            <w:vAlign w:val="center"/>
          </w:tcPr>
          <w:p w:rsidR="007070CB" w:rsidRPr="00C42D5F" w:rsidRDefault="00C42D5F">
            <w:pPr>
              <w:keepNext/>
              <w:widowControl/>
              <w:spacing w:before="0" w:after="0"/>
              <w:jc w:val="center"/>
              <w:rPr>
                <w:rFonts w:ascii="Arial Narrow" w:hAnsi="Arial Narrow"/>
                <w:sz w:val="20"/>
                <w:szCs w:val="20"/>
                <w:highlight w:val="black"/>
              </w:rPr>
            </w:pPr>
            <w:r>
              <w:rPr>
                <w:rFonts w:ascii="Arial Narrow" w:hAnsi="Arial Narrow" w:cs="Calibri"/>
                <w:noProof/>
                <w:color w:val="000000"/>
                <w:sz w:val="20"/>
                <w:szCs w:val="20"/>
                <w:highlight w:val="black"/>
              </w:rPr>
              <w:t>'''''''''''''''''''''''</w:t>
            </w:r>
          </w:p>
        </w:tc>
        <w:tc>
          <w:tcPr>
            <w:tcW w:w="800" w:type="dxa"/>
            <w:vAlign w:val="center"/>
          </w:tcPr>
          <w:p w:rsidR="007070CB" w:rsidRDefault="006E2E62">
            <w:pPr>
              <w:keepNext/>
              <w:widowControl/>
              <w:spacing w:before="0" w:after="0"/>
              <w:jc w:val="center"/>
              <w:rPr>
                <w:rFonts w:ascii="Arial Narrow" w:hAnsi="Arial Narrow" w:cs="Calibri"/>
                <w:color w:val="000000"/>
                <w:sz w:val="20"/>
                <w:szCs w:val="20"/>
              </w:rPr>
            </w:pPr>
            <w:r>
              <w:rPr>
                <w:rFonts w:ascii="Arial Narrow" w:hAnsi="Arial Narrow" w:cs="Calibri"/>
                <w:color w:val="000000"/>
                <w:sz w:val="20"/>
                <w:szCs w:val="20"/>
              </w:rPr>
              <w:t>23%</w:t>
            </w:r>
          </w:p>
        </w:tc>
      </w:tr>
      <w:tr w:rsidR="007070CB" w:rsidTr="007070CB">
        <w:tc>
          <w:tcPr>
            <w:tcW w:w="4673" w:type="dxa"/>
          </w:tcPr>
          <w:p w:rsidR="007070CB" w:rsidRDefault="006E2E62">
            <w:pPr>
              <w:keepNext/>
              <w:widowControl/>
              <w:spacing w:before="0" w:after="0"/>
              <w:ind w:left="-50" w:right="-117"/>
              <w:jc w:val="left"/>
              <w:rPr>
                <w:rFonts w:ascii="Arial Narrow" w:hAnsi="Arial Narrow"/>
                <w:sz w:val="20"/>
                <w:szCs w:val="20"/>
                <w:lang w:val="en-NZ"/>
              </w:rPr>
            </w:pPr>
            <w:r>
              <w:rPr>
                <w:rFonts w:ascii="Arial Narrow" w:hAnsi="Arial Narrow"/>
                <w:sz w:val="20"/>
                <w:szCs w:val="20"/>
                <w:lang w:val="en-NZ"/>
              </w:rPr>
              <w:t>Set decrease in annual decline in FEV1 in lumacaftor/ivacaftor treated patients to 75%, relative to BSC</w:t>
            </w:r>
          </w:p>
        </w:tc>
        <w:tc>
          <w:tcPr>
            <w:tcW w:w="1086" w:type="dxa"/>
            <w:vAlign w:val="center"/>
          </w:tcPr>
          <w:p w:rsidR="007070CB" w:rsidRPr="00C42D5F" w:rsidRDefault="00C42D5F">
            <w:pPr>
              <w:keepNext/>
              <w:widowControl/>
              <w:spacing w:before="0" w:after="0"/>
              <w:jc w:val="center"/>
              <w:rPr>
                <w:rFonts w:ascii="Arial Narrow" w:hAnsi="Arial Narrow"/>
                <w:sz w:val="20"/>
                <w:szCs w:val="20"/>
                <w:highlight w:val="black"/>
              </w:rPr>
            </w:pPr>
            <w:r>
              <w:rPr>
                <w:rFonts w:ascii="Arial Narrow" w:hAnsi="Arial Narrow" w:cs="Calibri"/>
                <w:noProof/>
                <w:color w:val="000000"/>
                <w:sz w:val="20"/>
                <w:szCs w:val="20"/>
                <w:highlight w:val="black"/>
              </w:rPr>
              <w:t>'''''''''''''''''''''''</w:t>
            </w:r>
          </w:p>
        </w:tc>
        <w:tc>
          <w:tcPr>
            <w:tcW w:w="1086" w:type="dxa"/>
            <w:vAlign w:val="center"/>
          </w:tcPr>
          <w:p w:rsidR="007070CB" w:rsidRDefault="006E2E62">
            <w:pPr>
              <w:keepNext/>
              <w:widowControl/>
              <w:spacing w:before="0" w:after="0"/>
              <w:jc w:val="center"/>
              <w:rPr>
                <w:rFonts w:ascii="Arial Narrow" w:hAnsi="Arial Narrow"/>
                <w:sz w:val="20"/>
                <w:szCs w:val="20"/>
              </w:rPr>
            </w:pPr>
            <w:r>
              <w:rPr>
                <w:rFonts w:ascii="Arial Narrow" w:hAnsi="Arial Narrow" w:cs="Calibri"/>
                <w:color w:val="000000"/>
                <w:sz w:val="20"/>
                <w:szCs w:val="20"/>
              </w:rPr>
              <w:t>4.49</w:t>
            </w:r>
          </w:p>
        </w:tc>
        <w:tc>
          <w:tcPr>
            <w:tcW w:w="1372" w:type="dxa"/>
            <w:vAlign w:val="center"/>
          </w:tcPr>
          <w:p w:rsidR="007070CB" w:rsidRPr="00C42D5F" w:rsidRDefault="00C42D5F">
            <w:pPr>
              <w:keepNext/>
              <w:widowControl/>
              <w:spacing w:before="0" w:after="0"/>
              <w:jc w:val="center"/>
              <w:rPr>
                <w:rFonts w:ascii="Arial Narrow" w:hAnsi="Arial Narrow"/>
                <w:sz w:val="20"/>
                <w:szCs w:val="20"/>
                <w:highlight w:val="black"/>
              </w:rPr>
            </w:pPr>
            <w:r>
              <w:rPr>
                <w:rFonts w:ascii="Arial Narrow" w:hAnsi="Arial Narrow" w:cs="Calibri"/>
                <w:noProof/>
                <w:color w:val="000000"/>
                <w:sz w:val="20"/>
                <w:szCs w:val="20"/>
                <w:highlight w:val="black"/>
              </w:rPr>
              <w:t>'''''''''''''''''''''</w:t>
            </w:r>
          </w:p>
        </w:tc>
        <w:tc>
          <w:tcPr>
            <w:tcW w:w="800" w:type="dxa"/>
            <w:vAlign w:val="center"/>
          </w:tcPr>
          <w:p w:rsidR="007070CB" w:rsidRDefault="006E2E62">
            <w:pPr>
              <w:keepNext/>
              <w:widowControl/>
              <w:spacing w:before="0" w:after="0"/>
              <w:jc w:val="center"/>
              <w:rPr>
                <w:rFonts w:ascii="Arial Narrow" w:hAnsi="Arial Narrow" w:cs="Calibri"/>
                <w:color w:val="000000"/>
                <w:sz w:val="20"/>
                <w:szCs w:val="20"/>
              </w:rPr>
            </w:pPr>
            <w:r>
              <w:rPr>
                <w:rFonts w:ascii="Arial Narrow" w:hAnsi="Arial Narrow" w:cs="Calibri"/>
                <w:color w:val="000000"/>
                <w:sz w:val="20"/>
                <w:szCs w:val="20"/>
              </w:rPr>
              <w:t>-54%</w:t>
            </w:r>
          </w:p>
        </w:tc>
      </w:tr>
      <w:tr w:rsidR="007070CB" w:rsidTr="007070CB">
        <w:tc>
          <w:tcPr>
            <w:tcW w:w="4673" w:type="dxa"/>
          </w:tcPr>
          <w:p w:rsidR="007070CB" w:rsidRDefault="006E2E62">
            <w:pPr>
              <w:keepNext/>
              <w:widowControl/>
              <w:spacing w:before="0" w:after="0"/>
              <w:ind w:left="-50" w:right="-117"/>
              <w:jc w:val="left"/>
              <w:rPr>
                <w:rFonts w:ascii="Arial Narrow" w:hAnsi="Arial Narrow"/>
                <w:sz w:val="20"/>
                <w:szCs w:val="20"/>
                <w:lang w:val="en-NZ"/>
              </w:rPr>
            </w:pPr>
            <w:r>
              <w:rPr>
                <w:rFonts w:ascii="Arial Narrow" w:hAnsi="Arial Narrow"/>
                <w:sz w:val="20"/>
                <w:szCs w:val="20"/>
                <w:lang w:val="en-NZ"/>
              </w:rPr>
              <w:t>Set decrease in annual decline in FEV1 in lumacaftor/ivacaftor treated patients to 25%, relative to BSC</w:t>
            </w:r>
          </w:p>
        </w:tc>
        <w:tc>
          <w:tcPr>
            <w:tcW w:w="1086" w:type="dxa"/>
            <w:vAlign w:val="center"/>
          </w:tcPr>
          <w:p w:rsidR="007070CB" w:rsidRPr="00C42D5F" w:rsidRDefault="00C42D5F">
            <w:pPr>
              <w:keepNext/>
              <w:widowControl/>
              <w:spacing w:before="0" w:after="0"/>
              <w:jc w:val="center"/>
              <w:rPr>
                <w:rFonts w:ascii="Arial Narrow" w:hAnsi="Arial Narrow"/>
                <w:sz w:val="20"/>
                <w:szCs w:val="20"/>
                <w:highlight w:val="black"/>
              </w:rPr>
            </w:pPr>
            <w:r>
              <w:rPr>
                <w:rFonts w:ascii="Arial Narrow" w:hAnsi="Arial Narrow" w:cs="Calibri"/>
                <w:noProof/>
                <w:color w:val="000000"/>
                <w:sz w:val="20"/>
                <w:szCs w:val="20"/>
                <w:highlight w:val="black"/>
              </w:rPr>
              <w:t>''''''''''''''''''''''</w:t>
            </w:r>
          </w:p>
        </w:tc>
        <w:tc>
          <w:tcPr>
            <w:tcW w:w="1086" w:type="dxa"/>
            <w:vAlign w:val="center"/>
          </w:tcPr>
          <w:p w:rsidR="007070CB" w:rsidRDefault="006E2E62">
            <w:pPr>
              <w:keepNext/>
              <w:widowControl/>
              <w:spacing w:before="0" w:after="0"/>
              <w:jc w:val="center"/>
              <w:rPr>
                <w:rFonts w:ascii="Arial Narrow" w:hAnsi="Arial Narrow"/>
                <w:sz w:val="20"/>
                <w:szCs w:val="20"/>
              </w:rPr>
            </w:pPr>
            <w:r>
              <w:rPr>
                <w:rFonts w:ascii="Arial Narrow" w:hAnsi="Arial Narrow" w:cs="Calibri"/>
                <w:color w:val="000000"/>
                <w:sz w:val="20"/>
                <w:szCs w:val="20"/>
              </w:rPr>
              <w:t>1.59</w:t>
            </w:r>
          </w:p>
        </w:tc>
        <w:tc>
          <w:tcPr>
            <w:tcW w:w="1372" w:type="dxa"/>
            <w:vAlign w:val="center"/>
          </w:tcPr>
          <w:p w:rsidR="007070CB" w:rsidRPr="00C42D5F" w:rsidRDefault="00C42D5F">
            <w:pPr>
              <w:keepNext/>
              <w:widowControl/>
              <w:spacing w:before="0" w:after="0"/>
              <w:jc w:val="center"/>
              <w:rPr>
                <w:rFonts w:ascii="Arial Narrow" w:hAnsi="Arial Narrow"/>
                <w:sz w:val="20"/>
                <w:szCs w:val="20"/>
                <w:highlight w:val="black"/>
              </w:rPr>
            </w:pPr>
            <w:r>
              <w:rPr>
                <w:rFonts w:ascii="Arial Narrow" w:hAnsi="Arial Narrow" w:cs="Calibri"/>
                <w:noProof/>
                <w:color w:val="000000"/>
                <w:sz w:val="20"/>
                <w:szCs w:val="20"/>
                <w:highlight w:val="black"/>
              </w:rPr>
              <w:t>'''''''''''''''''''''</w:t>
            </w:r>
          </w:p>
        </w:tc>
        <w:tc>
          <w:tcPr>
            <w:tcW w:w="800" w:type="dxa"/>
            <w:vAlign w:val="center"/>
          </w:tcPr>
          <w:p w:rsidR="007070CB" w:rsidRDefault="006E2E62">
            <w:pPr>
              <w:keepNext/>
              <w:widowControl/>
              <w:spacing w:before="0" w:after="0"/>
              <w:jc w:val="center"/>
              <w:rPr>
                <w:rFonts w:ascii="Arial Narrow" w:hAnsi="Arial Narrow" w:cs="Calibri"/>
                <w:color w:val="000000"/>
                <w:sz w:val="20"/>
                <w:szCs w:val="20"/>
              </w:rPr>
            </w:pPr>
            <w:r>
              <w:rPr>
                <w:rFonts w:ascii="Arial Narrow" w:hAnsi="Arial Narrow" w:cs="Calibri"/>
                <w:color w:val="000000"/>
                <w:sz w:val="20"/>
                <w:szCs w:val="20"/>
              </w:rPr>
              <w:t>56%</w:t>
            </w:r>
          </w:p>
        </w:tc>
      </w:tr>
      <w:tr w:rsidR="007070CB" w:rsidTr="007070CB">
        <w:tc>
          <w:tcPr>
            <w:tcW w:w="4673" w:type="dxa"/>
            <w:tcBorders>
              <w:bottom w:val="single" w:sz="4" w:space="0" w:color="auto"/>
              <w:right w:val="nil"/>
            </w:tcBorders>
          </w:tcPr>
          <w:p w:rsidR="007070CB" w:rsidRDefault="006E2E62">
            <w:pPr>
              <w:keepNext/>
              <w:widowControl/>
              <w:spacing w:before="0" w:after="0"/>
              <w:ind w:left="-50" w:right="-117"/>
              <w:jc w:val="left"/>
              <w:rPr>
                <w:rFonts w:ascii="Arial Narrow" w:hAnsi="Arial Narrow"/>
                <w:b/>
                <w:sz w:val="20"/>
                <w:szCs w:val="20"/>
                <w:lang w:val="en-NZ"/>
              </w:rPr>
            </w:pPr>
            <w:r>
              <w:rPr>
                <w:rFonts w:ascii="Arial Narrow" w:hAnsi="Arial Narrow"/>
                <w:b/>
                <w:sz w:val="20"/>
                <w:szCs w:val="20"/>
                <w:lang w:val="en-NZ"/>
              </w:rPr>
              <w:t>Sensitivity analyses conducted during evaluation</w:t>
            </w:r>
          </w:p>
        </w:tc>
        <w:tc>
          <w:tcPr>
            <w:tcW w:w="1086" w:type="dxa"/>
            <w:tcBorders>
              <w:left w:val="nil"/>
              <w:bottom w:val="single" w:sz="4" w:space="0" w:color="auto"/>
              <w:right w:val="nil"/>
            </w:tcBorders>
            <w:vAlign w:val="center"/>
          </w:tcPr>
          <w:p w:rsidR="007070CB" w:rsidRDefault="007070CB">
            <w:pPr>
              <w:keepNext/>
              <w:widowControl/>
              <w:spacing w:before="0" w:after="0"/>
              <w:jc w:val="center"/>
              <w:rPr>
                <w:rFonts w:ascii="Arial Narrow" w:hAnsi="Arial Narrow" w:cs="Calibri"/>
                <w:color w:val="000000"/>
                <w:sz w:val="20"/>
                <w:szCs w:val="20"/>
              </w:rPr>
            </w:pPr>
          </w:p>
        </w:tc>
        <w:tc>
          <w:tcPr>
            <w:tcW w:w="1086" w:type="dxa"/>
            <w:tcBorders>
              <w:left w:val="nil"/>
              <w:bottom w:val="single" w:sz="4" w:space="0" w:color="auto"/>
              <w:right w:val="nil"/>
            </w:tcBorders>
            <w:vAlign w:val="center"/>
          </w:tcPr>
          <w:p w:rsidR="007070CB" w:rsidRDefault="007070CB">
            <w:pPr>
              <w:keepNext/>
              <w:widowControl/>
              <w:spacing w:before="0" w:after="0"/>
              <w:jc w:val="center"/>
              <w:rPr>
                <w:rFonts w:ascii="Arial Narrow" w:hAnsi="Arial Narrow" w:cs="Calibri"/>
                <w:color w:val="000000"/>
                <w:sz w:val="20"/>
                <w:szCs w:val="20"/>
              </w:rPr>
            </w:pPr>
          </w:p>
        </w:tc>
        <w:tc>
          <w:tcPr>
            <w:tcW w:w="1372" w:type="dxa"/>
            <w:tcBorders>
              <w:left w:val="nil"/>
              <w:bottom w:val="single" w:sz="4" w:space="0" w:color="auto"/>
              <w:right w:val="nil"/>
            </w:tcBorders>
            <w:vAlign w:val="center"/>
          </w:tcPr>
          <w:p w:rsidR="007070CB" w:rsidRDefault="007070CB">
            <w:pPr>
              <w:keepNext/>
              <w:widowControl/>
              <w:spacing w:before="0" w:after="0"/>
              <w:jc w:val="center"/>
              <w:rPr>
                <w:rFonts w:ascii="Arial Narrow" w:hAnsi="Arial Narrow" w:cs="Calibri"/>
                <w:color w:val="000000"/>
                <w:sz w:val="20"/>
                <w:szCs w:val="20"/>
              </w:rPr>
            </w:pPr>
          </w:p>
        </w:tc>
        <w:tc>
          <w:tcPr>
            <w:tcW w:w="800" w:type="dxa"/>
            <w:tcBorders>
              <w:left w:val="nil"/>
              <w:bottom w:val="single" w:sz="4" w:space="0" w:color="auto"/>
            </w:tcBorders>
            <w:vAlign w:val="center"/>
          </w:tcPr>
          <w:p w:rsidR="007070CB" w:rsidRDefault="007070CB">
            <w:pPr>
              <w:keepNext/>
              <w:widowControl/>
              <w:spacing w:before="0" w:after="0"/>
              <w:jc w:val="center"/>
              <w:rPr>
                <w:rFonts w:ascii="Arial Narrow" w:hAnsi="Arial Narrow" w:cs="Calibri"/>
                <w:color w:val="000000"/>
                <w:sz w:val="20"/>
                <w:szCs w:val="20"/>
              </w:rPr>
            </w:pPr>
          </w:p>
        </w:tc>
      </w:tr>
      <w:tr w:rsidR="007070CB" w:rsidTr="007070CB">
        <w:tc>
          <w:tcPr>
            <w:tcW w:w="4673" w:type="dxa"/>
            <w:tcBorders>
              <w:right w:val="single" w:sz="4" w:space="0" w:color="auto"/>
            </w:tcBorders>
            <w:vAlign w:val="center"/>
          </w:tcPr>
          <w:p w:rsidR="007070CB" w:rsidRDefault="006E2E62">
            <w:pPr>
              <w:keepNext/>
              <w:widowControl/>
              <w:spacing w:before="0" w:after="0"/>
              <w:ind w:left="-50" w:right="-117"/>
              <w:jc w:val="left"/>
              <w:rPr>
                <w:rFonts w:ascii="Arial Narrow" w:hAnsi="Arial Narrow"/>
                <w:sz w:val="20"/>
                <w:szCs w:val="20"/>
                <w:lang w:val="en-NZ"/>
              </w:rPr>
            </w:pPr>
            <w:r>
              <w:rPr>
                <w:rFonts w:ascii="Arial Narrow" w:hAnsi="Arial Narrow" w:cs="Calibri"/>
                <w:iCs/>
                <w:color w:val="000000"/>
                <w:sz w:val="20"/>
                <w:szCs w:val="20"/>
              </w:rPr>
              <w:t>No financial cap, use published price</w:t>
            </w:r>
          </w:p>
        </w:tc>
        <w:tc>
          <w:tcPr>
            <w:tcW w:w="1086" w:type="dxa"/>
            <w:tcBorders>
              <w:left w:val="single" w:sz="4" w:space="0" w:color="auto"/>
              <w:right w:val="single" w:sz="4" w:space="0" w:color="auto"/>
            </w:tcBorders>
            <w:vAlign w:val="center"/>
          </w:tcPr>
          <w:p w:rsidR="007070CB" w:rsidRPr="00C42D5F" w:rsidRDefault="00C42D5F">
            <w:pPr>
              <w:keepNext/>
              <w:widowControl/>
              <w:spacing w:before="0" w:after="0"/>
              <w:jc w:val="center"/>
              <w:rPr>
                <w:rFonts w:ascii="Arial Narrow" w:hAnsi="Arial Narrow" w:cs="Calibri"/>
                <w:color w:val="000000"/>
                <w:sz w:val="20"/>
                <w:szCs w:val="20"/>
                <w:highlight w:val="black"/>
              </w:rPr>
            </w:pPr>
            <w:r>
              <w:rPr>
                <w:rFonts w:ascii="Arial Narrow" w:hAnsi="Arial Narrow" w:cs="Calibri"/>
                <w:iCs/>
                <w:noProof/>
                <w:color w:val="000000"/>
                <w:sz w:val="20"/>
                <w:szCs w:val="20"/>
                <w:highlight w:val="black"/>
              </w:rPr>
              <w:t>''''''''''''''''''''''''''''</w:t>
            </w:r>
          </w:p>
        </w:tc>
        <w:tc>
          <w:tcPr>
            <w:tcW w:w="1086" w:type="dxa"/>
            <w:tcBorders>
              <w:left w:val="single" w:sz="4" w:space="0" w:color="auto"/>
              <w:right w:val="single" w:sz="4" w:space="0" w:color="auto"/>
            </w:tcBorders>
            <w:vAlign w:val="center"/>
          </w:tcPr>
          <w:p w:rsidR="007070CB" w:rsidRDefault="006E2E62">
            <w:pPr>
              <w:keepNext/>
              <w:widowControl/>
              <w:spacing w:before="0" w:after="0"/>
              <w:jc w:val="center"/>
              <w:rPr>
                <w:rFonts w:ascii="Arial Narrow" w:hAnsi="Arial Narrow" w:cs="Calibri"/>
                <w:color w:val="000000"/>
                <w:sz w:val="20"/>
                <w:szCs w:val="20"/>
              </w:rPr>
            </w:pPr>
            <w:r>
              <w:rPr>
                <w:rFonts w:ascii="Arial Narrow" w:hAnsi="Arial Narrow" w:cs="Calibri"/>
                <w:iCs/>
                <w:color w:val="000000"/>
                <w:sz w:val="20"/>
                <w:szCs w:val="20"/>
              </w:rPr>
              <w:t>2.42</w:t>
            </w:r>
          </w:p>
        </w:tc>
        <w:tc>
          <w:tcPr>
            <w:tcW w:w="1372" w:type="dxa"/>
            <w:tcBorders>
              <w:left w:val="single" w:sz="4" w:space="0" w:color="auto"/>
              <w:right w:val="single" w:sz="4" w:space="0" w:color="auto"/>
            </w:tcBorders>
            <w:vAlign w:val="center"/>
          </w:tcPr>
          <w:p w:rsidR="007070CB" w:rsidRPr="00C42D5F" w:rsidRDefault="00C42D5F">
            <w:pPr>
              <w:keepNext/>
              <w:widowControl/>
              <w:spacing w:before="0" w:after="0"/>
              <w:jc w:val="center"/>
              <w:rPr>
                <w:rFonts w:ascii="Arial Narrow" w:hAnsi="Arial Narrow" w:cs="Calibri"/>
                <w:color w:val="000000"/>
                <w:sz w:val="20"/>
                <w:szCs w:val="20"/>
                <w:highlight w:val="black"/>
              </w:rPr>
            </w:pPr>
            <w:r>
              <w:rPr>
                <w:rFonts w:ascii="Arial Narrow" w:hAnsi="Arial Narrow" w:cs="Calibri"/>
                <w:iCs/>
                <w:noProof/>
                <w:color w:val="000000"/>
                <w:sz w:val="20"/>
                <w:szCs w:val="20"/>
                <w:highlight w:val="black"/>
              </w:rPr>
              <w:t>'''''''''''''''''''''</w:t>
            </w:r>
          </w:p>
        </w:tc>
        <w:tc>
          <w:tcPr>
            <w:tcW w:w="800" w:type="dxa"/>
            <w:tcBorders>
              <w:left w:val="single" w:sz="4" w:space="0" w:color="auto"/>
            </w:tcBorders>
            <w:vAlign w:val="center"/>
          </w:tcPr>
          <w:p w:rsidR="007070CB" w:rsidRDefault="006E2E62">
            <w:pPr>
              <w:keepNext/>
              <w:widowControl/>
              <w:spacing w:before="0" w:after="0"/>
              <w:jc w:val="center"/>
              <w:rPr>
                <w:rFonts w:ascii="Arial Narrow" w:hAnsi="Arial Narrow" w:cs="Calibri"/>
                <w:color w:val="000000"/>
                <w:sz w:val="20"/>
                <w:szCs w:val="20"/>
              </w:rPr>
            </w:pPr>
            <w:r>
              <w:rPr>
                <w:rFonts w:ascii="Arial Narrow" w:hAnsi="Arial Narrow" w:cs="Calibri"/>
                <w:color w:val="000000"/>
                <w:sz w:val="20"/>
                <w:szCs w:val="20"/>
              </w:rPr>
              <w:t>344%</w:t>
            </w:r>
          </w:p>
        </w:tc>
      </w:tr>
      <w:tr w:rsidR="007070CB" w:rsidTr="007070CB">
        <w:tc>
          <w:tcPr>
            <w:tcW w:w="4673" w:type="dxa"/>
            <w:tcBorders>
              <w:right w:val="single" w:sz="4" w:space="0" w:color="auto"/>
            </w:tcBorders>
            <w:vAlign w:val="center"/>
          </w:tcPr>
          <w:p w:rsidR="007070CB" w:rsidRDefault="006E2E62">
            <w:pPr>
              <w:keepNext/>
              <w:widowControl/>
              <w:spacing w:before="0" w:after="0"/>
              <w:ind w:left="-50" w:right="-117"/>
              <w:jc w:val="left"/>
              <w:rPr>
                <w:rFonts w:ascii="Arial Narrow" w:hAnsi="Arial Narrow"/>
                <w:sz w:val="20"/>
                <w:szCs w:val="20"/>
                <w:lang w:val="en-NZ"/>
              </w:rPr>
            </w:pPr>
            <w:r>
              <w:rPr>
                <w:rFonts w:ascii="Arial Narrow" w:hAnsi="Arial Narrow" w:cs="Calibri"/>
                <w:iCs/>
                <w:color w:val="000000"/>
                <w:sz w:val="20"/>
                <w:szCs w:val="20"/>
              </w:rPr>
              <w:t>No reduction in price due to LOE and no F1 statutory price reduction</w:t>
            </w:r>
          </w:p>
        </w:tc>
        <w:tc>
          <w:tcPr>
            <w:tcW w:w="1086" w:type="dxa"/>
            <w:tcBorders>
              <w:left w:val="single" w:sz="4" w:space="0" w:color="auto"/>
              <w:right w:val="single" w:sz="4" w:space="0" w:color="auto"/>
            </w:tcBorders>
            <w:vAlign w:val="center"/>
          </w:tcPr>
          <w:p w:rsidR="007070CB" w:rsidRPr="00C42D5F" w:rsidRDefault="00C42D5F">
            <w:pPr>
              <w:keepNext/>
              <w:widowControl/>
              <w:spacing w:before="0" w:after="0"/>
              <w:jc w:val="center"/>
              <w:rPr>
                <w:rFonts w:ascii="Arial Narrow" w:hAnsi="Arial Narrow" w:cs="Calibri"/>
                <w:color w:val="000000"/>
                <w:sz w:val="20"/>
                <w:szCs w:val="20"/>
                <w:highlight w:val="black"/>
              </w:rPr>
            </w:pPr>
            <w:r>
              <w:rPr>
                <w:rFonts w:ascii="Arial Narrow" w:hAnsi="Arial Narrow" w:cs="Calibri"/>
                <w:iCs/>
                <w:noProof/>
                <w:color w:val="000000"/>
                <w:sz w:val="20"/>
                <w:szCs w:val="20"/>
                <w:highlight w:val="black"/>
              </w:rPr>
              <w:t>''''''''''''''''''''''''</w:t>
            </w:r>
          </w:p>
        </w:tc>
        <w:tc>
          <w:tcPr>
            <w:tcW w:w="1086" w:type="dxa"/>
            <w:tcBorders>
              <w:left w:val="single" w:sz="4" w:space="0" w:color="auto"/>
              <w:right w:val="single" w:sz="4" w:space="0" w:color="auto"/>
            </w:tcBorders>
            <w:vAlign w:val="center"/>
          </w:tcPr>
          <w:p w:rsidR="007070CB" w:rsidRDefault="006E2E62">
            <w:pPr>
              <w:keepNext/>
              <w:widowControl/>
              <w:spacing w:before="0" w:after="0"/>
              <w:jc w:val="center"/>
              <w:rPr>
                <w:rFonts w:ascii="Arial Narrow" w:hAnsi="Arial Narrow" w:cs="Calibri"/>
                <w:color w:val="000000"/>
                <w:sz w:val="20"/>
                <w:szCs w:val="20"/>
              </w:rPr>
            </w:pPr>
            <w:r>
              <w:rPr>
                <w:rFonts w:ascii="Arial Narrow" w:hAnsi="Arial Narrow" w:cs="Calibri"/>
                <w:iCs/>
                <w:color w:val="000000"/>
                <w:sz w:val="20"/>
                <w:szCs w:val="20"/>
              </w:rPr>
              <w:t>2.42</w:t>
            </w:r>
          </w:p>
        </w:tc>
        <w:tc>
          <w:tcPr>
            <w:tcW w:w="1372" w:type="dxa"/>
            <w:tcBorders>
              <w:left w:val="single" w:sz="4" w:space="0" w:color="auto"/>
              <w:right w:val="single" w:sz="4" w:space="0" w:color="auto"/>
            </w:tcBorders>
            <w:vAlign w:val="center"/>
          </w:tcPr>
          <w:p w:rsidR="007070CB" w:rsidRPr="00C42D5F" w:rsidRDefault="00C42D5F">
            <w:pPr>
              <w:keepNext/>
              <w:widowControl/>
              <w:spacing w:before="0" w:after="0"/>
              <w:jc w:val="center"/>
              <w:rPr>
                <w:rFonts w:ascii="Arial Narrow" w:hAnsi="Arial Narrow" w:cs="Calibri"/>
                <w:color w:val="000000"/>
                <w:sz w:val="20"/>
                <w:szCs w:val="20"/>
                <w:highlight w:val="black"/>
              </w:rPr>
            </w:pPr>
            <w:r>
              <w:rPr>
                <w:rFonts w:ascii="Arial Narrow" w:hAnsi="Arial Narrow" w:cs="Calibri"/>
                <w:iCs/>
                <w:noProof/>
                <w:color w:val="000000"/>
                <w:sz w:val="20"/>
                <w:szCs w:val="20"/>
                <w:highlight w:val="black"/>
              </w:rPr>
              <w:t>''''''''''''''''''''''''</w:t>
            </w:r>
          </w:p>
        </w:tc>
        <w:tc>
          <w:tcPr>
            <w:tcW w:w="800" w:type="dxa"/>
            <w:tcBorders>
              <w:left w:val="single" w:sz="4" w:space="0" w:color="auto"/>
            </w:tcBorders>
            <w:vAlign w:val="center"/>
          </w:tcPr>
          <w:p w:rsidR="007070CB" w:rsidRDefault="006E2E62">
            <w:pPr>
              <w:keepNext/>
              <w:widowControl/>
              <w:spacing w:before="0" w:after="0"/>
              <w:jc w:val="center"/>
              <w:rPr>
                <w:rFonts w:ascii="Arial Narrow" w:hAnsi="Arial Narrow" w:cs="Calibri"/>
                <w:color w:val="000000"/>
                <w:sz w:val="20"/>
                <w:szCs w:val="20"/>
              </w:rPr>
            </w:pPr>
            <w:r>
              <w:rPr>
                <w:rFonts w:ascii="Arial Narrow" w:hAnsi="Arial Narrow" w:cs="Calibri"/>
                <w:color w:val="000000"/>
                <w:sz w:val="20"/>
                <w:szCs w:val="20"/>
              </w:rPr>
              <w:t>240%</w:t>
            </w:r>
          </w:p>
        </w:tc>
      </w:tr>
      <w:tr w:rsidR="007070CB" w:rsidTr="007070CB">
        <w:tc>
          <w:tcPr>
            <w:tcW w:w="4673" w:type="dxa"/>
            <w:tcBorders>
              <w:right w:val="single" w:sz="4" w:space="0" w:color="auto"/>
            </w:tcBorders>
            <w:vAlign w:val="center"/>
          </w:tcPr>
          <w:p w:rsidR="007070CB" w:rsidRDefault="006E2E62">
            <w:pPr>
              <w:keepNext/>
              <w:widowControl/>
              <w:spacing w:before="0" w:after="0"/>
              <w:ind w:left="-50" w:right="-117"/>
              <w:jc w:val="left"/>
              <w:rPr>
                <w:rFonts w:ascii="Arial Narrow" w:hAnsi="Arial Narrow"/>
                <w:sz w:val="20"/>
                <w:szCs w:val="20"/>
                <w:lang w:val="en-NZ"/>
              </w:rPr>
            </w:pPr>
            <w:r>
              <w:rPr>
                <w:rFonts w:ascii="Arial Narrow" w:hAnsi="Arial Narrow" w:cs="Calibri"/>
                <w:iCs/>
                <w:color w:val="000000"/>
                <w:sz w:val="20"/>
                <w:szCs w:val="20"/>
              </w:rPr>
              <w:t xml:space="preserve">No financial cap or price reduction due to LOE or F1 statutory price reduction </w:t>
            </w:r>
          </w:p>
        </w:tc>
        <w:tc>
          <w:tcPr>
            <w:tcW w:w="1086" w:type="dxa"/>
            <w:tcBorders>
              <w:left w:val="single" w:sz="4" w:space="0" w:color="auto"/>
              <w:right w:val="single" w:sz="4" w:space="0" w:color="auto"/>
            </w:tcBorders>
            <w:vAlign w:val="center"/>
          </w:tcPr>
          <w:p w:rsidR="007070CB" w:rsidRPr="00C42D5F" w:rsidRDefault="00C42D5F">
            <w:pPr>
              <w:keepNext/>
              <w:widowControl/>
              <w:spacing w:before="0" w:after="0"/>
              <w:jc w:val="center"/>
              <w:rPr>
                <w:rFonts w:ascii="Arial Narrow" w:hAnsi="Arial Narrow" w:cs="Calibri"/>
                <w:color w:val="000000"/>
                <w:sz w:val="20"/>
                <w:szCs w:val="20"/>
                <w:highlight w:val="black"/>
              </w:rPr>
            </w:pPr>
            <w:r>
              <w:rPr>
                <w:rFonts w:ascii="Arial Narrow" w:hAnsi="Arial Narrow" w:cs="Calibri"/>
                <w:iCs/>
                <w:noProof/>
                <w:color w:val="000000"/>
                <w:sz w:val="20"/>
                <w:szCs w:val="20"/>
                <w:highlight w:val="black"/>
              </w:rPr>
              <w:t>'''''''''''''''''''''''''''</w:t>
            </w:r>
          </w:p>
        </w:tc>
        <w:tc>
          <w:tcPr>
            <w:tcW w:w="1086" w:type="dxa"/>
            <w:tcBorders>
              <w:left w:val="single" w:sz="4" w:space="0" w:color="auto"/>
              <w:right w:val="single" w:sz="4" w:space="0" w:color="auto"/>
            </w:tcBorders>
            <w:vAlign w:val="center"/>
          </w:tcPr>
          <w:p w:rsidR="007070CB" w:rsidRDefault="006E2E62">
            <w:pPr>
              <w:keepNext/>
              <w:widowControl/>
              <w:spacing w:before="0" w:after="0"/>
              <w:jc w:val="center"/>
              <w:rPr>
                <w:rFonts w:ascii="Arial Narrow" w:hAnsi="Arial Narrow" w:cs="Calibri"/>
                <w:color w:val="000000"/>
                <w:sz w:val="20"/>
                <w:szCs w:val="20"/>
              </w:rPr>
            </w:pPr>
            <w:r>
              <w:rPr>
                <w:rFonts w:ascii="Arial Narrow" w:hAnsi="Arial Narrow" w:cs="Calibri"/>
                <w:iCs/>
                <w:color w:val="000000"/>
                <w:sz w:val="20"/>
                <w:szCs w:val="20"/>
              </w:rPr>
              <w:t>2.42</w:t>
            </w:r>
          </w:p>
        </w:tc>
        <w:tc>
          <w:tcPr>
            <w:tcW w:w="1372" w:type="dxa"/>
            <w:tcBorders>
              <w:left w:val="single" w:sz="4" w:space="0" w:color="auto"/>
              <w:right w:val="single" w:sz="4" w:space="0" w:color="auto"/>
            </w:tcBorders>
            <w:vAlign w:val="center"/>
          </w:tcPr>
          <w:p w:rsidR="007070CB" w:rsidRPr="00C42D5F" w:rsidRDefault="00C42D5F">
            <w:pPr>
              <w:keepNext/>
              <w:widowControl/>
              <w:spacing w:before="0" w:after="0"/>
              <w:jc w:val="center"/>
              <w:rPr>
                <w:rFonts w:ascii="Arial Narrow" w:hAnsi="Arial Narrow" w:cs="Calibri"/>
                <w:color w:val="000000"/>
                <w:sz w:val="20"/>
                <w:szCs w:val="20"/>
                <w:highlight w:val="black"/>
              </w:rPr>
            </w:pPr>
            <w:r>
              <w:rPr>
                <w:rFonts w:ascii="Arial Narrow" w:hAnsi="Arial Narrow" w:cs="Calibri"/>
                <w:iCs/>
                <w:noProof/>
                <w:color w:val="000000"/>
                <w:sz w:val="20"/>
                <w:szCs w:val="20"/>
                <w:highlight w:val="black"/>
              </w:rPr>
              <w:t>'''''''''''''''''''''''''''</w:t>
            </w:r>
          </w:p>
        </w:tc>
        <w:tc>
          <w:tcPr>
            <w:tcW w:w="800" w:type="dxa"/>
            <w:tcBorders>
              <w:left w:val="single" w:sz="4" w:space="0" w:color="auto"/>
            </w:tcBorders>
            <w:vAlign w:val="center"/>
          </w:tcPr>
          <w:p w:rsidR="007070CB" w:rsidRDefault="006E2E62">
            <w:pPr>
              <w:keepNext/>
              <w:widowControl/>
              <w:spacing w:before="0" w:after="0"/>
              <w:jc w:val="center"/>
              <w:rPr>
                <w:rFonts w:ascii="Arial Narrow" w:hAnsi="Arial Narrow" w:cs="Calibri"/>
                <w:color w:val="000000"/>
                <w:sz w:val="20"/>
                <w:szCs w:val="20"/>
              </w:rPr>
            </w:pPr>
            <w:r>
              <w:rPr>
                <w:rFonts w:ascii="Arial Narrow" w:hAnsi="Arial Narrow" w:cs="Calibri"/>
                <w:color w:val="000000"/>
                <w:sz w:val="20"/>
                <w:szCs w:val="20"/>
              </w:rPr>
              <w:t>1079%</w:t>
            </w:r>
          </w:p>
        </w:tc>
      </w:tr>
      <w:tr w:rsidR="007070CB" w:rsidTr="007070CB">
        <w:tc>
          <w:tcPr>
            <w:tcW w:w="4673" w:type="dxa"/>
            <w:tcBorders>
              <w:right w:val="single" w:sz="4" w:space="0" w:color="auto"/>
            </w:tcBorders>
            <w:vAlign w:val="center"/>
          </w:tcPr>
          <w:p w:rsidR="007070CB" w:rsidRDefault="006E2E62">
            <w:pPr>
              <w:keepNext/>
              <w:widowControl/>
              <w:spacing w:before="0" w:after="0"/>
              <w:ind w:left="-50" w:right="-117"/>
              <w:jc w:val="left"/>
              <w:rPr>
                <w:rFonts w:ascii="Arial Narrow" w:hAnsi="Arial Narrow"/>
                <w:sz w:val="20"/>
                <w:szCs w:val="20"/>
                <w:lang w:val="en-NZ"/>
              </w:rPr>
            </w:pPr>
            <w:r>
              <w:rPr>
                <w:rFonts w:ascii="Arial Narrow" w:hAnsi="Arial Narrow" w:cs="Calibri"/>
                <w:iCs/>
                <w:color w:val="000000"/>
                <w:sz w:val="20"/>
                <w:szCs w:val="20"/>
              </w:rPr>
              <w:t>Cost of cystic fibrosis disease management in lumacaftor/ivacaftor arm same as BSC (set 61.5% to 0% reduction)</w:t>
            </w:r>
          </w:p>
        </w:tc>
        <w:tc>
          <w:tcPr>
            <w:tcW w:w="1086" w:type="dxa"/>
            <w:tcBorders>
              <w:left w:val="single" w:sz="4" w:space="0" w:color="auto"/>
              <w:right w:val="single" w:sz="4" w:space="0" w:color="auto"/>
            </w:tcBorders>
            <w:vAlign w:val="center"/>
          </w:tcPr>
          <w:p w:rsidR="007070CB" w:rsidRPr="00C42D5F" w:rsidRDefault="00C42D5F">
            <w:pPr>
              <w:keepNext/>
              <w:widowControl/>
              <w:spacing w:before="0" w:after="0"/>
              <w:jc w:val="center"/>
              <w:rPr>
                <w:rFonts w:ascii="Arial Narrow" w:hAnsi="Arial Narrow" w:cs="Calibri"/>
                <w:color w:val="000000"/>
                <w:sz w:val="20"/>
                <w:szCs w:val="20"/>
                <w:highlight w:val="black"/>
              </w:rPr>
            </w:pPr>
            <w:r>
              <w:rPr>
                <w:rFonts w:ascii="Arial Narrow" w:hAnsi="Arial Narrow" w:cs="Calibri"/>
                <w:iCs/>
                <w:noProof/>
                <w:color w:val="000000"/>
                <w:sz w:val="20"/>
                <w:szCs w:val="20"/>
                <w:highlight w:val="black"/>
              </w:rPr>
              <w:t>''''''''''''''''''''</w:t>
            </w:r>
          </w:p>
        </w:tc>
        <w:tc>
          <w:tcPr>
            <w:tcW w:w="1086" w:type="dxa"/>
            <w:tcBorders>
              <w:left w:val="single" w:sz="4" w:space="0" w:color="auto"/>
              <w:right w:val="single" w:sz="4" w:space="0" w:color="auto"/>
            </w:tcBorders>
            <w:vAlign w:val="center"/>
          </w:tcPr>
          <w:p w:rsidR="007070CB" w:rsidRDefault="006E2E62">
            <w:pPr>
              <w:keepNext/>
              <w:widowControl/>
              <w:spacing w:before="0" w:after="0"/>
              <w:jc w:val="center"/>
              <w:rPr>
                <w:rFonts w:ascii="Arial Narrow" w:hAnsi="Arial Narrow" w:cs="Calibri"/>
                <w:color w:val="000000"/>
                <w:sz w:val="20"/>
                <w:szCs w:val="20"/>
              </w:rPr>
            </w:pPr>
            <w:r>
              <w:rPr>
                <w:rFonts w:ascii="Arial Narrow" w:hAnsi="Arial Narrow" w:cs="Calibri"/>
                <w:iCs/>
                <w:color w:val="000000"/>
                <w:sz w:val="20"/>
                <w:szCs w:val="20"/>
              </w:rPr>
              <w:t>2.42</w:t>
            </w:r>
          </w:p>
        </w:tc>
        <w:tc>
          <w:tcPr>
            <w:tcW w:w="1372" w:type="dxa"/>
            <w:tcBorders>
              <w:left w:val="single" w:sz="4" w:space="0" w:color="auto"/>
              <w:right w:val="single" w:sz="4" w:space="0" w:color="auto"/>
            </w:tcBorders>
            <w:vAlign w:val="center"/>
          </w:tcPr>
          <w:p w:rsidR="007070CB" w:rsidRPr="00C42D5F" w:rsidRDefault="00C42D5F">
            <w:pPr>
              <w:keepNext/>
              <w:widowControl/>
              <w:spacing w:before="0" w:after="0"/>
              <w:jc w:val="center"/>
              <w:rPr>
                <w:rFonts w:ascii="Arial Narrow" w:hAnsi="Arial Narrow" w:cs="Calibri"/>
                <w:color w:val="000000"/>
                <w:sz w:val="20"/>
                <w:szCs w:val="20"/>
                <w:highlight w:val="black"/>
              </w:rPr>
            </w:pPr>
            <w:r>
              <w:rPr>
                <w:rFonts w:ascii="Arial Narrow" w:hAnsi="Arial Narrow" w:cs="Calibri"/>
                <w:iCs/>
                <w:noProof/>
                <w:color w:val="000000"/>
                <w:sz w:val="20"/>
                <w:szCs w:val="20"/>
                <w:highlight w:val="black"/>
              </w:rPr>
              <w:t>'''''''''''''''''''''''</w:t>
            </w:r>
          </w:p>
        </w:tc>
        <w:tc>
          <w:tcPr>
            <w:tcW w:w="800" w:type="dxa"/>
            <w:tcBorders>
              <w:left w:val="single" w:sz="4" w:space="0" w:color="auto"/>
            </w:tcBorders>
            <w:vAlign w:val="center"/>
          </w:tcPr>
          <w:p w:rsidR="007070CB" w:rsidRDefault="006E2E62">
            <w:pPr>
              <w:keepNext/>
              <w:widowControl/>
              <w:spacing w:before="0" w:after="0"/>
              <w:jc w:val="center"/>
              <w:rPr>
                <w:rFonts w:ascii="Arial Narrow" w:hAnsi="Arial Narrow" w:cs="Calibri"/>
                <w:color w:val="000000"/>
                <w:sz w:val="20"/>
                <w:szCs w:val="20"/>
              </w:rPr>
            </w:pPr>
            <w:r>
              <w:rPr>
                <w:rFonts w:ascii="Arial Narrow" w:hAnsi="Arial Narrow" w:cs="Calibri"/>
                <w:color w:val="000000"/>
                <w:sz w:val="20"/>
                <w:szCs w:val="20"/>
              </w:rPr>
              <w:t>72%</w:t>
            </w:r>
          </w:p>
        </w:tc>
      </w:tr>
      <w:tr w:rsidR="007070CB" w:rsidTr="007070CB">
        <w:tc>
          <w:tcPr>
            <w:tcW w:w="4673" w:type="dxa"/>
            <w:tcBorders>
              <w:right w:val="single" w:sz="4" w:space="0" w:color="auto"/>
            </w:tcBorders>
            <w:vAlign w:val="center"/>
          </w:tcPr>
          <w:p w:rsidR="007070CB" w:rsidRDefault="006E2E62">
            <w:pPr>
              <w:keepNext/>
              <w:widowControl/>
              <w:spacing w:before="0" w:after="0"/>
              <w:ind w:left="-50" w:right="-117"/>
              <w:jc w:val="left"/>
              <w:rPr>
                <w:rFonts w:ascii="Arial Narrow" w:hAnsi="Arial Narrow"/>
                <w:sz w:val="20"/>
                <w:szCs w:val="20"/>
                <w:lang w:val="en-NZ"/>
              </w:rPr>
            </w:pPr>
            <w:r>
              <w:rPr>
                <w:rFonts w:ascii="Arial Narrow" w:hAnsi="Arial Narrow" w:cs="Calibri"/>
                <w:iCs/>
                <w:color w:val="000000"/>
                <w:sz w:val="20"/>
                <w:szCs w:val="20"/>
              </w:rPr>
              <w:t>Cost of Cystic fibrosis disease management in lumacaftor/ivacaftor arm; assuming 75% of hospitalisations are due to PEx</w:t>
            </w:r>
          </w:p>
        </w:tc>
        <w:tc>
          <w:tcPr>
            <w:tcW w:w="1086" w:type="dxa"/>
            <w:tcBorders>
              <w:left w:val="single" w:sz="4" w:space="0" w:color="auto"/>
              <w:right w:val="single" w:sz="4" w:space="0" w:color="auto"/>
            </w:tcBorders>
            <w:vAlign w:val="center"/>
          </w:tcPr>
          <w:p w:rsidR="007070CB" w:rsidRPr="00C42D5F" w:rsidRDefault="00C42D5F">
            <w:pPr>
              <w:keepNext/>
              <w:widowControl/>
              <w:spacing w:before="0" w:after="0"/>
              <w:jc w:val="center"/>
              <w:rPr>
                <w:rFonts w:ascii="Arial Narrow" w:hAnsi="Arial Narrow" w:cs="Calibri"/>
                <w:color w:val="000000"/>
                <w:sz w:val="20"/>
                <w:szCs w:val="20"/>
                <w:highlight w:val="black"/>
              </w:rPr>
            </w:pPr>
            <w:r>
              <w:rPr>
                <w:rFonts w:ascii="Arial Narrow" w:hAnsi="Arial Narrow" w:cs="Calibri"/>
                <w:iCs/>
                <w:noProof/>
                <w:color w:val="000000"/>
                <w:sz w:val="20"/>
                <w:szCs w:val="20"/>
                <w:highlight w:val="black"/>
              </w:rPr>
              <w:t>''''''''''''''''''''''</w:t>
            </w:r>
          </w:p>
        </w:tc>
        <w:tc>
          <w:tcPr>
            <w:tcW w:w="1086" w:type="dxa"/>
            <w:tcBorders>
              <w:left w:val="single" w:sz="4" w:space="0" w:color="auto"/>
              <w:right w:val="single" w:sz="4" w:space="0" w:color="auto"/>
            </w:tcBorders>
            <w:vAlign w:val="center"/>
          </w:tcPr>
          <w:p w:rsidR="007070CB" w:rsidRDefault="006E2E62">
            <w:pPr>
              <w:keepNext/>
              <w:widowControl/>
              <w:spacing w:before="0" w:after="0"/>
              <w:jc w:val="center"/>
              <w:rPr>
                <w:rFonts w:ascii="Arial Narrow" w:hAnsi="Arial Narrow" w:cs="Calibri"/>
                <w:color w:val="000000"/>
                <w:sz w:val="20"/>
                <w:szCs w:val="20"/>
              </w:rPr>
            </w:pPr>
            <w:r>
              <w:rPr>
                <w:rFonts w:ascii="Arial Narrow" w:hAnsi="Arial Narrow" w:cs="Calibri"/>
                <w:iCs/>
                <w:color w:val="000000"/>
                <w:sz w:val="20"/>
                <w:szCs w:val="20"/>
              </w:rPr>
              <w:t>2.42</w:t>
            </w:r>
          </w:p>
        </w:tc>
        <w:tc>
          <w:tcPr>
            <w:tcW w:w="1372" w:type="dxa"/>
            <w:tcBorders>
              <w:left w:val="single" w:sz="4" w:space="0" w:color="auto"/>
              <w:right w:val="single" w:sz="4" w:space="0" w:color="auto"/>
            </w:tcBorders>
            <w:vAlign w:val="center"/>
          </w:tcPr>
          <w:p w:rsidR="007070CB" w:rsidRPr="00C42D5F" w:rsidRDefault="00C42D5F">
            <w:pPr>
              <w:keepNext/>
              <w:widowControl/>
              <w:spacing w:before="0" w:after="0"/>
              <w:jc w:val="center"/>
              <w:rPr>
                <w:rFonts w:ascii="Arial Narrow" w:hAnsi="Arial Narrow" w:cs="Calibri"/>
                <w:color w:val="000000"/>
                <w:sz w:val="20"/>
                <w:szCs w:val="20"/>
                <w:highlight w:val="black"/>
              </w:rPr>
            </w:pPr>
            <w:r>
              <w:rPr>
                <w:rFonts w:ascii="Arial Narrow" w:hAnsi="Arial Narrow" w:cs="Calibri"/>
                <w:iCs/>
                <w:noProof/>
                <w:color w:val="000000"/>
                <w:sz w:val="20"/>
                <w:szCs w:val="20"/>
                <w:highlight w:val="black"/>
              </w:rPr>
              <w:t>'''''''''''''''''''''</w:t>
            </w:r>
          </w:p>
        </w:tc>
        <w:tc>
          <w:tcPr>
            <w:tcW w:w="800" w:type="dxa"/>
            <w:tcBorders>
              <w:left w:val="single" w:sz="4" w:space="0" w:color="auto"/>
            </w:tcBorders>
            <w:vAlign w:val="center"/>
          </w:tcPr>
          <w:p w:rsidR="007070CB" w:rsidRDefault="006E2E62">
            <w:pPr>
              <w:keepNext/>
              <w:widowControl/>
              <w:spacing w:before="0" w:after="0"/>
              <w:jc w:val="center"/>
              <w:rPr>
                <w:rFonts w:ascii="Arial Narrow" w:hAnsi="Arial Narrow" w:cs="Calibri"/>
                <w:color w:val="000000"/>
                <w:sz w:val="20"/>
                <w:szCs w:val="20"/>
              </w:rPr>
            </w:pPr>
            <w:r>
              <w:rPr>
                <w:rFonts w:ascii="Arial Narrow" w:hAnsi="Arial Narrow" w:cs="Calibri"/>
                <w:color w:val="000000"/>
                <w:sz w:val="20"/>
                <w:szCs w:val="20"/>
              </w:rPr>
              <w:t>18%</w:t>
            </w:r>
          </w:p>
        </w:tc>
      </w:tr>
      <w:tr w:rsidR="007070CB" w:rsidTr="007070CB">
        <w:tc>
          <w:tcPr>
            <w:tcW w:w="4673" w:type="dxa"/>
            <w:tcBorders>
              <w:right w:val="single" w:sz="4" w:space="0" w:color="auto"/>
            </w:tcBorders>
            <w:vAlign w:val="center"/>
          </w:tcPr>
          <w:p w:rsidR="007070CB" w:rsidRDefault="006E2E62">
            <w:pPr>
              <w:keepNext/>
              <w:widowControl/>
              <w:spacing w:before="0" w:after="0"/>
              <w:ind w:left="-50" w:right="-117"/>
              <w:jc w:val="left"/>
              <w:rPr>
                <w:rFonts w:ascii="Arial Narrow" w:hAnsi="Arial Narrow" w:cs="Calibri"/>
                <w:iCs/>
                <w:color w:val="000000"/>
                <w:sz w:val="20"/>
                <w:szCs w:val="20"/>
              </w:rPr>
            </w:pPr>
            <w:r>
              <w:rPr>
                <w:rFonts w:ascii="Arial Narrow" w:hAnsi="Arial Narrow" w:cs="Calibri"/>
                <w:iCs/>
                <w:color w:val="000000"/>
                <w:sz w:val="20"/>
                <w:szCs w:val="20"/>
              </w:rPr>
              <w:t>PBAC alternative scenario (see Table 9)</w:t>
            </w:r>
          </w:p>
        </w:tc>
        <w:tc>
          <w:tcPr>
            <w:tcW w:w="1086" w:type="dxa"/>
            <w:tcBorders>
              <w:left w:val="single" w:sz="4" w:space="0" w:color="auto"/>
              <w:right w:val="single" w:sz="4" w:space="0" w:color="auto"/>
            </w:tcBorders>
            <w:vAlign w:val="center"/>
          </w:tcPr>
          <w:p w:rsidR="007070CB" w:rsidRPr="00C42D5F" w:rsidRDefault="00C42D5F">
            <w:pPr>
              <w:keepNext/>
              <w:widowControl/>
              <w:spacing w:before="0" w:after="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1086" w:type="dxa"/>
            <w:tcBorders>
              <w:left w:val="single" w:sz="4" w:space="0" w:color="auto"/>
              <w:right w:val="single" w:sz="4" w:space="0" w:color="auto"/>
            </w:tcBorders>
            <w:vAlign w:val="center"/>
          </w:tcPr>
          <w:p w:rsidR="007070CB" w:rsidRDefault="006E2E62">
            <w:pPr>
              <w:keepNext/>
              <w:widowControl/>
              <w:spacing w:before="0" w:after="0"/>
              <w:jc w:val="center"/>
              <w:rPr>
                <w:rFonts w:ascii="Arial Narrow" w:hAnsi="Arial Narrow" w:cs="Calibri"/>
                <w:color w:val="000000"/>
                <w:sz w:val="20"/>
                <w:szCs w:val="20"/>
              </w:rPr>
            </w:pPr>
            <w:r>
              <w:rPr>
                <w:rFonts w:ascii="Arial Narrow" w:hAnsi="Arial Narrow" w:cs="Calibri"/>
                <w:color w:val="000000"/>
                <w:sz w:val="20"/>
                <w:szCs w:val="20"/>
              </w:rPr>
              <w:t>0.62</w:t>
            </w:r>
          </w:p>
        </w:tc>
        <w:tc>
          <w:tcPr>
            <w:tcW w:w="1372" w:type="dxa"/>
            <w:tcBorders>
              <w:left w:val="single" w:sz="4" w:space="0" w:color="auto"/>
              <w:right w:val="single" w:sz="4" w:space="0" w:color="auto"/>
            </w:tcBorders>
            <w:vAlign w:val="center"/>
          </w:tcPr>
          <w:p w:rsidR="007070CB" w:rsidRPr="00C42D5F" w:rsidRDefault="00C42D5F">
            <w:pPr>
              <w:keepNext/>
              <w:widowControl/>
              <w:spacing w:before="0" w:after="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800" w:type="dxa"/>
            <w:tcBorders>
              <w:left w:val="single" w:sz="4" w:space="0" w:color="auto"/>
            </w:tcBorders>
            <w:vAlign w:val="center"/>
          </w:tcPr>
          <w:p w:rsidR="007070CB" w:rsidRDefault="006E2E62">
            <w:pPr>
              <w:keepNext/>
              <w:widowControl/>
              <w:spacing w:before="0" w:after="0"/>
              <w:jc w:val="center"/>
              <w:rPr>
                <w:rFonts w:ascii="Arial Narrow" w:hAnsi="Arial Narrow" w:cs="Calibri"/>
                <w:color w:val="000000"/>
                <w:sz w:val="20"/>
                <w:szCs w:val="20"/>
              </w:rPr>
            </w:pPr>
            <w:r>
              <w:rPr>
                <w:rFonts w:ascii="Arial Narrow" w:hAnsi="Arial Narrow" w:cs="Calibri"/>
                <w:color w:val="000000"/>
                <w:sz w:val="20"/>
                <w:szCs w:val="20"/>
              </w:rPr>
              <w:t>4179%</w:t>
            </w:r>
          </w:p>
        </w:tc>
      </w:tr>
      <w:tr w:rsidR="007070CB" w:rsidTr="007070CB">
        <w:tc>
          <w:tcPr>
            <w:tcW w:w="4673" w:type="dxa"/>
            <w:tcBorders>
              <w:right w:val="single" w:sz="4" w:space="0" w:color="auto"/>
            </w:tcBorders>
            <w:vAlign w:val="center"/>
          </w:tcPr>
          <w:p w:rsidR="007070CB" w:rsidRDefault="006E2E62">
            <w:pPr>
              <w:keepNext/>
              <w:widowControl/>
              <w:spacing w:before="0" w:after="0"/>
              <w:ind w:left="-50" w:right="-117"/>
              <w:jc w:val="left"/>
              <w:rPr>
                <w:rFonts w:ascii="Arial Narrow" w:hAnsi="Arial Narrow" w:cs="Calibri"/>
                <w:iCs/>
                <w:color w:val="000000"/>
                <w:sz w:val="20"/>
                <w:szCs w:val="20"/>
              </w:rPr>
            </w:pPr>
            <w:r>
              <w:rPr>
                <w:rFonts w:ascii="Arial Narrow" w:hAnsi="Arial Narrow" w:cs="Calibri"/>
                <w:iCs/>
                <w:color w:val="000000"/>
                <w:sz w:val="20"/>
                <w:szCs w:val="20"/>
              </w:rPr>
              <w:t>PBAC alternative scenario with $</w:t>
            </w:r>
            <w:r w:rsidR="00C42D5F">
              <w:rPr>
                <w:rFonts w:ascii="Arial Narrow" w:hAnsi="Arial Narrow" w:cs="Calibri"/>
                <w:iCs/>
                <w:noProof/>
                <w:color w:val="000000"/>
                <w:sz w:val="20"/>
                <w:szCs w:val="20"/>
                <w:highlight w:val="black"/>
              </w:rPr>
              <w:t>''''''''''''''''</w:t>
            </w:r>
            <w:r>
              <w:rPr>
                <w:rFonts w:ascii="Arial Narrow" w:hAnsi="Arial Narrow" w:cs="Calibri"/>
                <w:iCs/>
                <w:color w:val="000000"/>
                <w:sz w:val="20"/>
                <w:szCs w:val="20"/>
              </w:rPr>
              <w:t xml:space="preserve"> cap</w:t>
            </w:r>
          </w:p>
        </w:tc>
        <w:tc>
          <w:tcPr>
            <w:tcW w:w="1086" w:type="dxa"/>
            <w:tcBorders>
              <w:left w:val="single" w:sz="4" w:space="0" w:color="auto"/>
              <w:right w:val="single" w:sz="4" w:space="0" w:color="auto"/>
            </w:tcBorders>
            <w:vAlign w:val="center"/>
          </w:tcPr>
          <w:p w:rsidR="007070CB" w:rsidRPr="00C42D5F" w:rsidRDefault="00C42D5F">
            <w:pPr>
              <w:keepNext/>
              <w:widowControl/>
              <w:spacing w:before="0" w:after="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1086" w:type="dxa"/>
            <w:tcBorders>
              <w:left w:val="single" w:sz="4" w:space="0" w:color="auto"/>
              <w:right w:val="single" w:sz="4" w:space="0" w:color="auto"/>
            </w:tcBorders>
            <w:vAlign w:val="center"/>
          </w:tcPr>
          <w:p w:rsidR="007070CB" w:rsidRDefault="006E2E62">
            <w:pPr>
              <w:keepNext/>
              <w:widowControl/>
              <w:spacing w:before="0" w:after="0"/>
              <w:jc w:val="center"/>
              <w:rPr>
                <w:rFonts w:ascii="Arial Narrow" w:hAnsi="Arial Narrow" w:cs="Calibri"/>
                <w:color w:val="000000"/>
                <w:sz w:val="20"/>
                <w:szCs w:val="20"/>
              </w:rPr>
            </w:pPr>
            <w:r>
              <w:rPr>
                <w:rFonts w:ascii="Arial Narrow" w:hAnsi="Arial Narrow" w:cs="Calibri"/>
                <w:color w:val="000000"/>
                <w:sz w:val="20"/>
                <w:szCs w:val="20"/>
              </w:rPr>
              <w:t>0.62</w:t>
            </w:r>
          </w:p>
        </w:tc>
        <w:tc>
          <w:tcPr>
            <w:tcW w:w="1372" w:type="dxa"/>
            <w:tcBorders>
              <w:left w:val="single" w:sz="4" w:space="0" w:color="auto"/>
              <w:right w:val="single" w:sz="4" w:space="0" w:color="auto"/>
            </w:tcBorders>
            <w:vAlign w:val="center"/>
          </w:tcPr>
          <w:p w:rsidR="007070CB" w:rsidRPr="00C42D5F" w:rsidRDefault="00C42D5F">
            <w:pPr>
              <w:keepNext/>
              <w:widowControl/>
              <w:spacing w:before="0" w:after="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800" w:type="dxa"/>
            <w:tcBorders>
              <w:left w:val="single" w:sz="4" w:space="0" w:color="auto"/>
            </w:tcBorders>
            <w:vAlign w:val="center"/>
          </w:tcPr>
          <w:p w:rsidR="007070CB" w:rsidRDefault="006E2E62">
            <w:pPr>
              <w:keepNext/>
              <w:widowControl/>
              <w:spacing w:before="0" w:after="0"/>
              <w:jc w:val="center"/>
              <w:rPr>
                <w:rFonts w:ascii="Arial Narrow" w:hAnsi="Arial Narrow" w:cs="Calibri"/>
                <w:color w:val="000000"/>
                <w:sz w:val="20"/>
                <w:szCs w:val="20"/>
              </w:rPr>
            </w:pPr>
            <w:r>
              <w:rPr>
                <w:rFonts w:ascii="Arial Narrow" w:hAnsi="Arial Narrow" w:cs="Calibri"/>
                <w:color w:val="000000"/>
                <w:sz w:val="20"/>
                <w:szCs w:val="20"/>
              </w:rPr>
              <w:t>1197%</w:t>
            </w:r>
          </w:p>
        </w:tc>
      </w:tr>
      <w:tr w:rsidR="007070CB" w:rsidTr="007070CB">
        <w:tc>
          <w:tcPr>
            <w:tcW w:w="4673" w:type="dxa"/>
            <w:tcBorders>
              <w:right w:val="single" w:sz="4" w:space="0" w:color="auto"/>
            </w:tcBorders>
            <w:vAlign w:val="center"/>
          </w:tcPr>
          <w:p w:rsidR="007070CB" w:rsidRDefault="006E2E62">
            <w:pPr>
              <w:keepNext/>
              <w:widowControl/>
              <w:spacing w:before="0" w:after="0"/>
              <w:ind w:left="-50" w:right="-117"/>
              <w:jc w:val="left"/>
              <w:rPr>
                <w:rFonts w:ascii="Arial Narrow" w:hAnsi="Arial Narrow"/>
                <w:sz w:val="20"/>
                <w:szCs w:val="20"/>
                <w:lang w:val="en-NZ"/>
              </w:rPr>
            </w:pPr>
            <w:r>
              <w:rPr>
                <w:rFonts w:ascii="Arial Narrow" w:hAnsi="Arial Narrow" w:cs="Calibri"/>
                <w:iCs/>
                <w:color w:val="000000"/>
                <w:sz w:val="20"/>
                <w:szCs w:val="20"/>
              </w:rPr>
              <w:t>Set annual decline in FEV</w:t>
            </w:r>
            <w:r>
              <w:rPr>
                <w:rFonts w:ascii="Arial Narrow" w:hAnsi="Arial Narrow" w:cs="Calibri"/>
                <w:iCs/>
                <w:color w:val="000000"/>
                <w:sz w:val="20"/>
                <w:szCs w:val="20"/>
                <w:vertAlign w:val="subscript"/>
              </w:rPr>
              <w:t>1</w:t>
            </w:r>
            <w:r>
              <w:rPr>
                <w:rFonts w:ascii="Arial Narrow" w:hAnsi="Arial Narrow" w:cs="Calibri"/>
                <w:iCs/>
                <w:color w:val="000000"/>
                <w:sz w:val="20"/>
                <w:szCs w:val="20"/>
              </w:rPr>
              <w:t xml:space="preserve"> in lumacaftor/ivacaftor treated patients to be the same as BSC (i.e. 0% decrease in the decline in FEV</w:t>
            </w:r>
            <w:r>
              <w:rPr>
                <w:rFonts w:ascii="Arial Narrow" w:hAnsi="Arial Narrow" w:cs="Calibri"/>
                <w:iCs/>
                <w:color w:val="000000"/>
                <w:sz w:val="20"/>
                <w:szCs w:val="20"/>
                <w:vertAlign w:val="subscript"/>
              </w:rPr>
              <w:t>1</w:t>
            </w:r>
            <w:r>
              <w:rPr>
                <w:rFonts w:ascii="Arial Narrow" w:hAnsi="Arial Narrow" w:cs="Calibri"/>
                <w:iCs/>
                <w:color w:val="000000"/>
                <w:sz w:val="20"/>
                <w:szCs w:val="20"/>
              </w:rPr>
              <w:t>, relative to BSC)</w:t>
            </w:r>
          </w:p>
        </w:tc>
        <w:tc>
          <w:tcPr>
            <w:tcW w:w="1086" w:type="dxa"/>
            <w:tcBorders>
              <w:left w:val="single" w:sz="4" w:space="0" w:color="auto"/>
              <w:right w:val="single" w:sz="4" w:space="0" w:color="auto"/>
            </w:tcBorders>
            <w:vAlign w:val="center"/>
          </w:tcPr>
          <w:p w:rsidR="007070CB" w:rsidRDefault="006E2E62">
            <w:pPr>
              <w:keepNext/>
              <w:widowControl/>
              <w:spacing w:before="0" w:after="0"/>
              <w:jc w:val="center"/>
              <w:rPr>
                <w:rFonts w:ascii="Arial Narrow" w:hAnsi="Arial Narrow" w:cs="Calibri"/>
                <w:color w:val="000000"/>
                <w:sz w:val="20"/>
                <w:szCs w:val="20"/>
              </w:rPr>
            </w:pPr>
            <w:r>
              <w:rPr>
                <w:rFonts w:ascii="Arial Narrow" w:hAnsi="Arial Narrow" w:cs="Calibri"/>
                <w:iCs/>
                <w:color w:val="000000"/>
                <w:sz w:val="20"/>
                <w:szCs w:val="20"/>
              </w:rPr>
              <w:t>$311,372</w:t>
            </w:r>
          </w:p>
        </w:tc>
        <w:tc>
          <w:tcPr>
            <w:tcW w:w="1086" w:type="dxa"/>
            <w:tcBorders>
              <w:left w:val="single" w:sz="4" w:space="0" w:color="auto"/>
              <w:right w:val="single" w:sz="4" w:space="0" w:color="auto"/>
            </w:tcBorders>
            <w:vAlign w:val="center"/>
          </w:tcPr>
          <w:p w:rsidR="007070CB" w:rsidRDefault="006E2E62">
            <w:pPr>
              <w:keepNext/>
              <w:widowControl/>
              <w:spacing w:before="0" w:after="0"/>
              <w:jc w:val="center"/>
              <w:rPr>
                <w:rFonts w:ascii="Arial Narrow" w:hAnsi="Arial Narrow" w:cs="Calibri"/>
                <w:color w:val="000000"/>
                <w:sz w:val="20"/>
                <w:szCs w:val="20"/>
              </w:rPr>
            </w:pPr>
            <w:r>
              <w:rPr>
                <w:rFonts w:ascii="Arial Narrow" w:hAnsi="Arial Narrow" w:cs="Calibri"/>
                <w:iCs/>
                <w:color w:val="000000"/>
                <w:sz w:val="20"/>
                <w:szCs w:val="20"/>
              </w:rPr>
              <w:t>0.62</w:t>
            </w:r>
          </w:p>
        </w:tc>
        <w:tc>
          <w:tcPr>
            <w:tcW w:w="1372" w:type="dxa"/>
            <w:tcBorders>
              <w:left w:val="single" w:sz="4" w:space="0" w:color="auto"/>
              <w:right w:val="single" w:sz="4" w:space="0" w:color="auto"/>
            </w:tcBorders>
            <w:vAlign w:val="center"/>
          </w:tcPr>
          <w:p w:rsidR="007070CB" w:rsidRDefault="006E2E62">
            <w:pPr>
              <w:keepNext/>
              <w:widowControl/>
              <w:spacing w:before="0" w:after="0"/>
              <w:jc w:val="center"/>
              <w:rPr>
                <w:rFonts w:ascii="Arial Narrow" w:hAnsi="Arial Narrow" w:cs="Calibri"/>
                <w:color w:val="000000"/>
                <w:sz w:val="20"/>
                <w:szCs w:val="20"/>
              </w:rPr>
            </w:pPr>
            <w:r>
              <w:rPr>
                <w:rFonts w:ascii="Arial Narrow" w:hAnsi="Arial Narrow" w:cs="Calibri"/>
                <w:iCs/>
                <w:color w:val="000000"/>
                <w:sz w:val="20"/>
                <w:szCs w:val="20"/>
              </w:rPr>
              <w:t>$500,689</w:t>
            </w:r>
          </w:p>
        </w:tc>
        <w:tc>
          <w:tcPr>
            <w:tcW w:w="800" w:type="dxa"/>
            <w:tcBorders>
              <w:left w:val="single" w:sz="4" w:space="0" w:color="auto"/>
            </w:tcBorders>
            <w:vAlign w:val="center"/>
          </w:tcPr>
          <w:p w:rsidR="007070CB" w:rsidRDefault="006E2E62">
            <w:pPr>
              <w:keepNext/>
              <w:widowControl/>
              <w:spacing w:before="0" w:after="0"/>
              <w:jc w:val="center"/>
              <w:rPr>
                <w:rFonts w:ascii="Arial Narrow" w:hAnsi="Arial Narrow" w:cs="Calibri"/>
                <w:color w:val="000000"/>
                <w:sz w:val="20"/>
                <w:szCs w:val="20"/>
              </w:rPr>
            </w:pPr>
            <w:r>
              <w:rPr>
                <w:rFonts w:ascii="Arial Narrow" w:hAnsi="Arial Narrow" w:cs="Calibri"/>
                <w:color w:val="000000"/>
                <w:sz w:val="20"/>
                <w:szCs w:val="20"/>
              </w:rPr>
              <w:t>309%</w:t>
            </w:r>
          </w:p>
        </w:tc>
      </w:tr>
      <w:tr w:rsidR="007070CB" w:rsidTr="007070CB">
        <w:tc>
          <w:tcPr>
            <w:tcW w:w="4673" w:type="dxa"/>
            <w:tcBorders>
              <w:right w:val="single" w:sz="4" w:space="0" w:color="auto"/>
            </w:tcBorders>
            <w:vAlign w:val="center"/>
          </w:tcPr>
          <w:p w:rsidR="007070CB" w:rsidRDefault="006E2E62">
            <w:pPr>
              <w:keepNext/>
              <w:widowControl/>
              <w:spacing w:before="0" w:after="0"/>
              <w:ind w:left="-50" w:right="-117"/>
              <w:jc w:val="left"/>
              <w:rPr>
                <w:rFonts w:ascii="Arial Narrow" w:hAnsi="Arial Narrow"/>
                <w:sz w:val="20"/>
                <w:szCs w:val="20"/>
                <w:lang w:val="en-NZ"/>
              </w:rPr>
            </w:pPr>
            <w:r>
              <w:rPr>
                <w:rFonts w:ascii="Arial Narrow" w:hAnsi="Arial Narrow" w:cs="Calibri"/>
                <w:iCs/>
                <w:color w:val="000000"/>
                <w:sz w:val="20"/>
                <w:szCs w:val="20"/>
              </w:rPr>
              <w:t>Discontinuation: beyond 96 weeks (same as &lt;24 weeks)</w:t>
            </w:r>
          </w:p>
        </w:tc>
        <w:tc>
          <w:tcPr>
            <w:tcW w:w="1086" w:type="dxa"/>
            <w:tcBorders>
              <w:left w:val="single" w:sz="4" w:space="0" w:color="auto"/>
              <w:right w:val="single" w:sz="4" w:space="0" w:color="auto"/>
            </w:tcBorders>
            <w:vAlign w:val="center"/>
          </w:tcPr>
          <w:p w:rsidR="007070CB" w:rsidRPr="00C42D5F" w:rsidRDefault="00C42D5F">
            <w:pPr>
              <w:keepNext/>
              <w:widowControl/>
              <w:spacing w:before="0" w:after="0"/>
              <w:jc w:val="center"/>
              <w:rPr>
                <w:rFonts w:ascii="Arial Narrow" w:hAnsi="Arial Narrow" w:cs="Calibri"/>
                <w:color w:val="000000"/>
                <w:sz w:val="20"/>
                <w:szCs w:val="20"/>
                <w:highlight w:val="black"/>
              </w:rPr>
            </w:pPr>
            <w:r>
              <w:rPr>
                <w:rFonts w:ascii="Arial Narrow" w:hAnsi="Arial Narrow" w:cs="Calibri"/>
                <w:iCs/>
                <w:noProof/>
                <w:color w:val="000000"/>
                <w:sz w:val="20"/>
                <w:szCs w:val="20"/>
                <w:highlight w:val="black"/>
              </w:rPr>
              <w:t>''''''''''''''''''''''</w:t>
            </w:r>
          </w:p>
        </w:tc>
        <w:tc>
          <w:tcPr>
            <w:tcW w:w="1086" w:type="dxa"/>
            <w:tcBorders>
              <w:left w:val="single" w:sz="4" w:space="0" w:color="auto"/>
              <w:right w:val="single" w:sz="4" w:space="0" w:color="auto"/>
            </w:tcBorders>
            <w:vAlign w:val="center"/>
          </w:tcPr>
          <w:p w:rsidR="007070CB" w:rsidRDefault="006E2E62">
            <w:pPr>
              <w:keepNext/>
              <w:widowControl/>
              <w:spacing w:before="0" w:after="0"/>
              <w:jc w:val="center"/>
              <w:rPr>
                <w:rFonts w:ascii="Arial Narrow" w:hAnsi="Arial Narrow" w:cs="Calibri"/>
                <w:color w:val="000000"/>
                <w:sz w:val="20"/>
                <w:szCs w:val="20"/>
              </w:rPr>
            </w:pPr>
            <w:r>
              <w:rPr>
                <w:rFonts w:ascii="Arial Narrow" w:hAnsi="Arial Narrow" w:cs="Calibri"/>
                <w:iCs/>
                <w:color w:val="000000"/>
                <w:sz w:val="20"/>
                <w:szCs w:val="20"/>
              </w:rPr>
              <w:t>0.91</w:t>
            </w:r>
          </w:p>
        </w:tc>
        <w:tc>
          <w:tcPr>
            <w:tcW w:w="1372" w:type="dxa"/>
            <w:tcBorders>
              <w:left w:val="single" w:sz="4" w:space="0" w:color="auto"/>
              <w:right w:val="single" w:sz="4" w:space="0" w:color="auto"/>
            </w:tcBorders>
            <w:vAlign w:val="center"/>
          </w:tcPr>
          <w:p w:rsidR="007070CB" w:rsidRPr="00C42D5F" w:rsidRDefault="00C42D5F">
            <w:pPr>
              <w:keepNext/>
              <w:widowControl/>
              <w:spacing w:before="0" w:after="0"/>
              <w:jc w:val="center"/>
              <w:rPr>
                <w:rFonts w:ascii="Arial Narrow" w:hAnsi="Arial Narrow" w:cs="Calibri"/>
                <w:color w:val="000000"/>
                <w:sz w:val="20"/>
                <w:szCs w:val="20"/>
                <w:highlight w:val="black"/>
              </w:rPr>
            </w:pPr>
            <w:r>
              <w:rPr>
                <w:rFonts w:ascii="Arial Narrow" w:hAnsi="Arial Narrow" w:cs="Calibri"/>
                <w:iCs/>
                <w:noProof/>
                <w:color w:val="000000"/>
                <w:sz w:val="20"/>
                <w:szCs w:val="20"/>
                <w:highlight w:val="black"/>
              </w:rPr>
              <w:t>'''''''''''''''''''''</w:t>
            </w:r>
          </w:p>
        </w:tc>
        <w:tc>
          <w:tcPr>
            <w:tcW w:w="800" w:type="dxa"/>
            <w:tcBorders>
              <w:left w:val="single" w:sz="4" w:space="0" w:color="auto"/>
            </w:tcBorders>
            <w:vAlign w:val="center"/>
          </w:tcPr>
          <w:p w:rsidR="007070CB" w:rsidRDefault="006E2E62">
            <w:pPr>
              <w:keepNext/>
              <w:widowControl/>
              <w:spacing w:before="0" w:after="0"/>
              <w:jc w:val="center"/>
              <w:rPr>
                <w:rFonts w:ascii="Arial Narrow" w:hAnsi="Arial Narrow" w:cs="Calibri"/>
                <w:color w:val="000000"/>
                <w:sz w:val="20"/>
                <w:szCs w:val="20"/>
              </w:rPr>
            </w:pPr>
            <w:r>
              <w:rPr>
                <w:rFonts w:ascii="Arial Narrow" w:hAnsi="Arial Narrow" w:cs="Calibri"/>
                <w:color w:val="000000"/>
                <w:sz w:val="20"/>
                <w:szCs w:val="20"/>
              </w:rPr>
              <w:t>147%</w:t>
            </w:r>
          </w:p>
        </w:tc>
      </w:tr>
      <w:tr w:rsidR="007070CB" w:rsidTr="007070CB">
        <w:tc>
          <w:tcPr>
            <w:tcW w:w="4673" w:type="dxa"/>
            <w:tcBorders>
              <w:right w:val="single" w:sz="4" w:space="0" w:color="auto"/>
            </w:tcBorders>
            <w:vAlign w:val="center"/>
          </w:tcPr>
          <w:p w:rsidR="007070CB" w:rsidRDefault="006E2E62">
            <w:pPr>
              <w:keepNext/>
              <w:widowControl/>
              <w:spacing w:before="0" w:after="0"/>
              <w:ind w:left="-50" w:right="-117"/>
              <w:jc w:val="left"/>
              <w:rPr>
                <w:rFonts w:ascii="Arial Narrow" w:hAnsi="Arial Narrow"/>
                <w:sz w:val="20"/>
                <w:szCs w:val="20"/>
                <w:lang w:val="en-NZ"/>
              </w:rPr>
            </w:pPr>
            <w:r>
              <w:rPr>
                <w:rFonts w:ascii="Arial Narrow" w:hAnsi="Arial Narrow" w:cs="Calibri"/>
                <w:iCs/>
                <w:color w:val="000000"/>
                <w:sz w:val="20"/>
                <w:szCs w:val="20"/>
              </w:rPr>
              <w:t>Discontinuation: beyond 24 weeks (same as &lt;24 weeks)</w:t>
            </w:r>
          </w:p>
        </w:tc>
        <w:tc>
          <w:tcPr>
            <w:tcW w:w="1086" w:type="dxa"/>
            <w:tcBorders>
              <w:left w:val="single" w:sz="4" w:space="0" w:color="auto"/>
              <w:right w:val="single" w:sz="4" w:space="0" w:color="auto"/>
            </w:tcBorders>
            <w:vAlign w:val="center"/>
          </w:tcPr>
          <w:p w:rsidR="007070CB" w:rsidRPr="00C42D5F" w:rsidRDefault="00C42D5F">
            <w:pPr>
              <w:keepNext/>
              <w:widowControl/>
              <w:spacing w:before="0" w:after="0"/>
              <w:jc w:val="center"/>
              <w:rPr>
                <w:rFonts w:ascii="Arial Narrow" w:hAnsi="Arial Narrow" w:cs="Calibri"/>
                <w:color w:val="000000"/>
                <w:sz w:val="20"/>
                <w:szCs w:val="20"/>
                <w:highlight w:val="black"/>
              </w:rPr>
            </w:pPr>
            <w:r>
              <w:rPr>
                <w:rFonts w:ascii="Arial Narrow" w:hAnsi="Arial Narrow" w:cs="Calibri"/>
                <w:iCs/>
                <w:noProof/>
                <w:color w:val="000000"/>
                <w:sz w:val="20"/>
                <w:szCs w:val="20"/>
                <w:highlight w:val="black"/>
              </w:rPr>
              <w:t>'''''''''''''''''''''</w:t>
            </w:r>
          </w:p>
        </w:tc>
        <w:tc>
          <w:tcPr>
            <w:tcW w:w="1086" w:type="dxa"/>
            <w:tcBorders>
              <w:left w:val="single" w:sz="4" w:space="0" w:color="auto"/>
              <w:right w:val="single" w:sz="4" w:space="0" w:color="auto"/>
            </w:tcBorders>
            <w:vAlign w:val="center"/>
          </w:tcPr>
          <w:p w:rsidR="007070CB" w:rsidRDefault="006E2E62">
            <w:pPr>
              <w:keepNext/>
              <w:widowControl/>
              <w:spacing w:before="0" w:after="0"/>
              <w:jc w:val="center"/>
              <w:rPr>
                <w:rFonts w:ascii="Arial Narrow" w:hAnsi="Arial Narrow" w:cs="Calibri"/>
                <w:color w:val="000000"/>
                <w:sz w:val="20"/>
                <w:szCs w:val="20"/>
              </w:rPr>
            </w:pPr>
            <w:r>
              <w:rPr>
                <w:rFonts w:ascii="Arial Narrow" w:hAnsi="Arial Narrow" w:cs="Calibri"/>
                <w:iCs/>
                <w:color w:val="000000"/>
                <w:sz w:val="20"/>
                <w:szCs w:val="20"/>
              </w:rPr>
              <w:t>0.77</w:t>
            </w:r>
          </w:p>
        </w:tc>
        <w:tc>
          <w:tcPr>
            <w:tcW w:w="1372" w:type="dxa"/>
            <w:tcBorders>
              <w:left w:val="single" w:sz="4" w:space="0" w:color="auto"/>
              <w:right w:val="single" w:sz="4" w:space="0" w:color="auto"/>
            </w:tcBorders>
            <w:vAlign w:val="center"/>
          </w:tcPr>
          <w:p w:rsidR="007070CB" w:rsidRPr="00C42D5F" w:rsidRDefault="00C42D5F">
            <w:pPr>
              <w:keepNext/>
              <w:widowControl/>
              <w:spacing w:before="0" w:after="0"/>
              <w:jc w:val="center"/>
              <w:rPr>
                <w:rFonts w:ascii="Arial Narrow" w:hAnsi="Arial Narrow" w:cs="Calibri"/>
                <w:color w:val="000000"/>
                <w:sz w:val="20"/>
                <w:szCs w:val="20"/>
                <w:highlight w:val="black"/>
              </w:rPr>
            </w:pPr>
            <w:r>
              <w:rPr>
                <w:rFonts w:ascii="Arial Narrow" w:hAnsi="Arial Narrow" w:cs="Calibri"/>
                <w:iCs/>
                <w:noProof/>
                <w:color w:val="000000"/>
                <w:sz w:val="20"/>
                <w:szCs w:val="20"/>
                <w:highlight w:val="black"/>
              </w:rPr>
              <w:t>''''''''''''''''''''''''</w:t>
            </w:r>
          </w:p>
        </w:tc>
        <w:tc>
          <w:tcPr>
            <w:tcW w:w="800" w:type="dxa"/>
            <w:tcBorders>
              <w:left w:val="single" w:sz="4" w:space="0" w:color="auto"/>
            </w:tcBorders>
            <w:vAlign w:val="center"/>
          </w:tcPr>
          <w:p w:rsidR="007070CB" w:rsidRDefault="006E2E62">
            <w:pPr>
              <w:keepNext/>
              <w:widowControl/>
              <w:spacing w:before="0" w:after="0"/>
              <w:jc w:val="center"/>
              <w:rPr>
                <w:rFonts w:ascii="Arial Narrow" w:hAnsi="Arial Narrow" w:cs="Calibri"/>
                <w:color w:val="000000"/>
                <w:sz w:val="20"/>
                <w:szCs w:val="20"/>
              </w:rPr>
            </w:pPr>
            <w:r>
              <w:rPr>
                <w:rFonts w:ascii="Arial Narrow" w:hAnsi="Arial Narrow" w:cs="Calibri"/>
                <w:color w:val="000000"/>
                <w:sz w:val="20"/>
                <w:szCs w:val="20"/>
              </w:rPr>
              <w:t>157%</w:t>
            </w:r>
          </w:p>
        </w:tc>
      </w:tr>
      <w:tr w:rsidR="007070CB" w:rsidTr="007070CB">
        <w:tc>
          <w:tcPr>
            <w:tcW w:w="4673" w:type="dxa"/>
            <w:tcBorders>
              <w:right w:val="single" w:sz="4" w:space="0" w:color="auto"/>
            </w:tcBorders>
            <w:vAlign w:val="center"/>
          </w:tcPr>
          <w:p w:rsidR="007070CB" w:rsidRDefault="006E2E62">
            <w:pPr>
              <w:keepNext/>
              <w:widowControl/>
              <w:spacing w:before="0" w:after="0"/>
              <w:ind w:left="-50" w:right="-117"/>
              <w:jc w:val="left"/>
              <w:rPr>
                <w:rFonts w:ascii="Arial Narrow" w:hAnsi="Arial Narrow"/>
                <w:sz w:val="20"/>
                <w:szCs w:val="20"/>
                <w:lang w:val="en-NZ"/>
              </w:rPr>
            </w:pPr>
            <w:r>
              <w:rPr>
                <w:rFonts w:ascii="Arial Narrow" w:hAnsi="Arial Narrow" w:cs="Calibri"/>
                <w:iCs/>
                <w:color w:val="000000"/>
                <w:sz w:val="20"/>
                <w:szCs w:val="20"/>
              </w:rPr>
              <w:t>Time horizon: reduced from lifetime to trial based period</w:t>
            </w:r>
          </w:p>
        </w:tc>
        <w:tc>
          <w:tcPr>
            <w:tcW w:w="1086" w:type="dxa"/>
            <w:tcBorders>
              <w:left w:val="single" w:sz="4" w:space="0" w:color="auto"/>
              <w:right w:val="single" w:sz="4" w:space="0" w:color="auto"/>
            </w:tcBorders>
            <w:vAlign w:val="center"/>
          </w:tcPr>
          <w:p w:rsidR="007070CB" w:rsidRPr="00C42D5F" w:rsidRDefault="00C42D5F">
            <w:pPr>
              <w:keepNext/>
              <w:widowControl/>
              <w:spacing w:before="0" w:after="0"/>
              <w:jc w:val="center"/>
              <w:rPr>
                <w:rFonts w:ascii="Arial Narrow" w:hAnsi="Arial Narrow" w:cs="Calibri"/>
                <w:color w:val="000000"/>
                <w:sz w:val="20"/>
                <w:szCs w:val="20"/>
                <w:highlight w:val="black"/>
              </w:rPr>
            </w:pPr>
            <w:r>
              <w:rPr>
                <w:rFonts w:ascii="Arial Narrow" w:hAnsi="Arial Narrow" w:cs="Calibri"/>
                <w:iCs/>
                <w:noProof/>
                <w:color w:val="000000"/>
                <w:sz w:val="20"/>
                <w:szCs w:val="20"/>
                <w:highlight w:val="black"/>
              </w:rPr>
              <w:t>'''''''''''''''''</w:t>
            </w:r>
          </w:p>
        </w:tc>
        <w:tc>
          <w:tcPr>
            <w:tcW w:w="1086" w:type="dxa"/>
            <w:tcBorders>
              <w:left w:val="single" w:sz="4" w:space="0" w:color="auto"/>
              <w:right w:val="single" w:sz="4" w:space="0" w:color="auto"/>
            </w:tcBorders>
            <w:vAlign w:val="center"/>
          </w:tcPr>
          <w:p w:rsidR="007070CB" w:rsidRDefault="006E2E62">
            <w:pPr>
              <w:keepNext/>
              <w:widowControl/>
              <w:spacing w:before="0" w:after="0"/>
              <w:jc w:val="center"/>
              <w:rPr>
                <w:rFonts w:ascii="Arial Narrow" w:hAnsi="Arial Narrow" w:cs="Calibri"/>
                <w:color w:val="000000"/>
                <w:sz w:val="20"/>
                <w:szCs w:val="20"/>
              </w:rPr>
            </w:pPr>
            <w:r>
              <w:rPr>
                <w:rFonts w:ascii="Arial Narrow" w:hAnsi="Arial Narrow" w:cs="Calibri"/>
                <w:iCs/>
                <w:color w:val="000000"/>
                <w:sz w:val="20"/>
                <w:szCs w:val="20"/>
              </w:rPr>
              <w:t>0.003</w:t>
            </w:r>
          </w:p>
        </w:tc>
        <w:tc>
          <w:tcPr>
            <w:tcW w:w="1372" w:type="dxa"/>
            <w:tcBorders>
              <w:left w:val="single" w:sz="4" w:space="0" w:color="auto"/>
              <w:right w:val="single" w:sz="4" w:space="0" w:color="auto"/>
            </w:tcBorders>
            <w:vAlign w:val="center"/>
          </w:tcPr>
          <w:p w:rsidR="007070CB" w:rsidRPr="00C42D5F" w:rsidRDefault="00C42D5F">
            <w:pPr>
              <w:keepNext/>
              <w:widowControl/>
              <w:spacing w:before="0" w:after="0"/>
              <w:jc w:val="center"/>
              <w:rPr>
                <w:rFonts w:ascii="Arial Narrow" w:hAnsi="Arial Narrow" w:cs="Calibri"/>
                <w:color w:val="000000"/>
                <w:sz w:val="20"/>
                <w:szCs w:val="20"/>
                <w:highlight w:val="black"/>
              </w:rPr>
            </w:pPr>
            <w:r>
              <w:rPr>
                <w:rFonts w:ascii="Arial Narrow" w:hAnsi="Arial Narrow" w:cs="Calibri"/>
                <w:iCs/>
                <w:noProof/>
                <w:color w:val="000000"/>
                <w:sz w:val="20"/>
                <w:szCs w:val="20"/>
                <w:highlight w:val="black"/>
              </w:rPr>
              <w:t>'''''''''''''''''''''''''''''''</w:t>
            </w:r>
          </w:p>
        </w:tc>
        <w:tc>
          <w:tcPr>
            <w:tcW w:w="800" w:type="dxa"/>
            <w:tcBorders>
              <w:left w:val="single" w:sz="4" w:space="0" w:color="auto"/>
            </w:tcBorders>
            <w:vAlign w:val="bottom"/>
          </w:tcPr>
          <w:p w:rsidR="007070CB" w:rsidRDefault="006E2E62">
            <w:pPr>
              <w:keepNext/>
              <w:widowControl/>
              <w:spacing w:before="0" w:after="0"/>
              <w:ind w:right="-32"/>
              <w:jc w:val="center"/>
              <w:rPr>
                <w:rFonts w:ascii="Arial Narrow" w:hAnsi="Arial Narrow" w:cs="Calibri"/>
                <w:color w:val="000000"/>
                <w:sz w:val="20"/>
                <w:szCs w:val="20"/>
              </w:rPr>
            </w:pPr>
            <w:r>
              <w:rPr>
                <w:rFonts w:ascii="Arial Narrow" w:hAnsi="Arial Narrow" w:cs="Calibri"/>
                <w:color w:val="000000"/>
                <w:sz w:val="20"/>
                <w:szCs w:val="20"/>
              </w:rPr>
              <w:t>10249%</w:t>
            </w:r>
          </w:p>
        </w:tc>
      </w:tr>
      <w:tr w:rsidR="007070CB" w:rsidTr="007070CB">
        <w:tc>
          <w:tcPr>
            <w:tcW w:w="4673" w:type="dxa"/>
            <w:tcBorders>
              <w:right w:val="single" w:sz="4" w:space="0" w:color="auto"/>
            </w:tcBorders>
            <w:vAlign w:val="center"/>
          </w:tcPr>
          <w:p w:rsidR="007070CB" w:rsidRDefault="006E2E62">
            <w:pPr>
              <w:keepNext/>
              <w:widowControl/>
              <w:spacing w:before="0" w:after="0"/>
              <w:ind w:left="-50" w:right="-117"/>
              <w:jc w:val="left"/>
              <w:rPr>
                <w:rFonts w:ascii="Arial Narrow" w:hAnsi="Arial Narrow"/>
                <w:sz w:val="20"/>
                <w:szCs w:val="20"/>
                <w:lang w:val="en-NZ"/>
              </w:rPr>
            </w:pPr>
            <w:r>
              <w:rPr>
                <w:rFonts w:ascii="Arial Narrow" w:hAnsi="Arial Narrow" w:cs="Calibri"/>
                <w:iCs/>
                <w:color w:val="000000"/>
                <w:sz w:val="20"/>
                <w:szCs w:val="20"/>
              </w:rPr>
              <w:t>Time horizon: reduce from lifetime to 5 years</w:t>
            </w:r>
          </w:p>
        </w:tc>
        <w:tc>
          <w:tcPr>
            <w:tcW w:w="1086" w:type="dxa"/>
            <w:tcBorders>
              <w:left w:val="single" w:sz="4" w:space="0" w:color="auto"/>
              <w:right w:val="single" w:sz="4" w:space="0" w:color="auto"/>
            </w:tcBorders>
            <w:vAlign w:val="center"/>
          </w:tcPr>
          <w:p w:rsidR="007070CB" w:rsidRPr="00C42D5F" w:rsidRDefault="00C42D5F">
            <w:pPr>
              <w:keepNext/>
              <w:widowControl/>
              <w:spacing w:before="0" w:after="0"/>
              <w:jc w:val="center"/>
              <w:rPr>
                <w:rFonts w:ascii="Arial Narrow" w:hAnsi="Arial Narrow" w:cs="Calibri"/>
                <w:color w:val="000000"/>
                <w:sz w:val="20"/>
                <w:szCs w:val="20"/>
                <w:highlight w:val="black"/>
              </w:rPr>
            </w:pPr>
            <w:r>
              <w:rPr>
                <w:rFonts w:ascii="Arial Narrow" w:hAnsi="Arial Narrow" w:cs="Calibri"/>
                <w:iCs/>
                <w:noProof/>
                <w:color w:val="000000"/>
                <w:sz w:val="20"/>
                <w:szCs w:val="20"/>
                <w:highlight w:val="black"/>
              </w:rPr>
              <w:t>'''''''''''''''''''''</w:t>
            </w:r>
          </w:p>
        </w:tc>
        <w:tc>
          <w:tcPr>
            <w:tcW w:w="1086" w:type="dxa"/>
            <w:tcBorders>
              <w:left w:val="single" w:sz="4" w:space="0" w:color="auto"/>
              <w:right w:val="single" w:sz="4" w:space="0" w:color="auto"/>
            </w:tcBorders>
            <w:vAlign w:val="center"/>
          </w:tcPr>
          <w:p w:rsidR="007070CB" w:rsidRDefault="006E2E62">
            <w:pPr>
              <w:keepNext/>
              <w:widowControl/>
              <w:spacing w:before="0" w:after="0"/>
              <w:jc w:val="center"/>
              <w:rPr>
                <w:rFonts w:ascii="Arial Narrow" w:hAnsi="Arial Narrow" w:cs="Calibri"/>
                <w:color w:val="000000"/>
                <w:sz w:val="20"/>
                <w:szCs w:val="20"/>
              </w:rPr>
            </w:pPr>
            <w:r>
              <w:rPr>
                <w:rFonts w:ascii="Arial Narrow" w:hAnsi="Arial Narrow" w:cs="Calibri"/>
                <w:iCs/>
                <w:color w:val="000000"/>
                <w:sz w:val="20"/>
                <w:szCs w:val="20"/>
              </w:rPr>
              <w:t>0.04</w:t>
            </w:r>
          </w:p>
        </w:tc>
        <w:tc>
          <w:tcPr>
            <w:tcW w:w="1372" w:type="dxa"/>
            <w:tcBorders>
              <w:left w:val="single" w:sz="4" w:space="0" w:color="auto"/>
              <w:right w:val="single" w:sz="4" w:space="0" w:color="auto"/>
            </w:tcBorders>
            <w:vAlign w:val="center"/>
          </w:tcPr>
          <w:p w:rsidR="007070CB" w:rsidRPr="00C42D5F" w:rsidRDefault="00C42D5F">
            <w:pPr>
              <w:keepNext/>
              <w:widowControl/>
              <w:spacing w:before="0" w:after="0"/>
              <w:jc w:val="center"/>
              <w:rPr>
                <w:rFonts w:ascii="Arial Narrow" w:hAnsi="Arial Narrow" w:cs="Calibri"/>
                <w:color w:val="000000"/>
                <w:sz w:val="20"/>
                <w:szCs w:val="20"/>
                <w:highlight w:val="black"/>
              </w:rPr>
            </w:pPr>
            <w:r>
              <w:rPr>
                <w:rFonts w:ascii="Arial Narrow" w:eastAsiaTheme="minorHAnsi" w:hAnsi="Arial Narrow" w:cstheme="minorBidi"/>
                <w:noProof/>
                <w:snapToGrid/>
                <w:color w:val="000000"/>
                <w:sz w:val="20"/>
                <w:highlight w:val="black"/>
                <w:lang w:val="en-US"/>
              </w:rPr>
              <w:t>'''''''''''''''''''''''''''''</w:t>
            </w:r>
          </w:p>
        </w:tc>
        <w:tc>
          <w:tcPr>
            <w:tcW w:w="800" w:type="dxa"/>
            <w:tcBorders>
              <w:left w:val="single" w:sz="4" w:space="0" w:color="auto"/>
            </w:tcBorders>
            <w:vAlign w:val="bottom"/>
          </w:tcPr>
          <w:p w:rsidR="007070CB" w:rsidRDefault="006E2E62">
            <w:pPr>
              <w:keepNext/>
              <w:widowControl/>
              <w:spacing w:before="0" w:after="0"/>
              <w:jc w:val="center"/>
              <w:rPr>
                <w:rFonts w:ascii="Arial Narrow" w:hAnsi="Arial Narrow" w:cs="Calibri"/>
                <w:color w:val="000000"/>
                <w:sz w:val="20"/>
                <w:szCs w:val="20"/>
              </w:rPr>
            </w:pPr>
            <w:r>
              <w:rPr>
                <w:rFonts w:ascii="Arial Narrow" w:hAnsi="Arial Narrow" w:cs="Calibri"/>
                <w:color w:val="000000"/>
                <w:sz w:val="20"/>
                <w:szCs w:val="20"/>
              </w:rPr>
              <w:t>6564%</w:t>
            </w:r>
          </w:p>
        </w:tc>
      </w:tr>
    </w:tbl>
    <w:p w:rsidR="007070CB" w:rsidRDefault="006E2E62">
      <w:pPr>
        <w:keepNext/>
        <w:widowControl/>
        <w:rPr>
          <w:rFonts w:ascii="Arial Narrow" w:hAnsi="Arial Narrow"/>
          <w:sz w:val="18"/>
          <w:szCs w:val="18"/>
        </w:rPr>
      </w:pPr>
      <w:r>
        <w:rPr>
          <w:rStyle w:val="CommentReference"/>
          <w:b w:val="0"/>
          <w:sz w:val="18"/>
          <w:szCs w:val="18"/>
        </w:rPr>
        <w:t>Source: Table 3.7.1 p135-137 of the submission and calculated during the evaluation using the Section 3 economic workbook.</w:t>
      </w:r>
    </w:p>
    <w:p w:rsidR="007070CB" w:rsidRDefault="006E2E62">
      <w:pPr>
        <w:keepNext/>
        <w:widowControl/>
        <w:jc w:val="left"/>
        <w:rPr>
          <w:rStyle w:val="CommentReference"/>
          <w:b w:val="0"/>
          <w:sz w:val="18"/>
          <w:szCs w:val="18"/>
        </w:rPr>
      </w:pPr>
      <w:r>
        <w:rPr>
          <w:rStyle w:val="CommentReference"/>
          <w:b w:val="0"/>
          <w:sz w:val="18"/>
          <w:szCs w:val="18"/>
        </w:rPr>
        <w:t>Abbreviations: BSC = best supportive care; CF = cystic fibrosis; CI = confidence interval; FEV</w:t>
      </w:r>
      <w:r>
        <w:rPr>
          <w:rStyle w:val="CommentReference"/>
          <w:b w:val="0"/>
          <w:sz w:val="18"/>
          <w:szCs w:val="18"/>
          <w:vertAlign w:val="subscript"/>
        </w:rPr>
        <w:t>1</w:t>
      </w:r>
      <w:r>
        <w:rPr>
          <w:rStyle w:val="CommentReference"/>
          <w:b w:val="0"/>
          <w:sz w:val="18"/>
          <w:szCs w:val="18"/>
        </w:rPr>
        <w:t xml:space="preserve"> = forced expiratory volume in one second; ICER = incremental cost-effectiveness ratio; LOE = loss of exclusivity; PEx = pulmonary exacerbation; QALY = quality-adjusted life-years</w:t>
      </w:r>
    </w:p>
    <w:p w:rsidR="007070CB" w:rsidRDefault="007070CB">
      <w:pPr>
        <w:keepNext/>
        <w:widowControl/>
        <w:jc w:val="left"/>
        <w:rPr>
          <w:rStyle w:val="CommentReference"/>
          <w:b w:val="0"/>
          <w:sz w:val="18"/>
          <w:szCs w:val="18"/>
        </w:rPr>
      </w:pPr>
    </w:p>
    <w:p w:rsidR="007070CB" w:rsidRDefault="006E2E62">
      <w:pPr>
        <w:widowControl/>
        <w:spacing w:after="120"/>
      </w:pPr>
      <w:bookmarkStart w:id="30" w:name="_Toc6931325"/>
      <w:bookmarkStart w:id="31" w:name="_Toc9335663"/>
      <w:r>
        <w:t xml:space="preserve">The redacted table shows ICERs in the range </w:t>
      </w:r>
      <w:r w:rsidR="005468AB">
        <w:t xml:space="preserve">from $15,000/QALY to </w:t>
      </w:r>
      <w:r>
        <w:t>more than $200,000/QALY.</w:t>
      </w:r>
    </w:p>
    <w:p w:rsidR="007070CB" w:rsidRDefault="006E2E62">
      <w:pPr>
        <w:pStyle w:val="Heading2"/>
        <w:keepNext w:val="0"/>
      </w:pPr>
      <w:r>
        <w:t>Drug cost/patient/year</w:t>
      </w:r>
      <w:bookmarkEnd w:id="30"/>
      <w:bookmarkEnd w:id="31"/>
    </w:p>
    <w:p w:rsidR="007070CB" w:rsidRDefault="006E2E62">
      <w:pPr>
        <w:pStyle w:val="ListParagraph"/>
        <w:widowControl/>
        <w:numPr>
          <w:ilvl w:val="1"/>
          <w:numId w:val="1"/>
        </w:numPr>
      </w:pPr>
      <w:r>
        <w:t>The</w:t>
      </w:r>
      <w:r>
        <w:rPr>
          <w:rFonts w:cs="Calibri"/>
          <w:snapToGrid/>
          <w:szCs w:val="24"/>
          <w:lang w:val="en-US" w:eastAsia="en-AU"/>
        </w:rPr>
        <w:t xml:space="preserve"> proposed published price is $18,750 per 28-day pack resulting in a cost per patient per year of $244,587.05 ($18,750/56 sachets per pack * 2 sachets per day * 365.25 </w:t>
      </w:r>
      <w:r>
        <w:rPr>
          <w:rFonts w:cs="Calibri"/>
          <w:snapToGrid/>
          <w:szCs w:val="24"/>
          <w:lang w:val="en-US" w:eastAsia="en-AU"/>
        </w:rPr>
        <w:lastRenderedPageBreak/>
        <w:t>days per year). The submission proposed an annual price of $</w:t>
      </w:r>
      <w:r w:rsidR="00C42D5F">
        <w:rPr>
          <w:rFonts w:cs="Calibri"/>
          <w:noProof/>
          <w:snapToGrid/>
          <w:color w:val="000000"/>
          <w:szCs w:val="24"/>
          <w:highlight w:val="black"/>
          <w:lang w:val="en-US" w:eastAsia="en-AU"/>
        </w:rPr>
        <w:t>''''''''''''''</w:t>
      </w:r>
      <w:r>
        <w:rPr>
          <w:rFonts w:cs="Calibri"/>
          <w:snapToGrid/>
          <w:szCs w:val="24"/>
          <w:lang w:val="en-US" w:eastAsia="en-AU"/>
        </w:rPr>
        <w:t xml:space="preserve"> per patient, intended to be achieved via subsidisation caps. </w:t>
      </w:r>
      <w:r>
        <w:t xml:space="preserve">Treatment is ongoing for the lifetime of the patient. A summary of the drug cost per patient of lumacaftor/ivacaftor is provided in Table 13. </w:t>
      </w:r>
    </w:p>
    <w:p w:rsidR="00C15476" w:rsidRDefault="00C15476" w:rsidP="00C15476">
      <w:pPr>
        <w:pStyle w:val="PBACTableText"/>
      </w:pPr>
      <w:r>
        <w:t xml:space="preserve">Table </w:t>
      </w:r>
      <w:r w:rsidR="00AF1977">
        <w:rPr>
          <w:noProof/>
        </w:rPr>
        <w:t>13</w:t>
      </w:r>
      <w:r w:rsidRPr="001F1051">
        <w:t>: Drug cost per patient for lumacaftor/ivacaftor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3: Drug cost per patient for lumacaftor/ivacaftor"/>
      </w:tblPr>
      <w:tblGrid>
        <w:gridCol w:w="1716"/>
        <w:gridCol w:w="2433"/>
        <w:gridCol w:w="2433"/>
        <w:gridCol w:w="2435"/>
      </w:tblGrid>
      <w:tr w:rsidR="007070CB" w:rsidTr="006E3A86">
        <w:trPr>
          <w:tblHeader/>
          <w:jc w:val="center"/>
        </w:trPr>
        <w:tc>
          <w:tcPr>
            <w:tcW w:w="952" w:type="pct"/>
            <w:tcBorders>
              <w:top w:val="single" w:sz="4" w:space="0" w:color="auto"/>
              <w:left w:val="single" w:sz="4" w:space="0" w:color="auto"/>
              <w:bottom w:val="single" w:sz="4" w:space="0" w:color="auto"/>
              <w:right w:val="single" w:sz="4" w:space="0" w:color="auto"/>
            </w:tcBorders>
          </w:tcPr>
          <w:p w:rsidR="007070CB" w:rsidRDefault="007070CB">
            <w:pPr>
              <w:widowControl/>
              <w:jc w:val="left"/>
              <w:rPr>
                <w:szCs w:val="20"/>
                <w:lang w:val="en-US"/>
              </w:rPr>
            </w:pPr>
          </w:p>
        </w:tc>
        <w:tc>
          <w:tcPr>
            <w:tcW w:w="1349" w:type="pct"/>
            <w:tcBorders>
              <w:top w:val="single" w:sz="4" w:space="0" w:color="auto"/>
              <w:left w:val="single" w:sz="4" w:space="0" w:color="auto"/>
              <w:bottom w:val="single" w:sz="4" w:space="0" w:color="auto"/>
              <w:right w:val="single" w:sz="4" w:space="0" w:color="auto"/>
            </w:tcBorders>
            <w:hideMark/>
          </w:tcPr>
          <w:p w:rsidR="007070CB" w:rsidRDefault="006E2E62">
            <w:pPr>
              <w:widowControl/>
              <w:ind w:right="-62"/>
              <w:jc w:val="center"/>
              <w:rPr>
                <w:rFonts w:ascii="Arial Narrow" w:hAnsi="Arial Narrow"/>
                <w:b/>
                <w:sz w:val="20"/>
                <w:lang w:val="en-US"/>
              </w:rPr>
            </w:pPr>
            <w:r>
              <w:rPr>
                <w:rFonts w:ascii="Arial Narrow" w:hAnsi="Arial Narrow"/>
                <w:b/>
                <w:sz w:val="20"/>
                <w:lang w:val="en-US"/>
              </w:rPr>
              <w:t>Trial dose and duration</w:t>
            </w:r>
          </w:p>
        </w:tc>
        <w:tc>
          <w:tcPr>
            <w:tcW w:w="1349" w:type="pct"/>
            <w:tcBorders>
              <w:top w:val="single" w:sz="4" w:space="0" w:color="auto"/>
              <w:left w:val="single" w:sz="4" w:space="0" w:color="auto"/>
              <w:bottom w:val="single" w:sz="4" w:space="0" w:color="auto"/>
              <w:right w:val="single" w:sz="4" w:space="0" w:color="auto"/>
            </w:tcBorders>
            <w:hideMark/>
          </w:tcPr>
          <w:p w:rsidR="007070CB" w:rsidRDefault="006E2E62">
            <w:pPr>
              <w:widowControl/>
              <w:ind w:right="-62"/>
              <w:jc w:val="center"/>
              <w:rPr>
                <w:rFonts w:ascii="Arial Narrow" w:hAnsi="Arial Narrow"/>
                <w:b/>
                <w:sz w:val="20"/>
                <w:lang w:val="en-US"/>
              </w:rPr>
            </w:pPr>
            <w:r>
              <w:rPr>
                <w:rFonts w:ascii="Arial Narrow" w:hAnsi="Arial Narrow"/>
                <w:b/>
                <w:sz w:val="20"/>
                <w:lang w:val="en-US"/>
              </w:rPr>
              <w:t>Model</w:t>
            </w:r>
          </w:p>
        </w:tc>
        <w:tc>
          <w:tcPr>
            <w:tcW w:w="1350" w:type="pct"/>
            <w:tcBorders>
              <w:top w:val="single" w:sz="4" w:space="0" w:color="auto"/>
              <w:left w:val="single" w:sz="4" w:space="0" w:color="auto"/>
              <w:bottom w:val="single" w:sz="4" w:space="0" w:color="auto"/>
              <w:right w:val="single" w:sz="4" w:space="0" w:color="auto"/>
            </w:tcBorders>
            <w:hideMark/>
          </w:tcPr>
          <w:p w:rsidR="007070CB" w:rsidRDefault="006E2E62">
            <w:pPr>
              <w:widowControl/>
              <w:ind w:right="-62"/>
              <w:jc w:val="center"/>
              <w:rPr>
                <w:rFonts w:ascii="Arial Narrow" w:hAnsi="Arial Narrow"/>
                <w:b/>
                <w:sz w:val="20"/>
                <w:lang w:val="en-US"/>
              </w:rPr>
            </w:pPr>
            <w:r>
              <w:rPr>
                <w:rFonts w:ascii="Arial Narrow" w:hAnsi="Arial Narrow"/>
                <w:b/>
                <w:sz w:val="20"/>
                <w:lang w:val="en-US"/>
              </w:rPr>
              <w:t>Financial estimates</w:t>
            </w:r>
          </w:p>
        </w:tc>
      </w:tr>
      <w:tr w:rsidR="007070CB">
        <w:trPr>
          <w:jc w:val="center"/>
        </w:trPr>
        <w:tc>
          <w:tcPr>
            <w:tcW w:w="952" w:type="pct"/>
            <w:tcBorders>
              <w:top w:val="single" w:sz="4" w:space="0" w:color="auto"/>
              <w:left w:val="single" w:sz="4" w:space="0" w:color="auto"/>
              <w:bottom w:val="single" w:sz="4" w:space="0" w:color="auto"/>
              <w:right w:val="nil"/>
            </w:tcBorders>
            <w:shd w:val="clear" w:color="auto" w:fill="auto"/>
            <w:hideMark/>
          </w:tcPr>
          <w:p w:rsidR="007070CB" w:rsidRDefault="006E2E62">
            <w:pPr>
              <w:widowControl/>
              <w:jc w:val="left"/>
              <w:rPr>
                <w:rFonts w:ascii="Arial Narrow" w:hAnsi="Arial Narrow"/>
                <w:sz w:val="20"/>
                <w:lang w:val="en-US"/>
              </w:rPr>
            </w:pPr>
            <w:r>
              <w:rPr>
                <w:rFonts w:ascii="Arial Narrow" w:hAnsi="Arial Narrow"/>
                <w:sz w:val="20"/>
                <w:lang w:val="en-US"/>
              </w:rPr>
              <w:t>Mean dose</w:t>
            </w:r>
          </w:p>
        </w:tc>
        <w:tc>
          <w:tcPr>
            <w:tcW w:w="1349" w:type="pct"/>
            <w:tcBorders>
              <w:top w:val="single" w:sz="4" w:space="0" w:color="auto"/>
              <w:left w:val="nil"/>
              <w:bottom w:val="single" w:sz="4" w:space="0" w:color="auto"/>
              <w:right w:val="nil"/>
            </w:tcBorders>
            <w:shd w:val="clear" w:color="auto" w:fill="auto"/>
          </w:tcPr>
          <w:p w:rsidR="007070CB" w:rsidRDefault="007070CB">
            <w:pPr>
              <w:widowControl/>
              <w:ind w:right="-62"/>
              <w:jc w:val="center"/>
              <w:rPr>
                <w:rFonts w:ascii="Arial Narrow" w:hAnsi="Arial Narrow"/>
                <w:sz w:val="20"/>
                <w:lang w:val="en-US"/>
              </w:rPr>
            </w:pPr>
          </w:p>
        </w:tc>
        <w:tc>
          <w:tcPr>
            <w:tcW w:w="1349" w:type="pct"/>
            <w:tcBorders>
              <w:top w:val="single" w:sz="4" w:space="0" w:color="auto"/>
              <w:left w:val="nil"/>
              <w:bottom w:val="single" w:sz="4" w:space="0" w:color="auto"/>
              <w:right w:val="nil"/>
            </w:tcBorders>
            <w:shd w:val="clear" w:color="auto" w:fill="auto"/>
          </w:tcPr>
          <w:p w:rsidR="007070CB" w:rsidRDefault="007070CB">
            <w:pPr>
              <w:widowControl/>
              <w:ind w:right="-62"/>
              <w:jc w:val="center"/>
              <w:rPr>
                <w:rFonts w:ascii="Arial Narrow" w:hAnsi="Arial Narrow"/>
                <w:sz w:val="20"/>
                <w:lang w:val="en-US"/>
              </w:rPr>
            </w:pPr>
          </w:p>
        </w:tc>
        <w:tc>
          <w:tcPr>
            <w:tcW w:w="1350" w:type="pct"/>
            <w:tcBorders>
              <w:top w:val="single" w:sz="4" w:space="0" w:color="auto"/>
              <w:left w:val="nil"/>
              <w:bottom w:val="single" w:sz="4" w:space="0" w:color="auto"/>
              <w:right w:val="nil"/>
            </w:tcBorders>
            <w:shd w:val="clear" w:color="auto" w:fill="auto"/>
          </w:tcPr>
          <w:p w:rsidR="007070CB" w:rsidRDefault="007070CB">
            <w:pPr>
              <w:widowControl/>
              <w:ind w:right="-62"/>
              <w:jc w:val="center"/>
              <w:rPr>
                <w:rFonts w:ascii="Arial Narrow" w:hAnsi="Arial Narrow"/>
                <w:sz w:val="20"/>
                <w:lang w:val="en-US"/>
              </w:rPr>
            </w:pPr>
          </w:p>
        </w:tc>
      </w:tr>
      <w:tr w:rsidR="007070CB">
        <w:trPr>
          <w:jc w:val="center"/>
        </w:trPr>
        <w:tc>
          <w:tcPr>
            <w:tcW w:w="952" w:type="pct"/>
            <w:tcBorders>
              <w:top w:val="single" w:sz="4" w:space="0" w:color="auto"/>
              <w:left w:val="single" w:sz="4" w:space="0" w:color="auto"/>
              <w:bottom w:val="nil"/>
              <w:right w:val="single" w:sz="4" w:space="0" w:color="auto"/>
            </w:tcBorders>
            <w:shd w:val="clear" w:color="auto" w:fill="auto"/>
          </w:tcPr>
          <w:p w:rsidR="007070CB" w:rsidRDefault="006E2E62">
            <w:pPr>
              <w:widowControl/>
              <w:ind w:left="231"/>
              <w:jc w:val="left"/>
              <w:rPr>
                <w:rFonts w:ascii="Arial Narrow" w:hAnsi="Arial Narrow"/>
                <w:sz w:val="20"/>
                <w:lang w:val="en-US"/>
              </w:rPr>
            </w:pPr>
            <w:r>
              <w:rPr>
                <w:rFonts w:ascii="Arial Narrow" w:hAnsi="Arial Narrow"/>
                <w:sz w:val="20"/>
                <w:lang w:val="en-US"/>
              </w:rPr>
              <w:t>L 100 mg/ I 125 mg</w:t>
            </w:r>
          </w:p>
        </w:tc>
        <w:tc>
          <w:tcPr>
            <w:tcW w:w="1349" w:type="pct"/>
            <w:tcBorders>
              <w:top w:val="single" w:sz="4" w:space="0" w:color="auto"/>
              <w:left w:val="single" w:sz="4" w:space="0" w:color="auto"/>
              <w:bottom w:val="single" w:sz="4" w:space="0" w:color="auto"/>
              <w:right w:val="single" w:sz="4" w:space="0" w:color="auto"/>
            </w:tcBorders>
            <w:shd w:val="clear" w:color="auto" w:fill="auto"/>
          </w:tcPr>
          <w:p w:rsidR="007070CB" w:rsidRDefault="006E2E62">
            <w:pPr>
              <w:widowControl/>
              <w:ind w:right="-62"/>
              <w:jc w:val="center"/>
              <w:rPr>
                <w:rFonts w:ascii="Arial Narrow" w:hAnsi="Arial Narrow"/>
                <w:sz w:val="20"/>
                <w:lang w:val="en-US"/>
              </w:rPr>
            </w:pPr>
            <w:r>
              <w:rPr>
                <w:rFonts w:ascii="Arial Narrow" w:hAnsi="Arial Narrow"/>
                <w:sz w:val="20"/>
                <w:lang w:val="en-US"/>
              </w:rPr>
              <w:t>lumacaftor 100 mg /Ivacaftor 125 mg granules, q12h</w:t>
            </w:r>
          </w:p>
        </w:tc>
        <w:tc>
          <w:tcPr>
            <w:tcW w:w="1349" w:type="pct"/>
            <w:tcBorders>
              <w:top w:val="single" w:sz="4" w:space="0" w:color="auto"/>
              <w:left w:val="single" w:sz="4" w:space="0" w:color="auto"/>
              <w:bottom w:val="single" w:sz="4" w:space="0" w:color="auto"/>
              <w:right w:val="single" w:sz="4" w:space="0" w:color="auto"/>
            </w:tcBorders>
            <w:shd w:val="clear" w:color="auto" w:fill="auto"/>
          </w:tcPr>
          <w:p w:rsidR="007070CB" w:rsidRDefault="006E2E62">
            <w:pPr>
              <w:widowControl/>
              <w:ind w:right="-62"/>
              <w:jc w:val="center"/>
              <w:rPr>
                <w:rFonts w:ascii="Arial Narrow" w:hAnsi="Arial Narrow"/>
                <w:sz w:val="20"/>
                <w:lang w:val="en-US"/>
              </w:rPr>
            </w:pPr>
            <w:r>
              <w:rPr>
                <w:rFonts w:ascii="Arial Narrow" w:hAnsi="Arial Narrow"/>
                <w:sz w:val="20"/>
                <w:lang w:val="en-US"/>
              </w:rPr>
              <w:t>lumacaftor 100 mg /Ivacaftor 125 mg granules, q12h</w:t>
            </w:r>
          </w:p>
        </w:tc>
        <w:tc>
          <w:tcPr>
            <w:tcW w:w="1350" w:type="pct"/>
            <w:tcBorders>
              <w:top w:val="single" w:sz="4" w:space="0" w:color="auto"/>
              <w:left w:val="single" w:sz="4" w:space="0" w:color="auto"/>
              <w:bottom w:val="single" w:sz="4" w:space="0" w:color="auto"/>
              <w:right w:val="single" w:sz="4" w:space="0" w:color="auto"/>
            </w:tcBorders>
            <w:shd w:val="clear" w:color="auto" w:fill="auto"/>
          </w:tcPr>
          <w:p w:rsidR="007070CB" w:rsidRDefault="006E2E62">
            <w:pPr>
              <w:widowControl/>
              <w:ind w:right="-62"/>
              <w:jc w:val="center"/>
              <w:rPr>
                <w:rFonts w:ascii="Arial Narrow" w:hAnsi="Arial Narrow"/>
                <w:sz w:val="20"/>
                <w:lang w:val="en-US"/>
              </w:rPr>
            </w:pPr>
            <w:r>
              <w:rPr>
                <w:rFonts w:ascii="Arial Narrow" w:hAnsi="Arial Narrow"/>
                <w:sz w:val="20"/>
                <w:lang w:val="en-US"/>
              </w:rPr>
              <w:t>lumacaftor 100 mg /Ivacaftor 125 mg granules, q12h</w:t>
            </w:r>
          </w:p>
        </w:tc>
      </w:tr>
      <w:tr w:rsidR="007070CB">
        <w:trPr>
          <w:jc w:val="center"/>
        </w:trPr>
        <w:tc>
          <w:tcPr>
            <w:tcW w:w="952" w:type="pct"/>
            <w:tcBorders>
              <w:top w:val="nil"/>
              <w:left w:val="single" w:sz="4" w:space="0" w:color="auto"/>
              <w:bottom w:val="single" w:sz="4" w:space="0" w:color="auto"/>
              <w:right w:val="single" w:sz="4" w:space="0" w:color="auto"/>
            </w:tcBorders>
          </w:tcPr>
          <w:p w:rsidR="007070CB" w:rsidRDefault="006E2E62">
            <w:pPr>
              <w:widowControl/>
              <w:ind w:left="231"/>
              <w:jc w:val="left"/>
              <w:rPr>
                <w:rFonts w:ascii="Arial Narrow" w:hAnsi="Arial Narrow"/>
                <w:sz w:val="20"/>
                <w:lang w:val="en-US"/>
              </w:rPr>
            </w:pPr>
            <w:r>
              <w:rPr>
                <w:rFonts w:ascii="Arial Narrow" w:hAnsi="Arial Narrow"/>
                <w:sz w:val="20"/>
                <w:lang w:val="en-US"/>
              </w:rPr>
              <w:t>L 150 mg/ I 188 mg</w:t>
            </w:r>
          </w:p>
        </w:tc>
        <w:tc>
          <w:tcPr>
            <w:tcW w:w="1349" w:type="pct"/>
            <w:tcBorders>
              <w:top w:val="single" w:sz="4" w:space="0" w:color="auto"/>
              <w:left w:val="single" w:sz="4" w:space="0" w:color="auto"/>
              <w:bottom w:val="single" w:sz="4" w:space="0" w:color="auto"/>
              <w:right w:val="single" w:sz="4" w:space="0" w:color="auto"/>
            </w:tcBorders>
          </w:tcPr>
          <w:p w:rsidR="007070CB" w:rsidRDefault="006E2E62">
            <w:pPr>
              <w:widowControl/>
              <w:ind w:left="-89" w:right="-62"/>
              <w:jc w:val="center"/>
              <w:rPr>
                <w:rFonts w:ascii="Arial Narrow" w:hAnsi="Arial Narrow"/>
                <w:sz w:val="20"/>
                <w:lang w:val="en-US"/>
              </w:rPr>
            </w:pPr>
            <w:r>
              <w:rPr>
                <w:rFonts w:ascii="Arial Narrow" w:hAnsi="Arial Narrow"/>
                <w:sz w:val="20"/>
                <w:lang w:val="en-US"/>
              </w:rPr>
              <w:t>lumacaftor 150 mg / Ivacaftor 188 mg granules, q12h</w:t>
            </w:r>
          </w:p>
        </w:tc>
        <w:tc>
          <w:tcPr>
            <w:tcW w:w="1349" w:type="pct"/>
            <w:tcBorders>
              <w:top w:val="single" w:sz="4" w:space="0" w:color="auto"/>
              <w:left w:val="single" w:sz="4" w:space="0" w:color="auto"/>
              <w:bottom w:val="single" w:sz="4" w:space="0" w:color="auto"/>
              <w:right w:val="single" w:sz="4" w:space="0" w:color="auto"/>
            </w:tcBorders>
          </w:tcPr>
          <w:p w:rsidR="007070CB" w:rsidRDefault="006E2E62">
            <w:pPr>
              <w:widowControl/>
              <w:ind w:left="-89" w:right="-62"/>
              <w:jc w:val="center"/>
              <w:rPr>
                <w:rFonts w:ascii="Arial Narrow" w:hAnsi="Arial Narrow"/>
                <w:sz w:val="20"/>
                <w:lang w:val="en-US"/>
              </w:rPr>
            </w:pPr>
            <w:r>
              <w:rPr>
                <w:rFonts w:ascii="Arial Narrow" w:hAnsi="Arial Narrow"/>
                <w:sz w:val="20"/>
                <w:lang w:val="en-US"/>
              </w:rPr>
              <w:t>lumacaftor 150 mg / Ivacaftor 188 mg granules, q12h</w:t>
            </w:r>
          </w:p>
        </w:tc>
        <w:tc>
          <w:tcPr>
            <w:tcW w:w="1350" w:type="pct"/>
            <w:tcBorders>
              <w:top w:val="single" w:sz="4" w:space="0" w:color="auto"/>
              <w:left w:val="single" w:sz="4" w:space="0" w:color="auto"/>
              <w:bottom w:val="single" w:sz="4" w:space="0" w:color="auto"/>
              <w:right w:val="single" w:sz="4" w:space="0" w:color="auto"/>
            </w:tcBorders>
          </w:tcPr>
          <w:p w:rsidR="007070CB" w:rsidRDefault="006E2E62">
            <w:pPr>
              <w:widowControl/>
              <w:ind w:left="-89" w:right="-62"/>
              <w:jc w:val="center"/>
              <w:rPr>
                <w:rFonts w:ascii="Arial Narrow" w:hAnsi="Arial Narrow"/>
                <w:sz w:val="20"/>
                <w:lang w:val="en-US"/>
              </w:rPr>
            </w:pPr>
            <w:r>
              <w:rPr>
                <w:rFonts w:ascii="Arial Narrow" w:hAnsi="Arial Narrow"/>
                <w:sz w:val="20"/>
                <w:lang w:val="en-US"/>
              </w:rPr>
              <w:t>lumacaftor 150 mg / Ivacaftor 188 mg granules, q12h</w:t>
            </w:r>
          </w:p>
        </w:tc>
      </w:tr>
      <w:tr w:rsidR="007070CB">
        <w:trPr>
          <w:jc w:val="center"/>
        </w:trPr>
        <w:tc>
          <w:tcPr>
            <w:tcW w:w="952" w:type="pct"/>
            <w:tcBorders>
              <w:top w:val="single" w:sz="4" w:space="0" w:color="auto"/>
              <w:left w:val="single" w:sz="4" w:space="0" w:color="auto"/>
              <w:bottom w:val="single" w:sz="4" w:space="0" w:color="auto"/>
              <w:right w:val="single" w:sz="4" w:space="0" w:color="auto"/>
            </w:tcBorders>
            <w:hideMark/>
          </w:tcPr>
          <w:p w:rsidR="007070CB" w:rsidRDefault="006E2E62">
            <w:pPr>
              <w:widowControl/>
              <w:jc w:val="left"/>
              <w:rPr>
                <w:rFonts w:ascii="Arial Narrow" w:hAnsi="Arial Narrow"/>
                <w:sz w:val="20"/>
                <w:lang w:val="en-US"/>
              </w:rPr>
            </w:pPr>
            <w:r>
              <w:rPr>
                <w:rFonts w:ascii="Arial Narrow" w:hAnsi="Arial Narrow"/>
                <w:sz w:val="20"/>
                <w:lang w:val="en-US"/>
              </w:rPr>
              <w:t>Mean duration</w:t>
            </w:r>
          </w:p>
        </w:tc>
        <w:tc>
          <w:tcPr>
            <w:tcW w:w="1349" w:type="pct"/>
            <w:tcBorders>
              <w:top w:val="single" w:sz="4" w:space="0" w:color="auto"/>
              <w:left w:val="single" w:sz="4" w:space="0" w:color="auto"/>
              <w:bottom w:val="single" w:sz="4" w:space="0" w:color="auto"/>
              <w:right w:val="single" w:sz="4" w:space="0" w:color="auto"/>
            </w:tcBorders>
            <w:hideMark/>
          </w:tcPr>
          <w:p w:rsidR="007070CB" w:rsidRDefault="006E2E62">
            <w:pPr>
              <w:widowControl/>
              <w:ind w:right="-62"/>
              <w:jc w:val="center"/>
              <w:rPr>
                <w:rFonts w:ascii="Arial Narrow" w:hAnsi="Arial Narrow"/>
                <w:sz w:val="20"/>
                <w:lang w:val="en-US"/>
              </w:rPr>
            </w:pPr>
            <w:r>
              <w:rPr>
                <w:rFonts w:ascii="Arial Narrow" w:hAnsi="Arial Narrow"/>
                <w:sz w:val="20"/>
                <w:lang w:val="en-US"/>
              </w:rPr>
              <w:t>168 days</w:t>
            </w:r>
          </w:p>
        </w:tc>
        <w:tc>
          <w:tcPr>
            <w:tcW w:w="1349" w:type="pct"/>
            <w:tcBorders>
              <w:top w:val="single" w:sz="4" w:space="0" w:color="auto"/>
              <w:left w:val="single" w:sz="4" w:space="0" w:color="auto"/>
              <w:bottom w:val="single" w:sz="4" w:space="0" w:color="auto"/>
              <w:right w:val="single" w:sz="4" w:space="0" w:color="auto"/>
            </w:tcBorders>
            <w:hideMark/>
          </w:tcPr>
          <w:p w:rsidR="007070CB" w:rsidRDefault="006E2E62">
            <w:pPr>
              <w:widowControl/>
              <w:ind w:right="-62"/>
              <w:jc w:val="center"/>
              <w:rPr>
                <w:rFonts w:ascii="Arial Narrow" w:hAnsi="Arial Narrow"/>
                <w:sz w:val="20"/>
                <w:lang w:val="en-US"/>
              </w:rPr>
            </w:pPr>
            <w:r>
              <w:rPr>
                <w:rFonts w:ascii="Arial Narrow" w:hAnsi="Arial Narrow"/>
                <w:sz w:val="20"/>
                <w:lang w:val="en-US"/>
              </w:rPr>
              <w:t xml:space="preserve">Lifetime </w:t>
            </w:r>
            <w:r>
              <w:rPr>
                <w:rFonts w:ascii="Arial Narrow" w:hAnsi="Arial Narrow"/>
                <w:sz w:val="20"/>
                <w:lang w:val="en-US"/>
              </w:rPr>
              <w:br/>
              <w:t>(predicted survival: 49.72 years)</w:t>
            </w:r>
          </w:p>
        </w:tc>
        <w:tc>
          <w:tcPr>
            <w:tcW w:w="1350" w:type="pct"/>
            <w:tcBorders>
              <w:top w:val="single" w:sz="4" w:space="0" w:color="auto"/>
              <w:left w:val="single" w:sz="4" w:space="0" w:color="auto"/>
              <w:bottom w:val="single" w:sz="4" w:space="0" w:color="auto"/>
              <w:right w:val="single" w:sz="4" w:space="0" w:color="auto"/>
            </w:tcBorders>
            <w:hideMark/>
          </w:tcPr>
          <w:p w:rsidR="007070CB" w:rsidRDefault="006E2E62">
            <w:pPr>
              <w:widowControl/>
              <w:ind w:right="-62"/>
              <w:jc w:val="center"/>
              <w:rPr>
                <w:rFonts w:ascii="Arial Narrow" w:hAnsi="Arial Narrow"/>
                <w:sz w:val="20"/>
                <w:lang w:val="en-US"/>
              </w:rPr>
            </w:pPr>
            <w:r>
              <w:rPr>
                <w:rFonts w:ascii="Arial Narrow" w:hAnsi="Arial Narrow"/>
                <w:sz w:val="20"/>
                <w:lang w:val="en-US"/>
              </w:rPr>
              <w:t>6 years</w:t>
            </w:r>
            <w:r>
              <w:rPr>
                <w:rFonts w:ascii="Arial Narrow" w:hAnsi="Arial Narrow"/>
                <w:sz w:val="20"/>
                <w:vertAlign w:val="superscript"/>
                <w:lang w:val="en-US"/>
              </w:rPr>
              <w:t>a</w:t>
            </w:r>
          </w:p>
        </w:tc>
      </w:tr>
      <w:tr w:rsidR="007070CB">
        <w:trPr>
          <w:jc w:val="center"/>
        </w:trPr>
        <w:tc>
          <w:tcPr>
            <w:tcW w:w="952" w:type="pct"/>
            <w:tcBorders>
              <w:top w:val="single" w:sz="4" w:space="0" w:color="auto"/>
              <w:left w:val="single" w:sz="4" w:space="0" w:color="auto"/>
              <w:bottom w:val="single" w:sz="4" w:space="0" w:color="auto"/>
              <w:right w:val="nil"/>
            </w:tcBorders>
            <w:hideMark/>
          </w:tcPr>
          <w:p w:rsidR="007070CB" w:rsidRDefault="006E2E62">
            <w:pPr>
              <w:widowControl/>
              <w:jc w:val="left"/>
              <w:rPr>
                <w:rFonts w:ascii="Arial Narrow" w:hAnsi="Arial Narrow"/>
                <w:sz w:val="20"/>
                <w:lang w:val="en-US"/>
              </w:rPr>
            </w:pPr>
            <w:r>
              <w:rPr>
                <w:rFonts w:ascii="Arial Narrow" w:hAnsi="Arial Narrow"/>
                <w:sz w:val="20"/>
                <w:lang w:val="en-US"/>
              </w:rPr>
              <w:t>Total daily dose</w:t>
            </w:r>
          </w:p>
        </w:tc>
        <w:tc>
          <w:tcPr>
            <w:tcW w:w="1349" w:type="pct"/>
            <w:tcBorders>
              <w:top w:val="single" w:sz="4" w:space="0" w:color="auto"/>
              <w:left w:val="nil"/>
              <w:bottom w:val="single" w:sz="4" w:space="0" w:color="auto"/>
              <w:right w:val="nil"/>
            </w:tcBorders>
          </w:tcPr>
          <w:p w:rsidR="007070CB" w:rsidRDefault="007070CB">
            <w:pPr>
              <w:widowControl/>
              <w:ind w:right="-62"/>
              <w:jc w:val="center"/>
              <w:rPr>
                <w:rFonts w:ascii="Arial Narrow" w:hAnsi="Arial Narrow"/>
                <w:sz w:val="20"/>
                <w:lang w:val="en-US"/>
              </w:rPr>
            </w:pPr>
          </w:p>
        </w:tc>
        <w:tc>
          <w:tcPr>
            <w:tcW w:w="1349" w:type="pct"/>
            <w:tcBorders>
              <w:top w:val="single" w:sz="4" w:space="0" w:color="auto"/>
              <w:left w:val="nil"/>
              <w:bottom w:val="single" w:sz="4" w:space="0" w:color="auto"/>
              <w:right w:val="nil"/>
            </w:tcBorders>
          </w:tcPr>
          <w:p w:rsidR="007070CB" w:rsidRDefault="007070CB">
            <w:pPr>
              <w:widowControl/>
              <w:ind w:right="-62"/>
              <w:jc w:val="center"/>
              <w:rPr>
                <w:rFonts w:ascii="Arial Narrow" w:hAnsi="Arial Narrow"/>
                <w:sz w:val="20"/>
                <w:lang w:val="en-US"/>
              </w:rPr>
            </w:pPr>
          </w:p>
        </w:tc>
        <w:tc>
          <w:tcPr>
            <w:tcW w:w="1350" w:type="pct"/>
            <w:tcBorders>
              <w:top w:val="single" w:sz="4" w:space="0" w:color="auto"/>
              <w:left w:val="nil"/>
              <w:bottom w:val="single" w:sz="4" w:space="0" w:color="auto"/>
              <w:right w:val="single" w:sz="4" w:space="0" w:color="auto"/>
            </w:tcBorders>
          </w:tcPr>
          <w:p w:rsidR="007070CB" w:rsidRDefault="007070CB">
            <w:pPr>
              <w:widowControl/>
              <w:ind w:right="-62"/>
              <w:jc w:val="center"/>
              <w:rPr>
                <w:rFonts w:ascii="Arial Narrow" w:hAnsi="Arial Narrow"/>
                <w:sz w:val="20"/>
                <w:lang w:val="en-US"/>
              </w:rPr>
            </w:pPr>
          </w:p>
        </w:tc>
      </w:tr>
      <w:tr w:rsidR="007070CB">
        <w:trPr>
          <w:jc w:val="center"/>
        </w:trPr>
        <w:tc>
          <w:tcPr>
            <w:tcW w:w="952" w:type="pct"/>
            <w:tcBorders>
              <w:top w:val="single" w:sz="4" w:space="0" w:color="auto"/>
              <w:left w:val="single" w:sz="4" w:space="0" w:color="auto"/>
              <w:bottom w:val="single" w:sz="4" w:space="0" w:color="auto"/>
              <w:right w:val="single" w:sz="4" w:space="0" w:color="auto"/>
            </w:tcBorders>
          </w:tcPr>
          <w:p w:rsidR="007070CB" w:rsidRDefault="006E2E62">
            <w:pPr>
              <w:widowControl/>
              <w:ind w:left="231"/>
              <w:jc w:val="left"/>
              <w:rPr>
                <w:rFonts w:ascii="Arial Narrow" w:hAnsi="Arial Narrow"/>
                <w:sz w:val="20"/>
                <w:lang w:val="en-US"/>
              </w:rPr>
            </w:pPr>
            <w:r>
              <w:rPr>
                <w:rFonts w:ascii="Arial Narrow" w:hAnsi="Arial Narrow"/>
                <w:sz w:val="20"/>
                <w:lang w:val="en-US"/>
              </w:rPr>
              <w:t>L 100 mg/ I 125 mg</w:t>
            </w:r>
          </w:p>
        </w:tc>
        <w:tc>
          <w:tcPr>
            <w:tcW w:w="1349" w:type="pct"/>
            <w:tcBorders>
              <w:top w:val="single" w:sz="4" w:space="0" w:color="auto"/>
              <w:left w:val="single" w:sz="4" w:space="0" w:color="auto"/>
              <w:bottom w:val="single" w:sz="4" w:space="0" w:color="auto"/>
              <w:right w:val="single" w:sz="4" w:space="0" w:color="auto"/>
            </w:tcBorders>
          </w:tcPr>
          <w:p w:rsidR="007070CB" w:rsidRDefault="006E2E62">
            <w:pPr>
              <w:widowControl/>
              <w:ind w:right="-62"/>
              <w:jc w:val="center"/>
              <w:rPr>
                <w:rFonts w:ascii="Arial Narrow" w:hAnsi="Arial Narrow"/>
                <w:sz w:val="20"/>
                <w:lang w:val="en-US"/>
              </w:rPr>
            </w:pPr>
            <w:r>
              <w:rPr>
                <w:rFonts w:ascii="Arial Narrow" w:hAnsi="Arial Narrow"/>
                <w:sz w:val="20"/>
                <w:lang w:val="en-US"/>
              </w:rPr>
              <w:t>L 200 mg/ I 250 mg</w:t>
            </w:r>
          </w:p>
        </w:tc>
        <w:tc>
          <w:tcPr>
            <w:tcW w:w="1349" w:type="pct"/>
            <w:tcBorders>
              <w:top w:val="single" w:sz="4" w:space="0" w:color="auto"/>
              <w:left w:val="single" w:sz="4" w:space="0" w:color="auto"/>
              <w:bottom w:val="single" w:sz="4" w:space="0" w:color="auto"/>
              <w:right w:val="single" w:sz="4" w:space="0" w:color="auto"/>
            </w:tcBorders>
          </w:tcPr>
          <w:p w:rsidR="007070CB" w:rsidRDefault="006E2E62">
            <w:pPr>
              <w:widowControl/>
              <w:ind w:right="-62"/>
              <w:jc w:val="center"/>
              <w:rPr>
                <w:rFonts w:ascii="Arial Narrow" w:hAnsi="Arial Narrow"/>
                <w:sz w:val="20"/>
                <w:lang w:val="en-US"/>
              </w:rPr>
            </w:pPr>
            <w:r>
              <w:rPr>
                <w:rFonts w:ascii="Arial Narrow" w:hAnsi="Arial Narrow"/>
                <w:sz w:val="20"/>
                <w:lang w:val="en-US"/>
              </w:rPr>
              <w:t>L 200 mg/ I 250 mg</w:t>
            </w:r>
          </w:p>
        </w:tc>
        <w:tc>
          <w:tcPr>
            <w:tcW w:w="1350" w:type="pct"/>
            <w:tcBorders>
              <w:top w:val="single" w:sz="4" w:space="0" w:color="auto"/>
              <w:left w:val="single" w:sz="4" w:space="0" w:color="auto"/>
              <w:bottom w:val="single" w:sz="4" w:space="0" w:color="auto"/>
              <w:right w:val="single" w:sz="4" w:space="0" w:color="auto"/>
            </w:tcBorders>
          </w:tcPr>
          <w:p w:rsidR="007070CB" w:rsidRDefault="006E2E62">
            <w:pPr>
              <w:widowControl/>
              <w:ind w:right="-62"/>
              <w:jc w:val="center"/>
              <w:rPr>
                <w:rFonts w:ascii="Arial Narrow" w:hAnsi="Arial Narrow"/>
                <w:sz w:val="20"/>
                <w:lang w:val="en-US"/>
              </w:rPr>
            </w:pPr>
            <w:r>
              <w:rPr>
                <w:rFonts w:ascii="Arial Narrow" w:hAnsi="Arial Narrow"/>
                <w:sz w:val="20"/>
                <w:lang w:val="en-US"/>
              </w:rPr>
              <w:t>L 200 mg/ I 250 mg</w:t>
            </w:r>
          </w:p>
        </w:tc>
      </w:tr>
      <w:tr w:rsidR="007070CB">
        <w:trPr>
          <w:jc w:val="center"/>
        </w:trPr>
        <w:tc>
          <w:tcPr>
            <w:tcW w:w="952" w:type="pct"/>
            <w:tcBorders>
              <w:top w:val="single" w:sz="4" w:space="0" w:color="auto"/>
              <w:left w:val="single" w:sz="4" w:space="0" w:color="auto"/>
              <w:bottom w:val="single" w:sz="4" w:space="0" w:color="auto"/>
              <w:right w:val="single" w:sz="4" w:space="0" w:color="auto"/>
            </w:tcBorders>
          </w:tcPr>
          <w:p w:rsidR="007070CB" w:rsidRDefault="006E2E62">
            <w:pPr>
              <w:widowControl/>
              <w:ind w:left="231"/>
              <w:jc w:val="left"/>
              <w:rPr>
                <w:rFonts w:ascii="Arial Narrow" w:hAnsi="Arial Narrow"/>
                <w:sz w:val="20"/>
                <w:lang w:val="en-US"/>
              </w:rPr>
            </w:pPr>
            <w:r>
              <w:rPr>
                <w:rFonts w:ascii="Arial Narrow" w:hAnsi="Arial Narrow"/>
                <w:sz w:val="20"/>
                <w:lang w:val="en-US"/>
              </w:rPr>
              <w:t>L 150 mg/ I 188 mg</w:t>
            </w:r>
          </w:p>
        </w:tc>
        <w:tc>
          <w:tcPr>
            <w:tcW w:w="1349" w:type="pct"/>
            <w:tcBorders>
              <w:top w:val="single" w:sz="4" w:space="0" w:color="auto"/>
              <w:left w:val="single" w:sz="4" w:space="0" w:color="auto"/>
              <w:bottom w:val="single" w:sz="4" w:space="0" w:color="auto"/>
              <w:right w:val="single" w:sz="4" w:space="0" w:color="auto"/>
            </w:tcBorders>
          </w:tcPr>
          <w:p w:rsidR="007070CB" w:rsidRDefault="006E2E62">
            <w:pPr>
              <w:widowControl/>
              <w:ind w:right="-62"/>
              <w:jc w:val="center"/>
              <w:rPr>
                <w:rFonts w:ascii="Arial Narrow" w:hAnsi="Arial Narrow"/>
                <w:sz w:val="20"/>
                <w:lang w:val="en-US"/>
              </w:rPr>
            </w:pPr>
            <w:r>
              <w:rPr>
                <w:rFonts w:ascii="Arial Narrow" w:hAnsi="Arial Narrow"/>
                <w:sz w:val="20"/>
                <w:lang w:val="en-US"/>
              </w:rPr>
              <w:t>L 300 mg/ I 376 mg</w:t>
            </w:r>
          </w:p>
        </w:tc>
        <w:tc>
          <w:tcPr>
            <w:tcW w:w="1349" w:type="pct"/>
            <w:tcBorders>
              <w:top w:val="single" w:sz="4" w:space="0" w:color="auto"/>
              <w:left w:val="single" w:sz="4" w:space="0" w:color="auto"/>
              <w:bottom w:val="single" w:sz="4" w:space="0" w:color="auto"/>
              <w:right w:val="single" w:sz="4" w:space="0" w:color="auto"/>
            </w:tcBorders>
          </w:tcPr>
          <w:p w:rsidR="007070CB" w:rsidRDefault="006E2E62">
            <w:pPr>
              <w:widowControl/>
              <w:ind w:right="-62"/>
              <w:jc w:val="center"/>
              <w:rPr>
                <w:rFonts w:ascii="Arial Narrow" w:hAnsi="Arial Narrow"/>
                <w:sz w:val="20"/>
                <w:lang w:val="en-US"/>
              </w:rPr>
            </w:pPr>
            <w:r>
              <w:rPr>
                <w:rFonts w:ascii="Arial Narrow" w:hAnsi="Arial Narrow"/>
                <w:sz w:val="20"/>
                <w:lang w:val="en-US"/>
              </w:rPr>
              <w:t>L 300 mg/ I 376 mg</w:t>
            </w:r>
          </w:p>
        </w:tc>
        <w:tc>
          <w:tcPr>
            <w:tcW w:w="1350" w:type="pct"/>
            <w:tcBorders>
              <w:top w:val="single" w:sz="4" w:space="0" w:color="auto"/>
              <w:left w:val="single" w:sz="4" w:space="0" w:color="auto"/>
              <w:bottom w:val="single" w:sz="4" w:space="0" w:color="auto"/>
              <w:right w:val="single" w:sz="4" w:space="0" w:color="auto"/>
            </w:tcBorders>
          </w:tcPr>
          <w:p w:rsidR="007070CB" w:rsidRDefault="006E2E62">
            <w:pPr>
              <w:widowControl/>
              <w:ind w:right="-62"/>
              <w:jc w:val="center"/>
              <w:rPr>
                <w:rFonts w:ascii="Arial Narrow" w:hAnsi="Arial Narrow"/>
                <w:sz w:val="20"/>
                <w:lang w:val="en-US"/>
              </w:rPr>
            </w:pPr>
            <w:r>
              <w:rPr>
                <w:rFonts w:ascii="Arial Narrow" w:hAnsi="Arial Narrow"/>
                <w:sz w:val="20"/>
                <w:lang w:val="en-US"/>
              </w:rPr>
              <w:t>L 300 mg/ I 376 mg</w:t>
            </w:r>
          </w:p>
        </w:tc>
      </w:tr>
      <w:tr w:rsidR="007070CB">
        <w:trPr>
          <w:jc w:val="center"/>
        </w:trPr>
        <w:tc>
          <w:tcPr>
            <w:tcW w:w="952" w:type="pct"/>
            <w:tcBorders>
              <w:top w:val="single" w:sz="4" w:space="0" w:color="auto"/>
              <w:left w:val="single" w:sz="4" w:space="0" w:color="auto"/>
              <w:bottom w:val="single" w:sz="4" w:space="0" w:color="auto"/>
              <w:right w:val="single" w:sz="4" w:space="0" w:color="auto"/>
            </w:tcBorders>
          </w:tcPr>
          <w:p w:rsidR="007070CB" w:rsidRDefault="006E2E62">
            <w:pPr>
              <w:widowControl/>
              <w:jc w:val="left"/>
              <w:rPr>
                <w:rFonts w:ascii="Arial Narrow" w:hAnsi="Arial Narrow"/>
                <w:sz w:val="20"/>
                <w:lang w:val="en-US"/>
              </w:rPr>
            </w:pPr>
            <w:r>
              <w:rPr>
                <w:rFonts w:ascii="Arial Narrow" w:hAnsi="Arial Narrow"/>
                <w:sz w:val="20"/>
                <w:lang w:val="en-US"/>
              </w:rPr>
              <w:t>Cost/patient/year</w:t>
            </w:r>
          </w:p>
        </w:tc>
        <w:tc>
          <w:tcPr>
            <w:tcW w:w="1349" w:type="pct"/>
            <w:tcBorders>
              <w:top w:val="single" w:sz="4" w:space="0" w:color="auto"/>
              <w:left w:val="single" w:sz="4" w:space="0" w:color="auto"/>
              <w:bottom w:val="single" w:sz="4" w:space="0" w:color="auto"/>
              <w:right w:val="single" w:sz="4" w:space="0" w:color="auto"/>
            </w:tcBorders>
          </w:tcPr>
          <w:p w:rsidR="007070CB" w:rsidRDefault="006E2E62">
            <w:pPr>
              <w:widowControl/>
              <w:ind w:right="-62"/>
              <w:jc w:val="center"/>
              <w:rPr>
                <w:rFonts w:ascii="Arial Narrow" w:hAnsi="Arial Narrow"/>
                <w:sz w:val="20"/>
                <w:lang w:val="en-US"/>
              </w:rPr>
            </w:pPr>
            <w:r>
              <w:rPr>
                <w:rFonts w:ascii="Arial Narrow" w:hAnsi="Arial Narrow"/>
                <w:sz w:val="20"/>
                <w:lang w:val="en-US"/>
              </w:rPr>
              <w:t>$244,587</w:t>
            </w:r>
          </w:p>
        </w:tc>
        <w:tc>
          <w:tcPr>
            <w:tcW w:w="1349" w:type="pct"/>
            <w:tcBorders>
              <w:top w:val="single" w:sz="4" w:space="0" w:color="auto"/>
              <w:left w:val="single" w:sz="4" w:space="0" w:color="auto"/>
              <w:bottom w:val="single" w:sz="4" w:space="0" w:color="auto"/>
              <w:right w:val="single" w:sz="4" w:space="0" w:color="auto"/>
            </w:tcBorders>
          </w:tcPr>
          <w:p w:rsidR="007070CB" w:rsidRDefault="006E2E62">
            <w:pPr>
              <w:widowControl/>
              <w:ind w:right="-62"/>
              <w:jc w:val="center"/>
              <w:rPr>
                <w:rFonts w:ascii="Arial Narrow" w:hAnsi="Arial Narrow"/>
                <w:sz w:val="20"/>
                <w:lang w:val="en-US"/>
              </w:rPr>
            </w:pPr>
            <w:r>
              <w:rPr>
                <w:rFonts w:ascii="Arial Narrow" w:hAnsi="Arial Narrow"/>
                <w:sz w:val="20"/>
                <w:lang w:val="en-US"/>
              </w:rPr>
              <w:t>$</w:t>
            </w:r>
            <w:r w:rsidR="00C42D5F">
              <w:rPr>
                <w:rFonts w:ascii="Arial Narrow" w:hAnsi="Arial Narrow"/>
                <w:noProof/>
                <w:color w:val="000000"/>
                <w:sz w:val="20"/>
                <w:highlight w:val="black"/>
                <w:lang w:val="en-US"/>
              </w:rPr>
              <w:t>'''''''''''''''''</w:t>
            </w:r>
          </w:p>
          <w:p w:rsidR="007070CB" w:rsidRDefault="007070CB">
            <w:pPr>
              <w:widowControl/>
              <w:ind w:right="-62"/>
              <w:jc w:val="center"/>
              <w:rPr>
                <w:rFonts w:ascii="Arial Narrow" w:hAnsi="Arial Narrow"/>
                <w:sz w:val="20"/>
                <w:lang w:val="en-US"/>
              </w:rPr>
            </w:pPr>
          </w:p>
        </w:tc>
        <w:tc>
          <w:tcPr>
            <w:tcW w:w="1350" w:type="pct"/>
            <w:tcBorders>
              <w:top w:val="single" w:sz="4" w:space="0" w:color="auto"/>
              <w:left w:val="single" w:sz="4" w:space="0" w:color="auto"/>
              <w:bottom w:val="single" w:sz="4" w:space="0" w:color="auto"/>
              <w:right w:val="single" w:sz="4" w:space="0" w:color="auto"/>
            </w:tcBorders>
          </w:tcPr>
          <w:p w:rsidR="007070CB" w:rsidRDefault="006E2E62">
            <w:pPr>
              <w:widowControl/>
              <w:ind w:right="67"/>
              <w:jc w:val="center"/>
              <w:rPr>
                <w:rFonts w:ascii="Arial Narrow" w:hAnsi="Arial Narrow"/>
                <w:sz w:val="20"/>
                <w:lang w:val="en-US"/>
              </w:rPr>
            </w:pPr>
            <w:r>
              <w:rPr>
                <w:rFonts w:ascii="Arial Narrow" w:hAnsi="Arial Narrow"/>
                <w:sz w:val="20"/>
                <w:lang w:val="en-US"/>
              </w:rPr>
              <w:t>$</w:t>
            </w:r>
            <w:r w:rsidR="00C42D5F">
              <w:rPr>
                <w:rFonts w:ascii="Arial Narrow" w:hAnsi="Arial Narrow"/>
                <w:noProof/>
                <w:color w:val="000000"/>
                <w:sz w:val="20"/>
                <w:highlight w:val="black"/>
                <w:lang w:val="en-US"/>
              </w:rPr>
              <w:t>''''''''''''''''</w:t>
            </w:r>
            <w:r>
              <w:rPr>
                <w:rFonts w:ascii="Arial Narrow" w:hAnsi="Arial Narrow"/>
                <w:sz w:val="20"/>
                <w:lang w:val="en-US"/>
              </w:rPr>
              <w:t xml:space="preserve"> per year for the first 4 years of listing; </w:t>
            </w:r>
            <w:r>
              <w:rPr>
                <w:rFonts w:ascii="Arial Narrow" w:hAnsi="Arial Narrow"/>
                <w:sz w:val="20"/>
                <w:szCs w:val="20"/>
              </w:rPr>
              <w:t>$</w:t>
            </w:r>
            <w:r w:rsidR="00C42D5F">
              <w:rPr>
                <w:rFonts w:ascii="Arial Narrow" w:hAnsi="Arial Narrow"/>
                <w:noProof/>
                <w:color w:val="000000"/>
                <w:sz w:val="20"/>
                <w:szCs w:val="20"/>
                <w:highlight w:val="black"/>
              </w:rPr>
              <w:t>'''''''''''''''''''''</w:t>
            </w:r>
            <w:r>
              <w:rPr>
                <w:rFonts w:ascii="Arial Narrow" w:hAnsi="Arial Narrow"/>
                <w:sz w:val="20"/>
                <w:szCs w:val="20"/>
              </w:rPr>
              <w:t xml:space="preserve"> after the first 4 years following the end of the current Deed of Agreement for lumacaftor/ivacaftor</w:t>
            </w:r>
            <w:r>
              <w:rPr>
                <w:rFonts w:ascii="Arial Narrow" w:hAnsi="Arial Narrow"/>
                <w:sz w:val="20"/>
                <w:lang w:val="en-US"/>
              </w:rPr>
              <w:t>.</w:t>
            </w:r>
          </w:p>
        </w:tc>
      </w:tr>
    </w:tbl>
    <w:p w:rsidR="007070CB" w:rsidRDefault="006E2E62">
      <w:pPr>
        <w:pStyle w:val="TableFooter"/>
        <w:widowControl/>
      </w:pPr>
      <w:r>
        <w:t xml:space="preserve">Source: Figure 2.3.1 and Figure 2.3.2 pp58-59, Table 2.4.6, Table 2.4.7, Table 2.4.8, Table 2.4.9 pp68-69 and Table 4.6.1, p154 of the submission; Orkambi 2to5 cost effectiveness model March 2019, spreadsheets “Costs” and “Aggregated Results”. </w:t>
      </w:r>
    </w:p>
    <w:p w:rsidR="007070CB" w:rsidRDefault="006E2E62">
      <w:pPr>
        <w:pStyle w:val="TableFooter"/>
        <w:widowControl/>
        <w:rPr>
          <w:szCs w:val="20"/>
        </w:rPr>
      </w:pPr>
      <w:r>
        <w:rPr>
          <w:vertAlign w:val="superscript"/>
        </w:rPr>
        <w:t>a</w:t>
      </w:r>
      <w:r>
        <w:t xml:space="preserve"> Assumed 6.7% discontinue treatment within the first year of treatment and no discontinuations beyond the first year. 12 patients were assumed to discontinue in the first year, and no more patients discontinued post-Year 1 of listing.</w:t>
      </w:r>
    </w:p>
    <w:p w:rsidR="007070CB" w:rsidRDefault="007070CB">
      <w:pPr>
        <w:widowControl/>
      </w:pPr>
    </w:p>
    <w:p w:rsidR="007070CB" w:rsidRDefault="006E2E62">
      <w:pPr>
        <w:pStyle w:val="Heading2"/>
        <w:keepNext w:val="0"/>
      </w:pPr>
      <w:bookmarkStart w:id="32" w:name="_Toc6931326"/>
      <w:bookmarkStart w:id="33" w:name="_Toc9335664"/>
      <w:r>
        <w:t>Estimated PBS usage &amp; financial implications</w:t>
      </w:r>
      <w:bookmarkEnd w:id="32"/>
      <w:bookmarkEnd w:id="33"/>
    </w:p>
    <w:p w:rsidR="007070CB" w:rsidRDefault="006E2E62">
      <w:pPr>
        <w:pStyle w:val="ListParagraph"/>
        <w:widowControl/>
        <w:numPr>
          <w:ilvl w:val="1"/>
          <w:numId w:val="1"/>
        </w:numPr>
      </w:pPr>
      <w:r>
        <w:t>This submission was not considered by DUSC.</w:t>
      </w:r>
      <w:r>
        <w:rPr>
          <w:color w:val="0070C0"/>
        </w:rPr>
        <w:t xml:space="preserve"> </w:t>
      </w:r>
      <w:r>
        <w:rPr>
          <w:rFonts w:asciiTheme="minorHAnsi" w:hAnsiTheme="minorHAnsi"/>
        </w:rPr>
        <w:t>An epidemiological approach was used, similar to previous (re)submissions (March 2016, November 2016, July 2017, July 2018) for lumacaftor/ivacaftor compared with BSC. A summary of the estimated use and financial implications is provid</w:t>
      </w:r>
      <w:r>
        <w:t>ed in Table 14.</w:t>
      </w:r>
      <w:r>
        <w:rPr>
          <w:rFonts w:asciiTheme="minorHAnsi" w:hAnsiTheme="minorHAnsi"/>
        </w:rPr>
        <w:t xml:space="preserve"> The proposed cap was estimated to be higher than $</w:t>
      </w:r>
      <w:r w:rsidR="00C42D5F">
        <w:rPr>
          <w:rFonts w:asciiTheme="minorHAnsi" w:hAnsiTheme="minorHAnsi"/>
          <w:noProof/>
          <w:color w:val="000000"/>
          <w:highlight w:val="black"/>
        </w:rPr>
        <w:t>''''''''''''''</w:t>
      </w:r>
      <w:r>
        <w:rPr>
          <w:rFonts w:asciiTheme="minorHAnsi" w:hAnsiTheme="minorHAnsi"/>
        </w:rPr>
        <w:t xml:space="preserve"> per patient from Years 1 to 4 of listing; there was no cap applied in Years 5 and 6 of listing.</w:t>
      </w:r>
    </w:p>
    <w:p w:rsidR="00AF481E" w:rsidRDefault="00AF481E">
      <w:pPr>
        <w:widowControl/>
        <w:jc w:val="left"/>
        <w:rPr>
          <w:rFonts w:ascii="Arial Narrow" w:eastAsia="Batang" w:hAnsi="Arial Narrow" w:cs="Times New Roman"/>
          <w:b/>
          <w:snapToGrid/>
          <w:sz w:val="20"/>
          <w:szCs w:val="20"/>
          <w:lang w:eastAsia="en-AU"/>
        </w:rPr>
      </w:pPr>
      <w:r>
        <w:br w:type="page"/>
      </w:r>
    </w:p>
    <w:p w:rsidR="00AF481E" w:rsidRDefault="00AF481E" w:rsidP="00AF481E">
      <w:pPr>
        <w:pStyle w:val="PBACTableText"/>
      </w:pPr>
      <w:r>
        <w:lastRenderedPageBreak/>
        <w:t xml:space="preserve">Table </w:t>
      </w:r>
      <w:r w:rsidR="00AF1977">
        <w:rPr>
          <w:noProof/>
        </w:rPr>
        <w:t>14</w:t>
      </w:r>
      <w:r w:rsidRPr="00354C4E">
        <w:t>: Estimated use and financial implicationsa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4: Estimated use and financial implicationsa"/>
      </w:tblPr>
      <w:tblGrid>
        <w:gridCol w:w="2125"/>
        <w:gridCol w:w="1135"/>
        <w:gridCol w:w="1275"/>
        <w:gridCol w:w="1134"/>
        <w:gridCol w:w="1134"/>
        <w:gridCol w:w="1134"/>
        <w:gridCol w:w="1080"/>
      </w:tblGrid>
      <w:tr w:rsidR="007070CB">
        <w:trPr>
          <w:tblHeader/>
        </w:trPr>
        <w:tc>
          <w:tcPr>
            <w:tcW w:w="1178" w:type="pct"/>
            <w:shd w:val="clear" w:color="auto" w:fill="auto"/>
            <w:vAlign w:val="center"/>
          </w:tcPr>
          <w:p w:rsidR="007070CB" w:rsidRDefault="007070CB">
            <w:pPr>
              <w:keepNext/>
              <w:widowControl/>
              <w:jc w:val="left"/>
              <w:rPr>
                <w:rFonts w:ascii="Arial Narrow" w:hAnsi="Arial Narrow" w:cs="Times New Roman"/>
                <w:snapToGrid/>
                <w:sz w:val="20"/>
              </w:rPr>
            </w:pPr>
          </w:p>
        </w:tc>
        <w:tc>
          <w:tcPr>
            <w:tcW w:w="629" w:type="pct"/>
            <w:shd w:val="clear" w:color="auto" w:fill="auto"/>
            <w:vAlign w:val="center"/>
          </w:tcPr>
          <w:p w:rsidR="007070CB" w:rsidRDefault="006E2E62">
            <w:pPr>
              <w:keepNext/>
              <w:widowControl/>
              <w:jc w:val="center"/>
              <w:rPr>
                <w:rFonts w:ascii="Arial Narrow" w:hAnsi="Arial Narrow" w:cs="Times New Roman"/>
                <w:b/>
                <w:snapToGrid/>
                <w:sz w:val="20"/>
              </w:rPr>
            </w:pPr>
            <w:r>
              <w:rPr>
                <w:rFonts w:ascii="Arial Narrow" w:hAnsi="Arial Narrow" w:cs="Times New Roman"/>
                <w:b/>
                <w:snapToGrid/>
                <w:sz w:val="20"/>
              </w:rPr>
              <w:t>Year 1</w:t>
            </w:r>
          </w:p>
        </w:tc>
        <w:tc>
          <w:tcPr>
            <w:tcW w:w="707" w:type="pct"/>
            <w:shd w:val="clear" w:color="auto" w:fill="auto"/>
            <w:vAlign w:val="center"/>
          </w:tcPr>
          <w:p w:rsidR="007070CB" w:rsidRDefault="006E2E62">
            <w:pPr>
              <w:keepNext/>
              <w:widowControl/>
              <w:jc w:val="center"/>
              <w:rPr>
                <w:rFonts w:ascii="Arial Narrow" w:hAnsi="Arial Narrow" w:cs="Times New Roman"/>
                <w:b/>
                <w:snapToGrid/>
                <w:sz w:val="20"/>
              </w:rPr>
            </w:pPr>
            <w:r>
              <w:rPr>
                <w:rFonts w:ascii="Arial Narrow" w:hAnsi="Arial Narrow" w:cs="Times New Roman"/>
                <w:b/>
                <w:snapToGrid/>
                <w:sz w:val="20"/>
              </w:rPr>
              <w:t>Year 2</w:t>
            </w:r>
          </w:p>
        </w:tc>
        <w:tc>
          <w:tcPr>
            <w:tcW w:w="629" w:type="pct"/>
            <w:shd w:val="clear" w:color="auto" w:fill="auto"/>
            <w:vAlign w:val="center"/>
          </w:tcPr>
          <w:p w:rsidR="007070CB" w:rsidRDefault="006E2E62">
            <w:pPr>
              <w:keepNext/>
              <w:widowControl/>
              <w:jc w:val="center"/>
              <w:rPr>
                <w:rFonts w:ascii="Arial Narrow" w:hAnsi="Arial Narrow" w:cs="Times New Roman"/>
                <w:b/>
                <w:snapToGrid/>
                <w:sz w:val="20"/>
              </w:rPr>
            </w:pPr>
            <w:r>
              <w:rPr>
                <w:rFonts w:ascii="Arial Narrow" w:hAnsi="Arial Narrow" w:cs="Times New Roman"/>
                <w:b/>
                <w:snapToGrid/>
                <w:sz w:val="20"/>
              </w:rPr>
              <w:t>Year 3</w:t>
            </w:r>
          </w:p>
        </w:tc>
        <w:tc>
          <w:tcPr>
            <w:tcW w:w="629" w:type="pct"/>
            <w:shd w:val="clear" w:color="auto" w:fill="auto"/>
            <w:vAlign w:val="center"/>
          </w:tcPr>
          <w:p w:rsidR="007070CB" w:rsidRDefault="006E2E62">
            <w:pPr>
              <w:keepNext/>
              <w:widowControl/>
              <w:jc w:val="center"/>
              <w:rPr>
                <w:rFonts w:ascii="Arial Narrow" w:hAnsi="Arial Narrow" w:cs="Times New Roman"/>
                <w:b/>
                <w:snapToGrid/>
                <w:sz w:val="20"/>
              </w:rPr>
            </w:pPr>
            <w:r>
              <w:rPr>
                <w:rFonts w:ascii="Arial Narrow" w:hAnsi="Arial Narrow" w:cs="Times New Roman"/>
                <w:b/>
                <w:snapToGrid/>
                <w:sz w:val="20"/>
              </w:rPr>
              <w:t>Year 4</w:t>
            </w:r>
          </w:p>
        </w:tc>
        <w:tc>
          <w:tcPr>
            <w:tcW w:w="629" w:type="pct"/>
            <w:shd w:val="clear" w:color="auto" w:fill="auto"/>
            <w:vAlign w:val="center"/>
          </w:tcPr>
          <w:p w:rsidR="007070CB" w:rsidRDefault="006E2E62">
            <w:pPr>
              <w:keepNext/>
              <w:widowControl/>
              <w:jc w:val="center"/>
              <w:rPr>
                <w:rFonts w:ascii="Arial Narrow" w:hAnsi="Arial Narrow" w:cs="Times New Roman"/>
                <w:b/>
                <w:snapToGrid/>
                <w:sz w:val="20"/>
              </w:rPr>
            </w:pPr>
            <w:r>
              <w:rPr>
                <w:rFonts w:ascii="Arial Narrow" w:hAnsi="Arial Narrow" w:cs="Times New Roman"/>
                <w:b/>
                <w:snapToGrid/>
                <w:sz w:val="20"/>
              </w:rPr>
              <w:t>Year 5</w:t>
            </w:r>
          </w:p>
        </w:tc>
        <w:tc>
          <w:tcPr>
            <w:tcW w:w="599" w:type="pct"/>
          </w:tcPr>
          <w:p w:rsidR="007070CB" w:rsidRDefault="006E2E62">
            <w:pPr>
              <w:keepNext/>
              <w:widowControl/>
              <w:jc w:val="center"/>
              <w:rPr>
                <w:rFonts w:ascii="Arial Narrow" w:hAnsi="Arial Narrow" w:cs="Times New Roman"/>
                <w:b/>
                <w:snapToGrid/>
                <w:sz w:val="20"/>
              </w:rPr>
            </w:pPr>
            <w:r>
              <w:rPr>
                <w:rFonts w:ascii="Arial Narrow" w:hAnsi="Arial Narrow" w:cs="Times New Roman"/>
                <w:b/>
                <w:snapToGrid/>
                <w:sz w:val="20"/>
              </w:rPr>
              <w:t>Year 6</w:t>
            </w:r>
          </w:p>
        </w:tc>
      </w:tr>
      <w:tr w:rsidR="007070CB">
        <w:tc>
          <w:tcPr>
            <w:tcW w:w="5000" w:type="pct"/>
            <w:gridSpan w:val="7"/>
            <w:shd w:val="clear" w:color="auto" w:fill="auto"/>
            <w:vAlign w:val="center"/>
          </w:tcPr>
          <w:p w:rsidR="007070CB" w:rsidRDefault="006E2E62">
            <w:pPr>
              <w:keepNext/>
              <w:widowControl/>
              <w:jc w:val="left"/>
              <w:rPr>
                <w:rFonts w:ascii="Arial Narrow" w:hAnsi="Arial Narrow" w:cs="Times New Roman"/>
                <w:b/>
                <w:bCs/>
                <w:snapToGrid/>
                <w:color w:val="000000"/>
                <w:sz w:val="20"/>
              </w:rPr>
            </w:pPr>
            <w:r>
              <w:rPr>
                <w:rFonts w:ascii="Arial Narrow" w:hAnsi="Arial Narrow" w:cs="Times New Roman"/>
                <w:b/>
                <w:bCs/>
                <w:snapToGrid/>
                <w:color w:val="000000"/>
                <w:sz w:val="20"/>
              </w:rPr>
              <w:t>Estimated extent of use</w:t>
            </w:r>
          </w:p>
        </w:tc>
      </w:tr>
      <w:tr w:rsidR="007070CB">
        <w:tc>
          <w:tcPr>
            <w:tcW w:w="1178" w:type="pct"/>
            <w:shd w:val="clear" w:color="auto" w:fill="auto"/>
            <w:vAlign w:val="center"/>
          </w:tcPr>
          <w:p w:rsidR="007070CB" w:rsidRDefault="006E2E62">
            <w:pPr>
              <w:keepNext/>
              <w:widowControl/>
              <w:jc w:val="left"/>
              <w:rPr>
                <w:rFonts w:ascii="Times" w:hAnsi="Times" w:cs="Times New Roman"/>
                <w:snapToGrid/>
                <w:sz w:val="20"/>
              </w:rPr>
            </w:pPr>
            <w:r>
              <w:rPr>
                <w:rFonts w:ascii="Arial Narrow" w:hAnsi="Arial Narrow" w:cs="Times New Roman"/>
                <w:snapToGrid/>
                <w:sz w:val="20"/>
              </w:rPr>
              <w:t>Number of patients treated</w:t>
            </w:r>
          </w:p>
        </w:tc>
        <w:tc>
          <w:tcPr>
            <w:tcW w:w="629" w:type="pct"/>
            <w:shd w:val="clear" w:color="auto" w:fill="auto"/>
            <w:vAlign w:val="center"/>
          </w:tcPr>
          <w:p w:rsidR="007070CB" w:rsidRPr="00C42D5F" w:rsidRDefault="00C42D5F">
            <w:pPr>
              <w:pStyle w:val="Tabletext"/>
              <w:keepNext/>
              <w:jc w:val="center"/>
              <w:rPr>
                <w:bCs/>
                <w:color w:val="000000"/>
                <w:highlight w:val="black"/>
              </w:rPr>
            </w:pPr>
            <w:r>
              <w:rPr>
                <w:bCs/>
                <w:noProof/>
                <w:color w:val="000000"/>
                <w:highlight w:val="black"/>
              </w:rPr>
              <w:t>''''''''''</w:t>
            </w:r>
          </w:p>
        </w:tc>
        <w:tc>
          <w:tcPr>
            <w:tcW w:w="707" w:type="pct"/>
            <w:shd w:val="clear" w:color="auto" w:fill="auto"/>
            <w:vAlign w:val="center"/>
          </w:tcPr>
          <w:p w:rsidR="007070CB" w:rsidRPr="00C42D5F" w:rsidRDefault="00C42D5F">
            <w:pPr>
              <w:pStyle w:val="Tabletext"/>
              <w:keepNext/>
              <w:jc w:val="center"/>
              <w:rPr>
                <w:bCs/>
                <w:color w:val="000000"/>
                <w:highlight w:val="black"/>
              </w:rPr>
            </w:pPr>
            <w:r>
              <w:rPr>
                <w:bCs/>
                <w:noProof/>
                <w:color w:val="000000"/>
                <w:highlight w:val="black"/>
              </w:rPr>
              <w:t>''''''''</w:t>
            </w:r>
          </w:p>
        </w:tc>
        <w:tc>
          <w:tcPr>
            <w:tcW w:w="629" w:type="pct"/>
            <w:shd w:val="clear" w:color="auto" w:fill="auto"/>
            <w:vAlign w:val="center"/>
          </w:tcPr>
          <w:p w:rsidR="007070CB" w:rsidRPr="00C42D5F" w:rsidRDefault="00C42D5F">
            <w:pPr>
              <w:pStyle w:val="Tabletext"/>
              <w:keepNext/>
              <w:jc w:val="center"/>
              <w:rPr>
                <w:bCs/>
                <w:color w:val="000000"/>
                <w:highlight w:val="black"/>
              </w:rPr>
            </w:pPr>
            <w:r>
              <w:rPr>
                <w:bCs/>
                <w:noProof/>
                <w:color w:val="000000"/>
                <w:highlight w:val="black"/>
              </w:rPr>
              <w:t>''''''''</w:t>
            </w:r>
          </w:p>
        </w:tc>
        <w:tc>
          <w:tcPr>
            <w:tcW w:w="629" w:type="pct"/>
            <w:shd w:val="clear" w:color="auto" w:fill="auto"/>
            <w:vAlign w:val="center"/>
          </w:tcPr>
          <w:p w:rsidR="007070CB" w:rsidRPr="00C42D5F" w:rsidRDefault="00C42D5F">
            <w:pPr>
              <w:pStyle w:val="Tabletext"/>
              <w:keepNext/>
              <w:jc w:val="center"/>
              <w:rPr>
                <w:bCs/>
                <w:color w:val="000000"/>
                <w:highlight w:val="black"/>
              </w:rPr>
            </w:pPr>
            <w:r>
              <w:rPr>
                <w:bCs/>
                <w:noProof/>
                <w:color w:val="000000"/>
                <w:highlight w:val="black"/>
              </w:rPr>
              <w:t>''''''''''</w:t>
            </w:r>
          </w:p>
        </w:tc>
        <w:tc>
          <w:tcPr>
            <w:tcW w:w="629" w:type="pct"/>
            <w:shd w:val="clear" w:color="auto" w:fill="auto"/>
            <w:vAlign w:val="center"/>
          </w:tcPr>
          <w:p w:rsidR="007070CB" w:rsidRPr="00C42D5F" w:rsidRDefault="00C42D5F">
            <w:pPr>
              <w:pStyle w:val="Tabletext"/>
              <w:keepNext/>
              <w:jc w:val="center"/>
              <w:rPr>
                <w:bCs/>
                <w:color w:val="000000"/>
                <w:highlight w:val="black"/>
              </w:rPr>
            </w:pPr>
            <w:r>
              <w:rPr>
                <w:bCs/>
                <w:noProof/>
                <w:color w:val="000000"/>
                <w:highlight w:val="black"/>
              </w:rPr>
              <w:t>''''''''''</w:t>
            </w:r>
          </w:p>
        </w:tc>
        <w:tc>
          <w:tcPr>
            <w:tcW w:w="599" w:type="pct"/>
            <w:vAlign w:val="center"/>
          </w:tcPr>
          <w:p w:rsidR="007070CB" w:rsidRPr="00C42D5F" w:rsidRDefault="00C42D5F">
            <w:pPr>
              <w:pStyle w:val="Tabletext"/>
              <w:keepNext/>
              <w:jc w:val="center"/>
              <w:rPr>
                <w:bCs/>
                <w:color w:val="000000"/>
                <w:highlight w:val="black"/>
              </w:rPr>
            </w:pPr>
            <w:r>
              <w:rPr>
                <w:bCs/>
                <w:noProof/>
                <w:color w:val="000000"/>
                <w:highlight w:val="black"/>
              </w:rPr>
              <w:t>''''''''''</w:t>
            </w:r>
          </w:p>
        </w:tc>
      </w:tr>
      <w:tr w:rsidR="007070CB">
        <w:tc>
          <w:tcPr>
            <w:tcW w:w="1178" w:type="pct"/>
            <w:shd w:val="clear" w:color="auto" w:fill="auto"/>
            <w:vAlign w:val="center"/>
          </w:tcPr>
          <w:p w:rsidR="007070CB" w:rsidRDefault="006E2E62">
            <w:pPr>
              <w:keepNext/>
              <w:widowControl/>
              <w:jc w:val="left"/>
              <w:rPr>
                <w:rFonts w:ascii="Times" w:hAnsi="Times" w:cs="Times New Roman"/>
                <w:snapToGrid/>
                <w:sz w:val="20"/>
              </w:rPr>
            </w:pPr>
            <w:r>
              <w:rPr>
                <w:rFonts w:ascii="Arial Narrow" w:hAnsi="Arial Narrow" w:cs="Times New Roman"/>
                <w:snapToGrid/>
                <w:sz w:val="20"/>
              </w:rPr>
              <w:t>Number of scripts dispensed</w:t>
            </w:r>
          </w:p>
        </w:tc>
        <w:tc>
          <w:tcPr>
            <w:tcW w:w="629" w:type="pct"/>
            <w:shd w:val="clear" w:color="auto" w:fill="auto"/>
          </w:tcPr>
          <w:p w:rsidR="007070CB" w:rsidRPr="00C42D5F" w:rsidRDefault="00C42D5F">
            <w:pPr>
              <w:pStyle w:val="Tabletext"/>
              <w:keepNext/>
              <w:jc w:val="center"/>
              <w:rPr>
                <w:bCs/>
                <w:color w:val="000000"/>
                <w:highlight w:val="black"/>
              </w:rPr>
            </w:pPr>
            <w:r>
              <w:rPr>
                <w:bCs/>
                <w:noProof/>
                <w:color w:val="000000"/>
                <w:highlight w:val="black"/>
              </w:rPr>
              <w:t>'''''''''''''</w:t>
            </w:r>
          </w:p>
        </w:tc>
        <w:tc>
          <w:tcPr>
            <w:tcW w:w="707" w:type="pct"/>
            <w:shd w:val="clear" w:color="auto" w:fill="auto"/>
          </w:tcPr>
          <w:p w:rsidR="007070CB" w:rsidRPr="00C42D5F" w:rsidRDefault="00C42D5F">
            <w:pPr>
              <w:pStyle w:val="Tabletext"/>
              <w:keepNext/>
              <w:jc w:val="center"/>
              <w:rPr>
                <w:bCs/>
                <w:color w:val="000000"/>
                <w:highlight w:val="black"/>
              </w:rPr>
            </w:pPr>
            <w:r>
              <w:rPr>
                <w:bCs/>
                <w:noProof/>
                <w:color w:val="000000"/>
                <w:highlight w:val="black"/>
              </w:rPr>
              <w:t>'''''''''''</w:t>
            </w:r>
          </w:p>
        </w:tc>
        <w:tc>
          <w:tcPr>
            <w:tcW w:w="629" w:type="pct"/>
            <w:shd w:val="clear" w:color="auto" w:fill="auto"/>
          </w:tcPr>
          <w:p w:rsidR="007070CB" w:rsidRPr="00C42D5F" w:rsidRDefault="00C42D5F">
            <w:pPr>
              <w:pStyle w:val="Tabletext"/>
              <w:keepNext/>
              <w:jc w:val="center"/>
              <w:rPr>
                <w:bCs/>
                <w:color w:val="000000"/>
                <w:highlight w:val="black"/>
              </w:rPr>
            </w:pPr>
            <w:r>
              <w:rPr>
                <w:bCs/>
                <w:noProof/>
                <w:color w:val="000000"/>
                <w:highlight w:val="black"/>
              </w:rPr>
              <w:t>'''''''''''''</w:t>
            </w:r>
          </w:p>
        </w:tc>
        <w:tc>
          <w:tcPr>
            <w:tcW w:w="629" w:type="pct"/>
            <w:shd w:val="clear" w:color="auto" w:fill="auto"/>
          </w:tcPr>
          <w:p w:rsidR="007070CB" w:rsidRPr="00C42D5F" w:rsidRDefault="00C42D5F">
            <w:pPr>
              <w:pStyle w:val="Tabletext"/>
              <w:keepNext/>
              <w:jc w:val="center"/>
              <w:rPr>
                <w:bCs/>
                <w:color w:val="000000"/>
                <w:highlight w:val="black"/>
              </w:rPr>
            </w:pPr>
            <w:r>
              <w:rPr>
                <w:bCs/>
                <w:noProof/>
                <w:color w:val="000000"/>
                <w:highlight w:val="black"/>
              </w:rPr>
              <w:t>'''''''''''</w:t>
            </w:r>
          </w:p>
        </w:tc>
        <w:tc>
          <w:tcPr>
            <w:tcW w:w="629" w:type="pct"/>
            <w:shd w:val="clear" w:color="auto" w:fill="auto"/>
          </w:tcPr>
          <w:p w:rsidR="007070CB" w:rsidRPr="00C42D5F" w:rsidRDefault="00C42D5F">
            <w:pPr>
              <w:pStyle w:val="Tabletext"/>
              <w:keepNext/>
              <w:jc w:val="center"/>
              <w:rPr>
                <w:bCs/>
                <w:color w:val="000000"/>
                <w:highlight w:val="black"/>
              </w:rPr>
            </w:pPr>
            <w:r>
              <w:rPr>
                <w:bCs/>
                <w:noProof/>
                <w:color w:val="000000"/>
                <w:highlight w:val="black"/>
              </w:rPr>
              <w:t>'''''''''''</w:t>
            </w:r>
          </w:p>
        </w:tc>
        <w:tc>
          <w:tcPr>
            <w:tcW w:w="599" w:type="pct"/>
          </w:tcPr>
          <w:p w:rsidR="007070CB" w:rsidRPr="00C42D5F" w:rsidRDefault="00C42D5F">
            <w:pPr>
              <w:pStyle w:val="Tabletext"/>
              <w:keepNext/>
              <w:jc w:val="center"/>
              <w:rPr>
                <w:bCs/>
                <w:color w:val="000000"/>
                <w:highlight w:val="black"/>
              </w:rPr>
            </w:pPr>
            <w:r>
              <w:rPr>
                <w:bCs/>
                <w:noProof/>
                <w:color w:val="000000"/>
                <w:highlight w:val="black"/>
              </w:rPr>
              <w:t>'''''''''''''</w:t>
            </w:r>
          </w:p>
        </w:tc>
      </w:tr>
      <w:tr w:rsidR="007070CB">
        <w:tc>
          <w:tcPr>
            <w:tcW w:w="5000" w:type="pct"/>
            <w:gridSpan w:val="7"/>
            <w:shd w:val="clear" w:color="auto" w:fill="auto"/>
            <w:vAlign w:val="center"/>
          </w:tcPr>
          <w:p w:rsidR="007070CB" w:rsidRDefault="006E2E62">
            <w:pPr>
              <w:keepNext/>
              <w:widowControl/>
              <w:jc w:val="left"/>
              <w:rPr>
                <w:rFonts w:ascii="Arial Narrow" w:hAnsi="Arial Narrow" w:cs="Times New Roman"/>
                <w:b/>
                <w:bCs/>
                <w:snapToGrid/>
                <w:color w:val="000000"/>
                <w:sz w:val="20"/>
              </w:rPr>
            </w:pPr>
            <w:r>
              <w:rPr>
                <w:rFonts w:ascii="Arial Narrow" w:hAnsi="Arial Narrow" w:cs="Times New Roman"/>
                <w:b/>
                <w:bCs/>
                <w:snapToGrid/>
                <w:color w:val="000000"/>
                <w:sz w:val="20"/>
              </w:rPr>
              <w:t>Estimated financial implications of lumacaftor/ivacaftor</w:t>
            </w:r>
          </w:p>
        </w:tc>
      </w:tr>
      <w:tr w:rsidR="007070CB">
        <w:tc>
          <w:tcPr>
            <w:tcW w:w="1178" w:type="pct"/>
            <w:shd w:val="clear" w:color="auto" w:fill="auto"/>
            <w:vAlign w:val="center"/>
          </w:tcPr>
          <w:p w:rsidR="007070CB" w:rsidRDefault="006E2E62">
            <w:pPr>
              <w:keepNext/>
              <w:widowControl/>
              <w:jc w:val="left"/>
              <w:rPr>
                <w:rFonts w:ascii="Arial Narrow" w:hAnsi="Arial Narrow" w:cs="Times New Roman"/>
                <w:snapToGrid/>
                <w:sz w:val="19"/>
                <w:szCs w:val="19"/>
              </w:rPr>
            </w:pPr>
            <w:r>
              <w:rPr>
                <w:rFonts w:ascii="Arial Narrow" w:hAnsi="Arial Narrow" w:cs="Times New Roman"/>
                <w:snapToGrid/>
                <w:sz w:val="19"/>
                <w:szCs w:val="19"/>
              </w:rPr>
              <w:t>Gross cost to PBS/RPBS</w:t>
            </w:r>
          </w:p>
        </w:tc>
        <w:tc>
          <w:tcPr>
            <w:tcW w:w="629" w:type="pct"/>
            <w:shd w:val="clear" w:color="auto" w:fill="auto"/>
            <w:vAlign w:val="center"/>
          </w:tcPr>
          <w:p w:rsidR="007070CB" w:rsidRDefault="007070CB">
            <w:pPr>
              <w:pStyle w:val="Tabletext"/>
              <w:keepNext/>
              <w:jc w:val="center"/>
              <w:rPr>
                <w:bCs/>
                <w:color w:val="000000"/>
              </w:rPr>
            </w:pPr>
          </w:p>
        </w:tc>
        <w:tc>
          <w:tcPr>
            <w:tcW w:w="707" w:type="pct"/>
            <w:shd w:val="clear" w:color="auto" w:fill="auto"/>
            <w:vAlign w:val="center"/>
          </w:tcPr>
          <w:p w:rsidR="007070CB" w:rsidRDefault="007070CB">
            <w:pPr>
              <w:pStyle w:val="Tabletext"/>
              <w:keepNext/>
              <w:jc w:val="center"/>
              <w:rPr>
                <w:bCs/>
                <w:color w:val="000000"/>
              </w:rPr>
            </w:pPr>
          </w:p>
        </w:tc>
        <w:tc>
          <w:tcPr>
            <w:tcW w:w="629" w:type="pct"/>
            <w:shd w:val="clear" w:color="auto" w:fill="auto"/>
            <w:vAlign w:val="center"/>
          </w:tcPr>
          <w:p w:rsidR="007070CB" w:rsidRDefault="007070CB">
            <w:pPr>
              <w:pStyle w:val="Tabletext"/>
              <w:keepNext/>
              <w:jc w:val="center"/>
              <w:rPr>
                <w:bCs/>
                <w:color w:val="000000"/>
              </w:rPr>
            </w:pPr>
          </w:p>
        </w:tc>
        <w:tc>
          <w:tcPr>
            <w:tcW w:w="629" w:type="pct"/>
            <w:shd w:val="clear" w:color="auto" w:fill="auto"/>
            <w:vAlign w:val="center"/>
          </w:tcPr>
          <w:p w:rsidR="007070CB" w:rsidRDefault="007070CB">
            <w:pPr>
              <w:pStyle w:val="Tabletext"/>
              <w:keepNext/>
              <w:jc w:val="center"/>
              <w:rPr>
                <w:bCs/>
                <w:color w:val="000000"/>
              </w:rPr>
            </w:pPr>
          </w:p>
        </w:tc>
        <w:tc>
          <w:tcPr>
            <w:tcW w:w="629" w:type="pct"/>
            <w:shd w:val="clear" w:color="auto" w:fill="auto"/>
            <w:vAlign w:val="center"/>
          </w:tcPr>
          <w:p w:rsidR="007070CB" w:rsidRDefault="007070CB">
            <w:pPr>
              <w:pStyle w:val="Tabletext"/>
              <w:keepNext/>
              <w:jc w:val="center"/>
              <w:rPr>
                <w:bCs/>
                <w:color w:val="000000"/>
              </w:rPr>
            </w:pPr>
          </w:p>
        </w:tc>
        <w:tc>
          <w:tcPr>
            <w:tcW w:w="599" w:type="pct"/>
            <w:vAlign w:val="center"/>
          </w:tcPr>
          <w:p w:rsidR="007070CB" w:rsidRDefault="007070CB">
            <w:pPr>
              <w:pStyle w:val="Tabletext"/>
              <w:keepNext/>
              <w:jc w:val="center"/>
              <w:rPr>
                <w:bCs/>
                <w:color w:val="000000"/>
              </w:rPr>
            </w:pPr>
          </w:p>
        </w:tc>
      </w:tr>
      <w:tr w:rsidR="007070CB">
        <w:tc>
          <w:tcPr>
            <w:tcW w:w="1178" w:type="pct"/>
            <w:shd w:val="clear" w:color="auto" w:fill="auto"/>
            <w:vAlign w:val="center"/>
          </w:tcPr>
          <w:p w:rsidR="007070CB" w:rsidRDefault="006E2E62">
            <w:pPr>
              <w:keepNext/>
              <w:widowControl/>
              <w:ind w:left="257"/>
              <w:jc w:val="left"/>
              <w:rPr>
                <w:rFonts w:ascii="Arial Narrow" w:hAnsi="Arial Narrow" w:cs="Times New Roman"/>
                <w:snapToGrid/>
                <w:sz w:val="19"/>
                <w:szCs w:val="19"/>
              </w:rPr>
            </w:pPr>
            <w:r>
              <w:rPr>
                <w:rFonts w:ascii="Arial Narrow" w:hAnsi="Arial Narrow" w:cs="Times New Roman"/>
                <w:snapToGrid/>
                <w:sz w:val="19"/>
                <w:szCs w:val="19"/>
              </w:rPr>
              <w:t>Without Cap</w:t>
            </w:r>
          </w:p>
        </w:tc>
        <w:tc>
          <w:tcPr>
            <w:tcW w:w="629" w:type="pct"/>
            <w:shd w:val="clear" w:color="auto" w:fill="auto"/>
            <w:vAlign w:val="bottom"/>
          </w:tcPr>
          <w:p w:rsidR="007070CB" w:rsidRPr="00C42D5F" w:rsidRDefault="00C42D5F">
            <w:pPr>
              <w:pStyle w:val="Tabletext"/>
              <w:keepNext/>
              <w:jc w:val="center"/>
              <w:rPr>
                <w:bCs/>
                <w:color w:val="000000"/>
                <w:highlight w:val="black"/>
              </w:rPr>
            </w:pPr>
            <w:r>
              <w:rPr>
                <w:noProof/>
                <w:color w:val="000000"/>
                <w:highlight w:val="black"/>
              </w:rPr>
              <w:t>'''''''''''''''''''''''''''''''</w:t>
            </w:r>
          </w:p>
        </w:tc>
        <w:tc>
          <w:tcPr>
            <w:tcW w:w="707" w:type="pct"/>
            <w:shd w:val="clear" w:color="auto" w:fill="auto"/>
            <w:vAlign w:val="bottom"/>
          </w:tcPr>
          <w:p w:rsidR="007070CB" w:rsidRPr="00C42D5F" w:rsidRDefault="00C42D5F">
            <w:pPr>
              <w:pStyle w:val="Tabletext"/>
              <w:keepNext/>
              <w:jc w:val="center"/>
              <w:rPr>
                <w:bCs/>
                <w:color w:val="000000"/>
                <w:highlight w:val="black"/>
              </w:rPr>
            </w:pPr>
            <w:r>
              <w:rPr>
                <w:noProof/>
                <w:color w:val="000000"/>
                <w:highlight w:val="black"/>
              </w:rPr>
              <w:t>'''''''''''''''''''''''''''''</w:t>
            </w:r>
          </w:p>
        </w:tc>
        <w:tc>
          <w:tcPr>
            <w:tcW w:w="629" w:type="pct"/>
            <w:shd w:val="clear" w:color="auto" w:fill="auto"/>
            <w:vAlign w:val="bottom"/>
          </w:tcPr>
          <w:p w:rsidR="007070CB" w:rsidRPr="00C42D5F" w:rsidRDefault="00C42D5F">
            <w:pPr>
              <w:pStyle w:val="Tabletext"/>
              <w:keepNext/>
              <w:jc w:val="center"/>
              <w:rPr>
                <w:bCs/>
                <w:color w:val="000000"/>
                <w:highlight w:val="black"/>
              </w:rPr>
            </w:pPr>
            <w:r>
              <w:rPr>
                <w:noProof/>
                <w:color w:val="000000"/>
                <w:highlight w:val="black"/>
              </w:rPr>
              <w:t>'''''''''''''''''''''''''''''''</w:t>
            </w:r>
          </w:p>
        </w:tc>
        <w:tc>
          <w:tcPr>
            <w:tcW w:w="629" w:type="pct"/>
            <w:shd w:val="clear" w:color="auto" w:fill="auto"/>
            <w:vAlign w:val="bottom"/>
          </w:tcPr>
          <w:p w:rsidR="007070CB" w:rsidRPr="00C42D5F" w:rsidRDefault="00C42D5F">
            <w:pPr>
              <w:pStyle w:val="Tabletext"/>
              <w:keepNext/>
              <w:jc w:val="center"/>
              <w:rPr>
                <w:bCs/>
                <w:color w:val="000000"/>
                <w:highlight w:val="black"/>
              </w:rPr>
            </w:pPr>
            <w:r>
              <w:rPr>
                <w:noProof/>
                <w:color w:val="000000"/>
                <w:highlight w:val="black"/>
              </w:rPr>
              <w:t>'''''''''''''''''''''''''''''</w:t>
            </w:r>
          </w:p>
        </w:tc>
        <w:tc>
          <w:tcPr>
            <w:tcW w:w="629" w:type="pct"/>
            <w:shd w:val="clear" w:color="auto" w:fill="auto"/>
            <w:vAlign w:val="bottom"/>
          </w:tcPr>
          <w:p w:rsidR="007070CB" w:rsidRPr="00C42D5F" w:rsidRDefault="00C42D5F">
            <w:pPr>
              <w:pStyle w:val="Tabletext"/>
              <w:keepNext/>
              <w:jc w:val="center"/>
              <w:rPr>
                <w:bCs/>
                <w:color w:val="000000"/>
                <w:highlight w:val="black"/>
              </w:rPr>
            </w:pPr>
            <w:r>
              <w:rPr>
                <w:noProof/>
                <w:color w:val="000000"/>
                <w:highlight w:val="black"/>
              </w:rPr>
              <w:t>'''''''''''''''''''''''''''''''</w:t>
            </w:r>
          </w:p>
        </w:tc>
        <w:tc>
          <w:tcPr>
            <w:tcW w:w="599" w:type="pct"/>
            <w:vAlign w:val="bottom"/>
          </w:tcPr>
          <w:p w:rsidR="007070CB" w:rsidRPr="00C42D5F" w:rsidRDefault="00C42D5F">
            <w:pPr>
              <w:pStyle w:val="Tabletext"/>
              <w:keepNext/>
              <w:jc w:val="center"/>
              <w:rPr>
                <w:bCs/>
                <w:color w:val="000000"/>
                <w:highlight w:val="black"/>
              </w:rPr>
            </w:pPr>
            <w:r>
              <w:rPr>
                <w:noProof/>
                <w:color w:val="000000"/>
                <w:highlight w:val="black"/>
              </w:rPr>
              <w:t>''''''''''''''''''''''''''''''''</w:t>
            </w:r>
          </w:p>
        </w:tc>
      </w:tr>
      <w:tr w:rsidR="007070CB">
        <w:tc>
          <w:tcPr>
            <w:tcW w:w="1178" w:type="pct"/>
            <w:shd w:val="clear" w:color="auto" w:fill="auto"/>
            <w:vAlign w:val="center"/>
          </w:tcPr>
          <w:p w:rsidR="007070CB" w:rsidRDefault="006E2E62">
            <w:pPr>
              <w:keepNext/>
              <w:widowControl/>
              <w:ind w:left="257"/>
              <w:jc w:val="left"/>
              <w:rPr>
                <w:rFonts w:ascii="Arial Narrow" w:hAnsi="Arial Narrow" w:cs="Times New Roman"/>
                <w:snapToGrid/>
                <w:sz w:val="19"/>
                <w:szCs w:val="19"/>
              </w:rPr>
            </w:pPr>
            <w:r>
              <w:rPr>
                <w:rFonts w:ascii="Arial Narrow" w:hAnsi="Arial Narrow" w:cs="Times New Roman"/>
                <w:snapToGrid/>
                <w:sz w:val="19"/>
                <w:szCs w:val="19"/>
              </w:rPr>
              <w:t>With Cap</w:t>
            </w:r>
          </w:p>
        </w:tc>
        <w:tc>
          <w:tcPr>
            <w:tcW w:w="629" w:type="pct"/>
            <w:shd w:val="clear" w:color="auto" w:fill="auto"/>
            <w:vAlign w:val="bottom"/>
          </w:tcPr>
          <w:p w:rsidR="007070CB" w:rsidRPr="00C42D5F" w:rsidRDefault="00C42D5F">
            <w:pPr>
              <w:pStyle w:val="Tabletext"/>
              <w:keepNext/>
              <w:jc w:val="center"/>
              <w:rPr>
                <w:bCs/>
                <w:color w:val="000000"/>
                <w:highlight w:val="black"/>
              </w:rPr>
            </w:pPr>
            <w:r>
              <w:rPr>
                <w:noProof/>
                <w:color w:val="000000"/>
                <w:highlight w:val="black"/>
              </w:rPr>
              <w:t>'''''''''''''''''''''''''''''</w:t>
            </w:r>
          </w:p>
        </w:tc>
        <w:tc>
          <w:tcPr>
            <w:tcW w:w="707" w:type="pct"/>
            <w:shd w:val="clear" w:color="auto" w:fill="auto"/>
            <w:vAlign w:val="bottom"/>
          </w:tcPr>
          <w:p w:rsidR="007070CB" w:rsidRPr="00C42D5F" w:rsidRDefault="00C42D5F">
            <w:pPr>
              <w:pStyle w:val="Tabletext"/>
              <w:keepNext/>
              <w:jc w:val="center"/>
              <w:rPr>
                <w:bCs/>
                <w:color w:val="000000"/>
                <w:highlight w:val="black"/>
              </w:rPr>
            </w:pPr>
            <w:r>
              <w:rPr>
                <w:noProof/>
                <w:color w:val="000000"/>
                <w:highlight w:val="black"/>
              </w:rPr>
              <w:t>''''''''''''''''''''''''''''</w:t>
            </w:r>
          </w:p>
        </w:tc>
        <w:tc>
          <w:tcPr>
            <w:tcW w:w="629" w:type="pct"/>
            <w:shd w:val="clear" w:color="auto" w:fill="auto"/>
            <w:vAlign w:val="bottom"/>
          </w:tcPr>
          <w:p w:rsidR="007070CB" w:rsidRPr="00C42D5F" w:rsidRDefault="00C42D5F">
            <w:pPr>
              <w:pStyle w:val="Tabletext"/>
              <w:keepNext/>
              <w:jc w:val="center"/>
              <w:rPr>
                <w:bCs/>
                <w:color w:val="000000"/>
                <w:highlight w:val="black"/>
              </w:rPr>
            </w:pPr>
            <w:r>
              <w:rPr>
                <w:noProof/>
                <w:color w:val="000000"/>
                <w:highlight w:val="black"/>
              </w:rPr>
              <w:t>'''''''''''''''''''''''''''''''</w:t>
            </w:r>
          </w:p>
        </w:tc>
        <w:tc>
          <w:tcPr>
            <w:tcW w:w="629" w:type="pct"/>
            <w:shd w:val="clear" w:color="auto" w:fill="auto"/>
            <w:vAlign w:val="bottom"/>
          </w:tcPr>
          <w:p w:rsidR="007070CB" w:rsidRPr="00C42D5F" w:rsidRDefault="00C42D5F">
            <w:pPr>
              <w:pStyle w:val="Tabletext"/>
              <w:keepNext/>
              <w:jc w:val="center"/>
              <w:rPr>
                <w:bCs/>
                <w:color w:val="000000"/>
                <w:highlight w:val="black"/>
              </w:rPr>
            </w:pPr>
            <w:r>
              <w:rPr>
                <w:noProof/>
                <w:color w:val="000000"/>
                <w:highlight w:val="black"/>
              </w:rPr>
              <w:t>''''''''''''''''''''''''''''</w:t>
            </w:r>
          </w:p>
        </w:tc>
        <w:tc>
          <w:tcPr>
            <w:tcW w:w="629" w:type="pct"/>
            <w:shd w:val="clear" w:color="auto" w:fill="auto"/>
            <w:vAlign w:val="bottom"/>
          </w:tcPr>
          <w:p w:rsidR="007070CB" w:rsidRPr="00C42D5F" w:rsidRDefault="00C42D5F">
            <w:pPr>
              <w:pStyle w:val="Tabletext"/>
              <w:keepNext/>
              <w:jc w:val="center"/>
              <w:rPr>
                <w:bCs/>
                <w:color w:val="000000"/>
                <w:highlight w:val="black"/>
              </w:rPr>
            </w:pPr>
            <w:r>
              <w:rPr>
                <w:noProof/>
                <w:color w:val="000000"/>
                <w:highlight w:val="black"/>
              </w:rPr>
              <w:t>'''''''''''''''''''''''''''''</w:t>
            </w:r>
          </w:p>
        </w:tc>
        <w:tc>
          <w:tcPr>
            <w:tcW w:w="599" w:type="pct"/>
            <w:vAlign w:val="bottom"/>
          </w:tcPr>
          <w:p w:rsidR="007070CB" w:rsidRPr="00C42D5F" w:rsidRDefault="00C42D5F">
            <w:pPr>
              <w:pStyle w:val="Tabletext"/>
              <w:keepNext/>
              <w:jc w:val="center"/>
              <w:rPr>
                <w:bCs/>
                <w:color w:val="000000"/>
                <w:highlight w:val="black"/>
              </w:rPr>
            </w:pPr>
            <w:r>
              <w:rPr>
                <w:noProof/>
                <w:color w:val="000000"/>
                <w:highlight w:val="black"/>
              </w:rPr>
              <w:t>''''''''''''''''''''''''''''''</w:t>
            </w:r>
          </w:p>
        </w:tc>
      </w:tr>
      <w:tr w:rsidR="007070CB">
        <w:tc>
          <w:tcPr>
            <w:tcW w:w="1178" w:type="pct"/>
            <w:shd w:val="clear" w:color="auto" w:fill="auto"/>
            <w:vAlign w:val="center"/>
          </w:tcPr>
          <w:p w:rsidR="007070CB" w:rsidRDefault="006E2E62">
            <w:pPr>
              <w:keepNext/>
              <w:widowControl/>
              <w:jc w:val="left"/>
              <w:rPr>
                <w:rFonts w:ascii="Arial Narrow" w:hAnsi="Arial Narrow" w:cs="Times New Roman"/>
                <w:snapToGrid/>
                <w:sz w:val="19"/>
                <w:szCs w:val="19"/>
              </w:rPr>
            </w:pPr>
            <w:r>
              <w:rPr>
                <w:rFonts w:ascii="Arial Narrow" w:hAnsi="Arial Narrow" w:cs="Times New Roman"/>
                <w:snapToGrid/>
                <w:sz w:val="19"/>
                <w:szCs w:val="19"/>
              </w:rPr>
              <w:t xml:space="preserve">Co-payment </w:t>
            </w:r>
          </w:p>
        </w:tc>
        <w:tc>
          <w:tcPr>
            <w:tcW w:w="629" w:type="pct"/>
            <w:shd w:val="clear" w:color="auto" w:fill="auto"/>
            <w:vAlign w:val="bottom"/>
          </w:tcPr>
          <w:p w:rsidR="007070CB" w:rsidRPr="00C42D5F" w:rsidRDefault="00C42D5F">
            <w:pPr>
              <w:pStyle w:val="Tabletext"/>
              <w:keepNext/>
              <w:jc w:val="center"/>
              <w:rPr>
                <w:bCs/>
                <w:color w:val="000000"/>
                <w:highlight w:val="black"/>
              </w:rPr>
            </w:pPr>
            <w:r>
              <w:rPr>
                <w:noProof/>
                <w:color w:val="000000"/>
                <w:highlight w:val="black"/>
              </w:rPr>
              <w:t>'''''''''''''''''''</w:t>
            </w:r>
          </w:p>
        </w:tc>
        <w:tc>
          <w:tcPr>
            <w:tcW w:w="707" w:type="pct"/>
            <w:shd w:val="clear" w:color="auto" w:fill="auto"/>
            <w:vAlign w:val="bottom"/>
          </w:tcPr>
          <w:p w:rsidR="007070CB" w:rsidRPr="00C42D5F" w:rsidRDefault="00C42D5F">
            <w:pPr>
              <w:pStyle w:val="Tabletext"/>
              <w:keepNext/>
              <w:jc w:val="center"/>
              <w:rPr>
                <w:bCs/>
                <w:color w:val="000000"/>
                <w:highlight w:val="black"/>
              </w:rPr>
            </w:pPr>
            <w:r>
              <w:rPr>
                <w:noProof/>
                <w:color w:val="000000"/>
                <w:highlight w:val="black"/>
              </w:rPr>
              <w:t>''''''''''''''''''</w:t>
            </w:r>
          </w:p>
        </w:tc>
        <w:tc>
          <w:tcPr>
            <w:tcW w:w="629" w:type="pct"/>
            <w:shd w:val="clear" w:color="auto" w:fill="auto"/>
            <w:vAlign w:val="bottom"/>
          </w:tcPr>
          <w:p w:rsidR="007070CB" w:rsidRPr="00C42D5F" w:rsidRDefault="00C42D5F">
            <w:pPr>
              <w:pStyle w:val="Tabletext"/>
              <w:keepNext/>
              <w:jc w:val="center"/>
              <w:rPr>
                <w:bCs/>
                <w:color w:val="000000"/>
                <w:highlight w:val="black"/>
              </w:rPr>
            </w:pPr>
            <w:r>
              <w:rPr>
                <w:noProof/>
                <w:color w:val="000000"/>
                <w:highlight w:val="black"/>
              </w:rPr>
              <w:t>'''''''''''''''''''</w:t>
            </w:r>
          </w:p>
        </w:tc>
        <w:tc>
          <w:tcPr>
            <w:tcW w:w="629" w:type="pct"/>
            <w:shd w:val="clear" w:color="auto" w:fill="auto"/>
            <w:vAlign w:val="bottom"/>
          </w:tcPr>
          <w:p w:rsidR="007070CB" w:rsidRPr="00C42D5F" w:rsidRDefault="00C42D5F">
            <w:pPr>
              <w:pStyle w:val="Tabletext"/>
              <w:keepNext/>
              <w:jc w:val="center"/>
              <w:rPr>
                <w:bCs/>
                <w:color w:val="000000"/>
                <w:highlight w:val="black"/>
              </w:rPr>
            </w:pPr>
            <w:r>
              <w:rPr>
                <w:noProof/>
                <w:color w:val="000000"/>
                <w:highlight w:val="black"/>
              </w:rPr>
              <w:t>''''''''''''''''''</w:t>
            </w:r>
          </w:p>
        </w:tc>
        <w:tc>
          <w:tcPr>
            <w:tcW w:w="629" w:type="pct"/>
            <w:shd w:val="clear" w:color="auto" w:fill="auto"/>
            <w:vAlign w:val="bottom"/>
          </w:tcPr>
          <w:p w:rsidR="007070CB" w:rsidRPr="00C42D5F" w:rsidRDefault="00C42D5F">
            <w:pPr>
              <w:pStyle w:val="Tabletext"/>
              <w:keepNext/>
              <w:jc w:val="center"/>
              <w:rPr>
                <w:bCs/>
                <w:color w:val="000000"/>
                <w:highlight w:val="black"/>
              </w:rPr>
            </w:pPr>
            <w:r>
              <w:rPr>
                <w:noProof/>
                <w:color w:val="000000"/>
                <w:highlight w:val="black"/>
              </w:rPr>
              <w:t>'''''''''''''''''</w:t>
            </w:r>
          </w:p>
        </w:tc>
        <w:tc>
          <w:tcPr>
            <w:tcW w:w="599" w:type="pct"/>
            <w:vAlign w:val="bottom"/>
          </w:tcPr>
          <w:p w:rsidR="007070CB" w:rsidRPr="00C42D5F" w:rsidRDefault="00C42D5F">
            <w:pPr>
              <w:pStyle w:val="Tabletext"/>
              <w:keepNext/>
              <w:jc w:val="center"/>
              <w:rPr>
                <w:bCs/>
                <w:color w:val="000000"/>
                <w:highlight w:val="black"/>
              </w:rPr>
            </w:pPr>
            <w:r>
              <w:rPr>
                <w:noProof/>
                <w:color w:val="000000"/>
                <w:highlight w:val="black"/>
              </w:rPr>
              <w:t>''''''''''''''''''''</w:t>
            </w:r>
          </w:p>
        </w:tc>
      </w:tr>
      <w:tr w:rsidR="007070CB">
        <w:tc>
          <w:tcPr>
            <w:tcW w:w="1178" w:type="pct"/>
            <w:shd w:val="clear" w:color="auto" w:fill="auto"/>
            <w:vAlign w:val="center"/>
          </w:tcPr>
          <w:p w:rsidR="007070CB" w:rsidRDefault="006E2E62">
            <w:pPr>
              <w:keepNext/>
              <w:widowControl/>
              <w:jc w:val="left"/>
              <w:rPr>
                <w:rFonts w:ascii="Arial Narrow" w:hAnsi="Arial Narrow" w:cs="Times New Roman"/>
                <w:snapToGrid/>
                <w:sz w:val="19"/>
                <w:szCs w:val="19"/>
              </w:rPr>
            </w:pPr>
            <w:r>
              <w:rPr>
                <w:rFonts w:ascii="Arial Narrow" w:hAnsi="Arial Narrow" w:cs="Times New Roman"/>
                <w:snapToGrid/>
                <w:sz w:val="19"/>
                <w:szCs w:val="19"/>
              </w:rPr>
              <w:t xml:space="preserve">Net cost PBS/RPBS </w:t>
            </w:r>
          </w:p>
        </w:tc>
        <w:tc>
          <w:tcPr>
            <w:tcW w:w="629" w:type="pct"/>
            <w:shd w:val="clear" w:color="auto" w:fill="auto"/>
          </w:tcPr>
          <w:p w:rsidR="007070CB" w:rsidRDefault="007070CB">
            <w:pPr>
              <w:keepNext/>
              <w:widowControl/>
              <w:jc w:val="center"/>
              <w:rPr>
                <w:rFonts w:ascii="Arial Narrow" w:hAnsi="Arial Narrow" w:cs="Times New Roman"/>
                <w:bCs/>
                <w:snapToGrid/>
                <w:color w:val="000000"/>
                <w:sz w:val="20"/>
              </w:rPr>
            </w:pPr>
          </w:p>
        </w:tc>
        <w:tc>
          <w:tcPr>
            <w:tcW w:w="707" w:type="pct"/>
            <w:shd w:val="clear" w:color="auto" w:fill="auto"/>
          </w:tcPr>
          <w:p w:rsidR="007070CB" w:rsidRDefault="007070CB">
            <w:pPr>
              <w:keepNext/>
              <w:widowControl/>
              <w:jc w:val="center"/>
              <w:rPr>
                <w:rFonts w:ascii="Arial Narrow" w:hAnsi="Arial Narrow" w:cs="Times New Roman"/>
                <w:bCs/>
                <w:snapToGrid/>
                <w:color w:val="000000"/>
                <w:sz w:val="20"/>
              </w:rPr>
            </w:pPr>
          </w:p>
        </w:tc>
        <w:tc>
          <w:tcPr>
            <w:tcW w:w="629" w:type="pct"/>
            <w:shd w:val="clear" w:color="auto" w:fill="auto"/>
          </w:tcPr>
          <w:p w:rsidR="007070CB" w:rsidRDefault="007070CB">
            <w:pPr>
              <w:keepNext/>
              <w:widowControl/>
              <w:jc w:val="center"/>
              <w:rPr>
                <w:rFonts w:ascii="Arial Narrow" w:hAnsi="Arial Narrow" w:cs="Times New Roman"/>
                <w:bCs/>
                <w:snapToGrid/>
                <w:color w:val="000000"/>
                <w:sz w:val="20"/>
              </w:rPr>
            </w:pPr>
          </w:p>
        </w:tc>
        <w:tc>
          <w:tcPr>
            <w:tcW w:w="629" w:type="pct"/>
            <w:shd w:val="clear" w:color="auto" w:fill="auto"/>
          </w:tcPr>
          <w:p w:rsidR="007070CB" w:rsidRDefault="007070CB">
            <w:pPr>
              <w:keepNext/>
              <w:widowControl/>
              <w:jc w:val="center"/>
              <w:rPr>
                <w:rFonts w:ascii="Arial Narrow" w:hAnsi="Arial Narrow" w:cs="Times New Roman"/>
                <w:bCs/>
                <w:snapToGrid/>
                <w:color w:val="000000"/>
                <w:sz w:val="20"/>
              </w:rPr>
            </w:pPr>
          </w:p>
        </w:tc>
        <w:tc>
          <w:tcPr>
            <w:tcW w:w="629" w:type="pct"/>
            <w:shd w:val="clear" w:color="auto" w:fill="auto"/>
          </w:tcPr>
          <w:p w:rsidR="007070CB" w:rsidRDefault="007070CB">
            <w:pPr>
              <w:keepNext/>
              <w:widowControl/>
              <w:jc w:val="center"/>
              <w:rPr>
                <w:rFonts w:ascii="Arial Narrow" w:hAnsi="Arial Narrow" w:cs="Times New Roman"/>
                <w:bCs/>
                <w:snapToGrid/>
                <w:color w:val="000000"/>
                <w:sz w:val="20"/>
              </w:rPr>
            </w:pPr>
          </w:p>
        </w:tc>
        <w:tc>
          <w:tcPr>
            <w:tcW w:w="599" w:type="pct"/>
          </w:tcPr>
          <w:p w:rsidR="007070CB" w:rsidRDefault="007070CB">
            <w:pPr>
              <w:keepNext/>
              <w:widowControl/>
              <w:jc w:val="center"/>
              <w:rPr>
                <w:rFonts w:ascii="Arial Narrow" w:hAnsi="Arial Narrow" w:cs="Times New Roman"/>
                <w:bCs/>
                <w:snapToGrid/>
                <w:color w:val="000000"/>
                <w:sz w:val="20"/>
              </w:rPr>
            </w:pPr>
          </w:p>
        </w:tc>
      </w:tr>
      <w:tr w:rsidR="007070CB">
        <w:tc>
          <w:tcPr>
            <w:tcW w:w="1178" w:type="pct"/>
            <w:shd w:val="clear" w:color="auto" w:fill="auto"/>
            <w:vAlign w:val="center"/>
          </w:tcPr>
          <w:p w:rsidR="007070CB" w:rsidRDefault="006E2E62">
            <w:pPr>
              <w:keepNext/>
              <w:widowControl/>
              <w:ind w:left="257"/>
              <w:jc w:val="left"/>
              <w:rPr>
                <w:rFonts w:ascii="Arial Narrow" w:hAnsi="Arial Narrow" w:cs="Times New Roman"/>
                <w:snapToGrid/>
                <w:sz w:val="19"/>
                <w:szCs w:val="19"/>
              </w:rPr>
            </w:pPr>
            <w:r>
              <w:rPr>
                <w:rFonts w:ascii="Arial Narrow" w:hAnsi="Arial Narrow" w:cs="Times New Roman"/>
                <w:snapToGrid/>
                <w:sz w:val="19"/>
                <w:szCs w:val="19"/>
              </w:rPr>
              <w:t>Without Cap</w:t>
            </w:r>
          </w:p>
        </w:tc>
        <w:tc>
          <w:tcPr>
            <w:tcW w:w="629" w:type="pct"/>
          </w:tcPr>
          <w:p w:rsidR="007070CB" w:rsidRPr="00C42D5F" w:rsidRDefault="00C42D5F">
            <w:pPr>
              <w:pStyle w:val="Tabletext"/>
              <w:keepNext/>
              <w:jc w:val="center"/>
              <w:rPr>
                <w:highlight w:val="black"/>
              </w:rPr>
            </w:pPr>
            <w:r>
              <w:rPr>
                <w:noProof/>
                <w:color w:val="000000"/>
                <w:highlight w:val="black"/>
              </w:rPr>
              <w:t>'''''''''''''''''''''''''''</w:t>
            </w:r>
          </w:p>
        </w:tc>
        <w:tc>
          <w:tcPr>
            <w:tcW w:w="707" w:type="pct"/>
          </w:tcPr>
          <w:p w:rsidR="007070CB" w:rsidRPr="00C42D5F" w:rsidRDefault="00C42D5F">
            <w:pPr>
              <w:pStyle w:val="Tabletext"/>
              <w:keepNext/>
              <w:jc w:val="center"/>
              <w:rPr>
                <w:highlight w:val="black"/>
              </w:rPr>
            </w:pPr>
            <w:r>
              <w:rPr>
                <w:noProof/>
                <w:color w:val="000000"/>
                <w:highlight w:val="black"/>
              </w:rPr>
              <w:t>''''''''''''''''''''''''''''</w:t>
            </w:r>
          </w:p>
        </w:tc>
        <w:tc>
          <w:tcPr>
            <w:tcW w:w="629" w:type="pct"/>
          </w:tcPr>
          <w:p w:rsidR="007070CB" w:rsidRPr="00C42D5F" w:rsidRDefault="00C42D5F">
            <w:pPr>
              <w:pStyle w:val="Tabletext"/>
              <w:keepNext/>
              <w:jc w:val="center"/>
              <w:rPr>
                <w:highlight w:val="black"/>
              </w:rPr>
            </w:pPr>
            <w:r>
              <w:rPr>
                <w:noProof/>
                <w:color w:val="000000"/>
                <w:highlight w:val="black"/>
              </w:rPr>
              <w:t>'''''''''''''''''''''''''''''''''</w:t>
            </w:r>
          </w:p>
        </w:tc>
        <w:tc>
          <w:tcPr>
            <w:tcW w:w="629" w:type="pct"/>
          </w:tcPr>
          <w:p w:rsidR="007070CB" w:rsidRPr="00C42D5F" w:rsidRDefault="00C42D5F">
            <w:pPr>
              <w:pStyle w:val="Tabletext"/>
              <w:keepNext/>
              <w:jc w:val="center"/>
              <w:rPr>
                <w:highlight w:val="black"/>
              </w:rPr>
            </w:pPr>
            <w:r>
              <w:rPr>
                <w:noProof/>
                <w:color w:val="000000"/>
                <w:highlight w:val="black"/>
              </w:rPr>
              <w:t>'''''''''''''''''''''''''''''</w:t>
            </w:r>
          </w:p>
        </w:tc>
        <w:tc>
          <w:tcPr>
            <w:tcW w:w="629" w:type="pct"/>
            <w:shd w:val="clear" w:color="auto" w:fill="auto"/>
          </w:tcPr>
          <w:p w:rsidR="007070CB" w:rsidRPr="00C42D5F" w:rsidRDefault="00C42D5F">
            <w:pPr>
              <w:pStyle w:val="Tabletext"/>
              <w:keepNext/>
              <w:jc w:val="center"/>
              <w:rPr>
                <w:highlight w:val="black"/>
              </w:rPr>
            </w:pPr>
            <w:r>
              <w:rPr>
                <w:noProof/>
                <w:color w:val="000000"/>
                <w:highlight w:val="black"/>
              </w:rPr>
              <w:t>'''''''''''''''''''''''''''</w:t>
            </w:r>
          </w:p>
        </w:tc>
        <w:tc>
          <w:tcPr>
            <w:tcW w:w="599" w:type="pct"/>
          </w:tcPr>
          <w:p w:rsidR="007070CB" w:rsidRPr="00C42D5F" w:rsidRDefault="00C42D5F">
            <w:pPr>
              <w:pStyle w:val="Tabletext"/>
              <w:keepNext/>
              <w:jc w:val="center"/>
              <w:rPr>
                <w:highlight w:val="black"/>
              </w:rPr>
            </w:pPr>
            <w:r>
              <w:rPr>
                <w:noProof/>
                <w:color w:val="000000"/>
                <w:highlight w:val="black"/>
              </w:rPr>
              <w:t>'''''''''''''''''''''''''''''</w:t>
            </w:r>
          </w:p>
        </w:tc>
      </w:tr>
      <w:tr w:rsidR="007070CB">
        <w:tc>
          <w:tcPr>
            <w:tcW w:w="1178" w:type="pct"/>
            <w:shd w:val="clear" w:color="auto" w:fill="auto"/>
            <w:vAlign w:val="center"/>
          </w:tcPr>
          <w:p w:rsidR="007070CB" w:rsidRDefault="006E2E62">
            <w:pPr>
              <w:keepNext/>
              <w:widowControl/>
              <w:ind w:left="257"/>
              <w:jc w:val="left"/>
              <w:rPr>
                <w:rFonts w:ascii="Arial Narrow" w:hAnsi="Arial Narrow" w:cs="Times New Roman"/>
                <w:snapToGrid/>
                <w:sz w:val="19"/>
                <w:szCs w:val="19"/>
              </w:rPr>
            </w:pPr>
            <w:r>
              <w:rPr>
                <w:rFonts w:ascii="Arial Narrow" w:hAnsi="Arial Narrow" w:cs="Times New Roman"/>
                <w:snapToGrid/>
                <w:sz w:val="19"/>
                <w:szCs w:val="19"/>
              </w:rPr>
              <w:t>With Cap</w:t>
            </w:r>
          </w:p>
        </w:tc>
        <w:tc>
          <w:tcPr>
            <w:tcW w:w="629" w:type="pct"/>
            <w:vAlign w:val="bottom"/>
          </w:tcPr>
          <w:p w:rsidR="007070CB" w:rsidRPr="00C42D5F" w:rsidRDefault="00C42D5F">
            <w:pPr>
              <w:pStyle w:val="Tabletext"/>
              <w:keepNext/>
              <w:jc w:val="center"/>
              <w:rPr>
                <w:highlight w:val="black"/>
              </w:rPr>
            </w:pPr>
            <w:r>
              <w:rPr>
                <w:noProof/>
                <w:color w:val="000000"/>
                <w:highlight w:val="black"/>
              </w:rPr>
              <w:t>'''''''''''''''''''''''''''</w:t>
            </w:r>
          </w:p>
        </w:tc>
        <w:tc>
          <w:tcPr>
            <w:tcW w:w="707" w:type="pct"/>
            <w:vAlign w:val="bottom"/>
          </w:tcPr>
          <w:p w:rsidR="007070CB" w:rsidRPr="00C42D5F" w:rsidRDefault="00C42D5F">
            <w:pPr>
              <w:pStyle w:val="Tabletext"/>
              <w:keepNext/>
              <w:jc w:val="center"/>
              <w:rPr>
                <w:highlight w:val="black"/>
              </w:rPr>
            </w:pPr>
            <w:r>
              <w:rPr>
                <w:noProof/>
                <w:color w:val="000000"/>
                <w:highlight w:val="black"/>
              </w:rPr>
              <w:t>'''''''''''''''''''''''''''''</w:t>
            </w:r>
          </w:p>
        </w:tc>
        <w:tc>
          <w:tcPr>
            <w:tcW w:w="629" w:type="pct"/>
            <w:vAlign w:val="bottom"/>
          </w:tcPr>
          <w:p w:rsidR="007070CB" w:rsidRPr="00C42D5F" w:rsidRDefault="00C42D5F">
            <w:pPr>
              <w:pStyle w:val="Tabletext"/>
              <w:keepNext/>
              <w:jc w:val="center"/>
              <w:rPr>
                <w:highlight w:val="black"/>
              </w:rPr>
            </w:pPr>
            <w:r>
              <w:rPr>
                <w:noProof/>
                <w:color w:val="000000"/>
                <w:highlight w:val="black"/>
              </w:rPr>
              <w:t>''''''''''''''''''''''''''''''</w:t>
            </w:r>
          </w:p>
        </w:tc>
        <w:tc>
          <w:tcPr>
            <w:tcW w:w="629" w:type="pct"/>
            <w:vAlign w:val="bottom"/>
          </w:tcPr>
          <w:p w:rsidR="007070CB" w:rsidRPr="00C42D5F" w:rsidRDefault="00C42D5F">
            <w:pPr>
              <w:pStyle w:val="Tabletext"/>
              <w:keepNext/>
              <w:jc w:val="center"/>
              <w:rPr>
                <w:highlight w:val="black"/>
              </w:rPr>
            </w:pPr>
            <w:r>
              <w:rPr>
                <w:noProof/>
                <w:color w:val="000000"/>
                <w:highlight w:val="black"/>
              </w:rPr>
              <w:t>'''''''''''''''''''''''''''''</w:t>
            </w:r>
          </w:p>
        </w:tc>
        <w:tc>
          <w:tcPr>
            <w:tcW w:w="629" w:type="pct"/>
            <w:shd w:val="clear" w:color="auto" w:fill="auto"/>
          </w:tcPr>
          <w:p w:rsidR="007070CB" w:rsidRPr="00C42D5F" w:rsidRDefault="00C42D5F">
            <w:pPr>
              <w:pStyle w:val="Tabletext"/>
              <w:keepNext/>
              <w:jc w:val="center"/>
              <w:rPr>
                <w:highlight w:val="black"/>
              </w:rPr>
            </w:pPr>
            <w:r>
              <w:rPr>
                <w:noProof/>
                <w:color w:val="000000"/>
                <w:highlight w:val="black"/>
              </w:rPr>
              <w:t>''''''''''''''''''''''''''''''''</w:t>
            </w:r>
          </w:p>
        </w:tc>
        <w:tc>
          <w:tcPr>
            <w:tcW w:w="599" w:type="pct"/>
          </w:tcPr>
          <w:p w:rsidR="007070CB" w:rsidRPr="00C42D5F" w:rsidRDefault="00C42D5F">
            <w:pPr>
              <w:pStyle w:val="Tabletext"/>
              <w:keepNext/>
              <w:jc w:val="center"/>
              <w:rPr>
                <w:highlight w:val="black"/>
              </w:rPr>
            </w:pPr>
            <w:r>
              <w:rPr>
                <w:noProof/>
                <w:color w:val="000000"/>
                <w:highlight w:val="black"/>
              </w:rPr>
              <w:t>''''''''''''''''''''''''''''</w:t>
            </w:r>
          </w:p>
        </w:tc>
      </w:tr>
      <w:tr w:rsidR="007070CB">
        <w:tc>
          <w:tcPr>
            <w:tcW w:w="5000" w:type="pct"/>
            <w:gridSpan w:val="7"/>
            <w:shd w:val="clear" w:color="auto" w:fill="auto"/>
            <w:vAlign w:val="center"/>
          </w:tcPr>
          <w:p w:rsidR="007070CB" w:rsidRDefault="006E2E62">
            <w:pPr>
              <w:keepNext/>
              <w:widowControl/>
              <w:jc w:val="left"/>
              <w:rPr>
                <w:rFonts w:ascii="Arial Narrow" w:hAnsi="Arial Narrow" w:cs="Times New Roman"/>
                <w:b/>
                <w:bCs/>
                <w:snapToGrid/>
                <w:color w:val="000000"/>
                <w:sz w:val="20"/>
              </w:rPr>
            </w:pPr>
            <w:r>
              <w:rPr>
                <w:rFonts w:ascii="Arial Narrow" w:hAnsi="Arial Narrow" w:cs="Times New Roman"/>
                <w:b/>
                <w:bCs/>
                <w:snapToGrid/>
                <w:color w:val="000000"/>
                <w:sz w:val="20"/>
              </w:rPr>
              <w:t>Net financial implications</w:t>
            </w:r>
          </w:p>
        </w:tc>
      </w:tr>
      <w:tr w:rsidR="007070CB">
        <w:tc>
          <w:tcPr>
            <w:tcW w:w="1178" w:type="pct"/>
            <w:tcBorders>
              <w:bottom w:val="single" w:sz="4" w:space="0" w:color="auto"/>
            </w:tcBorders>
            <w:shd w:val="clear" w:color="auto" w:fill="auto"/>
            <w:vAlign w:val="center"/>
          </w:tcPr>
          <w:p w:rsidR="007070CB" w:rsidRDefault="006E2E62">
            <w:pPr>
              <w:keepNext/>
              <w:widowControl/>
              <w:jc w:val="left"/>
              <w:rPr>
                <w:rFonts w:ascii="Times" w:hAnsi="Times" w:cs="Times New Roman"/>
                <w:snapToGrid/>
                <w:sz w:val="20"/>
              </w:rPr>
            </w:pPr>
            <w:r>
              <w:rPr>
                <w:rFonts w:ascii="Arial Narrow" w:hAnsi="Arial Narrow" w:cs="Times New Roman"/>
                <w:snapToGrid/>
                <w:sz w:val="19"/>
                <w:szCs w:val="19"/>
              </w:rPr>
              <w:t>Net cost to MBS</w:t>
            </w:r>
          </w:p>
        </w:tc>
        <w:tc>
          <w:tcPr>
            <w:tcW w:w="629" w:type="pct"/>
            <w:tcBorders>
              <w:bottom w:val="single" w:sz="4" w:space="0" w:color="auto"/>
            </w:tcBorders>
            <w:shd w:val="clear" w:color="auto" w:fill="auto"/>
            <w:vAlign w:val="center"/>
          </w:tcPr>
          <w:p w:rsidR="007070CB" w:rsidRPr="00C42D5F" w:rsidRDefault="00C42D5F">
            <w:pPr>
              <w:keepNext/>
              <w:widowControl/>
              <w:jc w:val="center"/>
              <w:rPr>
                <w:rFonts w:ascii="Arial Narrow" w:hAnsi="Arial Narrow" w:cs="Times New Roman"/>
                <w:bCs/>
                <w:snapToGrid/>
                <w:color w:val="000000"/>
                <w:sz w:val="20"/>
                <w:highlight w:val="black"/>
              </w:rPr>
            </w:pPr>
            <w:r>
              <w:rPr>
                <w:rFonts w:ascii="Arial Narrow" w:hAnsi="Arial Narrow"/>
                <w:noProof/>
                <w:color w:val="000000"/>
                <w:sz w:val="20"/>
                <w:szCs w:val="20"/>
                <w:highlight w:val="black"/>
              </w:rPr>
              <w:t>''''''''''''''''''</w:t>
            </w:r>
          </w:p>
        </w:tc>
        <w:tc>
          <w:tcPr>
            <w:tcW w:w="707" w:type="pct"/>
            <w:tcBorders>
              <w:bottom w:val="single" w:sz="4" w:space="0" w:color="auto"/>
            </w:tcBorders>
            <w:shd w:val="clear" w:color="auto" w:fill="auto"/>
            <w:vAlign w:val="center"/>
          </w:tcPr>
          <w:p w:rsidR="007070CB" w:rsidRPr="00C42D5F" w:rsidRDefault="00C42D5F">
            <w:pPr>
              <w:keepNext/>
              <w:widowControl/>
              <w:jc w:val="center"/>
              <w:rPr>
                <w:rFonts w:ascii="Arial Narrow" w:hAnsi="Arial Narrow" w:cs="Times New Roman"/>
                <w:bCs/>
                <w:snapToGrid/>
                <w:color w:val="000000"/>
                <w:sz w:val="20"/>
                <w:highlight w:val="black"/>
              </w:rPr>
            </w:pPr>
            <w:r>
              <w:rPr>
                <w:rFonts w:ascii="Arial Narrow" w:hAnsi="Arial Narrow"/>
                <w:noProof/>
                <w:color w:val="000000"/>
                <w:sz w:val="20"/>
                <w:szCs w:val="20"/>
                <w:highlight w:val="black"/>
              </w:rPr>
              <w:t>'''''''''''''''</w:t>
            </w:r>
          </w:p>
        </w:tc>
        <w:tc>
          <w:tcPr>
            <w:tcW w:w="629" w:type="pct"/>
            <w:tcBorders>
              <w:bottom w:val="single" w:sz="4" w:space="0" w:color="auto"/>
            </w:tcBorders>
            <w:shd w:val="clear" w:color="auto" w:fill="auto"/>
            <w:vAlign w:val="center"/>
          </w:tcPr>
          <w:p w:rsidR="007070CB" w:rsidRPr="00C42D5F" w:rsidRDefault="00C42D5F">
            <w:pPr>
              <w:keepNext/>
              <w:widowControl/>
              <w:jc w:val="center"/>
              <w:rPr>
                <w:rFonts w:ascii="Arial Narrow" w:hAnsi="Arial Narrow" w:cs="Times New Roman"/>
                <w:bCs/>
                <w:snapToGrid/>
                <w:color w:val="000000"/>
                <w:sz w:val="20"/>
                <w:highlight w:val="black"/>
              </w:rPr>
            </w:pPr>
            <w:r>
              <w:rPr>
                <w:rFonts w:ascii="Arial Narrow" w:hAnsi="Arial Narrow"/>
                <w:noProof/>
                <w:color w:val="000000"/>
                <w:sz w:val="20"/>
                <w:szCs w:val="20"/>
                <w:highlight w:val="black"/>
              </w:rPr>
              <w:t>''''''''''''''''</w:t>
            </w:r>
          </w:p>
        </w:tc>
        <w:tc>
          <w:tcPr>
            <w:tcW w:w="629" w:type="pct"/>
            <w:tcBorders>
              <w:bottom w:val="single" w:sz="4" w:space="0" w:color="auto"/>
            </w:tcBorders>
            <w:shd w:val="clear" w:color="auto" w:fill="auto"/>
            <w:vAlign w:val="center"/>
          </w:tcPr>
          <w:p w:rsidR="007070CB" w:rsidRPr="00C42D5F" w:rsidRDefault="00C42D5F">
            <w:pPr>
              <w:keepNext/>
              <w:widowControl/>
              <w:jc w:val="center"/>
              <w:rPr>
                <w:rFonts w:ascii="Arial Narrow" w:hAnsi="Arial Narrow" w:cs="Times New Roman"/>
                <w:bCs/>
                <w:snapToGrid/>
                <w:color w:val="000000"/>
                <w:sz w:val="20"/>
                <w:highlight w:val="black"/>
              </w:rPr>
            </w:pPr>
            <w:r>
              <w:rPr>
                <w:rFonts w:ascii="Arial Narrow" w:hAnsi="Arial Narrow"/>
                <w:noProof/>
                <w:color w:val="000000"/>
                <w:sz w:val="20"/>
                <w:szCs w:val="20"/>
                <w:highlight w:val="black"/>
              </w:rPr>
              <w:t>'''''''''''''''</w:t>
            </w:r>
          </w:p>
        </w:tc>
        <w:tc>
          <w:tcPr>
            <w:tcW w:w="629" w:type="pct"/>
            <w:tcBorders>
              <w:bottom w:val="single" w:sz="4" w:space="0" w:color="auto"/>
            </w:tcBorders>
            <w:shd w:val="clear" w:color="auto" w:fill="auto"/>
            <w:vAlign w:val="center"/>
          </w:tcPr>
          <w:p w:rsidR="007070CB" w:rsidRPr="00C42D5F" w:rsidRDefault="00C42D5F">
            <w:pPr>
              <w:keepNext/>
              <w:widowControl/>
              <w:jc w:val="center"/>
              <w:rPr>
                <w:rFonts w:ascii="Arial Narrow" w:hAnsi="Arial Narrow" w:cs="Times New Roman"/>
                <w:bCs/>
                <w:snapToGrid/>
                <w:color w:val="000000"/>
                <w:sz w:val="20"/>
                <w:highlight w:val="black"/>
              </w:rPr>
            </w:pPr>
            <w:r>
              <w:rPr>
                <w:rFonts w:ascii="Arial Narrow" w:hAnsi="Arial Narrow"/>
                <w:noProof/>
                <w:color w:val="000000"/>
                <w:sz w:val="20"/>
                <w:szCs w:val="20"/>
                <w:highlight w:val="black"/>
              </w:rPr>
              <w:t>'''''''''''''''''</w:t>
            </w:r>
          </w:p>
        </w:tc>
        <w:tc>
          <w:tcPr>
            <w:tcW w:w="599" w:type="pct"/>
            <w:tcBorders>
              <w:bottom w:val="single" w:sz="4" w:space="0" w:color="auto"/>
            </w:tcBorders>
            <w:vAlign w:val="center"/>
          </w:tcPr>
          <w:p w:rsidR="007070CB" w:rsidRPr="00C42D5F" w:rsidRDefault="00C42D5F">
            <w:pPr>
              <w:keepNext/>
              <w:widowControl/>
              <w:jc w:val="center"/>
              <w:rPr>
                <w:rFonts w:ascii="Arial Narrow" w:hAnsi="Arial Narrow" w:cs="Times New Roman"/>
                <w:bCs/>
                <w:snapToGrid/>
                <w:color w:val="000000"/>
                <w:sz w:val="20"/>
                <w:highlight w:val="black"/>
              </w:rPr>
            </w:pPr>
            <w:r>
              <w:rPr>
                <w:rFonts w:ascii="Arial Narrow" w:hAnsi="Arial Narrow"/>
                <w:noProof/>
                <w:color w:val="000000"/>
                <w:sz w:val="20"/>
                <w:szCs w:val="20"/>
                <w:highlight w:val="black"/>
              </w:rPr>
              <w:t>'''''''''''''''</w:t>
            </w:r>
          </w:p>
        </w:tc>
      </w:tr>
      <w:tr w:rsidR="007070CB">
        <w:tc>
          <w:tcPr>
            <w:tcW w:w="1178" w:type="pct"/>
            <w:tcBorders>
              <w:right w:val="nil"/>
            </w:tcBorders>
            <w:shd w:val="clear" w:color="auto" w:fill="auto"/>
          </w:tcPr>
          <w:p w:rsidR="007070CB" w:rsidRDefault="006E2E62">
            <w:pPr>
              <w:keepNext/>
              <w:widowControl/>
              <w:jc w:val="left"/>
              <w:rPr>
                <w:rFonts w:ascii="Arial Narrow" w:hAnsi="Arial Narrow" w:cs="Times New Roman"/>
                <w:snapToGrid/>
                <w:sz w:val="19"/>
                <w:szCs w:val="19"/>
              </w:rPr>
            </w:pPr>
            <w:r>
              <w:rPr>
                <w:rFonts w:ascii="Arial Narrow" w:hAnsi="Arial Narrow" w:cs="Times New Roman"/>
                <w:snapToGrid/>
                <w:sz w:val="20"/>
              </w:rPr>
              <w:t xml:space="preserve">Overall impact on government health budgets </w:t>
            </w:r>
          </w:p>
        </w:tc>
        <w:tc>
          <w:tcPr>
            <w:tcW w:w="629" w:type="pct"/>
            <w:tcBorders>
              <w:left w:val="nil"/>
              <w:right w:val="nil"/>
            </w:tcBorders>
            <w:shd w:val="clear" w:color="auto" w:fill="auto"/>
          </w:tcPr>
          <w:p w:rsidR="007070CB" w:rsidRDefault="007070CB">
            <w:pPr>
              <w:keepNext/>
              <w:widowControl/>
              <w:jc w:val="center"/>
              <w:rPr>
                <w:rFonts w:ascii="Arial Narrow" w:hAnsi="Arial Narrow" w:cs="Times New Roman"/>
                <w:bCs/>
                <w:snapToGrid/>
                <w:color w:val="000000"/>
                <w:sz w:val="20"/>
              </w:rPr>
            </w:pPr>
          </w:p>
        </w:tc>
        <w:tc>
          <w:tcPr>
            <w:tcW w:w="707" w:type="pct"/>
            <w:tcBorders>
              <w:left w:val="nil"/>
              <w:right w:val="nil"/>
            </w:tcBorders>
            <w:shd w:val="clear" w:color="auto" w:fill="auto"/>
          </w:tcPr>
          <w:p w:rsidR="007070CB" w:rsidRDefault="007070CB">
            <w:pPr>
              <w:keepNext/>
              <w:widowControl/>
              <w:jc w:val="center"/>
              <w:rPr>
                <w:rFonts w:ascii="Arial Narrow" w:hAnsi="Arial Narrow" w:cs="Times New Roman"/>
                <w:bCs/>
                <w:snapToGrid/>
                <w:color w:val="000000"/>
                <w:sz w:val="20"/>
              </w:rPr>
            </w:pPr>
          </w:p>
        </w:tc>
        <w:tc>
          <w:tcPr>
            <w:tcW w:w="629" w:type="pct"/>
            <w:tcBorders>
              <w:left w:val="nil"/>
              <w:right w:val="nil"/>
            </w:tcBorders>
            <w:shd w:val="clear" w:color="auto" w:fill="auto"/>
          </w:tcPr>
          <w:p w:rsidR="007070CB" w:rsidRDefault="007070CB">
            <w:pPr>
              <w:keepNext/>
              <w:widowControl/>
              <w:jc w:val="center"/>
              <w:rPr>
                <w:rFonts w:ascii="Arial Narrow" w:hAnsi="Arial Narrow" w:cs="Times New Roman"/>
                <w:bCs/>
                <w:snapToGrid/>
                <w:color w:val="000000"/>
                <w:sz w:val="20"/>
              </w:rPr>
            </w:pPr>
          </w:p>
        </w:tc>
        <w:tc>
          <w:tcPr>
            <w:tcW w:w="629" w:type="pct"/>
            <w:tcBorders>
              <w:left w:val="nil"/>
              <w:right w:val="nil"/>
            </w:tcBorders>
            <w:shd w:val="clear" w:color="auto" w:fill="auto"/>
          </w:tcPr>
          <w:p w:rsidR="007070CB" w:rsidRDefault="007070CB">
            <w:pPr>
              <w:keepNext/>
              <w:widowControl/>
              <w:jc w:val="center"/>
              <w:rPr>
                <w:rFonts w:ascii="Arial Narrow" w:hAnsi="Arial Narrow" w:cs="Times New Roman"/>
                <w:bCs/>
                <w:snapToGrid/>
                <w:color w:val="000000"/>
                <w:sz w:val="20"/>
              </w:rPr>
            </w:pPr>
          </w:p>
        </w:tc>
        <w:tc>
          <w:tcPr>
            <w:tcW w:w="629" w:type="pct"/>
            <w:tcBorders>
              <w:left w:val="nil"/>
              <w:right w:val="nil"/>
            </w:tcBorders>
            <w:shd w:val="clear" w:color="auto" w:fill="auto"/>
          </w:tcPr>
          <w:p w:rsidR="007070CB" w:rsidRDefault="007070CB">
            <w:pPr>
              <w:keepNext/>
              <w:widowControl/>
              <w:jc w:val="center"/>
              <w:rPr>
                <w:rFonts w:ascii="Arial Narrow" w:hAnsi="Arial Narrow" w:cs="Times New Roman"/>
                <w:bCs/>
                <w:snapToGrid/>
                <w:color w:val="000000"/>
                <w:sz w:val="20"/>
              </w:rPr>
            </w:pPr>
          </w:p>
        </w:tc>
        <w:tc>
          <w:tcPr>
            <w:tcW w:w="599" w:type="pct"/>
            <w:tcBorders>
              <w:left w:val="nil"/>
            </w:tcBorders>
          </w:tcPr>
          <w:p w:rsidR="007070CB" w:rsidRDefault="007070CB">
            <w:pPr>
              <w:keepNext/>
              <w:widowControl/>
              <w:jc w:val="center"/>
              <w:rPr>
                <w:rFonts w:ascii="Arial Narrow" w:hAnsi="Arial Narrow" w:cs="Times New Roman"/>
                <w:bCs/>
                <w:snapToGrid/>
                <w:color w:val="000000"/>
                <w:sz w:val="20"/>
              </w:rPr>
            </w:pPr>
          </w:p>
        </w:tc>
      </w:tr>
      <w:tr w:rsidR="007070CB">
        <w:tc>
          <w:tcPr>
            <w:tcW w:w="1178" w:type="pct"/>
            <w:shd w:val="clear" w:color="auto" w:fill="auto"/>
            <w:vAlign w:val="center"/>
          </w:tcPr>
          <w:p w:rsidR="007070CB" w:rsidRDefault="006E2E62">
            <w:pPr>
              <w:keepNext/>
              <w:widowControl/>
              <w:ind w:left="257"/>
              <w:jc w:val="left"/>
              <w:rPr>
                <w:rFonts w:ascii="Arial Narrow" w:hAnsi="Arial Narrow" w:cs="Times New Roman"/>
                <w:snapToGrid/>
                <w:sz w:val="19"/>
                <w:szCs w:val="19"/>
              </w:rPr>
            </w:pPr>
            <w:r>
              <w:rPr>
                <w:rFonts w:ascii="Arial Narrow" w:hAnsi="Arial Narrow" w:cs="Times New Roman"/>
                <w:snapToGrid/>
                <w:sz w:val="19"/>
                <w:szCs w:val="19"/>
              </w:rPr>
              <w:t>Without Cap</w:t>
            </w:r>
          </w:p>
        </w:tc>
        <w:tc>
          <w:tcPr>
            <w:tcW w:w="629" w:type="pct"/>
            <w:shd w:val="clear" w:color="auto" w:fill="auto"/>
          </w:tcPr>
          <w:p w:rsidR="007070CB" w:rsidRPr="00C42D5F" w:rsidRDefault="00C42D5F">
            <w:pPr>
              <w:keepNext/>
              <w:widowControl/>
              <w:jc w:val="center"/>
              <w:rPr>
                <w:rFonts w:ascii="Arial Narrow" w:hAnsi="Arial Narrow"/>
                <w:snapToGrid/>
                <w:sz w:val="20"/>
                <w:szCs w:val="20"/>
                <w:highlight w:val="black"/>
              </w:rPr>
            </w:pPr>
            <w:r>
              <w:rPr>
                <w:rFonts w:ascii="Arial Narrow" w:hAnsi="Arial Narrow"/>
                <w:noProof/>
                <w:color w:val="000000"/>
                <w:sz w:val="20"/>
                <w:szCs w:val="20"/>
                <w:highlight w:val="black"/>
              </w:rPr>
              <w:t>''''''''''''''''''''''''''''''</w:t>
            </w:r>
          </w:p>
        </w:tc>
        <w:tc>
          <w:tcPr>
            <w:tcW w:w="707" w:type="pct"/>
            <w:shd w:val="clear" w:color="auto" w:fill="auto"/>
          </w:tcPr>
          <w:p w:rsidR="007070CB" w:rsidRPr="00C42D5F" w:rsidRDefault="00C42D5F">
            <w:pPr>
              <w:keepNext/>
              <w:widowControl/>
              <w:jc w:val="center"/>
              <w:rPr>
                <w:rFonts w:ascii="Arial Narrow" w:hAnsi="Arial Narrow"/>
                <w:snapToGrid/>
                <w:sz w:val="20"/>
                <w:szCs w:val="20"/>
                <w:highlight w:val="black"/>
              </w:rPr>
            </w:pPr>
            <w:r>
              <w:rPr>
                <w:rFonts w:ascii="Arial Narrow" w:hAnsi="Arial Narrow"/>
                <w:noProof/>
                <w:color w:val="000000"/>
                <w:sz w:val="20"/>
                <w:szCs w:val="20"/>
                <w:highlight w:val="black"/>
              </w:rPr>
              <w:t>''''''''''''''''''''''''''''</w:t>
            </w:r>
          </w:p>
        </w:tc>
        <w:tc>
          <w:tcPr>
            <w:tcW w:w="629" w:type="pct"/>
            <w:shd w:val="clear" w:color="auto" w:fill="auto"/>
          </w:tcPr>
          <w:p w:rsidR="007070CB" w:rsidRPr="00C42D5F" w:rsidRDefault="00C42D5F">
            <w:pPr>
              <w:keepNext/>
              <w:widowControl/>
              <w:jc w:val="center"/>
              <w:rPr>
                <w:rFonts w:ascii="Arial Narrow" w:hAnsi="Arial Narrow"/>
                <w:snapToGrid/>
                <w:sz w:val="20"/>
                <w:szCs w:val="20"/>
                <w:highlight w:val="black"/>
              </w:rPr>
            </w:pPr>
            <w:r>
              <w:rPr>
                <w:rFonts w:ascii="Arial Narrow" w:hAnsi="Arial Narrow"/>
                <w:noProof/>
                <w:color w:val="000000"/>
                <w:sz w:val="20"/>
                <w:szCs w:val="20"/>
                <w:highlight w:val="black"/>
              </w:rPr>
              <w:t>''''''''''''''''''''''''''''</w:t>
            </w:r>
          </w:p>
        </w:tc>
        <w:tc>
          <w:tcPr>
            <w:tcW w:w="629" w:type="pct"/>
            <w:shd w:val="clear" w:color="auto" w:fill="auto"/>
          </w:tcPr>
          <w:p w:rsidR="007070CB" w:rsidRPr="00C42D5F" w:rsidRDefault="00C42D5F">
            <w:pPr>
              <w:keepNext/>
              <w:widowControl/>
              <w:jc w:val="center"/>
              <w:rPr>
                <w:rFonts w:ascii="Arial Narrow" w:hAnsi="Arial Narrow"/>
                <w:snapToGrid/>
                <w:sz w:val="20"/>
                <w:szCs w:val="20"/>
                <w:highlight w:val="black"/>
              </w:rPr>
            </w:pPr>
            <w:r>
              <w:rPr>
                <w:rFonts w:ascii="Arial Narrow" w:hAnsi="Arial Narrow"/>
                <w:noProof/>
                <w:color w:val="000000"/>
                <w:sz w:val="20"/>
                <w:szCs w:val="20"/>
                <w:highlight w:val="black"/>
              </w:rPr>
              <w:t>'''''''''''''''''''''''''''''</w:t>
            </w:r>
          </w:p>
        </w:tc>
        <w:tc>
          <w:tcPr>
            <w:tcW w:w="629" w:type="pct"/>
            <w:shd w:val="clear" w:color="auto" w:fill="auto"/>
          </w:tcPr>
          <w:p w:rsidR="007070CB" w:rsidRPr="00C42D5F" w:rsidRDefault="00C42D5F">
            <w:pPr>
              <w:keepNext/>
              <w:widowControl/>
              <w:jc w:val="center"/>
              <w:rPr>
                <w:rFonts w:ascii="Arial Narrow" w:hAnsi="Arial Narrow"/>
                <w:snapToGrid/>
                <w:sz w:val="20"/>
                <w:szCs w:val="20"/>
                <w:highlight w:val="black"/>
              </w:rPr>
            </w:pPr>
            <w:r>
              <w:rPr>
                <w:rFonts w:ascii="Arial Narrow" w:hAnsi="Arial Narrow"/>
                <w:noProof/>
                <w:color w:val="000000"/>
                <w:sz w:val="20"/>
                <w:szCs w:val="20"/>
                <w:highlight w:val="black"/>
              </w:rPr>
              <w:t>''''''''''''''''''''''''''''''''</w:t>
            </w:r>
          </w:p>
        </w:tc>
        <w:tc>
          <w:tcPr>
            <w:tcW w:w="599" w:type="pct"/>
          </w:tcPr>
          <w:p w:rsidR="007070CB" w:rsidRPr="00C42D5F" w:rsidRDefault="00C42D5F">
            <w:pPr>
              <w:keepNext/>
              <w:widowControl/>
              <w:jc w:val="center"/>
              <w:rPr>
                <w:rFonts w:ascii="Arial Narrow" w:hAnsi="Arial Narrow"/>
                <w:snapToGrid/>
                <w:sz w:val="20"/>
                <w:szCs w:val="20"/>
                <w:highlight w:val="black"/>
              </w:rPr>
            </w:pPr>
            <w:r>
              <w:rPr>
                <w:rFonts w:ascii="Arial Narrow" w:hAnsi="Arial Narrow"/>
                <w:noProof/>
                <w:color w:val="000000"/>
                <w:sz w:val="20"/>
                <w:szCs w:val="20"/>
                <w:highlight w:val="black"/>
              </w:rPr>
              <w:t>'''''''''''''''''''''''''''''</w:t>
            </w:r>
          </w:p>
        </w:tc>
      </w:tr>
      <w:tr w:rsidR="007070CB">
        <w:tc>
          <w:tcPr>
            <w:tcW w:w="1178" w:type="pct"/>
            <w:shd w:val="clear" w:color="auto" w:fill="auto"/>
            <w:vAlign w:val="center"/>
          </w:tcPr>
          <w:p w:rsidR="007070CB" w:rsidRDefault="006E2E62">
            <w:pPr>
              <w:keepNext/>
              <w:widowControl/>
              <w:ind w:left="257"/>
              <w:jc w:val="left"/>
              <w:rPr>
                <w:rFonts w:ascii="Arial Narrow" w:hAnsi="Arial Narrow" w:cs="Times New Roman"/>
                <w:snapToGrid/>
                <w:sz w:val="19"/>
                <w:szCs w:val="19"/>
              </w:rPr>
            </w:pPr>
            <w:r>
              <w:rPr>
                <w:rFonts w:ascii="Arial Narrow" w:hAnsi="Arial Narrow" w:cs="Times New Roman"/>
                <w:snapToGrid/>
                <w:sz w:val="19"/>
                <w:szCs w:val="19"/>
              </w:rPr>
              <w:t>With Cap</w:t>
            </w:r>
          </w:p>
        </w:tc>
        <w:tc>
          <w:tcPr>
            <w:tcW w:w="629" w:type="pct"/>
            <w:shd w:val="clear" w:color="auto" w:fill="auto"/>
          </w:tcPr>
          <w:p w:rsidR="007070CB" w:rsidRPr="00C42D5F" w:rsidRDefault="00C42D5F">
            <w:pPr>
              <w:keepNext/>
              <w:widowControl/>
              <w:jc w:val="center"/>
              <w:rPr>
                <w:rFonts w:ascii="Arial Narrow" w:hAnsi="Arial Narrow" w:cs="Times New Roman"/>
                <w:snapToGrid/>
                <w:sz w:val="20"/>
                <w:szCs w:val="20"/>
                <w:highlight w:val="black"/>
              </w:rPr>
            </w:pPr>
            <w:r>
              <w:rPr>
                <w:rFonts w:ascii="Arial Narrow" w:hAnsi="Arial Narrow"/>
                <w:noProof/>
                <w:color w:val="000000"/>
                <w:sz w:val="20"/>
                <w:szCs w:val="20"/>
                <w:highlight w:val="black"/>
              </w:rPr>
              <w:t>''''''''''''''''''''''''''''''''</w:t>
            </w:r>
          </w:p>
        </w:tc>
        <w:tc>
          <w:tcPr>
            <w:tcW w:w="707" w:type="pct"/>
            <w:shd w:val="clear" w:color="auto" w:fill="auto"/>
          </w:tcPr>
          <w:p w:rsidR="007070CB" w:rsidRPr="00C42D5F" w:rsidRDefault="00C42D5F">
            <w:pPr>
              <w:keepNext/>
              <w:widowControl/>
              <w:jc w:val="center"/>
              <w:rPr>
                <w:rFonts w:ascii="Arial Narrow" w:hAnsi="Arial Narrow" w:cs="Times New Roman"/>
                <w:snapToGrid/>
                <w:sz w:val="20"/>
                <w:szCs w:val="20"/>
                <w:highlight w:val="black"/>
              </w:rPr>
            </w:pPr>
            <w:r>
              <w:rPr>
                <w:rFonts w:ascii="Arial Narrow" w:hAnsi="Arial Narrow"/>
                <w:noProof/>
                <w:color w:val="000000"/>
                <w:sz w:val="20"/>
                <w:szCs w:val="20"/>
                <w:highlight w:val="black"/>
              </w:rPr>
              <w:t>'''''''''''''''''''''''''''</w:t>
            </w:r>
          </w:p>
        </w:tc>
        <w:tc>
          <w:tcPr>
            <w:tcW w:w="629" w:type="pct"/>
            <w:shd w:val="clear" w:color="auto" w:fill="auto"/>
          </w:tcPr>
          <w:p w:rsidR="007070CB" w:rsidRPr="00C42D5F" w:rsidRDefault="00C42D5F">
            <w:pPr>
              <w:keepNext/>
              <w:widowControl/>
              <w:jc w:val="center"/>
              <w:rPr>
                <w:rFonts w:ascii="Arial Narrow" w:hAnsi="Arial Narrow" w:cs="Times New Roman"/>
                <w:snapToGrid/>
                <w:sz w:val="20"/>
                <w:szCs w:val="20"/>
                <w:highlight w:val="black"/>
              </w:rPr>
            </w:pPr>
            <w:r>
              <w:rPr>
                <w:rFonts w:ascii="Arial Narrow" w:hAnsi="Arial Narrow"/>
                <w:noProof/>
                <w:color w:val="000000"/>
                <w:sz w:val="20"/>
                <w:szCs w:val="20"/>
                <w:highlight w:val="black"/>
              </w:rPr>
              <w:t>'''''''''''''''''''''''''''''</w:t>
            </w:r>
          </w:p>
        </w:tc>
        <w:tc>
          <w:tcPr>
            <w:tcW w:w="629" w:type="pct"/>
            <w:shd w:val="clear" w:color="auto" w:fill="auto"/>
          </w:tcPr>
          <w:p w:rsidR="007070CB" w:rsidRPr="00C42D5F" w:rsidRDefault="00C42D5F">
            <w:pPr>
              <w:keepNext/>
              <w:widowControl/>
              <w:jc w:val="center"/>
              <w:rPr>
                <w:rFonts w:ascii="Arial Narrow" w:hAnsi="Arial Narrow" w:cs="Times New Roman"/>
                <w:snapToGrid/>
                <w:sz w:val="20"/>
                <w:szCs w:val="20"/>
                <w:highlight w:val="black"/>
              </w:rPr>
            </w:pPr>
            <w:r>
              <w:rPr>
                <w:rFonts w:ascii="Arial Narrow" w:hAnsi="Arial Narrow"/>
                <w:noProof/>
                <w:color w:val="000000"/>
                <w:sz w:val="20"/>
                <w:szCs w:val="20"/>
                <w:highlight w:val="black"/>
              </w:rPr>
              <w:t>''''''''''''''''''''''''''''''''</w:t>
            </w:r>
          </w:p>
        </w:tc>
        <w:tc>
          <w:tcPr>
            <w:tcW w:w="629" w:type="pct"/>
            <w:shd w:val="clear" w:color="auto" w:fill="auto"/>
          </w:tcPr>
          <w:p w:rsidR="007070CB" w:rsidRPr="00C42D5F" w:rsidRDefault="00C42D5F">
            <w:pPr>
              <w:keepNext/>
              <w:widowControl/>
              <w:jc w:val="center"/>
              <w:rPr>
                <w:rFonts w:ascii="Arial Narrow" w:hAnsi="Arial Narrow" w:cs="Times New Roman"/>
                <w:snapToGrid/>
                <w:sz w:val="20"/>
                <w:highlight w:val="black"/>
              </w:rPr>
            </w:pPr>
            <w:r>
              <w:rPr>
                <w:rFonts w:ascii="Arial Narrow" w:hAnsi="Arial Narrow"/>
                <w:noProof/>
                <w:color w:val="000000"/>
                <w:sz w:val="20"/>
                <w:szCs w:val="20"/>
                <w:highlight w:val="black"/>
              </w:rPr>
              <w:t>''''''''''''''''''''''''''''''</w:t>
            </w:r>
          </w:p>
        </w:tc>
        <w:tc>
          <w:tcPr>
            <w:tcW w:w="599" w:type="pct"/>
          </w:tcPr>
          <w:p w:rsidR="007070CB" w:rsidRPr="00C42D5F" w:rsidRDefault="00C42D5F">
            <w:pPr>
              <w:keepNext/>
              <w:widowControl/>
              <w:jc w:val="center"/>
              <w:rPr>
                <w:rFonts w:ascii="Arial Narrow" w:hAnsi="Arial Narrow" w:cs="Times New Roman"/>
                <w:snapToGrid/>
                <w:sz w:val="20"/>
                <w:highlight w:val="black"/>
              </w:rPr>
            </w:pPr>
            <w:r>
              <w:rPr>
                <w:rFonts w:ascii="Arial Narrow" w:hAnsi="Arial Narrow"/>
                <w:noProof/>
                <w:color w:val="000000"/>
                <w:sz w:val="20"/>
                <w:szCs w:val="20"/>
                <w:highlight w:val="black"/>
              </w:rPr>
              <w:t>''''''''''''''''''''''''''''</w:t>
            </w:r>
          </w:p>
        </w:tc>
      </w:tr>
      <w:tr w:rsidR="007070CB">
        <w:tc>
          <w:tcPr>
            <w:tcW w:w="1178" w:type="pct"/>
            <w:shd w:val="clear" w:color="auto" w:fill="auto"/>
            <w:vAlign w:val="center"/>
          </w:tcPr>
          <w:p w:rsidR="007070CB" w:rsidRDefault="006E2E62">
            <w:pPr>
              <w:keepNext/>
              <w:widowControl/>
              <w:jc w:val="left"/>
              <w:rPr>
                <w:rFonts w:ascii="Arial Narrow" w:hAnsi="Arial Narrow" w:cs="Times New Roman"/>
                <w:snapToGrid/>
                <w:sz w:val="19"/>
                <w:szCs w:val="19"/>
              </w:rPr>
            </w:pPr>
            <w:r>
              <w:rPr>
                <w:rFonts w:ascii="Arial Narrow" w:hAnsi="Arial Narrow"/>
                <w:iCs/>
                <w:sz w:val="20"/>
                <w:szCs w:val="20"/>
              </w:rPr>
              <w:t>Gross cost/total pts</w:t>
            </w:r>
            <w:r>
              <w:rPr>
                <w:rFonts w:ascii="Arial Narrow" w:hAnsi="Arial Narrow"/>
                <w:iCs/>
                <w:sz w:val="20"/>
                <w:szCs w:val="20"/>
                <w:vertAlign w:val="superscript"/>
              </w:rPr>
              <w:t>b</w:t>
            </w:r>
          </w:p>
        </w:tc>
        <w:tc>
          <w:tcPr>
            <w:tcW w:w="629" w:type="pct"/>
            <w:shd w:val="clear" w:color="auto" w:fill="auto"/>
            <w:vAlign w:val="bottom"/>
          </w:tcPr>
          <w:p w:rsidR="007070CB" w:rsidRPr="00C42D5F" w:rsidRDefault="00C42D5F">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707" w:type="pct"/>
            <w:shd w:val="clear" w:color="auto" w:fill="auto"/>
            <w:vAlign w:val="bottom"/>
          </w:tcPr>
          <w:p w:rsidR="007070CB" w:rsidRPr="00C42D5F" w:rsidRDefault="00C42D5F">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29" w:type="pct"/>
            <w:shd w:val="clear" w:color="auto" w:fill="auto"/>
            <w:vAlign w:val="bottom"/>
          </w:tcPr>
          <w:p w:rsidR="007070CB" w:rsidRPr="00C42D5F" w:rsidRDefault="00C42D5F">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29" w:type="pct"/>
            <w:shd w:val="clear" w:color="auto" w:fill="auto"/>
            <w:vAlign w:val="bottom"/>
          </w:tcPr>
          <w:p w:rsidR="007070CB" w:rsidRPr="00C42D5F" w:rsidRDefault="00C42D5F">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29" w:type="pct"/>
            <w:shd w:val="clear" w:color="auto" w:fill="auto"/>
            <w:vAlign w:val="bottom"/>
          </w:tcPr>
          <w:p w:rsidR="007070CB" w:rsidRPr="00C42D5F" w:rsidRDefault="00C42D5F">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599" w:type="pct"/>
            <w:vAlign w:val="bottom"/>
          </w:tcPr>
          <w:p w:rsidR="007070CB" w:rsidRPr="00C42D5F" w:rsidRDefault="00C42D5F">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r>
    </w:tbl>
    <w:p w:rsidR="007070CB" w:rsidRDefault="006E2E62">
      <w:pPr>
        <w:keepNext/>
        <w:widowControl/>
        <w:tabs>
          <w:tab w:val="left" w:pos="142"/>
        </w:tabs>
        <w:rPr>
          <w:rFonts w:ascii="Arial Narrow" w:hAnsi="Arial Narrow"/>
          <w:sz w:val="18"/>
        </w:rPr>
      </w:pPr>
      <w:r>
        <w:rPr>
          <w:rFonts w:ascii="Arial Narrow" w:hAnsi="Arial Narrow"/>
          <w:sz w:val="18"/>
        </w:rPr>
        <w:t>Abbreviations: PBS = Pharmaceutical Benefits Scheme; MBS =</w:t>
      </w:r>
      <w:r>
        <w:t xml:space="preserve"> </w:t>
      </w:r>
      <w:r>
        <w:rPr>
          <w:rFonts w:ascii="Arial Narrow" w:hAnsi="Arial Narrow"/>
          <w:sz w:val="18"/>
        </w:rPr>
        <w:t>Medicare Benefits Schedule; RPBS =</w:t>
      </w:r>
      <w:r w:rsidR="00FE7D84">
        <w:rPr>
          <w:rFonts w:ascii="Arial Narrow" w:hAnsi="Arial Narrow"/>
          <w:sz w:val="18"/>
        </w:rPr>
        <w:t xml:space="preserve"> </w:t>
      </w:r>
      <w:r>
        <w:rPr>
          <w:rFonts w:ascii="Arial Narrow" w:hAnsi="Arial Narrow"/>
          <w:sz w:val="18"/>
        </w:rPr>
        <w:t>Repatriation Pharmaceutical Benefits Scheme</w:t>
      </w:r>
    </w:p>
    <w:p w:rsidR="007070CB" w:rsidRDefault="006E2E62">
      <w:pPr>
        <w:keepNext/>
        <w:widowControl/>
        <w:rPr>
          <w:rFonts w:ascii="Arial Narrow" w:hAnsi="Arial Narrow"/>
          <w:sz w:val="18"/>
        </w:rPr>
      </w:pPr>
      <w:r>
        <w:rPr>
          <w:rFonts w:ascii="Arial Narrow" w:hAnsi="Arial Narrow"/>
          <w:sz w:val="18"/>
        </w:rPr>
        <w:t xml:space="preserve">Source: Table 4.2.8 p145, Table 4.2.11 p147 and </w:t>
      </w:r>
      <w:r>
        <w:rPr>
          <w:rFonts w:ascii="Arial Narrow" w:hAnsi="Arial Narrow"/>
          <w:snapToGrid/>
          <w:sz w:val="18"/>
          <w:szCs w:val="18"/>
          <w:lang w:val="en-US" w:eastAsia="en-AU"/>
        </w:rPr>
        <w:t>Table 4.5.1, p150</w:t>
      </w:r>
      <w:r>
        <w:rPr>
          <w:rFonts w:ascii="Arial Narrow" w:hAnsi="Arial Narrow"/>
          <w:sz w:val="18"/>
        </w:rPr>
        <w:t xml:space="preserve"> of the submission.</w:t>
      </w:r>
    </w:p>
    <w:p w:rsidR="007070CB" w:rsidRDefault="006E2E62">
      <w:pPr>
        <w:pStyle w:val="TableFooter"/>
        <w:keepNext/>
        <w:widowControl/>
      </w:pPr>
      <w:r>
        <w:t>a The total number of scripts (assuming full packs dispensed) and patient co-payment ($12.22) were updated during the evaluation.</w:t>
      </w:r>
    </w:p>
    <w:p w:rsidR="007070CB" w:rsidRDefault="006E2E62">
      <w:pPr>
        <w:pStyle w:val="TableFooter"/>
        <w:keepNext/>
        <w:widowControl/>
      </w:pPr>
      <w:r>
        <w:t xml:space="preserve">b Calculation does not apply whole patient numbers. </w:t>
      </w:r>
    </w:p>
    <w:p w:rsidR="007070CB" w:rsidRDefault="007070CB">
      <w:pPr>
        <w:pStyle w:val="TableFooter"/>
        <w:widowControl/>
      </w:pPr>
    </w:p>
    <w:p w:rsidR="007070CB" w:rsidRDefault="006E2E62">
      <w:pPr>
        <w:widowControl/>
        <w:spacing w:after="120"/>
      </w:pPr>
      <w:r>
        <w:t>The redacted table shows that the total estimated number of patients over 6 years was less than 10,000</w:t>
      </w:r>
      <w:r w:rsidR="000E48B8">
        <w:t>,</w:t>
      </w:r>
      <w:r>
        <w:t xml:space="preserve"> and the net cost to the PBS </w:t>
      </w:r>
      <w:r w:rsidR="000E48B8">
        <w:t xml:space="preserve">without and with cap </w:t>
      </w:r>
      <w:r>
        <w:t xml:space="preserve">would be </w:t>
      </w:r>
      <w:r w:rsidR="000E48B8">
        <w:t>from $10 - $60 million.</w:t>
      </w:r>
    </w:p>
    <w:p w:rsidR="007070CB" w:rsidRDefault="006E2E62">
      <w:pPr>
        <w:widowControl/>
        <w:numPr>
          <w:ilvl w:val="1"/>
          <w:numId w:val="1"/>
        </w:numPr>
        <w:spacing w:after="120"/>
      </w:pPr>
      <w:r>
        <w:t>Drug utilisation each year may have been overestimated by the submission due to the issues discussed in paragraphs 6.40-43. In this context, the ESC noted that achieving the intended annual price of $</w:t>
      </w:r>
      <w:r w:rsidR="00C42D5F">
        <w:rPr>
          <w:noProof/>
          <w:color w:val="000000"/>
          <w:highlight w:val="black"/>
        </w:rPr>
        <w:t>''''''''''''</w:t>
      </w:r>
      <w:r>
        <w:t xml:space="preserve"> per patient via subsidisation caps implemented through an RSA is dependent on estimated utilisation being met.</w:t>
      </w:r>
    </w:p>
    <w:p w:rsidR="007070CB" w:rsidRDefault="006E2E62">
      <w:pPr>
        <w:widowControl/>
        <w:numPr>
          <w:ilvl w:val="1"/>
          <w:numId w:val="1"/>
        </w:numPr>
        <w:spacing w:after="120"/>
        <w:ind w:left="709" w:hanging="709"/>
      </w:pPr>
      <w:r>
        <w:t>The submission estimated that 185 patients would initially be eligible for treatment, then subsequently an average of 3 patients aged from 2 to 5 years would be eligible per year. The submission’s estimate of eligible prevalence may be overestimated, however, incidence is underestimated. The submission assumed that half of the patients that do not have a genotype registered on the ACFDR are homozygous for F508del. However, the requested listing restricts access only to patients who are homozygous for the F508del mutation; the number of eligible patients is overestimated using this approach. In 2017, there were 72 new diagnoses of CF, where 55 of those people diagnosed were less than one year of age. Incidence is underestimated as the submission assumed that diagnosis occurs at any age, however, the majority of patients with CF are diagnosed as infants (ACFDR 2019 p9).</w:t>
      </w:r>
    </w:p>
    <w:p w:rsidR="007070CB" w:rsidRDefault="006E2E62">
      <w:pPr>
        <w:widowControl/>
        <w:numPr>
          <w:ilvl w:val="1"/>
          <w:numId w:val="1"/>
        </w:numPr>
        <w:spacing w:after="120"/>
        <w:ind w:left="709" w:hanging="709"/>
      </w:pPr>
      <w:r>
        <w:t>The submission assumed a 100% uptake rate; however, the ESC considered that this was unlikely to be realised in practice.</w:t>
      </w:r>
    </w:p>
    <w:p w:rsidR="007070CB" w:rsidRDefault="006E2E62">
      <w:pPr>
        <w:widowControl/>
        <w:numPr>
          <w:ilvl w:val="1"/>
          <w:numId w:val="11"/>
        </w:numPr>
        <w:spacing w:after="120"/>
        <w:ind w:left="993" w:hanging="284"/>
      </w:pPr>
      <w:r>
        <w:lastRenderedPageBreak/>
        <w:t>During the evaluation, a study examining the uptake of lumacaftor/ivacaftor following approval in the USA was identified</w:t>
      </w:r>
      <w:r>
        <w:rPr>
          <w:rStyle w:val="FootnoteReference"/>
        </w:rPr>
        <w:footnoteReference w:id="1"/>
      </w:r>
      <w:r>
        <w:t>. Prescriptions were given to 19% of eligible children aged 6 to 11 years, and 61% of patients aged 12 years and older.</w:t>
      </w:r>
    </w:p>
    <w:p w:rsidR="007070CB" w:rsidRDefault="006E2E62">
      <w:pPr>
        <w:widowControl/>
        <w:numPr>
          <w:ilvl w:val="1"/>
          <w:numId w:val="11"/>
        </w:numPr>
        <w:spacing w:after="120"/>
        <w:ind w:left="993" w:hanging="284"/>
      </w:pPr>
      <w:r>
        <w:t>The PSCR acknowledged</w:t>
      </w:r>
      <w:r w:rsidR="00FE7D84">
        <w:t xml:space="preserve"> </w:t>
      </w:r>
      <w:r>
        <w:t>that the uptake of lumacaftor/ivacaftor in patients aged 2 to 5 years is likely to be lower than 100%. However, the PSCR also contended</w:t>
      </w:r>
      <w:r w:rsidR="00FE7D84">
        <w:t xml:space="preserve"> </w:t>
      </w:r>
      <w:r>
        <w:t xml:space="preserve">that prescription rates of lumacaftor/ivacaftor in the USA published by Sawicki et al (2018) do not reflect internal sales data held by the sponsor. The PSCR stated that based on current sales data, uptake of lumacaftor/ivacaftor in patients aged 2 to 5 years old is 68% in the US and 96% (66/69 patients) in Ireland. </w:t>
      </w:r>
    </w:p>
    <w:p w:rsidR="007070CB" w:rsidRDefault="006E2E62">
      <w:pPr>
        <w:widowControl/>
        <w:numPr>
          <w:ilvl w:val="1"/>
          <w:numId w:val="1"/>
        </w:numPr>
        <w:spacing w:after="120"/>
        <w:ind w:left="709" w:hanging="709"/>
      </w:pPr>
      <w:r>
        <w:t>The submission assumed that all initiating patients will start treatment on day 1 of each year. It cannot be assumed that all new patients likely to receive lumacaftor/ivacaftor annually will receive a full year of treatment, as this will be dependent on birth date and date of diagnosis. The PBAC previously noted that a more reasonable assumption was that initiating patients would commence treatment throughout the year, so that on average each patient received the equivalent of half a year’s supply in the year in which they commence treatment (lumacaftor/ivacaftor (aged 12+) PSD, July 2018, paragraph 6.68).</w:t>
      </w:r>
    </w:p>
    <w:p w:rsidR="007070CB" w:rsidRDefault="006E2E62">
      <w:pPr>
        <w:widowControl/>
        <w:numPr>
          <w:ilvl w:val="1"/>
          <w:numId w:val="1"/>
        </w:numPr>
        <w:spacing w:after="120"/>
        <w:ind w:left="709" w:hanging="709"/>
      </w:pPr>
      <w:r>
        <w:t>The submission assumed that patients could only discontinue therapy in the first year of their treatment, which may have overestimated utilisation in subsequent years. The ESC noted that data from PROGRESS showed that this is not realistic and that there will be a proportion of patients discontinuing treatment beyond the first year (lumacaftor/ivacaftor, PSD July 2017, paragraph 6.65).</w:t>
      </w:r>
    </w:p>
    <w:p w:rsidR="007070CB" w:rsidRDefault="006E2E62">
      <w:pPr>
        <w:pStyle w:val="Heading2"/>
        <w:keepNext w:val="0"/>
      </w:pPr>
      <w:bookmarkStart w:id="34" w:name="_Toc6931328"/>
      <w:bookmarkStart w:id="35" w:name="_Toc9335666"/>
      <w:r>
        <w:t>Financial Management – Risk Sharing Arrangements</w:t>
      </w:r>
      <w:bookmarkEnd w:id="34"/>
      <w:bookmarkEnd w:id="35"/>
    </w:p>
    <w:p w:rsidR="007070CB" w:rsidRDefault="006E2E62">
      <w:pPr>
        <w:pStyle w:val="ListParagraph"/>
        <w:widowControl/>
        <w:numPr>
          <w:ilvl w:val="1"/>
          <w:numId w:val="1"/>
        </w:numPr>
        <w:spacing w:after="0"/>
      </w:pPr>
      <w:r>
        <w:t>The submission proposed an annual price of $</w:t>
      </w:r>
      <w:r w:rsidR="00C42D5F">
        <w:rPr>
          <w:noProof/>
          <w:color w:val="000000"/>
          <w:highlight w:val="black"/>
        </w:rPr>
        <w:t>''''''''''''</w:t>
      </w:r>
      <w:r>
        <w:t xml:space="preserve"> per patient, intended to be achieved </w:t>
      </w:r>
      <w:r>
        <w:rPr>
          <w:lang w:val="en-GB" w:eastAsia="en-GB"/>
        </w:rPr>
        <w:t xml:space="preserve">via subsidisation caps implemented through an RSA, </w:t>
      </w:r>
      <w:r>
        <w:t>consistent with the intended annual price per FTE patient for lumacaftor/ivacaftor (of $</w:t>
      </w:r>
      <w:r w:rsidR="00C42D5F">
        <w:rPr>
          <w:noProof/>
          <w:color w:val="000000"/>
          <w:highlight w:val="black"/>
        </w:rPr>
        <w:t>''''''''''''''</w:t>
      </w:r>
      <w:r>
        <w:t xml:space="preserve">) in patients aged 6 years and older. </w:t>
      </w:r>
    </w:p>
    <w:p w:rsidR="007070CB" w:rsidRDefault="006E2E62">
      <w:pPr>
        <w:pStyle w:val="ListParagraph"/>
        <w:widowControl/>
        <w:numPr>
          <w:ilvl w:val="1"/>
          <w:numId w:val="1"/>
        </w:numPr>
        <w:spacing w:after="0"/>
      </w:pPr>
      <w:r>
        <w:t>The PBAC was of the view that the use of subsidisation caps through the current Deed of Agreement for lumacaftor/ivacaftor for patients aged 6 years and older is associated with a significant risk that the Government would pay a higher amount than $</w:t>
      </w:r>
      <w:r w:rsidR="00C42D5F">
        <w:rPr>
          <w:noProof/>
          <w:color w:val="000000"/>
          <w:highlight w:val="black"/>
        </w:rPr>
        <w:t>''''''''''''</w:t>
      </w:r>
      <w:r>
        <w:t xml:space="preserve"> per FTE patient per year. This is because realisation of this price is achieved via subsidisation caps and therefore dependent on the estimated utilisation being achieved. </w:t>
      </w:r>
    </w:p>
    <w:p w:rsidR="007070CB" w:rsidRDefault="006E2E62">
      <w:pPr>
        <w:widowControl/>
        <w:jc w:val="left"/>
        <w:rPr>
          <w:u w:val="single"/>
        </w:rPr>
      </w:pPr>
      <w:r>
        <w:rPr>
          <w:u w:val="single"/>
        </w:rPr>
        <w:br w:type="page"/>
      </w:r>
    </w:p>
    <w:p w:rsidR="007070CB" w:rsidRDefault="006E2E62">
      <w:pPr>
        <w:spacing w:after="120"/>
        <w:rPr>
          <w:u w:val="single"/>
        </w:rPr>
      </w:pPr>
      <w:r>
        <w:rPr>
          <w:u w:val="single"/>
        </w:rPr>
        <w:lastRenderedPageBreak/>
        <w:t>Estimated Government expenditure per patient for Year 1 for lumacaftor/ivacaftor</w:t>
      </w:r>
    </w:p>
    <w:p w:rsidR="007070CB" w:rsidRDefault="006E2E62">
      <w:pPr>
        <w:pStyle w:val="ListParagraph"/>
        <w:widowControl/>
        <w:numPr>
          <w:ilvl w:val="1"/>
          <w:numId w:val="1"/>
        </w:numPr>
      </w:pPr>
      <w:r>
        <w:t>In March 2019, the PBAC noted that the advice from the Department regarding current utilisation of lumacaftor/ivacaftor tablets (for patients aged 6 years and older) indicated that Government expenditure per patient in Year 1 of listing is likely to be significantly higher than what was considered acceptably cost-effective (i.e. $</w:t>
      </w:r>
      <w:r w:rsidR="00C42D5F">
        <w:rPr>
          <w:noProof/>
          <w:color w:val="000000"/>
          <w:highlight w:val="black"/>
        </w:rPr>
        <w:t>'''''''''''''</w:t>
      </w:r>
      <w:r>
        <w:t xml:space="preserve"> per FTE patient per year) in its July 2018 recommendation (</w:t>
      </w:r>
      <w:r>
        <w:rPr>
          <w:rFonts w:asciiTheme="minorHAnsi" w:hAnsiTheme="minorHAnsi"/>
          <w:bCs/>
          <w:szCs w:val="24"/>
        </w:rPr>
        <w:t xml:space="preserve">tezacaftor/ivacaftor (F508del), PBAC minutes March 2019, </w:t>
      </w:r>
      <w:r>
        <w:t>paragraph 7.10). The PBAC therefore advised that it would be appropriate for the Department to pursue alternative arrangements through which the price of $</w:t>
      </w:r>
      <w:r w:rsidR="00C42D5F">
        <w:rPr>
          <w:noProof/>
          <w:color w:val="000000"/>
          <w:highlight w:val="black"/>
        </w:rPr>
        <w:t>''''''''''''''</w:t>
      </w:r>
      <w:r>
        <w:t xml:space="preserve"> per FTE patient for tezacaftor/ivacaftor and lumacaftor/ivacaftor could be achieved, for example, such as through reducing the subsidisation caps in the current Deed of Agreement, or by implementing a Special Pricing Arrangement, as previously suggested in the July 2018 lumacaftor/ivacaftor recommendation. </w:t>
      </w:r>
    </w:p>
    <w:p w:rsidR="007070CB" w:rsidRDefault="006E2E62">
      <w:pPr>
        <w:pStyle w:val="ListParagraph"/>
        <w:widowControl/>
        <w:numPr>
          <w:ilvl w:val="1"/>
          <w:numId w:val="1"/>
        </w:numPr>
      </w:pPr>
      <w:r>
        <w:t>The ESC considered that increasing the annual subsidisation caps for lumacaftor/ivacaftor under the current Deed to include the estimated 2 to 5 years patient population at $</w:t>
      </w:r>
      <w:r w:rsidR="00C42D5F">
        <w:rPr>
          <w:noProof/>
          <w:color w:val="000000"/>
          <w:highlight w:val="black"/>
        </w:rPr>
        <w:t>''''''''''''</w:t>
      </w:r>
      <w:r>
        <w:t xml:space="preserve"> per FTE patient would further increase the risk that the Government would pay a higher amount than $</w:t>
      </w:r>
      <w:r w:rsidR="00C42D5F">
        <w:rPr>
          <w:noProof/>
          <w:color w:val="000000"/>
          <w:highlight w:val="black"/>
        </w:rPr>
        <w:t>'''''''''''''</w:t>
      </w:r>
      <w:r>
        <w:t xml:space="preserve"> per FTE patient per year for each year of listing, and as an average over the first four years of listing. In this regard, the ESC requested that the Department provide the PBAC with an update on utilisation of lumacaftor/ivacaftor since listing on the PBS on 1 October 2018 and an assessment of the likelihood of achieving the price of $</w:t>
      </w:r>
      <w:r w:rsidR="00C42D5F">
        <w:rPr>
          <w:noProof/>
          <w:color w:val="000000"/>
          <w:highlight w:val="black"/>
        </w:rPr>
        <w:t>''''''''''''''</w:t>
      </w:r>
      <w:r>
        <w:t xml:space="preserve"> per patient in Year 1 of listing.</w:t>
      </w:r>
    </w:p>
    <w:p w:rsidR="007070CB" w:rsidRDefault="006E2E62">
      <w:pPr>
        <w:pStyle w:val="ListParagraph"/>
        <w:widowControl/>
        <w:numPr>
          <w:ilvl w:val="1"/>
          <w:numId w:val="1"/>
        </w:numPr>
      </w:pPr>
      <w:r>
        <w:t xml:space="preserve">The Department reminded the PBAC that the subsidisation cap for Year 1 of listing was set based on </w:t>
      </w:r>
      <w:r w:rsidR="00C42D5F">
        <w:rPr>
          <w:noProof/>
          <w:color w:val="000000"/>
          <w:highlight w:val="black"/>
        </w:rPr>
        <w:t>''''''''''''''</w:t>
      </w:r>
      <w:r>
        <w:t xml:space="preserve"> prescriptions (or </w:t>
      </w:r>
      <w:r w:rsidR="00C42D5F">
        <w:rPr>
          <w:noProof/>
          <w:color w:val="000000"/>
          <w:highlight w:val="black"/>
        </w:rPr>
        <w:t>'''''''''''</w:t>
      </w:r>
      <w:r>
        <w:t xml:space="preserve"> FTE patients receiving 11 prescriptions per year) being dispensed in Year 1 (see Table 15). Table 16 presents the number of prescriptions and government expenditure</w:t>
      </w:r>
      <w:bookmarkStart w:id="36" w:name="_GoBack"/>
      <w:bookmarkEnd w:id="36"/>
      <w:r>
        <w:t xml:space="preserve"> for lumacaftor/ivacaftor for the first seven months of listing. </w:t>
      </w:r>
    </w:p>
    <w:p w:rsidR="00AF481E" w:rsidRDefault="00AF481E" w:rsidP="00AF481E">
      <w:pPr>
        <w:pStyle w:val="PBACTableText"/>
      </w:pPr>
      <w:r>
        <w:t xml:space="preserve">Table </w:t>
      </w:r>
      <w:r w:rsidR="00AF1977">
        <w:rPr>
          <w:noProof/>
        </w:rPr>
        <w:t>15</w:t>
      </w:r>
      <w:r w:rsidRPr="003F72A8">
        <w:t>: Subsidisation caps for lumacaftor/ivacaftor by year of listing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Caption w:val="Table 15: Subsidisation caps for lumacaftor/ivacaftor by year of listing"/>
      </w:tblPr>
      <w:tblGrid>
        <w:gridCol w:w="1301"/>
        <w:gridCol w:w="1201"/>
        <w:gridCol w:w="1328"/>
        <w:gridCol w:w="1860"/>
        <w:gridCol w:w="3327"/>
      </w:tblGrid>
      <w:tr w:rsidR="007070CB" w:rsidTr="006E3A86">
        <w:trPr>
          <w:trHeight w:val="300"/>
          <w:tblHeader/>
        </w:trPr>
        <w:tc>
          <w:tcPr>
            <w:tcW w:w="0" w:type="auto"/>
            <w:shd w:val="clear" w:color="auto" w:fill="FFFFFF" w:themeFill="background1"/>
            <w:noWrap/>
            <w:tcMar>
              <w:top w:w="0" w:type="dxa"/>
              <w:left w:w="108" w:type="dxa"/>
              <w:bottom w:w="0" w:type="dxa"/>
              <w:right w:w="108" w:type="dxa"/>
            </w:tcMar>
            <w:vAlign w:val="center"/>
            <w:hideMark/>
          </w:tcPr>
          <w:p w:rsidR="007070CB" w:rsidRDefault="006E2E62">
            <w:pPr>
              <w:keepNext/>
              <w:widowControl/>
              <w:rPr>
                <w:rFonts w:ascii="Arial Narrow" w:hAnsi="Arial Narrow"/>
                <w:b/>
                <w:bCs/>
                <w:color w:val="000000"/>
                <w:sz w:val="20"/>
                <w:szCs w:val="20"/>
                <w:lang w:eastAsia="en-AU"/>
              </w:rPr>
            </w:pPr>
            <w:r>
              <w:rPr>
                <w:rFonts w:ascii="Arial Narrow" w:hAnsi="Arial Narrow"/>
                <w:b/>
                <w:bCs/>
                <w:color w:val="000000"/>
                <w:sz w:val="20"/>
                <w:szCs w:val="20"/>
                <w:lang w:eastAsia="en-AU"/>
              </w:rPr>
              <w:t>Year of listing</w:t>
            </w:r>
          </w:p>
        </w:tc>
        <w:tc>
          <w:tcPr>
            <w:tcW w:w="0" w:type="auto"/>
            <w:shd w:val="clear" w:color="auto" w:fill="FFFFFF" w:themeFill="background1"/>
            <w:noWrap/>
            <w:tcMar>
              <w:top w:w="0" w:type="dxa"/>
              <w:left w:w="108" w:type="dxa"/>
              <w:bottom w:w="0" w:type="dxa"/>
              <w:right w:w="108" w:type="dxa"/>
            </w:tcMar>
            <w:vAlign w:val="center"/>
          </w:tcPr>
          <w:p w:rsidR="007070CB" w:rsidRDefault="006E2E62">
            <w:pPr>
              <w:keepNext/>
              <w:widowControl/>
              <w:jc w:val="center"/>
              <w:rPr>
                <w:rFonts w:ascii="Arial Narrow" w:hAnsi="Arial Narrow"/>
                <w:b/>
                <w:bCs/>
                <w:color w:val="000000"/>
                <w:sz w:val="20"/>
                <w:szCs w:val="20"/>
                <w:lang w:eastAsia="en-AU"/>
              </w:rPr>
            </w:pPr>
            <w:r>
              <w:rPr>
                <w:rFonts w:ascii="Arial Narrow" w:hAnsi="Arial Narrow"/>
                <w:b/>
                <w:bCs/>
                <w:color w:val="000000"/>
                <w:sz w:val="20"/>
                <w:szCs w:val="20"/>
                <w:lang w:eastAsia="en-AU"/>
              </w:rPr>
              <w:t>FTE patients</w:t>
            </w:r>
          </w:p>
        </w:tc>
        <w:tc>
          <w:tcPr>
            <w:tcW w:w="0" w:type="auto"/>
            <w:shd w:val="clear" w:color="auto" w:fill="FFFFFF" w:themeFill="background1"/>
            <w:noWrap/>
            <w:tcMar>
              <w:top w:w="0" w:type="dxa"/>
              <w:left w:w="108" w:type="dxa"/>
              <w:bottom w:w="0" w:type="dxa"/>
              <w:right w:w="108" w:type="dxa"/>
            </w:tcMar>
            <w:vAlign w:val="center"/>
          </w:tcPr>
          <w:p w:rsidR="007070CB" w:rsidRDefault="006E2E62">
            <w:pPr>
              <w:keepNext/>
              <w:widowControl/>
              <w:jc w:val="center"/>
              <w:rPr>
                <w:rFonts w:ascii="Arial Narrow" w:hAnsi="Arial Narrow"/>
                <w:b/>
                <w:bCs/>
                <w:color w:val="000000"/>
                <w:sz w:val="20"/>
                <w:szCs w:val="20"/>
                <w:lang w:eastAsia="en-AU"/>
              </w:rPr>
            </w:pPr>
            <w:r>
              <w:rPr>
                <w:rFonts w:ascii="Arial Narrow" w:hAnsi="Arial Narrow"/>
                <w:b/>
                <w:bCs/>
                <w:color w:val="000000"/>
                <w:sz w:val="20"/>
                <w:szCs w:val="20"/>
                <w:lang w:eastAsia="en-AU"/>
              </w:rPr>
              <w:t>Prescriptions*</w:t>
            </w:r>
          </w:p>
        </w:tc>
        <w:tc>
          <w:tcPr>
            <w:tcW w:w="1860" w:type="dxa"/>
            <w:shd w:val="clear" w:color="auto" w:fill="FFFFFF" w:themeFill="background1"/>
            <w:noWrap/>
            <w:tcMar>
              <w:top w:w="0" w:type="dxa"/>
              <w:left w:w="108" w:type="dxa"/>
              <w:bottom w:w="0" w:type="dxa"/>
              <w:right w:w="108" w:type="dxa"/>
            </w:tcMar>
            <w:vAlign w:val="center"/>
          </w:tcPr>
          <w:p w:rsidR="007070CB" w:rsidRDefault="006E2E62">
            <w:pPr>
              <w:keepNext/>
              <w:widowControl/>
              <w:jc w:val="center"/>
              <w:rPr>
                <w:rFonts w:ascii="Arial Narrow" w:hAnsi="Arial Narrow"/>
                <w:b/>
                <w:bCs/>
                <w:color w:val="000000"/>
                <w:sz w:val="20"/>
                <w:szCs w:val="20"/>
                <w:lang w:eastAsia="en-AU"/>
              </w:rPr>
            </w:pPr>
            <w:r>
              <w:rPr>
                <w:rFonts w:ascii="Arial Narrow" w:hAnsi="Arial Narrow"/>
                <w:b/>
                <w:bCs/>
                <w:color w:val="000000"/>
                <w:sz w:val="20"/>
                <w:szCs w:val="20"/>
                <w:lang w:eastAsia="en-AU"/>
              </w:rPr>
              <w:t>Subsidisation cap</w:t>
            </w:r>
          </w:p>
          <w:p w:rsidR="007070CB" w:rsidRDefault="006E2E62">
            <w:pPr>
              <w:keepNext/>
              <w:widowControl/>
              <w:jc w:val="center"/>
              <w:rPr>
                <w:rFonts w:ascii="Arial Narrow" w:hAnsi="Arial Narrow"/>
                <w:b/>
                <w:bCs/>
                <w:color w:val="000000"/>
                <w:sz w:val="20"/>
                <w:szCs w:val="20"/>
                <w:lang w:eastAsia="en-AU"/>
              </w:rPr>
            </w:pPr>
            <w:r>
              <w:rPr>
                <w:rFonts w:ascii="Arial Narrow" w:hAnsi="Arial Narrow"/>
                <w:b/>
                <w:bCs/>
                <w:color w:val="000000"/>
                <w:sz w:val="20"/>
                <w:szCs w:val="20"/>
                <w:lang w:eastAsia="en-AU"/>
              </w:rPr>
              <w:t>($</w:t>
            </w:r>
            <w:r w:rsidR="00E90A30">
              <w:rPr>
                <w:rFonts w:ascii="Arial Narrow" w:hAnsi="Arial Narrow"/>
                <w:b/>
                <w:bCs/>
                <w:noProof/>
                <w:color w:val="000000"/>
                <w:sz w:val="20"/>
                <w:szCs w:val="20"/>
                <w:highlight w:val="black"/>
                <w:lang w:eastAsia="en-AU"/>
              </w:rPr>
              <w:t>''''''''</w:t>
            </w:r>
            <w:r>
              <w:rPr>
                <w:rFonts w:ascii="Arial Narrow" w:hAnsi="Arial Narrow"/>
                <w:b/>
                <w:bCs/>
                <w:color w:val="000000"/>
                <w:sz w:val="20"/>
                <w:szCs w:val="20"/>
                <w:lang w:eastAsia="en-AU"/>
              </w:rPr>
              <w:t>/patient)</w:t>
            </w:r>
          </w:p>
        </w:tc>
        <w:tc>
          <w:tcPr>
            <w:tcW w:w="3327" w:type="dxa"/>
            <w:shd w:val="clear" w:color="auto" w:fill="FFFFFF" w:themeFill="background1"/>
            <w:vAlign w:val="center"/>
          </w:tcPr>
          <w:p w:rsidR="007070CB" w:rsidRDefault="006E2E62">
            <w:pPr>
              <w:keepNext/>
              <w:widowControl/>
              <w:jc w:val="center"/>
              <w:rPr>
                <w:rFonts w:ascii="Arial Narrow" w:hAnsi="Arial Narrow"/>
                <w:b/>
                <w:bCs/>
                <w:color w:val="000000"/>
                <w:sz w:val="20"/>
                <w:szCs w:val="20"/>
                <w:lang w:eastAsia="en-AU"/>
              </w:rPr>
            </w:pPr>
            <w:r>
              <w:rPr>
                <w:rFonts w:ascii="Arial Narrow" w:hAnsi="Arial Narrow"/>
                <w:b/>
                <w:bCs/>
                <w:color w:val="000000"/>
                <w:sz w:val="20"/>
                <w:szCs w:val="20"/>
                <w:lang w:eastAsia="en-AU"/>
              </w:rPr>
              <w:t>Minimum subsidisation cap if MAP conditions not met**</w:t>
            </w:r>
          </w:p>
        </w:tc>
      </w:tr>
      <w:tr w:rsidR="007070CB" w:rsidTr="00AF481E">
        <w:trPr>
          <w:trHeight w:val="135"/>
        </w:trPr>
        <w:tc>
          <w:tcPr>
            <w:tcW w:w="0" w:type="auto"/>
            <w:shd w:val="clear" w:color="auto" w:fill="FFFFFF" w:themeFill="background1"/>
            <w:noWrap/>
            <w:tcMar>
              <w:top w:w="0" w:type="dxa"/>
              <w:left w:w="108" w:type="dxa"/>
              <w:bottom w:w="0" w:type="dxa"/>
              <w:right w:w="108" w:type="dxa"/>
            </w:tcMar>
            <w:vAlign w:val="center"/>
            <w:hideMark/>
          </w:tcPr>
          <w:p w:rsidR="007070CB" w:rsidRDefault="006E2E62">
            <w:pPr>
              <w:keepNext/>
              <w:widowControl/>
              <w:jc w:val="center"/>
              <w:rPr>
                <w:rFonts w:ascii="Arial Narrow" w:hAnsi="Arial Narrow"/>
                <w:bCs/>
                <w:color w:val="000000"/>
                <w:sz w:val="20"/>
                <w:szCs w:val="20"/>
                <w:lang w:eastAsia="en-AU"/>
              </w:rPr>
            </w:pPr>
            <w:r>
              <w:rPr>
                <w:rFonts w:ascii="Arial Narrow" w:hAnsi="Arial Narrow"/>
                <w:bCs/>
                <w:color w:val="000000"/>
                <w:sz w:val="20"/>
                <w:szCs w:val="20"/>
                <w:lang w:eastAsia="en-AU"/>
              </w:rPr>
              <w:t>Year 1</w:t>
            </w:r>
          </w:p>
        </w:tc>
        <w:tc>
          <w:tcPr>
            <w:tcW w:w="0" w:type="auto"/>
            <w:shd w:val="clear" w:color="auto" w:fill="FFFFFF" w:themeFill="background1"/>
            <w:noWrap/>
            <w:tcMar>
              <w:top w:w="0" w:type="dxa"/>
              <w:left w:w="108" w:type="dxa"/>
              <w:bottom w:w="0" w:type="dxa"/>
              <w:right w:w="108" w:type="dxa"/>
            </w:tcMar>
            <w:vAlign w:val="center"/>
          </w:tcPr>
          <w:p w:rsidR="007070CB" w:rsidRPr="00C42D5F" w:rsidRDefault="00C42D5F">
            <w:pPr>
              <w:keepNext/>
              <w:widowControl/>
              <w:jc w:val="center"/>
              <w:rPr>
                <w:rFonts w:ascii="Arial Narrow" w:hAnsi="Arial Narrow"/>
                <w:bCs/>
                <w:color w:val="000000"/>
                <w:sz w:val="20"/>
                <w:szCs w:val="20"/>
                <w:highlight w:val="black"/>
                <w:lang w:eastAsia="en-AU"/>
              </w:rPr>
            </w:pPr>
            <w:r>
              <w:rPr>
                <w:rFonts w:ascii="Arial Narrow" w:hAnsi="Arial Narrow"/>
                <w:noProof/>
                <w:color w:val="000000"/>
                <w:sz w:val="20"/>
                <w:szCs w:val="20"/>
                <w:highlight w:val="black"/>
              </w:rPr>
              <w:t>'''''''''''''</w:t>
            </w:r>
          </w:p>
        </w:tc>
        <w:tc>
          <w:tcPr>
            <w:tcW w:w="0" w:type="auto"/>
            <w:shd w:val="clear" w:color="auto" w:fill="FFFFFF" w:themeFill="background1"/>
            <w:noWrap/>
            <w:tcMar>
              <w:top w:w="0" w:type="dxa"/>
              <w:left w:w="108" w:type="dxa"/>
              <w:bottom w:w="0" w:type="dxa"/>
              <w:right w:w="108" w:type="dxa"/>
            </w:tcMar>
            <w:vAlign w:val="center"/>
          </w:tcPr>
          <w:p w:rsidR="007070CB" w:rsidRPr="00C42D5F" w:rsidRDefault="00C42D5F">
            <w:pPr>
              <w:keepNext/>
              <w:widowControl/>
              <w:jc w:val="center"/>
              <w:rPr>
                <w:rFonts w:ascii="Arial Narrow" w:hAnsi="Arial Narrow"/>
                <w:bCs/>
                <w:color w:val="000000"/>
                <w:sz w:val="20"/>
                <w:szCs w:val="20"/>
                <w:highlight w:val="black"/>
                <w:lang w:eastAsia="en-AU"/>
              </w:rPr>
            </w:pPr>
            <w:r>
              <w:rPr>
                <w:rFonts w:ascii="Arial Narrow" w:hAnsi="Arial Narrow"/>
                <w:noProof/>
                <w:color w:val="000000"/>
                <w:sz w:val="20"/>
                <w:szCs w:val="20"/>
                <w:highlight w:val="black"/>
              </w:rPr>
              <w:t>'''''''''''''''''</w:t>
            </w:r>
          </w:p>
        </w:tc>
        <w:tc>
          <w:tcPr>
            <w:tcW w:w="1860" w:type="dxa"/>
            <w:shd w:val="clear" w:color="auto" w:fill="FFFFFF" w:themeFill="background1"/>
            <w:noWrap/>
            <w:tcMar>
              <w:top w:w="0" w:type="dxa"/>
              <w:left w:w="108" w:type="dxa"/>
              <w:bottom w:w="0" w:type="dxa"/>
              <w:right w:w="108" w:type="dxa"/>
            </w:tcMar>
            <w:vAlign w:val="center"/>
          </w:tcPr>
          <w:p w:rsidR="007070CB" w:rsidRPr="00C42D5F" w:rsidRDefault="00C42D5F">
            <w:pPr>
              <w:keepNext/>
              <w:widowControl/>
              <w:jc w:val="center"/>
              <w:rPr>
                <w:rFonts w:ascii="Arial Narrow" w:hAnsi="Arial Narrow"/>
                <w:bCs/>
                <w:color w:val="000000"/>
                <w:sz w:val="20"/>
                <w:szCs w:val="20"/>
                <w:highlight w:val="black"/>
                <w:lang w:eastAsia="en-AU"/>
              </w:rPr>
            </w:pPr>
            <w:r>
              <w:rPr>
                <w:rFonts w:ascii="Arial Narrow" w:hAnsi="Arial Narrow"/>
                <w:bCs/>
                <w:noProof/>
                <w:color w:val="000000"/>
                <w:sz w:val="20"/>
                <w:szCs w:val="20"/>
                <w:highlight w:val="black"/>
                <w:lang w:eastAsia="en-AU"/>
              </w:rPr>
              <w:t>''''''''''''''''''''''''''''''</w:t>
            </w:r>
          </w:p>
        </w:tc>
        <w:tc>
          <w:tcPr>
            <w:tcW w:w="3327" w:type="dxa"/>
            <w:shd w:val="clear" w:color="auto" w:fill="FFFFFF" w:themeFill="background1"/>
          </w:tcPr>
          <w:p w:rsidR="007070CB" w:rsidRDefault="006E2E62">
            <w:pPr>
              <w:keepNext/>
              <w:widowControl/>
              <w:ind w:firstLine="98"/>
              <w:jc w:val="center"/>
              <w:rPr>
                <w:rFonts w:ascii="Arial Narrow" w:hAnsi="Arial Narrow"/>
                <w:bCs/>
                <w:color w:val="000000"/>
                <w:sz w:val="20"/>
                <w:szCs w:val="20"/>
                <w:lang w:eastAsia="en-AU"/>
              </w:rPr>
            </w:pPr>
            <w:r>
              <w:rPr>
                <w:rFonts w:ascii="Arial Narrow" w:hAnsi="Arial Narrow"/>
                <w:bCs/>
                <w:color w:val="000000"/>
                <w:sz w:val="20"/>
                <w:szCs w:val="20"/>
                <w:lang w:eastAsia="en-AU"/>
              </w:rPr>
              <w:t>-</w:t>
            </w:r>
          </w:p>
        </w:tc>
      </w:tr>
      <w:tr w:rsidR="007070CB" w:rsidTr="00AF481E">
        <w:trPr>
          <w:trHeight w:val="182"/>
        </w:trPr>
        <w:tc>
          <w:tcPr>
            <w:tcW w:w="0" w:type="auto"/>
            <w:shd w:val="clear" w:color="auto" w:fill="FFFFFF" w:themeFill="background1"/>
            <w:noWrap/>
            <w:tcMar>
              <w:top w:w="0" w:type="dxa"/>
              <w:left w:w="108" w:type="dxa"/>
              <w:bottom w:w="0" w:type="dxa"/>
              <w:right w:w="108" w:type="dxa"/>
            </w:tcMar>
            <w:vAlign w:val="center"/>
            <w:hideMark/>
          </w:tcPr>
          <w:p w:rsidR="007070CB" w:rsidRDefault="006E2E62">
            <w:pPr>
              <w:keepNext/>
              <w:widowControl/>
              <w:jc w:val="center"/>
              <w:rPr>
                <w:rFonts w:ascii="Arial Narrow" w:hAnsi="Arial Narrow"/>
                <w:bCs/>
                <w:color w:val="000000"/>
                <w:sz w:val="20"/>
                <w:szCs w:val="20"/>
                <w:lang w:eastAsia="en-AU"/>
              </w:rPr>
            </w:pPr>
            <w:r>
              <w:rPr>
                <w:rFonts w:ascii="Arial Narrow" w:hAnsi="Arial Narrow"/>
                <w:bCs/>
                <w:color w:val="000000"/>
                <w:sz w:val="20"/>
                <w:szCs w:val="20"/>
                <w:lang w:eastAsia="en-AU"/>
              </w:rPr>
              <w:t>Year 2</w:t>
            </w:r>
          </w:p>
        </w:tc>
        <w:tc>
          <w:tcPr>
            <w:tcW w:w="0" w:type="auto"/>
            <w:shd w:val="clear" w:color="auto" w:fill="FFFFFF" w:themeFill="background1"/>
            <w:noWrap/>
            <w:tcMar>
              <w:top w:w="0" w:type="dxa"/>
              <w:left w:w="108" w:type="dxa"/>
              <w:bottom w:w="0" w:type="dxa"/>
              <w:right w:w="108" w:type="dxa"/>
            </w:tcMar>
            <w:vAlign w:val="center"/>
          </w:tcPr>
          <w:p w:rsidR="007070CB" w:rsidRPr="00C42D5F" w:rsidRDefault="00C42D5F">
            <w:pPr>
              <w:keepNext/>
              <w:widowControl/>
              <w:jc w:val="center"/>
              <w:rPr>
                <w:rFonts w:ascii="Arial Narrow" w:hAnsi="Arial Narrow"/>
                <w:bCs/>
                <w:color w:val="000000"/>
                <w:sz w:val="20"/>
                <w:szCs w:val="20"/>
                <w:highlight w:val="black"/>
                <w:lang w:eastAsia="en-AU"/>
              </w:rPr>
            </w:pPr>
            <w:r>
              <w:rPr>
                <w:rFonts w:ascii="Arial Narrow" w:hAnsi="Arial Narrow"/>
                <w:noProof/>
                <w:color w:val="000000"/>
                <w:sz w:val="20"/>
                <w:szCs w:val="20"/>
                <w:highlight w:val="black"/>
              </w:rPr>
              <w:t>''''''''''''''</w:t>
            </w:r>
          </w:p>
        </w:tc>
        <w:tc>
          <w:tcPr>
            <w:tcW w:w="0" w:type="auto"/>
            <w:shd w:val="clear" w:color="auto" w:fill="FFFFFF" w:themeFill="background1"/>
            <w:noWrap/>
            <w:tcMar>
              <w:top w:w="0" w:type="dxa"/>
              <w:left w:w="108" w:type="dxa"/>
              <w:bottom w:w="0" w:type="dxa"/>
              <w:right w:w="108" w:type="dxa"/>
            </w:tcMar>
            <w:vAlign w:val="center"/>
          </w:tcPr>
          <w:p w:rsidR="007070CB" w:rsidRPr="00C42D5F" w:rsidRDefault="00C42D5F">
            <w:pPr>
              <w:keepNext/>
              <w:widowControl/>
              <w:jc w:val="center"/>
              <w:rPr>
                <w:rFonts w:ascii="Arial Narrow" w:hAnsi="Arial Narrow"/>
                <w:bCs/>
                <w:color w:val="000000"/>
                <w:sz w:val="20"/>
                <w:szCs w:val="20"/>
                <w:highlight w:val="black"/>
                <w:lang w:eastAsia="en-AU"/>
              </w:rPr>
            </w:pPr>
            <w:r>
              <w:rPr>
                <w:rFonts w:ascii="Arial Narrow" w:hAnsi="Arial Narrow"/>
                <w:noProof/>
                <w:color w:val="000000"/>
                <w:sz w:val="20"/>
                <w:szCs w:val="20"/>
                <w:highlight w:val="black"/>
              </w:rPr>
              <w:t>'''''''''''''''</w:t>
            </w:r>
          </w:p>
        </w:tc>
        <w:tc>
          <w:tcPr>
            <w:tcW w:w="1860" w:type="dxa"/>
            <w:shd w:val="clear" w:color="auto" w:fill="FFFFFF" w:themeFill="background1"/>
            <w:noWrap/>
            <w:tcMar>
              <w:top w:w="0" w:type="dxa"/>
              <w:left w:w="108" w:type="dxa"/>
              <w:bottom w:w="0" w:type="dxa"/>
              <w:right w:w="108" w:type="dxa"/>
            </w:tcMar>
            <w:vAlign w:val="center"/>
          </w:tcPr>
          <w:p w:rsidR="007070CB" w:rsidRPr="00C42D5F" w:rsidRDefault="00C42D5F">
            <w:pPr>
              <w:keepNext/>
              <w:widowControl/>
              <w:jc w:val="center"/>
              <w:rPr>
                <w:rFonts w:ascii="Arial Narrow" w:hAnsi="Arial Narrow"/>
                <w:bCs/>
                <w:color w:val="000000"/>
                <w:sz w:val="20"/>
                <w:szCs w:val="20"/>
                <w:highlight w:val="black"/>
                <w:lang w:eastAsia="en-AU"/>
              </w:rPr>
            </w:pPr>
            <w:r>
              <w:rPr>
                <w:rFonts w:ascii="Arial Narrow" w:hAnsi="Arial Narrow"/>
                <w:bCs/>
                <w:noProof/>
                <w:color w:val="000000"/>
                <w:sz w:val="20"/>
                <w:szCs w:val="20"/>
                <w:highlight w:val="black"/>
                <w:lang w:eastAsia="en-AU"/>
              </w:rPr>
              <w:t>'''''''''''''''''''''''''''''''''</w:t>
            </w:r>
          </w:p>
        </w:tc>
        <w:tc>
          <w:tcPr>
            <w:tcW w:w="3327" w:type="dxa"/>
            <w:shd w:val="clear" w:color="auto" w:fill="FFFFFF" w:themeFill="background1"/>
          </w:tcPr>
          <w:p w:rsidR="007070CB" w:rsidRDefault="006E2E62">
            <w:pPr>
              <w:keepNext/>
              <w:widowControl/>
              <w:ind w:firstLine="98"/>
              <w:jc w:val="center"/>
              <w:rPr>
                <w:rFonts w:ascii="Arial Narrow" w:hAnsi="Arial Narrow"/>
                <w:bCs/>
                <w:color w:val="000000"/>
                <w:sz w:val="20"/>
                <w:szCs w:val="20"/>
                <w:lang w:eastAsia="en-AU"/>
              </w:rPr>
            </w:pPr>
            <w:r>
              <w:rPr>
                <w:rFonts w:ascii="Arial Narrow" w:hAnsi="Arial Narrow"/>
                <w:bCs/>
                <w:color w:val="000000"/>
                <w:sz w:val="20"/>
                <w:szCs w:val="20"/>
                <w:lang w:eastAsia="en-AU"/>
              </w:rPr>
              <w:t>-</w:t>
            </w:r>
          </w:p>
        </w:tc>
      </w:tr>
      <w:tr w:rsidR="007070CB" w:rsidTr="00AF481E">
        <w:trPr>
          <w:trHeight w:val="85"/>
        </w:trPr>
        <w:tc>
          <w:tcPr>
            <w:tcW w:w="0" w:type="auto"/>
            <w:shd w:val="clear" w:color="auto" w:fill="FFFFFF" w:themeFill="background1"/>
            <w:noWrap/>
            <w:tcMar>
              <w:top w:w="0" w:type="dxa"/>
              <w:left w:w="108" w:type="dxa"/>
              <w:bottom w:w="0" w:type="dxa"/>
              <w:right w:w="108" w:type="dxa"/>
            </w:tcMar>
            <w:vAlign w:val="center"/>
          </w:tcPr>
          <w:p w:rsidR="007070CB" w:rsidRDefault="006E2E62">
            <w:pPr>
              <w:keepNext/>
              <w:widowControl/>
              <w:jc w:val="center"/>
              <w:rPr>
                <w:rFonts w:ascii="Arial Narrow" w:hAnsi="Arial Narrow"/>
                <w:bCs/>
                <w:color w:val="000000"/>
                <w:sz w:val="20"/>
                <w:szCs w:val="20"/>
                <w:lang w:eastAsia="en-AU"/>
              </w:rPr>
            </w:pPr>
            <w:r>
              <w:rPr>
                <w:rFonts w:ascii="Arial Narrow" w:hAnsi="Arial Narrow"/>
                <w:bCs/>
                <w:color w:val="000000"/>
                <w:sz w:val="20"/>
                <w:szCs w:val="20"/>
                <w:lang w:eastAsia="en-AU"/>
              </w:rPr>
              <w:t>Year 3</w:t>
            </w:r>
          </w:p>
        </w:tc>
        <w:tc>
          <w:tcPr>
            <w:tcW w:w="0" w:type="auto"/>
            <w:shd w:val="clear" w:color="auto" w:fill="FFFFFF" w:themeFill="background1"/>
            <w:noWrap/>
            <w:tcMar>
              <w:top w:w="0" w:type="dxa"/>
              <w:left w:w="108" w:type="dxa"/>
              <w:bottom w:w="0" w:type="dxa"/>
              <w:right w:w="108" w:type="dxa"/>
            </w:tcMar>
            <w:vAlign w:val="center"/>
          </w:tcPr>
          <w:p w:rsidR="007070CB" w:rsidRPr="00C42D5F" w:rsidRDefault="00C42D5F">
            <w:pPr>
              <w:keepNext/>
              <w:widowControl/>
              <w:jc w:val="center"/>
              <w:rPr>
                <w:rFonts w:ascii="Arial Narrow" w:hAnsi="Arial Narrow"/>
                <w:bCs/>
                <w:color w:val="000000"/>
                <w:sz w:val="20"/>
                <w:szCs w:val="20"/>
                <w:highlight w:val="black"/>
                <w:lang w:eastAsia="en-AU"/>
              </w:rPr>
            </w:pPr>
            <w:r>
              <w:rPr>
                <w:rFonts w:ascii="Arial Narrow" w:hAnsi="Arial Narrow"/>
                <w:noProof/>
                <w:color w:val="000000"/>
                <w:sz w:val="20"/>
                <w:szCs w:val="20"/>
                <w:highlight w:val="black"/>
              </w:rPr>
              <w:t>'''''''''''''</w:t>
            </w:r>
          </w:p>
        </w:tc>
        <w:tc>
          <w:tcPr>
            <w:tcW w:w="0" w:type="auto"/>
            <w:shd w:val="clear" w:color="auto" w:fill="FFFFFF" w:themeFill="background1"/>
            <w:noWrap/>
            <w:tcMar>
              <w:top w:w="0" w:type="dxa"/>
              <w:left w:w="108" w:type="dxa"/>
              <w:bottom w:w="0" w:type="dxa"/>
              <w:right w:w="108" w:type="dxa"/>
            </w:tcMar>
            <w:vAlign w:val="center"/>
          </w:tcPr>
          <w:p w:rsidR="007070CB" w:rsidRPr="00C42D5F" w:rsidRDefault="00C42D5F">
            <w:pPr>
              <w:keepNext/>
              <w:widowControl/>
              <w:jc w:val="center"/>
              <w:rPr>
                <w:rFonts w:ascii="Arial Narrow" w:hAnsi="Arial Narrow"/>
                <w:bCs/>
                <w:color w:val="000000"/>
                <w:sz w:val="20"/>
                <w:szCs w:val="20"/>
                <w:highlight w:val="black"/>
                <w:lang w:eastAsia="en-AU"/>
              </w:rPr>
            </w:pPr>
            <w:r>
              <w:rPr>
                <w:rFonts w:ascii="Arial Narrow" w:hAnsi="Arial Narrow"/>
                <w:noProof/>
                <w:color w:val="000000"/>
                <w:sz w:val="20"/>
                <w:szCs w:val="20"/>
                <w:highlight w:val="black"/>
              </w:rPr>
              <w:t>''''''''''''''''</w:t>
            </w:r>
          </w:p>
        </w:tc>
        <w:tc>
          <w:tcPr>
            <w:tcW w:w="1860" w:type="dxa"/>
            <w:shd w:val="clear" w:color="auto" w:fill="FFFFFF" w:themeFill="background1"/>
            <w:noWrap/>
            <w:tcMar>
              <w:top w:w="0" w:type="dxa"/>
              <w:left w:w="108" w:type="dxa"/>
              <w:bottom w:w="0" w:type="dxa"/>
              <w:right w:w="108" w:type="dxa"/>
            </w:tcMar>
            <w:vAlign w:val="center"/>
          </w:tcPr>
          <w:p w:rsidR="007070CB" w:rsidRPr="00C42D5F" w:rsidRDefault="00C42D5F">
            <w:pPr>
              <w:keepNext/>
              <w:widowControl/>
              <w:jc w:val="center"/>
              <w:rPr>
                <w:rFonts w:ascii="Arial Narrow" w:hAnsi="Arial Narrow"/>
                <w:bCs/>
                <w:color w:val="000000"/>
                <w:sz w:val="20"/>
                <w:szCs w:val="20"/>
                <w:highlight w:val="black"/>
                <w:lang w:eastAsia="en-AU"/>
              </w:rPr>
            </w:pPr>
            <w:r>
              <w:rPr>
                <w:rFonts w:ascii="Arial Narrow" w:hAnsi="Arial Narrow"/>
                <w:bCs/>
                <w:noProof/>
                <w:color w:val="000000"/>
                <w:sz w:val="20"/>
                <w:szCs w:val="20"/>
                <w:highlight w:val="black"/>
                <w:lang w:eastAsia="en-AU"/>
              </w:rPr>
              <w:t>'''''''''''''''''''''''''''''</w:t>
            </w:r>
          </w:p>
        </w:tc>
        <w:tc>
          <w:tcPr>
            <w:tcW w:w="3327" w:type="dxa"/>
            <w:shd w:val="clear" w:color="auto" w:fill="FFFFFF" w:themeFill="background1"/>
            <w:vAlign w:val="center"/>
          </w:tcPr>
          <w:p w:rsidR="007070CB" w:rsidRPr="00C42D5F" w:rsidRDefault="00C42D5F">
            <w:pPr>
              <w:keepNext/>
              <w:widowControl/>
              <w:ind w:left="98"/>
              <w:jc w:val="center"/>
              <w:rPr>
                <w:rFonts w:ascii="Arial Narrow" w:hAnsi="Arial Narrow"/>
                <w:bCs/>
                <w:color w:val="000000"/>
                <w:sz w:val="20"/>
                <w:szCs w:val="20"/>
                <w:highlight w:val="black"/>
                <w:lang w:eastAsia="en-AU"/>
              </w:rPr>
            </w:pPr>
            <w:r>
              <w:rPr>
                <w:rFonts w:ascii="Arial Narrow" w:hAnsi="Arial Narrow"/>
                <w:bCs/>
                <w:noProof/>
                <w:color w:val="000000"/>
                <w:sz w:val="20"/>
                <w:szCs w:val="20"/>
                <w:highlight w:val="black"/>
                <w:lang w:eastAsia="en-AU"/>
              </w:rPr>
              <w:t>''''''''''''''''''''''''''''</w:t>
            </w:r>
          </w:p>
        </w:tc>
      </w:tr>
      <w:tr w:rsidR="007070CB" w:rsidTr="00AF481E">
        <w:trPr>
          <w:trHeight w:val="131"/>
        </w:trPr>
        <w:tc>
          <w:tcPr>
            <w:tcW w:w="0" w:type="auto"/>
            <w:shd w:val="clear" w:color="auto" w:fill="FFFFFF" w:themeFill="background1"/>
            <w:noWrap/>
            <w:tcMar>
              <w:top w:w="0" w:type="dxa"/>
              <w:left w:w="108" w:type="dxa"/>
              <w:bottom w:w="0" w:type="dxa"/>
              <w:right w:w="108" w:type="dxa"/>
            </w:tcMar>
            <w:vAlign w:val="center"/>
          </w:tcPr>
          <w:p w:rsidR="007070CB" w:rsidRDefault="006E2E62">
            <w:pPr>
              <w:keepNext/>
              <w:widowControl/>
              <w:jc w:val="center"/>
              <w:rPr>
                <w:rFonts w:ascii="Arial Narrow" w:hAnsi="Arial Narrow"/>
                <w:bCs/>
                <w:color w:val="000000"/>
                <w:sz w:val="20"/>
                <w:szCs w:val="20"/>
                <w:lang w:eastAsia="en-AU"/>
              </w:rPr>
            </w:pPr>
            <w:r>
              <w:rPr>
                <w:rFonts w:ascii="Arial Narrow" w:hAnsi="Arial Narrow"/>
                <w:bCs/>
                <w:color w:val="000000"/>
                <w:sz w:val="20"/>
                <w:szCs w:val="20"/>
                <w:lang w:eastAsia="en-AU"/>
              </w:rPr>
              <w:t>Year 4</w:t>
            </w:r>
          </w:p>
        </w:tc>
        <w:tc>
          <w:tcPr>
            <w:tcW w:w="0" w:type="auto"/>
            <w:shd w:val="clear" w:color="auto" w:fill="FFFFFF" w:themeFill="background1"/>
            <w:noWrap/>
            <w:tcMar>
              <w:top w:w="0" w:type="dxa"/>
              <w:left w:w="108" w:type="dxa"/>
              <w:bottom w:w="0" w:type="dxa"/>
              <w:right w:w="108" w:type="dxa"/>
            </w:tcMar>
            <w:vAlign w:val="center"/>
          </w:tcPr>
          <w:p w:rsidR="007070CB" w:rsidRPr="00C42D5F" w:rsidRDefault="00C42D5F">
            <w:pPr>
              <w:keepNext/>
              <w:widowControl/>
              <w:jc w:val="center"/>
              <w:rPr>
                <w:rFonts w:ascii="Arial Narrow" w:hAnsi="Arial Narrow"/>
                <w:bCs/>
                <w:color w:val="000000"/>
                <w:sz w:val="20"/>
                <w:szCs w:val="20"/>
                <w:highlight w:val="black"/>
                <w:lang w:eastAsia="en-AU"/>
              </w:rPr>
            </w:pPr>
            <w:r>
              <w:rPr>
                <w:rFonts w:ascii="Arial Narrow" w:hAnsi="Arial Narrow"/>
                <w:noProof/>
                <w:color w:val="000000"/>
                <w:sz w:val="20"/>
                <w:szCs w:val="20"/>
                <w:highlight w:val="black"/>
              </w:rPr>
              <w:t>'''''''''''''</w:t>
            </w:r>
          </w:p>
        </w:tc>
        <w:tc>
          <w:tcPr>
            <w:tcW w:w="0" w:type="auto"/>
            <w:shd w:val="clear" w:color="auto" w:fill="FFFFFF" w:themeFill="background1"/>
            <w:noWrap/>
            <w:tcMar>
              <w:top w:w="0" w:type="dxa"/>
              <w:left w:w="108" w:type="dxa"/>
              <w:bottom w:w="0" w:type="dxa"/>
              <w:right w:w="108" w:type="dxa"/>
            </w:tcMar>
            <w:vAlign w:val="center"/>
          </w:tcPr>
          <w:p w:rsidR="007070CB" w:rsidRPr="00C42D5F" w:rsidRDefault="00C42D5F">
            <w:pPr>
              <w:keepNext/>
              <w:widowControl/>
              <w:jc w:val="center"/>
              <w:rPr>
                <w:rFonts w:ascii="Arial Narrow" w:hAnsi="Arial Narrow"/>
                <w:bCs/>
                <w:color w:val="000000"/>
                <w:sz w:val="20"/>
                <w:szCs w:val="20"/>
                <w:highlight w:val="black"/>
                <w:lang w:eastAsia="en-AU"/>
              </w:rPr>
            </w:pPr>
            <w:r>
              <w:rPr>
                <w:rFonts w:ascii="Arial Narrow" w:hAnsi="Arial Narrow"/>
                <w:noProof/>
                <w:color w:val="000000"/>
                <w:sz w:val="20"/>
                <w:szCs w:val="20"/>
                <w:highlight w:val="black"/>
              </w:rPr>
              <w:t>'''''''''''''''''</w:t>
            </w:r>
          </w:p>
        </w:tc>
        <w:tc>
          <w:tcPr>
            <w:tcW w:w="1860" w:type="dxa"/>
            <w:shd w:val="clear" w:color="auto" w:fill="FFFFFF" w:themeFill="background1"/>
            <w:noWrap/>
            <w:tcMar>
              <w:top w:w="0" w:type="dxa"/>
              <w:left w:w="108" w:type="dxa"/>
              <w:bottom w:w="0" w:type="dxa"/>
              <w:right w:w="108" w:type="dxa"/>
            </w:tcMar>
            <w:vAlign w:val="center"/>
          </w:tcPr>
          <w:p w:rsidR="007070CB" w:rsidRPr="00C42D5F" w:rsidRDefault="00C42D5F">
            <w:pPr>
              <w:keepNext/>
              <w:widowControl/>
              <w:jc w:val="center"/>
              <w:rPr>
                <w:rFonts w:ascii="Arial Narrow" w:hAnsi="Arial Narrow"/>
                <w:bCs/>
                <w:color w:val="000000"/>
                <w:sz w:val="20"/>
                <w:szCs w:val="20"/>
                <w:highlight w:val="black"/>
                <w:lang w:eastAsia="en-AU"/>
              </w:rPr>
            </w:pPr>
            <w:r>
              <w:rPr>
                <w:rFonts w:ascii="Arial Narrow" w:hAnsi="Arial Narrow"/>
                <w:bCs/>
                <w:noProof/>
                <w:color w:val="000000"/>
                <w:sz w:val="20"/>
                <w:szCs w:val="20"/>
                <w:highlight w:val="black"/>
                <w:lang w:eastAsia="en-AU"/>
              </w:rPr>
              <w:t>''''''''''''''''''''''''''''</w:t>
            </w:r>
          </w:p>
        </w:tc>
        <w:tc>
          <w:tcPr>
            <w:tcW w:w="3327" w:type="dxa"/>
            <w:shd w:val="clear" w:color="auto" w:fill="FFFFFF" w:themeFill="background1"/>
            <w:vAlign w:val="center"/>
          </w:tcPr>
          <w:p w:rsidR="007070CB" w:rsidRPr="00C42D5F" w:rsidRDefault="00C42D5F">
            <w:pPr>
              <w:keepNext/>
              <w:widowControl/>
              <w:ind w:left="98"/>
              <w:jc w:val="center"/>
              <w:rPr>
                <w:rFonts w:ascii="Arial Narrow" w:hAnsi="Arial Narrow"/>
                <w:bCs/>
                <w:color w:val="000000"/>
                <w:sz w:val="20"/>
                <w:szCs w:val="20"/>
                <w:highlight w:val="black"/>
                <w:lang w:eastAsia="en-AU"/>
              </w:rPr>
            </w:pPr>
            <w:r>
              <w:rPr>
                <w:rFonts w:ascii="Arial Narrow" w:hAnsi="Arial Narrow"/>
                <w:bCs/>
                <w:noProof/>
                <w:color w:val="000000"/>
                <w:sz w:val="20"/>
                <w:szCs w:val="20"/>
                <w:highlight w:val="black"/>
                <w:lang w:eastAsia="en-AU"/>
              </w:rPr>
              <w:t>'''''''''''''''''''''''''''''</w:t>
            </w:r>
          </w:p>
        </w:tc>
      </w:tr>
      <w:tr w:rsidR="007070CB" w:rsidTr="00AF481E">
        <w:trPr>
          <w:trHeight w:val="163"/>
        </w:trPr>
        <w:tc>
          <w:tcPr>
            <w:tcW w:w="0" w:type="auto"/>
            <w:shd w:val="clear" w:color="auto" w:fill="FFFFFF" w:themeFill="background1"/>
            <w:noWrap/>
            <w:tcMar>
              <w:top w:w="0" w:type="dxa"/>
              <w:left w:w="108" w:type="dxa"/>
              <w:bottom w:w="0" w:type="dxa"/>
              <w:right w:w="108" w:type="dxa"/>
            </w:tcMar>
            <w:vAlign w:val="center"/>
          </w:tcPr>
          <w:p w:rsidR="007070CB" w:rsidRDefault="006E2E62">
            <w:pPr>
              <w:keepNext/>
              <w:widowControl/>
              <w:jc w:val="center"/>
              <w:rPr>
                <w:rFonts w:ascii="Arial Narrow" w:hAnsi="Arial Narrow"/>
                <w:bCs/>
                <w:color w:val="000000"/>
                <w:sz w:val="20"/>
                <w:szCs w:val="20"/>
                <w:lang w:eastAsia="en-AU"/>
              </w:rPr>
            </w:pPr>
            <w:r>
              <w:rPr>
                <w:rFonts w:ascii="Arial Narrow" w:hAnsi="Arial Narrow"/>
                <w:bCs/>
                <w:color w:val="000000"/>
                <w:sz w:val="20"/>
                <w:szCs w:val="20"/>
                <w:lang w:eastAsia="en-AU"/>
              </w:rPr>
              <w:t>Year 5</w:t>
            </w:r>
          </w:p>
        </w:tc>
        <w:tc>
          <w:tcPr>
            <w:tcW w:w="0" w:type="auto"/>
            <w:shd w:val="clear" w:color="auto" w:fill="FFFFFF" w:themeFill="background1"/>
            <w:noWrap/>
            <w:tcMar>
              <w:top w:w="0" w:type="dxa"/>
              <w:left w:w="108" w:type="dxa"/>
              <w:bottom w:w="0" w:type="dxa"/>
              <w:right w:w="108" w:type="dxa"/>
            </w:tcMar>
            <w:vAlign w:val="center"/>
          </w:tcPr>
          <w:p w:rsidR="007070CB" w:rsidRPr="00C42D5F" w:rsidRDefault="00C42D5F">
            <w:pPr>
              <w:keepNext/>
              <w:widowControl/>
              <w:jc w:val="center"/>
              <w:rPr>
                <w:rFonts w:ascii="Arial Narrow" w:hAnsi="Arial Narrow"/>
                <w:bCs/>
                <w:color w:val="000000"/>
                <w:sz w:val="20"/>
                <w:szCs w:val="20"/>
                <w:highlight w:val="black"/>
                <w:lang w:eastAsia="en-AU"/>
              </w:rPr>
            </w:pPr>
            <w:r>
              <w:rPr>
                <w:rFonts w:ascii="Arial Narrow" w:hAnsi="Arial Narrow"/>
                <w:noProof/>
                <w:color w:val="000000"/>
                <w:sz w:val="20"/>
                <w:szCs w:val="20"/>
                <w:highlight w:val="black"/>
              </w:rPr>
              <w:t>''''''''''''</w:t>
            </w:r>
          </w:p>
        </w:tc>
        <w:tc>
          <w:tcPr>
            <w:tcW w:w="0" w:type="auto"/>
            <w:shd w:val="clear" w:color="auto" w:fill="FFFFFF" w:themeFill="background1"/>
            <w:noWrap/>
            <w:tcMar>
              <w:top w:w="0" w:type="dxa"/>
              <w:left w:w="108" w:type="dxa"/>
              <w:bottom w:w="0" w:type="dxa"/>
              <w:right w:w="108" w:type="dxa"/>
            </w:tcMar>
            <w:vAlign w:val="center"/>
          </w:tcPr>
          <w:p w:rsidR="007070CB" w:rsidRPr="00C42D5F" w:rsidRDefault="00C42D5F">
            <w:pPr>
              <w:keepNext/>
              <w:widowControl/>
              <w:jc w:val="center"/>
              <w:rPr>
                <w:rFonts w:ascii="Arial Narrow" w:hAnsi="Arial Narrow"/>
                <w:bCs/>
                <w:color w:val="000000"/>
                <w:sz w:val="20"/>
                <w:szCs w:val="20"/>
                <w:highlight w:val="black"/>
                <w:lang w:eastAsia="en-AU"/>
              </w:rPr>
            </w:pPr>
            <w:r>
              <w:rPr>
                <w:rFonts w:ascii="Arial Narrow" w:hAnsi="Arial Narrow"/>
                <w:noProof/>
                <w:color w:val="000000"/>
                <w:sz w:val="20"/>
                <w:szCs w:val="20"/>
                <w:highlight w:val="black"/>
              </w:rPr>
              <w:t>''''''''''''''''''</w:t>
            </w:r>
          </w:p>
        </w:tc>
        <w:tc>
          <w:tcPr>
            <w:tcW w:w="1860" w:type="dxa"/>
            <w:shd w:val="clear" w:color="auto" w:fill="FFFFFF" w:themeFill="background1"/>
            <w:noWrap/>
            <w:tcMar>
              <w:top w:w="0" w:type="dxa"/>
              <w:left w:w="108" w:type="dxa"/>
              <w:bottom w:w="0" w:type="dxa"/>
              <w:right w:w="108" w:type="dxa"/>
            </w:tcMar>
            <w:vAlign w:val="center"/>
          </w:tcPr>
          <w:p w:rsidR="007070CB" w:rsidRPr="00C42D5F" w:rsidRDefault="00C42D5F">
            <w:pPr>
              <w:keepNext/>
              <w:widowControl/>
              <w:jc w:val="center"/>
              <w:rPr>
                <w:rFonts w:ascii="Arial Narrow" w:hAnsi="Arial Narrow"/>
                <w:bCs/>
                <w:color w:val="000000"/>
                <w:sz w:val="20"/>
                <w:szCs w:val="20"/>
                <w:highlight w:val="black"/>
                <w:lang w:eastAsia="en-AU"/>
              </w:rPr>
            </w:pPr>
            <w:r>
              <w:rPr>
                <w:rFonts w:ascii="Arial Narrow" w:hAnsi="Arial Narrow"/>
                <w:bCs/>
                <w:noProof/>
                <w:color w:val="000000"/>
                <w:sz w:val="20"/>
                <w:szCs w:val="20"/>
                <w:highlight w:val="black"/>
                <w:lang w:eastAsia="en-AU"/>
              </w:rPr>
              <w:t>'''''''''''''''''''''''''''''</w:t>
            </w:r>
          </w:p>
        </w:tc>
        <w:tc>
          <w:tcPr>
            <w:tcW w:w="3327" w:type="dxa"/>
            <w:shd w:val="clear" w:color="auto" w:fill="FFFFFF" w:themeFill="background1"/>
            <w:vAlign w:val="center"/>
          </w:tcPr>
          <w:p w:rsidR="007070CB" w:rsidRPr="00C42D5F" w:rsidRDefault="00C42D5F">
            <w:pPr>
              <w:keepNext/>
              <w:widowControl/>
              <w:ind w:left="98"/>
              <w:jc w:val="center"/>
              <w:rPr>
                <w:rFonts w:ascii="Arial Narrow" w:hAnsi="Arial Narrow"/>
                <w:bCs/>
                <w:color w:val="000000"/>
                <w:sz w:val="20"/>
                <w:szCs w:val="20"/>
                <w:highlight w:val="black"/>
                <w:lang w:eastAsia="en-AU"/>
              </w:rPr>
            </w:pPr>
            <w:r>
              <w:rPr>
                <w:rFonts w:ascii="Arial Narrow" w:hAnsi="Arial Narrow"/>
                <w:bCs/>
                <w:noProof/>
                <w:color w:val="000000"/>
                <w:sz w:val="20"/>
                <w:szCs w:val="20"/>
                <w:highlight w:val="black"/>
                <w:lang w:eastAsia="en-AU"/>
              </w:rPr>
              <w:t>'''''''''''''''''''''''''''</w:t>
            </w:r>
          </w:p>
        </w:tc>
      </w:tr>
    </w:tbl>
    <w:p w:rsidR="007070CB" w:rsidRDefault="006E2E62">
      <w:pPr>
        <w:keepNext/>
        <w:widowControl/>
        <w:rPr>
          <w:rFonts w:ascii="Arial Narrow" w:hAnsi="Arial Narrow"/>
          <w:sz w:val="18"/>
          <w:szCs w:val="18"/>
        </w:rPr>
      </w:pPr>
      <w:r>
        <w:rPr>
          <w:rFonts w:ascii="Arial Narrow" w:hAnsi="Arial Narrow"/>
          <w:sz w:val="18"/>
          <w:szCs w:val="18"/>
        </w:rPr>
        <w:t>Source: Deed of Agreement for lumacaftor with ivacaftor</w:t>
      </w:r>
    </w:p>
    <w:p w:rsidR="007070CB" w:rsidRDefault="006E2E62">
      <w:pPr>
        <w:widowControl/>
        <w:rPr>
          <w:rFonts w:ascii="Arial Narrow" w:hAnsi="Arial Narrow"/>
          <w:sz w:val="18"/>
          <w:szCs w:val="18"/>
        </w:rPr>
      </w:pPr>
      <w:r>
        <w:rPr>
          <w:rFonts w:ascii="Arial Narrow" w:hAnsi="Arial Narrow"/>
          <w:sz w:val="18"/>
          <w:szCs w:val="18"/>
        </w:rPr>
        <w:t>FTE = full-time equivalent.</w:t>
      </w:r>
    </w:p>
    <w:p w:rsidR="007070CB" w:rsidRDefault="006E2E62">
      <w:pPr>
        <w:widowControl/>
        <w:rPr>
          <w:rFonts w:ascii="Arial Narrow" w:hAnsi="Arial Narrow"/>
          <w:sz w:val="18"/>
          <w:szCs w:val="18"/>
        </w:rPr>
      </w:pPr>
      <w:r>
        <w:rPr>
          <w:rFonts w:ascii="Arial Narrow" w:hAnsi="Arial Narrow"/>
          <w:sz w:val="18"/>
          <w:szCs w:val="18"/>
        </w:rPr>
        <w:t>*Assuming 11 prescriptions per FTE patient per year.</w:t>
      </w:r>
    </w:p>
    <w:p w:rsidR="007070CB" w:rsidRDefault="006E2E62">
      <w:pPr>
        <w:widowControl/>
      </w:pPr>
      <w:r>
        <w:rPr>
          <w:rFonts w:ascii="Arial Narrow" w:hAnsi="Arial Narrow"/>
          <w:sz w:val="18"/>
          <w:szCs w:val="18"/>
        </w:rPr>
        <w:t>**</w:t>
      </w:r>
      <w:r w:rsidR="00C42D5F">
        <w:rPr>
          <w:rFonts w:ascii="Arial Narrow" w:hAnsi="Arial Narrow"/>
          <w:noProof/>
          <w:color w:val="000000"/>
          <w:sz w:val="18"/>
          <w:szCs w:val="18"/>
          <w:highlight w:val="black"/>
        </w:rPr>
        <w:t>'''''''''''''''''''''''' ''''' '''''''''''''''''''''''''''' '''''''''' ''''''''' '''''''''''''' ''''' ''''''''''</w:t>
      </w:r>
      <w:r>
        <w:t>.</w:t>
      </w:r>
    </w:p>
    <w:p w:rsidR="00AF481E" w:rsidRDefault="00AF481E">
      <w:pPr>
        <w:widowControl/>
        <w:jc w:val="left"/>
        <w:rPr>
          <w:rFonts w:ascii="Arial Narrow" w:eastAsia="Batang" w:hAnsi="Arial Narrow" w:cs="Times New Roman"/>
          <w:b/>
          <w:snapToGrid/>
          <w:sz w:val="20"/>
          <w:szCs w:val="20"/>
          <w:lang w:eastAsia="en-AU"/>
        </w:rPr>
      </w:pPr>
      <w:r>
        <w:br w:type="page"/>
      </w:r>
    </w:p>
    <w:p w:rsidR="00AF481E" w:rsidRDefault="00AF481E" w:rsidP="00AF481E">
      <w:pPr>
        <w:pStyle w:val="PBACTableText"/>
      </w:pPr>
      <w:r>
        <w:lastRenderedPageBreak/>
        <w:t xml:space="preserve">Table </w:t>
      </w:r>
      <w:r w:rsidR="00AF1977">
        <w:rPr>
          <w:noProof/>
        </w:rPr>
        <w:t>16</w:t>
      </w:r>
      <w:r w:rsidRPr="005C04DE">
        <w:t>: Utilisation of lumacaftor/ivacaftor (by month of processing), October 2018 to May 2019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6: Utilisation of lumacaftor/ivacaftor (by month of processing), October 2018 to May 2019"/>
      </w:tblPr>
      <w:tblGrid>
        <w:gridCol w:w="3446"/>
        <w:gridCol w:w="2047"/>
        <w:gridCol w:w="3524"/>
      </w:tblGrid>
      <w:tr w:rsidR="007070CB" w:rsidTr="006E3A86">
        <w:trPr>
          <w:trHeight w:val="300"/>
          <w:tblHeader/>
        </w:trPr>
        <w:tc>
          <w:tcPr>
            <w:tcW w:w="1911" w:type="pct"/>
            <w:vAlign w:val="center"/>
            <w:hideMark/>
          </w:tcPr>
          <w:p w:rsidR="007070CB" w:rsidRDefault="006E2E62">
            <w:pPr>
              <w:keepNext/>
              <w:widowControl/>
              <w:jc w:val="center"/>
              <w:rPr>
                <w:rFonts w:ascii="Arial Narrow" w:hAnsi="Arial Narrow"/>
                <w:b/>
                <w:bCs/>
                <w:color w:val="000000"/>
                <w:sz w:val="20"/>
                <w:szCs w:val="20"/>
                <w:lang w:eastAsia="en-AU"/>
              </w:rPr>
            </w:pPr>
            <w:r>
              <w:rPr>
                <w:rFonts w:ascii="Arial Narrow" w:hAnsi="Arial Narrow"/>
                <w:b/>
                <w:bCs/>
                <w:color w:val="000000"/>
                <w:sz w:val="20"/>
                <w:szCs w:val="20"/>
                <w:lang w:eastAsia="en-AU"/>
              </w:rPr>
              <w:t>Month of processing</w:t>
            </w:r>
          </w:p>
        </w:tc>
        <w:tc>
          <w:tcPr>
            <w:tcW w:w="1135" w:type="pct"/>
            <w:shd w:val="clear" w:color="000000" w:fill="FFFFFF"/>
            <w:noWrap/>
            <w:vAlign w:val="center"/>
            <w:hideMark/>
          </w:tcPr>
          <w:p w:rsidR="007070CB" w:rsidRDefault="006E2E62">
            <w:pPr>
              <w:keepNext/>
              <w:widowControl/>
              <w:jc w:val="center"/>
              <w:rPr>
                <w:rFonts w:ascii="Arial Narrow" w:hAnsi="Arial Narrow"/>
                <w:b/>
                <w:bCs/>
                <w:color w:val="000000"/>
                <w:sz w:val="20"/>
                <w:szCs w:val="20"/>
                <w:lang w:eastAsia="en-AU"/>
              </w:rPr>
            </w:pPr>
            <w:r>
              <w:rPr>
                <w:rFonts w:ascii="Arial Narrow" w:hAnsi="Arial Narrow"/>
                <w:b/>
                <w:bCs/>
                <w:color w:val="000000"/>
                <w:sz w:val="20"/>
                <w:szCs w:val="20"/>
                <w:lang w:eastAsia="en-AU"/>
              </w:rPr>
              <w:t>Prescriptions</w:t>
            </w:r>
          </w:p>
        </w:tc>
        <w:tc>
          <w:tcPr>
            <w:tcW w:w="1954" w:type="pct"/>
            <w:shd w:val="clear" w:color="000000" w:fill="FFFFFF"/>
            <w:noWrap/>
            <w:vAlign w:val="center"/>
            <w:hideMark/>
          </w:tcPr>
          <w:p w:rsidR="007070CB" w:rsidRDefault="006E2E62">
            <w:pPr>
              <w:keepNext/>
              <w:widowControl/>
              <w:jc w:val="center"/>
              <w:rPr>
                <w:rFonts w:ascii="Arial Narrow" w:hAnsi="Arial Narrow"/>
                <w:b/>
                <w:bCs/>
                <w:color w:val="000000"/>
                <w:sz w:val="20"/>
                <w:szCs w:val="20"/>
                <w:lang w:eastAsia="en-AU"/>
              </w:rPr>
            </w:pPr>
            <w:r>
              <w:rPr>
                <w:rFonts w:ascii="Arial Narrow" w:hAnsi="Arial Narrow"/>
                <w:b/>
                <w:bCs/>
                <w:color w:val="000000"/>
                <w:sz w:val="20"/>
                <w:szCs w:val="20"/>
                <w:lang w:eastAsia="en-AU"/>
              </w:rPr>
              <w:t>Government Expenditure</w:t>
            </w:r>
          </w:p>
        </w:tc>
      </w:tr>
      <w:tr w:rsidR="007070CB">
        <w:trPr>
          <w:trHeight w:val="180"/>
        </w:trPr>
        <w:tc>
          <w:tcPr>
            <w:tcW w:w="1911" w:type="pct"/>
            <w:shd w:val="clear" w:color="000000" w:fill="FFFFFF"/>
            <w:noWrap/>
            <w:vAlign w:val="center"/>
            <w:hideMark/>
          </w:tcPr>
          <w:p w:rsidR="007070CB" w:rsidRDefault="006E2E62">
            <w:pPr>
              <w:keepNext/>
              <w:widowControl/>
              <w:jc w:val="center"/>
              <w:rPr>
                <w:rFonts w:ascii="Arial Narrow" w:hAnsi="Arial Narrow"/>
                <w:bCs/>
                <w:color w:val="000000"/>
                <w:sz w:val="20"/>
                <w:szCs w:val="20"/>
                <w:lang w:eastAsia="en-AU"/>
              </w:rPr>
            </w:pPr>
            <w:r>
              <w:rPr>
                <w:rFonts w:ascii="Arial Narrow" w:hAnsi="Arial Narrow"/>
                <w:bCs/>
                <w:color w:val="000000"/>
                <w:sz w:val="20"/>
                <w:szCs w:val="20"/>
                <w:lang w:eastAsia="en-AU"/>
              </w:rPr>
              <w:t>Oct-18</w:t>
            </w:r>
          </w:p>
        </w:tc>
        <w:tc>
          <w:tcPr>
            <w:tcW w:w="1135" w:type="pct"/>
            <w:shd w:val="clear" w:color="auto" w:fill="auto"/>
            <w:noWrap/>
            <w:vAlign w:val="center"/>
            <w:hideMark/>
          </w:tcPr>
          <w:p w:rsidR="007070CB" w:rsidRDefault="006E2E62">
            <w:pPr>
              <w:keepNext/>
              <w:widowControl/>
              <w:jc w:val="center"/>
              <w:rPr>
                <w:rFonts w:ascii="Arial Narrow" w:hAnsi="Arial Narrow"/>
                <w:color w:val="000000"/>
                <w:sz w:val="20"/>
                <w:szCs w:val="20"/>
                <w:lang w:eastAsia="en-AU"/>
              </w:rPr>
            </w:pPr>
            <w:r>
              <w:rPr>
                <w:rFonts w:ascii="Arial Narrow" w:hAnsi="Arial Narrow"/>
                <w:color w:val="000000"/>
                <w:sz w:val="20"/>
                <w:szCs w:val="20"/>
                <w:lang w:eastAsia="en-AU"/>
              </w:rPr>
              <w:t>3</w:t>
            </w:r>
          </w:p>
        </w:tc>
        <w:tc>
          <w:tcPr>
            <w:tcW w:w="1954" w:type="pct"/>
            <w:shd w:val="clear" w:color="auto" w:fill="auto"/>
            <w:noWrap/>
            <w:vAlign w:val="center"/>
            <w:hideMark/>
          </w:tcPr>
          <w:p w:rsidR="007070CB" w:rsidRDefault="006E2E62">
            <w:pPr>
              <w:keepNext/>
              <w:widowControl/>
              <w:jc w:val="center"/>
              <w:rPr>
                <w:rFonts w:ascii="Arial Narrow" w:hAnsi="Arial Narrow"/>
                <w:color w:val="000000"/>
                <w:sz w:val="20"/>
                <w:szCs w:val="20"/>
                <w:lang w:eastAsia="en-AU"/>
              </w:rPr>
            </w:pPr>
            <w:r>
              <w:rPr>
                <w:rFonts w:ascii="Arial Narrow" w:hAnsi="Arial Narrow"/>
                <w:color w:val="000000"/>
                <w:sz w:val="20"/>
                <w:szCs w:val="20"/>
                <w:lang w:eastAsia="en-AU"/>
              </w:rPr>
              <w:t>$56,237</w:t>
            </w:r>
          </w:p>
        </w:tc>
      </w:tr>
      <w:tr w:rsidR="007070CB">
        <w:trPr>
          <w:trHeight w:val="225"/>
        </w:trPr>
        <w:tc>
          <w:tcPr>
            <w:tcW w:w="1911" w:type="pct"/>
            <w:shd w:val="clear" w:color="000000" w:fill="FFFFFF"/>
            <w:noWrap/>
            <w:vAlign w:val="center"/>
            <w:hideMark/>
          </w:tcPr>
          <w:p w:rsidR="007070CB" w:rsidRDefault="006E2E62">
            <w:pPr>
              <w:keepNext/>
              <w:widowControl/>
              <w:jc w:val="center"/>
              <w:rPr>
                <w:rFonts w:ascii="Arial Narrow" w:hAnsi="Arial Narrow"/>
                <w:bCs/>
                <w:color w:val="000000"/>
                <w:sz w:val="20"/>
                <w:szCs w:val="20"/>
                <w:lang w:eastAsia="en-AU"/>
              </w:rPr>
            </w:pPr>
            <w:r>
              <w:rPr>
                <w:rFonts w:ascii="Arial Narrow" w:hAnsi="Arial Narrow"/>
                <w:bCs/>
                <w:color w:val="000000"/>
                <w:sz w:val="20"/>
                <w:szCs w:val="20"/>
                <w:lang w:eastAsia="en-AU"/>
              </w:rPr>
              <w:t>Nov-18</w:t>
            </w:r>
          </w:p>
        </w:tc>
        <w:tc>
          <w:tcPr>
            <w:tcW w:w="1135" w:type="pct"/>
            <w:shd w:val="clear" w:color="auto" w:fill="auto"/>
            <w:noWrap/>
            <w:vAlign w:val="center"/>
            <w:hideMark/>
          </w:tcPr>
          <w:p w:rsidR="007070CB" w:rsidRDefault="006E2E62">
            <w:pPr>
              <w:keepNext/>
              <w:widowControl/>
              <w:jc w:val="center"/>
              <w:rPr>
                <w:rFonts w:ascii="Arial Narrow" w:hAnsi="Arial Narrow"/>
                <w:color w:val="000000"/>
                <w:sz w:val="20"/>
                <w:szCs w:val="20"/>
                <w:lang w:eastAsia="en-AU"/>
              </w:rPr>
            </w:pPr>
            <w:r>
              <w:rPr>
                <w:rFonts w:ascii="Arial Narrow" w:hAnsi="Arial Narrow"/>
                <w:color w:val="000000"/>
                <w:sz w:val="20"/>
                <w:szCs w:val="20"/>
                <w:lang w:eastAsia="en-AU"/>
              </w:rPr>
              <w:t>214</w:t>
            </w:r>
          </w:p>
        </w:tc>
        <w:tc>
          <w:tcPr>
            <w:tcW w:w="1954" w:type="pct"/>
            <w:shd w:val="clear" w:color="auto" w:fill="auto"/>
            <w:noWrap/>
            <w:vAlign w:val="center"/>
            <w:hideMark/>
          </w:tcPr>
          <w:p w:rsidR="007070CB" w:rsidRDefault="006E2E62">
            <w:pPr>
              <w:keepNext/>
              <w:widowControl/>
              <w:jc w:val="center"/>
              <w:rPr>
                <w:rFonts w:ascii="Arial Narrow" w:hAnsi="Arial Narrow"/>
                <w:color w:val="000000"/>
                <w:sz w:val="20"/>
                <w:szCs w:val="20"/>
                <w:lang w:eastAsia="en-AU"/>
              </w:rPr>
            </w:pPr>
            <w:r>
              <w:rPr>
                <w:rFonts w:ascii="Arial Narrow" w:hAnsi="Arial Narrow"/>
                <w:color w:val="000000"/>
                <w:sz w:val="20"/>
                <w:szCs w:val="20"/>
                <w:lang w:eastAsia="en-AU"/>
              </w:rPr>
              <w:t>$4,009,838</w:t>
            </w:r>
          </w:p>
        </w:tc>
      </w:tr>
      <w:tr w:rsidR="007070CB">
        <w:trPr>
          <w:trHeight w:val="129"/>
        </w:trPr>
        <w:tc>
          <w:tcPr>
            <w:tcW w:w="1911" w:type="pct"/>
            <w:shd w:val="clear" w:color="000000" w:fill="FFFFFF"/>
            <w:noWrap/>
            <w:vAlign w:val="center"/>
            <w:hideMark/>
          </w:tcPr>
          <w:p w:rsidR="007070CB" w:rsidRDefault="006E2E62">
            <w:pPr>
              <w:keepNext/>
              <w:widowControl/>
              <w:jc w:val="center"/>
              <w:rPr>
                <w:rFonts w:ascii="Arial Narrow" w:hAnsi="Arial Narrow"/>
                <w:bCs/>
                <w:color w:val="000000"/>
                <w:sz w:val="20"/>
                <w:szCs w:val="20"/>
                <w:lang w:eastAsia="en-AU"/>
              </w:rPr>
            </w:pPr>
            <w:r>
              <w:rPr>
                <w:rFonts w:ascii="Arial Narrow" w:hAnsi="Arial Narrow"/>
                <w:bCs/>
                <w:color w:val="000000"/>
                <w:sz w:val="20"/>
                <w:szCs w:val="20"/>
                <w:lang w:eastAsia="en-AU"/>
              </w:rPr>
              <w:t>Dec-18</w:t>
            </w:r>
          </w:p>
        </w:tc>
        <w:tc>
          <w:tcPr>
            <w:tcW w:w="1135" w:type="pct"/>
            <w:shd w:val="clear" w:color="auto" w:fill="auto"/>
            <w:noWrap/>
            <w:vAlign w:val="center"/>
            <w:hideMark/>
          </w:tcPr>
          <w:p w:rsidR="007070CB" w:rsidRDefault="006E2E62">
            <w:pPr>
              <w:keepNext/>
              <w:widowControl/>
              <w:jc w:val="center"/>
              <w:rPr>
                <w:rFonts w:ascii="Arial Narrow" w:hAnsi="Arial Narrow"/>
                <w:color w:val="000000"/>
                <w:sz w:val="20"/>
                <w:szCs w:val="20"/>
                <w:lang w:eastAsia="en-AU"/>
              </w:rPr>
            </w:pPr>
            <w:r>
              <w:rPr>
                <w:rFonts w:ascii="Arial Narrow" w:hAnsi="Arial Narrow"/>
                <w:color w:val="000000"/>
                <w:sz w:val="20"/>
                <w:szCs w:val="20"/>
                <w:lang w:eastAsia="en-AU"/>
              </w:rPr>
              <w:t>347</w:t>
            </w:r>
          </w:p>
        </w:tc>
        <w:tc>
          <w:tcPr>
            <w:tcW w:w="1954" w:type="pct"/>
            <w:shd w:val="clear" w:color="auto" w:fill="auto"/>
            <w:noWrap/>
            <w:vAlign w:val="center"/>
            <w:hideMark/>
          </w:tcPr>
          <w:p w:rsidR="007070CB" w:rsidRDefault="006E2E62">
            <w:pPr>
              <w:keepNext/>
              <w:widowControl/>
              <w:jc w:val="center"/>
              <w:rPr>
                <w:rFonts w:ascii="Arial Narrow" w:hAnsi="Arial Narrow"/>
                <w:color w:val="000000"/>
                <w:sz w:val="20"/>
                <w:szCs w:val="20"/>
                <w:lang w:eastAsia="en-AU"/>
              </w:rPr>
            </w:pPr>
            <w:r>
              <w:rPr>
                <w:rFonts w:ascii="Arial Narrow" w:hAnsi="Arial Narrow"/>
                <w:color w:val="000000"/>
                <w:sz w:val="20"/>
                <w:szCs w:val="20"/>
                <w:lang w:eastAsia="en-AU"/>
              </w:rPr>
              <w:t>$6,502,590</w:t>
            </w:r>
          </w:p>
        </w:tc>
      </w:tr>
      <w:tr w:rsidR="007070CB">
        <w:trPr>
          <w:trHeight w:val="176"/>
        </w:trPr>
        <w:tc>
          <w:tcPr>
            <w:tcW w:w="1911" w:type="pct"/>
            <w:shd w:val="clear" w:color="000000" w:fill="FFFFFF"/>
            <w:noWrap/>
            <w:vAlign w:val="center"/>
            <w:hideMark/>
          </w:tcPr>
          <w:p w:rsidR="007070CB" w:rsidRDefault="006E2E62">
            <w:pPr>
              <w:keepNext/>
              <w:widowControl/>
              <w:jc w:val="center"/>
              <w:rPr>
                <w:rFonts w:ascii="Arial Narrow" w:hAnsi="Arial Narrow"/>
                <w:bCs/>
                <w:color w:val="000000"/>
                <w:sz w:val="20"/>
                <w:szCs w:val="20"/>
                <w:lang w:eastAsia="en-AU"/>
              </w:rPr>
            </w:pPr>
            <w:r>
              <w:rPr>
                <w:rFonts w:ascii="Arial Narrow" w:hAnsi="Arial Narrow"/>
                <w:bCs/>
                <w:color w:val="000000"/>
                <w:sz w:val="20"/>
                <w:szCs w:val="20"/>
                <w:lang w:eastAsia="en-AU"/>
              </w:rPr>
              <w:t>Jan-19</w:t>
            </w:r>
          </w:p>
        </w:tc>
        <w:tc>
          <w:tcPr>
            <w:tcW w:w="1135" w:type="pct"/>
            <w:shd w:val="clear" w:color="auto" w:fill="auto"/>
            <w:noWrap/>
            <w:vAlign w:val="center"/>
            <w:hideMark/>
          </w:tcPr>
          <w:p w:rsidR="007070CB" w:rsidRDefault="006E2E62">
            <w:pPr>
              <w:keepNext/>
              <w:widowControl/>
              <w:jc w:val="center"/>
              <w:rPr>
                <w:rFonts w:ascii="Arial Narrow" w:hAnsi="Arial Narrow"/>
                <w:color w:val="000000"/>
                <w:sz w:val="20"/>
                <w:szCs w:val="20"/>
                <w:lang w:eastAsia="en-AU"/>
              </w:rPr>
            </w:pPr>
            <w:r>
              <w:rPr>
                <w:rFonts w:ascii="Arial Narrow" w:hAnsi="Arial Narrow"/>
                <w:color w:val="000000"/>
                <w:sz w:val="20"/>
                <w:szCs w:val="20"/>
                <w:lang w:eastAsia="en-AU"/>
              </w:rPr>
              <w:t>419</w:t>
            </w:r>
          </w:p>
        </w:tc>
        <w:tc>
          <w:tcPr>
            <w:tcW w:w="1954" w:type="pct"/>
            <w:shd w:val="clear" w:color="auto" w:fill="auto"/>
            <w:noWrap/>
            <w:vAlign w:val="center"/>
            <w:hideMark/>
          </w:tcPr>
          <w:p w:rsidR="007070CB" w:rsidRDefault="006E2E62">
            <w:pPr>
              <w:keepNext/>
              <w:widowControl/>
              <w:jc w:val="center"/>
              <w:rPr>
                <w:rFonts w:ascii="Arial Narrow" w:hAnsi="Arial Narrow"/>
                <w:color w:val="000000"/>
                <w:sz w:val="20"/>
                <w:szCs w:val="20"/>
                <w:lang w:eastAsia="en-AU"/>
              </w:rPr>
            </w:pPr>
            <w:r>
              <w:rPr>
                <w:rFonts w:ascii="Arial Narrow" w:hAnsi="Arial Narrow"/>
                <w:color w:val="000000"/>
                <w:sz w:val="20"/>
                <w:szCs w:val="20"/>
                <w:lang w:eastAsia="en-AU"/>
              </w:rPr>
              <w:t>$7,841,791</w:t>
            </w:r>
          </w:p>
        </w:tc>
      </w:tr>
      <w:tr w:rsidR="007070CB">
        <w:trPr>
          <w:trHeight w:val="221"/>
        </w:trPr>
        <w:tc>
          <w:tcPr>
            <w:tcW w:w="1911" w:type="pct"/>
            <w:shd w:val="clear" w:color="000000" w:fill="FFFFFF"/>
            <w:noWrap/>
            <w:vAlign w:val="center"/>
            <w:hideMark/>
          </w:tcPr>
          <w:p w:rsidR="007070CB" w:rsidRDefault="006E2E62">
            <w:pPr>
              <w:keepNext/>
              <w:widowControl/>
              <w:jc w:val="center"/>
              <w:rPr>
                <w:rFonts w:ascii="Arial Narrow" w:hAnsi="Arial Narrow"/>
                <w:bCs/>
                <w:color w:val="000000"/>
                <w:sz w:val="20"/>
                <w:szCs w:val="20"/>
                <w:lang w:eastAsia="en-AU"/>
              </w:rPr>
            </w:pPr>
            <w:r>
              <w:rPr>
                <w:rFonts w:ascii="Arial Narrow" w:hAnsi="Arial Narrow"/>
                <w:bCs/>
                <w:color w:val="000000"/>
                <w:sz w:val="20"/>
                <w:szCs w:val="20"/>
                <w:lang w:eastAsia="en-AU"/>
              </w:rPr>
              <w:t>Feb-19</w:t>
            </w:r>
          </w:p>
        </w:tc>
        <w:tc>
          <w:tcPr>
            <w:tcW w:w="1135" w:type="pct"/>
            <w:shd w:val="clear" w:color="auto" w:fill="auto"/>
            <w:noWrap/>
            <w:vAlign w:val="center"/>
            <w:hideMark/>
          </w:tcPr>
          <w:p w:rsidR="007070CB" w:rsidRDefault="006E2E62">
            <w:pPr>
              <w:keepNext/>
              <w:widowControl/>
              <w:jc w:val="center"/>
              <w:rPr>
                <w:rFonts w:ascii="Arial Narrow" w:hAnsi="Arial Narrow"/>
                <w:color w:val="000000"/>
                <w:sz w:val="20"/>
                <w:szCs w:val="20"/>
                <w:lang w:eastAsia="en-AU"/>
              </w:rPr>
            </w:pPr>
            <w:r>
              <w:rPr>
                <w:rFonts w:ascii="Arial Narrow" w:hAnsi="Arial Narrow"/>
                <w:color w:val="000000"/>
                <w:sz w:val="20"/>
                <w:szCs w:val="20"/>
                <w:lang w:eastAsia="en-AU"/>
              </w:rPr>
              <w:t>636</w:t>
            </w:r>
          </w:p>
        </w:tc>
        <w:tc>
          <w:tcPr>
            <w:tcW w:w="1954" w:type="pct"/>
            <w:shd w:val="clear" w:color="auto" w:fill="auto"/>
            <w:noWrap/>
            <w:vAlign w:val="center"/>
            <w:hideMark/>
          </w:tcPr>
          <w:p w:rsidR="007070CB" w:rsidRDefault="006E2E62">
            <w:pPr>
              <w:keepNext/>
              <w:widowControl/>
              <w:jc w:val="center"/>
              <w:rPr>
                <w:rFonts w:ascii="Arial Narrow" w:hAnsi="Arial Narrow"/>
                <w:color w:val="000000"/>
                <w:sz w:val="20"/>
                <w:szCs w:val="20"/>
                <w:lang w:eastAsia="en-AU"/>
              </w:rPr>
            </w:pPr>
            <w:r>
              <w:rPr>
                <w:rFonts w:ascii="Arial Narrow" w:hAnsi="Arial Narrow"/>
                <w:color w:val="000000"/>
                <w:sz w:val="20"/>
                <w:szCs w:val="20"/>
                <w:lang w:eastAsia="en-AU"/>
              </w:rPr>
              <w:t>$11,906,888</w:t>
            </w:r>
          </w:p>
        </w:tc>
      </w:tr>
      <w:tr w:rsidR="007070CB">
        <w:trPr>
          <w:trHeight w:val="111"/>
        </w:trPr>
        <w:tc>
          <w:tcPr>
            <w:tcW w:w="1911" w:type="pct"/>
            <w:shd w:val="clear" w:color="000000" w:fill="FFFFFF"/>
            <w:noWrap/>
            <w:vAlign w:val="center"/>
            <w:hideMark/>
          </w:tcPr>
          <w:p w:rsidR="007070CB" w:rsidRDefault="006E2E62">
            <w:pPr>
              <w:keepNext/>
              <w:widowControl/>
              <w:jc w:val="center"/>
              <w:rPr>
                <w:rFonts w:ascii="Arial Narrow" w:hAnsi="Arial Narrow"/>
                <w:bCs/>
                <w:color w:val="000000"/>
                <w:sz w:val="20"/>
                <w:szCs w:val="20"/>
                <w:lang w:eastAsia="en-AU"/>
              </w:rPr>
            </w:pPr>
            <w:r>
              <w:rPr>
                <w:rFonts w:ascii="Arial Narrow" w:hAnsi="Arial Narrow"/>
                <w:bCs/>
                <w:color w:val="000000"/>
                <w:sz w:val="20"/>
                <w:szCs w:val="20"/>
                <w:lang w:eastAsia="en-AU"/>
              </w:rPr>
              <w:t>Mar-19</w:t>
            </w:r>
          </w:p>
        </w:tc>
        <w:tc>
          <w:tcPr>
            <w:tcW w:w="1135" w:type="pct"/>
            <w:shd w:val="clear" w:color="auto" w:fill="auto"/>
            <w:noWrap/>
            <w:vAlign w:val="center"/>
            <w:hideMark/>
          </w:tcPr>
          <w:p w:rsidR="007070CB" w:rsidRDefault="006E2E62">
            <w:pPr>
              <w:keepNext/>
              <w:widowControl/>
              <w:jc w:val="center"/>
              <w:rPr>
                <w:rFonts w:ascii="Arial Narrow" w:hAnsi="Arial Narrow"/>
                <w:color w:val="000000"/>
                <w:sz w:val="20"/>
                <w:szCs w:val="20"/>
                <w:lang w:eastAsia="en-AU"/>
              </w:rPr>
            </w:pPr>
            <w:r>
              <w:rPr>
                <w:rFonts w:ascii="Arial Narrow" w:hAnsi="Arial Narrow"/>
                <w:color w:val="000000"/>
                <w:sz w:val="20"/>
                <w:szCs w:val="20"/>
                <w:lang w:eastAsia="en-AU"/>
              </w:rPr>
              <w:t>639</w:t>
            </w:r>
          </w:p>
        </w:tc>
        <w:tc>
          <w:tcPr>
            <w:tcW w:w="1954" w:type="pct"/>
            <w:shd w:val="clear" w:color="auto" w:fill="auto"/>
            <w:noWrap/>
            <w:vAlign w:val="center"/>
            <w:hideMark/>
          </w:tcPr>
          <w:p w:rsidR="007070CB" w:rsidRDefault="006E2E62">
            <w:pPr>
              <w:keepNext/>
              <w:widowControl/>
              <w:jc w:val="center"/>
              <w:rPr>
                <w:rFonts w:ascii="Arial Narrow" w:hAnsi="Arial Narrow"/>
                <w:color w:val="000000"/>
                <w:sz w:val="20"/>
                <w:szCs w:val="20"/>
                <w:lang w:eastAsia="en-AU"/>
              </w:rPr>
            </w:pPr>
            <w:r>
              <w:rPr>
                <w:rFonts w:ascii="Arial Narrow" w:hAnsi="Arial Narrow"/>
                <w:color w:val="000000"/>
                <w:sz w:val="20"/>
                <w:szCs w:val="20"/>
                <w:lang w:eastAsia="en-AU"/>
              </w:rPr>
              <w:t>$11,971,828</w:t>
            </w:r>
          </w:p>
        </w:tc>
      </w:tr>
      <w:tr w:rsidR="007070CB">
        <w:trPr>
          <w:trHeight w:val="157"/>
        </w:trPr>
        <w:tc>
          <w:tcPr>
            <w:tcW w:w="1911" w:type="pct"/>
            <w:shd w:val="clear" w:color="000000" w:fill="FFFFFF"/>
            <w:noWrap/>
            <w:vAlign w:val="center"/>
            <w:hideMark/>
          </w:tcPr>
          <w:p w:rsidR="007070CB" w:rsidRDefault="006E2E62">
            <w:pPr>
              <w:keepNext/>
              <w:widowControl/>
              <w:jc w:val="center"/>
              <w:rPr>
                <w:rFonts w:ascii="Arial Narrow" w:hAnsi="Arial Narrow"/>
                <w:bCs/>
                <w:color w:val="000000"/>
                <w:sz w:val="20"/>
                <w:szCs w:val="20"/>
                <w:lang w:eastAsia="en-AU"/>
              </w:rPr>
            </w:pPr>
            <w:r>
              <w:rPr>
                <w:rFonts w:ascii="Arial Narrow" w:hAnsi="Arial Narrow"/>
                <w:bCs/>
                <w:color w:val="000000"/>
                <w:sz w:val="20"/>
                <w:szCs w:val="20"/>
                <w:lang w:eastAsia="en-AU"/>
              </w:rPr>
              <w:t>Apr-19</w:t>
            </w:r>
          </w:p>
        </w:tc>
        <w:tc>
          <w:tcPr>
            <w:tcW w:w="1135" w:type="pct"/>
            <w:shd w:val="clear" w:color="auto" w:fill="auto"/>
            <w:noWrap/>
            <w:vAlign w:val="center"/>
            <w:hideMark/>
          </w:tcPr>
          <w:p w:rsidR="007070CB" w:rsidRDefault="006E2E62">
            <w:pPr>
              <w:keepNext/>
              <w:widowControl/>
              <w:jc w:val="center"/>
              <w:rPr>
                <w:rFonts w:ascii="Arial Narrow" w:hAnsi="Arial Narrow"/>
                <w:color w:val="000000"/>
                <w:sz w:val="20"/>
                <w:szCs w:val="20"/>
                <w:lang w:eastAsia="en-AU"/>
              </w:rPr>
            </w:pPr>
            <w:r>
              <w:rPr>
                <w:rFonts w:ascii="Arial Narrow" w:hAnsi="Arial Narrow"/>
                <w:color w:val="000000"/>
                <w:sz w:val="20"/>
                <w:szCs w:val="20"/>
                <w:lang w:eastAsia="en-AU"/>
              </w:rPr>
              <w:t>932</w:t>
            </w:r>
          </w:p>
        </w:tc>
        <w:tc>
          <w:tcPr>
            <w:tcW w:w="1954" w:type="pct"/>
            <w:shd w:val="clear" w:color="auto" w:fill="auto"/>
            <w:noWrap/>
            <w:vAlign w:val="center"/>
            <w:hideMark/>
          </w:tcPr>
          <w:p w:rsidR="007070CB" w:rsidRDefault="006E2E62">
            <w:pPr>
              <w:keepNext/>
              <w:widowControl/>
              <w:jc w:val="center"/>
              <w:rPr>
                <w:rFonts w:ascii="Arial Narrow" w:hAnsi="Arial Narrow"/>
                <w:color w:val="000000"/>
                <w:sz w:val="20"/>
                <w:szCs w:val="20"/>
                <w:lang w:eastAsia="en-AU"/>
              </w:rPr>
            </w:pPr>
            <w:r>
              <w:rPr>
                <w:rFonts w:ascii="Arial Narrow" w:hAnsi="Arial Narrow"/>
                <w:color w:val="000000"/>
                <w:sz w:val="20"/>
                <w:szCs w:val="20"/>
                <w:lang w:eastAsia="en-AU"/>
              </w:rPr>
              <w:t>$17,455,396</w:t>
            </w:r>
          </w:p>
        </w:tc>
      </w:tr>
      <w:tr w:rsidR="007070CB">
        <w:trPr>
          <w:trHeight w:val="61"/>
        </w:trPr>
        <w:tc>
          <w:tcPr>
            <w:tcW w:w="1911" w:type="pct"/>
            <w:shd w:val="clear" w:color="000000" w:fill="FFFFFF"/>
            <w:noWrap/>
            <w:vAlign w:val="center"/>
            <w:hideMark/>
          </w:tcPr>
          <w:p w:rsidR="007070CB" w:rsidRDefault="006E2E62">
            <w:pPr>
              <w:keepNext/>
              <w:widowControl/>
              <w:jc w:val="center"/>
              <w:rPr>
                <w:rFonts w:ascii="Arial Narrow" w:hAnsi="Arial Narrow"/>
                <w:b/>
                <w:bCs/>
                <w:color w:val="000000"/>
                <w:sz w:val="20"/>
                <w:szCs w:val="20"/>
                <w:lang w:eastAsia="en-AU"/>
              </w:rPr>
            </w:pPr>
            <w:r>
              <w:rPr>
                <w:rFonts w:ascii="Arial Narrow" w:hAnsi="Arial Narrow"/>
                <w:b/>
                <w:bCs/>
                <w:color w:val="000000"/>
                <w:sz w:val="20"/>
                <w:szCs w:val="20"/>
                <w:lang w:eastAsia="en-AU"/>
              </w:rPr>
              <w:t>Total</w:t>
            </w:r>
          </w:p>
        </w:tc>
        <w:tc>
          <w:tcPr>
            <w:tcW w:w="1135" w:type="pct"/>
            <w:shd w:val="clear" w:color="auto" w:fill="auto"/>
            <w:noWrap/>
            <w:vAlign w:val="center"/>
          </w:tcPr>
          <w:p w:rsidR="007070CB" w:rsidRDefault="006E2E62">
            <w:pPr>
              <w:keepNext/>
              <w:widowControl/>
              <w:jc w:val="center"/>
              <w:rPr>
                <w:rFonts w:ascii="Arial Narrow" w:hAnsi="Arial Narrow"/>
                <w:b/>
                <w:color w:val="000000"/>
                <w:sz w:val="20"/>
                <w:szCs w:val="20"/>
                <w:lang w:eastAsia="en-AU"/>
              </w:rPr>
            </w:pPr>
            <w:r>
              <w:rPr>
                <w:rFonts w:ascii="Arial Narrow" w:hAnsi="Arial Narrow"/>
                <w:b/>
                <w:color w:val="000000"/>
                <w:sz w:val="20"/>
                <w:szCs w:val="20"/>
                <w:lang w:eastAsia="en-AU"/>
              </w:rPr>
              <w:t>3,190</w:t>
            </w:r>
          </w:p>
        </w:tc>
        <w:tc>
          <w:tcPr>
            <w:tcW w:w="1954" w:type="pct"/>
            <w:shd w:val="clear" w:color="auto" w:fill="auto"/>
            <w:noWrap/>
            <w:vAlign w:val="center"/>
          </w:tcPr>
          <w:p w:rsidR="007070CB" w:rsidRDefault="006E2E62">
            <w:pPr>
              <w:keepNext/>
              <w:widowControl/>
              <w:jc w:val="center"/>
              <w:rPr>
                <w:rFonts w:ascii="Arial Narrow" w:hAnsi="Arial Narrow"/>
                <w:b/>
                <w:color w:val="000000"/>
                <w:sz w:val="20"/>
                <w:szCs w:val="20"/>
                <w:lang w:eastAsia="en-AU"/>
              </w:rPr>
            </w:pPr>
            <w:r>
              <w:rPr>
                <w:rFonts w:ascii="Arial Narrow" w:hAnsi="Arial Narrow"/>
                <w:b/>
                <w:color w:val="000000"/>
                <w:sz w:val="20"/>
                <w:szCs w:val="20"/>
                <w:lang w:eastAsia="en-AU"/>
              </w:rPr>
              <w:t>$59,744,569</w:t>
            </w:r>
          </w:p>
        </w:tc>
      </w:tr>
    </w:tbl>
    <w:p w:rsidR="007070CB" w:rsidRDefault="006E2E62">
      <w:pPr>
        <w:widowControl/>
        <w:rPr>
          <w:rFonts w:ascii="Arial Narrow" w:hAnsi="Arial Narrow"/>
          <w:sz w:val="18"/>
          <w:szCs w:val="20"/>
        </w:rPr>
      </w:pPr>
      <w:r>
        <w:rPr>
          <w:rFonts w:ascii="Arial Narrow" w:hAnsi="Arial Narrow"/>
          <w:sz w:val="18"/>
          <w:szCs w:val="20"/>
        </w:rPr>
        <w:t xml:space="preserve">Data extracted on 11 June 2019. </w:t>
      </w:r>
    </w:p>
    <w:p w:rsidR="007070CB" w:rsidRDefault="007070CB">
      <w:pPr>
        <w:widowControl/>
        <w:rPr>
          <w:rFonts w:ascii="Arial Narrow" w:hAnsi="Arial Narrow"/>
          <w:sz w:val="18"/>
          <w:szCs w:val="20"/>
        </w:rPr>
      </w:pPr>
    </w:p>
    <w:p w:rsidR="007070CB" w:rsidRDefault="006E2E62">
      <w:pPr>
        <w:pStyle w:val="ListParagraph"/>
        <w:widowControl/>
        <w:numPr>
          <w:ilvl w:val="1"/>
          <w:numId w:val="1"/>
        </w:numPr>
      </w:pPr>
      <w:r>
        <w:t xml:space="preserve">Figure 4 illustrates four scenarios for utilisation for the remainder of Year 1 and the resulting government expenditure per FTE patient for Year 1 of listing (see legend). The most optimistic scenario (A), in which </w:t>
      </w:r>
      <w:r w:rsidR="00C42D5F">
        <w:rPr>
          <w:noProof/>
          <w:color w:val="000000"/>
          <w:highlight w:val="black"/>
        </w:rPr>
        <w:t>''''''''''''</w:t>
      </w:r>
      <w:r>
        <w:t xml:space="preserve"> patients (i.e. the entire estimated population of patients aged 6 years and older who are homozygous for F508del in the CFTR gene from the July 2018 PBAC submission) are treated in May 2019 and for the remainder of Year 1, Government expenditure per FTE patient would be around $</w:t>
      </w:r>
      <w:r w:rsidR="00C42D5F">
        <w:rPr>
          <w:noProof/>
          <w:color w:val="000000"/>
          <w:highlight w:val="black"/>
        </w:rPr>
        <w:t>''''''''''''''</w:t>
      </w:r>
      <w:r>
        <w:t xml:space="preserve"> – higher than the intended annual price of $</w:t>
      </w:r>
      <w:r w:rsidR="00C42D5F">
        <w:rPr>
          <w:noProof/>
          <w:color w:val="000000"/>
          <w:highlight w:val="black"/>
        </w:rPr>
        <w:t>''''''''''''</w:t>
      </w:r>
      <w:r>
        <w:t xml:space="preserve"> per FTE patient.</w:t>
      </w:r>
    </w:p>
    <w:p w:rsidR="00AF481E" w:rsidRDefault="00AF481E" w:rsidP="00AF481E">
      <w:pPr>
        <w:pStyle w:val="PBACTableText"/>
      </w:pPr>
      <w:r>
        <w:t xml:space="preserve">Figure </w:t>
      </w:r>
      <w:r w:rsidR="00AF1977">
        <w:rPr>
          <w:noProof/>
        </w:rPr>
        <w:t>4</w:t>
      </w:r>
      <w:r w:rsidRPr="001063FF">
        <w:t>: Lumacaftor/ivacaftor prescriptions based on month of processing (October 2018 to May 2019) with three scenarios for utilisation and the resulting government expenditure per FTE patient for the remainder of Year 1 of listing</w:t>
      </w:r>
    </w:p>
    <w:p w:rsidR="007070CB" w:rsidRDefault="00C42D5F">
      <w:pPr>
        <w:keepNext/>
        <w:widowControl/>
        <w:rPr>
          <w:color w:val="1F497D"/>
        </w:rPr>
      </w:pPr>
      <w:r>
        <w:rPr>
          <w:noProof/>
          <w:snapToGrid/>
          <w:color w:val="1F497D"/>
          <w:lang w:eastAsia="en-AU"/>
        </w:rPr>
        <w:drawing>
          <wp:inline distT="0" distB="0" distL="0" distR="0">
            <wp:extent cx="5772150" cy="3342005"/>
            <wp:effectExtent l="0" t="0" r="0" b="0"/>
            <wp:docPr id="2" name="Picture 2" title="Figure 4: Lumacaftor/ivacaftor prescriptions based on month of processing (October 2018 to May 2019) with three scenarios for utilisation and the resulting government expenditure per FTE patient for the remainder of Year 1 of listing"/>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1">
                      <a:extLst>
                        <a:ext uri="{28A0092B-C50C-407E-A947-70E740481C1C}">
                          <a14:useLocalDpi xmlns:a14="http://schemas.microsoft.com/office/drawing/2010/main" val="0"/>
                        </a:ext>
                      </a:extLst>
                    </a:blip>
                    <a:stretch>
                      <a:fillRect/>
                    </a:stretch>
                  </pic:blipFill>
                  <pic:spPr>
                    <a:xfrm>
                      <a:off x="0" y="0"/>
                      <a:ext cx="5772150" cy="3342005"/>
                    </a:xfrm>
                    <a:prstGeom prst="rect">
                      <a:avLst/>
                    </a:prstGeom>
                  </pic:spPr>
                </pic:pic>
              </a:graphicData>
            </a:graphic>
          </wp:inline>
        </w:drawing>
      </w:r>
    </w:p>
    <w:p w:rsidR="007070CB" w:rsidRDefault="006E2E62">
      <w:pPr>
        <w:widowControl/>
        <w:rPr>
          <w:rFonts w:ascii="Arial Narrow" w:hAnsi="Arial Narrow"/>
          <w:sz w:val="18"/>
          <w:szCs w:val="20"/>
        </w:rPr>
      </w:pPr>
      <w:r>
        <w:rPr>
          <w:rFonts w:ascii="Arial Narrow" w:hAnsi="Arial Narrow"/>
          <w:sz w:val="18"/>
          <w:szCs w:val="20"/>
        </w:rPr>
        <w:t xml:space="preserve">Data extracted on 11 June 2019. </w:t>
      </w:r>
    </w:p>
    <w:p w:rsidR="007070CB" w:rsidRDefault="007070CB">
      <w:pPr>
        <w:widowControl/>
        <w:rPr>
          <w:rFonts w:ascii="Arial Narrow" w:hAnsi="Arial Narrow"/>
          <w:sz w:val="18"/>
          <w:szCs w:val="20"/>
        </w:rPr>
      </w:pPr>
    </w:p>
    <w:p w:rsidR="007070CB" w:rsidRDefault="006E2E62">
      <w:pPr>
        <w:pStyle w:val="ListParagraph"/>
        <w:widowControl/>
        <w:numPr>
          <w:ilvl w:val="1"/>
          <w:numId w:val="1"/>
        </w:numPr>
      </w:pPr>
      <w:r>
        <w:t xml:space="preserve">The pre-PBAC response stated that the sponsor’s internal sales data align with the Department’s utilisation data. The sponsor claimed that the initation of new patients on lumacaftor/ivacaftor has been lower than expected because four major CF centres have ceased initating patients on lumacaftor/ivacaftor to wait for tezacaftor/ivacaftor </w:t>
      </w:r>
      <w:r>
        <w:lastRenderedPageBreak/>
        <w:t xml:space="preserve">to become available. The pre-PBAC response estimated that the effective price per FTE patient would be around </w:t>
      </w:r>
      <w:r w:rsidR="00C42D5F">
        <w:rPr>
          <w:noProof/>
          <w:color w:val="000000"/>
          <w:highlight w:val="black"/>
        </w:rPr>
        <w:t>'''''''''''''''''</w:t>
      </w:r>
      <w:r>
        <w:t xml:space="preserve"> in Year 1 of listing and acknowledged this is greater than what was considered by the PBAC to be cost-effective in July 2018. </w:t>
      </w:r>
    </w:p>
    <w:p w:rsidR="007070CB" w:rsidRDefault="006E2E62">
      <w:pPr>
        <w:pStyle w:val="ListParagraph"/>
        <w:widowControl/>
        <w:numPr>
          <w:ilvl w:val="1"/>
          <w:numId w:val="1"/>
        </w:numPr>
      </w:pPr>
      <w:r>
        <w:t xml:space="preserve">The PBAC noted </w:t>
      </w:r>
      <w:r>
        <w:rPr>
          <w:rFonts w:asciiTheme="minorHAnsi" w:hAnsiTheme="minorHAnsi"/>
          <w:bCs/>
          <w:szCs w:val="24"/>
        </w:rPr>
        <w:t xml:space="preserve">the update on utilisation of lumacaftor/ivacaftor since its listing on 1 October 2018 provided by the Department and the pre-PBAC response. </w:t>
      </w:r>
      <w:r>
        <w:t xml:space="preserve">The PBAC considered that utilisation for Year 1 was likely to be similar to scenario C which would result in expenditure of around </w:t>
      </w:r>
      <w:r w:rsidR="00C42D5F">
        <w:rPr>
          <w:noProof/>
          <w:color w:val="000000"/>
          <w:highlight w:val="black"/>
        </w:rPr>
        <w:t>'''''''''''''''''''</w:t>
      </w:r>
      <w:r>
        <w:t xml:space="preserve"> per patient for Year 1 (which was similar to the estimate in the pre-PBAC response). Accordingly, the PBAC considered that Government expenditure on lumacaftor/ivacaftor per patient in Year 1 is likely to be significantly higher than what was considered to be acceptably cost effective by the PBAC in July 2018 (paragraph 7.3, July 2018 minutes).</w:t>
      </w:r>
    </w:p>
    <w:p w:rsidR="007070CB" w:rsidRDefault="006E2E62">
      <w:pPr>
        <w:pStyle w:val="ListParagraph"/>
        <w:widowControl/>
        <w:numPr>
          <w:ilvl w:val="1"/>
          <w:numId w:val="1"/>
        </w:numPr>
      </w:pPr>
      <w:r>
        <w:t>The pre-PBAC response claimed that the average annual price per FTE patient would be around $</w:t>
      </w:r>
      <w:r w:rsidR="00C42D5F">
        <w:rPr>
          <w:noProof/>
          <w:color w:val="000000"/>
          <w:highlight w:val="black"/>
        </w:rPr>
        <w:t>'''''''''''''</w:t>
      </w:r>
      <w:r>
        <w:t xml:space="preserve"> over the five years of the current Deed, but that this is dependent on the timing of listing tezacaftor/ivacaftor for the F508del homozygous CF patient population. The PBAC considered that an average annual price of $</w:t>
      </w:r>
      <w:r w:rsidR="00C42D5F">
        <w:rPr>
          <w:noProof/>
          <w:color w:val="000000"/>
          <w:highlight w:val="black"/>
        </w:rPr>
        <w:t>'''''''''''''</w:t>
      </w:r>
      <w:r>
        <w:t xml:space="preserve"> per patient was unlikely to be achieved, regardless of the timing of listing tezacaftor/ivacaftor. Nevertheless, the PBAC considered that if achieving the intended price of lumacaftor/ivacaftor was dependent on the timing of listing an alternative treatment for these patients, this further illustrated the risk of using subsidisation caps to achieve an intended price. </w:t>
      </w:r>
    </w:p>
    <w:p w:rsidR="007070CB" w:rsidRDefault="006E2E62">
      <w:pPr>
        <w:keepNext/>
        <w:widowControl/>
        <w:spacing w:after="160"/>
        <w:rPr>
          <w:u w:val="single"/>
        </w:rPr>
      </w:pPr>
      <w:r>
        <w:rPr>
          <w:u w:val="single"/>
        </w:rPr>
        <w:t>Managed Access Program (MAP)</w:t>
      </w:r>
    </w:p>
    <w:p w:rsidR="007070CB" w:rsidRDefault="006E2E62">
      <w:pPr>
        <w:pStyle w:val="ListParagraph"/>
        <w:widowControl/>
        <w:numPr>
          <w:ilvl w:val="1"/>
          <w:numId w:val="1"/>
        </w:numPr>
      </w:pPr>
      <w:r>
        <w:t xml:space="preserve">The submission did not provide details about whether the sponsor intends that the requirements and implications of the current MAP for lumacaftor/ivacaftor for patients aged 6 years and older would also apply to the listing of lumacaftor/ivacaftor granules for 2 to 5 year olds. </w:t>
      </w:r>
    </w:p>
    <w:p w:rsidR="007070CB" w:rsidRDefault="006E2E62">
      <w:pPr>
        <w:pStyle w:val="ListParagraph"/>
        <w:widowControl/>
        <w:rPr>
          <w:i/>
        </w:rPr>
      </w:pPr>
      <w:r>
        <w:rPr>
          <w:i/>
        </w:rPr>
        <w:t>For more detail on PBAC’s view, see section 7 PBAC outcome.</w:t>
      </w:r>
    </w:p>
    <w:p w:rsidR="007070CB" w:rsidRDefault="006E2E62">
      <w:pPr>
        <w:pStyle w:val="PBACHeading1"/>
      </w:pPr>
      <w:r>
        <w:t>PBAC Outcome</w:t>
      </w:r>
    </w:p>
    <w:p w:rsidR="007070CB" w:rsidRDefault="006E2E62">
      <w:pPr>
        <w:widowControl/>
        <w:numPr>
          <w:ilvl w:val="1"/>
          <w:numId w:val="1"/>
        </w:numPr>
        <w:spacing w:after="120"/>
        <w:rPr>
          <w:rFonts w:asciiTheme="minorHAnsi" w:hAnsiTheme="minorHAnsi"/>
          <w:bCs/>
          <w:lang w:val="en-GB"/>
        </w:rPr>
      </w:pPr>
      <w:r>
        <w:rPr>
          <w:rFonts w:asciiTheme="minorHAnsi" w:hAnsiTheme="minorHAnsi"/>
          <w:bCs/>
          <w:lang w:val="en-GB"/>
        </w:rPr>
        <w:t>The PBAC recommended the Authority Required listing of a new presentation of lumacaftor with ivacaftor, in the form of granules, for the treatment of CF in patients aged 2 years or over who are homozygous for the F508del mutation in the CFTR gene. The PBAC recommendation was made on the basis that lumacaftor/ivacaftor granules should be available only under special arrangements under Section 100 (Highly Specialised Drugs Program). The PBAC considered that the supporting evidence was limited but acknowledged the difficulties in obtaining efficacy data from paediatric patients. Overall, the PBAC considered that the claim of superior efficacy over BSC in patients aged 2 to 5 years was biologically plausible. However, the PBAC considered that as the incremental benefit of commencing treatment with lumacaftor/ivacaftor from an earlier age was unknown, the cost-effectiveness of commencing</w:t>
      </w:r>
      <w:r w:rsidR="00FE7D84">
        <w:rPr>
          <w:rFonts w:asciiTheme="minorHAnsi" w:hAnsiTheme="minorHAnsi"/>
          <w:bCs/>
          <w:lang w:val="en-GB"/>
        </w:rPr>
        <w:t xml:space="preserve"> </w:t>
      </w:r>
      <w:r>
        <w:rPr>
          <w:rFonts w:asciiTheme="minorHAnsi" w:hAnsiTheme="minorHAnsi"/>
          <w:bCs/>
          <w:lang w:val="en-GB"/>
        </w:rPr>
        <w:t xml:space="preserve">treatment earlier was also unknown. The PBAC advised that lumacaftor/ivacaftor granules should be listed for patients aged 2 years and older under the current RSA financial </w:t>
      </w:r>
      <w:r>
        <w:rPr>
          <w:rFonts w:asciiTheme="minorHAnsi" w:hAnsiTheme="minorHAnsi"/>
          <w:bCs/>
          <w:lang w:val="en-GB"/>
        </w:rPr>
        <w:lastRenderedPageBreak/>
        <w:t>caps for lumacaftor/ivacaftor without any increase to the subsidisation caps, such that the listing will not result in any additional cost to Government.</w:t>
      </w:r>
    </w:p>
    <w:p w:rsidR="007070CB" w:rsidRDefault="006E2E62">
      <w:pPr>
        <w:widowControl/>
        <w:numPr>
          <w:ilvl w:val="1"/>
          <w:numId w:val="1"/>
        </w:numPr>
        <w:spacing w:after="120"/>
        <w:rPr>
          <w:rFonts w:asciiTheme="minorHAnsi" w:hAnsiTheme="minorHAnsi"/>
          <w:bCs/>
          <w:lang w:val="en-GB"/>
        </w:rPr>
      </w:pPr>
      <w:r>
        <w:rPr>
          <w:rFonts w:asciiTheme="minorHAnsi" w:hAnsiTheme="minorHAnsi"/>
          <w:bCs/>
          <w:lang w:val="en-GB"/>
        </w:rPr>
        <w:t>The PBAC acknowledged the consumer comments received, particularly from carers of patients with CF, that indicated strong support for access to treatment with lumacaftor/ivacaftor for eligible CF patients from a younger age.</w:t>
      </w:r>
    </w:p>
    <w:p w:rsidR="007070CB" w:rsidRDefault="006E2E62">
      <w:pPr>
        <w:widowControl/>
        <w:numPr>
          <w:ilvl w:val="1"/>
          <w:numId w:val="1"/>
        </w:numPr>
        <w:spacing w:after="120"/>
        <w:rPr>
          <w:rFonts w:asciiTheme="minorHAnsi" w:hAnsiTheme="minorHAnsi"/>
          <w:bCs/>
          <w:lang w:val="en-GB"/>
        </w:rPr>
      </w:pPr>
      <w:r>
        <w:rPr>
          <w:rFonts w:asciiTheme="minorHAnsi" w:hAnsiTheme="minorHAnsi"/>
          <w:bCs/>
          <w:lang w:val="en-GB"/>
        </w:rPr>
        <w:t>The PBAC accepted the clinical place for lumacaftor/ivacaftor as an add-on to current BSC for patients aged 2 to 5 years, and considered that BSC (followed by treatment initiation from 6 years of age) was the appropriate comparator.</w:t>
      </w:r>
    </w:p>
    <w:p w:rsidR="007070CB" w:rsidRDefault="006E2E62">
      <w:pPr>
        <w:widowControl/>
        <w:numPr>
          <w:ilvl w:val="1"/>
          <w:numId w:val="1"/>
        </w:numPr>
        <w:spacing w:after="120"/>
        <w:rPr>
          <w:rFonts w:asciiTheme="minorHAnsi" w:hAnsiTheme="minorHAnsi"/>
          <w:bCs/>
          <w:lang w:val="en-GB"/>
        </w:rPr>
      </w:pPr>
      <w:r>
        <w:rPr>
          <w:rFonts w:asciiTheme="minorHAnsi" w:hAnsiTheme="minorHAnsi"/>
          <w:bCs/>
          <w:lang w:val="en-GB"/>
        </w:rPr>
        <w:t>The submission was based on one 24 week non-randomised, non</w:t>
      </w:r>
      <w:r>
        <w:rPr>
          <w:rFonts w:asciiTheme="minorHAnsi" w:hAnsiTheme="minorHAnsi"/>
          <w:bCs/>
          <w:lang w:val="en-GB"/>
        </w:rPr>
        <w:noBreakHyphen/>
        <w:t xml:space="preserve">comparative, open label study with a small sample size which evaluated the safety, pharmacokinetics and pharmacodynamics of lumacaftor/ivacaftor granules (Study 115). The PBAC noted that the submission did not present data comparing lumacaftor/ivacaftor to the nominated comparator. Instead the submission based its clinical claim largely on the basis of improvement from baseline to week 24 in secondary outcomes, including sweat chloride, nutritional status and pancreatic function measures. Overall, the PBAC considered that the claim of superior efficacy over BSC in patients aged 2 to 5 years was biologically plausible. However, the PBAC noted that the magnitude of benefit in terms of reducing the rate of lung function deterioration over both the short- and long-term as a result of commencing treatment from 2 to 5 years of age (early onset treatment), compared with </w:t>
      </w:r>
      <w:r>
        <w:t>receiving BSC from 2 to 5 years of age followed by lumacaftor/ivacaftor treatment starting at 6 years of age (as is currently funded via the PBS)</w:t>
      </w:r>
      <w:r>
        <w:rPr>
          <w:rFonts w:asciiTheme="minorHAnsi" w:hAnsiTheme="minorHAnsi"/>
          <w:bCs/>
          <w:lang w:val="en-GB"/>
        </w:rPr>
        <w:t>, was unknown</w:t>
      </w:r>
      <w:r>
        <w:t>.</w:t>
      </w:r>
    </w:p>
    <w:p w:rsidR="007070CB" w:rsidRDefault="006E2E62">
      <w:pPr>
        <w:widowControl/>
        <w:numPr>
          <w:ilvl w:val="1"/>
          <w:numId w:val="1"/>
        </w:numPr>
        <w:spacing w:after="120"/>
        <w:rPr>
          <w:rFonts w:asciiTheme="minorHAnsi" w:hAnsiTheme="minorHAnsi"/>
          <w:bCs/>
          <w:lang w:val="en-GB"/>
        </w:rPr>
      </w:pPr>
      <w:r>
        <w:rPr>
          <w:rFonts w:asciiTheme="minorHAnsi" w:hAnsiTheme="minorHAnsi"/>
          <w:bCs/>
          <w:lang w:val="en-GB"/>
        </w:rPr>
        <w:t>The PBAC noted that the tolerability of lumacaftor/ivacaftor in patients 2 to 5 years is similar to older patients.</w:t>
      </w:r>
    </w:p>
    <w:p w:rsidR="007070CB" w:rsidRDefault="006E2E62">
      <w:pPr>
        <w:widowControl/>
        <w:numPr>
          <w:ilvl w:val="1"/>
          <w:numId w:val="1"/>
        </w:numPr>
        <w:spacing w:after="120"/>
      </w:pPr>
      <w:r>
        <w:rPr>
          <w:rFonts w:asciiTheme="minorHAnsi" w:hAnsiTheme="minorHAnsi"/>
          <w:bCs/>
          <w:lang w:val="en-GB"/>
        </w:rPr>
        <w:t>T</w:t>
      </w:r>
      <w:r>
        <w:t>he PBAC noted that the submission did not present an estimate of the incremental cost effectiveness of early onset treatment with lumacaftor/ivacaftor. The PBAC considered that as the magnitude of the incremental benefit in commencing treatment with lumacaftor/ivacaftor at a younger age was unknown, the incremental cost effectiveness of early onset treatment was unknown.</w:t>
      </w:r>
    </w:p>
    <w:p w:rsidR="007070CB" w:rsidRDefault="006E2E62">
      <w:pPr>
        <w:widowControl/>
        <w:numPr>
          <w:ilvl w:val="1"/>
          <w:numId w:val="1"/>
        </w:numPr>
        <w:spacing w:after="120"/>
        <w:rPr>
          <w:rFonts w:asciiTheme="minorHAnsi" w:hAnsiTheme="minorHAnsi"/>
          <w:bCs/>
          <w:lang w:val="en-GB"/>
        </w:rPr>
      </w:pPr>
      <w:r>
        <w:rPr>
          <w:rFonts w:asciiTheme="minorHAnsi" w:hAnsiTheme="minorHAnsi"/>
          <w:bCs/>
          <w:lang w:val="en-GB"/>
        </w:rPr>
        <w:t>The PBAC noted the submission presented an estimate of the cost effectiveness of lumacaftor/ivacaftor in eligible patients who initiate treatment between the ages of 2 to 5 years, compared with BSC, over a lifetime. While the PBAC considered this was not the comparison of interest for decision making for the current submission, it noted the argument in the pre-PBAC response that the evidence required to inform the preferred comparison was not available. The pre-PBAC response argued that the base case provided by the submission (patients initating treatment between the ages of 2 to 5 years) and the scenario analysis (patients initating from 2 years of age) should be sufficiently informative to the PBAC. The PBAC noted the model was similar in structure to previous PBAC submissions for lumacaftor/ivacaftor. The efficacy and safety parameters used to inform the model were not based on the clinical evidence presented in the submission (Study 115). D</w:t>
      </w:r>
      <w:r>
        <w:t xml:space="preserve">ata from older age cohorts were instead </w:t>
      </w:r>
      <w:r>
        <w:lastRenderedPageBreak/>
        <w:t xml:space="preserve">used to populate the model and infer the comparative clinical benefit for lumacaftor/ivacaftor in the proposed age group (children aged 2 to 5 years). </w:t>
      </w:r>
      <w:r>
        <w:rPr>
          <w:rFonts w:asciiTheme="minorHAnsi" w:hAnsiTheme="minorHAnsi"/>
          <w:bCs/>
          <w:lang w:val="en-GB"/>
        </w:rPr>
        <w:t>The PBAC considered that the price applied in the model was the intended annual price of $</w:t>
      </w:r>
      <w:r w:rsidR="00C42D5F">
        <w:rPr>
          <w:rFonts w:asciiTheme="minorHAnsi" w:hAnsiTheme="minorHAnsi"/>
          <w:bCs/>
          <w:noProof/>
          <w:color w:val="000000"/>
          <w:highlight w:val="black"/>
          <w:lang w:val="en-GB"/>
        </w:rPr>
        <w:t>''''''''''''</w:t>
      </w:r>
      <w:r>
        <w:rPr>
          <w:rFonts w:asciiTheme="minorHAnsi" w:hAnsiTheme="minorHAnsi"/>
          <w:bCs/>
          <w:lang w:val="en-GB"/>
        </w:rPr>
        <w:t xml:space="preserve"> per patient which is unlikely to be achieved. In addition, the model inappropriately included a 5% statutory price reduction and 90% price reduction following loss of patent exclusivity. The PBAC noted the model results were highly sensitive to these assumptions. For example, if the 5% and 90% price reductions were removed the ICER increased to</w:t>
      </w:r>
      <w:r w:rsidR="00FE7D84">
        <w:rPr>
          <w:rFonts w:asciiTheme="minorHAnsi" w:hAnsiTheme="minorHAnsi"/>
          <w:bCs/>
          <w:lang w:val="en-GB"/>
        </w:rPr>
        <w:t xml:space="preserve"> </w:t>
      </w:r>
      <w:r>
        <w:rPr>
          <w:rFonts w:asciiTheme="minorHAnsi" w:hAnsiTheme="minorHAnsi"/>
          <w:bCs/>
          <w:lang w:val="en-GB"/>
        </w:rPr>
        <w:t>more than $200,000/QALY gained. Accordingly, the PBAC considered that the ICER per QALY gained for the comparison presented by the submission was unacceptably high and uncertain at the intended annual price of $</w:t>
      </w:r>
      <w:r w:rsidR="00C42D5F">
        <w:rPr>
          <w:rFonts w:asciiTheme="minorHAnsi" w:hAnsiTheme="minorHAnsi"/>
          <w:bCs/>
          <w:noProof/>
          <w:color w:val="000000"/>
          <w:highlight w:val="black"/>
          <w:lang w:val="en-GB"/>
        </w:rPr>
        <w:t>'''''''''''''</w:t>
      </w:r>
      <w:r>
        <w:rPr>
          <w:rFonts w:asciiTheme="minorHAnsi" w:hAnsiTheme="minorHAnsi"/>
          <w:bCs/>
          <w:lang w:val="en-GB"/>
        </w:rPr>
        <w:t xml:space="preserve"> per patient (which is unlikely to be achieved).</w:t>
      </w:r>
    </w:p>
    <w:p w:rsidR="007070CB" w:rsidRDefault="006E2E62">
      <w:pPr>
        <w:widowControl/>
        <w:numPr>
          <w:ilvl w:val="1"/>
          <w:numId w:val="1"/>
        </w:numPr>
        <w:spacing w:after="120"/>
        <w:rPr>
          <w:rFonts w:asciiTheme="minorHAnsi" w:hAnsiTheme="minorHAnsi"/>
          <w:bCs/>
          <w:lang w:val="en-GB"/>
        </w:rPr>
      </w:pPr>
      <w:r>
        <w:rPr>
          <w:rFonts w:asciiTheme="minorHAnsi" w:hAnsiTheme="minorHAnsi"/>
          <w:bCs/>
          <w:lang w:val="en-GB"/>
        </w:rPr>
        <w:t xml:space="preserve">The PBAC considered that the submission’s estimate of utilisation of lumacaftor/ivacaftor for this patient population was uncertain and likely overestimated, for the reasons outlined in </w:t>
      </w:r>
      <w:r>
        <w:t>paragraphs 6.40-43. In this context, the PBAC noted that achieving the intended annual price of $</w:t>
      </w:r>
      <w:r w:rsidR="00C42D5F">
        <w:rPr>
          <w:noProof/>
          <w:color w:val="000000"/>
          <w:highlight w:val="black"/>
        </w:rPr>
        <w:t>'''''''''''''</w:t>
      </w:r>
      <w:r>
        <w:t xml:space="preserve"> per patient via subsidisation caps implemented through an RSA is dependent on estimated utilisation being met.</w:t>
      </w:r>
    </w:p>
    <w:p w:rsidR="007070CB" w:rsidRDefault="006E2E62">
      <w:pPr>
        <w:widowControl/>
        <w:numPr>
          <w:ilvl w:val="1"/>
          <w:numId w:val="1"/>
        </w:numPr>
        <w:spacing w:after="120"/>
        <w:rPr>
          <w:rFonts w:asciiTheme="minorHAnsi" w:hAnsiTheme="minorHAnsi"/>
          <w:bCs/>
          <w:lang w:val="en-GB"/>
        </w:rPr>
      </w:pPr>
      <w:r>
        <w:rPr>
          <w:rFonts w:asciiTheme="minorHAnsi" w:hAnsiTheme="minorHAnsi"/>
          <w:bCs/>
          <w:lang w:val="en-GB"/>
        </w:rPr>
        <w:t>The PBAC advised that lumacaftor/ivacaftor granules should be listed for patients aged 2 years and older under the current RSA for lumacaftor/ivacaftor without any increase to the subsidisation caps, such that the listing will not result in any additional cost to Government.</w:t>
      </w:r>
    </w:p>
    <w:p w:rsidR="007070CB" w:rsidRDefault="006E2E62">
      <w:pPr>
        <w:widowControl/>
        <w:numPr>
          <w:ilvl w:val="1"/>
          <w:numId w:val="1"/>
        </w:numPr>
        <w:spacing w:after="120"/>
        <w:rPr>
          <w:rFonts w:asciiTheme="minorHAnsi" w:hAnsiTheme="minorHAnsi"/>
          <w:bCs/>
          <w:lang w:val="en-GB"/>
        </w:rPr>
      </w:pPr>
      <w:r>
        <w:rPr>
          <w:rFonts w:asciiTheme="minorHAnsi" w:hAnsiTheme="minorHAnsi"/>
          <w:bCs/>
          <w:lang w:val="en-GB"/>
        </w:rPr>
        <w:t>The PBAC noted the advice from the Department regarding current utilisation of lumacaftor/ivacaftor and that the actual Government cost per patient in Year 1 of listing is likely to be significantly higher than what was considered acceptably cost-effective (i.e. $</w:t>
      </w:r>
      <w:r w:rsidR="00C42D5F">
        <w:rPr>
          <w:rFonts w:asciiTheme="minorHAnsi" w:hAnsiTheme="minorHAnsi"/>
          <w:bCs/>
          <w:noProof/>
          <w:color w:val="000000"/>
          <w:highlight w:val="black"/>
          <w:lang w:val="en-GB"/>
        </w:rPr>
        <w:t>''''''''''''</w:t>
      </w:r>
      <w:r>
        <w:rPr>
          <w:rFonts w:asciiTheme="minorHAnsi" w:hAnsiTheme="minorHAnsi"/>
          <w:bCs/>
          <w:lang w:val="en-GB"/>
        </w:rPr>
        <w:t xml:space="preserve"> per patient per year) in its July 2018 recommendation (see paragraph 6.52). The pre-PBAC response acknowledged that utilisation has been lower than originally forecast and claimed this was due to four major CF centres having ceased initating patients on lumacaftor/ivacaftor to wait for tezacaftor/ivacaftor to become available. The PBAC considered the lower than expected uptake was suprising given the clinical need for an effective treatment for these eligble CF patients and the strong support from patients, clinicians and organisations for subsidised access to lumacaftor/ivacaftor. The PBAC also considered this illustrated the risk of using subsidisation caps to achieve an intended price. </w:t>
      </w:r>
      <w:r>
        <w:t>In this regard, the PBAC reiterated its advice from March 2019 (</w:t>
      </w:r>
      <w:r>
        <w:rPr>
          <w:rFonts w:asciiTheme="minorHAnsi" w:hAnsiTheme="minorHAnsi"/>
          <w:bCs/>
          <w:szCs w:val="24"/>
        </w:rPr>
        <w:t xml:space="preserve">tezacaftor/ivacaftor (F508del), PBAC minutes March 2019, </w:t>
      </w:r>
      <w:r>
        <w:t xml:space="preserve">paragraph 7.10) that it would be appropriate for </w:t>
      </w:r>
      <w:r>
        <w:rPr>
          <w:rFonts w:asciiTheme="minorHAnsi" w:hAnsiTheme="minorHAnsi"/>
          <w:bCs/>
          <w:szCs w:val="24"/>
        </w:rPr>
        <w:t>the Department to pursue alternative arrangements through which the annual price of $</w:t>
      </w:r>
      <w:r w:rsidR="00C42D5F">
        <w:rPr>
          <w:rFonts w:asciiTheme="minorHAnsi" w:hAnsiTheme="minorHAnsi"/>
          <w:bCs/>
          <w:noProof/>
          <w:color w:val="000000"/>
          <w:szCs w:val="24"/>
          <w:highlight w:val="black"/>
        </w:rPr>
        <w:t>'''''''''''''</w:t>
      </w:r>
      <w:r>
        <w:rPr>
          <w:rFonts w:asciiTheme="minorHAnsi" w:hAnsiTheme="minorHAnsi"/>
          <w:bCs/>
          <w:szCs w:val="24"/>
        </w:rPr>
        <w:t xml:space="preserve"> per FTE patient (pending the outcome of the Managed Access Plan (MAP)) for both lumacaftor/ivacaftor and tezacaftor/ivacaftor could be achieved, for example, such as through reducing the subsidisation caps in the current Deed of Agreement, or by implementing a Special Pricing Arrangement (as previously suggested in the July 2018 lumacaftor/ivacaftor recommendation)</w:t>
      </w:r>
      <w:r>
        <w:t>.</w:t>
      </w:r>
    </w:p>
    <w:p w:rsidR="007070CB" w:rsidRDefault="006E2E62">
      <w:pPr>
        <w:widowControl/>
        <w:numPr>
          <w:ilvl w:val="1"/>
          <w:numId w:val="1"/>
        </w:numPr>
        <w:spacing w:after="120"/>
        <w:rPr>
          <w:rFonts w:asciiTheme="minorHAnsi" w:hAnsiTheme="minorHAnsi"/>
          <w:bCs/>
          <w:lang w:val="en-GB"/>
        </w:rPr>
      </w:pPr>
      <w:r>
        <w:rPr>
          <w:rFonts w:asciiTheme="minorHAnsi" w:hAnsiTheme="minorHAnsi"/>
          <w:bCs/>
          <w:lang w:val="en-GB"/>
        </w:rPr>
        <w:lastRenderedPageBreak/>
        <w:t>The PBAC considered that patients initiating on the granules aged 2 years and up to 6 years of age should not be included in the data collection and analysis to inform the MAP outcome, due to the difficulty in obtaining accurate ppFEV1 readings in this patient cohort.</w:t>
      </w:r>
    </w:p>
    <w:p w:rsidR="007070CB" w:rsidRDefault="006E2E62">
      <w:pPr>
        <w:widowControl/>
        <w:numPr>
          <w:ilvl w:val="1"/>
          <w:numId w:val="1"/>
        </w:numPr>
        <w:spacing w:after="120"/>
        <w:rPr>
          <w:rFonts w:asciiTheme="minorHAnsi" w:hAnsiTheme="minorHAnsi"/>
          <w:bCs/>
          <w:lang w:val="en-GB"/>
        </w:rPr>
      </w:pPr>
      <w:r>
        <w:rPr>
          <w:rFonts w:asciiTheme="minorHAnsi" w:hAnsiTheme="minorHAnsi"/>
          <w:bCs/>
          <w:lang w:val="en-GB"/>
        </w:rPr>
        <w:t xml:space="preserve">The PBAC found that the three criteria prescribed by the </w:t>
      </w:r>
      <w:r>
        <w:rPr>
          <w:rFonts w:asciiTheme="minorHAnsi" w:hAnsiTheme="minorHAnsi"/>
          <w:bCs/>
          <w:i/>
          <w:lang w:val="en-GB"/>
        </w:rPr>
        <w:t>National Health (Pharmaceuticals and Vaccines – Cost Recovery) Regulations 2009</w:t>
      </w:r>
      <w:r>
        <w:rPr>
          <w:rFonts w:asciiTheme="minorHAnsi" w:hAnsiTheme="minorHAnsi"/>
          <w:bCs/>
          <w:lang w:val="en-GB"/>
        </w:rPr>
        <w:t xml:space="preserve"> for Pricing Pathway A were not met. Specifically the PBAC found that in the circumstances of its recommendation for lumacaftor/ivacaftor granules:</w:t>
      </w:r>
    </w:p>
    <w:p w:rsidR="007070CB" w:rsidRDefault="006E2E62">
      <w:pPr>
        <w:widowControl/>
        <w:numPr>
          <w:ilvl w:val="2"/>
          <w:numId w:val="19"/>
        </w:numPr>
        <w:spacing w:after="120"/>
        <w:ind w:left="993" w:hanging="284"/>
        <w:rPr>
          <w:rFonts w:asciiTheme="minorHAnsi" w:hAnsiTheme="minorHAnsi"/>
          <w:bCs/>
          <w:lang w:val="en-GB"/>
        </w:rPr>
      </w:pPr>
      <w:r>
        <w:rPr>
          <w:rFonts w:asciiTheme="minorHAnsi" w:hAnsiTheme="minorHAnsi"/>
          <w:bCs/>
          <w:lang w:val="en-GB"/>
        </w:rPr>
        <w:t xml:space="preserve">Starting treatment with lumacaftor/ivacaftor at a younger age is not expected to provide a substantial and clinically relevant improvement in efficacy or reduction of toxicity over BSC (see paragraph 7.5). </w:t>
      </w:r>
    </w:p>
    <w:p w:rsidR="007070CB" w:rsidRDefault="006E2E62">
      <w:pPr>
        <w:widowControl/>
        <w:numPr>
          <w:ilvl w:val="2"/>
          <w:numId w:val="19"/>
        </w:numPr>
        <w:spacing w:after="120"/>
        <w:ind w:left="993" w:hanging="284"/>
        <w:rPr>
          <w:rFonts w:asciiTheme="minorHAnsi" w:hAnsiTheme="minorHAnsi"/>
          <w:bCs/>
          <w:lang w:val="en-GB"/>
        </w:rPr>
      </w:pPr>
      <w:r>
        <w:rPr>
          <w:rFonts w:asciiTheme="minorHAnsi" w:hAnsiTheme="minorHAnsi"/>
          <w:bCs/>
          <w:lang w:val="en-GB"/>
        </w:rPr>
        <w:t>Starting treatment with lumacaftor/ivacaftor at a younger age is not expected to address a high and urgent unmet clinical need.</w:t>
      </w:r>
    </w:p>
    <w:p w:rsidR="007070CB" w:rsidRDefault="006E2E62">
      <w:pPr>
        <w:widowControl/>
        <w:numPr>
          <w:ilvl w:val="2"/>
          <w:numId w:val="19"/>
        </w:numPr>
        <w:spacing w:after="120"/>
        <w:ind w:left="993" w:hanging="284"/>
        <w:rPr>
          <w:rFonts w:asciiTheme="minorHAnsi" w:hAnsiTheme="minorHAnsi"/>
          <w:bCs/>
          <w:lang w:val="en-GB"/>
        </w:rPr>
      </w:pPr>
      <w:r>
        <w:rPr>
          <w:rFonts w:asciiTheme="minorHAnsi" w:hAnsiTheme="minorHAnsi"/>
          <w:bCs/>
          <w:lang w:val="en-GB"/>
        </w:rPr>
        <w:t>It was not necessary to make a finding in relation to whether it would be in the public interest for the subsequent pricing application to be progressed under Pricing Pathway A because one or more of the preceding tests had failed.</w:t>
      </w:r>
    </w:p>
    <w:p w:rsidR="007070CB" w:rsidRDefault="006E2E62">
      <w:pPr>
        <w:widowControl/>
        <w:numPr>
          <w:ilvl w:val="1"/>
          <w:numId w:val="1"/>
        </w:numPr>
        <w:spacing w:after="120"/>
        <w:rPr>
          <w:rFonts w:asciiTheme="minorHAnsi" w:hAnsiTheme="minorHAnsi"/>
          <w:bCs/>
          <w:lang w:val="en-GB"/>
        </w:rPr>
      </w:pPr>
      <w:r>
        <w:t>The PBAC considered that lumacaftor/ivacaftor granules should not be treated as interchangeable with any other drugs.</w:t>
      </w:r>
    </w:p>
    <w:p w:rsidR="007070CB" w:rsidRDefault="006E2E62">
      <w:pPr>
        <w:widowControl/>
        <w:numPr>
          <w:ilvl w:val="1"/>
          <w:numId w:val="1"/>
        </w:numPr>
        <w:spacing w:after="120"/>
        <w:rPr>
          <w:rFonts w:asciiTheme="minorHAnsi" w:hAnsiTheme="minorHAnsi"/>
          <w:bCs/>
          <w:lang w:val="en-GB"/>
        </w:rPr>
      </w:pPr>
      <w:r>
        <w:rPr>
          <w:rFonts w:asciiTheme="minorHAnsi" w:hAnsiTheme="minorHAnsi"/>
          <w:bCs/>
          <w:lang w:val="en-GB"/>
        </w:rPr>
        <w:t>The PBAC advised that lumacaftor/ivacaftor granules is not suitable for prescribing by nurse practitioners.</w:t>
      </w:r>
    </w:p>
    <w:p w:rsidR="007070CB" w:rsidRDefault="006E2E62">
      <w:pPr>
        <w:widowControl/>
        <w:numPr>
          <w:ilvl w:val="1"/>
          <w:numId w:val="1"/>
        </w:numPr>
        <w:spacing w:after="120"/>
        <w:rPr>
          <w:rFonts w:asciiTheme="minorHAnsi" w:hAnsiTheme="minorHAnsi"/>
          <w:bCs/>
          <w:lang w:val="en-GB"/>
        </w:rPr>
      </w:pPr>
      <w:r>
        <w:rPr>
          <w:rFonts w:asciiTheme="minorHAnsi" w:hAnsiTheme="minorHAnsi"/>
          <w:bCs/>
          <w:lang w:val="en-GB"/>
        </w:rPr>
        <w:t>The PBAC recommended that the Early Supply Rule should apply.</w:t>
      </w:r>
    </w:p>
    <w:p w:rsidR="007070CB" w:rsidRDefault="006E2E62">
      <w:pPr>
        <w:widowControl/>
        <w:numPr>
          <w:ilvl w:val="1"/>
          <w:numId w:val="1"/>
        </w:numPr>
        <w:spacing w:after="120"/>
        <w:rPr>
          <w:rFonts w:asciiTheme="minorHAnsi" w:hAnsiTheme="minorHAnsi"/>
          <w:bCs/>
          <w:lang w:val="en-GB"/>
        </w:rPr>
      </w:pPr>
      <w:r>
        <w:rPr>
          <w:rFonts w:asciiTheme="minorHAnsi" w:hAnsiTheme="minorHAnsi"/>
          <w:bCs/>
          <w:lang w:val="en-GB"/>
        </w:rPr>
        <w:t>The PBAC noted the submission is not eligible for an Independent Review, because the PBAC has made a positive recommendation.</w:t>
      </w:r>
    </w:p>
    <w:p w:rsidR="007070CB" w:rsidRDefault="006E2E62">
      <w:pPr>
        <w:widowControl/>
        <w:spacing w:before="240"/>
        <w:rPr>
          <w:rFonts w:asciiTheme="minorHAnsi" w:hAnsiTheme="minorHAnsi"/>
          <w:b/>
          <w:bCs/>
          <w:lang w:val="en-GB"/>
        </w:rPr>
      </w:pPr>
      <w:r>
        <w:rPr>
          <w:rFonts w:asciiTheme="minorHAnsi" w:hAnsiTheme="minorHAnsi"/>
          <w:b/>
          <w:bCs/>
          <w:lang w:val="en-GB"/>
        </w:rPr>
        <w:t>Outcome:</w:t>
      </w:r>
    </w:p>
    <w:p w:rsidR="00AF481E" w:rsidRDefault="006E2E62" w:rsidP="00AF481E">
      <w:pPr>
        <w:widowControl/>
        <w:rPr>
          <w:rFonts w:asciiTheme="minorHAnsi" w:hAnsiTheme="minorHAnsi"/>
          <w:bCs/>
          <w:lang w:val="en-GB"/>
        </w:rPr>
      </w:pPr>
      <w:r>
        <w:rPr>
          <w:rFonts w:asciiTheme="minorHAnsi" w:hAnsiTheme="minorHAnsi"/>
          <w:bCs/>
          <w:lang w:val="en-GB"/>
        </w:rPr>
        <w:t>Recommended</w:t>
      </w:r>
    </w:p>
    <w:p w:rsidR="00AF481E" w:rsidRDefault="00AF481E" w:rsidP="00AF481E">
      <w:pPr>
        <w:rPr>
          <w:lang w:val="en-GB"/>
        </w:rPr>
      </w:pPr>
      <w:r>
        <w:rPr>
          <w:lang w:val="en-GB"/>
        </w:rPr>
        <w:br w:type="page"/>
      </w:r>
    </w:p>
    <w:p w:rsidR="007070CB" w:rsidRDefault="006E2E62">
      <w:pPr>
        <w:pStyle w:val="PBACHeading1"/>
        <w:keepNext w:val="0"/>
      </w:pPr>
      <w:r>
        <w:lastRenderedPageBreak/>
        <w:t>Recommended listing</w:t>
      </w:r>
    </w:p>
    <w:p w:rsidR="007070CB" w:rsidRDefault="006E2E62">
      <w:pPr>
        <w:widowControl/>
        <w:numPr>
          <w:ilvl w:val="1"/>
          <w:numId w:val="1"/>
        </w:numPr>
        <w:spacing w:after="120"/>
        <w:rPr>
          <w:rFonts w:asciiTheme="minorHAnsi" w:hAnsiTheme="minorHAnsi"/>
          <w:b/>
          <w:bCs/>
        </w:rPr>
      </w:pPr>
      <w:r>
        <w:rPr>
          <w:rFonts w:asciiTheme="minorHAnsi" w:hAnsiTheme="minorHAnsi"/>
          <w:bCs/>
        </w:rPr>
        <w:t>Add new item:</w:t>
      </w:r>
    </w:p>
    <w:tbl>
      <w:tblPr>
        <w:tblW w:w="9214" w:type="dxa"/>
        <w:tblLayout w:type="fixed"/>
        <w:tblLook w:val="0000" w:firstRow="0" w:lastRow="0" w:firstColumn="0" w:lastColumn="0" w:noHBand="0" w:noVBand="0"/>
      </w:tblPr>
      <w:tblGrid>
        <w:gridCol w:w="2835"/>
        <w:gridCol w:w="1560"/>
        <w:gridCol w:w="567"/>
        <w:gridCol w:w="567"/>
        <w:gridCol w:w="283"/>
        <w:gridCol w:w="1134"/>
        <w:gridCol w:w="2268"/>
      </w:tblGrid>
      <w:tr w:rsidR="007070CB">
        <w:trPr>
          <w:trHeight w:val="471"/>
        </w:trPr>
        <w:tc>
          <w:tcPr>
            <w:tcW w:w="4395" w:type="dxa"/>
            <w:gridSpan w:val="2"/>
            <w:tcBorders>
              <w:bottom w:val="single" w:sz="4" w:space="0" w:color="auto"/>
            </w:tcBorders>
          </w:tcPr>
          <w:p w:rsidR="007070CB" w:rsidRDefault="006E2E62">
            <w:pPr>
              <w:widowControl/>
              <w:ind w:left="-108"/>
              <w:rPr>
                <w:rFonts w:ascii="Arial Narrow" w:hAnsi="Arial Narrow"/>
                <w:sz w:val="20"/>
                <w:szCs w:val="20"/>
              </w:rPr>
            </w:pPr>
            <w:r>
              <w:rPr>
                <w:rFonts w:ascii="Arial Narrow" w:hAnsi="Arial Narrow"/>
                <w:sz w:val="20"/>
                <w:szCs w:val="20"/>
              </w:rPr>
              <w:t>Name, Restriction,</w:t>
            </w:r>
          </w:p>
          <w:p w:rsidR="007070CB" w:rsidRDefault="006E2E62">
            <w:pPr>
              <w:widowControl/>
              <w:ind w:left="-108"/>
              <w:rPr>
                <w:rFonts w:ascii="Arial Narrow" w:hAnsi="Arial Narrow"/>
                <w:sz w:val="20"/>
                <w:szCs w:val="20"/>
              </w:rPr>
            </w:pPr>
            <w:r>
              <w:rPr>
                <w:rFonts w:ascii="Arial Narrow" w:hAnsi="Arial Narrow"/>
                <w:sz w:val="20"/>
                <w:szCs w:val="20"/>
              </w:rPr>
              <w:t>Manner of administration and form</w:t>
            </w:r>
          </w:p>
        </w:tc>
        <w:tc>
          <w:tcPr>
            <w:tcW w:w="567" w:type="dxa"/>
            <w:tcBorders>
              <w:bottom w:val="single" w:sz="4" w:space="0" w:color="auto"/>
            </w:tcBorders>
          </w:tcPr>
          <w:p w:rsidR="007070CB" w:rsidRDefault="006E2E62">
            <w:pPr>
              <w:widowControl/>
              <w:ind w:left="-108"/>
              <w:rPr>
                <w:rFonts w:ascii="Arial Narrow" w:hAnsi="Arial Narrow"/>
                <w:sz w:val="20"/>
                <w:szCs w:val="20"/>
              </w:rPr>
            </w:pPr>
            <w:r>
              <w:rPr>
                <w:rFonts w:ascii="Arial Narrow" w:hAnsi="Arial Narrow"/>
                <w:sz w:val="20"/>
                <w:szCs w:val="20"/>
              </w:rPr>
              <w:t>Max.</w:t>
            </w:r>
          </w:p>
          <w:p w:rsidR="007070CB" w:rsidRDefault="006E2E62">
            <w:pPr>
              <w:widowControl/>
              <w:ind w:left="-108"/>
              <w:rPr>
                <w:rFonts w:ascii="Arial Narrow" w:hAnsi="Arial Narrow"/>
                <w:sz w:val="20"/>
                <w:szCs w:val="20"/>
              </w:rPr>
            </w:pPr>
            <w:r>
              <w:rPr>
                <w:rFonts w:ascii="Arial Narrow" w:hAnsi="Arial Narrow"/>
                <w:sz w:val="20"/>
                <w:szCs w:val="20"/>
              </w:rPr>
              <w:t>Qty</w:t>
            </w:r>
          </w:p>
        </w:tc>
        <w:tc>
          <w:tcPr>
            <w:tcW w:w="567" w:type="dxa"/>
            <w:tcBorders>
              <w:bottom w:val="single" w:sz="4" w:space="0" w:color="auto"/>
            </w:tcBorders>
          </w:tcPr>
          <w:p w:rsidR="007070CB" w:rsidRDefault="006E2E62">
            <w:pPr>
              <w:widowControl/>
              <w:ind w:left="-108"/>
              <w:rPr>
                <w:rFonts w:ascii="Arial Narrow" w:hAnsi="Arial Narrow"/>
                <w:sz w:val="20"/>
                <w:szCs w:val="20"/>
              </w:rPr>
            </w:pPr>
            <w:r>
              <w:rPr>
                <w:rFonts w:ascii="Arial Narrow" w:hAnsi="Arial Narrow"/>
                <w:sz w:val="20"/>
                <w:szCs w:val="20"/>
              </w:rPr>
              <w:t>№.of</w:t>
            </w:r>
          </w:p>
          <w:p w:rsidR="007070CB" w:rsidRDefault="006E2E62">
            <w:pPr>
              <w:widowControl/>
              <w:ind w:left="-108"/>
              <w:rPr>
                <w:rFonts w:ascii="Arial Narrow" w:hAnsi="Arial Narrow"/>
                <w:sz w:val="20"/>
                <w:szCs w:val="20"/>
              </w:rPr>
            </w:pPr>
            <w:r>
              <w:rPr>
                <w:rFonts w:ascii="Arial Narrow" w:hAnsi="Arial Narrow"/>
                <w:sz w:val="20"/>
                <w:szCs w:val="20"/>
              </w:rPr>
              <w:t>Rpts</w:t>
            </w:r>
          </w:p>
        </w:tc>
        <w:tc>
          <w:tcPr>
            <w:tcW w:w="283" w:type="dxa"/>
            <w:tcBorders>
              <w:bottom w:val="single" w:sz="4" w:space="0" w:color="auto"/>
            </w:tcBorders>
          </w:tcPr>
          <w:p w:rsidR="007070CB" w:rsidRDefault="007070CB">
            <w:pPr>
              <w:widowControl/>
              <w:ind w:left="-108"/>
              <w:rPr>
                <w:rFonts w:ascii="Arial Narrow" w:hAnsi="Arial Narrow"/>
                <w:sz w:val="20"/>
                <w:szCs w:val="20"/>
              </w:rPr>
            </w:pPr>
          </w:p>
        </w:tc>
        <w:tc>
          <w:tcPr>
            <w:tcW w:w="3402" w:type="dxa"/>
            <w:gridSpan w:val="2"/>
            <w:tcBorders>
              <w:bottom w:val="single" w:sz="4" w:space="0" w:color="auto"/>
            </w:tcBorders>
          </w:tcPr>
          <w:p w:rsidR="007070CB" w:rsidRDefault="006E2E62">
            <w:pPr>
              <w:widowControl/>
              <w:rPr>
                <w:rFonts w:ascii="Arial Narrow" w:hAnsi="Arial Narrow"/>
                <w:sz w:val="20"/>
                <w:szCs w:val="20"/>
                <w:lang w:val="fr-FR"/>
              </w:rPr>
            </w:pPr>
            <w:r>
              <w:rPr>
                <w:rFonts w:ascii="Arial Narrow" w:hAnsi="Arial Narrow"/>
                <w:sz w:val="20"/>
                <w:szCs w:val="20"/>
              </w:rPr>
              <w:t>Proprietary Name and Manufacturer</w:t>
            </w:r>
          </w:p>
        </w:tc>
      </w:tr>
      <w:tr w:rsidR="007070CB">
        <w:trPr>
          <w:trHeight w:val="577"/>
        </w:trPr>
        <w:tc>
          <w:tcPr>
            <w:tcW w:w="4395" w:type="dxa"/>
            <w:gridSpan w:val="2"/>
          </w:tcPr>
          <w:p w:rsidR="007070CB" w:rsidRDefault="006E2E62">
            <w:pPr>
              <w:widowControl/>
              <w:ind w:left="-108"/>
              <w:rPr>
                <w:rFonts w:ascii="Arial Narrow" w:hAnsi="Arial Narrow"/>
                <w:sz w:val="20"/>
                <w:szCs w:val="20"/>
              </w:rPr>
            </w:pPr>
            <w:r>
              <w:rPr>
                <w:rFonts w:ascii="Arial Narrow" w:hAnsi="Arial Narrow"/>
                <w:smallCaps/>
                <w:sz w:val="20"/>
                <w:szCs w:val="20"/>
              </w:rPr>
              <w:t>LUMACAFTOR with IVACAFTOR</w:t>
            </w:r>
          </w:p>
          <w:p w:rsidR="007070CB" w:rsidRDefault="006E2E62">
            <w:pPr>
              <w:widowControl/>
              <w:ind w:left="-108"/>
              <w:rPr>
                <w:rFonts w:ascii="Arial Narrow" w:hAnsi="Arial Narrow"/>
                <w:sz w:val="20"/>
                <w:szCs w:val="20"/>
              </w:rPr>
            </w:pPr>
            <w:r>
              <w:rPr>
                <w:rFonts w:ascii="Arial Narrow" w:hAnsi="Arial Narrow"/>
                <w:sz w:val="20"/>
                <w:szCs w:val="20"/>
              </w:rPr>
              <w:t>lumacaftor 100 mg/ivacaftor 125 mg granule sachets, 56</w:t>
            </w:r>
          </w:p>
          <w:p w:rsidR="007070CB" w:rsidRDefault="006E2E62">
            <w:pPr>
              <w:widowControl/>
              <w:ind w:left="-108"/>
              <w:rPr>
                <w:rFonts w:ascii="Arial Narrow" w:hAnsi="Arial Narrow"/>
                <w:color w:val="FF0000"/>
                <w:sz w:val="20"/>
                <w:szCs w:val="20"/>
              </w:rPr>
            </w:pPr>
            <w:r>
              <w:rPr>
                <w:rFonts w:ascii="Arial Narrow" w:hAnsi="Arial Narrow"/>
                <w:sz w:val="20"/>
                <w:szCs w:val="20"/>
              </w:rPr>
              <w:t>lumacaftor 150 mg/ivacaftor 188 mg granule sachets, 56</w:t>
            </w:r>
          </w:p>
        </w:tc>
        <w:tc>
          <w:tcPr>
            <w:tcW w:w="567" w:type="dxa"/>
          </w:tcPr>
          <w:p w:rsidR="007070CB" w:rsidRDefault="007070CB">
            <w:pPr>
              <w:widowControl/>
              <w:ind w:left="-108"/>
              <w:rPr>
                <w:rFonts w:ascii="Arial Narrow" w:hAnsi="Arial Narrow"/>
                <w:sz w:val="20"/>
                <w:szCs w:val="20"/>
              </w:rPr>
            </w:pPr>
          </w:p>
          <w:p w:rsidR="007070CB" w:rsidRDefault="006E2E62">
            <w:pPr>
              <w:widowControl/>
              <w:ind w:left="-108"/>
              <w:rPr>
                <w:rFonts w:ascii="Arial Narrow" w:hAnsi="Arial Narrow"/>
                <w:sz w:val="20"/>
                <w:szCs w:val="20"/>
              </w:rPr>
            </w:pPr>
            <w:r>
              <w:rPr>
                <w:rFonts w:ascii="Arial Narrow" w:hAnsi="Arial Narrow"/>
                <w:sz w:val="20"/>
                <w:szCs w:val="20"/>
              </w:rPr>
              <w:t>1</w:t>
            </w:r>
          </w:p>
          <w:p w:rsidR="007070CB" w:rsidRDefault="006E2E62">
            <w:pPr>
              <w:widowControl/>
              <w:ind w:left="-108"/>
              <w:rPr>
                <w:rFonts w:ascii="Arial Narrow" w:hAnsi="Arial Narrow"/>
                <w:sz w:val="20"/>
                <w:szCs w:val="20"/>
              </w:rPr>
            </w:pPr>
            <w:r>
              <w:rPr>
                <w:rFonts w:ascii="Arial Narrow" w:hAnsi="Arial Narrow"/>
                <w:sz w:val="20"/>
                <w:szCs w:val="20"/>
              </w:rPr>
              <w:t>1</w:t>
            </w:r>
          </w:p>
        </w:tc>
        <w:tc>
          <w:tcPr>
            <w:tcW w:w="567" w:type="dxa"/>
          </w:tcPr>
          <w:p w:rsidR="007070CB" w:rsidRDefault="007070CB">
            <w:pPr>
              <w:widowControl/>
              <w:ind w:left="-108"/>
              <w:rPr>
                <w:rFonts w:ascii="Arial Narrow" w:hAnsi="Arial Narrow"/>
                <w:sz w:val="20"/>
                <w:szCs w:val="20"/>
              </w:rPr>
            </w:pPr>
          </w:p>
          <w:p w:rsidR="007070CB" w:rsidRDefault="006E2E62">
            <w:pPr>
              <w:widowControl/>
              <w:ind w:left="-108"/>
              <w:rPr>
                <w:rFonts w:ascii="Arial Narrow" w:hAnsi="Arial Narrow"/>
                <w:sz w:val="20"/>
                <w:szCs w:val="20"/>
              </w:rPr>
            </w:pPr>
            <w:r>
              <w:rPr>
                <w:rFonts w:ascii="Arial Narrow" w:hAnsi="Arial Narrow"/>
                <w:sz w:val="20"/>
                <w:szCs w:val="20"/>
              </w:rPr>
              <w:t>5</w:t>
            </w:r>
          </w:p>
          <w:p w:rsidR="007070CB" w:rsidRDefault="006E2E62">
            <w:pPr>
              <w:widowControl/>
              <w:ind w:left="-108"/>
              <w:rPr>
                <w:rFonts w:ascii="Arial Narrow" w:hAnsi="Arial Narrow"/>
                <w:sz w:val="20"/>
                <w:szCs w:val="20"/>
              </w:rPr>
            </w:pPr>
            <w:r>
              <w:rPr>
                <w:rFonts w:ascii="Arial Narrow" w:hAnsi="Arial Narrow"/>
                <w:sz w:val="20"/>
                <w:szCs w:val="20"/>
              </w:rPr>
              <w:t>5</w:t>
            </w:r>
          </w:p>
        </w:tc>
        <w:tc>
          <w:tcPr>
            <w:tcW w:w="283" w:type="dxa"/>
          </w:tcPr>
          <w:p w:rsidR="007070CB" w:rsidRDefault="007070CB">
            <w:pPr>
              <w:widowControl/>
              <w:ind w:left="-108"/>
              <w:rPr>
                <w:rFonts w:ascii="Arial Narrow" w:hAnsi="Arial Narrow"/>
                <w:sz w:val="20"/>
                <w:szCs w:val="20"/>
              </w:rPr>
            </w:pPr>
          </w:p>
          <w:p w:rsidR="007070CB" w:rsidRDefault="007070CB">
            <w:pPr>
              <w:widowControl/>
              <w:rPr>
                <w:rFonts w:ascii="Arial Narrow" w:hAnsi="Arial Narrow"/>
                <w:sz w:val="20"/>
                <w:szCs w:val="20"/>
              </w:rPr>
            </w:pPr>
          </w:p>
          <w:p w:rsidR="007070CB" w:rsidRDefault="007070CB">
            <w:pPr>
              <w:widowControl/>
              <w:ind w:left="-108"/>
              <w:rPr>
                <w:rFonts w:ascii="Arial Narrow" w:hAnsi="Arial Narrow"/>
                <w:sz w:val="20"/>
                <w:szCs w:val="20"/>
              </w:rPr>
            </w:pPr>
          </w:p>
        </w:tc>
        <w:tc>
          <w:tcPr>
            <w:tcW w:w="1134" w:type="dxa"/>
          </w:tcPr>
          <w:p w:rsidR="007070CB" w:rsidRDefault="006E2E62">
            <w:pPr>
              <w:widowControl/>
              <w:rPr>
                <w:rFonts w:ascii="Arial Narrow" w:hAnsi="Arial Narrow"/>
                <w:sz w:val="20"/>
                <w:szCs w:val="20"/>
              </w:rPr>
            </w:pPr>
            <w:r>
              <w:rPr>
                <w:rFonts w:ascii="Arial Narrow" w:hAnsi="Arial Narrow"/>
                <w:sz w:val="20"/>
                <w:szCs w:val="20"/>
              </w:rPr>
              <w:t>Orkambi</w:t>
            </w:r>
          </w:p>
        </w:tc>
        <w:tc>
          <w:tcPr>
            <w:tcW w:w="2268" w:type="dxa"/>
          </w:tcPr>
          <w:p w:rsidR="007070CB" w:rsidRDefault="006E2E62">
            <w:pPr>
              <w:widowControl/>
              <w:jc w:val="left"/>
              <w:rPr>
                <w:rFonts w:ascii="Arial Narrow" w:hAnsi="Arial Narrow"/>
                <w:sz w:val="20"/>
                <w:szCs w:val="20"/>
              </w:rPr>
            </w:pPr>
            <w:r>
              <w:rPr>
                <w:rFonts w:ascii="Arial Narrow" w:hAnsi="Arial Narrow"/>
                <w:sz w:val="20"/>
                <w:szCs w:val="20"/>
              </w:rPr>
              <w:t>Vertex Pharmaceuticals (Australia) Pty Ltd</w:t>
            </w:r>
          </w:p>
        </w:tc>
      </w:tr>
      <w:tr w:rsidR="007070CB">
        <w:trPr>
          <w:trHeight w:val="360"/>
        </w:trPr>
        <w:tc>
          <w:tcPr>
            <w:tcW w:w="9214" w:type="dxa"/>
            <w:gridSpan w:val="7"/>
            <w:tcBorders>
              <w:bottom w:val="single" w:sz="4" w:space="0" w:color="auto"/>
            </w:tcBorders>
          </w:tcPr>
          <w:p w:rsidR="007070CB" w:rsidRDefault="007070CB">
            <w:pPr>
              <w:widowControl/>
              <w:rPr>
                <w:rFonts w:ascii="Arial Narrow" w:hAnsi="Arial Narrow"/>
                <w:sz w:val="20"/>
                <w:szCs w:val="20"/>
              </w:rPr>
            </w:pPr>
          </w:p>
        </w:tc>
      </w:tr>
      <w:tr w:rsidR="007070CB">
        <w:trPr>
          <w:trHeight w:val="205"/>
        </w:trPr>
        <w:tc>
          <w:tcPr>
            <w:tcW w:w="2835" w:type="dxa"/>
            <w:tcBorders>
              <w:top w:val="single" w:sz="4" w:space="0" w:color="auto"/>
              <w:left w:val="single" w:sz="4" w:space="0" w:color="auto"/>
              <w:bottom w:val="single" w:sz="4" w:space="0" w:color="auto"/>
              <w:right w:val="single" w:sz="4" w:space="0" w:color="auto"/>
            </w:tcBorders>
          </w:tcPr>
          <w:p w:rsidR="007070CB" w:rsidRDefault="006E2E62">
            <w:pPr>
              <w:widowControl/>
              <w:rPr>
                <w:rFonts w:ascii="Arial Narrow" w:hAnsi="Arial Narrow"/>
                <w:b/>
                <w:sz w:val="20"/>
                <w:szCs w:val="20"/>
              </w:rPr>
            </w:pPr>
            <w:r>
              <w:rPr>
                <w:rFonts w:ascii="Arial Narrow" w:hAnsi="Arial Narrow"/>
                <w:b/>
                <w:sz w:val="20"/>
                <w:szCs w:val="20"/>
              </w:rPr>
              <w:t>Category / Program:</w:t>
            </w:r>
          </w:p>
        </w:tc>
        <w:tc>
          <w:tcPr>
            <w:tcW w:w="6379" w:type="dxa"/>
            <w:gridSpan w:val="6"/>
            <w:tcBorders>
              <w:top w:val="single" w:sz="4" w:space="0" w:color="auto"/>
              <w:left w:val="single" w:sz="4" w:space="0" w:color="auto"/>
              <w:bottom w:val="single" w:sz="4" w:space="0" w:color="auto"/>
              <w:right w:val="single" w:sz="4" w:space="0" w:color="auto"/>
            </w:tcBorders>
          </w:tcPr>
          <w:p w:rsidR="007070CB" w:rsidRDefault="006E2E62">
            <w:pPr>
              <w:widowControl/>
              <w:rPr>
                <w:rFonts w:ascii="Arial Narrow" w:hAnsi="Arial Narrow"/>
                <w:sz w:val="20"/>
                <w:szCs w:val="20"/>
              </w:rPr>
            </w:pPr>
            <w:r>
              <w:rPr>
                <w:rFonts w:ascii="Arial Narrow" w:hAnsi="Arial Narrow"/>
                <w:sz w:val="20"/>
                <w:szCs w:val="20"/>
              </w:rPr>
              <w:t>Section 100 – Highly Specialised Drugs Program</w:t>
            </w:r>
          </w:p>
        </w:tc>
      </w:tr>
      <w:tr w:rsidR="007070CB">
        <w:trPr>
          <w:trHeight w:val="360"/>
        </w:trPr>
        <w:tc>
          <w:tcPr>
            <w:tcW w:w="2835" w:type="dxa"/>
            <w:tcBorders>
              <w:top w:val="single" w:sz="4" w:space="0" w:color="auto"/>
              <w:left w:val="single" w:sz="4" w:space="0" w:color="auto"/>
              <w:bottom w:val="single" w:sz="4" w:space="0" w:color="auto"/>
              <w:right w:val="single" w:sz="4" w:space="0" w:color="auto"/>
            </w:tcBorders>
          </w:tcPr>
          <w:p w:rsidR="007070CB" w:rsidRDefault="006E2E62">
            <w:pPr>
              <w:widowControl/>
              <w:rPr>
                <w:rFonts w:ascii="Arial Narrow" w:hAnsi="Arial Narrow"/>
                <w:b/>
                <w:sz w:val="20"/>
                <w:szCs w:val="20"/>
              </w:rPr>
            </w:pPr>
            <w:r>
              <w:rPr>
                <w:rFonts w:ascii="Arial Narrow" w:hAnsi="Arial Narrow"/>
                <w:b/>
                <w:sz w:val="20"/>
                <w:szCs w:val="20"/>
              </w:rPr>
              <w:t>Prescriber type:</w:t>
            </w:r>
          </w:p>
          <w:p w:rsidR="007070CB" w:rsidRDefault="007070CB">
            <w:pPr>
              <w:widowControl/>
              <w:rPr>
                <w:rFonts w:ascii="Arial Narrow" w:hAnsi="Arial Narrow"/>
                <w:b/>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7070CB" w:rsidRDefault="006E2E62">
            <w:pPr>
              <w:widowControl/>
              <w:rPr>
                <w:rFonts w:ascii="Arial Narrow" w:hAnsi="Arial Narrow"/>
                <w:sz w:val="20"/>
                <w:szCs w:val="20"/>
              </w:rPr>
            </w:pPr>
            <w:r>
              <w:rPr>
                <w:rFonts w:ascii="Arial Narrow" w:hAnsi="Arial Narrow"/>
                <w:sz w:val="20"/>
                <w:szCs w:val="20"/>
              </w:rPr>
              <w:fldChar w:fldCharType="begin">
                <w:ffData>
                  <w:name w:val="Check1"/>
                  <w:enabled/>
                  <w:calcOnExit w:val="0"/>
                  <w:checkBox>
                    <w:sizeAuto/>
                    <w:default w:val="0"/>
                  </w:checkBox>
                </w:ffData>
              </w:fldChar>
            </w:r>
            <w:r>
              <w:rPr>
                <w:rFonts w:ascii="Arial Narrow" w:hAnsi="Arial Narrow"/>
                <w:sz w:val="20"/>
                <w:szCs w:val="20"/>
              </w:rPr>
              <w:instrText xml:space="preserve"> FORMCHECKBOX </w:instrText>
            </w:r>
            <w:r w:rsidR="00E90A30">
              <w:rPr>
                <w:rFonts w:ascii="Arial Narrow" w:hAnsi="Arial Narrow"/>
                <w:sz w:val="20"/>
                <w:szCs w:val="20"/>
              </w:rPr>
            </w:r>
            <w:r w:rsidR="00E90A30">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 xml:space="preserve">Dental  </w:t>
            </w:r>
            <w:r>
              <w:rPr>
                <w:rFonts w:ascii="Arial Narrow" w:hAnsi="Arial Narrow"/>
                <w:sz w:val="20"/>
                <w:szCs w:val="20"/>
              </w:rPr>
              <w:fldChar w:fldCharType="begin">
                <w:ffData>
                  <w:name w:val=""/>
                  <w:enabled/>
                  <w:calcOnExit w:val="0"/>
                  <w:checkBox>
                    <w:sizeAuto/>
                    <w:default w:val="1"/>
                  </w:checkBox>
                </w:ffData>
              </w:fldChar>
            </w:r>
            <w:r>
              <w:rPr>
                <w:rFonts w:ascii="Arial Narrow" w:hAnsi="Arial Narrow"/>
                <w:sz w:val="20"/>
                <w:szCs w:val="20"/>
              </w:rPr>
              <w:instrText xml:space="preserve"> FORMCHECKBOX </w:instrText>
            </w:r>
            <w:r w:rsidR="00E90A30">
              <w:rPr>
                <w:rFonts w:ascii="Arial Narrow" w:hAnsi="Arial Narrow"/>
                <w:sz w:val="20"/>
                <w:szCs w:val="20"/>
              </w:rPr>
            </w:r>
            <w:r w:rsidR="00E90A30">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 xml:space="preserve">Medical Practitioners  </w:t>
            </w:r>
            <w:r>
              <w:rPr>
                <w:rFonts w:ascii="Arial Narrow" w:hAnsi="Arial Narrow"/>
                <w:sz w:val="20"/>
                <w:szCs w:val="20"/>
              </w:rPr>
              <w:fldChar w:fldCharType="begin">
                <w:ffData>
                  <w:name w:val="Check3"/>
                  <w:enabled/>
                  <w:calcOnExit w:val="0"/>
                  <w:checkBox>
                    <w:sizeAuto/>
                    <w:default w:val="0"/>
                  </w:checkBox>
                </w:ffData>
              </w:fldChar>
            </w:r>
            <w:r>
              <w:rPr>
                <w:rFonts w:ascii="Arial Narrow" w:hAnsi="Arial Narrow"/>
                <w:sz w:val="20"/>
                <w:szCs w:val="20"/>
              </w:rPr>
              <w:instrText xml:space="preserve"> FORMCHECKBOX </w:instrText>
            </w:r>
            <w:r w:rsidR="00E90A30">
              <w:rPr>
                <w:rFonts w:ascii="Arial Narrow" w:hAnsi="Arial Narrow"/>
                <w:sz w:val="20"/>
                <w:szCs w:val="20"/>
              </w:rPr>
            </w:r>
            <w:r w:rsidR="00E90A30">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 xml:space="preserve">Nurse practitioners  </w:t>
            </w:r>
            <w:r>
              <w:rPr>
                <w:rFonts w:ascii="Arial Narrow" w:hAnsi="Arial Narrow"/>
                <w:sz w:val="20"/>
                <w:szCs w:val="20"/>
              </w:rPr>
              <w:fldChar w:fldCharType="begin">
                <w:ffData>
                  <w:name w:val=""/>
                  <w:enabled/>
                  <w:calcOnExit w:val="0"/>
                  <w:checkBox>
                    <w:sizeAuto/>
                    <w:default w:val="0"/>
                  </w:checkBox>
                </w:ffData>
              </w:fldChar>
            </w:r>
            <w:r>
              <w:rPr>
                <w:rFonts w:ascii="Arial Narrow" w:hAnsi="Arial Narrow"/>
                <w:sz w:val="20"/>
                <w:szCs w:val="20"/>
              </w:rPr>
              <w:instrText xml:space="preserve"> FORMCHECKBOX </w:instrText>
            </w:r>
            <w:r w:rsidR="00E90A30">
              <w:rPr>
                <w:rFonts w:ascii="Arial Narrow" w:hAnsi="Arial Narrow"/>
                <w:sz w:val="20"/>
                <w:szCs w:val="20"/>
              </w:rPr>
            </w:r>
            <w:r w:rsidR="00E90A30">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Optometrists</w:t>
            </w:r>
          </w:p>
          <w:p w:rsidR="007070CB" w:rsidRDefault="006E2E62">
            <w:pPr>
              <w:widowControl/>
              <w:rPr>
                <w:rFonts w:ascii="Arial Narrow" w:hAnsi="Arial Narrow"/>
                <w:sz w:val="20"/>
                <w:szCs w:val="20"/>
              </w:rPr>
            </w:pPr>
            <w:r>
              <w:rPr>
                <w:rFonts w:ascii="Arial Narrow" w:hAnsi="Arial Narrow"/>
                <w:sz w:val="20"/>
                <w:szCs w:val="20"/>
              </w:rPr>
              <w:fldChar w:fldCharType="begin">
                <w:ffData>
                  <w:name w:val="Check5"/>
                  <w:enabled/>
                  <w:calcOnExit w:val="0"/>
                  <w:checkBox>
                    <w:sizeAuto/>
                    <w:default w:val="0"/>
                  </w:checkBox>
                </w:ffData>
              </w:fldChar>
            </w:r>
            <w:r>
              <w:rPr>
                <w:rFonts w:ascii="Arial Narrow" w:hAnsi="Arial Narrow"/>
                <w:sz w:val="20"/>
                <w:szCs w:val="20"/>
              </w:rPr>
              <w:instrText xml:space="preserve"> FORMCHECKBOX </w:instrText>
            </w:r>
            <w:r w:rsidR="00E90A30">
              <w:rPr>
                <w:rFonts w:ascii="Arial Narrow" w:hAnsi="Arial Narrow"/>
                <w:sz w:val="20"/>
                <w:szCs w:val="20"/>
              </w:rPr>
            </w:r>
            <w:r w:rsidR="00E90A30">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Midwives</w:t>
            </w:r>
          </w:p>
        </w:tc>
      </w:tr>
      <w:tr w:rsidR="007070CB">
        <w:trPr>
          <w:trHeight w:val="217"/>
        </w:trPr>
        <w:tc>
          <w:tcPr>
            <w:tcW w:w="2835" w:type="dxa"/>
            <w:tcBorders>
              <w:top w:val="single" w:sz="4" w:space="0" w:color="auto"/>
              <w:left w:val="single" w:sz="4" w:space="0" w:color="auto"/>
              <w:bottom w:val="single" w:sz="4" w:space="0" w:color="auto"/>
              <w:right w:val="single" w:sz="4" w:space="0" w:color="auto"/>
            </w:tcBorders>
          </w:tcPr>
          <w:p w:rsidR="007070CB" w:rsidRDefault="006E2E62">
            <w:pPr>
              <w:widowControl/>
              <w:rPr>
                <w:rFonts w:ascii="Arial Narrow" w:hAnsi="Arial Narrow"/>
                <w:b/>
                <w:sz w:val="20"/>
                <w:szCs w:val="20"/>
              </w:rPr>
            </w:pPr>
            <w:r>
              <w:rPr>
                <w:rFonts w:ascii="Arial Narrow" w:hAnsi="Arial Narrow"/>
                <w:b/>
                <w:sz w:val="20"/>
                <w:szCs w:val="20"/>
              </w:rPr>
              <w:t>Episodicity:</w:t>
            </w:r>
          </w:p>
        </w:tc>
        <w:tc>
          <w:tcPr>
            <w:tcW w:w="6379" w:type="dxa"/>
            <w:gridSpan w:val="6"/>
            <w:tcBorders>
              <w:top w:val="single" w:sz="4" w:space="0" w:color="auto"/>
              <w:left w:val="single" w:sz="4" w:space="0" w:color="auto"/>
              <w:bottom w:val="single" w:sz="4" w:space="0" w:color="auto"/>
              <w:right w:val="single" w:sz="4" w:space="0" w:color="auto"/>
            </w:tcBorders>
          </w:tcPr>
          <w:p w:rsidR="007070CB" w:rsidRDefault="006E2E62">
            <w:pPr>
              <w:widowControl/>
              <w:rPr>
                <w:rFonts w:ascii="Arial Narrow" w:hAnsi="Arial Narrow"/>
                <w:sz w:val="20"/>
                <w:szCs w:val="20"/>
              </w:rPr>
            </w:pPr>
            <w:r>
              <w:rPr>
                <w:rFonts w:ascii="Arial Narrow" w:hAnsi="Arial Narrow"/>
                <w:sz w:val="20"/>
                <w:szCs w:val="20"/>
              </w:rPr>
              <w:t>-</w:t>
            </w:r>
          </w:p>
        </w:tc>
      </w:tr>
      <w:tr w:rsidR="007070CB">
        <w:trPr>
          <w:trHeight w:val="263"/>
        </w:trPr>
        <w:tc>
          <w:tcPr>
            <w:tcW w:w="2835" w:type="dxa"/>
            <w:tcBorders>
              <w:top w:val="single" w:sz="4" w:space="0" w:color="auto"/>
              <w:left w:val="single" w:sz="4" w:space="0" w:color="auto"/>
              <w:bottom w:val="single" w:sz="4" w:space="0" w:color="auto"/>
              <w:right w:val="single" w:sz="4" w:space="0" w:color="auto"/>
            </w:tcBorders>
          </w:tcPr>
          <w:p w:rsidR="007070CB" w:rsidRDefault="006E2E62">
            <w:pPr>
              <w:widowControl/>
              <w:rPr>
                <w:rFonts w:ascii="Arial Narrow" w:hAnsi="Arial Narrow"/>
                <w:b/>
                <w:sz w:val="20"/>
                <w:szCs w:val="20"/>
              </w:rPr>
            </w:pPr>
            <w:r>
              <w:rPr>
                <w:rFonts w:ascii="Arial Narrow" w:hAnsi="Arial Narrow"/>
                <w:b/>
                <w:sz w:val="20"/>
                <w:szCs w:val="20"/>
              </w:rPr>
              <w:t>Severity:</w:t>
            </w:r>
          </w:p>
        </w:tc>
        <w:tc>
          <w:tcPr>
            <w:tcW w:w="6379" w:type="dxa"/>
            <w:gridSpan w:val="6"/>
            <w:tcBorders>
              <w:top w:val="single" w:sz="4" w:space="0" w:color="auto"/>
              <w:left w:val="single" w:sz="4" w:space="0" w:color="auto"/>
              <w:bottom w:val="single" w:sz="4" w:space="0" w:color="auto"/>
              <w:right w:val="single" w:sz="4" w:space="0" w:color="auto"/>
            </w:tcBorders>
          </w:tcPr>
          <w:p w:rsidR="007070CB" w:rsidRDefault="006E2E62">
            <w:pPr>
              <w:widowControl/>
              <w:rPr>
                <w:rFonts w:ascii="Arial Narrow" w:hAnsi="Arial Narrow"/>
                <w:sz w:val="20"/>
                <w:szCs w:val="20"/>
              </w:rPr>
            </w:pPr>
            <w:r>
              <w:rPr>
                <w:rFonts w:ascii="Arial Narrow" w:hAnsi="Arial Narrow"/>
                <w:sz w:val="20"/>
                <w:szCs w:val="20"/>
              </w:rPr>
              <w:t>-</w:t>
            </w:r>
          </w:p>
        </w:tc>
      </w:tr>
      <w:tr w:rsidR="007070CB">
        <w:trPr>
          <w:trHeight w:val="185"/>
        </w:trPr>
        <w:tc>
          <w:tcPr>
            <w:tcW w:w="2835" w:type="dxa"/>
            <w:tcBorders>
              <w:top w:val="single" w:sz="4" w:space="0" w:color="auto"/>
              <w:left w:val="single" w:sz="4" w:space="0" w:color="auto"/>
              <w:bottom w:val="single" w:sz="4" w:space="0" w:color="auto"/>
              <w:right w:val="single" w:sz="4" w:space="0" w:color="auto"/>
            </w:tcBorders>
          </w:tcPr>
          <w:p w:rsidR="007070CB" w:rsidRDefault="006E2E62">
            <w:pPr>
              <w:widowControl/>
              <w:rPr>
                <w:rFonts w:ascii="Arial Narrow" w:hAnsi="Arial Narrow"/>
                <w:b/>
                <w:sz w:val="20"/>
                <w:szCs w:val="20"/>
              </w:rPr>
            </w:pPr>
            <w:r>
              <w:rPr>
                <w:rFonts w:ascii="Arial Narrow" w:hAnsi="Arial Narrow"/>
                <w:b/>
                <w:sz w:val="20"/>
                <w:szCs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7070CB" w:rsidRDefault="006E2E62">
            <w:pPr>
              <w:widowControl/>
              <w:rPr>
                <w:rFonts w:ascii="Arial Narrow" w:hAnsi="Arial Narrow"/>
                <w:sz w:val="20"/>
                <w:szCs w:val="20"/>
              </w:rPr>
            </w:pPr>
            <w:r>
              <w:rPr>
                <w:rFonts w:ascii="Arial Narrow" w:hAnsi="Arial Narrow"/>
                <w:sz w:val="20"/>
                <w:szCs w:val="20"/>
              </w:rPr>
              <w:t>Cystic fibrosis</w:t>
            </w:r>
          </w:p>
        </w:tc>
      </w:tr>
      <w:tr w:rsidR="007070CB">
        <w:trPr>
          <w:trHeight w:val="231"/>
        </w:trPr>
        <w:tc>
          <w:tcPr>
            <w:tcW w:w="2835" w:type="dxa"/>
            <w:tcBorders>
              <w:top w:val="single" w:sz="4" w:space="0" w:color="auto"/>
              <w:left w:val="single" w:sz="4" w:space="0" w:color="auto"/>
              <w:bottom w:val="single" w:sz="4" w:space="0" w:color="auto"/>
              <w:right w:val="single" w:sz="4" w:space="0" w:color="auto"/>
            </w:tcBorders>
          </w:tcPr>
          <w:p w:rsidR="007070CB" w:rsidRDefault="006E2E62">
            <w:pPr>
              <w:widowControl/>
              <w:rPr>
                <w:rFonts w:ascii="Arial Narrow" w:hAnsi="Arial Narrow"/>
                <w:b/>
                <w:sz w:val="20"/>
                <w:szCs w:val="20"/>
              </w:rPr>
            </w:pPr>
            <w:r>
              <w:rPr>
                <w:rFonts w:ascii="Arial Narrow" w:hAnsi="Arial Narrow"/>
                <w:b/>
                <w:sz w:val="20"/>
                <w:szCs w:val="20"/>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7070CB" w:rsidRDefault="006E2E62">
            <w:pPr>
              <w:widowControl/>
              <w:rPr>
                <w:rFonts w:ascii="Arial Narrow" w:hAnsi="Arial Narrow"/>
                <w:sz w:val="20"/>
                <w:szCs w:val="20"/>
              </w:rPr>
            </w:pPr>
            <w:r>
              <w:rPr>
                <w:rFonts w:ascii="Arial Narrow" w:hAnsi="Arial Narrow"/>
                <w:sz w:val="20"/>
                <w:szCs w:val="20"/>
              </w:rPr>
              <w:t>Cystic fibrosis</w:t>
            </w:r>
          </w:p>
        </w:tc>
      </w:tr>
      <w:tr w:rsidR="007070CB">
        <w:trPr>
          <w:trHeight w:val="135"/>
        </w:trPr>
        <w:tc>
          <w:tcPr>
            <w:tcW w:w="2835" w:type="dxa"/>
            <w:tcBorders>
              <w:top w:val="single" w:sz="4" w:space="0" w:color="auto"/>
              <w:left w:val="single" w:sz="4" w:space="0" w:color="auto"/>
              <w:bottom w:val="single" w:sz="4" w:space="0" w:color="auto"/>
              <w:right w:val="single" w:sz="4" w:space="0" w:color="auto"/>
            </w:tcBorders>
          </w:tcPr>
          <w:p w:rsidR="007070CB" w:rsidRDefault="006E2E62">
            <w:pPr>
              <w:widowControl/>
              <w:rPr>
                <w:rFonts w:ascii="Arial Narrow" w:hAnsi="Arial Narrow"/>
                <w:b/>
                <w:sz w:val="20"/>
                <w:szCs w:val="20"/>
              </w:rPr>
            </w:pPr>
            <w:r>
              <w:rPr>
                <w:rFonts w:ascii="Arial Narrow" w:hAnsi="Arial Narrow"/>
                <w:b/>
                <w:sz w:val="20"/>
                <w:szCs w:val="20"/>
              </w:rPr>
              <w:t>Treatment phase:</w:t>
            </w:r>
          </w:p>
        </w:tc>
        <w:tc>
          <w:tcPr>
            <w:tcW w:w="6379" w:type="dxa"/>
            <w:gridSpan w:val="6"/>
            <w:tcBorders>
              <w:top w:val="single" w:sz="4" w:space="0" w:color="auto"/>
              <w:left w:val="single" w:sz="4" w:space="0" w:color="auto"/>
              <w:bottom w:val="single" w:sz="4" w:space="0" w:color="auto"/>
              <w:right w:val="single" w:sz="4" w:space="0" w:color="auto"/>
            </w:tcBorders>
          </w:tcPr>
          <w:p w:rsidR="007070CB" w:rsidRDefault="006E2E62">
            <w:pPr>
              <w:widowControl/>
              <w:rPr>
                <w:rFonts w:ascii="Arial Narrow" w:hAnsi="Arial Narrow"/>
                <w:sz w:val="20"/>
                <w:szCs w:val="20"/>
              </w:rPr>
            </w:pPr>
            <w:r>
              <w:rPr>
                <w:rFonts w:ascii="Arial Narrow" w:hAnsi="Arial Narrow"/>
                <w:sz w:val="20"/>
                <w:szCs w:val="20"/>
              </w:rPr>
              <w:t>Initial treatment – new patients</w:t>
            </w:r>
          </w:p>
        </w:tc>
      </w:tr>
      <w:tr w:rsidR="007070CB">
        <w:trPr>
          <w:trHeight w:val="360"/>
        </w:trPr>
        <w:tc>
          <w:tcPr>
            <w:tcW w:w="2835" w:type="dxa"/>
            <w:tcBorders>
              <w:top w:val="single" w:sz="4" w:space="0" w:color="auto"/>
              <w:left w:val="single" w:sz="4" w:space="0" w:color="auto"/>
              <w:bottom w:val="single" w:sz="4" w:space="0" w:color="auto"/>
              <w:right w:val="single" w:sz="4" w:space="0" w:color="auto"/>
            </w:tcBorders>
          </w:tcPr>
          <w:p w:rsidR="007070CB" w:rsidRDefault="006E2E62">
            <w:pPr>
              <w:widowControl/>
              <w:rPr>
                <w:rFonts w:ascii="Arial Narrow" w:hAnsi="Arial Narrow"/>
                <w:b/>
                <w:sz w:val="20"/>
                <w:szCs w:val="20"/>
              </w:rPr>
            </w:pPr>
            <w:r>
              <w:rPr>
                <w:rFonts w:ascii="Arial Narrow" w:hAnsi="Arial Narrow"/>
                <w:b/>
                <w:sz w:val="20"/>
                <w:szCs w:val="20"/>
              </w:rPr>
              <w:t>Restriction Level / Method:</w:t>
            </w:r>
          </w:p>
          <w:p w:rsidR="007070CB" w:rsidRDefault="007070CB">
            <w:pPr>
              <w:widowControl/>
              <w:rPr>
                <w:rFonts w:ascii="Arial Narrow" w:hAnsi="Arial Narrow"/>
                <w:sz w:val="20"/>
                <w:szCs w:val="20"/>
              </w:rPr>
            </w:pPr>
          </w:p>
          <w:p w:rsidR="007070CB" w:rsidRDefault="007070CB">
            <w:pPr>
              <w:widowControl/>
              <w:rPr>
                <w:rFonts w:ascii="Arial Narrow" w:hAnsi="Arial Narrow"/>
                <w:sz w:val="20"/>
                <w:szCs w:val="20"/>
              </w:rPr>
            </w:pPr>
          </w:p>
          <w:p w:rsidR="007070CB" w:rsidRDefault="007070CB">
            <w:pPr>
              <w:widowControl/>
              <w:rPr>
                <w:rFonts w:ascii="Arial Narrow" w:hAnsi="Arial Narrow"/>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7070CB" w:rsidRDefault="006E2E62">
            <w:pPr>
              <w:widowControl/>
              <w:rPr>
                <w:rFonts w:ascii="Arial Narrow" w:hAnsi="Arial Narrow"/>
                <w:sz w:val="20"/>
                <w:szCs w:val="20"/>
              </w:rPr>
            </w:pPr>
            <w:r>
              <w:rPr>
                <w:rFonts w:ascii="Arial Narrow" w:hAnsi="Arial Narrow"/>
                <w:sz w:val="20"/>
                <w:szCs w:val="20"/>
              </w:rPr>
              <w:fldChar w:fldCharType="begin">
                <w:ffData>
                  <w:name w:val="Check1"/>
                  <w:enabled/>
                  <w:calcOnExit w:val="0"/>
                  <w:checkBox>
                    <w:sizeAuto/>
                    <w:default w:val="0"/>
                  </w:checkBox>
                </w:ffData>
              </w:fldChar>
            </w:r>
            <w:r>
              <w:rPr>
                <w:rFonts w:ascii="Arial Narrow" w:hAnsi="Arial Narrow"/>
                <w:sz w:val="20"/>
                <w:szCs w:val="20"/>
              </w:rPr>
              <w:instrText xml:space="preserve"> FORMCHECKBOX </w:instrText>
            </w:r>
            <w:r w:rsidR="00E90A30">
              <w:rPr>
                <w:rFonts w:ascii="Arial Narrow" w:hAnsi="Arial Narrow"/>
                <w:sz w:val="20"/>
                <w:szCs w:val="20"/>
              </w:rPr>
            </w:r>
            <w:r w:rsidR="00E90A30">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Restricted benefit</w:t>
            </w:r>
          </w:p>
          <w:p w:rsidR="007070CB" w:rsidRDefault="006E2E62">
            <w:pPr>
              <w:widowControl/>
              <w:rPr>
                <w:rFonts w:ascii="Arial Narrow" w:hAnsi="Arial Narrow"/>
                <w:sz w:val="20"/>
                <w:szCs w:val="20"/>
              </w:rPr>
            </w:pPr>
            <w:r>
              <w:rPr>
                <w:rFonts w:ascii="Arial Narrow" w:hAnsi="Arial Narrow"/>
                <w:sz w:val="20"/>
                <w:szCs w:val="20"/>
              </w:rPr>
              <w:fldChar w:fldCharType="begin">
                <w:ffData>
                  <w:name w:val=""/>
                  <w:enabled/>
                  <w:calcOnExit w:val="0"/>
                  <w:checkBox>
                    <w:sizeAuto/>
                    <w:default w:val="1"/>
                  </w:checkBox>
                </w:ffData>
              </w:fldChar>
            </w:r>
            <w:r>
              <w:rPr>
                <w:rFonts w:ascii="Arial Narrow" w:hAnsi="Arial Narrow"/>
                <w:sz w:val="20"/>
                <w:szCs w:val="20"/>
              </w:rPr>
              <w:instrText xml:space="preserve"> FORMCHECKBOX </w:instrText>
            </w:r>
            <w:r w:rsidR="00E90A30">
              <w:rPr>
                <w:rFonts w:ascii="Arial Narrow" w:hAnsi="Arial Narrow"/>
                <w:sz w:val="20"/>
                <w:szCs w:val="20"/>
              </w:rPr>
            </w:r>
            <w:r w:rsidR="00E90A30">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Authority Required – In Writing</w:t>
            </w:r>
          </w:p>
          <w:p w:rsidR="007070CB" w:rsidRDefault="006E2E62">
            <w:pPr>
              <w:widowControl/>
              <w:rPr>
                <w:rFonts w:ascii="Arial Narrow" w:hAnsi="Arial Narrow"/>
                <w:sz w:val="20"/>
                <w:szCs w:val="20"/>
              </w:rPr>
            </w:pPr>
            <w:r>
              <w:rPr>
                <w:rFonts w:ascii="Arial Narrow" w:hAnsi="Arial Narrow"/>
                <w:sz w:val="20"/>
                <w:szCs w:val="20"/>
              </w:rPr>
              <w:fldChar w:fldCharType="begin">
                <w:ffData>
                  <w:name w:val="Check3"/>
                  <w:enabled/>
                  <w:calcOnExit w:val="0"/>
                  <w:checkBox>
                    <w:sizeAuto/>
                    <w:default w:val="0"/>
                  </w:checkBox>
                </w:ffData>
              </w:fldChar>
            </w:r>
            <w:r>
              <w:rPr>
                <w:rFonts w:ascii="Arial Narrow" w:hAnsi="Arial Narrow"/>
                <w:sz w:val="20"/>
                <w:szCs w:val="20"/>
              </w:rPr>
              <w:instrText xml:space="preserve"> FORMCHECKBOX </w:instrText>
            </w:r>
            <w:r w:rsidR="00E90A30">
              <w:rPr>
                <w:rFonts w:ascii="Arial Narrow" w:hAnsi="Arial Narrow"/>
                <w:sz w:val="20"/>
                <w:szCs w:val="20"/>
              </w:rPr>
            </w:r>
            <w:r w:rsidR="00E90A30">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Authority Required – Telephone/Electronic/Emergency</w:t>
            </w:r>
          </w:p>
          <w:p w:rsidR="007070CB" w:rsidRDefault="006E2E62">
            <w:pPr>
              <w:widowControl/>
              <w:rPr>
                <w:rFonts w:ascii="Arial Narrow" w:hAnsi="Arial Narrow"/>
                <w:sz w:val="20"/>
                <w:szCs w:val="20"/>
              </w:rPr>
            </w:pPr>
            <w:r>
              <w:rPr>
                <w:rFonts w:ascii="Arial Narrow" w:hAnsi="Arial Narrow"/>
                <w:sz w:val="20"/>
                <w:szCs w:val="20"/>
              </w:rPr>
              <w:fldChar w:fldCharType="begin">
                <w:ffData>
                  <w:name w:val="Check5"/>
                  <w:enabled/>
                  <w:calcOnExit w:val="0"/>
                  <w:checkBox>
                    <w:sizeAuto/>
                    <w:default w:val="0"/>
                  </w:checkBox>
                </w:ffData>
              </w:fldChar>
            </w:r>
            <w:r>
              <w:rPr>
                <w:rFonts w:ascii="Arial Narrow" w:hAnsi="Arial Narrow"/>
                <w:sz w:val="20"/>
                <w:szCs w:val="20"/>
              </w:rPr>
              <w:instrText xml:space="preserve"> FORMCHECKBOX </w:instrText>
            </w:r>
            <w:r w:rsidR="00E90A30">
              <w:rPr>
                <w:rFonts w:ascii="Arial Narrow" w:hAnsi="Arial Narrow"/>
                <w:sz w:val="20"/>
                <w:szCs w:val="20"/>
              </w:rPr>
            </w:r>
            <w:r w:rsidR="00E90A30">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Streamlined</w:t>
            </w:r>
          </w:p>
        </w:tc>
      </w:tr>
      <w:tr w:rsidR="007070CB">
        <w:trPr>
          <w:trHeight w:val="360"/>
        </w:trPr>
        <w:tc>
          <w:tcPr>
            <w:tcW w:w="2835" w:type="dxa"/>
            <w:tcBorders>
              <w:top w:val="single" w:sz="4" w:space="0" w:color="auto"/>
              <w:left w:val="single" w:sz="4" w:space="0" w:color="auto"/>
              <w:bottom w:val="single" w:sz="4" w:space="0" w:color="auto"/>
              <w:right w:val="single" w:sz="4" w:space="0" w:color="auto"/>
            </w:tcBorders>
          </w:tcPr>
          <w:p w:rsidR="007070CB" w:rsidRDefault="006E2E62">
            <w:pPr>
              <w:widowControl/>
              <w:rPr>
                <w:rFonts w:ascii="Arial Narrow" w:hAnsi="Arial Narrow"/>
                <w:b/>
                <w:sz w:val="20"/>
                <w:szCs w:val="20"/>
              </w:rPr>
            </w:pPr>
            <w:r>
              <w:rPr>
                <w:rFonts w:ascii="Arial Narrow" w:hAnsi="Arial Narrow"/>
                <w:b/>
                <w:sz w:val="20"/>
                <w:szCs w:val="20"/>
              </w:rPr>
              <w:t>Treatment criteria:</w:t>
            </w:r>
          </w:p>
        </w:tc>
        <w:tc>
          <w:tcPr>
            <w:tcW w:w="6379" w:type="dxa"/>
            <w:gridSpan w:val="6"/>
            <w:tcBorders>
              <w:top w:val="single" w:sz="4" w:space="0" w:color="auto"/>
              <w:left w:val="single" w:sz="4" w:space="0" w:color="auto"/>
              <w:bottom w:val="single" w:sz="4" w:space="0" w:color="auto"/>
              <w:right w:val="single" w:sz="4" w:space="0" w:color="auto"/>
            </w:tcBorders>
          </w:tcPr>
          <w:p w:rsidR="007070CB" w:rsidRDefault="006E2E62">
            <w:pPr>
              <w:widowControl/>
              <w:rPr>
                <w:rFonts w:ascii="Arial Narrow" w:hAnsi="Arial Narrow"/>
                <w:sz w:val="20"/>
                <w:szCs w:val="20"/>
              </w:rPr>
            </w:pPr>
            <w:r>
              <w:rPr>
                <w:rFonts w:ascii="Arial Narrow" w:hAnsi="Arial Narrow"/>
                <w:sz w:val="20"/>
                <w:szCs w:val="20"/>
              </w:rPr>
              <w:t>Must be treated by a specialist respiratory physician with expertise in cystic fibrosis or in consultation with a specialist respiratory physician with expertise in cystic fibrosis if attendance is not possible due to geographic isolation,</w:t>
            </w:r>
          </w:p>
          <w:p w:rsidR="007070CB" w:rsidRDefault="006E2E62">
            <w:pPr>
              <w:widowControl/>
              <w:rPr>
                <w:rFonts w:ascii="Arial Narrow" w:hAnsi="Arial Narrow"/>
                <w:sz w:val="20"/>
                <w:szCs w:val="20"/>
              </w:rPr>
            </w:pPr>
            <w:r>
              <w:rPr>
                <w:rFonts w:ascii="Arial Narrow" w:hAnsi="Arial Narrow"/>
                <w:sz w:val="20"/>
                <w:szCs w:val="20"/>
              </w:rPr>
              <w:t>AND</w:t>
            </w:r>
          </w:p>
          <w:p w:rsidR="007070CB" w:rsidRDefault="006E2E62">
            <w:pPr>
              <w:widowControl/>
              <w:rPr>
                <w:rFonts w:ascii="Arial Narrow" w:hAnsi="Arial Narrow"/>
                <w:sz w:val="20"/>
                <w:szCs w:val="20"/>
              </w:rPr>
            </w:pPr>
            <w:r>
              <w:rPr>
                <w:rFonts w:ascii="Arial Narrow" w:hAnsi="Arial Narrow"/>
                <w:sz w:val="20"/>
                <w:szCs w:val="20"/>
              </w:rPr>
              <w:t>Must be treated in a centre with expertise in cystic fibrosis or in consultation with a centre with expertise in cystic fibrosis if attendance is not possible due to geographic isolation.</w:t>
            </w:r>
          </w:p>
        </w:tc>
      </w:tr>
      <w:tr w:rsidR="007070CB">
        <w:trPr>
          <w:trHeight w:val="657"/>
        </w:trPr>
        <w:tc>
          <w:tcPr>
            <w:tcW w:w="2835" w:type="dxa"/>
            <w:tcBorders>
              <w:top w:val="single" w:sz="4" w:space="0" w:color="auto"/>
              <w:left w:val="single" w:sz="4" w:space="0" w:color="auto"/>
              <w:bottom w:val="single" w:sz="4" w:space="0" w:color="auto"/>
              <w:right w:val="single" w:sz="4" w:space="0" w:color="auto"/>
            </w:tcBorders>
          </w:tcPr>
          <w:p w:rsidR="007070CB" w:rsidRDefault="006E2E62">
            <w:pPr>
              <w:widowControl/>
              <w:rPr>
                <w:rFonts w:ascii="Arial Narrow" w:hAnsi="Arial Narrow"/>
                <w:b/>
                <w:sz w:val="20"/>
                <w:szCs w:val="20"/>
              </w:rPr>
            </w:pPr>
            <w:r>
              <w:rPr>
                <w:rFonts w:ascii="Arial Narrow" w:hAnsi="Arial Narrow"/>
                <w:b/>
                <w:sz w:val="20"/>
                <w:szCs w:val="20"/>
              </w:rPr>
              <w:t>Clinical criteria:</w:t>
            </w:r>
          </w:p>
        </w:tc>
        <w:tc>
          <w:tcPr>
            <w:tcW w:w="6379" w:type="dxa"/>
            <w:gridSpan w:val="6"/>
            <w:tcBorders>
              <w:top w:val="single" w:sz="4" w:space="0" w:color="auto"/>
              <w:left w:val="single" w:sz="4" w:space="0" w:color="auto"/>
              <w:bottom w:val="single" w:sz="4" w:space="0" w:color="auto"/>
              <w:right w:val="single" w:sz="4" w:space="0" w:color="auto"/>
            </w:tcBorders>
          </w:tcPr>
          <w:p w:rsidR="007070CB" w:rsidRDefault="006E2E62">
            <w:pPr>
              <w:widowControl/>
              <w:rPr>
                <w:rFonts w:ascii="Arial Narrow" w:hAnsi="Arial Narrow"/>
                <w:sz w:val="20"/>
                <w:szCs w:val="20"/>
              </w:rPr>
            </w:pPr>
            <w:r>
              <w:rPr>
                <w:rFonts w:ascii="Arial Narrow" w:hAnsi="Arial Narrow"/>
                <w:sz w:val="20"/>
                <w:szCs w:val="20"/>
              </w:rPr>
              <w:t>Patient must be homozygous for the F508del mutation in the cystic fibrosis transmembrane conductance regulator (CFTR) gene</w:t>
            </w:r>
          </w:p>
          <w:p w:rsidR="007070CB" w:rsidRDefault="006E2E62">
            <w:pPr>
              <w:widowControl/>
              <w:rPr>
                <w:rFonts w:ascii="Arial Narrow" w:hAnsi="Arial Narrow"/>
                <w:sz w:val="20"/>
                <w:szCs w:val="20"/>
              </w:rPr>
            </w:pPr>
            <w:r>
              <w:rPr>
                <w:rFonts w:ascii="Arial Narrow" w:hAnsi="Arial Narrow"/>
                <w:sz w:val="20"/>
                <w:szCs w:val="20"/>
              </w:rPr>
              <w:t>AND</w:t>
            </w:r>
          </w:p>
          <w:p w:rsidR="007070CB" w:rsidRDefault="006E2E62">
            <w:pPr>
              <w:widowControl/>
              <w:rPr>
                <w:rFonts w:ascii="Arial Narrow" w:hAnsi="Arial Narrow"/>
                <w:sz w:val="20"/>
                <w:szCs w:val="20"/>
              </w:rPr>
            </w:pPr>
            <w:r>
              <w:rPr>
                <w:rFonts w:ascii="Arial Narrow" w:hAnsi="Arial Narrow"/>
                <w:sz w:val="20"/>
                <w:szCs w:val="20"/>
              </w:rPr>
              <w:t>The treatment must be given concomitantly with standard therapy for this condition.</w:t>
            </w:r>
          </w:p>
        </w:tc>
      </w:tr>
      <w:tr w:rsidR="007070CB">
        <w:trPr>
          <w:trHeight w:val="245"/>
        </w:trPr>
        <w:tc>
          <w:tcPr>
            <w:tcW w:w="2835" w:type="dxa"/>
            <w:tcBorders>
              <w:top w:val="single" w:sz="4" w:space="0" w:color="auto"/>
              <w:left w:val="single" w:sz="4" w:space="0" w:color="auto"/>
              <w:bottom w:val="single" w:sz="4" w:space="0" w:color="auto"/>
              <w:right w:val="single" w:sz="4" w:space="0" w:color="auto"/>
            </w:tcBorders>
          </w:tcPr>
          <w:p w:rsidR="007070CB" w:rsidRDefault="006E2E62">
            <w:pPr>
              <w:widowControl/>
              <w:rPr>
                <w:rFonts w:ascii="Arial Narrow" w:hAnsi="Arial Narrow"/>
                <w:b/>
                <w:sz w:val="20"/>
                <w:szCs w:val="20"/>
              </w:rPr>
            </w:pPr>
            <w:r>
              <w:rPr>
                <w:rFonts w:ascii="Arial Narrow" w:hAnsi="Arial Narrow"/>
                <w:b/>
                <w:sz w:val="20"/>
                <w:szCs w:val="20"/>
              </w:rPr>
              <w:t>Population criteria:</w:t>
            </w:r>
          </w:p>
        </w:tc>
        <w:tc>
          <w:tcPr>
            <w:tcW w:w="6379" w:type="dxa"/>
            <w:gridSpan w:val="6"/>
            <w:tcBorders>
              <w:top w:val="single" w:sz="4" w:space="0" w:color="auto"/>
              <w:left w:val="single" w:sz="4" w:space="0" w:color="auto"/>
              <w:bottom w:val="single" w:sz="4" w:space="0" w:color="auto"/>
              <w:right w:val="single" w:sz="4" w:space="0" w:color="auto"/>
            </w:tcBorders>
          </w:tcPr>
          <w:p w:rsidR="007070CB" w:rsidRDefault="006E2E62">
            <w:pPr>
              <w:widowControl/>
              <w:rPr>
                <w:rFonts w:ascii="Arial Narrow" w:hAnsi="Arial Narrow"/>
                <w:sz w:val="20"/>
                <w:szCs w:val="20"/>
              </w:rPr>
            </w:pPr>
            <w:r>
              <w:rPr>
                <w:rFonts w:ascii="Arial Narrow" w:hAnsi="Arial Narrow"/>
                <w:sz w:val="20"/>
                <w:szCs w:val="20"/>
              </w:rPr>
              <w:t>Patient must be aged 2 years or older.</w:t>
            </w:r>
          </w:p>
        </w:tc>
      </w:tr>
      <w:tr w:rsidR="007070CB">
        <w:trPr>
          <w:trHeight w:val="360"/>
        </w:trPr>
        <w:tc>
          <w:tcPr>
            <w:tcW w:w="2835" w:type="dxa"/>
            <w:tcBorders>
              <w:top w:val="single" w:sz="4" w:space="0" w:color="auto"/>
              <w:left w:val="single" w:sz="4" w:space="0" w:color="auto"/>
              <w:bottom w:val="single" w:sz="4" w:space="0" w:color="auto"/>
              <w:right w:val="single" w:sz="4" w:space="0" w:color="auto"/>
            </w:tcBorders>
          </w:tcPr>
          <w:p w:rsidR="007070CB" w:rsidRDefault="006E2E62">
            <w:pPr>
              <w:widowControl/>
              <w:rPr>
                <w:rFonts w:ascii="Arial Narrow" w:hAnsi="Arial Narrow"/>
                <w:b/>
                <w:sz w:val="20"/>
                <w:szCs w:val="20"/>
              </w:rPr>
            </w:pPr>
            <w:r>
              <w:rPr>
                <w:rFonts w:ascii="Arial Narrow" w:hAnsi="Arial Narrow"/>
                <w:b/>
                <w:sz w:val="20"/>
                <w:szCs w:val="20"/>
              </w:rPr>
              <w:t>Prescriber Instructions:</w:t>
            </w:r>
          </w:p>
          <w:p w:rsidR="007070CB" w:rsidRDefault="007070CB">
            <w:pPr>
              <w:widowControl/>
              <w:rPr>
                <w:rFonts w:ascii="Arial Narrow" w:hAnsi="Arial Narrow"/>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7070CB" w:rsidRDefault="006E2E62">
            <w:pPr>
              <w:widowControl/>
              <w:spacing w:after="60"/>
              <w:rPr>
                <w:rFonts w:ascii="Arial Narrow" w:hAnsi="Arial Narrow"/>
                <w:sz w:val="20"/>
                <w:szCs w:val="20"/>
              </w:rPr>
            </w:pPr>
            <w:r>
              <w:rPr>
                <w:rFonts w:ascii="Arial Narrow" w:hAnsi="Arial Narrow"/>
                <w:sz w:val="20"/>
                <w:szCs w:val="20"/>
              </w:rPr>
              <w:t>Treatment must not be given to a patient who has an acute upper or lower respiratory infection, pulmonary exacerbation, or changes in therapy (including antibiotics) for pulmonary disease in the last 4 weeks prior to commencing this drug.</w:t>
            </w:r>
          </w:p>
          <w:p w:rsidR="007070CB" w:rsidRDefault="006E2E62">
            <w:pPr>
              <w:widowControl/>
              <w:spacing w:after="60"/>
              <w:rPr>
                <w:rFonts w:ascii="Arial Narrow" w:hAnsi="Arial Narrow"/>
                <w:sz w:val="20"/>
                <w:szCs w:val="20"/>
              </w:rPr>
            </w:pPr>
            <w:r>
              <w:rPr>
                <w:rFonts w:ascii="Arial Narrow" w:hAnsi="Arial Narrow"/>
                <w:sz w:val="20"/>
                <w:szCs w:val="20"/>
              </w:rPr>
              <w:t>The authority application must be in writing and must include:</w:t>
            </w:r>
          </w:p>
          <w:p w:rsidR="007070CB" w:rsidRDefault="006E2E62">
            <w:pPr>
              <w:widowControl/>
              <w:spacing w:after="60"/>
              <w:rPr>
                <w:rFonts w:ascii="Arial Narrow" w:hAnsi="Arial Narrow"/>
                <w:sz w:val="20"/>
                <w:szCs w:val="20"/>
              </w:rPr>
            </w:pPr>
            <w:r>
              <w:rPr>
                <w:rFonts w:ascii="Arial Narrow" w:hAnsi="Arial Narrow"/>
                <w:sz w:val="20"/>
                <w:szCs w:val="20"/>
              </w:rPr>
              <w:t>(1) a completed authority prescription form; and</w:t>
            </w:r>
          </w:p>
          <w:p w:rsidR="007070CB" w:rsidRDefault="006E2E62">
            <w:pPr>
              <w:widowControl/>
              <w:spacing w:after="60"/>
              <w:rPr>
                <w:rFonts w:ascii="Arial Narrow" w:hAnsi="Arial Narrow"/>
                <w:sz w:val="20"/>
                <w:szCs w:val="20"/>
              </w:rPr>
            </w:pPr>
            <w:r>
              <w:rPr>
                <w:rFonts w:ascii="Arial Narrow" w:hAnsi="Arial Narrow"/>
                <w:sz w:val="20"/>
                <w:szCs w:val="20"/>
              </w:rPr>
              <w:t>(2) a completed Cystic Fibrosis Lumacaftor with Ivacaftor Authority Application Supporting Information Form; and</w:t>
            </w:r>
          </w:p>
          <w:p w:rsidR="007070CB" w:rsidRDefault="006E2E62">
            <w:pPr>
              <w:widowControl/>
              <w:spacing w:after="60"/>
              <w:rPr>
                <w:rFonts w:ascii="Arial Narrow" w:hAnsi="Arial Narrow"/>
                <w:sz w:val="20"/>
                <w:szCs w:val="20"/>
              </w:rPr>
            </w:pPr>
            <w:r>
              <w:rPr>
                <w:rFonts w:ascii="Arial Narrow" w:hAnsi="Arial Narrow"/>
                <w:sz w:val="20"/>
                <w:szCs w:val="20"/>
              </w:rPr>
              <w:t>(3) a copy of the pathology report detailing the molecular testing for the patient being homozygous for the F508del mutation on the CFTR gene.</w:t>
            </w:r>
          </w:p>
          <w:p w:rsidR="007070CB" w:rsidRDefault="006E2E62">
            <w:pPr>
              <w:widowControl/>
              <w:spacing w:after="60"/>
              <w:rPr>
                <w:rFonts w:ascii="Arial Narrow" w:hAnsi="Arial Narrow"/>
                <w:sz w:val="20"/>
                <w:szCs w:val="20"/>
              </w:rPr>
            </w:pPr>
            <w:r>
              <w:rPr>
                <w:rFonts w:ascii="Arial Narrow" w:hAnsi="Arial Narrow"/>
                <w:sz w:val="20"/>
                <w:szCs w:val="20"/>
              </w:rPr>
              <w:t>The patient must be registered in the Australian Cystic Fibrosis Database Registry.</w:t>
            </w:r>
          </w:p>
        </w:tc>
      </w:tr>
      <w:tr w:rsidR="007070CB">
        <w:trPr>
          <w:trHeight w:val="360"/>
        </w:trPr>
        <w:tc>
          <w:tcPr>
            <w:tcW w:w="2835" w:type="dxa"/>
            <w:tcBorders>
              <w:top w:val="single" w:sz="4" w:space="0" w:color="auto"/>
              <w:left w:val="single" w:sz="4" w:space="0" w:color="auto"/>
              <w:bottom w:val="single" w:sz="4" w:space="0" w:color="auto"/>
              <w:right w:val="single" w:sz="4" w:space="0" w:color="auto"/>
            </w:tcBorders>
          </w:tcPr>
          <w:p w:rsidR="007070CB" w:rsidRDefault="006E2E62">
            <w:pPr>
              <w:widowControl/>
              <w:rPr>
                <w:rFonts w:ascii="Arial Narrow" w:hAnsi="Arial Narrow"/>
                <w:b/>
                <w:sz w:val="20"/>
                <w:szCs w:val="20"/>
              </w:rPr>
            </w:pPr>
            <w:r>
              <w:rPr>
                <w:rFonts w:ascii="Arial Narrow" w:hAnsi="Arial Narrow"/>
                <w:b/>
                <w:sz w:val="20"/>
                <w:szCs w:val="20"/>
              </w:rPr>
              <w:t>Administrative Advice:</w:t>
            </w:r>
          </w:p>
          <w:p w:rsidR="007070CB" w:rsidRDefault="007070CB">
            <w:pPr>
              <w:widowControl/>
              <w:rPr>
                <w:rFonts w:ascii="Arial Narrow" w:hAnsi="Arial Narrow"/>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7070CB" w:rsidRDefault="006E2E62">
            <w:pPr>
              <w:widowControl/>
              <w:spacing w:after="60"/>
              <w:rPr>
                <w:rFonts w:ascii="Arial Narrow" w:hAnsi="Arial Narrow"/>
                <w:sz w:val="20"/>
                <w:szCs w:val="20"/>
              </w:rPr>
            </w:pPr>
            <w:r>
              <w:rPr>
                <w:rFonts w:ascii="Arial Narrow" w:hAnsi="Arial Narrow"/>
                <w:sz w:val="20"/>
                <w:szCs w:val="20"/>
              </w:rPr>
              <w:t>Any queries concerning the arrangements to prescribe may be directed to the Department of Human Services on 1800 700 270 (hours of operation 8 a.m. to 5 p.m. EST Monday to Friday).</w:t>
            </w:r>
          </w:p>
          <w:p w:rsidR="007070CB" w:rsidRDefault="006E2E62">
            <w:pPr>
              <w:widowControl/>
              <w:spacing w:after="60"/>
              <w:rPr>
                <w:rFonts w:ascii="Arial Narrow" w:hAnsi="Arial Narrow"/>
                <w:sz w:val="20"/>
                <w:szCs w:val="20"/>
              </w:rPr>
            </w:pPr>
            <w:r>
              <w:rPr>
                <w:rFonts w:ascii="Arial Narrow" w:hAnsi="Arial Narrow"/>
                <w:sz w:val="20"/>
                <w:szCs w:val="20"/>
              </w:rPr>
              <w:t>Prescribing information (including Authority Application forms and other relevant documentation as applicable) is available on the Department of Human Services website at www.humanservices.gov.au</w:t>
            </w:r>
          </w:p>
          <w:p w:rsidR="007070CB" w:rsidRDefault="006E2E62">
            <w:pPr>
              <w:widowControl/>
              <w:spacing w:after="60"/>
              <w:rPr>
                <w:rFonts w:ascii="Arial Narrow" w:hAnsi="Arial Narrow"/>
                <w:sz w:val="20"/>
                <w:szCs w:val="20"/>
              </w:rPr>
            </w:pPr>
            <w:r>
              <w:rPr>
                <w:rFonts w:ascii="Arial Narrow" w:hAnsi="Arial Narrow"/>
                <w:sz w:val="20"/>
                <w:szCs w:val="20"/>
              </w:rPr>
              <w:t>Applications for authority to prescribe should be forwarded to:</w:t>
            </w:r>
          </w:p>
          <w:p w:rsidR="007070CB" w:rsidRDefault="006E2E62">
            <w:pPr>
              <w:widowControl/>
              <w:rPr>
                <w:rFonts w:ascii="Arial Narrow" w:hAnsi="Arial Narrow"/>
                <w:sz w:val="20"/>
                <w:szCs w:val="20"/>
              </w:rPr>
            </w:pPr>
            <w:r>
              <w:rPr>
                <w:rFonts w:ascii="Arial Narrow" w:hAnsi="Arial Narrow"/>
                <w:sz w:val="20"/>
                <w:szCs w:val="20"/>
              </w:rPr>
              <w:t>Department of Human Services</w:t>
            </w:r>
          </w:p>
          <w:p w:rsidR="007070CB" w:rsidRDefault="006E2E62">
            <w:pPr>
              <w:widowControl/>
              <w:rPr>
                <w:rFonts w:ascii="Arial Narrow" w:hAnsi="Arial Narrow"/>
                <w:sz w:val="20"/>
                <w:szCs w:val="20"/>
              </w:rPr>
            </w:pPr>
            <w:r>
              <w:rPr>
                <w:rFonts w:ascii="Arial Narrow" w:hAnsi="Arial Narrow"/>
                <w:sz w:val="20"/>
                <w:szCs w:val="20"/>
              </w:rPr>
              <w:lastRenderedPageBreak/>
              <w:t>Complex Drugs</w:t>
            </w:r>
          </w:p>
          <w:p w:rsidR="007070CB" w:rsidRDefault="006E2E62">
            <w:pPr>
              <w:widowControl/>
              <w:rPr>
                <w:rFonts w:ascii="Arial Narrow" w:hAnsi="Arial Narrow"/>
                <w:sz w:val="20"/>
                <w:szCs w:val="20"/>
              </w:rPr>
            </w:pPr>
            <w:r>
              <w:rPr>
                <w:rFonts w:ascii="Arial Narrow" w:hAnsi="Arial Narrow"/>
                <w:sz w:val="20"/>
                <w:szCs w:val="20"/>
              </w:rPr>
              <w:t>Reply Paid 9826</w:t>
            </w:r>
          </w:p>
          <w:p w:rsidR="007070CB" w:rsidRDefault="006E2E62">
            <w:pPr>
              <w:widowControl/>
              <w:spacing w:after="60"/>
              <w:rPr>
                <w:rFonts w:ascii="Arial Narrow" w:hAnsi="Arial Narrow"/>
                <w:sz w:val="20"/>
                <w:szCs w:val="20"/>
              </w:rPr>
            </w:pPr>
            <w:r>
              <w:rPr>
                <w:rFonts w:ascii="Arial Narrow" w:hAnsi="Arial Narrow"/>
                <w:sz w:val="20"/>
                <w:szCs w:val="20"/>
              </w:rPr>
              <w:t>HOBART TAS 7001</w:t>
            </w:r>
          </w:p>
          <w:p w:rsidR="007070CB" w:rsidRDefault="006E2E62">
            <w:pPr>
              <w:widowControl/>
              <w:spacing w:after="60"/>
              <w:rPr>
                <w:rFonts w:ascii="Arial Narrow" w:hAnsi="Arial Narrow"/>
                <w:sz w:val="20"/>
                <w:szCs w:val="20"/>
              </w:rPr>
            </w:pPr>
            <w:r>
              <w:rPr>
                <w:rFonts w:ascii="Arial Narrow" w:hAnsi="Arial Narrow"/>
                <w:sz w:val="20"/>
                <w:szCs w:val="20"/>
              </w:rPr>
              <w:t>No increase in the maximum quantity or number of units may be authorised.</w:t>
            </w:r>
          </w:p>
          <w:p w:rsidR="007070CB" w:rsidRDefault="006E2E62">
            <w:pPr>
              <w:widowControl/>
              <w:spacing w:after="60"/>
              <w:rPr>
                <w:rFonts w:ascii="Arial Narrow" w:hAnsi="Arial Narrow"/>
                <w:sz w:val="20"/>
                <w:szCs w:val="20"/>
              </w:rPr>
            </w:pPr>
            <w:r>
              <w:rPr>
                <w:rFonts w:ascii="Arial Narrow" w:hAnsi="Arial Narrow"/>
                <w:sz w:val="20"/>
                <w:szCs w:val="20"/>
              </w:rPr>
              <w:t>No increase in the maximum number of repeats may be authorised.</w:t>
            </w:r>
          </w:p>
        </w:tc>
      </w:tr>
    </w:tbl>
    <w:p w:rsidR="007070CB" w:rsidRDefault="007070CB">
      <w:pPr>
        <w:widowControl/>
        <w:rPr>
          <w:rFonts w:asciiTheme="minorHAnsi" w:hAnsiTheme="minorHAnsi" w:cstheme="minorHAnsi"/>
          <w:color w:val="0070C0"/>
          <w:u w:val="single"/>
        </w:rPr>
      </w:pPr>
    </w:p>
    <w:tbl>
      <w:tblPr>
        <w:tblW w:w="9214" w:type="dxa"/>
        <w:tblLayout w:type="fixed"/>
        <w:tblLook w:val="0000" w:firstRow="0" w:lastRow="0" w:firstColumn="0" w:lastColumn="0" w:noHBand="0" w:noVBand="0"/>
      </w:tblPr>
      <w:tblGrid>
        <w:gridCol w:w="2835"/>
        <w:gridCol w:w="6379"/>
      </w:tblGrid>
      <w:tr w:rsidR="007070CB">
        <w:trPr>
          <w:trHeight w:val="151"/>
        </w:trPr>
        <w:tc>
          <w:tcPr>
            <w:tcW w:w="2835" w:type="dxa"/>
            <w:tcBorders>
              <w:top w:val="single" w:sz="4" w:space="0" w:color="auto"/>
              <w:left w:val="single" w:sz="4" w:space="0" w:color="auto"/>
              <w:bottom w:val="single" w:sz="4" w:space="0" w:color="auto"/>
              <w:right w:val="single" w:sz="4" w:space="0" w:color="auto"/>
            </w:tcBorders>
          </w:tcPr>
          <w:p w:rsidR="007070CB" w:rsidRDefault="006E2E62">
            <w:pPr>
              <w:widowControl/>
              <w:rPr>
                <w:rFonts w:ascii="Arial Narrow" w:hAnsi="Arial Narrow"/>
                <w:b/>
                <w:sz w:val="20"/>
                <w:szCs w:val="20"/>
              </w:rPr>
            </w:pPr>
            <w:r>
              <w:rPr>
                <w:rFonts w:ascii="Arial Narrow" w:hAnsi="Arial Narrow"/>
                <w:b/>
                <w:sz w:val="20"/>
                <w:szCs w:val="20"/>
              </w:rPr>
              <w:t>Treatment phase:</w:t>
            </w:r>
          </w:p>
        </w:tc>
        <w:tc>
          <w:tcPr>
            <w:tcW w:w="6379" w:type="dxa"/>
            <w:tcBorders>
              <w:top w:val="single" w:sz="4" w:space="0" w:color="auto"/>
              <w:left w:val="single" w:sz="4" w:space="0" w:color="auto"/>
              <w:bottom w:val="single" w:sz="4" w:space="0" w:color="auto"/>
              <w:right w:val="single" w:sz="4" w:space="0" w:color="auto"/>
            </w:tcBorders>
          </w:tcPr>
          <w:p w:rsidR="007070CB" w:rsidRDefault="006E2E62">
            <w:pPr>
              <w:widowControl/>
              <w:rPr>
                <w:rFonts w:ascii="Arial Narrow" w:hAnsi="Arial Narrow"/>
                <w:sz w:val="20"/>
                <w:szCs w:val="20"/>
              </w:rPr>
            </w:pPr>
            <w:r>
              <w:rPr>
                <w:rFonts w:ascii="Arial Narrow" w:hAnsi="Arial Narrow"/>
                <w:sz w:val="20"/>
                <w:szCs w:val="20"/>
              </w:rPr>
              <w:t>Continuing treatment</w:t>
            </w:r>
          </w:p>
        </w:tc>
      </w:tr>
      <w:tr w:rsidR="007070CB">
        <w:trPr>
          <w:trHeight w:val="360"/>
        </w:trPr>
        <w:tc>
          <w:tcPr>
            <w:tcW w:w="2835" w:type="dxa"/>
            <w:tcBorders>
              <w:top w:val="single" w:sz="4" w:space="0" w:color="auto"/>
              <w:left w:val="single" w:sz="4" w:space="0" w:color="auto"/>
              <w:bottom w:val="single" w:sz="4" w:space="0" w:color="auto"/>
              <w:right w:val="single" w:sz="4" w:space="0" w:color="auto"/>
            </w:tcBorders>
          </w:tcPr>
          <w:p w:rsidR="007070CB" w:rsidRDefault="006E2E62">
            <w:pPr>
              <w:widowControl/>
              <w:rPr>
                <w:rFonts w:ascii="Arial Narrow" w:hAnsi="Arial Narrow"/>
                <w:b/>
                <w:sz w:val="20"/>
                <w:szCs w:val="20"/>
              </w:rPr>
            </w:pPr>
            <w:r>
              <w:rPr>
                <w:rFonts w:ascii="Arial Narrow" w:hAnsi="Arial Narrow"/>
                <w:b/>
                <w:sz w:val="20"/>
                <w:szCs w:val="20"/>
              </w:rPr>
              <w:t>Restriction Level / Method:</w:t>
            </w:r>
          </w:p>
          <w:p w:rsidR="007070CB" w:rsidRDefault="007070CB">
            <w:pPr>
              <w:widowControl/>
              <w:rPr>
                <w:rFonts w:ascii="Arial Narrow" w:hAnsi="Arial Narrow"/>
                <w:sz w:val="20"/>
                <w:szCs w:val="20"/>
              </w:rPr>
            </w:pPr>
          </w:p>
          <w:p w:rsidR="007070CB" w:rsidRDefault="007070CB">
            <w:pPr>
              <w:widowControl/>
              <w:rPr>
                <w:rFonts w:ascii="Arial Narrow" w:hAnsi="Arial Narrow"/>
                <w:sz w:val="20"/>
                <w:szCs w:val="20"/>
              </w:rPr>
            </w:pPr>
          </w:p>
          <w:p w:rsidR="007070CB" w:rsidRDefault="007070CB">
            <w:pPr>
              <w:widowControl/>
              <w:rPr>
                <w:rFonts w:ascii="Arial Narrow" w:hAnsi="Arial Narrow"/>
                <w:sz w:val="20"/>
                <w:szCs w:val="20"/>
              </w:rPr>
            </w:pPr>
          </w:p>
        </w:tc>
        <w:tc>
          <w:tcPr>
            <w:tcW w:w="6379" w:type="dxa"/>
            <w:tcBorders>
              <w:top w:val="single" w:sz="4" w:space="0" w:color="auto"/>
              <w:left w:val="single" w:sz="4" w:space="0" w:color="auto"/>
              <w:bottom w:val="single" w:sz="4" w:space="0" w:color="auto"/>
              <w:right w:val="single" w:sz="4" w:space="0" w:color="auto"/>
            </w:tcBorders>
          </w:tcPr>
          <w:p w:rsidR="007070CB" w:rsidRDefault="006E2E62">
            <w:pPr>
              <w:widowControl/>
              <w:rPr>
                <w:rFonts w:ascii="Arial Narrow" w:hAnsi="Arial Narrow"/>
                <w:sz w:val="20"/>
                <w:szCs w:val="20"/>
              </w:rPr>
            </w:pPr>
            <w:r>
              <w:rPr>
                <w:rFonts w:ascii="Arial Narrow" w:hAnsi="Arial Narrow"/>
                <w:sz w:val="20"/>
                <w:szCs w:val="20"/>
              </w:rPr>
              <w:fldChar w:fldCharType="begin">
                <w:ffData>
                  <w:name w:val="Check1"/>
                  <w:enabled/>
                  <w:calcOnExit w:val="0"/>
                  <w:checkBox>
                    <w:sizeAuto/>
                    <w:default w:val="0"/>
                  </w:checkBox>
                </w:ffData>
              </w:fldChar>
            </w:r>
            <w:r>
              <w:rPr>
                <w:rFonts w:ascii="Arial Narrow" w:hAnsi="Arial Narrow"/>
                <w:sz w:val="20"/>
                <w:szCs w:val="20"/>
              </w:rPr>
              <w:instrText xml:space="preserve"> FORMCHECKBOX </w:instrText>
            </w:r>
            <w:r w:rsidR="00E90A30">
              <w:rPr>
                <w:rFonts w:ascii="Arial Narrow" w:hAnsi="Arial Narrow"/>
                <w:sz w:val="20"/>
                <w:szCs w:val="20"/>
              </w:rPr>
            </w:r>
            <w:r w:rsidR="00E90A30">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Restricted benefit</w:t>
            </w:r>
          </w:p>
          <w:p w:rsidR="007070CB" w:rsidRDefault="006E2E62">
            <w:pPr>
              <w:widowControl/>
              <w:rPr>
                <w:rFonts w:ascii="Arial Narrow" w:hAnsi="Arial Narrow"/>
                <w:sz w:val="20"/>
                <w:szCs w:val="20"/>
              </w:rPr>
            </w:pPr>
            <w:r>
              <w:rPr>
                <w:rFonts w:ascii="Arial Narrow" w:hAnsi="Arial Narrow"/>
                <w:sz w:val="20"/>
                <w:szCs w:val="20"/>
              </w:rPr>
              <w:fldChar w:fldCharType="begin">
                <w:ffData>
                  <w:name w:val=""/>
                  <w:enabled/>
                  <w:calcOnExit w:val="0"/>
                  <w:checkBox>
                    <w:sizeAuto/>
                    <w:default w:val="1"/>
                  </w:checkBox>
                </w:ffData>
              </w:fldChar>
            </w:r>
            <w:r>
              <w:rPr>
                <w:rFonts w:ascii="Arial Narrow" w:hAnsi="Arial Narrow"/>
                <w:sz w:val="20"/>
                <w:szCs w:val="20"/>
              </w:rPr>
              <w:instrText xml:space="preserve"> FORMCHECKBOX </w:instrText>
            </w:r>
            <w:r w:rsidR="00E90A30">
              <w:rPr>
                <w:rFonts w:ascii="Arial Narrow" w:hAnsi="Arial Narrow"/>
                <w:sz w:val="20"/>
                <w:szCs w:val="20"/>
              </w:rPr>
            </w:r>
            <w:r w:rsidR="00E90A30">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Authority Required – In Writing</w:t>
            </w:r>
          </w:p>
          <w:p w:rsidR="007070CB" w:rsidRDefault="006E2E62">
            <w:pPr>
              <w:widowControl/>
              <w:rPr>
                <w:rFonts w:ascii="Arial Narrow" w:hAnsi="Arial Narrow"/>
                <w:sz w:val="20"/>
                <w:szCs w:val="20"/>
              </w:rPr>
            </w:pPr>
            <w:r>
              <w:rPr>
                <w:rFonts w:ascii="Arial Narrow" w:hAnsi="Arial Narrow"/>
                <w:sz w:val="20"/>
                <w:szCs w:val="20"/>
              </w:rPr>
              <w:fldChar w:fldCharType="begin">
                <w:ffData>
                  <w:name w:val="Check3"/>
                  <w:enabled/>
                  <w:calcOnExit w:val="0"/>
                  <w:checkBox>
                    <w:sizeAuto/>
                    <w:default w:val="0"/>
                  </w:checkBox>
                </w:ffData>
              </w:fldChar>
            </w:r>
            <w:r>
              <w:rPr>
                <w:rFonts w:ascii="Arial Narrow" w:hAnsi="Arial Narrow"/>
                <w:sz w:val="20"/>
                <w:szCs w:val="20"/>
              </w:rPr>
              <w:instrText xml:space="preserve"> FORMCHECKBOX </w:instrText>
            </w:r>
            <w:r w:rsidR="00E90A30">
              <w:rPr>
                <w:rFonts w:ascii="Arial Narrow" w:hAnsi="Arial Narrow"/>
                <w:sz w:val="20"/>
                <w:szCs w:val="20"/>
              </w:rPr>
            </w:r>
            <w:r w:rsidR="00E90A30">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Authority Required – Telephone/Electronic/Emergency</w:t>
            </w:r>
          </w:p>
          <w:p w:rsidR="007070CB" w:rsidRDefault="006E2E62">
            <w:pPr>
              <w:widowControl/>
              <w:rPr>
                <w:rFonts w:ascii="Arial Narrow" w:hAnsi="Arial Narrow"/>
                <w:sz w:val="20"/>
                <w:szCs w:val="20"/>
              </w:rPr>
            </w:pPr>
            <w:r>
              <w:rPr>
                <w:rFonts w:ascii="Arial Narrow" w:hAnsi="Arial Narrow"/>
                <w:sz w:val="20"/>
                <w:szCs w:val="20"/>
              </w:rPr>
              <w:fldChar w:fldCharType="begin">
                <w:ffData>
                  <w:name w:val="Check5"/>
                  <w:enabled/>
                  <w:calcOnExit w:val="0"/>
                  <w:checkBox>
                    <w:sizeAuto/>
                    <w:default w:val="0"/>
                  </w:checkBox>
                </w:ffData>
              </w:fldChar>
            </w:r>
            <w:r>
              <w:rPr>
                <w:rFonts w:ascii="Arial Narrow" w:hAnsi="Arial Narrow"/>
                <w:sz w:val="20"/>
                <w:szCs w:val="20"/>
              </w:rPr>
              <w:instrText xml:space="preserve"> FORMCHECKBOX </w:instrText>
            </w:r>
            <w:r w:rsidR="00E90A30">
              <w:rPr>
                <w:rFonts w:ascii="Arial Narrow" w:hAnsi="Arial Narrow"/>
                <w:sz w:val="20"/>
                <w:szCs w:val="20"/>
              </w:rPr>
            </w:r>
            <w:r w:rsidR="00E90A30">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Streamlined</w:t>
            </w:r>
          </w:p>
        </w:tc>
      </w:tr>
      <w:tr w:rsidR="007070CB">
        <w:trPr>
          <w:trHeight w:val="360"/>
        </w:trPr>
        <w:tc>
          <w:tcPr>
            <w:tcW w:w="2835" w:type="dxa"/>
            <w:tcBorders>
              <w:top w:val="single" w:sz="4" w:space="0" w:color="auto"/>
              <w:left w:val="single" w:sz="4" w:space="0" w:color="auto"/>
              <w:bottom w:val="single" w:sz="4" w:space="0" w:color="auto"/>
              <w:right w:val="single" w:sz="4" w:space="0" w:color="auto"/>
            </w:tcBorders>
          </w:tcPr>
          <w:p w:rsidR="007070CB" w:rsidRDefault="006E2E62">
            <w:pPr>
              <w:widowControl/>
              <w:rPr>
                <w:rFonts w:ascii="Arial Narrow" w:hAnsi="Arial Narrow"/>
                <w:b/>
                <w:sz w:val="20"/>
                <w:szCs w:val="20"/>
              </w:rPr>
            </w:pPr>
            <w:r>
              <w:rPr>
                <w:rFonts w:ascii="Arial Narrow" w:hAnsi="Arial Narrow"/>
                <w:b/>
                <w:sz w:val="20"/>
                <w:szCs w:val="20"/>
              </w:rPr>
              <w:t>Treatment criteria:</w:t>
            </w:r>
          </w:p>
        </w:tc>
        <w:tc>
          <w:tcPr>
            <w:tcW w:w="6379" w:type="dxa"/>
            <w:tcBorders>
              <w:top w:val="single" w:sz="4" w:space="0" w:color="auto"/>
              <w:left w:val="single" w:sz="4" w:space="0" w:color="auto"/>
              <w:bottom w:val="single" w:sz="4" w:space="0" w:color="auto"/>
              <w:right w:val="single" w:sz="4" w:space="0" w:color="auto"/>
            </w:tcBorders>
          </w:tcPr>
          <w:p w:rsidR="007070CB" w:rsidRDefault="006E2E62">
            <w:pPr>
              <w:widowControl/>
              <w:rPr>
                <w:rFonts w:ascii="Arial Narrow" w:hAnsi="Arial Narrow"/>
                <w:sz w:val="20"/>
                <w:szCs w:val="20"/>
              </w:rPr>
            </w:pPr>
            <w:r>
              <w:rPr>
                <w:rFonts w:ascii="Arial Narrow" w:hAnsi="Arial Narrow"/>
                <w:sz w:val="20"/>
                <w:szCs w:val="20"/>
              </w:rPr>
              <w:t>Must be treated by a specialist respiratory physician with expertise in cystic fibrosis or in consultation with a specialist respiratory physician with expertise in cystic fibrosis if attendance is not possible due to geographic isolation,</w:t>
            </w:r>
          </w:p>
          <w:p w:rsidR="007070CB" w:rsidRDefault="006E2E62">
            <w:pPr>
              <w:widowControl/>
              <w:rPr>
                <w:rFonts w:ascii="Arial Narrow" w:hAnsi="Arial Narrow"/>
                <w:sz w:val="20"/>
                <w:szCs w:val="20"/>
              </w:rPr>
            </w:pPr>
            <w:r>
              <w:rPr>
                <w:rFonts w:ascii="Arial Narrow" w:hAnsi="Arial Narrow"/>
                <w:sz w:val="20"/>
                <w:szCs w:val="20"/>
              </w:rPr>
              <w:t>AND</w:t>
            </w:r>
          </w:p>
          <w:p w:rsidR="007070CB" w:rsidRDefault="006E2E62">
            <w:pPr>
              <w:widowControl/>
              <w:rPr>
                <w:rFonts w:ascii="Arial Narrow" w:hAnsi="Arial Narrow"/>
                <w:sz w:val="20"/>
                <w:szCs w:val="20"/>
              </w:rPr>
            </w:pPr>
            <w:r>
              <w:rPr>
                <w:rFonts w:ascii="Arial Narrow" w:hAnsi="Arial Narrow"/>
                <w:sz w:val="20"/>
                <w:szCs w:val="20"/>
              </w:rPr>
              <w:t>Must be treated in a centre with expertise in cystic fibrosis or in consultation with a centre with expertise in cystic fibrosis if attendance is not possible due to geographic isolation.</w:t>
            </w:r>
          </w:p>
        </w:tc>
      </w:tr>
      <w:tr w:rsidR="007070CB">
        <w:trPr>
          <w:trHeight w:val="657"/>
        </w:trPr>
        <w:tc>
          <w:tcPr>
            <w:tcW w:w="2835" w:type="dxa"/>
            <w:tcBorders>
              <w:top w:val="single" w:sz="4" w:space="0" w:color="auto"/>
              <w:left w:val="single" w:sz="4" w:space="0" w:color="auto"/>
              <w:bottom w:val="single" w:sz="4" w:space="0" w:color="auto"/>
              <w:right w:val="single" w:sz="4" w:space="0" w:color="auto"/>
            </w:tcBorders>
          </w:tcPr>
          <w:p w:rsidR="007070CB" w:rsidRDefault="006E2E62">
            <w:pPr>
              <w:widowControl/>
              <w:rPr>
                <w:rFonts w:ascii="Arial Narrow" w:hAnsi="Arial Narrow"/>
                <w:b/>
                <w:sz w:val="20"/>
                <w:szCs w:val="20"/>
              </w:rPr>
            </w:pPr>
            <w:r>
              <w:rPr>
                <w:rFonts w:ascii="Arial Narrow" w:hAnsi="Arial Narrow"/>
                <w:b/>
                <w:sz w:val="20"/>
                <w:szCs w:val="20"/>
              </w:rPr>
              <w:t>Clinical criteria:</w:t>
            </w:r>
          </w:p>
        </w:tc>
        <w:tc>
          <w:tcPr>
            <w:tcW w:w="6379" w:type="dxa"/>
            <w:tcBorders>
              <w:top w:val="single" w:sz="4" w:space="0" w:color="auto"/>
              <w:left w:val="single" w:sz="4" w:space="0" w:color="auto"/>
              <w:bottom w:val="single" w:sz="4" w:space="0" w:color="auto"/>
              <w:right w:val="single" w:sz="4" w:space="0" w:color="auto"/>
            </w:tcBorders>
          </w:tcPr>
          <w:p w:rsidR="007070CB" w:rsidRDefault="006E2E62">
            <w:pPr>
              <w:widowControl/>
              <w:rPr>
                <w:rFonts w:ascii="Arial Narrow" w:hAnsi="Arial Narrow"/>
                <w:sz w:val="20"/>
                <w:szCs w:val="20"/>
              </w:rPr>
            </w:pPr>
            <w:r>
              <w:rPr>
                <w:rFonts w:ascii="Arial Narrow" w:hAnsi="Arial Narrow"/>
                <w:sz w:val="20"/>
                <w:szCs w:val="20"/>
              </w:rPr>
              <w:t>Patient must have previously received PBS-subsidised treatment with this drug for this condition,</w:t>
            </w:r>
          </w:p>
          <w:p w:rsidR="007070CB" w:rsidRDefault="006E2E62">
            <w:pPr>
              <w:widowControl/>
              <w:rPr>
                <w:rFonts w:ascii="Arial Narrow" w:hAnsi="Arial Narrow"/>
                <w:sz w:val="20"/>
                <w:szCs w:val="20"/>
              </w:rPr>
            </w:pPr>
            <w:r>
              <w:rPr>
                <w:rFonts w:ascii="Arial Narrow" w:hAnsi="Arial Narrow"/>
                <w:sz w:val="20"/>
                <w:szCs w:val="20"/>
              </w:rPr>
              <w:t>AND</w:t>
            </w:r>
          </w:p>
          <w:p w:rsidR="007070CB" w:rsidRDefault="006E2E62">
            <w:pPr>
              <w:widowControl/>
              <w:rPr>
                <w:rFonts w:ascii="Arial Narrow" w:hAnsi="Arial Narrow"/>
                <w:sz w:val="20"/>
                <w:szCs w:val="20"/>
              </w:rPr>
            </w:pPr>
            <w:r>
              <w:rPr>
                <w:rFonts w:ascii="Arial Narrow" w:hAnsi="Arial Narrow"/>
                <w:sz w:val="20"/>
                <w:szCs w:val="20"/>
              </w:rPr>
              <w:t>The treatment must be given concomitantly with standard therapy for this condition.</w:t>
            </w:r>
          </w:p>
        </w:tc>
      </w:tr>
      <w:tr w:rsidR="007070CB">
        <w:trPr>
          <w:trHeight w:val="252"/>
        </w:trPr>
        <w:tc>
          <w:tcPr>
            <w:tcW w:w="2835" w:type="dxa"/>
            <w:tcBorders>
              <w:top w:val="single" w:sz="4" w:space="0" w:color="auto"/>
              <w:left w:val="single" w:sz="4" w:space="0" w:color="auto"/>
              <w:bottom w:val="single" w:sz="4" w:space="0" w:color="auto"/>
              <w:right w:val="single" w:sz="4" w:space="0" w:color="auto"/>
            </w:tcBorders>
          </w:tcPr>
          <w:p w:rsidR="007070CB" w:rsidRDefault="006E2E62">
            <w:pPr>
              <w:widowControl/>
              <w:rPr>
                <w:rFonts w:ascii="Arial Narrow" w:hAnsi="Arial Narrow"/>
                <w:b/>
                <w:sz w:val="20"/>
                <w:szCs w:val="20"/>
              </w:rPr>
            </w:pPr>
            <w:r>
              <w:rPr>
                <w:rFonts w:ascii="Arial Narrow" w:hAnsi="Arial Narrow"/>
                <w:b/>
                <w:sz w:val="20"/>
                <w:szCs w:val="20"/>
              </w:rPr>
              <w:t>Population criteria:</w:t>
            </w:r>
          </w:p>
        </w:tc>
        <w:tc>
          <w:tcPr>
            <w:tcW w:w="6379" w:type="dxa"/>
            <w:tcBorders>
              <w:top w:val="single" w:sz="4" w:space="0" w:color="auto"/>
              <w:left w:val="single" w:sz="4" w:space="0" w:color="auto"/>
              <w:bottom w:val="single" w:sz="4" w:space="0" w:color="auto"/>
              <w:right w:val="single" w:sz="4" w:space="0" w:color="auto"/>
            </w:tcBorders>
          </w:tcPr>
          <w:p w:rsidR="007070CB" w:rsidRDefault="006E2E62">
            <w:pPr>
              <w:widowControl/>
              <w:rPr>
                <w:rFonts w:ascii="Arial Narrow" w:hAnsi="Arial Narrow"/>
                <w:sz w:val="20"/>
                <w:szCs w:val="20"/>
              </w:rPr>
            </w:pPr>
            <w:r>
              <w:rPr>
                <w:rFonts w:ascii="Arial Narrow" w:hAnsi="Arial Narrow"/>
                <w:sz w:val="20"/>
                <w:szCs w:val="20"/>
              </w:rPr>
              <w:t>Patient must be aged 2 years or older.</w:t>
            </w:r>
          </w:p>
        </w:tc>
      </w:tr>
      <w:tr w:rsidR="007070CB">
        <w:trPr>
          <w:trHeight w:val="360"/>
        </w:trPr>
        <w:tc>
          <w:tcPr>
            <w:tcW w:w="2835" w:type="dxa"/>
            <w:tcBorders>
              <w:top w:val="single" w:sz="4" w:space="0" w:color="auto"/>
              <w:left w:val="single" w:sz="4" w:space="0" w:color="auto"/>
              <w:bottom w:val="single" w:sz="4" w:space="0" w:color="auto"/>
              <w:right w:val="single" w:sz="4" w:space="0" w:color="auto"/>
            </w:tcBorders>
          </w:tcPr>
          <w:p w:rsidR="007070CB" w:rsidRDefault="006E2E62">
            <w:pPr>
              <w:widowControl/>
              <w:rPr>
                <w:rFonts w:ascii="Arial Narrow" w:hAnsi="Arial Narrow"/>
                <w:b/>
                <w:sz w:val="20"/>
                <w:szCs w:val="20"/>
              </w:rPr>
            </w:pPr>
            <w:r>
              <w:rPr>
                <w:rFonts w:ascii="Arial Narrow" w:hAnsi="Arial Narrow"/>
                <w:b/>
                <w:sz w:val="20"/>
                <w:szCs w:val="20"/>
              </w:rPr>
              <w:t>Prescriber Instructions:</w:t>
            </w:r>
          </w:p>
          <w:p w:rsidR="007070CB" w:rsidRDefault="007070CB">
            <w:pPr>
              <w:widowControl/>
              <w:rPr>
                <w:rFonts w:ascii="Arial Narrow" w:hAnsi="Arial Narrow"/>
                <w:sz w:val="20"/>
                <w:szCs w:val="20"/>
              </w:rPr>
            </w:pPr>
          </w:p>
        </w:tc>
        <w:tc>
          <w:tcPr>
            <w:tcW w:w="6379" w:type="dxa"/>
            <w:tcBorders>
              <w:top w:val="single" w:sz="4" w:space="0" w:color="auto"/>
              <w:left w:val="single" w:sz="4" w:space="0" w:color="auto"/>
              <w:bottom w:val="single" w:sz="4" w:space="0" w:color="auto"/>
              <w:right w:val="single" w:sz="4" w:space="0" w:color="auto"/>
            </w:tcBorders>
          </w:tcPr>
          <w:p w:rsidR="007070CB" w:rsidRDefault="006E2E62">
            <w:pPr>
              <w:widowControl/>
              <w:rPr>
                <w:rFonts w:ascii="Arial Narrow" w:hAnsi="Arial Narrow"/>
                <w:sz w:val="20"/>
                <w:szCs w:val="20"/>
              </w:rPr>
            </w:pPr>
            <w:r>
              <w:rPr>
                <w:rFonts w:ascii="Arial Narrow" w:hAnsi="Arial Narrow"/>
                <w:sz w:val="20"/>
                <w:szCs w:val="20"/>
              </w:rPr>
              <w:t>The authority application must be in writing and must include:</w:t>
            </w:r>
          </w:p>
          <w:p w:rsidR="007070CB" w:rsidRDefault="006E2E62">
            <w:pPr>
              <w:widowControl/>
              <w:rPr>
                <w:rFonts w:ascii="Arial Narrow" w:hAnsi="Arial Narrow"/>
                <w:sz w:val="20"/>
                <w:szCs w:val="20"/>
              </w:rPr>
            </w:pPr>
            <w:r>
              <w:rPr>
                <w:rFonts w:ascii="Arial Narrow" w:hAnsi="Arial Narrow"/>
                <w:sz w:val="20"/>
                <w:szCs w:val="20"/>
              </w:rPr>
              <w:t>(1) a completed authority prescription form; and</w:t>
            </w:r>
          </w:p>
          <w:p w:rsidR="007070CB" w:rsidRDefault="006E2E62">
            <w:pPr>
              <w:widowControl/>
              <w:rPr>
                <w:rFonts w:ascii="Arial Narrow" w:hAnsi="Arial Narrow"/>
                <w:sz w:val="20"/>
                <w:szCs w:val="20"/>
              </w:rPr>
            </w:pPr>
            <w:r>
              <w:rPr>
                <w:rFonts w:ascii="Arial Narrow" w:hAnsi="Arial Narrow"/>
                <w:sz w:val="20"/>
                <w:szCs w:val="20"/>
              </w:rPr>
              <w:t>(2) a completed Cystic Fibrosis Lumacaftor with Ivacaftor Continuing Authority Application Supporting Information Form.</w:t>
            </w:r>
          </w:p>
        </w:tc>
      </w:tr>
      <w:tr w:rsidR="007070CB">
        <w:trPr>
          <w:trHeight w:val="360"/>
        </w:trPr>
        <w:tc>
          <w:tcPr>
            <w:tcW w:w="2835" w:type="dxa"/>
            <w:tcBorders>
              <w:top w:val="single" w:sz="4" w:space="0" w:color="auto"/>
              <w:left w:val="single" w:sz="4" w:space="0" w:color="auto"/>
              <w:bottom w:val="single" w:sz="4" w:space="0" w:color="auto"/>
              <w:right w:val="single" w:sz="4" w:space="0" w:color="auto"/>
            </w:tcBorders>
          </w:tcPr>
          <w:p w:rsidR="007070CB" w:rsidRDefault="006E2E62">
            <w:pPr>
              <w:widowControl/>
              <w:rPr>
                <w:rFonts w:ascii="Arial Narrow" w:hAnsi="Arial Narrow"/>
                <w:b/>
                <w:sz w:val="20"/>
                <w:szCs w:val="20"/>
              </w:rPr>
            </w:pPr>
            <w:r>
              <w:rPr>
                <w:rFonts w:ascii="Arial Narrow" w:hAnsi="Arial Narrow"/>
                <w:b/>
                <w:sz w:val="20"/>
                <w:szCs w:val="20"/>
              </w:rPr>
              <w:t>Administrative Advice:</w:t>
            </w:r>
          </w:p>
          <w:p w:rsidR="007070CB" w:rsidRDefault="007070CB">
            <w:pPr>
              <w:widowControl/>
              <w:rPr>
                <w:rFonts w:ascii="Arial Narrow" w:hAnsi="Arial Narrow"/>
                <w:sz w:val="20"/>
                <w:szCs w:val="20"/>
              </w:rPr>
            </w:pPr>
          </w:p>
        </w:tc>
        <w:tc>
          <w:tcPr>
            <w:tcW w:w="6379" w:type="dxa"/>
            <w:tcBorders>
              <w:top w:val="single" w:sz="4" w:space="0" w:color="auto"/>
              <w:left w:val="single" w:sz="4" w:space="0" w:color="auto"/>
              <w:bottom w:val="single" w:sz="4" w:space="0" w:color="auto"/>
              <w:right w:val="single" w:sz="4" w:space="0" w:color="auto"/>
            </w:tcBorders>
          </w:tcPr>
          <w:p w:rsidR="007070CB" w:rsidRDefault="006E2E62">
            <w:pPr>
              <w:widowControl/>
              <w:spacing w:after="60"/>
              <w:rPr>
                <w:rFonts w:ascii="Arial Narrow" w:hAnsi="Arial Narrow"/>
                <w:sz w:val="20"/>
                <w:szCs w:val="20"/>
              </w:rPr>
            </w:pPr>
            <w:r>
              <w:rPr>
                <w:rFonts w:ascii="Arial Narrow" w:hAnsi="Arial Narrow"/>
                <w:sz w:val="20"/>
                <w:szCs w:val="20"/>
              </w:rPr>
              <w:t>Any queries concerning the arrangements to prescribe may be directed to the Department of Human Services on 1800 700 270 (hours of operation 8 a.m. to 5 p.m. EST Monday to Friday).</w:t>
            </w:r>
          </w:p>
          <w:p w:rsidR="007070CB" w:rsidRDefault="006E2E62">
            <w:pPr>
              <w:widowControl/>
              <w:spacing w:after="60"/>
              <w:rPr>
                <w:rFonts w:ascii="Arial Narrow" w:hAnsi="Arial Narrow"/>
                <w:sz w:val="20"/>
                <w:szCs w:val="20"/>
              </w:rPr>
            </w:pPr>
            <w:r>
              <w:rPr>
                <w:rFonts w:ascii="Arial Narrow" w:hAnsi="Arial Narrow"/>
                <w:sz w:val="20"/>
                <w:szCs w:val="20"/>
              </w:rPr>
              <w:t>Prescribing information (including Authority Application forms and other relevant documentation as applicable) is available on the Department of Human Services website at www.humanservices.gov.au</w:t>
            </w:r>
          </w:p>
          <w:p w:rsidR="007070CB" w:rsidRDefault="006E2E62">
            <w:pPr>
              <w:widowControl/>
              <w:spacing w:after="60"/>
              <w:rPr>
                <w:rFonts w:ascii="Arial Narrow" w:hAnsi="Arial Narrow"/>
                <w:sz w:val="20"/>
                <w:szCs w:val="20"/>
              </w:rPr>
            </w:pPr>
            <w:r>
              <w:rPr>
                <w:rFonts w:ascii="Arial Narrow" w:hAnsi="Arial Narrow"/>
                <w:sz w:val="20"/>
                <w:szCs w:val="20"/>
              </w:rPr>
              <w:t>Applications for authority to prescribe should be forwarded to:</w:t>
            </w:r>
          </w:p>
          <w:p w:rsidR="007070CB" w:rsidRDefault="006E2E62">
            <w:pPr>
              <w:widowControl/>
              <w:rPr>
                <w:rFonts w:ascii="Arial Narrow" w:hAnsi="Arial Narrow"/>
                <w:sz w:val="20"/>
                <w:szCs w:val="20"/>
              </w:rPr>
            </w:pPr>
            <w:r>
              <w:rPr>
                <w:rFonts w:ascii="Arial Narrow" w:hAnsi="Arial Narrow"/>
                <w:sz w:val="20"/>
                <w:szCs w:val="20"/>
              </w:rPr>
              <w:t>Department of Human Services</w:t>
            </w:r>
          </w:p>
          <w:p w:rsidR="007070CB" w:rsidRDefault="006E2E62">
            <w:pPr>
              <w:widowControl/>
              <w:rPr>
                <w:rFonts w:ascii="Arial Narrow" w:hAnsi="Arial Narrow"/>
                <w:sz w:val="20"/>
                <w:szCs w:val="20"/>
              </w:rPr>
            </w:pPr>
            <w:r>
              <w:rPr>
                <w:rFonts w:ascii="Arial Narrow" w:hAnsi="Arial Narrow"/>
                <w:sz w:val="20"/>
                <w:szCs w:val="20"/>
              </w:rPr>
              <w:t>Complex Drugs</w:t>
            </w:r>
          </w:p>
          <w:p w:rsidR="007070CB" w:rsidRDefault="006E2E62">
            <w:pPr>
              <w:widowControl/>
              <w:rPr>
                <w:rFonts w:ascii="Arial Narrow" w:hAnsi="Arial Narrow"/>
                <w:sz w:val="20"/>
                <w:szCs w:val="20"/>
              </w:rPr>
            </w:pPr>
            <w:r>
              <w:rPr>
                <w:rFonts w:ascii="Arial Narrow" w:hAnsi="Arial Narrow"/>
                <w:sz w:val="20"/>
                <w:szCs w:val="20"/>
              </w:rPr>
              <w:t>Reply Paid 9826</w:t>
            </w:r>
          </w:p>
          <w:p w:rsidR="007070CB" w:rsidRDefault="006E2E62">
            <w:pPr>
              <w:widowControl/>
              <w:spacing w:after="60"/>
              <w:rPr>
                <w:rFonts w:ascii="Arial Narrow" w:hAnsi="Arial Narrow"/>
                <w:sz w:val="20"/>
                <w:szCs w:val="20"/>
              </w:rPr>
            </w:pPr>
            <w:r>
              <w:rPr>
                <w:rFonts w:ascii="Arial Narrow" w:hAnsi="Arial Narrow"/>
                <w:sz w:val="20"/>
                <w:szCs w:val="20"/>
              </w:rPr>
              <w:t>HOBART TAS 7001</w:t>
            </w:r>
          </w:p>
          <w:p w:rsidR="007070CB" w:rsidRDefault="006E2E62">
            <w:pPr>
              <w:widowControl/>
              <w:spacing w:after="60"/>
              <w:rPr>
                <w:rFonts w:ascii="Arial Narrow" w:hAnsi="Arial Narrow"/>
                <w:sz w:val="20"/>
                <w:szCs w:val="20"/>
              </w:rPr>
            </w:pPr>
            <w:r>
              <w:rPr>
                <w:rFonts w:ascii="Arial Narrow" w:hAnsi="Arial Narrow"/>
                <w:sz w:val="20"/>
                <w:szCs w:val="20"/>
              </w:rPr>
              <w:t>No increase in the maximum quantity or number of units may be authorised.</w:t>
            </w:r>
          </w:p>
          <w:p w:rsidR="007070CB" w:rsidRDefault="006E2E62">
            <w:pPr>
              <w:widowControl/>
              <w:spacing w:after="60"/>
              <w:rPr>
                <w:rFonts w:ascii="Arial Narrow" w:hAnsi="Arial Narrow"/>
                <w:sz w:val="20"/>
                <w:szCs w:val="20"/>
              </w:rPr>
            </w:pPr>
            <w:r>
              <w:rPr>
                <w:rFonts w:ascii="Arial Narrow" w:hAnsi="Arial Narrow"/>
                <w:sz w:val="20"/>
                <w:szCs w:val="20"/>
              </w:rPr>
              <w:t>No increase in the maximum number of repeats may be authorised.</w:t>
            </w:r>
          </w:p>
        </w:tc>
      </w:tr>
    </w:tbl>
    <w:p w:rsidR="00AF481E" w:rsidRDefault="00AF481E">
      <w:pPr>
        <w:widowControl/>
        <w:rPr>
          <w:color w:val="3366FF"/>
        </w:rPr>
      </w:pPr>
    </w:p>
    <w:p w:rsidR="00AF481E" w:rsidRDefault="00AF481E" w:rsidP="00AF481E">
      <w:r>
        <w:br w:type="page"/>
      </w:r>
    </w:p>
    <w:p w:rsidR="007070CB" w:rsidRDefault="006E2E62">
      <w:pPr>
        <w:pStyle w:val="PBACHeading1"/>
        <w:keepNext w:val="0"/>
      </w:pPr>
      <w:r>
        <w:lastRenderedPageBreak/>
        <w:t>Context for Decision</w:t>
      </w:r>
    </w:p>
    <w:p w:rsidR="007070CB" w:rsidRDefault="006E2E62">
      <w:pPr>
        <w:widowControl/>
        <w:spacing w:line="276" w:lineRule="auto"/>
        <w:rPr>
          <w:rFonts w:asciiTheme="minorHAnsi" w:eastAsiaTheme="minorHAnsi" w:hAnsiTheme="minorHAnsi"/>
          <w:snapToGrid/>
        </w:rPr>
      </w:pPr>
      <w:r>
        <w:rPr>
          <w:rFonts w:asciiTheme="minorHAnsi" w:eastAsiaTheme="minorHAnsi" w:hAnsiTheme="minorHAnsi"/>
          <w:snapToGrid/>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7070CB" w:rsidRDefault="006E2E62">
      <w:pPr>
        <w:pStyle w:val="PBACHeading1"/>
        <w:keepNext w:val="0"/>
      </w:pPr>
      <w:r>
        <w:t>Sponsor’s Comment</w:t>
      </w:r>
    </w:p>
    <w:p w:rsidR="007070CB" w:rsidRPr="00AF481E" w:rsidRDefault="006E2E62" w:rsidP="00AF481E">
      <w:pPr>
        <w:widowControl/>
        <w:spacing w:after="120" w:line="276" w:lineRule="auto"/>
        <w:rPr>
          <w:rFonts w:asciiTheme="minorHAnsi" w:eastAsiaTheme="minorHAnsi" w:hAnsiTheme="minorHAnsi"/>
          <w:bCs/>
          <w:snapToGrid/>
        </w:rPr>
      </w:pPr>
      <w:r>
        <w:rPr>
          <w:rFonts w:asciiTheme="minorHAnsi" w:eastAsiaTheme="minorHAnsi" w:hAnsiTheme="minorHAnsi"/>
          <w:bCs/>
          <w:snapToGrid/>
        </w:rPr>
        <w:t>The sponsor had no comment.</w:t>
      </w:r>
    </w:p>
    <w:sectPr w:rsidR="007070CB" w:rsidRPr="00AF481E">
      <w:headerReference w:type="even" r:id="rId12"/>
      <w:headerReference w:type="default" r:id="rId13"/>
      <w:footerReference w:type="even" r:id="rId14"/>
      <w:footerReference w:type="default" r:id="rId15"/>
      <w:headerReference w:type="first" r:id="rId16"/>
      <w:footerReference w:type="first" r:id="rId17"/>
      <w:pgSz w:w="11907" w:h="16840" w:code="9"/>
      <w:pgMar w:top="1440" w:right="1440" w:bottom="1440" w:left="1440" w:header="1440" w:footer="1440"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A86E57" w16cid:durableId="20EBF55A"/>
  <w16cid:commentId w16cid:paraId="7360B004" w16cid:durableId="20EBF55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0A30" w:rsidRDefault="00E90A30">
      <w:r>
        <w:separator/>
      </w:r>
    </w:p>
    <w:p w:rsidR="00E90A30" w:rsidRDefault="00E90A30"/>
  </w:endnote>
  <w:endnote w:type="continuationSeparator" w:id="0">
    <w:p w:rsidR="00E90A30" w:rsidRDefault="00E90A30">
      <w:r>
        <w:continuationSeparator/>
      </w:r>
    </w:p>
    <w:p w:rsidR="00E90A30" w:rsidRDefault="00E90A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A30" w:rsidRDefault="00E90A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9CF" w:rsidRDefault="00FE09CF">
    <w:pPr>
      <w:pStyle w:val="Footer"/>
      <w:jc w:val="center"/>
    </w:pPr>
  </w:p>
  <w:p w:rsidR="00FE09CF" w:rsidRDefault="00FE09CF">
    <w:pPr>
      <w:pStyle w:val="Footer"/>
      <w:ind w:left="360"/>
      <w:jc w:val="center"/>
      <w:rPr>
        <w:b/>
        <w:sz w:val="20"/>
      </w:rPr>
    </w:pPr>
    <w:r>
      <w:rPr>
        <w:b/>
        <w:sz w:val="20"/>
      </w:rPr>
      <w:fldChar w:fldCharType="begin"/>
    </w:r>
    <w:r>
      <w:rPr>
        <w:b/>
        <w:sz w:val="20"/>
      </w:rPr>
      <w:instrText xml:space="preserve"> PAGE   \* MERGEFORMAT </w:instrText>
    </w:r>
    <w:r>
      <w:rPr>
        <w:b/>
        <w:sz w:val="20"/>
      </w:rPr>
      <w:fldChar w:fldCharType="separate"/>
    </w:r>
    <w:r w:rsidR="00E90A30">
      <w:rPr>
        <w:b/>
        <w:noProof/>
        <w:sz w:val="20"/>
      </w:rPr>
      <w:t>24</w:t>
    </w:r>
    <w:r>
      <w:rPr>
        <w:b/>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A30" w:rsidRDefault="00E90A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0A30" w:rsidRDefault="00E90A30">
      <w:r>
        <w:separator/>
      </w:r>
    </w:p>
    <w:p w:rsidR="00E90A30" w:rsidRDefault="00E90A30"/>
  </w:footnote>
  <w:footnote w:type="continuationSeparator" w:id="0">
    <w:p w:rsidR="00E90A30" w:rsidRDefault="00E90A30">
      <w:r>
        <w:continuationSeparator/>
      </w:r>
    </w:p>
    <w:p w:rsidR="00E90A30" w:rsidRDefault="00E90A30"/>
  </w:footnote>
  <w:footnote w:id="1">
    <w:p w:rsidR="00FE09CF" w:rsidRDefault="00FE09CF">
      <w:pPr>
        <w:pStyle w:val="FootnoteText"/>
        <w:rPr>
          <w:rFonts w:ascii="Arial Narrow" w:hAnsi="Arial Narrow"/>
        </w:rPr>
      </w:pPr>
      <w:r>
        <w:rPr>
          <w:rStyle w:val="FootnoteReference"/>
          <w:rFonts w:ascii="Arial Narrow" w:hAnsi="Arial Narrow"/>
        </w:rPr>
        <w:footnoteRef/>
      </w:r>
      <w:r>
        <w:rPr>
          <w:rFonts w:ascii="Arial Narrow" w:hAnsi="Arial Narrow"/>
        </w:rPr>
        <w:t xml:space="preserve"> </w:t>
      </w:r>
      <w:r>
        <w:rPr>
          <w:rFonts w:ascii="Arial Narrow" w:hAnsi="Arial Narrow" w:cs="Segoe UI"/>
          <w:snapToGrid/>
          <w:lang w:eastAsia="en-AU"/>
        </w:rPr>
        <w:t xml:space="preserve">Sawicki, G. S., A. K. Fink, M. S. Schechter, D. R. Loeffler and N. Mayer-Hamblett (2018). "Rate and predictors of prescription of lumacaftor - Ivacaftor in the 18 months following approval in the United States." </w:t>
      </w:r>
      <w:r>
        <w:rPr>
          <w:rFonts w:ascii="Arial Narrow" w:hAnsi="Arial Narrow" w:cs="Segoe UI"/>
          <w:snapToGrid/>
          <w:u w:val="single"/>
          <w:lang w:eastAsia="en-AU"/>
        </w:rPr>
        <w:t>J Cyst Fibros</w:t>
      </w:r>
      <w:r>
        <w:rPr>
          <w:rFonts w:ascii="Arial Narrow" w:hAnsi="Arial Narrow" w:cs="Segoe UI"/>
          <w:snapToGrid/>
          <w:lang w:eastAsia="en-AU"/>
        </w:rPr>
        <w:t xml:space="preserve"> </w:t>
      </w:r>
      <w:r>
        <w:rPr>
          <w:rFonts w:ascii="Arial Narrow" w:hAnsi="Arial Narrow" w:cs="Segoe UI"/>
          <w:b/>
          <w:bCs/>
          <w:snapToGrid/>
          <w:lang w:eastAsia="en-AU"/>
        </w:rPr>
        <w:t>17</w:t>
      </w:r>
      <w:r>
        <w:rPr>
          <w:rFonts w:ascii="Arial Narrow" w:hAnsi="Arial Narrow" w:cs="Segoe UI"/>
          <w:snapToGrid/>
          <w:lang w:eastAsia="en-AU"/>
        </w:rPr>
        <w:t>(6): 742-746.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A30" w:rsidRDefault="00E90A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9CF" w:rsidRDefault="00D455A7">
    <w:pPr>
      <w:pStyle w:val="Header"/>
      <w:ind w:left="360"/>
      <w:jc w:val="center"/>
      <w:rPr>
        <w:rFonts w:asciiTheme="minorHAnsi" w:hAnsiTheme="minorHAnsi"/>
        <w:i/>
        <w:color w:val="808080"/>
        <w:sz w:val="22"/>
      </w:rPr>
    </w:pPr>
    <w:r>
      <w:rPr>
        <w:rFonts w:asciiTheme="minorHAnsi" w:hAnsiTheme="minorHAnsi"/>
        <w:i/>
        <w:color w:val="808080"/>
        <w:sz w:val="22"/>
      </w:rPr>
      <w:t>Public</w:t>
    </w:r>
    <w:r w:rsidR="00FE09CF">
      <w:rPr>
        <w:rFonts w:asciiTheme="minorHAnsi" w:hAnsiTheme="minorHAnsi"/>
        <w:i/>
        <w:color w:val="808080"/>
        <w:sz w:val="22"/>
      </w:rPr>
      <w:t xml:space="preserve"> Summary Document – July 2019 PBAC Meeting</w:t>
    </w:r>
  </w:p>
  <w:p w:rsidR="00FE09CF" w:rsidRDefault="00FE09CF"/>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A30" w:rsidRDefault="00E90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226897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6105138"/>
    <w:multiLevelType w:val="hybridMultilevel"/>
    <w:tmpl w:val="CA2CA0CE"/>
    <w:lvl w:ilvl="0" w:tplc="842865A6">
      <w:start w:val="1"/>
      <w:numFmt w:val="bullet"/>
      <w:pStyle w:val="Dash0"/>
      <w:lvlText w:val="–"/>
      <w:lvlJc w:val="left"/>
      <w:pPr>
        <w:tabs>
          <w:tab w:val="num" w:pos="216"/>
        </w:tabs>
        <w:ind w:left="360" w:firstLine="0"/>
      </w:pPr>
      <w:rPr>
        <w:rFonts w:ascii="Times New Roman" w:hAnsi="Times New Roman" w:cs="Times New Roman"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AB3771"/>
    <w:multiLevelType w:val="multilevel"/>
    <w:tmpl w:val="6A84DFD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bullet"/>
      <w:lvlText w:val=""/>
      <w:lvlJc w:val="left"/>
      <w:pPr>
        <w:ind w:left="720" w:hanging="720"/>
      </w:pPr>
      <w:rPr>
        <w:rFonts w:ascii="Symbol" w:hAnsi="Symbol"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7F1073"/>
    <w:multiLevelType w:val="hybridMultilevel"/>
    <w:tmpl w:val="945E3F6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4E6478"/>
    <w:multiLevelType w:val="hybridMultilevel"/>
    <w:tmpl w:val="1952CAB2"/>
    <w:lvl w:ilvl="0" w:tplc="C39E16E6">
      <w:start w:val="1"/>
      <w:numFmt w:val="bullet"/>
      <w:pStyle w:val="Bullet0"/>
      <w:lvlText w:val=""/>
      <w:lvlJc w:val="left"/>
      <w:pPr>
        <w:ind w:left="720" w:hanging="360"/>
      </w:pPr>
      <w:rPr>
        <w:rFonts w:ascii="Symbol" w:hAnsi="Symbol" w:hint="default"/>
        <w:spacing w:val="0"/>
        <w:w w:val="100"/>
        <w:position w:val="0"/>
      </w:rPr>
    </w:lvl>
    <w:lvl w:ilvl="1" w:tplc="0C090003">
      <w:start w:val="1"/>
      <w:numFmt w:val="bullet"/>
      <w:pStyle w:val="HeadingA2"/>
      <w:lvlText w:val="o"/>
      <w:lvlJc w:val="left"/>
      <w:pPr>
        <w:ind w:left="1440" w:hanging="360"/>
      </w:pPr>
      <w:rPr>
        <w:rFonts w:ascii="Courier New" w:hAnsi="Courier New" w:cs="Courier New" w:hint="default"/>
      </w:rPr>
    </w:lvl>
    <w:lvl w:ilvl="2" w:tplc="0C090005">
      <w:start w:val="1"/>
      <w:numFmt w:val="bullet"/>
      <w:pStyle w:val="HeadingA3"/>
      <w:lvlText w:val=""/>
      <w:lvlJc w:val="left"/>
      <w:pPr>
        <w:ind w:left="2160" w:hanging="360"/>
      </w:pPr>
      <w:rPr>
        <w:rFonts w:ascii="Wingdings" w:hAnsi="Wingdings" w:hint="default"/>
      </w:rPr>
    </w:lvl>
    <w:lvl w:ilvl="3" w:tplc="0C090001" w:tentative="1">
      <w:start w:val="1"/>
      <w:numFmt w:val="bullet"/>
      <w:pStyle w:val="HeadingA4"/>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AE129F0"/>
    <w:multiLevelType w:val="hybridMultilevel"/>
    <w:tmpl w:val="21B4699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36DA0CCE"/>
    <w:multiLevelType w:val="hybridMultilevel"/>
    <w:tmpl w:val="72B88B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0733459"/>
    <w:multiLevelType w:val="hybridMultilevel"/>
    <w:tmpl w:val="E7B466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EF0EDC"/>
    <w:multiLevelType w:val="hybridMultilevel"/>
    <w:tmpl w:val="72C0A80A"/>
    <w:lvl w:ilvl="0" w:tplc="62805CDA">
      <w:start w:val="1"/>
      <w:numFmt w:val="bullet"/>
      <w:pStyle w:val="Tablebulletlist"/>
      <w:lvlText w:val="•"/>
      <w:lvlJc w:val="left"/>
      <w:pPr>
        <w:ind w:left="468" w:hanging="360"/>
      </w:pPr>
      <w:rPr>
        <w:rFonts w:hint="default"/>
        <w:sz w:val="20"/>
        <w:szCs w:val="20"/>
      </w:rPr>
    </w:lvl>
    <w:lvl w:ilvl="1" w:tplc="B0A8C722">
      <w:start w:val="1"/>
      <w:numFmt w:val="bullet"/>
      <w:lvlText w:val="•"/>
      <w:lvlJc w:val="left"/>
      <w:pPr>
        <w:ind w:left="1061" w:hanging="356"/>
      </w:pPr>
      <w:rPr>
        <w:rFonts w:hint="default"/>
      </w:rPr>
    </w:lvl>
    <w:lvl w:ilvl="2" w:tplc="E0BC4358">
      <w:start w:val="1"/>
      <w:numFmt w:val="bullet"/>
      <w:lvlText w:val="•"/>
      <w:lvlJc w:val="left"/>
      <w:pPr>
        <w:ind w:left="1659" w:hanging="356"/>
      </w:pPr>
      <w:rPr>
        <w:rFonts w:hint="default"/>
      </w:rPr>
    </w:lvl>
    <w:lvl w:ilvl="3" w:tplc="EB8CDDD0">
      <w:start w:val="1"/>
      <w:numFmt w:val="bullet"/>
      <w:lvlText w:val="•"/>
      <w:lvlJc w:val="left"/>
      <w:pPr>
        <w:ind w:left="2257" w:hanging="356"/>
      </w:pPr>
      <w:rPr>
        <w:rFonts w:hint="default"/>
      </w:rPr>
    </w:lvl>
    <w:lvl w:ilvl="4" w:tplc="173E1550">
      <w:start w:val="1"/>
      <w:numFmt w:val="bullet"/>
      <w:lvlText w:val="•"/>
      <w:lvlJc w:val="left"/>
      <w:pPr>
        <w:ind w:left="2854" w:hanging="356"/>
      </w:pPr>
      <w:rPr>
        <w:rFonts w:hint="default"/>
      </w:rPr>
    </w:lvl>
    <w:lvl w:ilvl="5" w:tplc="08865432">
      <w:start w:val="1"/>
      <w:numFmt w:val="bullet"/>
      <w:lvlText w:val="•"/>
      <w:lvlJc w:val="left"/>
      <w:pPr>
        <w:ind w:left="3452" w:hanging="356"/>
      </w:pPr>
      <w:rPr>
        <w:rFonts w:hint="default"/>
      </w:rPr>
    </w:lvl>
    <w:lvl w:ilvl="6" w:tplc="677C8074">
      <w:start w:val="1"/>
      <w:numFmt w:val="bullet"/>
      <w:lvlText w:val="•"/>
      <w:lvlJc w:val="left"/>
      <w:pPr>
        <w:ind w:left="4050" w:hanging="356"/>
      </w:pPr>
      <w:rPr>
        <w:rFonts w:hint="default"/>
      </w:rPr>
    </w:lvl>
    <w:lvl w:ilvl="7" w:tplc="7082A91C">
      <w:start w:val="1"/>
      <w:numFmt w:val="bullet"/>
      <w:lvlText w:val="•"/>
      <w:lvlJc w:val="left"/>
      <w:pPr>
        <w:ind w:left="4648" w:hanging="356"/>
      </w:pPr>
      <w:rPr>
        <w:rFonts w:hint="default"/>
      </w:rPr>
    </w:lvl>
    <w:lvl w:ilvl="8" w:tplc="46545CBA">
      <w:start w:val="1"/>
      <w:numFmt w:val="bullet"/>
      <w:lvlText w:val="•"/>
      <w:lvlJc w:val="left"/>
      <w:pPr>
        <w:ind w:left="5245" w:hanging="356"/>
      </w:pPr>
      <w:rPr>
        <w:rFonts w:hint="default"/>
      </w:rPr>
    </w:lvl>
  </w:abstractNum>
  <w:abstractNum w:abstractNumId="12"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09F798E"/>
    <w:multiLevelType w:val="hybridMultilevel"/>
    <w:tmpl w:val="0D7236A8"/>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2AC3B25"/>
    <w:multiLevelType w:val="hybridMultilevel"/>
    <w:tmpl w:val="9DCADDAC"/>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32A02AB"/>
    <w:multiLevelType w:val="hybridMultilevel"/>
    <w:tmpl w:val="47DC17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4B8401D"/>
    <w:multiLevelType w:val="hybridMultilevel"/>
    <w:tmpl w:val="CEC4B852"/>
    <w:lvl w:ilvl="0" w:tplc="04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66F87AC6"/>
    <w:multiLevelType w:val="multilevel"/>
    <w:tmpl w:val="866A2F5E"/>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lowerLetter"/>
      <w:lvlText w:val="%3."/>
      <w:lvlJc w:val="left"/>
      <w:pPr>
        <w:ind w:left="720" w:hanging="720"/>
      </w:pPr>
      <w:rPr>
        <w:rFonts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84D033C"/>
    <w:multiLevelType w:val="multilevel"/>
    <w:tmpl w:val="4B206A2C"/>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AF14BE0"/>
    <w:multiLevelType w:val="hybridMultilevel"/>
    <w:tmpl w:val="35F20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8"/>
  </w:num>
  <w:num w:numId="2">
    <w:abstractNumId w:val="10"/>
  </w:num>
  <w:num w:numId="3">
    <w:abstractNumId w:val="9"/>
  </w:num>
  <w:num w:numId="4">
    <w:abstractNumId w:val="2"/>
  </w:num>
  <w:num w:numId="5">
    <w:abstractNumId w:val="11"/>
  </w:num>
  <w:num w:numId="6">
    <w:abstractNumId w:val="5"/>
  </w:num>
  <w:num w:numId="7">
    <w:abstractNumId w:val="0"/>
  </w:num>
  <w:num w:numId="8">
    <w:abstractNumId w:val="19"/>
  </w:num>
  <w:num w:numId="9">
    <w:abstractNumId w:val="7"/>
  </w:num>
  <w:num w:numId="10">
    <w:abstractNumId w:val="8"/>
  </w:num>
  <w:num w:numId="11">
    <w:abstractNumId w:val="4"/>
  </w:num>
  <w:num w:numId="12">
    <w:abstractNumId w:val="3"/>
  </w:num>
  <w:num w:numId="13">
    <w:abstractNumId w:val="14"/>
  </w:num>
  <w:num w:numId="14">
    <w:abstractNumId w:val="12"/>
  </w:num>
  <w:num w:numId="15">
    <w:abstractNumId w:val="1"/>
  </w:num>
  <w:num w:numId="16">
    <w:abstractNumId w:val="6"/>
  </w:num>
  <w:num w:numId="17">
    <w:abstractNumId w:val="15"/>
  </w:num>
  <w:num w:numId="18">
    <w:abstractNumId w:val="13"/>
  </w:num>
  <w:num w:numId="19">
    <w:abstractNumId w:val="17"/>
  </w:num>
  <w:num w:numId="20">
    <w:abstractNumId w:val="16"/>
  </w:num>
  <w:num w:numId="21">
    <w:abstractNumId w:val="18"/>
  </w:num>
  <w:num w:numId="22">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hideSpellingErrors/>
  <w:hideGrammaticalErrors/>
  <w:activeWritingStyle w:appName="MSWord" w:lang="en-AU" w:vendorID="64" w:dllVersion="6" w:nlCheck="1" w:checkStyle="0"/>
  <w:activeWritingStyle w:appName="MSWord" w:lang="en-GB" w:vendorID="64" w:dllVersion="6" w:nlCheck="1" w:checkStyle="0"/>
  <w:activeWritingStyle w:appName="MSWord" w:lang="en-AU" w:vendorID="64" w:dllVersion="0" w:nlCheck="1" w:checkStyle="0"/>
  <w:activeWritingStyle w:appName="MSWord" w:lang="en-US" w:vendorID="64" w:dllVersion="0" w:nlCheck="1" w:checkStyle="0"/>
  <w:activeWritingStyle w:appName="MSWord" w:lang="en-NZ" w:vendorID="64" w:dllVersion="0" w:nlCheck="1" w:checkStyle="0"/>
  <w:activeWritingStyle w:appName="MSWord" w:lang="en-GB" w:vendorID="64" w:dllVersion="0" w:nlCheck="1" w:checkStyle="0"/>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en-NZ" w:vendorID="64" w:dllVersion="131078" w:nlCheck="1" w:checkStyle="1"/>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0CB"/>
    <w:rsid w:val="00025E55"/>
    <w:rsid w:val="000A6A38"/>
    <w:rsid w:val="000B114D"/>
    <w:rsid w:val="000D1042"/>
    <w:rsid w:val="000E48B8"/>
    <w:rsid w:val="00145ACD"/>
    <w:rsid w:val="00167221"/>
    <w:rsid w:val="00264949"/>
    <w:rsid w:val="00375D86"/>
    <w:rsid w:val="005468AB"/>
    <w:rsid w:val="0061790A"/>
    <w:rsid w:val="00652ED7"/>
    <w:rsid w:val="00670435"/>
    <w:rsid w:val="006B67FB"/>
    <w:rsid w:val="006C3B75"/>
    <w:rsid w:val="006E2E62"/>
    <w:rsid w:val="006E3A86"/>
    <w:rsid w:val="007070CB"/>
    <w:rsid w:val="00A07803"/>
    <w:rsid w:val="00AF1977"/>
    <w:rsid w:val="00AF481E"/>
    <w:rsid w:val="00C15476"/>
    <w:rsid w:val="00C2756F"/>
    <w:rsid w:val="00C42D5F"/>
    <w:rsid w:val="00C75202"/>
    <w:rsid w:val="00D455A7"/>
    <w:rsid w:val="00D82C03"/>
    <w:rsid w:val="00E90A30"/>
    <w:rsid w:val="00ED3B69"/>
    <w:rsid w:val="00EF091F"/>
    <w:rsid w:val="00F67123"/>
    <w:rsid w:val="00F94EE4"/>
    <w:rsid w:val="00FA2CAB"/>
    <w:rsid w:val="00FE09CF"/>
    <w:rsid w:val="00FE7D8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Calibri" w:hAnsi="Calibri" w:cs="Arial"/>
      <w:snapToGrid w:val="0"/>
      <w:sz w:val="24"/>
      <w:szCs w:val="22"/>
      <w:lang w:eastAsia="en-US"/>
    </w:rPr>
  </w:style>
  <w:style w:type="paragraph" w:styleId="Heading1">
    <w:name w:val="heading 1"/>
    <w:basedOn w:val="Normal"/>
    <w:next w:val="Normal"/>
    <w:link w:val="Heading1Char"/>
    <w:uiPriority w:val="1"/>
    <w:qFormat/>
    <w:pPr>
      <w:ind w:left="720" w:hanging="720"/>
      <w:outlineLvl w:val="0"/>
    </w:pPr>
    <w:rPr>
      <w:b/>
      <w:caps/>
      <w:sz w:val="32"/>
    </w:rPr>
  </w:style>
  <w:style w:type="paragraph" w:styleId="Heading2">
    <w:name w:val="heading 2"/>
    <w:basedOn w:val="Normal"/>
    <w:next w:val="Normal"/>
    <w:link w:val="Heading2Char"/>
    <w:qFormat/>
    <w:pPr>
      <w:keepNext/>
      <w:widowControl/>
      <w:spacing w:after="120"/>
      <w:outlineLvl w:val="1"/>
    </w:pPr>
    <w:rPr>
      <w:b/>
      <w:i/>
      <w:sz w:val="28"/>
    </w:rPr>
  </w:style>
  <w:style w:type="paragraph" w:styleId="Heading3">
    <w:name w:val="heading 3"/>
    <w:basedOn w:val="Normal"/>
    <w:next w:val="Normal"/>
    <w:pPr>
      <w:outlineLvl w:val="2"/>
    </w:pPr>
    <w:rPr>
      <w:u w:val="single"/>
    </w:rPr>
  </w:style>
  <w:style w:type="paragraph" w:styleId="Heading4">
    <w:name w:val="heading 4"/>
    <w:basedOn w:val="Normal"/>
    <w:next w:val="Normal"/>
    <w:pPr>
      <w:keepNext/>
      <w:spacing w:before="240" w:after="60"/>
      <w:outlineLvl w:val="3"/>
    </w:pPr>
    <w:rPr>
      <w:b/>
      <w:bCs/>
      <w:i/>
      <w:sz w:val="26"/>
      <w:szCs w:val="28"/>
    </w:rPr>
  </w:style>
  <w:style w:type="paragraph" w:styleId="Heading5">
    <w:name w:val="heading 5"/>
    <w:basedOn w:val="Normal"/>
    <w:next w:val="Normal"/>
    <w:pPr>
      <w:spacing w:before="240" w:after="60"/>
      <w:outlineLvl w:val="4"/>
    </w:pPr>
    <w:rPr>
      <w:b/>
      <w:bCs/>
      <w:iCs/>
      <w:sz w:val="26"/>
      <w:szCs w:val="26"/>
    </w:rPr>
  </w:style>
  <w:style w:type="paragraph" w:styleId="Heading6">
    <w:name w:val="heading 6"/>
    <w:basedOn w:val="Normal"/>
    <w:next w:val="Normal"/>
    <w:pPr>
      <w:spacing w:before="240" w:after="60"/>
      <w:outlineLvl w:val="5"/>
    </w:pPr>
    <w:rPr>
      <w:b/>
      <w:bCs/>
      <w:i/>
    </w:rPr>
  </w:style>
  <w:style w:type="paragraph" w:styleId="Heading7">
    <w:name w:val="heading 7"/>
    <w:basedOn w:val="Normal"/>
    <w:next w:val="Normal"/>
    <w:link w:val="Heading7Char"/>
    <w:pPr>
      <w:keepNext/>
      <w:jc w:val="center"/>
      <w:outlineLvl w:val="6"/>
    </w:pPr>
    <w:rPr>
      <w:b/>
      <w:sz w:val="20"/>
    </w:rPr>
  </w:style>
  <w:style w:type="paragraph" w:styleId="Heading8">
    <w:name w:val="heading 8"/>
    <w:basedOn w:val="Normal"/>
    <w:next w:val="Normal"/>
    <w:link w:val="Heading8Char"/>
    <w:pPr>
      <w:keepNext/>
      <w:jc w:val="right"/>
      <w:outlineLvl w:val="7"/>
    </w:pPr>
    <w:rPr>
      <w:b/>
    </w:rPr>
  </w:style>
  <w:style w:type="paragraph" w:styleId="Heading9">
    <w:name w:val="heading 9"/>
    <w:basedOn w:val="Normal"/>
    <w:next w:val="Normal"/>
    <w:link w:val="Heading9Char"/>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hAnsi="Calibri" w:cs="Arial"/>
      <w:b/>
      <w:i/>
      <w:snapToGrid w:val="0"/>
      <w:sz w:val="28"/>
      <w:szCs w:val="22"/>
      <w:lang w:eastAsia="en-US"/>
    </w:rPr>
  </w:style>
  <w:style w:type="character" w:customStyle="1" w:styleId="Heading7Char">
    <w:name w:val="Heading 7 Char"/>
    <w:basedOn w:val="DefaultParagraphFont"/>
    <w:link w:val="Heading7"/>
    <w:rPr>
      <w:rFonts w:ascii="Arial" w:hAnsi="Arial"/>
      <w:b/>
      <w:snapToGrid w:val="0"/>
      <w:lang w:eastAsia="en-US"/>
    </w:rPr>
  </w:style>
  <w:style w:type="character" w:customStyle="1" w:styleId="Heading8Char">
    <w:name w:val="Heading 8 Char"/>
    <w:basedOn w:val="DefaultParagraphFont"/>
    <w:link w:val="Heading8"/>
    <w:rPr>
      <w:b/>
      <w:snapToGrid w:val="0"/>
      <w:sz w:val="24"/>
      <w:lang w:eastAsia="en-US"/>
    </w:rPr>
  </w:style>
  <w:style w:type="character" w:customStyle="1" w:styleId="Heading9Char">
    <w:name w:val="Heading 9 Char"/>
    <w:basedOn w:val="DefaultParagraphFont"/>
    <w:link w:val="Heading9"/>
    <w:rPr>
      <w:rFonts w:ascii="Arial" w:hAnsi="Arial"/>
      <w:b/>
      <w:snapToGrid w:val="0"/>
      <w:color w:val="000000"/>
      <w:lang w:eastAsia="en-US"/>
    </w:rPr>
  </w:style>
  <w:style w:type="paragraph" w:customStyle="1" w:styleId="TableFooter">
    <w:name w:val="Table Footer"/>
    <w:basedOn w:val="Normal"/>
    <w:link w:val="TableFooterChar"/>
    <w:qFormat/>
    <w:rPr>
      <w:rFonts w:ascii="Arial Narrow" w:hAnsi="Arial Narrow"/>
      <w:sz w:val="18"/>
    </w:rPr>
  </w:style>
  <w:style w:type="character" w:customStyle="1" w:styleId="TableFooterChar">
    <w:name w:val="Table Footer Char"/>
    <w:link w:val="TableFooter"/>
    <w:rPr>
      <w:rFonts w:ascii="Arial Narrow" w:hAnsi="Arial Narrow" w:cs="Arial"/>
      <w:snapToGrid w:val="0"/>
      <w:sz w:val="18"/>
      <w:lang w:eastAsia="en-US"/>
    </w:rPr>
  </w:style>
  <w:style w:type="paragraph" w:customStyle="1" w:styleId="TableHeader">
    <w:name w:val="Table Header"/>
    <w:basedOn w:val="Normal"/>
    <w:uiPriority w:val="3"/>
    <w:rPr>
      <w:b/>
      <w:sz w:val="20"/>
    </w:rPr>
  </w:style>
  <w:style w:type="paragraph" w:styleId="Caption">
    <w:name w:val="caption"/>
    <w:aliases w:val="Bullet,- H17,Bayer Caption,IB Caption,Medical Caption,B Caption,Caption Char2 Char,Caption Char Char Char2,Caption Char1 Char Char Char1,Caption Char2 Char Char Char1 Char1,Caption Char Char1 Char Char Char1 Char1,Caption Char Char1"/>
    <w:basedOn w:val="Normal"/>
    <w:next w:val="Normal"/>
    <w:link w:val="CaptionChar"/>
    <w:unhideWhenUsed/>
    <w:qFormat/>
    <w:pPr>
      <w:spacing w:after="200"/>
    </w:pPr>
    <w:rPr>
      <w:b/>
      <w:bCs/>
      <w:color w:val="4F81BD" w:themeColor="accent1"/>
      <w:sz w:val="18"/>
      <w:szCs w:val="18"/>
    </w:rPr>
  </w:style>
  <w:style w:type="character" w:customStyle="1" w:styleId="CaptionChar">
    <w:name w:val="Caption Char"/>
    <w:aliases w:val="Bullet Char,- H17 Char,Bayer Caption Char,IB Caption Char,Medical Caption Char,B Caption Char,Caption Char2 Char Char,Caption Char Char Char2 Char,Caption Char1 Char Char Char1 Char,Caption Char2 Char Char Char1 Char1 Char"/>
    <w:link w:val="Caption"/>
    <w:rPr>
      <w:b/>
      <w:bCs/>
      <w:snapToGrid w:val="0"/>
      <w:color w:val="4F81BD" w:themeColor="accent1"/>
      <w:sz w:val="18"/>
      <w:szCs w:val="18"/>
      <w:lang w:eastAsia="en-US"/>
    </w:rPr>
  </w:style>
  <w:style w:type="paragraph" w:styleId="Title">
    <w:name w:val="Title"/>
    <w:basedOn w:val="Normal"/>
    <w:next w:val="Normal"/>
    <w:link w:val="TitleChar"/>
    <w:qFormat/>
    <w:pPr>
      <w:widowControl/>
      <w:outlineLvl w:val="0"/>
    </w:pPr>
    <w:rPr>
      <w:b/>
      <w:sz w:val="36"/>
      <w:szCs w:val="36"/>
    </w:rPr>
  </w:style>
  <w:style w:type="character" w:customStyle="1" w:styleId="TitleChar">
    <w:name w:val="Title Char"/>
    <w:basedOn w:val="DefaultParagraphFont"/>
    <w:link w:val="Title"/>
    <w:rPr>
      <w:rFonts w:ascii="Calibri" w:hAnsi="Calibri" w:cs="Arial"/>
      <w:b/>
      <w:snapToGrid w:val="0"/>
      <w:sz w:val="36"/>
      <w:szCs w:val="36"/>
      <w:lang w:eastAsia="en-US"/>
    </w:rPr>
  </w:style>
  <w:style w:type="paragraph" w:styleId="BodyText">
    <w:name w:val="Body Text"/>
    <w:basedOn w:val="Normal"/>
    <w:link w:val="BodyTextChar"/>
    <w:qFormat/>
    <w:pPr>
      <w:jc w:val="left"/>
    </w:pPr>
  </w:style>
  <w:style w:type="character" w:customStyle="1" w:styleId="BodyTextChar">
    <w:name w:val="Body Text Char"/>
    <w:basedOn w:val="DefaultParagraphFont"/>
    <w:link w:val="BodyText"/>
    <w:rPr>
      <w:rFonts w:ascii="Arial" w:hAnsi="Arial" w:cs="Arial"/>
      <w:snapToGrid w:val="0"/>
      <w:sz w:val="22"/>
      <w:lang w:eastAsia="en-US"/>
    </w:rPr>
  </w:style>
  <w:style w:type="paragraph" w:styleId="ListParagraph">
    <w:name w:val="List Paragraph"/>
    <w:aliases w:val="Numbered para,BulletPoints,List Paragraph1,Footnote,Bullet point,List Paragraph11,Recommendation,ES Paragraph,PBAC ES Paragraph,PBAC normal points,Figure_name,Numbered Indented Text,Bullet- First level,List NUmber,Listenabsatz1,lp1"/>
    <w:basedOn w:val="Normal"/>
    <w:link w:val="ListParagraphChar"/>
    <w:uiPriority w:val="34"/>
    <w:qFormat/>
    <w:pPr>
      <w:spacing w:after="120"/>
      <w:ind w:left="720"/>
    </w:pPr>
  </w:style>
  <w:style w:type="character" w:customStyle="1" w:styleId="ListParagraphChar">
    <w:name w:val="List Paragraph Char"/>
    <w:aliases w:val="Numbered para Char,BulletPoints Char,List Paragraph1 Char,Footnote Char,Bullet point Char,List Paragraph11 Char,Recommendation Char,ES Paragraph Char,PBAC ES Paragraph Char,PBAC normal points Char,Figure_name Char,List NUmber Char"/>
    <w:basedOn w:val="DefaultParagraphFont"/>
    <w:link w:val="ListParagraph"/>
    <w:uiPriority w:val="34"/>
    <w:qFormat/>
    <w:locked/>
    <w:rPr>
      <w:rFonts w:ascii="Calibri" w:hAnsi="Calibri" w:cs="Arial"/>
      <w:snapToGrid w:val="0"/>
      <w:sz w:val="24"/>
      <w:szCs w:val="22"/>
      <w:lang w:eastAsia="en-US"/>
    </w:rPr>
  </w:style>
  <w:style w:type="paragraph" w:customStyle="1" w:styleId="RegularText">
    <w:name w:val="Regular Text"/>
    <w:basedOn w:val="BodyText"/>
    <w:link w:val="RegularTextChar"/>
    <w:rPr>
      <w:b/>
    </w:rPr>
  </w:style>
  <w:style w:type="character" w:customStyle="1" w:styleId="RegularTextChar">
    <w:name w:val="Regular Text Char"/>
    <w:basedOn w:val="BodyTextChar"/>
    <w:link w:val="RegularText"/>
    <w:rPr>
      <w:rFonts w:ascii="Arial" w:hAnsi="Arial" w:cs="Arial"/>
      <w:b/>
      <w:snapToGrid w:val="0"/>
      <w:sz w:val="22"/>
      <w:lang w:eastAsia="en-US"/>
    </w:rPr>
  </w:style>
  <w:style w:type="paragraph" w:styleId="NoSpacing">
    <w:name w:val="No Spacing"/>
    <w:uiPriority w:val="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Pr>
      <w:rFonts w:ascii="Arial" w:hAnsi="Arial" w:cs="Arial"/>
      <w:snapToGrid w:val="0"/>
      <w:sz w:val="22"/>
      <w:lang w:eastAsia="en-US"/>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Arial" w:hAnsi="Arial" w:cs="Arial"/>
      <w:snapToGrid w:val="0"/>
      <w:sz w:val="22"/>
      <w:lang w:eastAsia="en-US"/>
    </w:rPr>
  </w:style>
  <w:style w:type="table" w:styleId="TableGrid">
    <w:name w:val="Table Grid"/>
    <w:aliases w:val="Summary box,Table Gridbeth,ASD Table"/>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Pr>
      <w:rFonts w:ascii="Arial Narrow" w:hAnsi="Arial Narrow"/>
      <w:b/>
      <w:sz w:val="20"/>
      <w:szCs w:val="16"/>
    </w:rPr>
  </w:style>
  <w:style w:type="paragraph" w:customStyle="1" w:styleId="Tabletext">
    <w:name w:val="Table text"/>
    <w:basedOn w:val="Normal"/>
    <w:link w:val="TabletextChar"/>
    <w:qFormat/>
    <w:pPr>
      <w:widowControl/>
      <w:jc w:val="left"/>
    </w:pPr>
    <w:rPr>
      <w:rFonts w:ascii="Arial Narrow" w:hAnsi="Arial Narrow" w:cs="Times New Roman"/>
      <w:snapToGrid/>
      <w:sz w:val="20"/>
    </w:rPr>
  </w:style>
  <w:style w:type="character" w:customStyle="1" w:styleId="TabletextChar">
    <w:name w:val="Table text Char"/>
    <w:link w:val="Tabletext"/>
    <w:rPr>
      <w:rFonts w:ascii="Arial Narrow" w:hAnsi="Arial Narrow"/>
      <w:lang w:eastAsia="en-US"/>
    </w:rPr>
  </w:style>
  <w:style w:type="paragraph" w:customStyle="1" w:styleId="TableHeading">
    <w:name w:val="TableHeading"/>
    <w:basedOn w:val="Normal"/>
    <w:link w:val="TableHeadingChar"/>
    <w:uiPriority w:val="99"/>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pPr>
      <w:widowControl/>
      <w:jc w:val="both"/>
    </w:pPr>
    <w:rPr>
      <w:rFonts w:ascii="Times" w:hAnsi="Times" w:cs="Times New Roman"/>
      <w:snapToGrid/>
      <w:lang w:val="en-US"/>
    </w:rPr>
  </w:style>
  <w:style w:type="paragraph" w:styleId="NormalWeb">
    <w:name w:val="Normal (Web)"/>
    <w:basedOn w:val="Normal"/>
    <w:uiPriority w:val="99"/>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pPr>
      <w:spacing w:before="240" w:after="120"/>
      <w:jc w:val="left"/>
    </w:pPr>
    <w:rPr>
      <w:bCs/>
      <w:sz w:val="20"/>
    </w:rPr>
  </w:style>
  <w:style w:type="character" w:styleId="Hyperlink">
    <w:name w:val="Hyperlink"/>
    <w:basedOn w:val="DefaultParagraphFont"/>
    <w:uiPriority w:val="99"/>
    <w:unhideWhenUsed/>
    <w:rPr>
      <w:color w:val="0000FF" w:themeColor="hyperlink"/>
      <w:u w:val="single"/>
    </w:rPr>
  </w:style>
  <w:style w:type="paragraph" w:styleId="TOCHeading">
    <w:name w:val="TOC Heading"/>
    <w:basedOn w:val="Heading1"/>
    <w:next w:val="Normal"/>
    <w:uiPriority w:val="39"/>
    <w:unhideWhenUsed/>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pPr>
      <w:ind w:left="440"/>
      <w:jc w:val="left"/>
    </w:pPr>
    <w:rPr>
      <w:rFonts w:asciiTheme="minorHAnsi" w:hAnsiTheme="minorHAnsi"/>
      <w:sz w:val="20"/>
    </w:rPr>
  </w:style>
  <w:style w:type="paragraph" w:styleId="TOC4">
    <w:name w:val="toc 4"/>
    <w:basedOn w:val="Normal"/>
    <w:next w:val="Normal"/>
    <w:autoRedefine/>
    <w:pPr>
      <w:ind w:left="660"/>
      <w:jc w:val="left"/>
    </w:pPr>
    <w:rPr>
      <w:rFonts w:asciiTheme="minorHAnsi" w:hAnsiTheme="minorHAnsi"/>
      <w:sz w:val="20"/>
    </w:rPr>
  </w:style>
  <w:style w:type="paragraph" w:styleId="TOC5">
    <w:name w:val="toc 5"/>
    <w:basedOn w:val="Normal"/>
    <w:next w:val="Normal"/>
    <w:autoRedefine/>
    <w:pPr>
      <w:ind w:left="880"/>
      <w:jc w:val="left"/>
    </w:pPr>
    <w:rPr>
      <w:rFonts w:asciiTheme="minorHAnsi" w:hAnsiTheme="minorHAnsi"/>
      <w:sz w:val="20"/>
    </w:rPr>
  </w:style>
  <w:style w:type="paragraph" w:styleId="TOC6">
    <w:name w:val="toc 6"/>
    <w:basedOn w:val="Normal"/>
    <w:next w:val="Normal"/>
    <w:autoRedefine/>
    <w:pPr>
      <w:ind w:left="1100"/>
      <w:jc w:val="left"/>
    </w:pPr>
    <w:rPr>
      <w:rFonts w:asciiTheme="minorHAnsi" w:hAnsiTheme="minorHAnsi"/>
      <w:sz w:val="20"/>
    </w:rPr>
  </w:style>
  <w:style w:type="paragraph" w:styleId="TOC7">
    <w:name w:val="toc 7"/>
    <w:basedOn w:val="Normal"/>
    <w:next w:val="Normal"/>
    <w:autoRedefine/>
    <w:pPr>
      <w:ind w:left="1320"/>
      <w:jc w:val="left"/>
    </w:pPr>
    <w:rPr>
      <w:rFonts w:asciiTheme="minorHAnsi" w:hAnsiTheme="minorHAnsi"/>
      <w:sz w:val="20"/>
    </w:rPr>
  </w:style>
  <w:style w:type="paragraph" w:styleId="TOC8">
    <w:name w:val="toc 8"/>
    <w:basedOn w:val="Normal"/>
    <w:next w:val="Normal"/>
    <w:autoRedefine/>
    <w:pPr>
      <w:ind w:left="1540"/>
      <w:jc w:val="left"/>
    </w:pPr>
    <w:rPr>
      <w:rFonts w:asciiTheme="minorHAnsi" w:hAnsiTheme="minorHAnsi"/>
      <w:sz w:val="20"/>
    </w:rPr>
  </w:style>
  <w:style w:type="paragraph" w:styleId="TOC9">
    <w:name w:val="toc 9"/>
    <w:basedOn w:val="Normal"/>
    <w:next w:val="Normal"/>
    <w:autoRedefine/>
    <w:pPr>
      <w:ind w:left="1760"/>
      <w:jc w:val="left"/>
    </w:pPr>
    <w:rPr>
      <w:rFonts w:asciiTheme="minorHAnsi" w:hAnsiTheme="minorHAnsi"/>
      <w:sz w:val="20"/>
    </w:rPr>
  </w:style>
  <w:style w:type="paragraph" w:styleId="CommentText">
    <w:name w:val="annotation text"/>
    <w:aliases w:val="- H19"/>
    <w:basedOn w:val="Normal"/>
    <w:link w:val="CommentTextChar"/>
    <w:uiPriority w:val="99"/>
    <w:rPr>
      <w:rFonts w:ascii="Times New Roman" w:hAnsi="Times New Roman" w:cs="Times New Roman"/>
      <w:sz w:val="20"/>
    </w:rPr>
  </w:style>
  <w:style w:type="character" w:customStyle="1" w:styleId="CommentTextChar">
    <w:name w:val="Comment Text Char"/>
    <w:aliases w:val="- H19 Char"/>
    <w:basedOn w:val="DefaultParagraphFont"/>
    <w:link w:val="CommentText"/>
    <w:uiPriority w:val="99"/>
    <w:rPr>
      <w:snapToGrid w:val="0"/>
      <w:lang w:eastAsia="en-US"/>
    </w:rPr>
  </w:style>
  <w:style w:type="paragraph" w:customStyle="1" w:styleId="Bulletpoints">
    <w:name w:val="Bullet points"/>
    <w:basedOn w:val="ListParagraph"/>
    <w:qFormat/>
    <w:pPr>
      <w:numPr>
        <w:numId w:val="2"/>
      </w:numPr>
      <w:spacing w:after="0"/>
    </w:pPr>
    <w:rPr>
      <w:szCs w:val="24"/>
    </w:rPr>
  </w:style>
  <w:style w:type="paragraph" w:customStyle="1" w:styleId="TableName">
    <w:name w:val="TableName"/>
    <w:basedOn w:val="Normal"/>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pPr>
      <w:keepNext/>
      <w:spacing w:after="0"/>
    </w:pPr>
  </w:style>
  <w:style w:type="paragraph" w:styleId="CommentSubject">
    <w:name w:val="annotation subject"/>
    <w:basedOn w:val="CommentText"/>
    <w:next w:val="CommentText"/>
    <w:link w:val="CommentSubjectChar"/>
    <w:rPr>
      <w:rFonts w:ascii="Arial" w:hAnsi="Arial" w:cs="Arial"/>
      <w:b/>
      <w:bCs/>
    </w:rPr>
  </w:style>
  <w:style w:type="character" w:customStyle="1" w:styleId="CommentSubjectChar">
    <w:name w:val="Comment Subject Char"/>
    <w:basedOn w:val="CommentTextChar"/>
    <w:link w:val="CommentSubject"/>
    <w:rPr>
      <w:rFonts w:ascii="Arial" w:hAnsi="Arial" w:cs="Arial"/>
      <w:b/>
      <w:bCs/>
      <w:snapToGrid w:val="0"/>
      <w:lang w:eastAsia="en-US"/>
    </w:rPr>
  </w:style>
  <w:style w:type="paragraph" w:styleId="Revision">
    <w:name w:val="Revision"/>
    <w:hidden/>
    <w:uiPriority w:val="99"/>
    <w:semiHidden/>
    <w:rPr>
      <w:rFonts w:ascii="Arial" w:hAnsi="Arial" w:cs="Arial"/>
      <w:snapToGrid w:val="0"/>
      <w:sz w:val="22"/>
      <w:lang w:eastAsia="en-US"/>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basedOn w:val="DefaultParagraphFont"/>
    <w:link w:val="BodyTextIndent"/>
    <w:rPr>
      <w:rFonts w:ascii="Arial" w:hAnsi="Arial" w:cs="Arial"/>
      <w:snapToGrid w:val="0"/>
      <w:sz w:val="22"/>
      <w:lang w:eastAsia="en-US"/>
    </w:rPr>
  </w:style>
  <w:style w:type="paragraph" w:customStyle="1" w:styleId="Char1CharCharChar">
    <w:name w:val="Char1 Char Char Char"/>
    <w:basedOn w:val="Normal"/>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Pr>
      <w:lang w:eastAsia="en-US"/>
    </w:rPr>
  </w:style>
  <w:style w:type="paragraph" w:styleId="Subtitle">
    <w:name w:val="Subtitle"/>
    <w:basedOn w:val="Normal"/>
    <w:link w:val="SubtitleChar"/>
    <w:qFormat/>
    <w:pPr>
      <w:widowControl/>
    </w:pPr>
    <w:rPr>
      <w:rFonts w:ascii="Times New Roman" w:hAnsi="Times New Roman" w:cs="Times New Roman"/>
      <w:snapToGrid/>
      <w:sz w:val="20"/>
    </w:rPr>
  </w:style>
  <w:style w:type="character" w:customStyle="1" w:styleId="SubtitleChar1">
    <w:name w:val="Subtitle Char1"/>
    <w:basedOn w:val="DefaultParagraphFont"/>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pPr>
      <w:keepNext/>
      <w:numPr>
        <w:numId w:val="1"/>
      </w:numPr>
      <w:spacing w:before="240" w:after="120"/>
      <w:outlineLvl w:val="0"/>
    </w:pPr>
    <w:rPr>
      <w:rFonts w:ascii="Calibri" w:hAnsi="Calibri" w:cs="Arial"/>
      <w:b/>
      <w:snapToGrid w:val="0"/>
      <w:sz w:val="32"/>
      <w:szCs w:val="22"/>
      <w:lang w:eastAsia="en-US"/>
    </w:rPr>
  </w:style>
  <w:style w:type="table" w:customStyle="1" w:styleId="PlainTable21">
    <w:name w:val="Plain Table 21"/>
    <w:basedOn w:val="TableNormal"/>
    <w:uiPriority w:val="42"/>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Pr>
      <w:color w:val="800080" w:themeColor="followedHyperlink"/>
      <w:u w:val="single"/>
    </w:rPr>
  </w:style>
  <w:style w:type="character" w:styleId="PageNumber">
    <w:name w:val="page number"/>
    <w:basedOn w:val="DefaultParagraphFont"/>
    <w:semiHidden/>
    <w:unhideWhenUsed/>
  </w:style>
  <w:style w:type="paragraph" w:customStyle="1" w:styleId="Commentitalics">
    <w:name w:val="Comment (italics)"/>
    <w:basedOn w:val="Normal"/>
    <w:next w:val="Normal"/>
    <w:qFormat/>
    <w:rPr>
      <w:i/>
      <w:szCs w:val="24"/>
    </w:rPr>
  </w:style>
  <w:style w:type="paragraph" w:styleId="BalloonText">
    <w:name w:val="Balloon Text"/>
    <w:basedOn w:val="Normal"/>
    <w:link w:val="BalloonTextChar"/>
    <w:semiHidden/>
    <w:unhideWhenUsed/>
    <w:rPr>
      <w:rFonts w:ascii="Tahoma" w:hAnsi="Tahoma" w:cs="Tahoma"/>
      <w:sz w:val="16"/>
      <w:szCs w:val="16"/>
    </w:rPr>
  </w:style>
  <w:style w:type="character" w:customStyle="1" w:styleId="BalloonTextChar">
    <w:name w:val="Balloon Text Char"/>
    <w:basedOn w:val="DefaultParagraphFont"/>
    <w:link w:val="BalloonText"/>
    <w:semiHidden/>
    <w:rPr>
      <w:rFonts w:ascii="Tahoma" w:hAnsi="Tahoma" w:cs="Tahoma"/>
      <w:snapToGrid w:val="0"/>
      <w:sz w:val="16"/>
      <w:szCs w:val="16"/>
      <w:lang w:eastAsia="en-US"/>
    </w:rPr>
  </w:style>
  <w:style w:type="paragraph" w:customStyle="1" w:styleId="Default">
    <w:name w:val="Default"/>
    <w:pPr>
      <w:autoSpaceDE w:val="0"/>
      <w:autoSpaceDN w:val="0"/>
      <w:adjustRightInd w:val="0"/>
    </w:pPr>
    <w:rPr>
      <w:color w:val="000000"/>
      <w:sz w:val="24"/>
      <w:szCs w:val="24"/>
      <w:lang w:val="en-US" w:eastAsia="en-US"/>
    </w:rPr>
  </w:style>
  <w:style w:type="character" w:customStyle="1" w:styleId="TableLeftChar">
    <w:name w:val="Table Left Char"/>
    <w:basedOn w:val="DefaultParagraphFont"/>
    <w:link w:val="TableLeft"/>
    <w:uiPriority w:val="99"/>
    <w:locked/>
    <w:rPr>
      <w:rFonts w:ascii="Calibri" w:hAnsi="Calibri" w:cs="Calibri"/>
      <w:szCs w:val="22"/>
      <w:lang w:eastAsia="en-US"/>
    </w:rPr>
  </w:style>
  <w:style w:type="paragraph" w:customStyle="1" w:styleId="TableLeft">
    <w:name w:val="Table Left"/>
    <w:basedOn w:val="Normal"/>
    <w:link w:val="TableLeftChar"/>
    <w:uiPriority w:val="99"/>
    <w:qFormat/>
    <w:pPr>
      <w:widowControl/>
      <w:jc w:val="left"/>
    </w:pPr>
    <w:rPr>
      <w:rFonts w:cs="Calibri"/>
      <w:snapToGrid/>
      <w:sz w:val="20"/>
    </w:rPr>
  </w:style>
  <w:style w:type="character" w:customStyle="1" w:styleId="FontBold">
    <w:name w:val="Font Bold"/>
    <w:basedOn w:val="DefaultParagraphFont"/>
    <w:uiPriority w:val="1"/>
    <w:qFormat/>
    <w:rPr>
      <w:rFonts w:ascii="Calibri" w:hAnsi="Calibri" w:cs="Calibri" w:hint="default"/>
      <w:b/>
      <w:bCs w:val="0"/>
      <w:i w:val="0"/>
      <w:iCs w:val="0"/>
      <w:sz w:val="24"/>
    </w:rPr>
  </w:style>
  <w:style w:type="table" w:customStyle="1" w:styleId="TableHTAsimple">
    <w:name w:val="Table HTA simple"/>
    <w:basedOn w:val="TableNormal"/>
    <w:uiPriority w:val="99"/>
    <w:rPr>
      <w:rFonts w:asciiTheme="minorHAnsi" w:eastAsiaTheme="minorHAnsi" w:hAnsiTheme="minorHAnsi" w:cstheme="minorBidi"/>
      <w:sz w:val="18"/>
      <w:szCs w:val="22"/>
      <w:lang w:val="de-DE" w:eastAsia="en-US"/>
    </w:rPr>
    <w:tblPr>
      <w:tblStyleRowBandSize w:val="1"/>
      <w:tblInd w:w="0" w:type="nil"/>
      <w:tblBorders>
        <w:top w:val="single" w:sz="4" w:space="0" w:color="auto"/>
        <w:bottom w:val="single" w:sz="4" w:space="0" w:color="auto"/>
        <w:insideH w:val="single" w:sz="6" w:space="0" w:color="auto"/>
      </w:tblBorders>
    </w:tblPr>
    <w:tcPr>
      <w:vAlign w:val="center"/>
    </w:tcPr>
    <w:tblStylePr w:type="firstRow">
      <w:pPr>
        <w:wordWrap/>
        <w:spacing w:beforeLines="0" w:before="100" w:beforeAutospacing="1" w:afterLines="0" w:after="100" w:afterAutospacing="1" w:line="240" w:lineRule="auto"/>
      </w:pPr>
      <w:rPr>
        <w:rFonts w:asciiTheme="minorHAnsi" w:hAnsiTheme="minorHAnsi" w:cs="Calibri" w:hint="default"/>
        <w:b w:val="0"/>
        <w:sz w:val="18"/>
        <w:szCs w:val="18"/>
      </w:rPr>
    </w:tblStylePr>
    <w:tblStylePr w:type="band1Horz">
      <w:pPr>
        <w:wordWrap/>
        <w:spacing w:beforeLines="0" w:before="100" w:beforeAutospacing="1" w:afterLines="0" w:after="100" w:afterAutospacing="1" w:line="240" w:lineRule="auto"/>
      </w:pPr>
    </w:tblStylePr>
    <w:tblStylePr w:type="band2Horz">
      <w:pPr>
        <w:wordWrap/>
        <w:spacing w:beforeLines="0" w:before="100" w:beforeAutospacing="1" w:afterLines="0" w:after="100" w:afterAutospacing="1" w:line="240" w:lineRule="auto"/>
      </w:pPr>
    </w:tblStylePr>
  </w:style>
  <w:style w:type="paragraph" w:customStyle="1" w:styleId="PBACTableText">
    <w:name w:val="PBAC Table Text"/>
    <w:basedOn w:val="Normal"/>
    <w:link w:val="PBACTableTextChar"/>
    <w:qFormat/>
    <w:pPr>
      <w:widowControl/>
      <w:jc w:val="left"/>
    </w:pPr>
    <w:rPr>
      <w:rFonts w:ascii="Arial Narrow" w:eastAsia="Batang" w:hAnsi="Arial Narrow" w:cs="Times New Roman"/>
      <w:b/>
      <w:snapToGrid/>
      <w:sz w:val="20"/>
      <w:szCs w:val="20"/>
      <w:lang w:eastAsia="en-AU"/>
    </w:rPr>
  </w:style>
  <w:style w:type="character" w:customStyle="1" w:styleId="PBACTableTextChar">
    <w:name w:val="PBAC Table Text Char"/>
    <w:basedOn w:val="DefaultParagraphFont"/>
    <w:link w:val="PBACTableText"/>
    <w:locked/>
    <w:rPr>
      <w:rFonts w:ascii="Arial Narrow" w:eastAsia="Batang" w:hAnsi="Arial Narrow"/>
      <w:b/>
    </w:rPr>
  </w:style>
  <w:style w:type="table" w:customStyle="1" w:styleId="HTATableshaded1">
    <w:name w:val="HTA Table shaded1"/>
    <w:basedOn w:val="TableNormal"/>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Tabletextleft">
    <w:name w:val="Table text left"/>
    <w:basedOn w:val="Normal"/>
    <w:link w:val="TabletextleftChar"/>
    <w:qFormat/>
    <w:pPr>
      <w:widowControl/>
      <w:spacing w:before="20" w:after="20"/>
      <w:jc w:val="left"/>
    </w:pPr>
    <w:rPr>
      <w:rFonts w:asciiTheme="minorHAnsi" w:hAnsiTheme="minorHAnsi" w:cs="Times New Roman"/>
      <w:snapToGrid/>
      <w:sz w:val="18"/>
      <w:szCs w:val="20"/>
      <w:lang w:eastAsia="en-AU"/>
    </w:rPr>
  </w:style>
  <w:style w:type="character" w:customStyle="1" w:styleId="TabletextleftChar">
    <w:name w:val="Table text left Char"/>
    <w:basedOn w:val="DefaultParagraphFont"/>
    <w:link w:val="Tabletextleft"/>
    <w:rPr>
      <w:rFonts w:asciiTheme="minorHAnsi" w:hAnsiTheme="minorHAnsi"/>
      <w:sz w:val="18"/>
    </w:rPr>
  </w:style>
  <w:style w:type="paragraph" w:customStyle="1" w:styleId="TableFigNotes18">
    <w:name w:val="TableFigNotes+18"/>
    <w:basedOn w:val="BodyText"/>
    <w:next w:val="BodyText"/>
    <w:link w:val="TableFigNotes18Char"/>
    <w:uiPriority w:val="4"/>
    <w:qFormat/>
    <w:pPr>
      <w:keepLines/>
      <w:widowControl/>
      <w:spacing w:after="360" w:line="276" w:lineRule="auto"/>
    </w:pPr>
    <w:rPr>
      <w:rFonts w:asciiTheme="minorHAnsi" w:eastAsiaTheme="minorHAnsi" w:hAnsiTheme="minorHAnsi" w:cs="Tahoma"/>
      <w:snapToGrid/>
      <w:color w:val="000000"/>
      <w:sz w:val="16"/>
      <w:szCs w:val="18"/>
      <w:lang w:eastAsia="en-AU"/>
    </w:rPr>
  </w:style>
  <w:style w:type="character" w:customStyle="1" w:styleId="TableFigNotes18Char">
    <w:name w:val="TableFigNotes+18 Char"/>
    <w:basedOn w:val="DefaultParagraphFont"/>
    <w:link w:val="TableFigNotes18"/>
    <w:uiPriority w:val="4"/>
    <w:rPr>
      <w:rFonts w:asciiTheme="minorHAnsi" w:eastAsiaTheme="minorHAnsi" w:hAnsiTheme="minorHAnsi" w:cs="Tahoma"/>
      <w:color w:val="000000"/>
      <w:sz w:val="16"/>
      <w:szCs w:val="18"/>
    </w:rPr>
  </w:style>
  <w:style w:type="paragraph" w:customStyle="1" w:styleId="Dash0">
    <w:name w:val="Dash+0"/>
    <w:basedOn w:val="Normal"/>
    <w:uiPriority w:val="2"/>
    <w:pPr>
      <w:widowControl/>
      <w:numPr>
        <w:numId w:val="4"/>
      </w:numPr>
      <w:tabs>
        <w:tab w:val="left" w:pos="1134"/>
      </w:tabs>
      <w:spacing w:line="276" w:lineRule="auto"/>
      <w:jc w:val="left"/>
    </w:pPr>
    <w:rPr>
      <w:rFonts w:asciiTheme="minorHAnsi" w:eastAsiaTheme="minorHAnsi" w:hAnsiTheme="minorHAnsi" w:cs="Tahoma"/>
      <w:snapToGrid/>
      <w:color w:val="000000"/>
      <w:sz w:val="22"/>
      <w:lang w:eastAsia="en-AU"/>
    </w:rPr>
  </w:style>
  <w:style w:type="table" w:customStyle="1" w:styleId="HTATableshaded">
    <w:name w:val="HTA Table shaded"/>
    <w:basedOn w:val="TableNormal"/>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TableHeadingleft">
    <w:name w:val="Table Heading left"/>
    <w:basedOn w:val="Normal"/>
    <w:next w:val="Tabletextleft"/>
    <w:qFormat/>
    <w:pPr>
      <w:widowControl/>
      <w:spacing w:before="40" w:after="40"/>
      <w:jc w:val="left"/>
    </w:pPr>
    <w:rPr>
      <w:rFonts w:asciiTheme="minorHAnsi" w:eastAsiaTheme="minorHAnsi" w:hAnsiTheme="minorHAnsi" w:cs="Tahoma"/>
      <w:b/>
      <w:snapToGrid/>
      <w:sz w:val="18"/>
      <w:szCs w:val="18"/>
      <w:lang w:val="de-DE"/>
    </w:rPr>
  </w:style>
  <w:style w:type="paragraph" w:customStyle="1" w:styleId="TableHyerlink">
    <w:name w:val="Table Hyerlink"/>
    <w:basedOn w:val="Tabletextleft"/>
    <w:qFormat/>
  </w:style>
  <w:style w:type="paragraph" w:customStyle="1" w:styleId="Tablebulletlist">
    <w:name w:val="Table bullet list"/>
    <w:basedOn w:val="Tabletextleft"/>
    <w:qFormat/>
    <w:pPr>
      <w:widowControl w:val="0"/>
      <w:numPr>
        <w:numId w:val="5"/>
      </w:numPr>
      <w:tabs>
        <w:tab w:val="left" w:pos="464"/>
      </w:tabs>
      <w:spacing w:before="34" w:after="0"/>
    </w:pPr>
    <w:rPr>
      <w:rFonts w:eastAsia="Calibri"/>
      <w:szCs w:val="18"/>
      <w:lang w:val="en-US"/>
    </w:rPr>
  </w:style>
  <w:style w:type="paragraph" w:customStyle="1" w:styleId="TableH1">
    <w:name w:val="Table H1"/>
    <w:basedOn w:val="BodyText"/>
    <w:uiPriority w:val="4"/>
    <w:qFormat/>
    <w:pPr>
      <w:keepNext/>
      <w:widowControl/>
      <w:tabs>
        <w:tab w:val="left" w:pos="416"/>
        <w:tab w:val="left" w:pos="582"/>
        <w:tab w:val="left" w:pos="1134"/>
      </w:tabs>
      <w:spacing w:before="40" w:after="40"/>
    </w:pPr>
    <w:rPr>
      <w:rFonts w:asciiTheme="minorHAnsi" w:eastAsiaTheme="minorHAnsi" w:hAnsiTheme="minorHAnsi" w:cs="Tahoma"/>
      <w:b/>
      <w:snapToGrid/>
      <w:spacing w:val="-1"/>
      <w:sz w:val="18"/>
      <w:szCs w:val="18"/>
      <w:lang w:val="en-US"/>
    </w:rPr>
  </w:style>
  <w:style w:type="paragraph" w:customStyle="1" w:styleId="Tabletextcent">
    <w:name w:val="Table text cent"/>
    <w:basedOn w:val="Tabletextleft"/>
    <w:qFormat/>
    <w:pPr>
      <w:jc w:val="center"/>
    </w:pPr>
    <w:rPr>
      <w:lang w:val="de-DE"/>
    </w:rPr>
  </w:style>
  <w:style w:type="paragraph" w:customStyle="1" w:styleId="TableFigNotes0">
    <w:name w:val="TableFigNotes+0"/>
    <w:basedOn w:val="Normal"/>
    <w:uiPriority w:val="4"/>
    <w:pPr>
      <w:keepNext/>
      <w:keepLines/>
      <w:widowControl/>
      <w:jc w:val="left"/>
    </w:pPr>
    <w:rPr>
      <w:rFonts w:cs="Tahoma"/>
      <w:snapToGrid/>
      <w:color w:val="000000"/>
      <w:sz w:val="16"/>
      <w:szCs w:val="18"/>
      <w:lang w:val="en-US" w:eastAsia="en-AU"/>
    </w:rPr>
  </w:style>
  <w:style w:type="character" w:customStyle="1" w:styleId="TableHeadingChar">
    <w:name w:val="TableHeading Char"/>
    <w:link w:val="TableHeading"/>
    <w:uiPriority w:val="99"/>
    <w:rPr>
      <w:rFonts w:ascii="Arial Narrow" w:hAnsi="Arial Narrow" w:cs="Arial Narrow"/>
      <w:b/>
      <w:bCs/>
      <w:szCs w:val="22"/>
      <w:lang w:eastAsia="en-US"/>
    </w:rPr>
  </w:style>
  <w:style w:type="paragraph" w:styleId="FootnoteText">
    <w:name w:val="footnote text"/>
    <w:basedOn w:val="Normal"/>
    <w:link w:val="FootnoteTextChar"/>
    <w:unhideWhenUsed/>
    <w:rPr>
      <w:rFonts w:ascii="Arial" w:hAnsi="Arial"/>
      <w:sz w:val="20"/>
      <w:szCs w:val="20"/>
    </w:rPr>
  </w:style>
  <w:style w:type="character" w:customStyle="1" w:styleId="FootnoteTextChar">
    <w:name w:val="Footnote Text Char"/>
    <w:basedOn w:val="DefaultParagraphFont"/>
    <w:link w:val="FootnoteText"/>
    <w:rPr>
      <w:rFonts w:ascii="Arial" w:hAnsi="Arial" w:cs="Arial"/>
      <w:snapToGrid w:val="0"/>
      <w:lang w:eastAsia="en-US"/>
    </w:rPr>
  </w:style>
  <w:style w:type="character" w:styleId="FootnoteReference">
    <w:name w:val="footnote reference"/>
    <w:basedOn w:val="DefaultParagraphFont"/>
    <w:semiHidden/>
    <w:unhideWhenUsed/>
    <w:rPr>
      <w:vertAlign w:val="superscript"/>
    </w:rPr>
  </w:style>
  <w:style w:type="paragraph" w:customStyle="1" w:styleId="Bullet0">
    <w:name w:val="Bullet+0"/>
    <w:basedOn w:val="BodyText"/>
    <w:link w:val="Bullet0Char"/>
    <w:uiPriority w:val="2"/>
    <w:qFormat/>
    <w:pPr>
      <w:widowControl/>
      <w:numPr>
        <w:numId w:val="6"/>
      </w:numPr>
      <w:spacing w:line="276" w:lineRule="auto"/>
    </w:pPr>
    <w:rPr>
      <w:rFonts w:asciiTheme="minorHAnsi" w:eastAsiaTheme="minorHAnsi" w:hAnsiTheme="minorHAnsi"/>
      <w:snapToGrid/>
      <w:sz w:val="22"/>
    </w:rPr>
  </w:style>
  <w:style w:type="character" w:customStyle="1" w:styleId="Bullet0Char">
    <w:name w:val="Bullet+0 Char"/>
    <w:basedOn w:val="DefaultParagraphFont"/>
    <w:link w:val="Bullet0"/>
    <w:uiPriority w:val="2"/>
    <w:rPr>
      <w:rFonts w:asciiTheme="minorHAnsi" w:eastAsiaTheme="minorHAnsi" w:hAnsiTheme="minorHAnsi" w:cs="Arial"/>
      <w:sz w:val="22"/>
      <w:szCs w:val="22"/>
      <w:lang w:eastAsia="en-US"/>
    </w:rPr>
  </w:style>
  <w:style w:type="paragraph" w:customStyle="1" w:styleId="HeadingA2">
    <w:name w:val="HeadingA 2"/>
    <w:basedOn w:val="Heading2"/>
    <w:qFormat/>
    <w:pPr>
      <w:keepLines/>
      <w:numPr>
        <w:ilvl w:val="1"/>
        <w:numId w:val="6"/>
      </w:numPr>
      <w:spacing w:after="200" w:line="276" w:lineRule="auto"/>
      <w:jc w:val="left"/>
    </w:pPr>
    <w:rPr>
      <w:rFonts w:ascii="Tahoma" w:eastAsiaTheme="minorHAnsi" w:hAnsi="Tahoma" w:cs="Tahoma"/>
      <w:b w:val="0"/>
      <w:i w:val="0"/>
      <w:snapToGrid/>
      <w:sz w:val="32"/>
    </w:rPr>
  </w:style>
  <w:style w:type="paragraph" w:customStyle="1" w:styleId="HeadingA3">
    <w:name w:val="HeadingA 3"/>
    <w:basedOn w:val="Heading3"/>
    <w:qFormat/>
    <w:pPr>
      <w:keepNext/>
      <w:keepLines/>
      <w:widowControl/>
      <w:numPr>
        <w:ilvl w:val="2"/>
        <w:numId w:val="6"/>
      </w:numPr>
      <w:spacing w:after="200" w:line="276" w:lineRule="auto"/>
      <w:jc w:val="left"/>
    </w:pPr>
    <w:rPr>
      <w:rFonts w:ascii="Tahoma" w:eastAsiaTheme="minorHAnsi" w:hAnsi="Tahoma" w:cs="Tahoma"/>
      <w:snapToGrid/>
      <w:sz w:val="28"/>
      <w:u w:val="none"/>
    </w:rPr>
  </w:style>
  <w:style w:type="paragraph" w:customStyle="1" w:styleId="HeadingA4">
    <w:name w:val="HeadingA 4"/>
    <w:basedOn w:val="Heading4"/>
    <w:qFormat/>
    <w:pPr>
      <w:keepLines/>
      <w:widowControl/>
      <w:numPr>
        <w:ilvl w:val="3"/>
        <w:numId w:val="6"/>
      </w:numPr>
      <w:spacing w:before="0" w:after="200" w:line="276" w:lineRule="auto"/>
      <w:jc w:val="left"/>
    </w:pPr>
    <w:rPr>
      <w:rFonts w:ascii="Tahoma" w:eastAsiaTheme="minorHAnsi" w:hAnsi="Tahoma" w:cs="Tahoma"/>
      <w:b w:val="0"/>
      <w:bCs w:val="0"/>
      <w:i w:val="0"/>
      <w:snapToGrid/>
      <w:szCs w:val="26"/>
    </w:rPr>
  </w:style>
  <w:style w:type="paragraph" w:styleId="ListBullet">
    <w:name w:val="List Bullet"/>
    <w:basedOn w:val="Normal"/>
    <w:unhideWhenUsed/>
    <w:pPr>
      <w:numPr>
        <w:numId w:val="7"/>
      </w:numPr>
      <w:contextualSpacing/>
    </w:pPr>
  </w:style>
  <w:style w:type="paragraph" w:customStyle="1" w:styleId="Tablename0">
    <w:name w:val="Table name"/>
    <w:basedOn w:val="BodyText"/>
    <w:uiPriority w:val="4"/>
    <w:qFormat/>
    <w:pPr>
      <w:keepNext/>
      <w:widowControl/>
      <w:tabs>
        <w:tab w:val="left" w:pos="1418"/>
      </w:tabs>
      <w:spacing w:before="120" w:after="120"/>
      <w:ind w:left="1418" w:hanging="1418"/>
    </w:pPr>
    <w:rPr>
      <w:rFonts w:cs="Times New Roman"/>
      <w:b/>
      <w:bCs/>
      <w:snapToGrid/>
      <w:sz w:val="22"/>
      <w:szCs w:val="20"/>
      <w:lang w:val="en-US"/>
    </w:rPr>
  </w:style>
  <w:style w:type="table" w:customStyle="1" w:styleId="OPTUMTableNormal">
    <w:name w:val="OPTUM Table Normal"/>
    <w:basedOn w:val="TableNormal"/>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Tableheadingcent">
    <w:name w:val="Table heading cent"/>
    <w:basedOn w:val="TableHeadingleft"/>
    <w:qFormat/>
    <w:pPr>
      <w:jc w:val="center"/>
    </w:pPr>
  </w:style>
  <w:style w:type="paragraph" w:customStyle="1" w:styleId="TableText0">
    <w:name w:val="TableText"/>
    <w:basedOn w:val="Normal"/>
    <w:uiPriority w:val="99"/>
    <w:pPr>
      <w:keepNext/>
      <w:widowControl/>
      <w:spacing w:before="40" w:after="40"/>
      <w:jc w:val="left"/>
    </w:pPr>
    <w:rPr>
      <w:rFonts w:ascii="Arial Narrow" w:eastAsia="SimSun" w:hAnsi="Arial Narrow" w:cs="Arial Narrow"/>
      <w:snapToGrid/>
      <w:sz w:val="20"/>
      <w:szCs w:val="20"/>
    </w:rPr>
  </w:style>
  <w:style w:type="paragraph" w:customStyle="1" w:styleId="tabletextleftjustified">
    <w:name w:val="table text left justified"/>
    <w:link w:val="tabletextleftjustifiedChar"/>
    <w:pPr>
      <w:spacing w:before="20" w:after="20"/>
    </w:pPr>
    <w:rPr>
      <w:lang w:val="en-US" w:eastAsia="en-US"/>
    </w:rPr>
  </w:style>
  <w:style w:type="character" w:customStyle="1" w:styleId="tabletextleftjustifiedChar">
    <w:name w:val="table text left justified Char"/>
    <w:link w:val="tabletextleftjustified"/>
    <w:locked/>
    <w:rPr>
      <w:lang w:val="en-US" w:eastAsia="en-US"/>
    </w:rPr>
  </w:style>
  <w:style w:type="character" w:customStyle="1" w:styleId="Heading1Char">
    <w:name w:val="Heading 1 Char"/>
    <w:basedOn w:val="DefaultParagraphFont"/>
    <w:link w:val="Heading1"/>
    <w:uiPriority w:val="1"/>
    <w:rPr>
      <w:rFonts w:ascii="Calibri" w:hAnsi="Calibri" w:cs="Arial"/>
      <w:b/>
      <w:caps/>
      <w:snapToGrid w:val="0"/>
      <w:sz w:val="32"/>
      <w:szCs w:val="22"/>
      <w:lang w:eastAsia="en-US"/>
    </w:rPr>
  </w:style>
  <w:style w:type="paragraph" w:customStyle="1" w:styleId="PBACheading10">
    <w:name w:val="PBAC heading 1"/>
    <w:qFormat/>
    <w:pPr>
      <w:ind w:left="720" w:hanging="720"/>
      <w:outlineLvl w:val="0"/>
    </w:pPr>
    <w:rPr>
      <w:rFonts w:ascii="Arial" w:hAnsi="Arial" w:cs="Arial"/>
      <w:b/>
      <w:snapToGrid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50522">
      <w:bodyDiv w:val="1"/>
      <w:marLeft w:val="0"/>
      <w:marRight w:val="0"/>
      <w:marTop w:val="0"/>
      <w:marBottom w:val="0"/>
      <w:divBdr>
        <w:top w:val="none" w:sz="0" w:space="0" w:color="auto"/>
        <w:left w:val="none" w:sz="0" w:space="0" w:color="auto"/>
        <w:bottom w:val="none" w:sz="0" w:space="0" w:color="auto"/>
        <w:right w:val="none" w:sz="0" w:space="0" w:color="auto"/>
      </w:divBdr>
    </w:div>
    <w:div w:id="87241716">
      <w:bodyDiv w:val="1"/>
      <w:marLeft w:val="0"/>
      <w:marRight w:val="0"/>
      <w:marTop w:val="0"/>
      <w:marBottom w:val="0"/>
      <w:divBdr>
        <w:top w:val="none" w:sz="0" w:space="0" w:color="auto"/>
        <w:left w:val="none" w:sz="0" w:space="0" w:color="auto"/>
        <w:bottom w:val="none" w:sz="0" w:space="0" w:color="auto"/>
        <w:right w:val="none" w:sz="0" w:space="0" w:color="auto"/>
      </w:divBdr>
    </w:div>
    <w:div w:id="109516063">
      <w:bodyDiv w:val="1"/>
      <w:marLeft w:val="0"/>
      <w:marRight w:val="0"/>
      <w:marTop w:val="0"/>
      <w:marBottom w:val="0"/>
      <w:divBdr>
        <w:top w:val="none" w:sz="0" w:space="0" w:color="auto"/>
        <w:left w:val="none" w:sz="0" w:space="0" w:color="auto"/>
        <w:bottom w:val="none" w:sz="0" w:space="0" w:color="auto"/>
        <w:right w:val="none" w:sz="0" w:space="0" w:color="auto"/>
      </w:divBdr>
    </w:div>
    <w:div w:id="204562814">
      <w:bodyDiv w:val="1"/>
      <w:marLeft w:val="0"/>
      <w:marRight w:val="0"/>
      <w:marTop w:val="0"/>
      <w:marBottom w:val="0"/>
      <w:divBdr>
        <w:top w:val="none" w:sz="0" w:space="0" w:color="auto"/>
        <w:left w:val="none" w:sz="0" w:space="0" w:color="auto"/>
        <w:bottom w:val="none" w:sz="0" w:space="0" w:color="auto"/>
        <w:right w:val="none" w:sz="0" w:space="0" w:color="auto"/>
      </w:divBdr>
      <w:divsChild>
        <w:div w:id="848104380">
          <w:marLeft w:val="547"/>
          <w:marRight w:val="0"/>
          <w:marTop w:val="77"/>
          <w:marBottom w:val="0"/>
          <w:divBdr>
            <w:top w:val="none" w:sz="0" w:space="0" w:color="auto"/>
            <w:left w:val="none" w:sz="0" w:space="0" w:color="auto"/>
            <w:bottom w:val="none" w:sz="0" w:space="0" w:color="auto"/>
            <w:right w:val="none" w:sz="0" w:space="0" w:color="auto"/>
          </w:divBdr>
        </w:div>
        <w:div w:id="966159435">
          <w:marLeft w:val="547"/>
          <w:marRight w:val="0"/>
          <w:marTop w:val="77"/>
          <w:marBottom w:val="0"/>
          <w:divBdr>
            <w:top w:val="none" w:sz="0" w:space="0" w:color="auto"/>
            <w:left w:val="none" w:sz="0" w:space="0" w:color="auto"/>
            <w:bottom w:val="none" w:sz="0" w:space="0" w:color="auto"/>
            <w:right w:val="none" w:sz="0" w:space="0" w:color="auto"/>
          </w:divBdr>
        </w:div>
        <w:div w:id="1538423955">
          <w:marLeft w:val="547"/>
          <w:marRight w:val="0"/>
          <w:marTop w:val="77"/>
          <w:marBottom w:val="0"/>
          <w:divBdr>
            <w:top w:val="none" w:sz="0" w:space="0" w:color="auto"/>
            <w:left w:val="none" w:sz="0" w:space="0" w:color="auto"/>
            <w:bottom w:val="none" w:sz="0" w:space="0" w:color="auto"/>
            <w:right w:val="none" w:sz="0" w:space="0" w:color="auto"/>
          </w:divBdr>
        </w:div>
        <w:div w:id="263735448">
          <w:marLeft w:val="547"/>
          <w:marRight w:val="0"/>
          <w:marTop w:val="77"/>
          <w:marBottom w:val="0"/>
          <w:divBdr>
            <w:top w:val="none" w:sz="0" w:space="0" w:color="auto"/>
            <w:left w:val="none" w:sz="0" w:space="0" w:color="auto"/>
            <w:bottom w:val="none" w:sz="0" w:space="0" w:color="auto"/>
            <w:right w:val="none" w:sz="0" w:space="0" w:color="auto"/>
          </w:divBdr>
        </w:div>
      </w:divsChild>
    </w:div>
    <w:div w:id="260844014">
      <w:bodyDiv w:val="1"/>
      <w:marLeft w:val="0"/>
      <w:marRight w:val="0"/>
      <w:marTop w:val="0"/>
      <w:marBottom w:val="0"/>
      <w:divBdr>
        <w:top w:val="none" w:sz="0" w:space="0" w:color="auto"/>
        <w:left w:val="none" w:sz="0" w:space="0" w:color="auto"/>
        <w:bottom w:val="none" w:sz="0" w:space="0" w:color="auto"/>
        <w:right w:val="none" w:sz="0" w:space="0" w:color="auto"/>
      </w:divBdr>
    </w:div>
    <w:div w:id="499855145">
      <w:bodyDiv w:val="1"/>
      <w:marLeft w:val="0"/>
      <w:marRight w:val="0"/>
      <w:marTop w:val="0"/>
      <w:marBottom w:val="0"/>
      <w:divBdr>
        <w:top w:val="none" w:sz="0" w:space="0" w:color="auto"/>
        <w:left w:val="none" w:sz="0" w:space="0" w:color="auto"/>
        <w:bottom w:val="none" w:sz="0" w:space="0" w:color="auto"/>
        <w:right w:val="none" w:sz="0" w:space="0" w:color="auto"/>
      </w:divBdr>
      <w:divsChild>
        <w:div w:id="981739017">
          <w:marLeft w:val="360"/>
          <w:marRight w:val="0"/>
          <w:marTop w:val="200"/>
          <w:marBottom w:val="0"/>
          <w:divBdr>
            <w:top w:val="none" w:sz="0" w:space="0" w:color="auto"/>
            <w:left w:val="none" w:sz="0" w:space="0" w:color="auto"/>
            <w:bottom w:val="none" w:sz="0" w:space="0" w:color="auto"/>
            <w:right w:val="none" w:sz="0" w:space="0" w:color="auto"/>
          </w:divBdr>
        </w:div>
        <w:div w:id="573008809">
          <w:marLeft w:val="360"/>
          <w:marRight w:val="0"/>
          <w:marTop w:val="200"/>
          <w:marBottom w:val="0"/>
          <w:divBdr>
            <w:top w:val="none" w:sz="0" w:space="0" w:color="auto"/>
            <w:left w:val="none" w:sz="0" w:space="0" w:color="auto"/>
            <w:bottom w:val="none" w:sz="0" w:space="0" w:color="auto"/>
            <w:right w:val="none" w:sz="0" w:space="0" w:color="auto"/>
          </w:divBdr>
        </w:div>
        <w:div w:id="86194341">
          <w:marLeft w:val="360"/>
          <w:marRight w:val="0"/>
          <w:marTop w:val="200"/>
          <w:marBottom w:val="0"/>
          <w:divBdr>
            <w:top w:val="none" w:sz="0" w:space="0" w:color="auto"/>
            <w:left w:val="none" w:sz="0" w:space="0" w:color="auto"/>
            <w:bottom w:val="none" w:sz="0" w:space="0" w:color="auto"/>
            <w:right w:val="none" w:sz="0" w:space="0" w:color="auto"/>
          </w:divBdr>
        </w:div>
        <w:div w:id="348533944">
          <w:marLeft w:val="360"/>
          <w:marRight w:val="0"/>
          <w:marTop w:val="200"/>
          <w:marBottom w:val="0"/>
          <w:divBdr>
            <w:top w:val="none" w:sz="0" w:space="0" w:color="auto"/>
            <w:left w:val="none" w:sz="0" w:space="0" w:color="auto"/>
            <w:bottom w:val="none" w:sz="0" w:space="0" w:color="auto"/>
            <w:right w:val="none" w:sz="0" w:space="0" w:color="auto"/>
          </w:divBdr>
        </w:div>
      </w:divsChild>
    </w:div>
    <w:div w:id="617220425">
      <w:bodyDiv w:val="1"/>
      <w:marLeft w:val="0"/>
      <w:marRight w:val="0"/>
      <w:marTop w:val="0"/>
      <w:marBottom w:val="0"/>
      <w:divBdr>
        <w:top w:val="none" w:sz="0" w:space="0" w:color="auto"/>
        <w:left w:val="none" w:sz="0" w:space="0" w:color="auto"/>
        <w:bottom w:val="none" w:sz="0" w:space="0" w:color="auto"/>
        <w:right w:val="none" w:sz="0" w:space="0" w:color="auto"/>
      </w:divBdr>
    </w:div>
    <w:div w:id="667825668">
      <w:bodyDiv w:val="1"/>
      <w:marLeft w:val="0"/>
      <w:marRight w:val="0"/>
      <w:marTop w:val="0"/>
      <w:marBottom w:val="0"/>
      <w:divBdr>
        <w:top w:val="none" w:sz="0" w:space="0" w:color="auto"/>
        <w:left w:val="none" w:sz="0" w:space="0" w:color="auto"/>
        <w:bottom w:val="none" w:sz="0" w:space="0" w:color="auto"/>
        <w:right w:val="none" w:sz="0" w:space="0" w:color="auto"/>
      </w:divBdr>
    </w:div>
    <w:div w:id="1055474321">
      <w:bodyDiv w:val="1"/>
      <w:marLeft w:val="0"/>
      <w:marRight w:val="0"/>
      <w:marTop w:val="0"/>
      <w:marBottom w:val="0"/>
      <w:divBdr>
        <w:top w:val="none" w:sz="0" w:space="0" w:color="auto"/>
        <w:left w:val="none" w:sz="0" w:space="0" w:color="auto"/>
        <w:bottom w:val="none" w:sz="0" w:space="0" w:color="auto"/>
        <w:right w:val="none" w:sz="0" w:space="0" w:color="auto"/>
      </w:divBdr>
    </w:div>
    <w:div w:id="1148523020">
      <w:bodyDiv w:val="1"/>
      <w:marLeft w:val="0"/>
      <w:marRight w:val="0"/>
      <w:marTop w:val="0"/>
      <w:marBottom w:val="0"/>
      <w:divBdr>
        <w:top w:val="none" w:sz="0" w:space="0" w:color="auto"/>
        <w:left w:val="none" w:sz="0" w:space="0" w:color="auto"/>
        <w:bottom w:val="none" w:sz="0" w:space="0" w:color="auto"/>
        <w:right w:val="none" w:sz="0" w:space="0" w:color="auto"/>
      </w:divBdr>
    </w:div>
    <w:div w:id="1460954388">
      <w:bodyDiv w:val="1"/>
      <w:marLeft w:val="0"/>
      <w:marRight w:val="0"/>
      <w:marTop w:val="0"/>
      <w:marBottom w:val="0"/>
      <w:divBdr>
        <w:top w:val="none" w:sz="0" w:space="0" w:color="auto"/>
        <w:left w:val="none" w:sz="0" w:space="0" w:color="auto"/>
        <w:bottom w:val="none" w:sz="0" w:space="0" w:color="auto"/>
        <w:right w:val="none" w:sz="0" w:space="0" w:color="auto"/>
      </w:divBdr>
    </w:div>
    <w:div w:id="1623345139">
      <w:bodyDiv w:val="1"/>
      <w:marLeft w:val="0"/>
      <w:marRight w:val="0"/>
      <w:marTop w:val="0"/>
      <w:marBottom w:val="0"/>
      <w:divBdr>
        <w:top w:val="none" w:sz="0" w:space="0" w:color="auto"/>
        <w:left w:val="none" w:sz="0" w:space="0" w:color="auto"/>
        <w:bottom w:val="none" w:sz="0" w:space="0" w:color="auto"/>
        <w:right w:val="none" w:sz="0" w:space="0" w:color="auto"/>
      </w:divBdr>
    </w:div>
    <w:div w:id="1721708979">
      <w:bodyDiv w:val="1"/>
      <w:marLeft w:val="0"/>
      <w:marRight w:val="0"/>
      <w:marTop w:val="0"/>
      <w:marBottom w:val="0"/>
      <w:divBdr>
        <w:top w:val="none" w:sz="0" w:space="0" w:color="auto"/>
        <w:left w:val="none" w:sz="0" w:space="0" w:color="auto"/>
        <w:bottom w:val="none" w:sz="0" w:space="0" w:color="auto"/>
        <w:right w:val="none" w:sz="0" w:space="0" w:color="auto"/>
      </w:divBdr>
    </w:div>
    <w:div w:id="2004114834">
      <w:bodyDiv w:val="1"/>
      <w:marLeft w:val="0"/>
      <w:marRight w:val="0"/>
      <w:marTop w:val="0"/>
      <w:marBottom w:val="0"/>
      <w:divBdr>
        <w:top w:val="none" w:sz="0" w:space="0" w:color="auto"/>
        <w:left w:val="none" w:sz="0" w:space="0" w:color="auto"/>
        <w:bottom w:val="none" w:sz="0" w:space="0" w:color="auto"/>
        <w:right w:val="none" w:sz="0" w:space="0" w:color="auto"/>
      </w:divBdr>
    </w:div>
    <w:div w:id="2057047098">
      <w:bodyDiv w:val="1"/>
      <w:marLeft w:val="0"/>
      <w:marRight w:val="0"/>
      <w:marTop w:val="0"/>
      <w:marBottom w:val="0"/>
      <w:divBdr>
        <w:top w:val="none" w:sz="0" w:space="0" w:color="auto"/>
        <w:left w:val="none" w:sz="0" w:space="0" w:color="auto"/>
        <w:bottom w:val="none" w:sz="0" w:space="0" w:color="auto"/>
        <w:right w:val="none" w:sz="0" w:space="0" w:color="auto"/>
      </w:divBdr>
      <w:divsChild>
        <w:div w:id="599601900">
          <w:marLeft w:val="547"/>
          <w:marRight w:val="0"/>
          <w:marTop w:val="115"/>
          <w:marBottom w:val="0"/>
          <w:divBdr>
            <w:top w:val="none" w:sz="0" w:space="0" w:color="auto"/>
            <w:left w:val="none" w:sz="0" w:space="0" w:color="auto"/>
            <w:bottom w:val="none" w:sz="0" w:space="0" w:color="auto"/>
            <w:right w:val="none" w:sz="0" w:space="0" w:color="auto"/>
          </w:divBdr>
        </w:div>
        <w:div w:id="1295915572">
          <w:marLeft w:val="547"/>
          <w:marRight w:val="0"/>
          <w:marTop w:val="115"/>
          <w:marBottom w:val="0"/>
          <w:divBdr>
            <w:top w:val="none" w:sz="0" w:space="0" w:color="auto"/>
            <w:left w:val="none" w:sz="0" w:space="0" w:color="auto"/>
            <w:bottom w:val="none" w:sz="0" w:space="0" w:color="auto"/>
            <w:right w:val="none" w:sz="0" w:space="0" w:color="auto"/>
          </w:divBdr>
        </w:div>
        <w:div w:id="285280689">
          <w:marLeft w:val="547"/>
          <w:marRight w:val="0"/>
          <w:marTop w:val="115"/>
          <w:marBottom w:val="0"/>
          <w:divBdr>
            <w:top w:val="none" w:sz="0" w:space="0" w:color="auto"/>
            <w:left w:val="none" w:sz="0" w:space="0" w:color="auto"/>
            <w:bottom w:val="none" w:sz="0" w:space="0" w:color="auto"/>
            <w:right w:val="none" w:sz="0" w:space="0" w:color="auto"/>
          </w:divBdr>
        </w:div>
        <w:div w:id="412893141">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mp"/><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2C442-2903-4DDF-92AF-43B110A87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11928</Words>
  <Characters>68644</Characters>
  <Application>Microsoft Office Word</Application>
  <DocSecurity>0</DocSecurity>
  <Lines>572</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2019-12-05T22:12:00Z</dcterms:created>
  <dcterms:modified xsi:type="dcterms:W3CDTF">2019-12-05T22:14:00Z</dcterms:modified>
</cp:coreProperties>
</file>