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10B" w:rsidRDefault="00783925">
      <w:pPr>
        <w:pStyle w:val="Title"/>
        <w:ind w:left="720" w:hanging="720"/>
      </w:pPr>
      <w:bookmarkStart w:id="0" w:name="_GoBack"/>
      <w:bookmarkEnd w:id="0"/>
      <w:r>
        <w:t>5.03</w:t>
      </w:r>
      <w:r>
        <w:tab/>
        <w:t xml:space="preserve">GALCANEZUMAB, </w:t>
      </w:r>
      <w:r>
        <w:br/>
        <w:t xml:space="preserve">Injection 120 mg in 1 mL single dose pre-filled pen, </w:t>
      </w:r>
      <w:r>
        <w:br/>
        <w:t>Emgality®,</w:t>
      </w:r>
      <w:r>
        <w:br/>
        <w:t>Eli Lilly Australia Pty Ltd.</w:t>
      </w:r>
    </w:p>
    <w:p w:rsidR="0072310B" w:rsidRDefault="0072310B">
      <w:pPr>
        <w:pStyle w:val="BodyText"/>
      </w:pPr>
    </w:p>
    <w:p w:rsidR="0072310B" w:rsidRDefault="00783925">
      <w:pPr>
        <w:pStyle w:val="PBACHeading1"/>
      </w:pPr>
      <w:bookmarkStart w:id="1" w:name="_Toc9435324"/>
      <w:r>
        <w:t>Purpose of Application</w:t>
      </w:r>
      <w:bookmarkEnd w:id="1"/>
    </w:p>
    <w:p w:rsidR="0072310B" w:rsidRDefault="0072310B"/>
    <w:p w:rsidR="0072310B" w:rsidRDefault="00783925">
      <w:pPr>
        <w:pStyle w:val="ListParagraph"/>
        <w:numPr>
          <w:ilvl w:val="1"/>
          <w:numId w:val="3"/>
        </w:numPr>
        <w:spacing w:after="120"/>
      </w:pPr>
      <w:r>
        <w:t>The submission requested an Authority Required (Streamlined) listing for galcanezumab for treatment of chronic migraine in patients who have experienced an inadequate response, intolerance or a contraindication to at least three prophylactic migraine medic</w:t>
      </w:r>
      <w:r w:rsidR="002535F9">
        <w:t xml:space="preserve">ations. </w:t>
      </w:r>
      <w:r>
        <w:t>This corresponds to the existing PBS restriction for botulinum toxin type A (Botox).</w:t>
      </w:r>
    </w:p>
    <w:p w:rsidR="0072310B" w:rsidRDefault="00783925">
      <w:pPr>
        <w:pStyle w:val="ListParagraph"/>
        <w:numPr>
          <w:ilvl w:val="1"/>
          <w:numId w:val="3"/>
        </w:numPr>
        <w:spacing w:after="120"/>
      </w:pPr>
      <w:r>
        <w:t>The submission requested listing on the basis of a cost-minimisation analysis (CMA) compared to Botox. The key components of the clinical issue addressed by the submission are presented in Table 1.</w:t>
      </w:r>
    </w:p>
    <w:p w:rsidR="005E1C57" w:rsidRPr="005E1C57" w:rsidRDefault="005E1C57" w:rsidP="005E1C57">
      <w:pPr>
        <w:pStyle w:val="Caption"/>
        <w:keepNext/>
        <w:spacing w:after="0"/>
        <w:rPr>
          <w:rFonts w:ascii="Arial Narrow" w:hAnsi="Arial Narrow"/>
        </w:rPr>
      </w:pPr>
      <w:r w:rsidRPr="005E1C57">
        <w:rPr>
          <w:rStyle w:val="CommentReference"/>
        </w:rPr>
        <w:t>Table</w:t>
      </w:r>
      <w:r w:rsidRPr="005E1C57">
        <w:rPr>
          <w:rFonts w:ascii="Arial Narrow" w:hAnsi="Arial Narrow"/>
          <w:color w:val="auto"/>
          <w:sz w:val="22"/>
        </w:rPr>
        <w:t xml:space="preserve"> </w:t>
      </w:r>
      <w:r w:rsidRPr="005E1C57">
        <w:rPr>
          <w:rFonts w:ascii="Arial Narrow" w:hAnsi="Arial Narrow"/>
          <w:color w:val="auto"/>
          <w:sz w:val="22"/>
        </w:rPr>
        <w:fldChar w:fldCharType="begin"/>
      </w:r>
      <w:r w:rsidRPr="005E1C57">
        <w:rPr>
          <w:rFonts w:ascii="Arial Narrow" w:hAnsi="Arial Narrow"/>
          <w:color w:val="auto"/>
          <w:sz w:val="22"/>
        </w:rPr>
        <w:instrText xml:space="preserve"> SEQ Table \* ARABIC </w:instrText>
      </w:r>
      <w:r w:rsidRPr="005E1C57">
        <w:rPr>
          <w:rFonts w:ascii="Arial Narrow" w:hAnsi="Arial Narrow"/>
          <w:color w:val="auto"/>
          <w:sz w:val="22"/>
        </w:rPr>
        <w:fldChar w:fldCharType="separate"/>
      </w:r>
      <w:r w:rsidR="00CD46F2">
        <w:rPr>
          <w:rFonts w:ascii="Arial Narrow" w:hAnsi="Arial Narrow"/>
          <w:noProof/>
          <w:color w:val="auto"/>
          <w:sz w:val="22"/>
        </w:rPr>
        <w:t>1</w:t>
      </w:r>
      <w:r w:rsidRPr="005E1C57">
        <w:rPr>
          <w:rFonts w:ascii="Arial Narrow" w:hAnsi="Arial Narrow"/>
          <w:color w:val="auto"/>
          <w:sz w:val="22"/>
        </w:rPr>
        <w:fldChar w:fldCharType="end"/>
      </w:r>
      <w:r w:rsidRPr="005E1C57">
        <w:rPr>
          <w:rFonts w:ascii="Arial Narrow" w:hAnsi="Arial Narrow"/>
          <w:color w:val="auto"/>
          <w:sz w:val="22"/>
        </w:rPr>
        <w:t xml:space="preserve">: Key </w:t>
      </w:r>
      <w:r w:rsidRPr="005E1C57">
        <w:rPr>
          <w:rStyle w:val="CommentReference"/>
        </w:rPr>
        <w:t>components o</w:t>
      </w:r>
      <w:r w:rsidRPr="005E1C57">
        <w:rPr>
          <w:rFonts w:ascii="Arial Narrow" w:hAnsi="Arial Narrow"/>
          <w:color w:val="auto"/>
          <w:sz w:val="22"/>
        </w:rPr>
        <w:t>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82"/>
        <w:gridCol w:w="7335"/>
      </w:tblGrid>
      <w:tr w:rsidR="0072310B" w:rsidTr="005E1C57">
        <w:trPr>
          <w:cantSplit/>
          <w:tblHeader/>
        </w:trPr>
        <w:tc>
          <w:tcPr>
            <w:tcW w:w="1682" w:type="dxa"/>
            <w:shd w:val="clear" w:color="auto" w:fill="auto"/>
          </w:tcPr>
          <w:p w:rsidR="0072310B" w:rsidRDefault="00783925">
            <w:pPr>
              <w:pStyle w:val="Tabletext"/>
              <w:rPr>
                <w:b/>
                <w:szCs w:val="20"/>
              </w:rPr>
            </w:pPr>
            <w:r>
              <w:rPr>
                <w:b/>
              </w:rPr>
              <w:t>Component</w:t>
            </w:r>
          </w:p>
        </w:tc>
        <w:tc>
          <w:tcPr>
            <w:tcW w:w="7335" w:type="dxa"/>
            <w:shd w:val="clear" w:color="auto" w:fill="auto"/>
          </w:tcPr>
          <w:p w:rsidR="0072310B" w:rsidRDefault="00783925">
            <w:pPr>
              <w:pStyle w:val="Tabletext"/>
              <w:jc w:val="center"/>
              <w:rPr>
                <w:b/>
              </w:rPr>
            </w:pPr>
            <w:r>
              <w:rPr>
                <w:b/>
              </w:rPr>
              <w:t>Description</w:t>
            </w:r>
          </w:p>
        </w:tc>
      </w:tr>
      <w:tr w:rsidR="0072310B" w:rsidTr="005E1C57">
        <w:trPr>
          <w:cantSplit/>
        </w:trPr>
        <w:tc>
          <w:tcPr>
            <w:tcW w:w="1682" w:type="dxa"/>
            <w:shd w:val="clear" w:color="auto" w:fill="auto"/>
            <w:vAlign w:val="center"/>
          </w:tcPr>
          <w:p w:rsidR="0072310B" w:rsidRDefault="00783925">
            <w:pPr>
              <w:pStyle w:val="Tabletext"/>
            </w:pPr>
            <w:r>
              <w:t>Population</w:t>
            </w:r>
          </w:p>
        </w:tc>
        <w:tc>
          <w:tcPr>
            <w:tcW w:w="7335" w:type="dxa"/>
            <w:shd w:val="clear" w:color="auto" w:fill="auto"/>
          </w:tcPr>
          <w:p w:rsidR="0072310B" w:rsidRDefault="00783925">
            <w:pPr>
              <w:pStyle w:val="Tabletext"/>
            </w:pPr>
            <w:r>
              <w:t>Adult patients with treatment-resistant chronic migraine, defined as patients who have experienced an inadequate response, intolerance or a contraindication to at least three prophylactic migraine medications.</w:t>
            </w:r>
          </w:p>
        </w:tc>
      </w:tr>
      <w:tr w:rsidR="0072310B" w:rsidTr="005E1C57">
        <w:trPr>
          <w:cantSplit/>
        </w:trPr>
        <w:tc>
          <w:tcPr>
            <w:tcW w:w="1682" w:type="dxa"/>
            <w:shd w:val="clear" w:color="auto" w:fill="auto"/>
            <w:vAlign w:val="center"/>
          </w:tcPr>
          <w:p w:rsidR="0072310B" w:rsidRDefault="00783925">
            <w:pPr>
              <w:pStyle w:val="Tabletext"/>
            </w:pPr>
            <w:r>
              <w:t>Intervention</w:t>
            </w:r>
          </w:p>
        </w:tc>
        <w:tc>
          <w:tcPr>
            <w:tcW w:w="7335" w:type="dxa"/>
            <w:shd w:val="clear" w:color="auto" w:fill="auto"/>
          </w:tcPr>
          <w:p w:rsidR="0072310B" w:rsidRDefault="00783925">
            <w:pPr>
              <w:pStyle w:val="Tabletext"/>
            </w:pPr>
            <w:r>
              <w:t>Galcanezumab 120 mg injected subcutaneously once monthly, with a 240mg loading dose as the initial dose.</w:t>
            </w:r>
          </w:p>
        </w:tc>
      </w:tr>
      <w:tr w:rsidR="0072310B" w:rsidTr="005E1C57">
        <w:trPr>
          <w:cantSplit/>
        </w:trPr>
        <w:tc>
          <w:tcPr>
            <w:tcW w:w="1682" w:type="dxa"/>
            <w:shd w:val="clear" w:color="auto" w:fill="auto"/>
            <w:vAlign w:val="center"/>
          </w:tcPr>
          <w:p w:rsidR="0072310B" w:rsidRDefault="00783925">
            <w:pPr>
              <w:pStyle w:val="Tabletext"/>
            </w:pPr>
            <w:r>
              <w:t>Comparator</w:t>
            </w:r>
          </w:p>
        </w:tc>
        <w:tc>
          <w:tcPr>
            <w:tcW w:w="7335" w:type="dxa"/>
            <w:shd w:val="clear" w:color="auto" w:fill="auto"/>
          </w:tcPr>
          <w:p w:rsidR="0072310B" w:rsidRDefault="00783925">
            <w:pPr>
              <w:pStyle w:val="Tabletext"/>
            </w:pPr>
            <w:r>
              <w:t xml:space="preserve">Botulinum toxin type A (Botox) 155 U to 195 U administered intramuscularly every 12 weeks. </w:t>
            </w:r>
          </w:p>
        </w:tc>
      </w:tr>
      <w:tr w:rsidR="0072310B" w:rsidTr="005E1C57">
        <w:trPr>
          <w:cantSplit/>
        </w:trPr>
        <w:tc>
          <w:tcPr>
            <w:tcW w:w="1682" w:type="dxa"/>
            <w:shd w:val="clear" w:color="auto" w:fill="auto"/>
            <w:vAlign w:val="center"/>
          </w:tcPr>
          <w:p w:rsidR="0072310B" w:rsidRDefault="00783925">
            <w:pPr>
              <w:pStyle w:val="Tabletext"/>
            </w:pPr>
            <w:r>
              <w:t>Outcomes</w:t>
            </w:r>
          </w:p>
        </w:tc>
        <w:tc>
          <w:tcPr>
            <w:tcW w:w="7335" w:type="dxa"/>
            <w:shd w:val="clear" w:color="auto" w:fill="auto"/>
          </w:tcPr>
          <w:p w:rsidR="0072310B" w:rsidRDefault="00783925">
            <w:pPr>
              <w:pStyle w:val="Tabletext"/>
            </w:pPr>
            <w:r>
              <w:t xml:space="preserve">Reduction in number of migraine headache days, improvement in 50% response rate, reduction in monthly headache days. </w:t>
            </w:r>
          </w:p>
        </w:tc>
      </w:tr>
      <w:tr w:rsidR="0072310B" w:rsidTr="005E1C57">
        <w:trPr>
          <w:cantSplit/>
        </w:trPr>
        <w:tc>
          <w:tcPr>
            <w:tcW w:w="1682" w:type="dxa"/>
            <w:shd w:val="clear" w:color="auto" w:fill="auto"/>
            <w:vAlign w:val="center"/>
          </w:tcPr>
          <w:p w:rsidR="0072310B" w:rsidRDefault="00783925">
            <w:pPr>
              <w:pStyle w:val="Tabletext"/>
            </w:pPr>
            <w:r>
              <w:t>Clinical claim</w:t>
            </w:r>
          </w:p>
        </w:tc>
        <w:tc>
          <w:tcPr>
            <w:tcW w:w="7335" w:type="dxa"/>
            <w:shd w:val="clear" w:color="auto" w:fill="auto"/>
          </w:tcPr>
          <w:p w:rsidR="0072310B" w:rsidRDefault="00783925">
            <w:pPr>
              <w:pStyle w:val="Tabletext"/>
            </w:pPr>
            <w:r>
              <w:t>Galcanezumab is non-inferior in terms of efficacy and has comparable safety when compared to Botox.</w:t>
            </w:r>
          </w:p>
        </w:tc>
      </w:tr>
    </w:tbl>
    <w:p w:rsidR="0072310B" w:rsidRDefault="00783925">
      <w:pPr>
        <w:pStyle w:val="TableFooter"/>
      </w:pPr>
      <w:r>
        <w:t>Source: Table 1.1.1, p14 of the submission.</w:t>
      </w:r>
    </w:p>
    <w:p w:rsidR="0072310B" w:rsidRDefault="0072310B">
      <w:pPr>
        <w:pStyle w:val="TableFooter"/>
        <w:rPr>
          <w:sz w:val="20"/>
        </w:rPr>
      </w:pPr>
    </w:p>
    <w:p w:rsidR="0072310B" w:rsidRDefault="00783925">
      <w:pPr>
        <w:pStyle w:val="PBACHeading1"/>
      </w:pPr>
      <w:bookmarkStart w:id="2" w:name="_Toc9435325"/>
      <w:r>
        <w:t>Requested listing</w:t>
      </w:r>
      <w:bookmarkEnd w:id="2"/>
    </w:p>
    <w:p w:rsidR="0072310B" w:rsidRDefault="0072310B"/>
    <w:p w:rsidR="0072310B" w:rsidRDefault="00783925">
      <w:pPr>
        <w:pStyle w:val="ListParagraph"/>
        <w:numPr>
          <w:ilvl w:val="1"/>
          <w:numId w:val="3"/>
        </w:numPr>
        <w:spacing w:after="120"/>
        <w:rPr>
          <w:rFonts w:cs="Calibri"/>
          <w:bCs/>
        </w:rPr>
      </w:pPr>
      <w:r>
        <w:rPr>
          <w:rFonts w:cs="Calibri"/>
          <w:bCs/>
        </w:rPr>
        <w:t xml:space="preserve">Suggestions and additions proposed by the Secretariat are added in italics and suggested deletions are crossed out with strikethrough. </w:t>
      </w:r>
    </w:p>
    <w:p w:rsidR="0072310B" w:rsidRDefault="0072310B"/>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376"/>
        <w:gridCol w:w="1137"/>
        <w:gridCol w:w="990"/>
        <w:gridCol w:w="800"/>
        <w:gridCol w:w="2176"/>
        <w:gridCol w:w="1548"/>
      </w:tblGrid>
      <w:tr w:rsidR="0072310B">
        <w:tc>
          <w:tcPr>
            <w:tcW w:w="2376" w:type="dxa"/>
            <w:vAlign w:val="center"/>
          </w:tcPr>
          <w:p w:rsidR="0072310B" w:rsidRDefault="00783925">
            <w:pPr>
              <w:pStyle w:val="Tabletext"/>
              <w:rPr>
                <w:b/>
                <w:bCs/>
              </w:rPr>
            </w:pPr>
            <w:r>
              <w:rPr>
                <w:b/>
              </w:rPr>
              <w:t>Name, restriction, manner of administration, form</w:t>
            </w:r>
          </w:p>
        </w:tc>
        <w:tc>
          <w:tcPr>
            <w:tcW w:w="1137" w:type="dxa"/>
            <w:vAlign w:val="center"/>
          </w:tcPr>
          <w:p w:rsidR="0072310B" w:rsidRDefault="00783925">
            <w:pPr>
              <w:pStyle w:val="Tabletext"/>
              <w:jc w:val="center"/>
              <w:rPr>
                <w:b/>
                <w:bCs/>
              </w:rPr>
            </w:pPr>
            <w:r>
              <w:rPr>
                <w:b/>
              </w:rPr>
              <w:t>Maximum quantity (packs)</w:t>
            </w:r>
          </w:p>
        </w:tc>
        <w:tc>
          <w:tcPr>
            <w:tcW w:w="990" w:type="dxa"/>
            <w:vAlign w:val="center"/>
          </w:tcPr>
          <w:p w:rsidR="0072310B" w:rsidRDefault="00783925">
            <w:pPr>
              <w:pStyle w:val="Tabletext"/>
              <w:jc w:val="center"/>
              <w:rPr>
                <w:b/>
                <w:bCs/>
              </w:rPr>
            </w:pPr>
            <w:r>
              <w:rPr>
                <w:b/>
              </w:rPr>
              <w:t>Maximum quantity (units)</w:t>
            </w:r>
          </w:p>
        </w:tc>
        <w:tc>
          <w:tcPr>
            <w:tcW w:w="800" w:type="dxa"/>
            <w:vAlign w:val="center"/>
          </w:tcPr>
          <w:p w:rsidR="0072310B" w:rsidRDefault="00783925">
            <w:pPr>
              <w:pStyle w:val="Tabletext"/>
              <w:rPr>
                <w:b/>
                <w:bCs/>
              </w:rPr>
            </w:pPr>
            <w:r>
              <w:rPr>
                <w:b/>
              </w:rPr>
              <w:t>No. of repeats</w:t>
            </w:r>
          </w:p>
        </w:tc>
        <w:tc>
          <w:tcPr>
            <w:tcW w:w="2176" w:type="dxa"/>
            <w:tcBorders>
              <w:bottom w:val="single" w:sz="4" w:space="0" w:color="auto"/>
            </w:tcBorders>
            <w:vAlign w:val="center"/>
          </w:tcPr>
          <w:p w:rsidR="0072310B" w:rsidRDefault="00783925">
            <w:pPr>
              <w:pStyle w:val="Tabletext"/>
              <w:rPr>
                <w:b/>
                <w:bCs/>
              </w:rPr>
            </w:pPr>
            <w:r>
              <w:rPr>
                <w:b/>
              </w:rPr>
              <w:t>Dispensed price for maximum quantity</w:t>
            </w:r>
          </w:p>
        </w:tc>
        <w:tc>
          <w:tcPr>
            <w:tcW w:w="0" w:type="auto"/>
            <w:vAlign w:val="center"/>
          </w:tcPr>
          <w:p w:rsidR="0072310B" w:rsidRDefault="00783925">
            <w:pPr>
              <w:pStyle w:val="Tabletext"/>
              <w:rPr>
                <w:b/>
                <w:bCs/>
              </w:rPr>
            </w:pPr>
            <w:r>
              <w:rPr>
                <w:b/>
              </w:rPr>
              <w:t>Proprietary name and manufacturer</w:t>
            </w:r>
          </w:p>
        </w:tc>
      </w:tr>
      <w:tr w:rsidR="0072310B">
        <w:tc>
          <w:tcPr>
            <w:tcW w:w="2376" w:type="dxa"/>
            <w:vAlign w:val="center"/>
          </w:tcPr>
          <w:p w:rsidR="0072310B" w:rsidRDefault="00783925">
            <w:pPr>
              <w:pStyle w:val="Tabletext"/>
            </w:pPr>
            <w:r>
              <w:t>Initial</w:t>
            </w:r>
          </w:p>
        </w:tc>
        <w:tc>
          <w:tcPr>
            <w:tcW w:w="1137" w:type="dxa"/>
            <w:vAlign w:val="center"/>
          </w:tcPr>
          <w:p w:rsidR="0072310B" w:rsidRDefault="0072310B">
            <w:pPr>
              <w:pStyle w:val="Tabletext"/>
              <w:jc w:val="center"/>
            </w:pPr>
          </w:p>
        </w:tc>
        <w:tc>
          <w:tcPr>
            <w:tcW w:w="990" w:type="dxa"/>
            <w:vAlign w:val="center"/>
          </w:tcPr>
          <w:p w:rsidR="0072310B" w:rsidRDefault="0072310B">
            <w:pPr>
              <w:pStyle w:val="Tabletext"/>
              <w:jc w:val="center"/>
            </w:pPr>
          </w:p>
        </w:tc>
        <w:tc>
          <w:tcPr>
            <w:tcW w:w="800" w:type="dxa"/>
            <w:vAlign w:val="center"/>
          </w:tcPr>
          <w:p w:rsidR="0072310B" w:rsidRDefault="0072310B">
            <w:pPr>
              <w:pStyle w:val="Tabletext"/>
              <w:jc w:val="center"/>
            </w:pPr>
          </w:p>
        </w:tc>
        <w:tc>
          <w:tcPr>
            <w:tcW w:w="2176" w:type="dxa"/>
            <w:tcBorders>
              <w:right w:val="single" w:sz="4" w:space="0" w:color="auto"/>
            </w:tcBorders>
            <w:vAlign w:val="center"/>
          </w:tcPr>
          <w:p w:rsidR="0072310B" w:rsidRDefault="0072310B">
            <w:pPr>
              <w:pStyle w:val="Tabletext"/>
            </w:pPr>
          </w:p>
        </w:tc>
        <w:tc>
          <w:tcPr>
            <w:tcW w:w="0" w:type="auto"/>
            <w:tcBorders>
              <w:left w:val="single" w:sz="4" w:space="0" w:color="auto"/>
            </w:tcBorders>
            <w:vAlign w:val="center"/>
          </w:tcPr>
          <w:p w:rsidR="0072310B" w:rsidRDefault="0072310B">
            <w:pPr>
              <w:pStyle w:val="Tabletext"/>
            </w:pPr>
          </w:p>
        </w:tc>
      </w:tr>
      <w:tr w:rsidR="0072310B">
        <w:tc>
          <w:tcPr>
            <w:tcW w:w="2376" w:type="dxa"/>
            <w:vAlign w:val="center"/>
          </w:tcPr>
          <w:p w:rsidR="0072310B" w:rsidRDefault="00783925">
            <w:pPr>
              <w:pStyle w:val="Tabletext"/>
            </w:pPr>
            <w:r>
              <w:t>GALCANEZUMAB</w:t>
            </w:r>
          </w:p>
          <w:p w:rsidR="0072310B" w:rsidRDefault="00783925">
            <w:pPr>
              <w:pStyle w:val="Tabletext"/>
              <w:rPr>
                <w:b/>
                <w:bCs/>
              </w:rPr>
            </w:pPr>
            <w:r>
              <w:t>120 mg/1 mL, pre-filled pen</w:t>
            </w:r>
          </w:p>
        </w:tc>
        <w:tc>
          <w:tcPr>
            <w:tcW w:w="1137" w:type="dxa"/>
            <w:vAlign w:val="center"/>
          </w:tcPr>
          <w:p w:rsidR="0072310B" w:rsidRDefault="00783925">
            <w:pPr>
              <w:pStyle w:val="Tabletext"/>
              <w:jc w:val="center"/>
              <w:rPr>
                <w:rFonts w:ascii="Times" w:hAnsi="Times"/>
              </w:rPr>
            </w:pPr>
            <w:r>
              <w:t>2</w:t>
            </w:r>
          </w:p>
        </w:tc>
        <w:tc>
          <w:tcPr>
            <w:tcW w:w="990" w:type="dxa"/>
            <w:vAlign w:val="center"/>
          </w:tcPr>
          <w:p w:rsidR="0072310B" w:rsidRDefault="00783925">
            <w:pPr>
              <w:pStyle w:val="Tabletext"/>
              <w:jc w:val="center"/>
              <w:rPr>
                <w:rFonts w:ascii="Times" w:hAnsi="Times"/>
              </w:rPr>
            </w:pPr>
            <w:r>
              <w:t>2</w:t>
            </w:r>
          </w:p>
        </w:tc>
        <w:tc>
          <w:tcPr>
            <w:tcW w:w="800" w:type="dxa"/>
            <w:vAlign w:val="center"/>
          </w:tcPr>
          <w:p w:rsidR="0072310B" w:rsidRDefault="00783925">
            <w:pPr>
              <w:pStyle w:val="Tabletext"/>
              <w:jc w:val="center"/>
              <w:rPr>
                <w:rFonts w:ascii="Times" w:hAnsi="Times"/>
              </w:rPr>
            </w:pPr>
            <w:r>
              <w:t>0</w:t>
            </w:r>
          </w:p>
        </w:tc>
        <w:tc>
          <w:tcPr>
            <w:tcW w:w="2176" w:type="dxa"/>
            <w:tcBorders>
              <w:right w:val="single" w:sz="4" w:space="0" w:color="auto"/>
            </w:tcBorders>
            <w:vAlign w:val="center"/>
          </w:tcPr>
          <w:p w:rsidR="0072310B" w:rsidRDefault="00783925">
            <w:pPr>
              <w:pStyle w:val="Tabletext"/>
            </w:pPr>
            <w:r>
              <w:t>$</w:t>
            </w:r>
            <w:r w:rsidR="00D95519">
              <w:rPr>
                <w:noProof/>
                <w:color w:val="000000"/>
                <w:highlight w:val="black"/>
              </w:rPr>
              <w:t>'''''''''''''''''''</w:t>
            </w:r>
            <w:r>
              <w:t xml:space="preserve"> published price</w:t>
            </w:r>
          </w:p>
          <w:p w:rsidR="0072310B" w:rsidRDefault="00783925">
            <w:pPr>
              <w:pStyle w:val="Tabletext"/>
              <w:rPr>
                <w:rFonts w:ascii="Times" w:hAnsi="Times"/>
              </w:rPr>
            </w:pPr>
            <w:r>
              <w:t>$</w:t>
            </w:r>
            <w:r w:rsidR="00D95519">
              <w:rPr>
                <w:noProof/>
                <w:color w:val="000000"/>
                <w:highlight w:val="black"/>
              </w:rPr>
              <w:t>'''''''''''''''''</w:t>
            </w:r>
            <w:r>
              <w:t xml:space="preserve"> effective price</w:t>
            </w:r>
          </w:p>
        </w:tc>
        <w:tc>
          <w:tcPr>
            <w:tcW w:w="0" w:type="auto"/>
            <w:vMerge w:val="restart"/>
            <w:tcBorders>
              <w:left w:val="single" w:sz="4" w:space="0" w:color="auto"/>
            </w:tcBorders>
            <w:vAlign w:val="center"/>
          </w:tcPr>
          <w:p w:rsidR="0072310B" w:rsidRDefault="00783925">
            <w:pPr>
              <w:pStyle w:val="Tabletext"/>
              <w:rPr>
                <w:rFonts w:ascii="Times" w:hAnsi="Times"/>
              </w:rPr>
            </w:pPr>
            <w:r>
              <w:t>Emgality</w:t>
            </w:r>
            <w:r>
              <w:rPr>
                <w:vertAlign w:val="superscript"/>
              </w:rPr>
              <w:sym w:font="Symbol" w:char="F0D2"/>
            </w:r>
            <w:r>
              <w:t xml:space="preserve"> Eli Lilly Australia Pty Ltd</w:t>
            </w:r>
          </w:p>
        </w:tc>
      </w:tr>
      <w:tr w:rsidR="0072310B">
        <w:tc>
          <w:tcPr>
            <w:tcW w:w="2376" w:type="dxa"/>
            <w:vAlign w:val="center"/>
          </w:tcPr>
          <w:p w:rsidR="0072310B" w:rsidRDefault="00783925">
            <w:pPr>
              <w:pStyle w:val="Tabletext"/>
            </w:pPr>
            <w:r>
              <w:t>GALCANEZUMAB</w:t>
            </w:r>
          </w:p>
          <w:p w:rsidR="0072310B" w:rsidRDefault="00783925">
            <w:pPr>
              <w:pStyle w:val="Tabletext"/>
            </w:pPr>
            <w:r>
              <w:t>120 mg/1 mL, pre-filled pen</w:t>
            </w:r>
          </w:p>
        </w:tc>
        <w:tc>
          <w:tcPr>
            <w:tcW w:w="1137" w:type="dxa"/>
            <w:vAlign w:val="center"/>
          </w:tcPr>
          <w:p w:rsidR="0072310B" w:rsidRDefault="00783925">
            <w:pPr>
              <w:pStyle w:val="Tabletext"/>
              <w:jc w:val="center"/>
            </w:pPr>
            <w:r>
              <w:t>1</w:t>
            </w:r>
          </w:p>
        </w:tc>
        <w:tc>
          <w:tcPr>
            <w:tcW w:w="990" w:type="dxa"/>
            <w:vAlign w:val="center"/>
          </w:tcPr>
          <w:p w:rsidR="0072310B" w:rsidRDefault="00783925">
            <w:pPr>
              <w:pStyle w:val="Tabletext"/>
              <w:jc w:val="center"/>
            </w:pPr>
            <w:r>
              <w:t>1</w:t>
            </w:r>
          </w:p>
        </w:tc>
        <w:tc>
          <w:tcPr>
            <w:tcW w:w="800" w:type="dxa"/>
            <w:vAlign w:val="center"/>
          </w:tcPr>
          <w:p w:rsidR="0072310B" w:rsidRDefault="00783925">
            <w:pPr>
              <w:pStyle w:val="Tabletext"/>
              <w:jc w:val="center"/>
            </w:pPr>
            <w:r>
              <w:t>1</w:t>
            </w:r>
          </w:p>
        </w:tc>
        <w:tc>
          <w:tcPr>
            <w:tcW w:w="2176" w:type="dxa"/>
            <w:tcBorders>
              <w:right w:val="single" w:sz="4" w:space="0" w:color="auto"/>
            </w:tcBorders>
            <w:vAlign w:val="center"/>
          </w:tcPr>
          <w:p w:rsidR="0072310B" w:rsidRDefault="00783925">
            <w:pPr>
              <w:pStyle w:val="Tabletext"/>
            </w:pPr>
            <w:r>
              <w:t>$</w:t>
            </w:r>
            <w:r w:rsidR="00D95519">
              <w:rPr>
                <w:noProof/>
                <w:color w:val="000000"/>
                <w:highlight w:val="black"/>
              </w:rPr>
              <w:t>'''''''''''''''</w:t>
            </w:r>
            <w:r>
              <w:t xml:space="preserve"> published price</w:t>
            </w:r>
          </w:p>
          <w:p w:rsidR="0072310B" w:rsidRDefault="00783925">
            <w:pPr>
              <w:pStyle w:val="Tabletext"/>
            </w:pPr>
            <w:r>
              <w:t>$</w:t>
            </w:r>
            <w:r w:rsidR="00D95519">
              <w:rPr>
                <w:noProof/>
                <w:color w:val="000000"/>
                <w:highlight w:val="black"/>
              </w:rPr>
              <w:t>''''''''''''''''</w:t>
            </w:r>
            <w:r>
              <w:t xml:space="preserve"> effective price</w:t>
            </w:r>
          </w:p>
        </w:tc>
        <w:tc>
          <w:tcPr>
            <w:tcW w:w="0" w:type="auto"/>
            <w:vMerge/>
            <w:tcBorders>
              <w:left w:val="single" w:sz="4" w:space="0" w:color="auto"/>
            </w:tcBorders>
            <w:vAlign w:val="center"/>
          </w:tcPr>
          <w:p w:rsidR="0072310B" w:rsidRDefault="0072310B">
            <w:pPr>
              <w:pStyle w:val="Tabletext"/>
            </w:pPr>
          </w:p>
        </w:tc>
      </w:tr>
      <w:tr w:rsidR="0072310B">
        <w:tc>
          <w:tcPr>
            <w:tcW w:w="2376" w:type="dxa"/>
            <w:vAlign w:val="center"/>
          </w:tcPr>
          <w:p w:rsidR="0072310B" w:rsidRDefault="00783925">
            <w:pPr>
              <w:pStyle w:val="Tabletext"/>
            </w:pPr>
            <w:r>
              <w:t xml:space="preserve">Continuing </w:t>
            </w:r>
          </w:p>
        </w:tc>
        <w:tc>
          <w:tcPr>
            <w:tcW w:w="1137" w:type="dxa"/>
            <w:vAlign w:val="center"/>
          </w:tcPr>
          <w:p w:rsidR="0072310B" w:rsidRDefault="0072310B">
            <w:pPr>
              <w:pStyle w:val="Tabletext"/>
              <w:jc w:val="center"/>
            </w:pPr>
          </w:p>
        </w:tc>
        <w:tc>
          <w:tcPr>
            <w:tcW w:w="990" w:type="dxa"/>
            <w:vAlign w:val="center"/>
          </w:tcPr>
          <w:p w:rsidR="0072310B" w:rsidRDefault="0072310B">
            <w:pPr>
              <w:pStyle w:val="Tabletext"/>
              <w:jc w:val="center"/>
            </w:pPr>
          </w:p>
        </w:tc>
        <w:tc>
          <w:tcPr>
            <w:tcW w:w="800" w:type="dxa"/>
            <w:vAlign w:val="center"/>
          </w:tcPr>
          <w:p w:rsidR="0072310B" w:rsidRDefault="0072310B">
            <w:pPr>
              <w:pStyle w:val="Tabletext"/>
              <w:jc w:val="center"/>
            </w:pPr>
          </w:p>
        </w:tc>
        <w:tc>
          <w:tcPr>
            <w:tcW w:w="2176" w:type="dxa"/>
            <w:tcBorders>
              <w:right w:val="single" w:sz="4" w:space="0" w:color="auto"/>
            </w:tcBorders>
            <w:vAlign w:val="center"/>
          </w:tcPr>
          <w:p w:rsidR="0072310B" w:rsidRDefault="0072310B">
            <w:pPr>
              <w:pStyle w:val="Tabletext"/>
            </w:pPr>
          </w:p>
        </w:tc>
        <w:tc>
          <w:tcPr>
            <w:tcW w:w="0" w:type="auto"/>
            <w:vMerge/>
            <w:tcBorders>
              <w:left w:val="single" w:sz="4" w:space="0" w:color="auto"/>
            </w:tcBorders>
            <w:vAlign w:val="center"/>
          </w:tcPr>
          <w:p w:rsidR="0072310B" w:rsidRDefault="0072310B">
            <w:pPr>
              <w:pStyle w:val="Tabletext"/>
            </w:pPr>
          </w:p>
        </w:tc>
      </w:tr>
      <w:tr w:rsidR="0072310B">
        <w:tc>
          <w:tcPr>
            <w:tcW w:w="2376" w:type="dxa"/>
            <w:vAlign w:val="center"/>
          </w:tcPr>
          <w:p w:rsidR="0072310B" w:rsidRDefault="00783925">
            <w:pPr>
              <w:pStyle w:val="Tabletext"/>
            </w:pPr>
            <w:r>
              <w:t>GALCANEZUMAB</w:t>
            </w:r>
          </w:p>
          <w:p w:rsidR="0072310B" w:rsidRDefault="00783925">
            <w:pPr>
              <w:pStyle w:val="Tabletext"/>
            </w:pPr>
            <w:r>
              <w:t>120 mg/1 mL, pre-filled pen</w:t>
            </w:r>
          </w:p>
        </w:tc>
        <w:tc>
          <w:tcPr>
            <w:tcW w:w="1137" w:type="dxa"/>
            <w:vAlign w:val="center"/>
          </w:tcPr>
          <w:p w:rsidR="0072310B" w:rsidRDefault="00783925">
            <w:pPr>
              <w:pStyle w:val="Tabletext"/>
              <w:jc w:val="center"/>
            </w:pPr>
            <w:r>
              <w:t>1</w:t>
            </w:r>
          </w:p>
        </w:tc>
        <w:tc>
          <w:tcPr>
            <w:tcW w:w="990" w:type="dxa"/>
            <w:vAlign w:val="center"/>
          </w:tcPr>
          <w:p w:rsidR="0072310B" w:rsidRDefault="00783925">
            <w:pPr>
              <w:pStyle w:val="Tabletext"/>
              <w:jc w:val="center"/>
            </w:pPr>
            <w:r>
              <w:t>1</w:t>
            </w:r>
          </w:p>
        </w:tc>
        <w:tc>
          <w:tcPr>
            <w:tcW w:w="800" w:type="dxa"/>
            <w:vAlign w:val="center"/>
          </w:tcPr>
          <w:p w:rsidR="0072310B" w:rsidRDefault="00783925">
            <w:pPr>
              <w:pStyle w:val="Tabletext"/>
              <w:jc w:val="center"/>
            </w:pPr>
            <w:r>
              <w:t>5</w:t>
            </w:r>
          </w:p>
        </w:tc>
        <w:tc>
          <w:tcPr>
            <w:tcW w:w="2176" w:type="dxa"/>
            <w:tcBorders>
              <w:right w:val="single" w:sz="4" w:space="0" w:color="auto"/>
            </w:tcBorders>
            <w:vAlign w:val="center"/>
          </w:tcPr>
          <w:p w:rsidR="0072310B" w:rsidRDefault="00783925">
            <w:pPr>
              <w:pStyle w:val="Tabletext"/>
            </w:pPr>
            <w:r>
              <w:t>$</w:t>
            </w:r>
            <w:r w:rsidR="00D95519">
              <w:rPr>
                <w:noProof/>
                <w:color w:val="000000"/>
                <w:highlight w:val="black"/>
              </w:rPr>
              <w:t>''''''''''''''''</w:t>
            </w:r>
            <w:r>
              <w:t xml:space="preserve"> published price</w:t>
            </w:r>
          </w:p>
          <w:p w:rsidR="0072310B" w:rsidRDefault="00783925">
            <w:pPr>
              <w:pStyle w:val="Tabletext"/>
            </w:pPr>
            <w:r>
              <w:t>$</w:t>
            </w:r>
            <w:r w:rsidR="00D95519">
              <w:rPr>
                <w:noProof/>
                <w:color w:val="000000"/>
                <w:highlight w:val="black"/>
              </w:rPr>
              <w:t>'''''''''''''''''</w:t>
            </w:r>
            <w:r>
              <w:t xml:space="preserve"> effective price</w:t>
            </w:r>
          </w:p>
        </w:tc>
        <w:tc>
          <w:tcPr>
            <w:tcW w:w="0" w:type="auto"/>
            <w:vMerge/>
            <w:tcBorders>
              <w:left w:val="single" w:sz="4" w:space="0" w:color="auto"/>
            </w:tcBorders>
            <w:vAlign w:val="center"/>
          </w:tcPr>
          <w:p w:rsidR="0072310B" w:rsidRDefault="0072310B">
            <w:pPr>
              <w:pStyle w:val="Tabletext"/>
            </w:pPr>
          </w:p>
        </w:tc>
      </w:tr>
    </w:tbl>
    <w:p w:rsidR="0072310B" w:rsidRDefault="0072310B">
      <w:pPr>
        <w:jc w:val="left"/>
      </w:pPr>
    </w:p>
    <w:tbl>
      <w:tblPr>
        <w:tblW w:w="5000" w:type="pct"/>
        <w:tblLook w:val="0000" w:firstRow="0" w:lastRow="0" w:firstColumn="0" w:lastColumn="0" w:noHBand="0" w:noVBand="0"/>
      </w:tblPr>
      <w:tblGrid>
        <w:gridCol w:w="3149"/>
        <w:gridCol w:w="5868"/>
      </w:tblGrid>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Category/Program:</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General Schedule - Section 85</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Prescriber type:</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fldChar w:fldCharType="begin">
                <w:ffData>
                  <w:name w:val="Check1"/>
                  <w:enabled/>
                  <w:calcOnExit w:val="0"/>
                  <w:checkBox>
                    <w:sizeAuto/>
                    <w:default w:val="0"/>
                  </w:checkBox>
                </w:ffData>
              </w:fldChar>
            </w:r>
            <w:r>
              <w:instrText xml:space="preserve"> FORMCHECKBOX </w:instrText>
            </w:r>
            <w:r w:rsidR="00575871">
              <w:fldChar w:fldCharType="separate"/>
            </w:r>
            <w:r>
              <w:fldChar w:fldCharType="end"/>
            </w:r>
            <w:r>
              <w:t xml:space="preserve">Dental  </w:t>
            </w:r>
            <w:r>
              <w:fldChar w:fldCharType="begin">
                <w:ffData>
                  <w:name w:val=""/>
                  <w:enabled/>
                  <w:calcOnExit w:val="0"/>
                  <w:checkBox>
                    <w:sizeAuto/>
                    <w:default w:val="1"/>
                  </w:checkBox>
                </w:ffData>
              </w:fldChar>
            </w:r>
            <w:r>
              <w:instrText xml:space="preserve"> FORMCHECKBOX </w:instrText>
            </w:r>
            <w:r w:rsidR="00575871">
              <w:fldChar w:fldCharType="separate"/>
            </w:r>
            <w:r>
              <w:fldChar w:fldCharType="end"/>
            </w:r>
            <w:r>
              <w:t xml:space="preserve">Medical Practitioners  </w:t>
            </w:r>
            <w:r>
              <w:fldChar w:fldCharType="begin">
                <w:ffData>
                  <w:name w:val="Check3"/>
                  <w:enabled/>
                  <w:calcOnExit w:val="0"/>
                  <w:checkBox>
                    <w:sizeAuto/>
                    <w:default w:val="0"/>
                  </w:checkBox>
                </w:ffData>
              </w:fldChar>
            </w:r>
            <w:r>
              <w:instrText xml:space="preserve"> FORMCHECKBOX </w:instrText>
            </w:r>
            <w:r w:rsidR="00575871">
              <w:fldChar w:fldCharType="separate"/>
            </w:r>
            <w:r>
              <w:fldChar w:fldCharType="end"/>
            </w:r>
            <w:r>
              <w:t xml:space="preserve">Nurse practitioners  </w:t>
            </w:r>
            <w:r>
              <w:fldChar w:fldCharType="begin">
                <w:ffData>
                  <w:name w:val=""/>
                  <w:enabled/>
                  <w:calcOnExit w:val="0"/>
                  <w:checkBox>
                    <w:sizeAuto/>
                    <w:default w:val="0"/>
                  </w:checkBox>
                </w:ffData>
              </w:fldChar>
            </w:r>
            <w:r>
              <w:instrText xml:space="preserve"> FORMCHECKBOX </w:instrText>
            </w:r>
            <w:r w:rsidR="00575871">
              <w:fldChar w:fldCharType="separate"/>
            </w:r>
            <w:r>
              <w:fldChar w:fldCharType="end"/>
            </w:r>
            <w:r>
              <w:t xml:space="preserve">Optometrists </w:t>
            </w:r>
            <w:r>
              <w:fldChar w:fldCharType="begin">
                <w:ffData>
                  <w:name w:val="Check5"/>
                  <w:enabled/>
                  <w:calcOnExit w:val="0"/>
                  <w:checkBox>
                    <w:sizeAuto/>
                    <w:default w:val="0"/>
                  </w:checkBox>
                </w:ffData>
              </w:fldChar>
            </w:r>
            <w:r>
              <w:instrText xml:space="preserve"> FORMCHECKBOX </w:instrText>
            </w:r>
            <w:r w:rsidR="00575871">
              <w:fldChar w:fldCharType="separate"/>
            </w:r>
            <w:r>
              <w:fldChar w:fldCharType="end"/>
            </w:r>
            <w:r>
              <w:t>Midwives</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Condition:</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Chronic migraine</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rPr>
                <w:b/>
              </w:rPr>
              <w:t>Treatment phase:</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 xml:space="preserve">Initial - </w:t>
            </w:r>
            <w:r>
              <w:rPr>
                <w:i/>
              </w:rPr>
              <w:t>loading dose</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Restriction:</w:t>
            </w:r>
          </w:p>
          <w:p w:rsidR="0072310B" w:rsidRDefault="00783925">
            <w:pPr>
              <w:pStyle w:val="Tabletext"/>
            </w:pPr>
            <w:r>
              <w:t>General Schedule</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fldChar w:fldCharType="begin">
                <w:ffData>
                  <w:name w:val="Check1"/>
                  <w:enabled/>
                  <w:calcOnExit w:val="0"/>
                  <w:checkBox>
                    <w:sizeAuto/>
                    <w:default w:val="0"/>
                  </w:checkBox>
                </w:ffData>
              </w:fldChar>
            </w:r>
            <w:r>
              <w:instrText xml:space="preserve"> FORMCHECKBOX </w:instrText>
            </w:r>
            <w:r w:rsidR="00575871">
              <w:fldChar w:fldCharType="separate"/>
            </w:r>
            <w:r>
              <w:fldChar w:fldCharType="end"/>
            </w:r>
            <w:r>
              <w:t>Restricted benefit</w:t>
            </w:r>
          </w:p>
          <w:p w:rsidR="0072310B" w:rsidRDefault="00783925">
            <w:pPr>
              <w:pStyle w:val="Tabletext"/>
            </w:pPr>
            <w:r>
              <w:fldChar w:fldCharType="begin">
                <w:ffData>
                  <w:name w:val=""/>
                  <w:enabled/>
                  <w:calcOnExit w:val="0"/>
                  <w:checkBox>
                    <w:sizeAuto/>
                    <w:default w:val="0"/>
                  </w:checkBox>
                </w:ffData>
              </w:fldChar>
            </w:r>
            <w:r>
              <w:instrText xml:space="preserve"> FORMCHECKBOX </w:instrText>
            </w:r>
            <w:r w:rsidR="00575871">
              <w:fldChar w:fldCharType="separate"/>
            </w:r>
            <w:r>
              <w:fldChar w:fldCharType="end"/>
            </w:r>
            <w:r>
              <w:t>Authority Required - In Writing</w:t>
            </w:r>
          </w:p>
          <w:p w:rsidR="0072310B" w:rsidRDefault="00783925">
            <w:pPr>
              <w:pStyle w:val="Tabletext"/>
            </w:pPr>
            <w:r>
              <w:fldChar w:fldCharType="begin">
                <w:ffData>
                  <w:name w:val="Check3"/>
                  <w:enabled/>
                  <w:calcOnExit w:val="0"/>
                  <w:checkBox>
                    <w:sizeAuto/>
                    <w:default w:val="0"/>
                  </w:checkBox>
                </w:ffData>
              </w:fldChar>
            </w:r>
            <w:r>
              <w:instrText xml:space="preserve"> FORMCHECKBOX </w:instrText>
            </w:r>
            <w:r w:rsidR="00575871">
              <w:fldChar w:fldCharType="separate"/>
            </w:r>
            <w:r>
              <w:fldChar w:fldCharType="end"/>
            </w:r>
            <w:r>
              <w:t>Authority Required - Telephone</w:t>
            </w:r>
          </w:p>
          <w:p w:rsidR="0072310B" w:rsidRDefault="00783925">
            <w:pPr>
              <w:pStyle w:val="Tabletext"/>
            </w:pPr>
            <w:r>
              <w:fldChar w:fldCharType="begin">
                <w:ffData>
                  <w:name w:val=""/>
                  <w:enabled/>
                  <w:calcOnExit w:val="0"/>
                  <w:checkBox>
                    <w:sizeAuto/>
                    <w:default w:val="0"/>
                  </w:checkBox>
                </w:ffData>
              </w:fldChar>
            </w:r>
            <w:r>
              <w:instrText xml:space="preserve"> FORMCHECKBOX </w:instrText>
            </w:r>
            <w:r w:rsidR="00575871">
              <w:fldChar w:fldCharType="separate"/>
            </w:r>
            <w:r>
              <w:fldChar w:fldCharType="end"/>
            </w:r>
            <w:r>
              <w:t>Authority Required – Emergency</w:t>
            </w:r>
          </w:p>
          <w:p w:rsidR="0072310B" w:rsidRDefault="00783925">
            <w:pPr>
              <w:pStyle w:val="Tabletext"/>
            </w:pPr>
            <w:r>
              <w:fldChar w:fldCharType="begin">
                <w:ffData>
                  <w:name w:val="Check5"/>
                  <w:enabled/>
                  <w:calcOnExit w:val="0"/>
                  <w:checkBox>
                    <w:sizeAuto/>
                    <w:default w:val="0"/>
                  </w:checkBox>
                </w:ffData>
              </w:fldChar>
            </w:r>
            <w:r>
              <w:instrText xml:space="preserve"> FORMCHECKBOX </w:instrText>
            </w:r>
            <w:r w:rsidR="00575871">
              <w:fldChar w:fldCharType="separate"/>
            </w:r>
            <w:r>
              <w:fldChar w:fldCharType="end"/>
            </w:r>
            <w:r>
              <w:t>Authority Required - Electronic</w:t>
            </w:r>
          </w:p>
          <w:p w:rsidR="0072310B" w:rsidRDefault="00783925">
            <w:pPr>
              <w:pStyle w:val="Tabletext"/>
              <w:rPr>
                <w:rFonts w:cs="Arial"/>
              </w:rPr>
            </w:pPr>
            <w:r>
              <w:fldChar w:fldCharType="begin">
                <w:ffData>
                  <w:name w:val=""/>
                  <w:enabled/>
                  <w:calcOnExit w:val="0"/>
                  <w:checkBox>
                    <w:sizeAuto/>
                    <w:default w:val="1"/>
                  </w:checkBox>
                </w:ffData>
              </w:fldChar>
            </w:r>
            <w:r>
              <w:instrText xml:space="preserve"> FORMCHECKBOX </w:instrText>
            </w:r>
            <w:r w:rsidR="00575871">
              <w:fldChar w:fldCharType="separate"/>
            </w:r>
            <w:r>
              <w:fldChar w:fldCharType="end"/>
            </w:r>
            <w:r>
              <w:t>Streamlined</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rPr>
                <w:b/>
              </w:rPr>
              <w:t>Treatment criteria:</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rFonts w:cs="Arial"/>
              </w:rPr>
            </w:pPr>
            <w:r>
              <w:t xml:space="preserve">Must be treated by a neurologist </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rPr>
                <w:b/>
              </w:rPr>
              <w:t>Clinical criteria:</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 xml:space="preserve">Patient must have experienced an average of 15 or more headache days per month, with at least 8 days of migraine, over a period of at least 6 months, prior to commencement of treatment with </w:t>
            </w:r>
            <w:r>
              <w:rPr>
                <w:i/>
              </w:rPr>
              <w:t>this drug for this condition</w:t>
            </w:r>
            <w:r>
              <w:t xml:space="preserve"> </w:t>
            </w:r>
            <w:r>
              <w:rPr>
                <w:strike/>
              </w:rPr>
              <w:t>galcanezumab</w:t>
            </w:r>
          </w:p>
          <w:p w:rsidR="0072310B" w:rsidRDefault="00783925">
            <w:pPr>
              <w:pStyle w:val="Tabletext"/>
            </w:pPr>
            <w:r>
              <w:t>AND</w:t>
            </w:r>
          </w:p>
          <w:p w:rsidR="0072310B" w:rsidRDefault="00783925">
            <w:pPr>
              <w:pStyle w:val="Tabletext"/>
            </w:pPr>
            <w:r>
              <w:t xml:space="preserve">Patient must have experienced an inadequate response, intolerance or a contraindication to at least three prophylactic migraine medications prior to commencement of treatment with </w:t>
            </w:r>
            <w:r>
              <w:rPr>
                <w:i/>
              </w:rPr>
              <w:t>this drug for this condition</w:t>
            </w:r>
            <w:r>
              <w:t xml:space="preserve"> </w:t>
            </w:r>
            <w:r>
              <w:rPr>
                <w:strike/>
              </w:rPr>
              <w:t>galcanezumab</w:t>
            </w:r>
            <w:r>
              <w:t xml:space="preserve"> </w:t>
            </w:r>
          </w:p>
          <w:p w:rsidR="0072310B" w:rsidRDefault="00783925">
            <w:pPr>
              <w:pStyle w:val="Tabletext"/>
            </w:pPr>
            <w:r>
              <w:t>AND</w:t>
            </w:r>
          </w:p>
          <w:p w:rsidR="0072310B" w:rsidRDefault="00783925">
            <w:pPr>
              <w:pStyle w:val="Tabletext"/>
              <w:rPr>
                <w:i/>
              </w:rPr>
            </w:pPr>
            <w:r>
              <w:rPr>
                <w:i/>
              </w:rPr>
              <w:t>The treatment must not be in combination with botulinum toxin</w:t>
            </w:r>
          </w:p>
          <w:p w:rsidR="0072310B" w:rsidRDefault="00783925">
            <w:pPr>
              <w:pStyle w:val="Tabletext"/>
            </w:pPr>
            <w:r>
              <w:t>AND</w:t>
            </w:r>
          </w:p>
          <w:p w:rsidR="0072310B" w:rsidRDefault="00783925">
            <w:pPr>
              <w:pStyle w:val="Tabletext"/>
            </w:pPr>
            <w:r>
              <w:t xml:space="preserve">Patient must be appropriately managed </w:t>
            </w:r>
            <w:r>
              <w:rPr>
                <w:strike/>
              </w:rPr>
              <w:t>by his or her practitioner</w:t>
            </w:r>
            <w:r>
              <w:t xml:space="preserve"> for medication overuse headache, prior to initiation of treatment with </w:t>
            </w:r>
            <w:r>
              <w:rPr>
                <w:i/>
              </w:rPr>
              <w:t>this drug</w:t>
            </w:r>
            <w:r>
              <w:t xml:space="preserve"> </w:t>
            </w:r>
            <w:r>
              <w:rPr>
                <w:strike/>
              </w:rPr>
              <w:t>galcanezumab</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Population criteria:</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strike/>
              </w:rPr>
            </w:pPr>
            <w:r>
              <w:rPr>
                <w:strike/>
              </w:rPr>
              <w:t>Patient must be aged 18 years or older</w:t>
            </w:r>
          </w:p>
        </w:tc>
      </w:tr>
      <w:tr w:rsidR="0072310B">
        <w:trPr>
          <w:cantSplit/>
          <w:trHeight w:val="296"/>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Prescriber Instructions:</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Prophylactic migraine medications are propranolol, amitriptyline, pizotifen, candesartan, verapamil, nortriptyline, sodium valproate or topiramate.</w:t>
            </w:r>
          </w:p>
        </w:tc>
      </w:tr>
      <w:tr w:rsidR="0072310B">
        <w:trPr>
          <w:cantSplit/>
        </w:trPr>
        <w:tc>
          <w:tcPr>
            <w:tcW w:w="1746" w:type="pct"/>
            <w:tcBorders>
              <w:top w:val="single" w:sz="4" w:space="0" w:color="auto"/>
              <w:left w:val="single" w:sz="4" w:space="0" w:color="auto"/>
              <w:bottom w:val="double" w:sz="4" w:space="0" w:color="auto"/>
              <w:right w:val="single" w:sz="4" w:space="0" w:color="auto"/>
            </w:tcBorders>
            <w:vAlign w:val="center"/>
          </w:tcPr>
          <w:p w:rsidR="0072310B" w:rsidRDefault="00783925">
            <w:pPr>
              <w:pStyle w:val="Tabletext"/>
              <w:rPr>
                <w:b/>
              </w:rPr>
            </w:pPr>
            <w:r>
              <w:rPr>
                <w:b/>
              </w:rPr>
              <w:t>Administrative advice:</w:t>
            </w:r>
          </w:p>
        </w:tc>
        <w:tc>
          <w:tcPr>
            <w:tcW w:w="3254" w:type="pct"/>
            <w:tcBorders>
              <w:top w:val="single" w:sz="4" w:space="0" w:color="auto"/>
              <w:left w:val="single" w:sz="4" w:space="0" w:color="auto"/>
              <w:bottom w:val="double" w:sz="4" w:space="0" w:color="auto"/>
              <w:right w:val="single" w:sz="4" w:space="0" w:color="auto"/>
            </w:tcBorders>
            <w:vAlign w:val="center"/>
          </w:tcPr>
          <w:p w:rsidR="0072310B" w:rsidRDefault="00783925">
            <w:pPr>
              <w:pStyle w:val="Tabletext"/>
              <w:rPr>
                <w:strike/>
              </w:rPr>
            </w:pPr>
            <w:r>
              <w:rPr>
                <w:strike/>
              </w:rPr>
              <w:t>This drug is not PBS-subsidised for use in combination with botulinum toxin type A</w:t>
            </w:r>
          </w:p>
        </w:tc>
      </w:tr>
    </w:tbl>
    <w:p w:rsidR="0072310B" w:rsidRDefault="0072310B"/>
    <w:tbl>
      <w:tblPr>
        <w:tblW w:w="5000" w:type="pct"/>
        <w:tblLook w:val="0000" w:firstRow="0" w:lastRow="0" w:firstColumn="0" w:lastColumn="0" w:noHBand="0" w:noVBand="0"/>
      </w:tblPr>
      <w:tblGrid>
        <w:gridCol w:w="3149"/>
        <w:gridCol w:w="5868"/>
      </w:tblGrid>
      <w:tr w:rsidR="0072310B">
        <w:trPr>
          <w:cantSplit/>
          <w:trHeight w:val="284"/>
        </w:trPr>
        <w:tc>
          <w:tcPr>
            <w:tcW w:w="1746"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b/>
                <w:sz w:val="20"/>
                <w:szCs w:val="20"/>
              </w:rPr>
            </w:pPr>
            <w:r>
              <w:rPr>
                <w:rFonts w:ascii="Arial Narrow" w:eastAsia="Calibri" w:hAnsi="Arial Narrow" w:cs="Arial"/>
                <w:b/>
                <w:sz w:val="20"/>
                <w:szCs w:val="20"/>
              </w:rPr>
              <w:t>Episodicity:</w:t>
            </w:r>
          </w:p>
        </w:tc>
        <w:tc>
          <w:tcPr>
            <w:tcW w:w="3254"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sz w:val="20"/>
                <w:szCs w:val="20"/>
              </w:rPr>
            </w:pPr>
            <w:r>
              <w:rPr>
                <w:rFonts w:ascii="Arial Narrow" w:eastAsia="Calibri" w:hAnsi="Arial Narrow" w:cs="Arial"/>
                <w:sz w:val="20"/>
                <w:szCs w:val="20"/>
              </w:rPr>
              <w:t>Chronic</w:t>
            </w:r>
          </w:p>
        </w:tc>
      </w:tr>
      <w:tr w:rsidR="0072310B">
        <w:trPr>
          <w:cantSplit/>
          <w:trHeight w:val="284"/>
        </w:trPr>
        <w:tc>
          <w:tcPr>
            <w:tcW w:w="1746"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b/>
                <w:sz w:val="20"/>
                <w:szCs w:val="20"/>
              </w:rPr>
            </w:pPr>
            <w:r>
              <w:rPr>
                <w:rFonts w:ascii="Arial Narrow" w:eastAsia="Calibri" w:hAnsi="Arial Narrow" w:cs="Arial"/>
                <w:b/>
                <w:sz w:val="20"/>
                <w:szCs w:val="20"/>
              </w:rPr>
              <w:t>Severity:</w:t>
            </w:r>
          </w:p>
        </w:tc>
        <w:tc>
          <w:tcPr>
            <w:tcW w:w="3254"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sz w:val="20"/>
                <w:szCs w:val="20"/>
              </w:rPr>
            </w:pPr>
            <w:r>
              <w:rPr>
                <w:rFonts w:ascii="Arial Narrow" w:eastAsia="Calibri" w:hAnsi="Arial Narrow" w:cs="Arial"/>
                <w:sz w:val="20"/>
                <w:szCs w:val="20"/>
              </w:rPr>
              <w:t>N/A</w:t>
            </w:r>
          </w:p>
        </w:tc>
      </w:tr>
      <w:tr w:rsidR="0072310B">
        <w:trPr>
          <w:cantSplit/>
          <w:trHeight w:val="284"/>
        </w:trPr>
        <w:tc>
          <w:tcPr>
            <w:tcW w:w="1746"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b/>
                <w:sz w:val="20"/>
                <w:szCs w:val="20"/>
              </w:rPr>
            </w:pPr>
            <w:r>
              <w:rPr>
                <w:rFonts w:ascii="Arial Narrow" w:eastAsia="Calibri" w:hAnsi="Arial Narrow" w:cs="Arial"/>
                <w:b/>
                <w:sz w:val="20"/>
                <w:szCs w:val="20"/>
              </w:rPr>
              <w:t>Condition:</w:t>
            </w:r>
          </w:p>
        </w:tc>
        <w:tc>
          <w:tcPr>
            <w:tcW w:w="3254"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sz w:val="20"/>
                <w:szCs w:val="20"/>
              </w:rPr>
            </w:pPr>
            <w:r>
              <w:rPr>
                <w:rFonts w:ascii="Arial Narrow" w:eastAsia="Calibri" w:hAnsi="Arial Narrow" w:cs="Arial"/>
                <w:sz w:val="20"/>
                <w:szCs w:val="20"/>
              </w:rPr>
              <w:t>Migraine</w:t>
            </w:r>
          </w:p>
        </w:tc>
      </w:tr>
      <w:tr w:rsidR="0072310B">
        <w:trPr>
          <w:cantSplit/>
          <w:trHeight w:val="360"/>
        </w:trPr>
        <w:tc>
          <w:tcPr>
            <w:tcW w:w="1746"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b/>
                <w:sz w:val="20"/>
                <w:szCs w:val="20"/>
              </w:rPr>
            </w:pPr>
            <w:r>
              <w:rPr>
                <w:rFonts w:ascii="Arial Narrow" w:eastAsia="Calibri" w:hAnsi="Arial Narrow" w:cs="Arial"/>
                <w:b/>
                <w:sz w:val="20"/>
                <w:szCs w:val="20"/>
              </w:rPr>
              <w:t>PBS Indication:</w:t>
            </w:r>
          </w:p>
        </w:tc>
        <w:tc>
          <w:tcPr>
            <w:tcW w:w="3254"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sz w:val="20"/>
                <w:szCs w:val="20"/>
              </w:rPr>
            </w:pPr>
            <w:r>
              <w:rPr>
                <w:rFonts w:ascii="Arial Narrow" w:eastAsia="Calibri" w:hAnsi="Arial Narrow" w:cs="Arial"/>
                <w:sz w:val="20"/>
                <w:szCs w:val="20"/>
              </w:rPr>
              <w:t xml:space="preserve">Chronic </w:t>
            </w:r>
            <w:r>
              <w:rPr>
                <w:rFonts w:ascii="Arial Narrow" w:eastAsia="Calibri" w:hAnsi="Arial Narrow" w:cs="Arial"/>
                <w:strike/>
                <w:sz w:val="20"/>
                <w:szCs w:val="20"/>
              </w:rPr>
              <w:t>M</w:t>
            </w:r>
            <w:r>
              <w:rPr>
                <w:rFonts w:ascii="Arial Narrow" w:eastAsia="Calibri" w:hAnsi="Arial Narrow" w:cs="Arial"/>
                <w:sz w:val="20"/>
                <w:szCs w:val="20"/>
              </w:rPr>
              <w:t>migraine</w:t>
            </w:r>
          </w:p>
        </w:tc>
      </w:tr>
      <w:tr w:rsidR="0072310B">
        <w:trPr>
          <w:cantSplit/>
          <w:trHeight w:val="360"/>
        </w:trPr>
        <w:tc>
          <w:tcPr>
            <w:tcW w:w="1746"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b/>
                <w:sz w:val="20"/>
                <w:szCs w:val="20"/>
              </w:rPr>
            </w:pPr>
            <w:r>
              <w:rPr>
                <w:rFonts w:ascii="Arial Narrow" w:eastAsia="Calibri" w:hAnsi="Arial Narrow" w:cs="Arial"/>
                <w:b/>
                <w:sz w:val="20"/>
                <w:szCs w:val="20"/>
              </w:rPr>
              <w:t>Treatment phase:</w:t>
            </w:r>
          </w:p>
        </w:tc>
        <w:tc>
          <w:tcPr>
            <w:tcW w:w="3254"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sz w:val="20"/>
                <w:szCs w:val="20"/>
              </w:rPr>
            </w:pPr>
            <w:r>
              <w:rPr>
                <w:rFonts w:ascii="Arial Narrow" w:eastAsia="Calibri" w:hAnsi="Arial Narrow" w:cs="Arial"/>
                <w:sz w:val="20"/>
                <w:szCs w:val="20"/>
              </w:rPr>
              <w:t xml:space="preserve">Initial </w:t>
            </w:r>
            <w:r>
              <w:rPr>
                <w:rFonts w:ascii="Arial Narrow" w:eastAsia="Calibri" w:hAnsi="Arial Narrow" w:cs="Arial"/>
                <w:strike/>
                <w:sz w:val="20"/>
                <w:szCs w:val="20"/>
              </w:rPr>
              <w:t>– Balance of supply</w:t>
            </w:r>
          </w:p>
        </w:tc>
      </w:tr>
      <w:tr w:rsidR="0072310B">
        <w:trPr>
          <w:cantSplit/>
          <w:trHeight w:val="360"/>
        </w:trPr>
        <w:tc>
          <w:tcPr>
            <w:tcW w:w="1746"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b/>
                <w:sz w:val="20"/>
                <w:szCs w:val="20"/>
              </w:rPr>
            </w:pPr>
            <w:r>
              <w:rPr>
                <w:rFonts w:ascii="Arial Narrow" w:eastAsia="Calibri" w:hAnsi="Arial Narrow" w:cs="Arial"/>
                <w:b/>
                <w:sz w:val="20"/>
                <w:szCs w:val="20"/>
              </w:rPr>
              <w:t>Restriction:</w:t>
            </w:r>
          </w:p>
          <w:p w:rsidR="0072310B" w:rsidRDefault="0072310B">
            <w:pPr>
              <w:jc w:val="left"/>
              <w:rPr>
                <w:rFonts w:ascii="Arial Narrow" w:eastAsia="Calibri" w:hAnsi="Arial Narrow" w:cs="Arial"/>
                <w:sz w:val="20"/>
                <w:szCs w:val="20"/>
              </w:rPr>
            </w:pPr>
          </w:p>
        </w:tc>
        <w:tc>
          <w:tcPr>
            <w:tcW w:w="3254"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0"/>
                  </w:checkBox>
                </w:ffData>
              </w:fldChar>
            </w:r>
            <w:r>
              <w:rPr>
                <w:rFonts w:ascii="Arial Narrow" w:eastAsia="Calibri" w:hAnsi="Arial Narrow" w:cs="Arial"/>
                <w:sz w:val="20"/>
                <w:szCs w:val="20"/>
              </w:rPr>
              <w:instrText xml:space="preserve"> FORMCHECKBOX </w:instrText>
            </w:r>
            <w:r w:rsidR="00575871">
              <w:rPr>
                <w:rFonts w:ascii="Arial Narrow" w:eastAsia="Calibri" w:hAnsi="Arial Narrow" w:cs="Arial"/>
                <w:sz w:val="20"/>
                <w:szCs w:val="20"/>
              </w:rPr>
            </w:r>
            <w:r w:rsidR="00575871">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Restricted benefit</w:t>
            </w:r>
          </w:p>
          <w:p w:rsidR="0072310B" w:rsidRDefault="00783925">
            <w:pPr>
              <w:jc w:val="left"/>
              <w:rPr>
                <w:rFonts w:ascii="Arial Narrow" w:eastAsia="Calibri" w:hAnsi="Arial Narrow" w:cs="Arial"/>
                <w:sz w:val="20"/>
                <w:szCs w:val="20"/>
              </w:rPr>
            </w:pPr>
            <w:r>
              <w:rPr>
                <w:rFonts w:ascii="Arial Narrow" w:eastAsia="Calibri" w:hAnsi="Arial Narrow" w:cs="Arial"/>
                <w:sz w:val="20"/>
                <w:szCs w:val="20"/>
              </w:rPr>
              <w:fldChar w:fldCharType="begin">
                <w:ffData>
                  <w:name w:val=""/>
                  <w:enabled/>
                  <w:calcOnExit w:val="0"/>
                  <w:checkBox>
                    <w:sizeAuto/>
                    <w:default w:val="0"/>
                  </w:checkBox>
                </w:ffData>
              </w:fldChar>
            </w:r>
            <w:r>
              <w:rPr>
                <w:rFonts w:ascii="Arial Narrow" w:eastAsia="Calibri" w:hAnsi="Arial Narrow" w:cs="Arial"/>
                <w:sz w:val="20"/>
                <w:szCs w:val="20"/>
              </w:rPr>
              <w:instrText xml:space="preserve"> FORMCHECKBOX </w:instrText>
            </w:r>
            <w:r w:rsidR="00575871">
              <w:rPr>
                <w:rFonts w:ascii="Arial Narrow" w:eastAsia="Calibri" w:hAnsi="Arial Narrow" w:cs="Arial"/>
                <w:sz w:val="20"/>
                <w:szCs w:val="20"/>
              </w:rPr>
            </w:r>
            <w:r w:rsidR="00575871">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Authority Required - In Writing</w:t>
            </w:r>
          </w:p>
          <w:p w:rsidR="0072310B" w:rsidRDefault="00783925">
            <w:pPr>
              <w:jc w:val="left"/>
              <w:rPr>
                <w:rFonts w:ascii="Arial Narrow" w:eastAsia="Calibri" w:hAnsi="Arial Narrow" w:cs="Arial"/>
                <w:sz w:val="20"/>
                <w:szCs w:val="20"/>
              </w:rPr>
            </w:pPr>
            <w:r>
              <w:rPr>
                <w:rFonts w:ascii="Arial Narrow" w:eastAsia="Calibri" w:hAnsi="Arial Narrow" w:cs="Arial"/>
                <w:sz w:val="20"/>
                <w:szCs w:val="20"/>
              </w:rPr>
              <w:fldChar w:fldCharType="begin">
                <w:ffData>
                  <w:name w:val="Check3"/>
                  <w:enabled/>
                  <w:calcOnExit w:val="0"/>
                  <w:checkBox>
                    <w:sizeAuto/>
                    <w:default w:val="0"/>
                  </w:checkBox>
                </w:ffData>
              </w:fldChar>
            </w:r>
            <w:r>
              <w:rPr>
                <w:rFonts w:ascii="Arial Narrow" w:eastAsia="Calibri" w:hAnsi="Arial Narrow" w:cs="Arial"/>
                <w:sz w:val="20"/>
                <w:szCs w:val="20"/>
              </w:rPr>
              <w:instrText xml:space="preserve"> FORMCHECKBOX </w:instrText>
            </w:r>
            <w:r w:rsidR="00575871">
              <w:rPr>
                <w:rFonts w:ascii="Arial Narrow" w:eastAsia="Calibri" w:hAnsi="Arial Narrow" w:cs="Arial"/>
                <w:sz w:val="20"/>
                <w:szCs w:val="20"/>
              </w:rPr>
            </w:r>
            <w:r w:rsidR="00575871">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Authority Required - Telephone</w:t>
            </w:r>
          </w:p>
          <w:p w:rsidR="0072310B" w:rsidRDefault="00783925">
            <w:pPr>
              <w:jc w:val="left"/>
              <w:rPr>
                <w:rFonts w:ascii="Arial Narrow" w:eastAsia="Calibri" w:hAnsi="Arial Narrow" w:cs="Arial"/>
                <w:sz w:val="20"/>
                <w:szCs w:val="20"/>
              </w:rPr>
            </w:pPr>
            <w:r>
              <w:rPr>
                <w:rFonts w:ascii="Arial Narrow" w:eastAsia="Calibri" w:hAnsi="Arial Narrow" w:cs="Arial"/>
                <w:sz w:val="20"/>
                <w:szCs w:val="20"/>
              </w:rPr>
              <w:fldChar w:fldCharType="begin">
                <w:ffData>
                  <w:name w:val=""/>
                  <w:enabled/>
                  <w:calcOnExit w:val="0"/>
                  <w:checkBox>
                    <w:sizeAuto/>
                    <w:default w:val="0"/>
                  </w:checkBox>
                </w:ffData>
              </w:fldChar>
            </w:r>
            <w:r>
              <w:rPr>
                <w:rFonts w:ascii="Arial Narrow" w:eastAsia="Calibri" w:hAnsi="Arial Narrow" w:cs="Arial"/>
                <w:sz w:val="20"/>
                <w:szCs w:val="20"/>
              </w:rPr>
              <w:instrText xml:space="preserve"> FORMCHECKBOX </w:instrText>
            </w:r>
            <w:r w:rsidR="00575871">
              <w:rPr>
                <w:rFonts w:ascii="Arial Narrow" w:eastAsia="Calibri" w:hAnsi="Arial Narrow" w:cs="Arial"/>
                <w:sz w:val="20"/>
                <w:szCs w:val="20"/>
              </w:rPr>
            </w:r>
            <w:r w:rsidR="00575871">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Authority Required – Emergency</w:t>
            </w:r>
          </w:p>
          <w:p w:rsidR="0072310B" w:rsidRDefault="00783925">
            <w:pPr>
              <w:jc w:val="left"/>
              <w:rPr>
                <w:rFonts w:ascii="Arial Narrow" w:eastAsia="Calibri" w:hAnsi="Arial Narrow" w:cs="Arial"/>
                <w:sz w:val="20"/>
                <w:szCs w:val="20"/>
              </w:rPr>
            </w:pPr>
            <w:r>
              <w:rPr>
                <w:rFonts w:ascii="Arial Narrow" w:eastAsia="Calibri" w:hAnsi="Arial Narrow" w:cs="Arial"/>
                <w:sz w:val="20"/>
                <w:szCs w:val="20"/>
              </w:rPr>
              <w:fldChar w:fldCharType="begin">
                <w:ffData>
                  <w:name w:val="Check5"/>
                  <w:enabled/>
                  <w:calcOnExit w:val="0"/>
                  <w:checkBox>
                    <w:sizeAuto/>
                    <w:default w:val="0"/>
                  </w:checkBox>
                </w:ffData>
              </w:fldChar>
            </w:r>
            <w:r>
              <w:rPr>
                <w:rFonts w:ascii="Arial Narrow" w:eastAsia="Calibri" w:hAnsi="Arial Narrow" w:cs="Arial"/>
                <w:sz w:val="20"/>
                <w:szCs w:val="20"/>
              </w:rPr>
              <w:instrText xml:space="preserve"> FORMCHECKBOX </w:instrText>
            </w:r>
            <w:r w:rsidR="00575871">
              <w:rPr>
                <w:rFonts w:ascii="Arial Narrow" w:eastAsia="Calibri" w:hAnsi="Arial Narrow" w:cs="Arial"/>
                <w:sz w:val="20"/>
                <w:szCs w:val="20"/>
              </w:rPr>
            </w:r>
            <w:r w:rsidR="00575871">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Authority Required - Electronic</w:t>
            </w:r>
          </w:p>
          <w:p w:rsidR="0072310B" w:rsidRDefault="00783925">
            <w:pPr>
              <w:jc w:val="left"/>
              <w:rPr>
                <w:rFonts w:ascii="Arial Narrow" w:eastAsia="Calibri" w:hAnsi="Arial Narrow" w:cs="Arial"/>
                <w:sz w:val="20"/>
                <w:szCs w:val="20"/>
              </w:rPr>
            </w:pPr>
            <w:r>
              <w:rPr>
                <w:rFonts w:ascii="Arial Narrow" w:eastAsia="Calibri" w:hAnsi="Arial Narrow" w:cs="Arial"/>
                <w:sz w:val="20"/>
                <w:szCs w:val="20"/>
              </w:rPr>
              <w:fldChar w:fldCharType="begin">
                <w:ffData>
                  <w:name w:val="Check3"/>
                  <w:enabled/>
                  <w:calcOnExit w:val="0"/>
                  <w:checkBox>
                    <w:sizeAuto/>
                    <w:default w:val="1"/>
                  </w:checkBox>
                </w:ffData>
              </w:fldChar>
            </w:r>
            <w:r>
              <w:rPr>
                <w:rFonts w:ascii="Arial Narrow" w:eastAsia="Calibri" w:hAnsi="Arial Narrow" w:cs="Arial"/>
                <w:sz w:val="20"/>
                <w:szCs w:val="20"/>
              </w:rPr>
              <w:instrText xml:space="preserve"> FORMCHECKBOX </w:instrText>
            </w:r>
            <w:r w:rsidR="00575871">
              <w:rPr>
                <w:rFonts w:ascii="Arial Narrow" w:eastAsia="Calibri" w:hAnsi="Arial Narrow" w:cs="Arial"/>
                <w:sz w:val="20"/>
                <w:szCs w:val="20"/>
              </w:rPr>
            </w:r>
            <w:r w:rsidR="00575871">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Streamlined</w:t>
            </w:r>
          </w:p>
        </w:tc>
      </w:tr>
      <w:tr w:rsidR="0072310B">
        <w:trPr>
          <w:cantSplit/>
          <w:trHeight w:val="360"/>
        </w:trPr>
        <w:tc>
          <w:tcPr>
            <w:tcW w:w="1746"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b/>
                <w:sz w:val="20"/>
                <w:szCs w:val="20"/>
              </w:rPr>
            </w:pPr>
            <w:r>
              <w:rPr>
                <w:rFonts w:ascii="Arial Narrow" w:eastAsia="Calibri" w:hAnsi="Arial Narrow" w:cs="Arial"/>
                <w:b/>
                <w:sz w:val="20"/>
                <w:szCs w:val="20"/>
              </w:rPr>
              <w:t>Treatment criteria:</w:t>
            </w:r>
          </w:p>
        </w:tc>
        <w:tc>
          <w:tcPr>
            <w:tcW w:w="3254"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sz w:val="20"/>
                <w:szCs w:val="20"/>
              </w:rPr>
            </w:pPr>
            <w:r>
              <w:rPr>
                <w:rFonts w:ascii="Arial Narrow" w:hAnsi="Arial Narrow" w:cs="Arial"/>
                <w:sz w:val="20"/>
                <w:szCs w:val="20"/>
                <w:lang w:bidi="en-US"/>
              </w:rPr>
              <w:t>Must be treated by a neurologist.</w:t>
            </w:r>
          </w:p>
        </w:tc>
      </w:tr>
      <w:tr w:rsidR="0072310B">
        <w:trPr>
          <w:cantSplit/>
          <w:trHeight w:val="360"/>
        </w:trPr>
        <w:tc>
          <w:tcPr>
            <w:tcW w:w="1746"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b/>
                <w:sz w:val="20"/>
                <w:szCs w:val="20"/>
              </w:rPr>
            </w:pPr>
            <w:r>
              <w:rPr>
                <w:rFonts w:ascii="Arial Narrow" w:eastAsia="Calibri" w:hAnsi="Arial Narrow" w:cs="Arial"/>
                <w:b/>
                <w:sz w:val="20"/>
                <w:szCs w:val="20"/>
              </w:rPr>
              <w:lastRenderedPageBreak/>
              <w:t>Clinical criteria:</w:t>
            </w:r>
          </w:p>
        </w:tc>
        <w:tc>
          <w:tcPr>
            <w:tcW w:w="3254"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hAnsi="Arial Narrow" w:cs="Arial"/>
                <w:sz w:val="20"/>
                <w:szCs w:val="20"/>
                <w:lang w:bidi="en-US"/>
              </w:rPr>
            </w:pPr>
            <w:r>
              <w:rPr>
                <w:rFonts w:ascii="Arial Narrow" w:hAnsi="Arial Narrow" w:cs="Arial"/>
                <w:sz w:val="20"/>
                <w:szCs w:val="20"/>
                <w:lang w:bidi="en-US"/>
              </w:rPr>
              <w:t>Patient must have previously received PBS-subsidised treatment with this drug for this condition</w:t>
            </w:r>
          </w:p>
          <w:p w:rsidR="0072310B" w:rsidRDefault="00783925">
            <w:pPr>
              <w:jc w:val="left"/>
              <w:rPr>
                <w:rFonts w:ascii="Arial Narrow" w:hAnsi="Arial Narrow" w:cs="Arial"/>
                <w:sz w:val="20"/>
                <w:szCs w:val="20"/>
                <w:lang w:bidi="en-US"/>
              </w:rPr>
            </w:pPr>
            <w:r>
              <w:rPr>
                <w:rFonts w:ascii="Arial Narrow" w:hAnsi="Arial Narrow" w:cs="Arial"/>
                <w:sz w:val="20"/>
                <w:szCs w:val="20"/>
                <w:lang w:bidi="en-US"/>
              </w:rPr>
              <w:t>AND</w:t>
            </w:r>
          </w:p>
          <w:p w:rsidR="0072310B" w:rsidRDefault="00783925">
            <w:pPr>
              <w:jc w:val="left"/>
              <w:rPr>
                <w:rFonts w:ascii="Arial Narrow" w:hAnsi="Arial Narrow" w:cs="Arial"/>
                <w:sz w:val="20"/>
                <w:szCs w:val="20"/>
                <w:lang w:bidi="en-US"/>
              </w:rPr>
            </w:pPr>
            <w:r>
              <w:rPr>
                <w:rFonts w:ascii="Arial Narrow" w:hAnsi="Arial Narrow" w:cs="Arial"/>
                <w:sz w:val="20"/>
                <w:szCs w:val="20"/>
                <w:lang w:bidi="en-US"/>
              </w:rPr>
              <w:t>Patient must have experienced an average of 15 or more headache days per month, with at least 8 days of migraine, over a period of at least 6 months, prior to commencement of t</w:t>
            </w:r>
            <w:r>
              <w:rPr>
                <w:rFonts w:ascii="Arial Narrow" w:hAnsi="Arial Narrow" w:cs="Arial"/>
                <w:i/>
                <w:sz w:val="20"/>
                <w:szCs w:val="20"/>
                <w:lang w:bidi="en-US"/>
              </w:rPr>
              <w:t>reatment with this medicine</w:t>
            </w:r>
            <w:r>
              <w:rPr>
                <w:rFonts w:ascii="Arial Narrow" w:hAnsi="Arial Narrow" w:cs="Arial"/>
                <w:sz w:val="20"/>
                <w:szCs w:val="20"/>
                <w:lang w:bidi="en-US"/>
              </w:rPr>
              <w:t xml:space="preserve"> </w:t>
            </w:r>
            <w:r>
              <w:rPr>
                <w:rFonts w:ascii="Arial Narrow" w:hAnsi="Arial Narrow" w:cs="Arial"/>
                <w:strike/>
                <w:sz w:val="20"/>
                <w:szCs w:val="20"/>
                <w:lang w:bidi="en-US"/>
              </w:rPr>
              <w:t>galcanezumab</w:t>
            </w:r>
            <w:r>
              <w:rPr>
                <w:rFonts w:ascii="Arial Narrow" w:hAnsi="Arial Narrow" w:cs="Arial"/>
                <w:sz w:val="20"/>
                <w:szCs w:val="20"/>
                <w:lang w:bidi="en-US"/>
              </w:rPr>
              <w:t>.</w:t>
            </w:r>
          </w:p>
          <w:p w:rsidR="0072310B" w:rsidRDefault="00783925">
            <w:pPr>
              <w:jc w:val="left"/>
              <w:rPr>
                <w:rFonts w:ascii="Arial Narrow" w:hAnsi="Arial Narrow" w:cs="Arial"/>
                <w:sz w:val="20"/>
                <w:szCs w:val="20"/>
                <w:lang w:bidi="en-US"/>
              </w:rPr>
            </w:pPr>
            <w:r>
              <w:rPr>
                <w:rFonts w:ascii="Arial Narrow" w:hAnsi="Arial Narrow" w:cs="Arial"/>
                <w:sz w:val="20"/>
                <w:szCs w:val="20"/>
                <w:lang w:bidi="en-US"/>
              </w:rPr>
              <w:t>AND</w:t>
            </w:r>
          </w:p>
          <w:p w:rsidR="0072310B" w:rsidRDefault="00783925">
            <w:pPr>
              <w:jc w:val="left"/>
              <w:rPr>
                <w:rFonts w:ascii="Arial Narrow" w:hAnsi="Arial Narrow" w:cs="Arial"/>
                <w:sz w:val="20"/>
                <w:szCs w:val="20"/>
                <w:lang w:bidi="en-US"/>
              </w:rPr>
            </w:pPr>
            <w:r>
              <w:rPr>
                <w:rFonts w:ascii="Arial Narrow" w:hAnsi="Arial Narrow" w:cs="Arial"/>
                <w:sz w:val="20"/>
                <w:szCs w:val="20"/>
                <w:lang w:bidi="en-US"/>
              </w:rPr>
              <w:t xml:space="preserve">Patient must have experienced an inadequate response, intolerance or a contraindication to at least three prophylactic migraine medications prior to commencement of </w:t>
            </w:r>
            <w:r>
              <w:rPr>
                <w:rFonts w:ascii="Arial Narrow" w:hAnsi="Arial Narrow" w:cs="Arial"/>
                <w:i/>
                <w:sz w:val="20"/>
                <w:szCs w:val="20"/>
                <w:lang w:bidi="en-US"/>
              </w:rPr>
              <w:t>treatment with this medicine</w:t>
            </w:r>
            <w:r>
              <w:rPr>
                <w:rFonts w:ascii="Arial Narrow" w:hAnsi="Arial Narrow" w:cs="Arial"/>
                <w:sz w:val="20"/>
                <w:szCs w:val="20"/>
                <w:lang w:bidi="en-US"/>
              </w:rPr>
              <w:t xml:space="preserve"> </w:t>
            </w:r>
            <w:r>
              <w:rPr>
                <w:rFonts w:ascii="Arial Narrow" w:hAnsi="Arial Narrow" w:cs="Arial"/>
                <w:strike/>
                <w:sz w:val="20"/>
                <w:szCs w:val="20"/>
                <w:lang w:bidi="en-US"/>
              </w:rPr>
              <w:t>galcanezumab</w:t>
            </w:r>
            <w:r>
              <w:rPr>
                <w:rFonts w:ascii="Arial Narrow" w:hAnsi="Arial Narrow" w:cs="Arial"/>
                <w:sz w:val="20"/>
                <w:szCs w:val="20"/>
                <w:lang w:bidi="en-US"/>
              </w:rPr>
              <w:t>.</w:t>
            </w:r>
          </w:p>
          <w:p w:rsidR="0072310B" w:rsidRDefault="00783925">
            <w:pPr>
              <w:jc w:val="left"/>
              <w:rPr>
                <w:rFonts w:ascii="Arial Narrow" w:hAnsi="Arial Narrow" w:cs="Arial"/>
                <w:sz w:val="20"/>
                <w:szCs w:val="20"/>
                <w:lang w:bidi="en-US"/>
              </w:rPr>
            </w:pPr>
            <w:r>
              <w:rPr>
                <w:rFonts w:ascii="Arial Narrow" w:hAnsi="Arial Narrow" w:cs="Arial"/>
                <w:sz w:val="20"/>
                <w:szCs w:val="20"/>
                <w:lang w:bidi="en-US"/>
              </w:rPr>
              <w:t>AND</w:t>
            </w:r>
          </w:p>
          <w:p w:rsidR="0072310B" w:rsidRDefault="00783925">
            <w:pPr>
              <w:jc w:val="left"/>
              <w:rPr>
                <w:rFonts w:ascii="Arial Narrow" w:hAnsi="Arial Narrow" w:cs="Arial"/>
                <w:sz w:val="20"/>
                <w:szCs w:val="20"/>
                <w:lang w:bidi="en-US"/>
              </w:rPr>
            </w:pPr>
            <w:r>
              <w:rPr>
                <w:rFonts w:ascii="Arial Narrow" w:hAnsi="Arial Narrow" w:cs="Arial"/>
                <w:sz w:val="20"/>
                <w:szCs w:val="20"/>
                <w:lang w:bidi="en-US"/>
              </w:rPr>
              <w:t xml:space="preserve">Patient must continue to be appropriately managed </w:t>
            </w:r>
            <w:r>
              <w:rPr>
                <w:rFonts w:ascii="Arial Narrow" w:hAnsi="Arial Narrow" w:cs="Arial"/>
                <w:strike/>
                <w:sz w:val="20"/>
                <w:szCs w:val="20"/>
                <w:lang w:bidi="en-US"/>
              </w:rPr>
              <w:t>by his or her practitioner</w:t>
            </w:r>
            <w:r>
              <w:rPr>
                <w:rFonts w:ascii="Arial Narrow" w:hAnsi="Arial Narrow" w:cs="Arial"/>
                <w:sz w:val="20"/>
                <w:szCs w:val="20"/>
                <w:lang w:bidi="en-US"/>
              </w:rPr>
              <w:t xml:space="preserve"> for medication overuse headache, prior to initiation of treatment with this medicine </w:t>
            </w:r>
            <w:r>
              <w:rPr>
                <w:rFonts w:ascii="Arial Narrow" w:hAnsi="Arial Narrow" w:cs="Arial"/>
                <w:strike/>
                <w:sz w:val="20"/>
                <w:szCs w:val="20"/>
                <w:lang w:bidi="en-US"/>
              </w:rPr>
              <w:t>galcanezumab</w:t>
            </w:r>
            <w:r>
              <w:rPr>
                <w:rFonts w:ascii="Arial Narrow" w:hAnsi="Arial Narrow" w:cs="Arial"/>
                <w:sz w:val="20"/>
                <w:szCs w:val="20"/>
                <w:lang w:bidi="en-US"/>
              </w:rPr>
              <w:t>.</w:t>
            </w:r>
          </w:p>
          <w:p w:rsidR="0072310B" w:rsidRDefault="00783925">
            <w:pPr>
              <w:jc w:val="left"/>
              <w:rPr>
                <w:rFonts w:ascii="Arial Narrow" w:hAnsi="Arial Narrow" w:cs="Arial"/>
                <w:sz w:val="20"/>
                <w:szCs w:val="20"/>
                <w:lang w:bidi="en-US"/>
              </w:rPr>
            </w:pPr>
            <w:r>
              <w:rPr>
                <w:rFonts w:ascii="Arial Narrow" w:hAnsi="Arial Narrow" w:cs="Arial"/>
                <w:sz w:val="20"/>
                <w:szCs w:val="20"/>
                <w:lang w:bidi="en-US"/>
              </w:rPr>
              <w:t>AND</w:t>
            </w:r>
          </w:p>
          <w:p w:rsidR="0072310B" w:rsidRDefault="00783925">
            <w:pPr>
              <w:pStyle w:val="Tabletext"/>
              <w:rPr>
                <w:i/>
              </w:rPr>
            </w:pPr>
            <w:r>
              <w:rPr>
                <w:i/>
              </w:rPr>
              <w:t>The treatment must not be in combination with botulinum toxin</w:t>
            </w:r>
          </w:p>
          <w:p w:rsidR="0072310B" w:rsidRDefault="00783925">
            <w:pPr>
              <w:jc w:val="left"/>
              <w:rPr>
                <w:rFonts w:ascii="Arial Narrow" w:hAnsi="Arial Narrow" w:cs="Arial"/>
                <w:strike/>
                <w:sz w:val="20"/>
                <w:szCs w:val="20"/>
                <w:lang w:bidi="en-US"/>
              </w:rPr>
            </w:pPr>
            <w:r>
              <w:rPr>
                <w:rFonts w:ascii="Arial Narrow" w:hAnsi="Arial Narrow" w:cs="Arial"/>
                <w:strike/>
                <w:sz w:val="20"/>
                <w:szCs w:val="20"/>
                <w:lang w:bidi="en-US"/>
              </w:rPr>
              <w:t>AND</w:t>
            </w:r>
          </w:p>
          <w:p w:rsidR="0072310B" w:rsidRDefault="00783925">
            <w:pPr>
              <w:jc w:val="left"/>
              <w:rPr>
                <w:rFonts w:ascii="Arial Narrow" w:hAnsi="Arial Narrow" w:cs="Arial"/>
                <w:sz w:val="20"/>
                <w:szCs w:val="20"/>
                <w:lang w:bidi="en-US"/>
              </w:rPr>
            </w:pPr>
            <w:r>
              <w:rPr>
                <w:rFonts w:ascii="Arial Narrow" w:hAnsi="Arial Narrow" w:cs="Arial"/>
                <w:strike/>
                <w:sz w:val="20"/>
                <w:szCs w:val="20"/>
                <w:lang w:bidi="en-US"/>
              </w:rPr>
              <w:t>Patient must not receive more than 3 months of treatment under this restriction</w:t>
            </w:r>
            <w:r>
              <w:rPr>
                <w:rFonts w:ascii="Arial Narrow" w:hAnsi="Arial Narrow" w:cs="Arial"/>
                <w:sz w:val="20"/>
                <w:szCs w:val="20"/>
                <w:lang w:bidi="en-US"/>
              </w:rPr>
              <w:t>.</w:t>
            </w:r>
          </w:p>
        </w:tc>
      </w:tr>
      <w:tr w:rsidR="0072310B">
        <w:trPr>
          <w:cantSplit/>
          <w:trHeight w:val="360"/>
        </w:trPr>
        <w:tc>
          <w:tcPr>
            <w:tcW w:w="1746"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b/>
                <w:sz w:val="20"/>
                <w:szCs w:val="20"/>
              </w:rPr>
            </w:pPr>
            <w:r>
              <w:rPr>
                <w:rFonts w:ascii="Arial Narrow" w:eastAsia="Calibri" w:hAnsi="Arial Narrow" w:cs="Arial"/>
                <w:b/>
                <w:sz w:val="20"/>
                <w:szCs w:val="20"/>
              </w:rPr>
              <w:t>Population criteria:</w:t>
            </w:r>
          </w:p>
        </w:tc>
        <w:tc>
          <w:tcPr>
            <w:tcW w:w="3254"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strike/>
                <w:sz w:val="20"/>
                <w:szCs w:val="20"/>
              </w:rPr>
            </w:pPr>
            <w:r>
              <w:rPr>
                <w:rFonts w:ascii="Arial Narrow" w:hAnsi="Arial Narrow" w:cs="Arial"/>
                <w:strike/>
                <w:sz w:val="20"/>
                <w:szCs w:val="20"/>
                <w:lang w:bidi="en-US"/>
              </w:rPr>
              <w:t>Patient must be aged 18 years or older.</w:t>
            </w:r>
          </w:p>
        </w:tc>
      </w:tr>
      <w:tr w:rsidR="0072310B">
        <w:trPr>
          <w:cantSplit/>
          <w:trHeight w:val="265"/>
        </w:trPr>
        <w:tc>
          <w:tcPr>
            <w:tcW w:w="1746"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b/>
                <w:sz w:val="20"/>
                <w:szCs w:val="20"/>
              </w:rPr>
            </w:pPr>
            <w:r>
              <w:rPr>
                <w:rFonts w:ascii="Arial Narrow" w:eastAsia="Calibri" w:hAnsi="Arial Narrow" w:cs="Arial"/>
                <w:b/>
                <w:sz w:val="20"/>
                <w:szCs w:val="20"/>
              </w:rPr>
              <w:t>Foreword</w:t>
            </w:r>
          </w:p>
        </w:tc>
        <w:tc>
          <w:tcPr>
            <w:tcW w:w="3254"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sz w:val="20"/>
                <w:szCs w:val="20"/>
              </w:rPr>
            </w:pPr>
            <w:r>
              <w:rPr>
                <w:rFonts w:ascii="Arial Narrow" w:eastAsia="Calibri" w:hAnsi="Arial Narrow" w:cs="Arial"/>
                <w:sz w:val="20"/>
                <w:szCs w:val="20"/>
              </w:rPr>
              <w:t>N/A</w:t>
            </w:r>
          </w:p>
        </w:tc>
      </w:tr>
      <w:tr w:rsidR="0072310B">
        <w:trPr>
          <w:cantSplit/>
          <w:trHeight w:val="283"/>
        </w:trPr>
        <w:tc>
          <w:tcPr>
            <w:tcW w:w="1746"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b/>
                <w:sz w:val="20"/>
                <w:szCs w:val="20"/>
              </w:rPr>
            </w:pPr>
            <w:r>
              <w:rPr>
                <w:rFonts w:ascii="Arial Narrow" w:eastAsia="Calibri" w:hAnsi="Arial Narrow" w:cs="Arial"/>
                <w:b/>
                <w:sz w:val="20"/>
                <w:szCs w:val="20"/>
              </w:rPr>
              <w:t>Definitions</w:t>
            </w:r>
          </w:p>
        </w:tc>
        <w:tc>
          <w:tcPr>
            <w:tcW w:w="3254"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sz w:val="20"/>
                <w:szCs w:val="20"/>
              </w:rPr>
            </w:pPr>
            <w:r>
              <w:rPr>
                <w:rFonts w:ascii="Arial Narrow" w:eastAsia="Calibri" w:hAnsi="Arial Narrow" w:cs="Arial"/>
                <w:sz w:val="20"/>
                <w:szCs w:val="20"/>
              </w:rPr>
              <w:t>N/A</w:t>
            </w:r>
          </w:p>
        </w:tc>
      </w:tr>
      <w:tr w:rsidR="0072310B">
        <w:trPr>
          <w:cantSplit/>
          <w:trHeight w:val="360"/>
        </w:trPr>
        <w:tc>
          <w:tcPr>
            <w:tcW w:w="1746"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b/>
                <w:sz w:val="20"/>
                <w:szCs w:val="20"/>
              </w:rPr>
            </w:pPr>
            <w:r>
              <w:rPr>
                <w:rFonts w:ascii="Arial Narrow" w:eastAsia="Calibri" w:hAnsi="Arial Narrow" w:cs="Arial"/>
                <w:b/>
                <w:sz w:val="20"/>
                <w:szCs w:val="20"/>
              </w:rPr>
              <w:t>Prescriber Instructions</w:t>
            </w:r>
          </w:p>
        </w:tc>
        <w:tc>
          <w:tcPr>
            <w:tcW w:w="3254"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hAnsi="Arial Narrow" w:cs="Arial"/>
                <w:sz w:val="20"/>
                <w:szCs w:val="20"/>
                <w:lang w:bidi="en-US"/>
              </w:rPr>
            </w:pPr>
            <w:r>
              <w:rPr>
                <w:rFonts w:ascii="Arial Narrow" w:hAnsi="Arial Narrow" w:cs="Arial"/>
                <w:sz w:val="20"/>
                <w:szCs w:val="20"/>
                <w:lang w:bidi="en-US"/>
              </w:rPr>
              <w:t>Prophylactic migraine medications are propranolol, amitriptyline, pizotifen, candesartan, verapamil, nortriptyline, sodium valproate or topiramate.</w:t>
            </w:r>
          </w:p>
        </w:tc>
      </w:tr>
      <w:tr w:rsidR="0072310B">
        <w:trPr>
          <w:cantSplit/>
          <w:trHeight w:val="360"/>
        </w:trPr>
        <w:tc>
          <w:tcPr>
            <w:tcW w:w="1746"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eastAsia="Calibri" w:hAnsi="Arial Narrow" w:cs="Arial"/>
                <w:b/>
                <w:sz w:val="20"/>
                <w:szCs w:val="20"/>
              </w:rPr>
            </w:pPr>
            <w:r>
              <w:rPr>
                <w:rFonts w:ascii="Arial Narrow" w:eastAsia="Calibri" w:hAnsi="Arial Narrow" w:cs="Arial"/>
                <w:b/>
                <w:sz w:val="20"/>
                <w:szCs w:val="20"/>
              </w:rPr>
              <w:t>Administrative Advice</w:t>
            </w:r>
          </w:p>
        </w:tc>
        <w:tc>
          <w:tcPr>
            <w:tcW w:w="3254" w:type="pct"/>
            <w:tcBorders>
              <w:top w:val="single" w:sz="4" w:space="0" w:color="auto"/>
              <w:left w:val="single" w:sz="4" w:space="0" w:color="auto"/>
              <w:bottom w:val="single" w:sz="4" w:space="0" w:color="auto"/>
              <w:right w:val="single" w:sz="4" w:space="0" w:color="auto"/>
            </w:tcBorders>
          </w:tcPr>
          <w:p w:rsidR="0072310B" w:rsidRDefault="00783925">
            <w:pPr>
              <w:jc w:val="left"/>
              <w:rPr>
                <w:rFonts w:ascii="Arial Narrow" w:hAnsi="Arial Narrow" w:cs="Arial"/>
                <w:strike/>
                <w:sz w:val="20"/>
                <w:szCs w:val="20"/>
                <w:lang w:bidi="en-US"/>
              </w:rPr>
            </w:pPr>
            <w:r>
              <w:rPr>
                <w:rFonts w:ascii="Arial Narrow" w:hAnsi="Arial Narrow" w:cs="Arial"/>
                <w:strike/>
                <w:sz w:val="20"/>
                <w:szCs w:val="20"/>
                <w:lang w:bidi="en-US"/>
              </w:rPr>
              <w:t>This drug is not PBS-subsidised for use in combination with botulinum toxin type A.</w:t>
            </w:r>
          </w:p>
        </w:tc>
      </w:tr>
    </w:tbl>
    <w:p w:rsidR="0072310B" w:rsidRDefault="0072310B"/>
    <w:tbl>
      <w:tblPr>
        <w:tblW w:w="5000" w:type="pct"/>
        <w:tblLook w:val="0000" w:firstRow="0" w:lastRow="0" w:firstColumn="0" w:lastColumn="0" w:noHBand="0" w:noVBand="0"/>
      </w:tblPr>
      <w:tblGrid>
        <w:gridCol w:w="3149"/>
        <w:gridCol w:w="5868"/>
      </w:tblGrid>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Treatment phase:</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Continuing</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Treatment criteria:</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 xml:space="preserve">Must be treated by a neurologist </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Clinical criteria:</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Patient must have previously received PBS-subsidised treatment with this drug for this condition</w:t>
            </w:r>
          </w:p>
          <w:p w:rsidR="0072310B" w:rsidRDefault="00783925">
            <w:pPr>
              <w:pStyle w:val="Tabletext"/>
            </w:pPr>
            <w:r>
              <w:t>AND</w:t>
            </w:r>
          </w:p>
          <w:p w:rsidR="0072310B" w:rsidRDefault="00783925">
            <w:pPr>
              <w:pStyle w:val="Tabletext"/>
            </w:pPr>
            <w:r>
              <w:t xml:space="preserve">Patient must have achieved and maintained a 50% or greater reduction from baseline in the number of migraine headache days per month </w:t>
            </w:r>
            <w:r>
              <w:rPr>
                <w:strike/>
              </w:rPr>
              <w:t xml:space="preserve">after three treatment cycles (3 months) </w:t>
            </w:r>
            <w:r>
              <w:t>in order to be eligible for continuing PBS-subsidised treatment</w:t>
            </w:r>
          </w:p>
          <w:p w:rsidR="0072310B" w:rsidRDefault="00783925">
            <w:pPr>
              <w:pStyle w:val="Tabletext"/>
            </w:pPr>
            <w:r>
              <w:t>AND</w:t>
            </w:r>
          </w:p>
          <w:p w:rsidR="0072310B" w:rsidRDefault="00783925">
            <w:pPr>
              <w:pStyle w:val="Tabletext"/>
              <w:rPr>
                <w:i/>
              </w:rPr>
            </w:pPr>
            <w:r>
              <w:rPr>
                <w:i/>
              </w:rPr>
              <w:t>The treatment must not be in combination with botulinum toxin</w:t>
            </w:r>
          </w:p>
          <w:p w:rsidR="0072310B" w:rsidRDefault="00783925">
            <w:pPr>
              <w:pStyle w:val="Tabletext"/>
            </w:pPr>
            <w:r>
              <w:t>AND</w:t>
            </w:r>
          </w:p>
          <w:p w:rsidR="0072310B" w:rsidRDefault="00783925">
            <w:pPr>
              <w:pStyle w:val="Tabletext"/>
            </w:pPr>
            <w:r>
              <w:t xml:space="preserve">Patient must </w:t>
            </w:r>
            <w:r>
              <w:rPr>
                <w:i/>
              </w:rPr>
              <w:t>continue</w:t>
            </w:r>
            <w:r>
              <w:t xml:space="preserve"> be appropriately managed </w:t>
            </w:r>
            <w:r>
              <w:rPr>
                <w:strike/>
              </w:rPr>
              <w:t>by his or her practitioner</w:t>
            </w:r>
            <w:r>
              <w:t xml:space="preserve"> for medication overuse headache</w:t>
            </w:r>
            <w:r>
              <w:rPr>
                <w:strike/>
              </w:rPr>
              <w:t>, prior to initiation of treatment with galcanezumab</w:t>
            </w:r>
          </w:p>
        </w:tc>
      </w:tr>
    </w:tbl>
    <w:p w:rsidR="0072310B" w:rsidRDefault="00783925">
      <w:pPr>
        <w:pStyle w:val="TableFooter"/>
      </w:pPr>
      <w:r>
        <w:t>Source: Table 1.4.2 to Table 1.4.4, p27-29 of the submission.</w:t>
      </w:r>
    </w:p>
    <w:p w:rsidR="0072310B" w:rsidRDefault="0072310B"/>
    <w:p w:rsidR="0072310B" w:rsidRDefault="00783925">
      <w:pPr>
        <w:pStyle w:val="ListParagraph"/>
        <w:numPr>
          <w:ilvl w:val="1"/>
          <w:numId w:val="3"/>
        </w:numPr>
        <w:spacing w:after="120"/>
        <w:ind w:left="709" w:hanging="709"/>
      </w:pPr>
      <w:r>
        <w:t>The PBAC noted the requested restriction was consistent with the PBS listing of Botox for chronic migraine, although with the following differences:</w:t>
      </w:r>
    </w:p>
    <w:p w:rsidR="0072310B" w:rsidRDefault="00783925">
      <w:pPr>
        <w:pStyle w:val="Bulletpoints"/>
        <w:spacing w:after="120"/>
        <w:ind w:left="1134" w:hanging="283"/>
      </w:pPr>
      <w:r>
        <w:t>For continuing treatment, the requested restriction specifies a 50% or greater reduction in ‘migraine headache days’ after 3 months while the Botox restriction uses the terminology ‘headache da</w:t>
      </w:r>
      <w:r w:rsidR="002535F9">
        <w:t>ys’ after 24 weeks (6 months).</w:t>
      </w:r>
    </w:p>
    <w:p w:rsidR="0072310B" w:rsidRDefault="00783925">
      <w:pPr>
        <w:pStyle w:val="Bulletpoints"/>
        <w:spacing w:after="120"/>
        <w:ind w:left="1135" w:hanging="284"/>
      </w:pPr>
      <w:r>
        <w:t>An assessment timepoint for continuing treatment of 3 months, instead of the 24 weeks (6 mon</w:t>
      </w:r>
      <w:r w:rsidR="002535F9">
        <w:t>ths) in the Botox restriction.</w:t>
      </w:r>
    </w:p>
    <w:p w:rsidR="0072310B" w:rsidRDefault="00783925">
      <w:pPr>
        <w:pStyle w:val="Bulletpoints"/>
        <w:spacing w:after="120"/>
        <w:ind w:left="1135" w:hanging="284"/>
      </w:pPr>
      <w:r>
        <w:lastRenderedPageBreak/>
        <w:t xml:space="preserve">The list of prophylactic medicines differed from those included in the Botox criteria. The PBAC considered the proposed list was appropriate and consistent with local treatment guidelines for chronic migraine. The PBAC noted the Botox restriction should be updated for consistency. </w:t>
      </w:r>
    </w:p>
    <w:p w:rsidR="0072310B" w:rsidRDefault="00783925">
      <w:pPr>
        <w:pStyle w:val="ListParagraph"/>
        <w:numPr>
          <w:ilvl w:val="1"/>
          <w:numId w:val="3"/>
        </w:numPr>
        <w:spacing w:after="120"/>
      </w:pPr>
      <w:r>
        <w:t xml:space="preserve">The subgroup from REGAIN selected to represent the PBS population included patients who had failed </w:t>
      </w:r>
      <w:r>
        <w:rPr>
          <w:rFonts w:cs="Calibri"/>
        </w:rPr>
        <w:t>≥</w:t>
      </w:r>
      <w:r>
        <w:t xml:space="preserve">3 prior medications but these patients could only have failed 1 or 2 classes of medications (as the trial excluded patients who had failed ≥3 </w:t>
      </w:r>
      <w:r>
        <w:rPr>
          <w:u w:val="single"/>
        </w:rPr>
        <w:t>classes</w:t>
      </w:r>
      <w:r>
        <w:t xml:space="preserve"> of medications). While the subgroup from REGAIN may not fully represent the PBS population, the PBAC noted the clinical claim in the submission was supported in the ITT, mITT subgroup and the treatment-failure subgroup populations. </w:t>
      </w:r>
    </w:p>
    <w:p w:rsidR="0072310B" w:rsidRDefault="00783925">
      <w:pPr>
        <w:pStyle w:val="ListParagraph"/>
        <w:numPr>
          <w:ilvl w:val="1"/>
          <w:numId w:val="3"/>
        </w:numPr>
        <w:spacing w:after="120"/>
      </w:pPr>
      <w:r>
        <w:t>The limited evidence on the natural history of chronic migraine suggests that remission may occur</w:t>
      </w:r>
      <w:r>
        <w:rPr>
          <w:rStyle w:val="FootnoteReference"/>
        </w:rPr>
        <w:footnoteReference w:id="1"/>
      </w:r>
      <w:r>
        <w:t xml:space="preserve"> and the PBAC noted the proposed restriction provided ongoing continuing treatment, with no requirement for a trial of treatment withdrawal. </w:t>
      </w:r>
    </w:p>
    <w:p w:rsidR="0072310B" w:rsidRDefault="00783925">
      <w:pPr>
        <w:pStyle w:val="ListParagraph"/>
        <w:numPr>
          <w:ilvl w:val="1"/>
          <w:numId w:val="3"/>
        </w:numPr>
        <w:spacing w:after="120"/>
      </w:pPr>
      <w:r>
        <w:t>The PBAC considered it was appropriate to restrict access to galcanezumab to patients over the age of 18 years of age as proposed in the submission and consistent with the TGA approved indication (see paragraph 3.1).</w:t>
      </w:r>
    </w:p>
    <w:p w:rsidR="0072310B" w:rsidRDefault="00783925">
      <w:pPr>
        <w:pStyle w:val="ListParagraph"/>
        <w:numPr>
          <w:ilvl w:val="1"/>
          <w:numId w:val="3"/>
        </w:numPr>
        <w:spacing w:after="120"/>
      </w:pPr>
      <w:r>
        <w:t xml:space="preserve">The PBAC noted the proposed criteria required patients to be treated by neurologists for both the initial and continuing restrictions. This was appropriate for the initial criteria but the PBAC considered it would be appropriate to allow continuing prescriptions to be written by or in consultation with a neurologist. </w:t>
      </w:r>
    </w:p>
    <w:p w:rsidR="0072310B" w:rsidRDefault="00783925">
      <w:pPr>
        <w:rPr>
          <w:i/>
        </w:rPr>
      </w:pPr>
      <w:r>
        <w:rPr>
          <w:i/>
        </w:rPr>
        <w:t>For more detail on PBAC’s view, see section 7 PBAC outcome.</w:t>
      </w:r>
    </w:p>
    <w:p w:rsidR="0072310B" w:rsidRDefault="0072310B"/>
    <w:p w:rsidR="0072310B" w:rsidRDefault="00783925">
      <w:pPr>
        <w:pStyle w:val="PBACHeading1"/>
      </w:pPr>
      <w:bookmarkStart w:id="3" w:name="_Toc9435326"/>
      <w:r>
        <w:t>Background</w:t>
      </w:r>
      <w:bookmarkEnd w:id="3"/>
    </w:p>
    <w:p w:rsidR="0072310B" w:rsidRDefault="0072310B"/>
    <w:p w:rsidR="0072310B" w:rsidRDefault="00783925">
      <w:pPr>
        <w:rPr>
          <w:b/>
          <w:sz w:val="28"/>
          <w:szCs w:val="28"/>
        </w:rPr>
      </w:pPr>
      <w:r>
        <w:rPr>
          <w:b/>
          <w:sz w:val="28"/>
          <w:szCs w:val="28"/>
        </w:rPr>
        <w:t>Registration status</w:t>
      </w:r>
    </w:p>
    <w:p w:rsidR="0072310B" w:rsidRDefault="0072310B"/>
    <w:p w:rsidR="0072310B" w:rsidRDefault="00783925">
      <w:pPr>
        <w:pStyle w:val="ListParagraph"/>
        <w:numPr>
          <w:ilvl w:val="1"/>
          <w:numId w:val="3"/>
        </w:numPr>
        <w:spacing w:after="120"/>
      </w:pPr>
      <w:r>
        <w:t>Galcanezumab was approved by the TGA on the 22 May 2019 for the “prophylaxis of migraine in adults”.</w:t>
      </w:r>
    </w:p>
    <w:p w:rsidR="0072310B" w:rsidRDefault="00783925">
      <w:pPr>
        <w:pStyle w:val="ListParagraph"/>
        <w:numPr>
          <w:ilvl w:val="1"/>
          <w:numId w:val="3"/>
        </w:numPr>
        <w:spacing w:after="120"/>
      </w:pPr>
      <w:r>
        <w:rPr>
          <w:rFonts w:cs="Calibri"/>
        </w:rPr>
        <w:t>The ESC noted the TGA indication (migraine) is much broader than the proposed PBS restriction (chronic migraine in patients who have</w:t>
      </w:r>
      <w:r>
        <w:t xml:space="preserve"> </w:t>
      </w:r>
      <w:r>
        <w:rPr>
          <w:rFonts w:cs="Calibri"/>
        </w:rPr>
        <w:t xml:space="preserve">inadequate response, intolerance or a contraindication to at least three prophylactic migraine medications) and considered galcanezumab may be used outside the proposed PBS restriction criteria. The PBAC agreed with the ESC and considered inclusion of galcanezumab in the Botox risk sharing agreement was </w:t>
      </w:r>
      <w:r w:rsidR="000B1CAF">
        <w:rPr>
          <w:rFonts w:cs="Calibri"/>
        </w:rPr>
        <w:t>necessary to address this risk.</w:t>
      </w:r>
    </w:p>
    <w:p w:rsidR="000B1CAF" w:rsidRDefault="000B1CAF">
      <w:pPr>
        <w:jc w:val="left"/>
        <w:rPr>
          <w:b/>
          <w:sz w:val="28"/>
          <w:szCs w:val="28"/>
        </w:rPr>
      </w:pPr>
      <w:r>
        <w:rPr>
          <w:b/>
          <w:sz w:val="28"/>
          <w:szCs w:val="28"/>
        </w:rPr>
        <w:br w:type="page"/>
      </w:r>
    </w:p>
    <w:p w:rsidR="0072310B" w:rsidRDefault="00783925">
      <w:pPr>
        <w:rPr>
          <w:b/>
          <w:sz w:val="28"/>
          <w:szCs w:val="28"/>
        </w:rPr>
      </w:pPr>
      <w:r>
        <w:rPr>
          <w:b/>
          <w:sz w:val="28"/>
          <w:szCs w:val="28"/>
        </w:rPr>
        <w:lastRenderedPageBreak/>
        <w:t>Previous PBAC consideration</w:t>
      </w:r>
    </w:p>
    <w:p w:rsidR="0072310B" w:rsidRDefault="0072310B"/>
    <w:p w:rsidR="0072310B" w:rsidRDefault="00783925">
      <w:pPr>
        <w:pStyle w:val="ListParagraph"/>
        <w:numPr>
          <w:ilvl w:val="1"/>
          <w:numId w:val="3"/>
        </w:numPr>
      </w:pPr>
      <w:r>
        <w:t>This was the first submission to the PBAC for galcanezumab for the</w:t>
      </w:r>
      <w:r w:rsidR="002535F9">
        <w:t xml:space="preserve"> treatment of chronic migraine.</w:t>
      </w:r>
      <w:r>
        <w:t xml:space="preserve"> There have been two submissions to the PBAC for erenumab for use in chronic migraine, in July 2018 and March 2019; and four submissions for Botox for use in chronic migraine, in November 2011, July 2012, July 2013 and March 2018. </w:t>
      </w:r>
    </w:p>
    <w:p w:rsidR="0072310B" w:rsidRDefault="00783925">
      <w:pPr>
        <w:rPr>
          <w:i/>
        </w:rPr>
      </w:pPr>
      <w:r>
        <w:rPr>
          <w:i/>
        </w:rPr>
        <w:t>For more detail on PBAC’s view, see section 7 PBAC outcome.</w:t>
      </w:r>
    </w:p>
    <w:p w:rsidR="0072310B" w:rsidRDefault="0072310B"/>
    <w:p w:rsidR="0072310B" w:rsidRDefault="00783925">
      <w:pPr>
        <w:pStyle w:val="PBACHeading1"/>
      </w:pPr>
      <w:bookmarkStart w:id="4" w:name="_Toc9435327"/>
      <w:r>
        <w:t>Population and disease</w:t>
      </w:r>
      <w:bookmarkEnd w:id="4"/>
    </w:p>
    <w:p w:rsidR="0072310B" w:rsidRDefault="0072310B"/>
    <w:p w:rsidR="0072310B" w:rsidRDefault="00783925">
      <w:pPr>
        <w:pStyle w:val="ListParagraph"/>
        <w:numPr>
          <w:ilvl w:val="1"/>
          <w:numId w:val="3"/>
        </w:numPr>
        <w:spacing w:after="120"/>
      </w:pPr>
      <w:r>
        <w:t>Migraine is a form of headache that is defined as a recurrent headache with a pulsating quality, unilateral location, moderate or severe intensity, aggravation by routine physical activity and association with nausea and/or photophobia and phonophobia.</w:t>
      </w:r>
    </w:p>
    <w:p w:rsidR="0072310B" w:rsidRDefault="00783925">
      <w:pPr>
        <w:pStyle w:val="ListParagraph"/>
        <w:numPr>
          <w:ilvl w:val="1"/>
          <w:numId w:val="3"/>
        </w:numPr>
        <w:spacing w:after="120"/>
      </w:pPr>
      <w:r>
        <w:t>Migraine</w:t>
      </w:r>
      <w:r w:rsidR="002535F9">
        <w:t xml:space="preserve"> </w:t>
      </w:r>
      <w:r>
        <w:t>is characterised by recurrent headache, lasting 4 to 72 hours and often accompanied by symptoms such as nausea, vomiting and hypersensitivity to light and sound. The target population for treatment with galcanezumab are adult patients with chronic migraine, defined as 15 or more headache days per month, at least 8 of which have to be typical migraine days.</w:t>
      </w:r>
    </w:p>
    <w:p w:rsidR="0072310B" w:rsidRDefault="00783925">
      <w:pPr>
        <w:pStyle w:val="ListParagraph"/>
        <w:numPr>
          <w:ilvl w:val="1"/>
          <w:numId w:val="3"/>
        </w:numPr>
        <w:spacing w:after="120"/>
      </w:pPr>
      <w:r>
        <w:t>Of patients with chronic migraine, the specified treatment population for galcanezumab is patients who have failed ≥3 prophylactic medications, which corresponds with the treatment population for Botox.</w:t>
      </w:r>
    </w:p>
    <w:p w:rsidR="0072310B" w:rsidRDefault="00783925">
      <w:pPr>
        <w:rPr>
          <w:i/>
        </w:rPr>
      </w:pPr>
      <w:r>
        <w:rPr>
          <w:i/>
        </w:rPr>
        <w:t>For more detail on PBAC’s view, see section 7 PBAC outcome.</w:t>
      </w:r>
    </w:p>
    <w:p w:rsidR="0072310B" w:rsidRDefault="0072310B"/>
    <w:p w:rsidR="0072310B" w:rsidRDefault="00783925">
      <w:pPr>
        <w:pStyle w:val="PBACHeading1"/>
      </w:pPr>
      <w:bookmarkStart w:id="5" w:name="_Toc9435328"/>
      <w:r>
        <w:t>Comparator</w:t>
      </w:r>
      <w:bookmarkEnd w:id="5"/>
    </w:p>
    <w:p w:rsidR="0072310B" w:rsidRDefault="0072310B"/>
    <w:p w:rsidR="0072310B" w:rsidRDefault="00783925">
      <w:pPr>
        <w:pStyle w:val="ListParagraph"/>
        <w:numPr>
          <w:ilvl w:val="1"/>
          <w:numId w:val="3"/>
        </w:numPr>
        <w:spacing w:after="120"/>
      </w:pPr>
      <w:r>
        <w:t>The submission nominated Botox as the main comparator as it is the only PBS-listed treatment for the same population as sought for galcanezumab, patients who have not responded, were intolerant or had contraindications to at least 3 prophylactic migraine medications. The ESC considered the selection of Botox as the main comparator was appropriate, although best supportive care (BSC) could also be considered an appropriate comparator. The ESC noted that while galcanezumab cannot be used with Botox, it may be used before or after Botox (i.e., used sequentially) in a proportion of patients. The ESC also considered other migraine preventative treatments may be considered comparators if galcanezumab is used earlier in the treatment algorithm, consistent with how it was used in the clinical trial.</w:t>
      </w:r>
    </w:p>
    <w:p w:rsidR="0072310B" w:rsidRDefault="00783925">
      <w:pPr>
        <w:pStyle w:val="ListParagraph"/>
        <w:numPr>
          <w:ilvl w:val="1"/>
          <w:numId w:val="3"/>
        </w:numPr>
        <w:spacing w:after="120"/>
      </w:pPr>
      <w:r>
        <w:t xml:space="preserve">The submission identified erenumab as a supplementary, near-market comparator and an indirect comparison of galcanezumab and erenumab was provided. The inclusion of erenumab as a near-market comparator in the submission was appropriate; however, the PBAC noted erenumab was rejected the March 2019 PBAC meeting and was not considered at the July 2019 PBAC meeting. </w:t>
      </w:r>
    </w:p>
    <w:p w:rsidR="0072310B" w:rsidRDefault="00783925">
      <w:pPr>
        <w:rPr>
          <w:i/>
        </w:rPr>
      </w:pPr>
      <w:r>
        <w:rPr>
          <w:i/>
        </w:rPr>
        <w:lastRenderedPageBreak/>
        <w:t>For more detail on PBAC’s view, see section 7 PBAC outcome.</w:t>
      </w:r>
    </w:p>
    <w:p w:rsidR="0072310B" w:rsidRDefault="0072310B"/>
    <w:p w:rsidR="0072310B" w:rsidRDefault="00783925">
      <w:pPr>
        <w:pStyle w:val="PBACHeading1"/>
        <w:spacing w:after="240"/>
      </w:pPr>
      <w:bookmarkStart w:id="6" w:name="_Toc9435329"/>
      <w:r>
        <w:t>Consideration of the evidence</w:t>
      </w:r>
      <w:bookmarkEnd w:id="6"/>
    </w:p>
    <w:p w:rsidR="0072310B" w:rsidRDefault="00783925">
      <w:pPr>
        <w:pStyle w:val="Heading2"/>
      </w:pPr>
      <w:bookmarkStart w:id="7" w:name="_Toc9435330"/>
      <w:r>
        <w:t>Sponsor hearing</w:t>
      </w:r>
    </w:p>
    <w:p w:rsidR="0072310B" w:rsidRDefault="0072310B"/>
    <w:p w:rsidR="0072310B" w:rsidRDefault="00783925">
      <w:pPr>
        <w:pStyle w:val="ListParagraph"/>
        <w:numPr>
          <w:ilvl w:val="1"/>
          <w:numId w:val="3"/>
        </w:numPr>
      </w:pPr>
      <w:r>
        <w:rPr>
          <w:rFonts w:asciiTheme="minorHAnsi" w:hAnsiTheme="minorHAnsi" w:cs="Arial"/>
          <w:bCs/>
          <w:snapToGrid w:val="0"/>
        </w:rPr>
        <w:t>The sponsor requested a hearing for this item. The clinician discussed the clinical trial data (in particular the relevance of the high placebo response observed), clarified the place of galcanezumab in clinical practice and addressed other questions raised by the Committee. The clinician considered that if a patient was well controlled on galcanezumab, the period between injections may be extended but it was likely migraines would return if t</w:t>
      </w:r>
      <w:r w:rsidR="002535F9">
        <w:rPr>
          <w:rFonts w:asciiTheme="minorHAnsi" w:hAnsiTheme="minorHAnsi" w:cs="Arial"/>
          <w:bCs/>
          <w:snapToGrid w:val="0"/>
        </w:rPr>
        <w:t>reatment was stopped entirely.</w:t>
      </w:r>
    </w:p>
    <w:p w:rsidR="0072310B" w:rsidRDefault="00783925">
      <w:pPr>
        <w:pStyle w:val="Heading2"/>
      </w:pPr>
      <w:r>
        <w:t>Consumer comments</w:t>
      </w:r>
    </w:p>
    <w:p w:rsidR="0072310B" w:rsidRDefault="0072310B"/>
    <w:p w:rsidR="0072310B" w:rsidRDefault="00783925">
      <w:pPr>
        <w:pStyle w:val="ListParagraph"/>
        <w:numPr>
          <w:ilvl w:val="1"/>
          <w:numId w:val="3"/>
        </w:numPr>
        <w:spacing w:after="120"/>
      </w:pPr>
      <w:r>
        <w:t xml:space="preserve">The PBAC noted and welcomed the input from individuals (56), health care professionals (2) and organisations (1) via the Consumer Comments facility on the PBS website. </w:t>
      </w:r>
      <w:r>
        <w:rPr>
          <w:rFonts w:asciiTheme="minorHAnsi" w:hAnsiTheme="minorHAnsi" w:cs="Arial"/>
          <w:bCs/>
          <w:snapToGrid w:val="0"/>
        </w:rPr>
        <w:t>The comments described the debilitating physical, mental and social impact of chronic migraine and the</w:t>
      </w:r>
      <w:r>
        <w:t xml:space="preserve"> range of potential benefits of treatment with galcanezumab and the other CGRP inhibitors. Benefits of treatment included a reduction in the number and severity of migraines, improvement in quality of life, the ability to return to work and easier administration compared to Botox. Some of the comments outlined the large number of different medications patients have used to treat their migraines with little relief provided or unacceptable side effects. </w:t>
      </w:r>
      <w:r>
        <w:rPr>
          <w:rFonts w:asciiTheme="minorHAnsi" w:hAnsiTheme="minorHAnsi" w:cs="Arial"/>
          <w:bCs/>
          <w:snapToGrid w:val="0"/>
        </w:rPr>
        <w:t>Many patients expressed their concern at being able to afford the medicine if it was not listed on the PBS.</w:t>
      </w:r>
    </w:p>
    <w:p w:rsidR="0072310B" w:rsidRDefault="00783925">
      <w:pPr>
        <w:pStyle w:val="ListParagraph"/>
        <w:numPr>
          <w:ilvl w:val="1"/>
          <w:numId w:val="3"/>
        </w:numPr>
        <w:spacing w:after="0"/>
      </w:pPr>
      <w:r>
        <w:t xml:space="preserve">The PBAC noted the advice received from Headache Australia that while there are numerous treatments available for the prevention of migraine, there is a clinical need for better medications with fewer side effects. </w:t>
      </w:r>
    </w:p>
    <w:p w:rsidR="0072310B" w:rsidRDefault="0072310B"/>
    <w:p w:rsidR="0072310B" w:rsidRDefault="00783925">
      <w:pPr>
        <w:pStyle w:val="Heading2"/>
      </w:pPr>
      <w:r>
        <w:t>Clinical trials</w:t>
      </w:r>
      <w:bookmarkEnd w:id="7"/>
    </w:p>
    <w:p w:rsidR="0072310B" w:rsidRDefault="0072310B"/>
    <w:p w:rsidR="0072310B" w:rsidRDefault="00783925">
      <w:pPr>
        <w:pStyle w:val="ListParagraph"/>
        <w:numPr>
          <w:ilvl w:val="1"/>
          <w:numId w:val="3"/>
        </w:numPr>
        <w:spacing w:after="120"/>
      </w:pPr>
      <w:r>
        <w:t>The submission was based on an indirect comparison using one galcanezumab trial (REGAIN; N=83</w:t>
      </w:r>
      <w:r w:rsidR="008C2483">
        <w:t>6</w:t>
      </w:r>
      <w:r>
        <w:t>) and two Botox trials (PREEMPT 1 and PREEMPT 2; N=1,384), with placebo as the common comparator. The Botox trials have previously been considered by the PBAC in its consideration of erenumab in July 2018 and March 2019 and in its consideration of Botox in November 2011, July 2</w:t>
      </w:r>
      <w:r w:rsidR="002535F9">
        <w:t>012, July 2013 and March 2018.</w:t>
      </w:r>
    </w:p>
    <w:p w:rsidR="0072310B" w:rsidRDefault="00783925">
      <w:pPr>
        <w:pStyle w:val="ListParagraph"/>
        <w:numPr>
          <w:ilvl w:val="1"/>
          <w:numId w:val="3"/>
        </w:numPr>
        <w:spacing w:after="120"/>
      </w:pPr>
      <w:r>
        <w:t>The submission included an indirect comparison versus erenumab, which utilised Study 295 for erenumab. Study 295 has been previously considered by the PBAC as part of the July 2018 and March 2019 PBAC submissions for erenumab.</w:t>
      </w:r>
    </w:p>
    <w:p w:rsidR="0072310B" w:rsidRDefault="00783925">
      <w:pPr>
        <w:pStyle w:val="ListParagraph"/>
        <w:numPr>
          <w:ilvl w:val="1"/>
          <w:numId w:val="3"/>
        </w:numPr>
        <w:spacing w:after="120"/>
      </w:pPr>
      <w:r>
        <w:t>The indirect comparisons were based on post-hoc subgroups selected to correspond to the requested PBS restriction, patients who had faile</w:t>
      </w:r>
      <w:r w:rsidR="002535F9">
        <w:t xml:space="preserve">d ≥3 prophylactic medications. </w:t>
      </w:r>
      <w:r>
        <w:lastRenderedPageBreak/>
        <w:t>For galcanezumab, this subgroup comprised 13% of the REGAIN trial intention to treat (ITT) population. For Botox this comprised 35% of the PREEMPT ITT populations and for erenumab, this comprised 35% of the Study 295 ITT population.</w:t>
      </w:r>
    </w:p>
    <w:p w:rsidR="0072310B" w:rsidRDefault="00783925">
      <w:pPr>
        <w:pStyle w:val="ListParagraph"/>
        <w:numPr>
          <w:ilvl w:val="1"/>
          <w:numId w:val="3"/>
        </w:numPr>
        <w:spacing w:after="120"/>
        <w:rPr>
          <w:rFonts w:cs="Calibri"/>
          <w:lang w:val="en-US"/>
        </w:rPr>
      </w:pPr>
      <w:r>
        <w:rPr>
          <w:rFonts w:cs="Calibri"/>
          <w:lang w:val="en-US"/>
        </w:rPr>
        <w:t>Details of the trials presented in the submission are provided in the table below.</w:t>
      </w:r>
    </w:p>
    <w:p w:rsidR="005E1C57" w:rsidRPr="005E1C57" w:rsidRDefault="005E1C57" w:rsidP="005E1C57">
      <w:pPr>
        <w:pStyle w:val="Caption"/>
        <w:keepNext/>
        <w:spacing w:after="0"/>
        <w:rPr>
          <w:rStyle w:val="CommentReference"/>
        </w:rPr>
      </w:pPr>
      <w:r w:rsidRPr="005E1C57">
        <w:rPr>
          <w:rStyle w:val="CommentReference"/>
        </w:rPr>
        <w:t xml:space="preserve">Table </w:t>
      </w:r>
      <w:r w:rsidRPr="005E1C57">
        <w:rPr>
          <w:rStyle w:val="CommentReference"/>
        </w:rPr>
        <w:fldChar w:fldCharType="begin"/>
      </w:r>
      <w:r w:rsidRPr="005E1C57">
        <w:rPr>
          <w:rStyle w:val="CommentReference"/>
        </w:rPr>
        <w:instrText xml:space="preserve"> SEQ Table \* ARABIC </w:instrText>
      </w:r>
      <w:r w:rsidRPr="005E1C57">
        <w:rPr>
          <w:rStyle w:val="CommentReference"/>
        </w:rPr>
        <w:fldChar w:fldCharType="separate"/>
      </w:r>
      <w:r w:rsidR="00CD46F2">
        <w:rPr>
          <w:rStyle w:val="CommentReference"/>
          <w:noProof/>
        </w:rPr>
        <w:t>2</w:t>
      </w:r>
      <w:r w:rsidRPr="005E1C57">
        <w:rPr>
          <w:rStyle w:val="CommentReference"/>
        </w:rPr>
        <w:fldChar w:fldCharType="end"/>
      </w:r>
      <w:r w:rsidRPr="005E1C57">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72310B">
        <w:trPr>
          <w:tblHeader/>
        </w:trPr>
        <w:tc>
          <w:tcPr>
            <w:tcW w:w="796" w:type="pct"/>
            <w:vAlign w:val="center"/>
          </w:tcPr>
          <w:p w:rsidR="0072310B" w:rsidRDefault="00783925">
            <w:pPr>
              <w:pStyle w:val="Tabletext"/>
              <w:rPr>
                <w:b/>
              </w:rPr>
            </w:pPr>
            <w:r>
              <w:rPr>
                <w:b/>
              </w:rPr>
              <w:t>Trial ID</w:t>
            </w:r>
          </w:p>
        </w:tc>
        <w:tc>
          <w:tcPr>
            <w:tcW w:w="3027" w:type="pct"/>
            <w:vAlign w:val="center"/>
          </w:tcPr>
          <w:p w:rsidR="0072310B" w:rsidRDefault="00783925">
            <w:pPr>
              <w:pStyle w:val="Tabletext"/>
              <w:jc w:val="center"/>
              <w:rPr>
                <w:b/>
              </w:rPr>
            </w:pPr>
            <w:r>
              <w:rPr>
                <w:b/>
              </w:rPr>
              <w:t>Protocol title/ Publication title</w:t>
            </w:r>
          </w:p>
        </w:tc>
        <w:tc>
          <w:tcPr>
            <w:tcW w:w="1177" w:type="pct"/>
            <w:vAlign w:val="center"/>
          </w:tcPr>
          <w:p w:rsidR="0072310B" w:rsidRDefault="00783925">
            <w:pPr>
              <w:pStyle w:val="Tabletext"/>
              <w:jc w:val="center"/>
              <w:rPr>
                <w:b/>
              </w:rPr>
            </w:pPr>
            <w:r>
              <w:rPr>
                <w:b/>
              </w:rPr>
              <w:t>Publication citation</w:t>
            </w:r>
          </w:p>
        </w:tc>
      </w:tr>
      <w:tr w:rsidR="0072310B">
        <w:tc>
          <w:tcPr>
            <w:tcW w:w="5000" w:type="pct"/>
            <w:gridSpan w:val="3"/>
            <w:tcBorders>
              <w:bottom w:val="nil"/>
            </w:tcBorders>
            <w:vAlign w:val="center"/>
          </w:tcPr>
          <w:p w:rsidR="0072310B" w:rsidRDefault="00783925">
            <w:pPr>
              <w:pStyle w:val="Tabletext"/>
              <w:rPr>
                <w:b/>
              </w:rPr>
            </w:pPr>
            <w:r>
              <w:rPr>
                <w:b/>
              </w:rPr>
              <w:t>Galcanezumab</w:t>
            </w:r>
          </w:p>
        </w:tc>
      </w:tr>
      <w:tr w:rsidR="00C553CE" w:rsidTr="005E1C57">
        <w:tc>
          <w:tcPr>
            <w:tcW w:w="796" w:type="pct"/>
            <w:vMerge w:val="restart"/>
            <w:vAlign w:val="center"/>
          </w:tcPr>
          <w:p w:rsidR="00C553CE" w:rsidRDefault="00C553CE">
            <w:pPr>
              <w:pStyle w:val="Tabletext"/>
              <w:rPr>
                <w:rFonts w:ascii="Times" w:hAnsi="Times"/>
              </w:rPr>
            </w:pPr>
            <w:r>
              <w:t>REGAIN</w:t>
            </w:r>
          </w:p>
        </w:tc>
        <w:tc>
          <w:tcPr>
            <w:tcW w:w="3027" w:type="pct"/>
            <w:tcBorders>
              <w:bottom w:val="nil"/>
            </w:tcBorders>
            <w:vAlign w:val="center"/>
          </w:tcPr>
          <w:p w:rsidR="00C553CE" w:rsidRDefault="00C553CE" w:rsidP="002535F9">
            <w:pPr>
              <w:autoSpaceDE w:val="0"/>
              <w:autoSpaceDN w:val="0"/>
              <w:adjustRightInd w:val="0"/>
              <w:jc w:val="left"/>
              <w:rPr>
                <w:rFonts w:ascii="Arial Narrow" w:hAnsi="Arial Narrow" w:cs="Arial"/>
                <w:color w:val="000000"/>
                <w:sz w:val="20"/>
                <w:szCs w:val="20"/>
                <w:lang w:val="en-US" w:eastAsia="en-AU"/>
              </w:rPr>
            </w:pPr>
            <w:r>
              <w:rPr>
                <w:rFonts w:ascii="Arial Narrow" w:hAnsi="Arial Narrow" w:cs="Arial"/>
                <w:color w:val="000000"/>
                <w:sz w:val="20"/>
                <w:szCs w:val="20"/>
                <w:lang w:val="en-US" w:eastAsia="en-AU"/>
              </w:rPr>
              <w:t>A Phase 3, Randomized, Double-Blind, Placebo-Controlled Study of LY2951742 in Patients with Chronic Migraine – the REGAIN Study: Final Results from the Double-Blind Treatment Phase and Interim Results from the Open-Label Treatment Phase</w:t>
            </w:r>
          </w:p>
        </w:tc>
        <w:tc>
          <w:tcPr>
            <w:tcW w:w="1177" w:type="pct"/>
            <w:tcBorders>
              <w:bottom w:val="nil"/>
            </w:tcBorders>
            <w:vAlign w:val="center"/>
          </w:tcPr>
          <w:p w:rsidR="00C553CE" w:rsidRDefault="00C553CE">
            <w:pPr>
              <w:pStyle w:val="Tabletext"/>
              <w:rPr>
                <w:szCs w:val="18"/>
              </w:rPr>
            </w:pPr>
            <w:r>
              <w:rPr>
                <w:szCs w:val="18"/>
              </w:rPr>
              <w:t>Eli Lilly</w:t>
            </w:r>
          </w:p>
          <w:p w:rsidR="00C553CE" w:rsidRDefault="00C553CE">
            <w:pPr>
              <w:pStyle w:val="Tabletext"/>
            </w:pPr>
            <w:r>
              <w:rPr>
                <w:szCs w:val="18"/>
              </w:rPr>
              <w:t>Clinical Study Report</w:t>
            </w:r>
          </w:p>
          <w:p w:rsidR="00C553CE" w:rsidRDefault="00C553CE">
            <w:pPr>
              <w:pStyle w:val="Tabletext"/>
            </w:pPr>
            <w:r>
              <w:t>18 September 2017</w:t>
            </w:r>
          </w:p>
          <w:p w:rsidR="00C553CE" w:rsidRDefault="00C553CE">
            <w:pPr>
              <w:pStyle w:val="Tabletext"/>
              <w:rPr>
                <w:rFonts w:ascii="Times" w:hAnsi="Times"/>
              </w:rPr>
            </w:pPr>
          </w:p>
        </w:tc>
      </w:tr>
      <w:tr w:rsidR="00C553CE" w:rsidTr="005E1C57">
        <w:tc>
          <w:tcPr>
            <w:tcW w:w="796" w:type="pct"/>
            <w:vMerge/>
            <w:vAlign w:val="center"/>
          </w:tcPr>
          <w:p w:rsidR="00C553CE" w:rsidRDefault="00C553CE">
            <w:pPr>
              <w:pStyle w:val="Tabletext"/>
              <w:rPr>
                <w:rFonts w:ascii="Times" w:hAnsi="Times"/>
              </w:rPr>
            </w:pPr>
          </w:p>
        </w:tc>
        <w:tc>
          <w:tcPr>
            <w:tcW w:w="3027" w:type="pct"/>
            <w:tcBorders>
              <w:top w:val="nil"/>
              <w:bottom w:val="nil"/>
            </w:tcBorders>
            <w:vAlign w:val="center"/>
          </w:tcPr>
          <w:p w:rsidR="00C553CE" w:rsidRDefault="00C553CE" w:rsidP="002535F9">
            <w:pPr>
              <w:autoSpaceDE w:val="0"/>
              <w:autoSpaceDN w:val="0"/>
              <w:adjustRightInd w:val="0"/>
              <w:jc w:val="left"/>
              <w:rPr>
                <w:rFonts w:ascii="Arial Narrow" w:hAnsi="Arial Narrow" w:cs="Arial"/>
                <w:color w:val="000000"/>
                <w:sz w:val="20"/>
                <w:szCs w:val="20"/>
                <w:lang w:val="en-US" w:eastAsia="en-AU"/>
              </w:rPr>
            </w:pPr>
            <w:r>
              <w:rPr>
                <w:rFonts w:ascii="Arial Narrow" w:hAnsi="Arial Narrow" w:cs="Arial"/>
                <w:color w:val="000000"/>
                <w:sz w:val="20"/>
                <w:szCs w:val="20"/>
                <w:lang w:val="en-US" w:eastAsia="en-AU"/>
              </w:rPr>
              <w:t>A Phase 3, Randomized, Double-Blind, Placebo-Controlled Study of LY2951742 in Patients with Chronic Migraine – the REGAIN Study: Final Results from the Open-Label Treatment and Post-Treatment Phases</w:t>
            </w:r>
          </w:p>
        </w:tc>
        <w:tc>
          <w:tcPr>
            <w:tcW w:w="1177" w:type="pct"/>
            <w:tcBorders>
              <w:top w:val="nil"/>
              <w:bottom w:val="nil"/>
            </w:tcBorders>
            <w:vAlign w:val="center"/>
          </w:tcPr>
          <w:p w:rsidR="00C553CE" w:rsidRDefault="00C553CE">
            <w:pPr>
              <w:pStyle w:val="Tabletext"/>
              <w:rPr>
                <w:szCs w:val="18"/>
              </w:rPr>
            </w:pPr>
            <w:r>
              <w:rPr>
                <w:szCs w:val="18"/>
              </w:rPr>
              <w:t>Eli Lilly</w:t>
            </w:r>
          </w:p>
          <w:p w:rsidR="00C553CE" w:rsidRDefault="00C553CE">
            <w:pPr>
              <w:pStyle w:val="Tabletext"/>
            </w:pPr>
            <w:r>
              <w:rPr>
                <w:szCs w:val="18"/>
              </w:rPr>
              <w:t>Clinical Study Report</w:t>
            </w:r>
          </w:p>
          <w:p w:rsidR="00C553CE" w:rsidRDefault="00C553CE">
            <w:pPr>
              <w:pStyle w:val="Tabletext"/>
            </w:pPr>
            <w:r>
              <w:t>5 February 2019</w:t>
            </w:r>
          </w:p>
        </w:tc>
      </w:tr>
      <w:tr w:rsidR="00C553CE" w:rsidTr="005E1C57">
        <w:tc>
          <w:tcPr>
            <w:tcW w:w="796" w:type="pct"/>
            <w:vMerge/>
            <w:tcBorders>
              <w:bottom w:val="single" w:sz="4" w:space="0" w:color="auto"/>
            </w:tcBorders>
            <w:vAlign w:val="center"/>
          </w:tcPr>
          <w:p w:rsidR="00C553CE" w:rsidRDefault="00C553CE">
            <w:pPr>
              <w:pStyle w:val="Tabletext"/>
            </w:pPr>
          </w:p>
        </w:tc>
        <w:tc>
          <w:tcPr>
            <w:tcW w:w="3027" w:type="pct"/>
            <w:tcBorders>
              <w:top w:val="nil"/>
              <w:bottom w:val="single" w:sz="4" w:space="0" w:color="auto"/>
            </w:tcBorders>
            <w:vAlign w:val="center"/>
          </w:tcPr>
          <w:p w:rsidR="00C553CE" w:rsidRDefault="00C553CE">
            <w:pPr>
              <w:pStyle w:val="Tabletext"/>
              <w:rPr>
                <w:szCs w:val="18"/>
              </w:rPr>
            </w:pPr>
            <w:r>
              <w:t>Detke HC, Goadsby PJ, Wang S, Friedman DI et al. Galcanezumab in chronic migraine: The randomized, double-blind, placebo-controlled REGAIN study.</w:t>
            </w:r>
          </w:p>
        </w:tc>
        <w:tc>
          <w:tcPr>
            <w:tcW w:w="1177" w:type="pct"/>
            <w:tcBorders>
              <w:top w:val="nil"/>
              <w:bottom w:val="single" w:sz="4" w:space="0" w:color="auto"/>
            </w:tcBorders>
            <w:vAlign w:val="center"/>
          </w:tcPr>
          <w:p w:rsidR="00C553CE" w:rsidRDefault="00C553CE">
            <w:pPr>
              <w:pStyle w:val="Tabletext"/>
              <w:rPr>
                <w:szCs w:val="18"/>
              </w:rPr>
            </w:pPr>
            <w:r>
              <w:t>Neurology 2018 91(24): e2211-e2221.</w:t>
            </w:r>
          </w:p>
        </w:tc>
      </w:tr>
      <w:tr w:rsidR="0072310B">
        <w:tc>
          <w:tcPr>
            <w:tcW w:w="796" w:type="pct"/>
            <w:tcBorders>
              <w:bottom w:val="nil"/>
            </w:tcBorders>
            <w:vAlign w:val="center"/>
          </w:tcPr>
          <w:p w:rsidR="0072310B" w:rsidRDefault="0072310B">
            <w:pPr>
              <w:pStyle w:val="Tabletext"/>
            </w:pPr>
          </w:p>
          <w:p w:rsidR="0072310B" w:rsidRDefault="0072310B">
            <w:pPr>
              <w:pStyle w:val="Tabletext"/>
            </w:pPr>
          </w:p>
          <w:p w:rsidR="0072310B" w:rsidRDefault="00783925">
            <w:pPr>
              <w:pStyle w:val="Tabletext"/>
              <w:rPr>
                <w:rFonts w:ascii="Times" w:hAnsi="Times"/>
              </w:rPr>
            </w:pPr>
            <w:r>
              <w:t>CGAJ</w:t>
            </w:r>
          </w:p>
        </w:tc>
        <w:tc>
          <w:tcPr>
            <w:tcW w:w="3027" w:type="pct"/>
            <w:tcBorders>
              <w:bottom w:val="nil"/>
            </w:tcBorders>
            <w:vAlign w:val="center"/>
          </w:tcPr>
          <w:p w:rsidR="0072310B" w:rsidRDefault="00783925">
            <w:pPr>
              <w:autoSpaceDE w:val="0"/>
              <w:autoSpaceDN w:val="0"/>
              <w:adjustRightInd w:val="0"/>
              <w:jc w:val="left"/>
              <w:rPr>
                <w:rFonts w:ascii="Arial Narrow" w:hAnsi="Arial Narrow"/>
                <w:snapToGrid w:val="0"/>
                <w:sz w:val="20"/>
              </w:rPr>
            </w:pPr>
            <w:r>
              <w:rPr>
                <w:rFonts w:ascii="Arial Narrow" w:hAnsi="Arial Narrow" w:cs="Arial"/>
                <w:color w:val="000000"/>
                <w:sz w:val="20"/>
                <w:szCs w:val="20"/>
                <w:lang w:val="en-US" w:eastAsia="en-AU"/>
              </w:rPr>
              <w:t>A Phase 3, Long-Term, Open-Label Safety Study of LY2951742 in Patients with Migraine: Results from the Open-Label Treatment Phase</w:t>
            </w:r>
          </w:p>
        </w:tc>
        <w:tc>
          <w:tcPr>
            <w:tcW w:w="1177" w:type="pct"/>
            <w:tcBorders>
              <w:bottom w:val="nil"/>
            </w:tcBorders>
            <w:vAlign w:val="center"/>
          </w:tcPr>
          <w:p w:rsidR="0072310B" w:rsidRDefault="00783925">
            <w:pPr>
              <w:pStyle w:val="Tabletext"/>
              <w:rPr>
                <w:szCs w:val="18"/>
              </w:rPr>
            </w:pPr>
            <w:r>
              <w:rPr>
                <w:szCs w:val="18"/>
              </w:rPr>
              <w:t>Eli Lilly</w:t>
            </w:r>
          </w:p>
          <w:p w:rsidR="0072310B" w:rsidRDefault="00783925">
            <w:pPr>
              <w:pStyle w:val="Tabletext"/>
            </w:pPr>
            <w:r>
              <w:rPr>
                <w:szCs w:val="18"/>
              </w:rPr>
              <w:t>Clinical Study Report</w:t>
            </w:r>
          </w:p>
          <w:p w:rsidR="0072310B" w:rsidRDefault="00783925">
            <w:pPr>
              <w:pStyle w:val="Tabletext"/>
            </w:pPr>
            <w:r>
              <w:t>13 September 2017</w:t>
            </w:r>
          </w:p>
        </w:tc>
      </w:tr>
      <w:tr w:rsidR="0072310B">
        <w:tc>
          <w:tcPr>
            <w:tcW w:w="796" w:type="pct"/>
            <w:tcBorders>
              <w:top w:val="nil"/>
              <w:bottom w:val="nil"/>
            </w:tcBorders>
            <w:vAlign w:val="center"/>
          </w:tcPr>
          <w:p w:rsidR="0072310B" w:rsidRDefault="0072310B">
            <w:pPr>
              <w:pStyle w:val="Tabletext"/>
            </w:pPr>
          </w:p>
        </w:tc>
        <w:tc>
          <w:tcPr>
            <w:tcW w:w="3027" w:type="pct"/>
            <w:tcBorders>
              <w:top w:val="nil"/>
              <w:bottom w:val="nil"/>
            </w:tcBorders>
            <w:vAlign w:val="center"/>
          </w:tcPr>
          <w:p w:rsidR="0072310B" w:rsidRDefault="00783925">
            <w:pPr>
              <w:autoSpaceDE w:val="0"/>
              <w:autoSpaceDN w:val="0"/>
              <w:adjustRightInd w:val="0"/>
              <w:jc w:val="left"/>
              <w:rPr>
                <w:rFonts w:ascii="Arial Narrow" w:hAnsi="Arial Narrow" w:cs="Arial"/>
                <w:color w:val="000000"/>
                <w:sz w:val="20"/>
                <w:szCs w:val="20"/>
                <w:lang w:val="en-US" w:eastAsia="en-AU"/>
              </w:rPr>
            </w:pPr>
            <w:r>
              <w:rPr>
                <w:rFonts w:ascii="Arial Narrow" w:hAnsi="Arial Narrow" w:cstheme="minorHAnsi"/>
                <w:sz w:val="20"/>
                <w:szCs w:val="20"/>
              </w:rPr>
              <w:t>Camporeale AD, Kudrow R, Sides S, Wang A, et al.</w:t>
            </w:r>
            <w:r w:rsidR="002535F9">
              <w:rPr>
                <w:rFonts w:ascii="Arial Narrow" w:hAnsi="Arial Narrow" w:cstheme="minorHAnsi"/>
                <w:sz w:val="20"/>
                <w:szCs w:val="20"/>
              </w:rPr>
              <w:t xml:space="preserve"> </w:t>
            </w:r>
            <w:r>
              <w:rPr>
                <w:rFonts w:ascii="Arial Narrow" w:hAnsi="Arial Narrow" w:cstheme="minorHAnsi"/>
                <w:sz w:val="20"/>
                <w:szCs w:val="20"/>
              </w:rPr>
              <w:t>A phase 3, long-term, open-label safety study of galcanezumab in patients with migraine.</w:t>
            </w:r>
          </w:p>
        </w:tc>
        <w:tc>
          <w:tcPr>
            <w:tcW w:w="1177" w:type="pct"/>
            <w:tcBorders>
              <w:top w:val="nil"/>
              <w:bottom w:val="nil"/>
            </w:tcBorders>
            <w:vAlign w:val="center"/>
          </w:tcPr>
          <w:p w:rsidR="0072310B" w:rsidRDefault="00783925">
            <w:pPr>
              <w:rPr>
                <w:rFonts w:ascii="Arial Narrow" w:hAnsi="Arial Narrow"/>
                <w:sz w:val="20"/>
                <w:szCs w:val="20"/>
              </w:rPr>
            </w:pPr>
            <w:r>
              <w:rPr>
                <w:rFonts w:ascii="Arial Narrow" w:hAnsi="Arial Narrow" w:cstheme="minorHAnsi"/>
                <w:sz w:val="20"/>
                <w:szCs w:val="20"/>
              </w:rPr>
              <w:t>BMC Neurol 2018; 18(1): 188</w:t>
            </w:r>
            <w:r>
              <w:rPr>
                <w:rFonts w:cstheme="minorHAnsi"/>
                <w:sz w:val="20"/>
                <w:szCs w:val="20"/>
              </w:rPr>
              <w:t xml:space="preserve">. </w:t>
            </w:r>
            <w:r>
              <w:rPr>
                <w:rFonts w:ascii="Arial Narrow" w:hAnsi="Arial Narrow"/>
                <w:sz w:val="20"/>
                <w:szCs w:val="20"/>
              </w:rPr>
              <w:t>doi: 10.1186/s12883-018-1193-2.</w:t>
            </w:r>
          </w:p>
        </w:tc>
      </w:tr>
      <w:tr w:rsidR="0072310B">
        <w:tc>
          <w:tcPr>
            <w:tcW w:w="5000" w:type="pct"/>
            <w:gridSpan w:val="3"/>
            <w:tcBorders>
              <w:bottom w:val="single" w:sz="4" w:space="0" w:color="auto"/>
            </w:tcBorders>
            <w:vAlign w:val="center"/>
          </w:tcPr>
          <w:p w:rsidR="0072310B" w:rsidRDefault="00783925">
            <w:pPr>
              <w:pStyle w:val="Tabletext"/>
              <w:rPr>
                <w:b/>
              </w:rPr>
            </w:pPr>
            <w:r>
              <w:rPr>
                <w:b/>
              </w:rPr>
              <w:t>Botox</w:t>
            </w:r>
          </w:p>
        </w:tc>
      </w:tr>
      <w:tr w:rsidR="0072310B">
        <w:tc>
          <w:tcPr>
            <w:tcW w:w="796" w:type="pct"/>
            <w:tcBorders>
              <w:top w:val="single" w:sz="4" w:space="0" w:color="auto"/>
              <w:bottom w:val="single" w:sz="4" w:space="0" w:color="auto"/>
            </w:tcBorders>
            <w:vAlign w:val="center"/>
          </w:tcPr>
          <w:p w:rsidR="0072310B" w:rsidRDefault="00783925">
            <w:pPr>
              <w:pStyle w:val="Tabletext"/>
            </w:pPr>
            <w:r>
              <w:t>PREEMPT I</w:t>
            </w:r>
          </w:p>
        </w:tc>
        <w:tc>
          <w:tcPr>
            <w:tcW w:w="3027" w:type="pct"/>
            <w:tcBorders>
              <w:top w:val="single" w:sz="4" w:space="0" w:color="auto"/>
              <w:bottom w:val="single" w:sz="4" w:space="0" w:color="auto"/>
            </w:tcBorders>
            <w:vAlign w:val="center"/>
          </w:tcPr>
          <w:p w:rsidR="0072310B" w:rsidRDefault="00783925">
            <w:pPr>
              <w:pStyle w:val="Tabletext"/>
            </w:pPr>
            <w:r>
              <w:t xml:space="preserve">Aurora SK et al. OnabotulinumtoxinA for treatment of chronic migraine: Results from the double-blind, randomized, placebo-controlled phase of the PREEMPT 1 trial. </w:t>
            </w:r>
          </w:p>
        </w:tc>
        <w:tc>
          <w:tcPr>
            <w:tcW w:w="1177" w:type="pct"/>
            <w:tcBorders>
              <w:top w:val="single" w:sz="4" w:space="0" w:color="auto"/>
              <w:bottom w:val="single" w:sz="4" w:space="0" w:color="auto"/>
            </w:tcBorders>
            <w:vAlign w:val="center"/>
          </w:tcPr>
          <w:p w:rsidR="0072310B" w:rsidRDefault="00783925">
            <w:pPr>
              <w:pStyle w:val="Tabletext"/>
            </w:pPr>
            <w:r>
              <w:t>Cephalalgia 2010; 30(7): 793-803.</w:t>
            </w:r>
          </w:p>
        </w:tc>
      </w:tr>
      <w:tr w:rsidR="0072310B">
        <w:tc>
          <w:tcPr>
            <w:tcW w:w="796" w:type="pct"/>
            <w:tcBorders>
              <w:top w:val="single" w:sz="4" w:space="0" w:color="auto"/>
              <w:bottom w:val="single" w:sz="4" w:space="0" w:color="auto"/>
            </w:tcBorders>
            <w:vAlign w:val="center"/>
          </w:tcPr>
          <w:p w:rsidR="0072310B" w:rsidRDefault="00783925">
            <w:pPr>
              <w:pStyle w:val="Tabletext"/>
            </w:pPr>
            <w:r>
              <w:t>PREEMPT 2</w:t>
            </w:r>
          </w:p>
        </w:tc>
        <w:tc>
          <w:tcPr>
            <w:tcW w:w="3027" w:type="pct"/>
            <w:tcBorders>
              <w:top w:val="single" w:sz="4" w:space="0" w:color="auto"/>
              <w:bottom w:val="single" w:sz="4" w:space="0" w:color="auto"/>
            </w:tcBorders>
            <w:vAlign w:val="center"/>
          </w:tcPr>
          <w:p w:rsidR="0072310B" w:rsidRDefault="00783925">
            <w:pPr>
              <w:pStyle w:val="Tabletext"/>
              <w:rPr>
                <w:szCs w:val="18"/>
              </w:rPr>
            </w:pPr>
            <w:r>
              <w:t xml:space="preserve">Diener HC et al. OnabotulinumtoxinA for treatment of chronic migraine: Results from the double-blind, randomized, placebo-controlled phase of the PREEMPT 2 trial. </w:t>
            </w:r>
          </w:p>
        </w:tc>
        <w:tc>
          <w:tcPr>
            <w:tcW w:w="1177" w:type="pct"/>
            <w:tcBorders>
              <w:top w:val="single" w:sz="4" w:space="0" w:color="auto"/>
              <w:bottom w:val="single" w:sz="4" w:space="0" w:color="auto"/>
            </w:tcBorders>
            <w:vAlign w:val="center"/>
          </w:tcPr>
          <w:p w:rsidR="0072310B" w:rsidRDefault="00783925">
            <w:pPr>
              <w:pStyle w:val="Tabletext"/>
              <w:rPr>
                <w:szCs w:val="18"/>
              </w:rPr>
            </w:pPr>
            <w:r>
              <w:t>Cephalalgia 2010; 30(7): 804-814.</w:t>
            </w:r>
          </w:p>
        </w:tc>
      </w:tr>
      <w:tr w:rsidR="0072310B">
        <w:tc>
          <w:tcPr>
            <w:tcW w:w="796" w:type="pct"/>
            <w:tcBorders>
              <w:top w:val="single" w:sz="4" w:space="0" w:color="auto"/>
              <w:bottom w:val="nil"/>
            </w:tcBorders>
            <w:vAlign w:val="center"/>
          </w:tcPr>
          <w:p w:rsidR="0072310B" w:rsidRDefault="00783925">
            <w:pPr>
              <w:pStyle w:val="Tabletext"/>
            </w:pPr>
            <w:r>
              <w:t>PREEMPT 1 and PREEMPT 2 pooled analysis</w:t>
            </w:r>
          </w:p>
        </w:tc>
        <w:tc>
          <w:tcPr>
            <w:tcW w:w="3027" w:type="pct"/>
            <w:tcBorders>
              <w:top w:val="single" w:sz="4" w:space="0" w:color="auto"/>
              <w:bottom w:val="nil"/>
            </w:tcBorders>
            <w:vAlign w:val="center"/>
          </w:tcPr>
          <w:p w:rsidR="0072310B" w:rsidRDefault="00783925">
            <w:pPr>
              <w:pStyle w:val="Tabletext"/>
            </w:pPr>
            <w:r>
              <w:t xml:space="preserve">Dodick DW et al. OnabotulinumtoxinA for treatment of chronic migraine: Pooled results from the double-blind, randomized, placebo-controlled phase of the PREEMPT clinical program. </w:t>
            </w:r>
          </w:p>
        </w:tc>
        <w:tc>
          <w:tcPr>
            <w:tcW w:w="1177" w:type="pct"/>
            <w:tcBorders>
              <w:top w:val="single" w:sz="4" w:space="0" w:color="auto"/>
              <w:bottom w:val="nil"/>
            </w:tcBorders>
            <w:vAlign w:val="center"/>
          </w:tcPr>
          <w:p w:rsidR="0072310B" w:rsidRDefault="00783925">
            <w:pPr>
              <w:pStyle w:val="Tabletext"/>
            </w:pPr>
            <w:r>
              <w:t>Headache 2010; 50(6): 921-936.</w:t>
            </w:r>
          </w:p>
        </w:tc>
      </w:tr>
      <w:tr w:rsidR="0072310B">
        <w:tc>
          <w:tcPr>
            <w:tcW w:w="796" w:type="pct"/>
            <w:tcBorders>
              <w:top w:val="nil"/>
              <w:bottom w:val="single" w:sz="4" w:space="0" w:color="auto"/>
            </w:tcBorders>
            <w:vAlign w:val="center"/>
          </w:tcPr>
          <w:p w:rsidR="0072310B" w:rsidRDefault="0072310B">
            <w:pPr>
              <w:pStyle w:val="Tabletext"/>
            </w:pPr>
          </w:p>
        </w:tc>
        <w:tc>
          <w:tcPr>
            <w:tcW w:w="3027" w:type="pct"/>
            <w:tcBorders>
              <w:top w:val="nil"/>
              <w:bottom w:val="single" w:sz="4" w:space="0" w:color="auto"/>
            </w:tcBorders>
            <w:vAlign w:val="center"/>
          </w:tcPr>
          <w:p w:rsidR="0072310B" w:rsidRDefault="00783925">
            <w:pPr>
              <w:pStyle w:val="Tabletext"/>
            </w:pPr>
            <w:r>
              <w:t>Aurora SK et al.</w:t>
            </w:r>
            <w:r w:rsidR="002535F9">
              <w:t xml:space="preserve"> </w:t>
            </w:r>
            <w:r>
              <w:rPr>
                <w:rFonts w:cstheme="minorHAnsi"/>
                <w:szCs w:val="20"/>
              </w:rPr>
              <w:t>OnabotulinumtoxinA for treatment of chronic migraine: pooled analyses of the 56-week PREEMPT clinical program.</w:t>
            </w:r>
          </w:p>
        </w:tc>
        <w:tc>
          <w:tcPr>
            <w:tcW w:w="1177" w:type="pct"/>
            <w:tcBorders>
              <w:top w:val="nil"/>
              <w:bottom w:val="single" w:sz="4" w:space="0" w:color="auto"/>
            </w:tcBorders>
            <w:vAlign w:val="center"/>
          </w:tcPr>
          <w:p w:rsidR="0072310B" w:rsidRDefault="00783925">
            <w:pPr>
              <w:pStyle w:val="Tabletext"/>
            </w:pPr>
            <w:r>
              <w:rPr>
                <w:rFonts w:cstheme="minorHAnsi"/>
                <w:szCs w:val="20"/>
              </w:rPr>
              <w:t>Headache 2011; 51(9): 1358-1373.</w:t>
            </w:r>
          </w:p>
        </w:tc>
      </w:tr>
      <w:tr w:rsidR="0072310B">
        <w:tc>
          <w:tcPr>
            <w:tcW w:w="5000" w:type="pct"/>
            <w:gridSpan w:val="3"/>
            <w:tcBorders>
              <w:top w:val="single" w:sz="4" w:space="0" w:color="auto"/>
              <w:bottom w:val="nil"/>
            </w:tcBorders>
            <w:vAlign w:val="center"/>
          </w:tcPr>
          <w:p w:rsidR="0072310B" w:rsidRDefault="00783925">
            <w:pPr>
              <w:pStyle w:val="Tabletext"/>
              <w:rPr>
                <w:rFonts w:cstheme="minorHAnsi"/>
                <w:b/>
                <w:szCs w:val="20"/>
              </w:rPr>
            </w:pPr>
            <w:r>
              <w:rPr>
                <w:rFonts w:cstheme="minorHAnsi"/>
                <w:b/>
                <w:szCs w:val="20"/>
              </w:rPr>
              <w:t>Erenumab</w:t>
            </w:r>
          </w:p>
        </w:tc>
      </w:tr>
      <w:tr w:rsidR="0072310B">
        <w:tc>
          <w:tcPr>
            <w:tcW w:w="796" w:type="pct"/>
            <w:tcBorders>
              <w:top w:val="single" w:sz="4" w:space="0" w:color="auto"/>
              <w:bottom w:val="nil"/>
            </w:tcBorders>
            <w:vAlign w:val="center"/>
          </w:tcPr>
          <w:p w:rsidR="0072310B" w:rsidRDefault="0072310B">
            <w:pPr>
              <w:pStyle w:val="Tabletext"/>
            </w:pPr>
          </w:p>
          <w:p w:rsidR="0072310B" w:rsidRDefault="0072310B">
            <w:pPr>
              <w:pStyle w:val="Tabletext"/>
            </w:pPr>
          </w:p>
          <w:p w:rsidR="0072310B" w:rsidRDefault="00783925">
            <w:pPr>
              <w:pStyle w:val="Tabletext"/>
            </w:pPr>
            <w:r>
              <w:t>Study 295</w:t>
            </w:r>
          </w:p>
        </w:tc>
        <w:tc>
          <w:tcPr>
            <w:tcW w:w="3027" w:type="pct"/>
            <w:tcBorders>
              <w:top w:val="single" w:sz="4" w:space="0" w:color="auto"/>
              <w:bottom w:val="nil"/>
            </w:tcBorders>
            <w:vAlign w:val="center"/>
          </w:tcPr>
          <w:p w:rsidR="0072310B" w:rsidRDefault="00783925">
            <w:pPr>
              <w:pStyle w:val="Tabletext"/>
            </w:pPr>
            <w:r>
              <w:t>Tepper S Ashina M, Reuter U, Brandes JL et al. Safety and efficacy of erenumab for preventive treatment of chronic migraine: a randomised, double-blind, placebo-controlled phase 2 trial.</w:t>
            </w:r>
          </w:p>
        </w:tc>
        <w:tc>
          <w:tcPr>
            <w:tcW w:w="1177" w:type="pct"/>
            <w:tcBorders>
              <w:top w:val="single" w:sz="4" w:space="0" w:color="auto"/>
              <w:bottom w:val="nil"/>
            </w:tcBorders>
            <w:vAlign w:val="center"/>
          </w:tcPr>
          <w:p w:rsidR="0072310B" w:rsidRDefault="00783925">
            <w:pPr>
              <w:pStyle w:val="Tabletext"/>
              <w:rPr>
                <w:rFonts w:cstheme="minorHAnsi"/>
                <w:szCs w:val="20"/>
              </w:rPr>
            </w:pPr>
            <w:r>
              <w:t>Lancet Neurol 2017; 16: 425-434.</w:t>
            </w:r>
          </w:p>
        </w:tc>
      </w:tr>
      <w:tr w:rsidR="0072310B">
        <w:tc>
          <w:tcPr>
            <w:tcW w:w="796" w:type="pct"/>
            <w:tcBorders>
              <w:top w:val="nil"/>
              <w:bottom w:val="single" w:sz="4" w:space="0" w:color="auto"/>
            </w:tcBorders>
            <w:vAlign w:val="center"/>
          </w:tcPr>
          <w:p w:rsidR="0072310B" w:rsidRDefault="0072310B">
            <w:pPr>
              <w:pStyle w:val="Tabletext"/>
            </w:pPr>
          </w:p>
        </w:tc>
        <w:tc>
          <w:tcPr>
            <w:tcW w:w="3027" w:type="pct"/>
            <w:tcBorders>
              <w:top w:val="nil"/>
              <w:bottom w:val="single" w:sz="4" w:space="0" w:color="auto"/>
            </w:tcBorders>
            <w:vAlign w:val="center"/>
          </w:tcPr>
          <w:p w:rsidR="0072310B" w:rsidRDefault="00783925">
            <w:pPr>
              <w:pStyle w:val="Tabletext"/>
            </w:pPr>
            <w:r>
              <w:rPr>
                <w:rFonts w:cstheme="minorHAnsi"/>
                <w:szCs w:val="20"/>
              </w:rPr>
              <w:t>Ashina MS, Tepper JL, Brandes U, Reuter G et al.</w:t>
            </w:r>
            <w:r w:rsidR="002535F9">
              <w:rPr>
                <w:rFonts w:cstheme="minorHAnsi"/>
                <w:szCs w:val="20"/>
              </w:rPr>
              <w:t xml:space="preserve"> </w:t>
            </w:r>
            <w:r>
              <w:rPr>
                <w:rFonts w:cstheme="minorHAnsi"/>
                <w:szCs w:val="20"/>
              </w:rPr>
              <w:t>Efficacy and safety of erenumab (AMG334) in chronic migraine patients with prior preventive treatment failure: A subgroup analysis of a randomized, double-blind, placebo-controlled study.</w:t>
            </w:r>
          </w:p>
        </w:tc>
        <w:tc>
          <w:tcPr>
            <w:tcW w:w="1177" w:type="pct"/>
            <w:tcBorders>
              <w:top w:val="nil"/>
              <w:bottom w:val="single" w:sz="4" w:space="0" w:color="auto"/>
            </w:tcBorders>
            <w:vAlign w:val="center"/>
          </w:tcPr>
          <w:p w:rsidR="0072310B" w:rsidRDefault="00783925">
            <w:pPr>
              <w:pStyle w:val="Tabletext"/>
              <w:rPr>
                <w:rFonts w:cstheme="minorHAnsi"/>
                <w:szCs w:val="20"/>
              </w:rPr>
            </w:pPr>
            <w:r>
              <w:rPr>
                <w:rFonts w:cstheme="minorHAnsi"/>
                <w:szCs w:val="20"/>
              </w:rPr>
              <w:t>Cephalalgia 2018; 38(10): 1611-1621.</w:t>
            </w:r>
          </w:p>
        </w:tc>
      </w:tr>
    </w:tbl>
    <w:p w:rsidR="0072310B" w:rsidRDefault="00783925">
      <w:pPr>
        <w:pStyle w:val="TableFooter"/>
      </w:pPr>
      <w:r>
        <w:t>Source: Table 2.2.1, p38-39; Table 1.1.1, p5 Attachment 4.6 of the submission.</w:t>
      </w:r>
    </w:p>
    <w:p w:rsidR="0072310B" w:rsidRDefault="0072310B"/>
    <w:p w:rsidR="0072310B" w:rsidRDefault="00783925">
      <w:pPr>
        <w:pStyle w:val="ListParagraph"/>
        <w:numPr>
          <w:ilvl w:val="1"/>
          <w:numId w:val="3"/>
        </w:numPr>
      </w:pPr>
      <w:r>
        <w:t>The key features of the randomised trials included in the indirect comparisons versus Botox and erenumab are provided in the table below.</w:t>
      </w:r>
      <w:r w:rsidR="002535F9">
        <w:t xml:space="preserve"> </w:t>
      </w:r>
    </w:p>
    <w:p w:rsidR="0072310B" w:rsidRDefault="00783925">
      <w:pPr>
        <w:jc w:val="left"/>
        <w:rPr>
          <w:rFonts w:ascii="Arial Narrow" w:hAnsi="Arial Narrow"/>
          <w:b/>
          <w:sz w:val="20"/>
          <w:szCs w:val="20"/>
        </w:rPr>
      </w:pPr>
      <w:r>
        <w:rPr>
          <w:rFonts w:ascii="Arial Narrow" w:hAnsi="Arial Narrow"/>
          <w:b/>
          <w:sz w:val="20"/>
          <w:szCs w:val="20"/>
        </w:rPr>
        <w:br w:type="page"/>
      </w:r>
    </w:p>
    <w:p w:rsidR="005E1C57" w:rsidRPr="005E1C57" w:rsidRDefault="005E1C57" w:rsidP="005E1C57">
      <w:pPr>
        <w:pStyle w:val="Caption"/>
        <w:keepNext/>
        <w:spacing w:after="0"/>
        <w:rPr>
          <w:rStyle w:val="CommentReference"/>
        </w:rPr>
      </w:pPr>
      <w:r w:rsidRPr="005E1C57">
        <w:rPr>
          <w:rStyle w:val="CommentReference"/>
        </w:rPr>
        <w:lastRenderedPageBreak/>
        <w:t xml:space="preserve">Table </w:t>
      </w:r>
      <w:r w:rsidRPr="005E1C57">
        <w:rPr>
          <w:rStyle w:val="CommentReference"/>
        </w:rPr>
        <w:fldChar w:fldCharType="begin"/>
      </w:r>
      <w:r w:rsidRPr="005E1C57">
        <w:rPr>
          <w:rStyle w:val="CommentReference"/>
        </w:rPr>
        <w:instrText xml:space="preserve"> SEQ Table \* ARABIC </w:instrText>
      </w:r>
      <w:r w:rsidRPr="005E1C57">
        <w:rPr>
          <w:rStyle w:val="CommentReference"/>
        </w:rPr>
        <w:fldChar w:fldCharType="separate"/>
      </w:r>
      <w:r w:rsidR="00CD46F2">
        <w:rPr>
          <w:rStyle w:val="CommentReference"/>
          <w:noProof/>
        </w:rPr>
        <w:t>3</w:t>
      </w:r>
      <w:r w:rsidRPr="005E1C57">
        <w:rPr>
          <w:rStyle w:val="CommentReference"/>
        </w:rPr>
        <w:fldChar w:fldCharType="end"/>
      </w:r>
      <w:r w:rsidRPr="005E1C57">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396"/>
        <w:gridCol w:w="1416"/>
        <w:gridCol w:w="1383"/>
        <w:gridCol w:w="1078"/>
        <w:gridCol w:w="1897"/>
        <w:gridCol w:w="1847"/>
      </w:tblGrid>
      <w:tr w:rsidR="0072310B" w:rsidTr="005E1C57">
        <w:trPr>
          <w:tblHeader/>
        </w:trPr>
        <w:tc>
          <w:tcPr>
            <w:tcW w:w="774" w:type="pct"/>
            <w:shd w:val="clear" w:color="auto" w:fill="auto"/>
            <w:vAlign w:val="center"/>
          </w:tcPr>
          <w:p w:rsidR="0072310B" w:rsidRDefault="00783925">
            <w:pPr>
              <w:pStyle w:val="Tabletext"/>
              <w:rPr>
                <w:b/>
                <w:lang w:val="en-US"/>
              </w:rPr>
            </w:pPr>
            <w:r>
              <w:rPr>
                <w:b/>
                <w:lang w:val="en-US"/>
              </w:rPr>
              <w:t>Trial</w:t>
            </w:r>
          </w:p>
        </w:tc>
        <w:tc>
          <w:tcPr>
            <w:tcW w:w="785" w:type="pct"/>
            <w:shd w:val="clear" w:color="auto" w:fill="auto"/>
            <w:vAlign w:val="center"/>
          </w:tcPr>
          <w:p w:rsidR="0072310B" w:rsidRDefault="00783925">
            <w:pPr>
              <w:pStyle w:val="Tabletext"/>
              <w:jc w:val="center"/>
              <w:rPr>
                <w:b/>
                <w:lang w:val="en-US"/>
              </w:rPr>
            </w:pPr>
            <w:r>
              <w:rPr>
                <w:b/>
                <w:lang w:val="en-US"/>
              </w:rPr>
              <w:t>N</w:t>
            </w:r>
          </w:p>
        </w:tc>
        <w:tc>
          <w:tcPr>
            <w:tcW w:w="767" w:type="pct"/>
            <w:shd w:val="clear" w:color="auto" w:fill="auto"/>
            <w:vAlign w:val="center"/>
          </w:tcPr>
          <w:p w:rsidR="0072310B" w:rsidRDefault="00783925">
            <w:pPr>
              <w:pStyle w:val="Tabletext"/>
              <w:jc w:val="center"/>
              <w:rPr>
                <w:b/>
                <w:lang w:val="en-US"/>
              </w:rPr>
            </w:pPr>
            <w:r>
              <w:rPr>
                <w:b/>
                <w:lang w:val="en-US"/>
              </w:rPr>
              <w:t>Design/ duration</w:t>
            </w:r>
          </w:p>
        </w:tc>
        <w:tc>
          <w:tcPr>
            <w:tcW w:w="598" w:type="pct"/>
            <w:shd w:val="clear" w:color="auto" w:fill="auto"/>
            <w:vAlign w:val="center"/>
          </w:tcPr>
          <w:p w:rsidR="0072310B" w:rsidRDefault="00783925">
            <w:pPr>
              <w:pStyle w:val="Tabletext"/>
              <w:jc w:val="center"/>
              <w:rPr>
                <w:b/>
                <w:lang w:val="en-US"/>
              </w:rPr>
            </w:pPr>
            <w:r>
              <w:rPr>
                <w:b/>
                <w:lang w:val="en-US"/>
              </w:rPr>
              <w:t>Risk of bias</w:t>
            </w:r>
          </w:p>
        </w:tc>
        <w:tc>
          <w:tcPr>
            <w:tcW w:w="1052" w:type="pct"/>
            <w:shd w:val="clear" w:color="auto" w:fill="auto"/>
            <w:vAlign w:val="center"/>
          </w:tcPr>
          <w:p w:rsidR="0072310B" w:rsidRDefault="00783925">
            <w:pPr>
              <w:pStyle w:val="Tabletext"/>
              <w:jc w:val="center"/>
              <w:rPr>
                <w:b/>
                <w:lang w:val="en-US"/>
              </w:rPr>
            </w:pPr>
            <w:r>
              <w:rPr>
                <w:b/>
                <w:lang w:val="en-US"/>
              </w:rPr>
              <w:t>Patient population</w:t>
            </w:r>
          </w:p>
        </w:tc>
        <w:tc>
          <w:tcPr>
            <w:tcW w:w="1025" w:type="pct"/>
            <w:shd w:val="clear" w:color="auto" w:fill="auto"/>
            <w:vAlign w:val="center"/>
          </w:tcPr>
          <w:p w:rsidR="0072310B" w:rsidRDefault="00783925">
            <w:pPr>
              <w:pStyle w:val="Tabletext"/>
              <w:jc w:val="center"/>
              <w:rPr>
                <w:b/>
                <w:lang w:val="en-US"/>
              </w:rPr>
            </w:pPr>
            <w:r>
              <w:rPr>
                <w:b/>
                <w:lang w:val="en-US"/>
              </w:rPr>
              <w:t>Outcomes</w:t>
            </w:r>
          </w:p>
        </w:tc>
      </w:tr>
      <w:tr w:rsidR="0072310B">
        <w:tc>
          <w:tcPr>
            <w:tcW w:w="5000" w:type="pct"/>
            <w:gridSpan w:val="6"/>
            <w:shd w:val="clear" w:color="auto" w:fill="auto"/>
            <w:vAlign w:val="center"/>
          </w:tcPr>
          <w:p w:rsidR="0072310B" w:rsidRDefault="00783925">
            <w:pPr>
              <w:pStyle w:val="Tabletext"/>
              <w:rPr>
                <w:b/>
                <w:lang w:val="en-US"/>
              </w:rPr>
            </w:pPr>
            <w:r>
              <w:rPr>
                <w:b/>
                <w:lang w:val="en-US"/>
              </w:rPr>
              <w:t>Galcanezumab vs. placebo</w:t>
            </w:r>
          </w:p>
        </w:tc>
      </w:tr>
      <w:tr w:rsidR="0072310B" w:rsidTr="005E1C57">
        <w:tc>
          <w:tcPr>
            <w:tcW w:w="774" w:type="pct"/>
            <w:shd w:val="clear" w:color="auto" w:fill="auto"/>
            <w:vAlign w:val="center"/>
          </w:tcPr>
          <w:p w:rsidR="0072310B" w:rsidRDefault="00783925">
            <w:pPr>
              <w:pStyle w:val="Tabletext"/>
              <w:rPr>
                <w:lang w:val="en-US"/>
              </w:rPr>
            </w:pPr>
            <w:r>
              <w:rPr>
                <w:lang w:val="en-US"/>
              </w:rPr>
              <w:t>REGAIN</w:t>
            </w:r>
          </w:p>
        </w:tc>
        <w:tc>
          <w:tcPr>
            <w:tcW w:w="785" w:type="pct"/>
            <w:shd w:val="clear" w:color="auto" w:fill="auto"/>
            <w:vAlign w:val="center"/>
          </w:tcPr>
          <w:p w:rsidR="0072310B" w:rsidRDefault="00783925">
            <w:pPr>
              <w:pStyle w:val="Tabletext"/>
              <w:jc w:val="center"/>
              <w:rPr>
                <w:lang w:val="en-US"/>
              </w:rPr>
            </w:pPr>
            <w:r>
              <w:rPr>
                <w:lang w:val="en-US"/>
              </w:rPr>
              <w:t xml:space="preserve">ITT=836 </w:t>
            </w:r>
          </w:p>
          <w:p w:rsidR="0072310B" w:rsidRDefault="00783925">
            <w:pPr>
              <w:pStyle w:val="Tabletext"/>
              <w:jc w:val="center"/>
              <w:rPr>
                <w:lang w:val="en-US"/>
              </w:rPr>
            </w:pPr>
            <w:r>
              <w:rPr>
                <w:lang w:val="en-US"/>
              </w:rPr>
              <w:t>mITT</w:t>
            </w:r>
            <w:r>
              <w:rPr>
                <w:vertAlign w:val="superscript"/>
                <w:lang w:val="en-US"/>
              </w:rPr>
              <w:t>a</w:t>
            </w:r>
            <w:r>
              <w:rPr>
                <w:lang w:val="en-US"/>
              </w:rPr>
              <w:t>=</w:t>
            </w:r>
            <w:r w:rsidRPr="00543B30">
              <w:rPr>
                <w:lang w:val="en-US"/>
              </w:rPr>
              <w:t>604</w:t>
            </w:r>
          </w:p>
          <w:p w:rsidR="0072310B" w:rsidRDefault="00783925" w:rsidP="008C2483">
            <w:pPr>
              <w:pStyle w:val="Tabletext"/>
              <w:jc w:val="center"/>
              <w:rPr>
                <w:lang w:val="en-US"/>
              </w:rPr>
            </w:pPr>
            <w:r>
              <w:rPr>
                <w:lang w:val="en-US"/>
              </w:rPr>
              <w:t xml:space="preserve">subgrp= </w:t>
            </w:r>
            <w:r w:rsidRPr="00543B30">
              <w:rPr>
                <w:lang w:val="en-US"/>
              </w:rPr>
              <w:t>10</w:t>
            </w:r>
            <w:r w:rsidR="008C2483" w:rsidRPr="00543B30">
              <w:rPr>
                <w:lang w:val="en-US"/>
              </w:rPr>
              <w:t>4</w:t>
            </w:r>
          </w:p>
        </w:tc>
        <w:tc>
          <w:tcPr>
            <w:tcW w:w="767" w:type="pct"/>
            <w:shd w:val="clear" w:color="auto" w:fill="auto"/>
            <w:vAlign w:val="center"/>
          </w:tcPr>
          <w:p w:rsidR="0072310B" w:rsidRDefault="00783925">
            <w:pPr>
              <w:pStyle w:val="Tabletext"/>
              <w:jc w:val="center"/>
              <w:rPr>
                <w:lang w:val="en-US"/>
              </w:rPr>
            </w:pPr>
            <w:r>
              <w:rPr>
                <w:lang w:val="en-US"/>
              </w:rPr>
              <w:t>R, DB, MC</w:t>
            </w:r>
          </w:p>
          <w:p w:rsidR="0072310B" w:rsidRDefault="00783925">
            <w:pPr>
              <w:pStyle w:val="Tabletext"/>
              <w:jc w:val="center"/>
              <w:rPr>
                <w:lang w:val="en-US"/>
              </w:rPr>
            </w:pPr>
            <w:r>
              <w:rPr>
                <w:lang w:val="en-US"/>
              </w:rPr>
              <w:t>12 weeks</w:t>
            </w:r>
          </w:p>
        </w:tc>
        <w:tc>
          <w:tcPr>
            <w:tcW w:w="598" w:type="pct"/>
            <w:shd w:val="clear" w:color="auto" w:fill="auto"/>
            <w:vAlign w:val="center"/>
          </w:tcPr>
          <w:p w:rsidR="0072310B" w:rsidRDefault="00783925">
            <w:pPr>
              <w:pStyle w:val="Tabletext"/>
              <w:jc w:val="center"/>
              <w:rPr>
                <w:lang w:val="en-US"/>
              </w:rPr>
            </w:pPr>
            <w:r>
              <w:rPr>
                <w:lang w:val="en-US"/>
              </w:rPr>
              <w:t>Low</w:t>
            </w:r>
          </w:p>
          <w:p w:rsidR="0072310B" w:rsidRDefault="00783925">
            <w:pPr>
              <w:pStyle w:val="Tabletext"/>
              <w:jc w:val="center"/>
              <w:rPr>
                <w:i/>
                <w:lang w:val="en-US"/>
              </w:rPr>
            </w:pPr>
            <w:r>
              <w:rPr>
                <w:lang w:val="en-US"/>
              </w:rPr>
              <w:t xml:space="preserve"> (High for subgrp)</w:t>
            </w:r>
          </w:p>
        </w:tc>
        <w:tc>
          <w:tcPr>
            <w:tcW w:w="1052" w:type="pct"/>
            <w:shd w:val="clear" w:color="auto" w:fill="auto"/>
            <w:vAlign w:val="center"/>
          </w:tcPr>
          <w:p w:rsidR="0072310B" w:rsidRDefault="00783925">
            <w:pPr>
              <w:pStyle w:val="Tabletext"/>
              <w:rPr>
                <w:lang w:val="en-US"/>
              </w:rPr>
            </w:pPr>
            <w:r>
              <w:rPr>
                <w:lang w:val="en-US"/>
              </w:rPr>
              <w:t>ITT; mITT</w:t>
            </w:r>
            <w:r>
              <w:rPr>
                <w:vertAlign w:val="superscript"/>
                <w:lang w:val="en-US"/>
              </w:rPr>
              <w:t>a</w:t>
            </w:r>
            <w:r>
              <w:rPr>
                <w:lang w:val="en-US"/>
              </w:rPr>
              <w:t>; subgroup (failed ≥3 prophylactic medications)</w:t>
            </w:r>
          </w:p>
        </w:tc>
        <w:tc>
          <w:tcPr>
            <w:tcW w:w="1025" w:type="pct"/>
            <w:shd w:val="clear" w:color="auto" w:fill="auto"/>
            <w:vAlign w:val="center"/>
          </w:tcPr>
          <w:p w:rsidR="0072310B" w:rsidRDefault="00783925">
            <w:pPr>
              <w:pStyle w:val="Tabletext"/>
              <w:rPr>
                <w:lang w:val="en-US"/>
              </w:rPr>
            </w:pPr>
            <w:r>
              <w:rPr>
                <w:lang w:val="en-US"/>
              </w:rPr>
              <w:t>Change from baseline in monthly migraine headache days</w:t>
            </w:r>
          </w:p>
        </w:tc>
      </w:tr>
      <w:tr w:rsidR="0072310B">
        <w:tc>
          <w:tcPr>
            <w:tcW w:w="5000" w:type="pct"/>
            <w:gridSpan w:val="6"/>
            <w:shd w:val="clear" w:color="auto" w:fill="auto"/>
            <w:vAlign w:val="center"/>
          </w:tcPr>
          <w:p w:rsidR="0072310B" w:rsidRDefault="00783925">
            <w:pPr>
              <w:pStyle w:val="Tabletext"/>
              <w:rPr>
                <w:b/>
                <w:lang w:val="en-US"/>
              </w:rPr>
            </w:pPr>
            <w:r>
              <w:rPr>
                <w:b/>
                <w:lang w:val="en-US"/>
              </w:rPr>
              <w:t>Botox vs. placebo</w:t>
            </w:r>
          </w:p>
        </w:tc>
      </w:tr>
      <w:tr w:rsidR="0072310B" w:rsidTr="005E1C57">
        <w:tc>
          <w:tcPr>
            <w:tcW w:w="774" w:type="pct"/>
            <w:shd w:val="clear" w:color="auto" w:fill="auto"/>
            <w:vAlign w:val="center"/>
          </w:tcPr>
          <w:p w:rsidR="0072310B" w:rsidRDefault="00783925">
            <w:pPr>
              <w:pStyle w:val="Tabletext"/>
              <w:rPr>
                <w:lang w:val="en-US"/>
              </w:rPr>
            </w:pPr>
            <w:r>
              <w:rPr>
                <w:lang w:val="en-US"/>
              </w:rPr>
              <w:t>PREEMPT 1 and PREEMPT 2 pooled analysis</w:t>
            </w:r>
          </w:p>
        </w:tc>
        <w:tc>
          <w:tcPr>
            <w:tcW w:w="785" w:type="pct"/>
            <w:shd w:val="clear" w:color="auto" w:fill="auto"/>
            <w:vAlign w:val="center"/>
          </w:tcPr>
          <w:p w:rsidR="0072310B" w:rsidRDefault="00783925">
            <w:pPr>
              <w:pStyle w:val="Tabletext"/>
              <w:jc w:val="center"/>
              <w:rPr>
                <w:lang w:val="en-US"/>
              </w:rPr>
            </w:pPr>
            <w:r>
              <w:rPr>
                <w:lang w:val="en-US"/>
              </w:rPr>
              <w:t xml:space="preserve">ITT=1,384 </w:t>
            </w:r>
          </w:p>
          <w:p w:rsidR="0072310B" w:rsidRDefault="00783925">
            <w:pPr>
              <w:pStyle w:val="Tabletext"/>
              <w:jc w:val="center"/>
              <w:rPr>
                <w:lang w:val="en-US"/>
              </w:rPr>
            </w:pPr>
            <w:r>
              <w:rPr>
                <w:lang w:val="en-US"/>
              </w:rPr>
              <w:t>subgrp= 479</w:t>
            </w:r>
          </w:p>
        </w:tc>
        <w:tc>
          <w:tcPr>
            <w:tcW w:w="767" w:type="pct"/>
            <w:shd w:val="clear" w:color="auto" w:fill="auto"/>
            <w:vAlign w:val="center"/>
          </w:tcPr>
          <w:p w:rsidR="0072310B" w:rsidRDefault="00783925">
            <w:pPr>
              <w:pStyle w:val="Tabletext"/>
              <w:jc w:val="center"/>
              <w:rPr>
                <w:lang w:val="en-US"/>
              </w:rPr>
            </w:pPr>
            <w:r>
              <w:rPr>
                <w:lang w:val="en-US"/>
              </w:rPr>
              <w:t>R, DB, MC</w:t>
            </w:r>
          </w:p>
          <w:p w:rsidR="0072310B" w:rsidRDefault="00783925">
            <w:pPr>
              <w:pStyle w:val="Tabletext"/>
              <w:jc w:val="center"/>
              <w:rPr>
                <w:lang w:val="en-US"/>
              </w:rPr>
            </w:pPr>
            <w:r>
              <w:rPr>
                <w:lang w:val="en-US"/>
              </w:rPr>
              <w:t>24 weeks</w:t>
            </w:r>
          </w:p>
        </w:tc>
        <w:tc>
          <w:tcPr>
            <w:tcW w:w="598" w:type="pct"/>
            <w:shd w:val="clear" w:color="auto" w:fill="auto"/>
            <w:vAlign w:val="center"/>
          </w:tcPr>
          <w:p w:rsidR="0072310B" w:rsidRDefault="00783925">
            <w:pPr>
              <w:pStyle w:val="Tabletext"/>
              <w:jc w:val="center"/>
              <w:rPr>
                <w:lang w:val="en-US"/>
              </w:rPr>
            </w:pPr>
            <w:r>
              <w:rPr>
                <w:lang w:val="en-US"/>
              </w:rPr>
              <w:t>Low</w:t>
            </w:r>
          </w:p>
          <w:p w:rsidR="0072310B" w:rsidRDefault="00783925">
            <w:pPr>
              <w:pStyle w:val="Tabletext"/>
              <w:jc w:val="center"/>
              <w:rPr>
                <w:i/>
                <w:lang w:val="en-US"/>
              </w:rPr>
            </w:pPr>
            <w:r>
              <w:rPr>
                <w:lang w:val="en-US"/>
              </w:rPr>
              <w:t>(High for subgrp)</w:t>
            </w:r>
          </w:p>
        </w:tc>
        <w:tc>
          <w:tcPr>
            <w:tcW w:w="1052" w:type="pct"/>
            <w:shd w:val="clear" w:color="auto" w:fill="auto"/>
            <w:vAlign w:val="center"/>
          </w:tcPr>
          <w:p w:rsidR="0072310B" w:rsidRDefault="00783925">
            <w:pPr>
              <w:pStyle w:val="Tabletext"/>
              <w:rPr>
                <w:lang w:val="en-US"/>
              </w:rPr>
            </w:pPr>
            <w:r>
              <w:rPr>
                <w:lang w:val="en-US"/>
              </w:rPr>
              <w:t xml:space="preserve">ITT and subgroup </w:t>
            </w:r>
          </w:p>
          <w:p w:rsidR="0072310B" w:rsidRDefault="00783925">
            <w:pPr>
              <w:pStyle w:val="Tabletext"/>
              <w:rPr>
                <w:lang w:val="en-US"/>
              </w:rPr>
            </w:pPr>
            <w:r>
              <w:rPr>
                <w:lang w:val="en-US"/>
              </w:rPr>
              <w:t>(failed ≥3 prophylactic medications)</w:t>
            </w:r>
          </w:p>
        </w:tc>
        <w:tc>
          <w:tcPr>
            <w:tcW w:w="1025" w:type="pct"/>
            <w:shd w:val="clear" w:color="auto" w:fill="auto"/>
            <w:vAlign w:val="center"/>
          </w:tcPr>
          <w:p w:rsidR="0072310B" w:rsidRDefault="00783925">
            <w:pPr>
              <w:pStyle w:val="Tabletext"/>
              <w:rPr>
                <w:lang w:val="en-US"/>
              </w:rPr>
            </w:pPr>
            <w:r>
              <w:rPr>
                <w:lang w:val="en-US"/>
              </w:rPr>
              <w:t>Change from baseline in headache days</w:t>
            </w:r>
          </w:p>
        </w:tc>
      </w:tr>
      <w:tr w:rsidR="0072310B">
        <w:tc>
          <w:tcPr>
            <w:tcW w:w="5000" w:type="pct"/>
            <w:gridSpan w:val="6"/>
            <w:shd w:val="clear" w:color="auto" w:fill="auto"/>
            <w:vAlign w:val="center"/>
          </w:tcPr>
          <w:p w:rsidR="0072310B" w:rsidRDefault="00783925">
            <w:pPr>
              <w:pStyle w:val="Tabletext"/>
              <w:rPr>
                <w:b/>
                <w:lang w:val="en-US"/>
              </w:rPr>
            </w:pPr>
            <w:r>
              <w:rPr>
                <w:b/>
                <w:lang w:val="en-US"/>
              </w:rPr>
              <w:t>Erenumab vs. placebo</w:t>
            </w:r>
          </w:p>
        </w:tc>
      </w:tr>
      <w:tr w:rsidR="0072310B" w:rsidTr="005E1C57">
        <w:tc>
          <w:tcPr>
            <w:tcW w:w="774" w:type="pct"/>
            <w:shd w:val="clear" w:color="auto" w:fill="auto"/>
            <w:vAlign w:val="center"/>
          </w:tcPr>
          <w:p w:rsidR="0072310B" w:rsidRDefault="00783925">
            <w:pPr>
              <w:pStyle w:val="Tabletext"/>
              <w:rPr>
                <w:lang w:val="en-US"/>
              </w:rPr>
            </w:pPr>
            <w:r>
              <w:rPr>
                <w:lang w:val="en-US"/>
              </w:rPr>
              <w:t>Study 295</w:t>
            </w:r>
          </w:p>
        </w:tc>
        <w:tc>
          <w:tcPr>
            <w:tcW w:w="785" w:type="pct"/>
            <w:shd w:val="clear" w:color="auto" w:fill="auto"/>
            <w:vAlign w:val="center"/>
          </w:tcPr>
          <w:p w:rsidR="0072310B" w:rsidRDefault="00783925">
            <w:pPr>
              <w:pStyle w:val="Tabletext"/>
              <w:jc w:val="center"/>
              <w:rPr>
                <w:lang w:val="en-US"/>
              </w:rPr>
            </w:pPr>
            <w:r>
              <w:rPr>
                <w:lang w:val="en-US"/>
              </w:rPr>
              <w:t>ITT=468 or 469</w:t>
            </w:r>
            <w:r>
              <w:rPr>
                <w:vertAlign w:val="superscript"/>
                <w:lang w:val="en-US"/>
              </w:rPr>
              <w:t>b</w:t>
            </w:r>
            <w:r>
              <w:rPr>
                <w:lang w:val="en-US"/>
              </w:rPr>
              <w:t xml:space="preserve"> subgrp=163 or 167</w:t>
            </w:r>
            <w:r>
              <w:rPr>
                <w:vertAlign w:val="superscript"/>
                <w:lang w:val="en-US"/>
              </w:rPr>
              <w:t>b</w:t>
            </w:r>
          </w:p>
        </w:tc>
        <w:tc>
          <w:tcPr>
            <w:tcW w:w="767" w:type="pct"/>
            <w:shd w:val="clear" w:color="auto" w:fill="auto"/>
            <w:vAlign w:val="center"/>
          </w:tcPr>
          <w:p w:rsidR="0072310B" w:rsidRDefault="00783925">
            <w:pPr>
              <w:pStyle w:val="Tabletext"/>
              <w:jc w:val="center"/>
              <w:rPr>
                <w:lang w:val="en-US"/>
              </w:rPr>
            </w:pPr>
            <w:r>
              <w:rPr>
                <w:lang w:val="en-US"/>
              </w:rPr>
              <w:t>R, DB, MC</w:t>
            </w:r>
          </w:p>
          <w:p w:rsidR="0072310B" w:rsidRDefault="00783925">
            <w:pPr>
              <w:pStyle w:val="Tabletext"/>
              <w:jc w:val="center"/>
              <w:rPr>
                <w:lang w:val="en-US"/>
              </w:rPr>
            </w:pPr>
            <w:r>
              <w:rPr>
                <w:lang w:val="en-US"/>
              </w:rPr>
              <w:t>12 weeks</w:t>
            </w:r>
          </w:p>
        </w:tc>
        <w:tc>
          <w:tcPr>
            <w:tcW w:w="598" w:type="pct"/>
            <w:shd w:val="clear" w:color="auto" w:fill="auto"/>
            <w:vAlign w:val="center"/>
          </w:tcPr>
          <w:p w:rsidR="0072310B" w:rsidRDefault="00783925">
            <w:pPr>
              <w:pStyle w:val="Tabletext"/>
              <w:jc w:val="center"/>
              <w:rPr>
                <w:lang w:val="en-US"/>
              </w:rPr>
            </w:pPr>
            <w:r>
              <w:rPr>
                <w:lang w:val="en-US"/>
              </w:rPr>
              <w:t>Low</w:t>
            </w:r>
          </w:p>
          <w:p w:rsidR="0072310B" w:rsidRDefault="00783925">
            <w:pPr>
              <w:pStyle w:val="Tabletext"/>
              <w:jc w:val="center"/>
              <w:rPr>
                <w:i/>
                <w:lang w:val="en-US"/>
              </w:rPr>
            </w:pPr>
            <w:r>
              <w:rPr>
                <w:lang w:val="en-US"/>
              </w:rPr>
              <w:t>(High for subgrp)</w:t>
            </w:r>
          </w:p>
        </w:tc>
        <w:tc>
          <w:tcPr>
            <w:tcW w:w="1052" w:type="pct"/>
            <w:shd w:val="clear" w:color="auto" w:fill="auto"/>
            <w:vAlign w:val="center"/>
          </w:tcPr>
          <w:p w:rsidR="0072310B" w:rsidRDefault="00783925">
            <w:pPr>
              <w:pStyle w:val="Tabletext"/>
              <w:rPr>
                <w:lang w:val="en-US"/>
              </w:rPr>
            </w:pPr>
            <w:r>
              <w:rPr>
                <w:lang w:val="en-US"/>
              </w:rPr>
              <w:t xml:space="preserve">ITT and subgroup </w:t>
            </w:r>
          </w:p>
          <w:p w:rsidR="0072310B" w:rsidRDefault="00783925">
            <w:pPr>
              <w:pStyle w:val="Tabletext"/>
              <w:rPr>
                <w:lang w:val="en-US"/>
              </w:rPr>
            </w:pPr>
            <w:r>
              <w:rPr>
                <w:lang w:val="en-US"/>
              </w:rPr>
              <w:t>(failed ≥3 prophylactic medications)</w:t>
            </w:r>
          </w:p>
        </w:tc>
        <w:tc>
          <w:tcPr>
            <w:tcW w:w="1025" w:type="pct"/>
            <w:shd w:val="clear" w:color="auto" w:fill="auto"/>
            <w:vAlign w:val="center"/>
          </w:tcPr>
          <w:p w:rsidR="0072310B" w:rsidRDefault="00783925">
            <w:pPr>
              <w:pStyle w:val="Tabletext"/>
              <w:rPr>
                <w:lang w:val="en-US"/>
              </w:rPr>
            </w:pPr>
            <w:r>
              <w:rPr>
                <w:lang w:val="en-US"/>
              </w:rPr>
              <w:t>Change from baseline in monthly migraine days</w:t>
            </w:r>
          </w:p>
        </w:tc>
      </w:tr>
    </w:tbl>
    <w:p w:rsidR="0072310B" w:rsidRDefault="00783925">
      <w:pPr>
        <w:pStyle w:val="TableFooter"/>
        <w:tabs>
          <w:tab w:val="left" w:pos="142"/>
        </w:tabs>
        <w:ind w:left="142" w:hanging="142"/>
        <w:rPr>
          <w:vertAlign w:val="superscript"/>
          <w:lang w:val="en-US"/>
        </w:rPr>
      </w:pPr>
      <w:r>
        <w:rPr>
          <w:vertAlign w:val="superscript"/>
          <w:lang w:val="en-US"/>
        </w:rPr>
        <w:t>a</w:t>
      </w:r>
      <w:r>
        <w:rPr>
          <w:lang w:val="en-US"/>
        </w:rPr>
        <w:tab/>
      </w:r>
      <w:r>
        <w:t>The mITT population consisted of patients for whom migraine headache days were defined as ≥4 hours (corresponding to the PREEMPT and erenumab trials) instead of ≥30 minutes as used in the REGAIN ITT population, or when a patient took acute medication on the corresponding day.</w:t>
      </w:r>
      <w:r w:rsidR="002535F9">
        <w:t xml:space="preserve"> </w:t>
      </w:r>
      <w:r>
        <w:t>Statistical analyses used ANCOVA to correspond to the methodology used in the PREEMPT trials instead of the mixed model repeated measures used in REGAIN for the ITT population comparisons.</w:t>
      </w:r>
    </w:p>
    <w:p w:rsidR="0072310B" w:rsidRDefault="00783925">
      <w:pPr>
        <w:pStyle w:val="TableFooter"/>
        <w:tabs>
          <w:tab w:val="left" w:pos="142"/>
        </w:tabs>
      </w:pPr>
      <w:r>
        <w:rPr>
          <w:vertAlign w:val="superscript"/>
          <w:lang w:val="en-US"/>
        </w:rPr>
        <w:t>b</w:t>
      </w:r>
      <w:r>
        <w:rPr>
          <w:lang w:val="en-US"/>
        </w:rPr>
        <w:tab/>
        <w:t>The size of the population varied depending on the outcome assessed.</w:t>
      </w:r>
      <w:r w:rsidR="002535F9">
        <w:rPr>
          <w:lang w:val="en-US"/>
        </w:rPr>
        <w:t xml:space="preserve"> </w:t>
      </w:r>
    </w:p>
    <w:p w:rsidR="0072310B" w:rsidRDefault="00783925">
      <w:pPr>
        <w:pStyle w:val="TableFooter"/>
      </w:pPr>
      <w:r>
        <w:t>DB=double blind; ITT=intention-to-treat; MC=multi-centre; mITT=modified ITT; R=randomised; subgrp=subgroup</w:t>
      </w:r>
    </w:p>
    <w:p w:rsidR="0072310B" w:rsidRDefault="00783925">
      <w:pPr>
        <w:pStyle w:val="TableFooter"/>
      </w:pPr>
      <w:r>
        <w:t>Source: Compiled from Section 2 and Attachment 4.6 of the submission</w:t>
      </w:r>
    </w:p>
    <w:p w:rsidR="0072310B" w:rsidRDefault="0072310B"/>
    <w:p w:rsidR="0072310B" w:rsidRDefault="00783925">
      <w:pPr>
        <w:pStyle w:val="ListParagraph"/>
        <w:numPr>
          <w:ilvl w:val="1"/>
          <w:numId w:val="3"/>
        </w:numPr>
        <w:spacing w:after="120"/>
      </w:pPr>
      <w:r>
        <w:rPr>
          <w:iCs/>
        </w:rPr>
        <w:t>The submission identified a modified ITT population (mITT) which was a subgroup of the ITT population.</w:t>
      </w:r>
      <w:r w:rsidR="002535F9">
        <w:t xml:space="preserve"> </w:t>
      </w:r>
      <w:r>
        <w:t>The submission stated that given the differences in the definition of migraine and headache used by the REGAIN and PREEMPT trials, a post-hoc analysis of the REGAIN individual patient data</w:t>
      </w:r>
      <w:r w:rsidR="002535F9">
        <w:t xml:space="preserve"> </w:t>
      </w:r>
      <w:r>
        <w:t>was conducted to ensure that the definition of endpoints and methods of statistical analysis used in REGAIN corresponded to those used in the PREEMPT trials.</w:t>
      </w:r>
    </w:p>
    <w:p w:rsidR="0072310B" w:rsidRDefault="00783925">
      <w:pPr>
        <w:pStyle w:val="ListParagraph"/>
        <w:numPr>
          <w:ilvl w:val="1"/>
          <w:numId w:val="3"/>
        </w:numPr>
        <w:spacing w:after="120"/>
      </w:pPr>
      <w:r>
        <w:t>In REGAIN, a migraine headache day was defined as a calendar day with a headache lasting ≥30 minutes with features meeting ICHD-3 criteria for migraine or probable migraine. A headache also qualified as a migraine if the patient believed it was a migraine at onset and was relieved by a triptan or ergot.</w:t>
      </w:r>
      <w:r w:rsidR="002535F9">
        <w:t xml:space="preserve"> </w:t>
      </w:r>
      <w:r>
        <w:t xml:space="preserve">In the PREEMPT trials, a migraine day was defined as a calendar day with ≥4 continuous hours of headache meeting ICHD-2 criteria for migraine. The key difference for the REGAIN trial was the specified duration of ≥30 minutes, compared to the headache duration of ≥4 hours specified in the PREEMPT trials. Additionally, the REGAIN trial used mixed model repeated measures to analyse change from baseline data, while the PREEMPT trials used ANCOVA. </w:t>
      </w:r>
    </w:p>
    <w:p w:rsidR="0072310B" w:rsidRDefault="00783925">
      <w:pPr>
        <w:pStyle w:val="ListParagraph"/>
        <w:numPr>
          <w:ilvl w:val="1"/>
          <w:numId w:val="3"/>
        </w:numPr>
        <w:spacing w:after="120"/>
      </w:pPr>
      <w:r>
        <w:t>As well as the alteration of headache duration to ≥4 hours, the submission included the criterion of ‘or when a patient took acute medication on the corresponding day’ as part of the defining criteria for the mITT population.</w:t>
      </w:r>
      <w:r w:rsidR="002535F9">
        <w:t xml:space="preserve"> </w:t>
      </w:r>
    </w:p>
    <w:p w:rsidR="0072310B" w:rsidRDefault="00783925">
      <w:pPr>
        <w:pStyle w:val="ListParagraph"/>
        <w:numPr>
          <w:ilvl w:val="1"/>
          <w:numId w:val="3"/>
        </w:numPr>
        <w:spacing w:after="120"/>
      </w:pPr>
      <w:r>
        <w:t>The mITT subgroup from REGAIN was used by the submission for the indirect comparison versus Botox, and was also the population from which the treatment failure subgroup was identified.</w:t>
      </w:r>
      <w:r w:rsidR="002535F9">
        <w:t xml:space="preserve"> </w:t>
      </w:r>
      <w:r>
        <w:t xml:space="preserve">This latter subgroup was identified by the submission to meet the requested PBS restriction for galcanezumab, specifically patients with ≥3 prior preventive migraine treatment failures due to efficacy or safety/tolerability issues. </w:t>
      </w:r>
    </w:p>
    <w:p w:rsidR="0072310B" w:rsidRDefault="00783925">
      <w:pPr>
        <w:pStyle w:val="ListParagraph"/>
        <w:numPr>
          <w:ilvl w:val="1"/>
          <w:numId w:val="3"/>
        </w:numPr>
        <w:spacing w:after="120"/>
      </w:pPr>
      <w:r>
        <w:lastRenderedPageBreak/>
        <w:t>The patient demographic and baseline disease characteristics were similar between the REGAIN and PREEMPT ITT populations, although no information was available on these characteristics for the PREEMPT subgroup population.</w:t>
      </w:r>
      <w:r w:rsidR="002535F9">
        <w:t xml:space="preserve"> </w:t>
      </w:r>
      <w:r>
        <w:t>There was a considerable difference in placebo responses across the ITT, mITT and treatment failure subgroup of REGAIN, and the ITT and treatment failure subgroup of the PREEMPT studies (see table below). The difference in placebo response suggested a lack of transitivity in that comparison.</w:t>
      </w:r>
    </w:p>
    <w:p w:rsidR="005E1C57" w:rsidRPr="005E1C57" w:rsidRDefault="005E1C57" w:rsidP="005E1C57">
      <w:pPr>
        <w:pStyle w:val="Caption"/>
        <w:keepNext/>
        <w:spacing w:after="0"/>
        <w:rPr>
          <w:rStyle w:val="CommentReference"/>
        </w:rPr>
      </w:pPr>
      <w:r w:rsidRPr="005E1C57">
        <w:rPr>
          <w:rStyle w:val="CommentReference"/>
        </w:rPr>
        <w:t xml:space="preserve">Table </w:t>
      </w:r>
      <w:r w:rsidRPr="005E1C57">
        <w:rPr>
          <w:rStyle w:val="CommentReference"/>
        </w:rPr>
        <w:fldChar w:fldCharType="begin"/>
      </w:r>
      <w:r w:rsidRPr="005E1C57">
        <w:rPr>
          <w:rStyle w:val="CommentReference"/>
        </w:rPr>
        <w:instrText xml:space="preserve"> SEQ Table \* ARABIC </w:instrText>
      </w:r>
      <w:r w:rsidRPr="005E1C57">
        <w:rPr>
          <w:rStyle w:val="CommentReference"/>
        </w:rPr>
        <w:fldChar w:fldCharType="separate"/>
      </w:r>
      <w:r w:rsidR="00CD46F2">
        <w:rPr>
          <w:rStyle w:val="CommentReference"/>
          <w:noProof/>
        </w:rPr>
        <w:t>4</w:t>
      </w:r>
      <w:r w:rsidRPr="005E1C57">
        <w:rPr>
          <w:rStyle w:val="CommentReference"/>
        </w:rPr>
        <w:fldChar w:fldCharType="end"/>
      </w:r>
      <w:r w:rsidRPr="005E1C57">
        <w:rPr>
          <w:rStyle w:val="CommentReference"/>
        </w:rPr>
        <w:t>: Responses in the placebo arms of REGAIN and the PREEMPT trials</w:t>
      </w:r>
    </w:p>
    <w:tbl>
      <w:tblPr>
        <w:tblStyle w:val="TableGrid"/>
        <w:tblW w:w="5000" w:type="pct"/>
        <w:tblCellMar>
          <w:left w:w="28" w:type="dxa"/>
          <w:right w:w="28" w:type="dxa"/>
        </w:tblCellMar>
        <w:tblLook w:val="04A0" w:firstRow="1" w:lastRow="0" w:firstColumn="1" w:lastColumn="0" w:noHBand="0" w:noVBand="1"/>
        <w:tblCaption w:val="Table 4: Responses in the placebo arms of REGAIN and the PREEMPT trials"/>
      </w:tblPr>
      <w:tblGrid>
        <w:gridCol w:w="2173"/>
        <w:gridCol w:w="1374"/>
        <w:gridCol w:w="1429"/>
        <w:gridCol w:w="1287"/>
        <w:gridCol w:w="1287"/>
        <w:gridCol w:w="1467"/>
      </w:tblGrid>
      <w:tr w:rsidR="0072310B" w:rsidTr="005E1C57">
        <w:trPr>
          <w:tblHeader/>
        </w:trPr>
        <w:tc>
          <w:tcPr>
            <w:tcW w:w="2173" w:type="dxa"/>
            <w:vMerge w:val="restart"/>
            <w:vAlign w:val="center"/>
          </w:tcPr>
          <w:p w:rsidR="0072310B" w:rsidRDefault="00783925">
            <w:pPr>
              <w:keepNext/>
              <w:ind w:right="-19"/>
              <w:jc w:val="left"/>
              <w:rPr>
                <w:rFonts w:ascii="Arial Narrow" w:hAnsi="Arial Narrow"/>
                <w:b/>
                <w:sz w:val="20"/>
                <w:szCs w:val="20"/>
              </w:rPr>
            </w:pPr>
            <w:r>
              <w:rPr>
                <w:rFonts w:ascii="Arial Narrow" w:hAnsi="Arial Narrow"/>
                <w:b/>
                <w:sz w:val="20"/>
                <w:szCs w:val="20"/>
              </w:rPr>
              <w:t>Outcome</w:t>
            </w:r>
          </w:p>
        </w:tc>
        <w:tc>
          <w:tcPr>
            <w:tcW w:w="4090" w:type="dxa"/>
            <w:gridSpan w:val="3"/>
            <w:vAlign w:val="center"/>
          </w:tcPr>
          <w:p w:rsidR="0072310B" w:rsidRDefault="00783925">
            <w:pPr>
              <w:keepNext/>
              <w:ind w:right="-19"/>
              <w:jc w:val="center"/>
              <w:rPr>
                <w:rFonts w:ascii="Arial Narrow" w:hAnsi="Arial Narrow"/>
                <w:b/>
                <w:sz w:val="20"/>
                <w:szCs w:val="20"/>
              </w:rPr>
            </w:pPr>
            <w:r>
              <w:rPr>
                <w:rFonts w:ascii="Arial Narrow" w:hAnsi="Arial Narrow"/>
                <w:b/>
                <w:sz w:val="20"/>
                <w:szCs w:val="20"/>
              </w:rPr>
              <w:t>REGAIN – placebo</w:t>
            </w:r>
          </w:p>
        </w:tc>
        <w:tc>
          <w:tcPr>
            <w:tcW w:w="2754" w:type="dxa"/>
            <w:gridSpan w:val="2"/>
            <w:vAlign w:val="center"/>
          </w:tcPr>
          <w:p w:rsidR="0072310B" w:rsidRDefault="00783925">
            <w:pPr>
              <w:keepNext/>
              <w:ind w:right="-19"/>
              <w:jc w:val="center"/>
              <w:rPr>
                <w:rFonts w:ascii="Arial Narrow" w:hAnsi="Arial Narrow"/>
                <w:b/>
                <w:sz w:val="20"/>
                <w:szCs w:val="20"/>
              </w:rPr>
            </w:pPr>
            <w:r>
              <w:rPr>
                <w:rFonts w:ascii="Arial Narrow" w:hAnsi="Arial Narrow"/>
                <w:b/>
                <w:sz w:val="20"/>
                <w:szCs w:val="20"/>
              </w:rPr>
              <w:t>PREEMPT 1 and 2 - placebo</w:t>
            </w:r>
          </w:p>
        </w:tc>
      </w:tr>
      <w:tr w:rsidR="0072310B" w:rsidTr="005E1C57">
        <w:trPr>
          <w:tblHeader/>
        </w:trPr>
        <w:tc>
          <w:tcPr>
            <w:tcW w:w="2173" w:type="dxa"/>
            <w:vMerge/>
            <w:vAlign w:val="center"/>
          </w:tcPr>
          <w:p w:rsidR="0072310B" w:rsidRDefault="0072310B">
            <w:pPr>
              <w:keepNext/>
              <w:ind w:right="-19"/>
              <w:jc w:val="left"/>
              <w:rPr>
                <w:rFonts w:ascii="Arial Narrow" w:hAnsi="Arial Narrow"/>
                <w:b/>
                <w:sz w:val="20"/>
                <w:szCs w:val="20"/>
              </w:rPr>
            </w:pPr>
          </w:p>
        </w:tc>
        <w:tc>
          <w:tcPr>
            <w:tcW w:w="1374" w:type="dxa"/>
            <w:vAlign w:val="center"/>
          </w:tcPr>
          <w:p w:rsidR="0072310B" w:rsidRDefault="00783925">
            <w:pPr>
              <w:keepNext/>
              <w:ind w:right="-19"/>
              <w:jc w:val="center"/>
              <w:rPr>
                <w:rFonts w:ascii="Arial Narrow" w:hAnsi="Arial Narrow"/>
                <w:b/>
                <w:sz w:val="20"/>
                <w:szCs w:val="20"/>
              </w:rPr>
            </w:pPr>
            <w:r>
              <w:rPr>
                <w:rFonts w:ascii="Arial Narrow" w:hAnsi="Arial Narrow"/>
                <w:b/>
                <w:sz w:val="20"/>
                <w:szCs w:val="20"/>
              </w:rPr>
              <w:t>ITT</w:t>
            </w:r>
          </w:p>
        </w:tc>
        <w:tc>
          <w:tcPr>
            <w:tcW w:w="1429" w:type="dxa"/>
            <w:vAlign w:val="center"/>
          </w:tcPr>
          <w:p w:rsidR="0072310B" w:rsidRDefault="00783925">
            <w:pPr>
              <w:keepNext/>
              <w:ind w:right="-19"/>
              <w:jc w:val="center"/>
              <w:rPr>
                <w:rFonts w:ascii="Arial Narrow" w:hAnsi="Arial Narrow"/>
                <w:b/>
                <w:sz w:val="20"/>
                <w:szCs w:val="20"/>
              </w:rPr>
            </w:pPr>
            <w:r>
              <w:rPr>
                <w:rFonts w:ascii="Arial Narrow" w:hAnsi="Arial Narrow"/>
                <w:b/>
                <w:sz w:val="20"/>
                <w:szCs w:val="20"/>
              </w:rPr>
              <w:t>mITT</w:t>
            </w:r>
          </w:p>
        </w:tc>
        <w:tc>
          <w:tcPr>
            <w:tcW w:w="1287" w:type="dxa"/>
            <w:vAlign w:val="center"/>
          </w:tcPr>
          <w:p w:rsidR="0072310B" w:rsidRDefault="00783925">
            <w:pPr>
              <w:keepNext/>
              <w:ind w:right="-19"/>
              <w:jc w:val="center"/>
              <w:rPr>
                <w:rFonts w:ascii="Arial Narrow" w:hAnsi="Arial Narrow"/>
                <w:b/>
                <w:sz w:val="20"/>
                <w:szCs w:val="20"/>
              </w:rPr>
            </w:pPr>
            <w:r>
              <w:rPr>
                <w:rFonts w:ascii="Arial Narrow" w:hAnsi="Arial Narrow"/>
                <w:b/>
                <w:sz w:val="20"/>
                <w:szCs w:val="20"/>
              </w:rPr>
              <w:t>Subgroup</w:t>
            </w:r>
          </w:p>
        </w:tc>
        <w:tc>
          <w:tcPr>
            <w:tcW w:w="1287" w:type="dxa"/>
            <w:vAlign w:val="center"/>
          </w:tcPr>
          <w:p w:rsidR="0072310B" w:rsidRDefault="00783925">
            <w:pPr>
              <w:keepNext/>
              <w:ind w:right="-19"/>
              <w:jc w:val="center"/>
              <w:rPr>
                <w:rFonts w:ascii="Arial Narrow" w:hAnsi="Arial Narrow"/>
                <w:b/>
                <w:sz w:val="20"/>
                <w:szCs w:val="20"/>
              </w:rPr>
            </w:pPr>
            <w:r>
              <w:rPr>
                <w:rFonts w:ascii="Arial Narrow" w:hAnsi="Arial Narrow"/>
                <w:b/>
                <w:sz w:val="20"/>
                <w:szCs w:val="20"/>
              </w:rPr>
              <w:t>ITT</w:t>
            </w:r>
          </w:p>
        </w:tc>
        <w:tc>
          <w:tcPr>
            <w:tcW w:w="1467" w:type="dxa"/>
            <w:vAlign w:val="center"/>
          </w:tcPr>
          <w:p w:rsidR="0072310B" w:rsidRDefault="00783925">
            <w:pPr>
              <w:keepNext/>
              <w:ind w:right="-19"/>
              <w:jc w:val="center"/>
              <w:rPr>
                <w:rFonts w:ascii="Arial Narrow" w:hAnsi="Arial Narrow"/>
                <w:b/>
                <w:sz w:val="20"/>
                <w:szCs w:val="20"/>
              </w:rPr>
            </w:pPr>
            <w:r>
              <w:rPr>
                <w:rFonts w:ascii="Arial Narrow" w:hAnsi="Arial Narrow"/>
                <w:b/>
                <w:sz w:val="20"/>
                <w:szCs w:val="20"/>
              </w:rPr>
              <w:t>Subgroup</w:t>
            </w:r>
          </w:p>
        </w:tc>
      </w:tr>
      <w:tr w:rsidR="0072310B" w:rsidTr="005E1C57">
        <w:tc>
          <w:tcPr>
            <w:tcW w:w="2173" w:type="dxa"/>
            <w:vAlign w:val="center"/>
          </w:tcPr>
          <w:p w:rsidR="0072310B" w:rsidRDefault="00783925">
            <w:pPr>
              <w:ind w:right="-19"/>
              <w:jc w:val="left"/>
              <w:rPr>
                <w:rFonts w:ascii="Arial Narrow" w:hAnsi="Arial Narrow"/>
                <w:sz w:val="20"/>
                <w:szCs w:val="20"/>
              </w:rPr>
            </w:pPr>
            <w:r>
              <w:rPr>
                <w:rFonts w:ascii="Arial Narrow" w:hAnsi="Arial Narrow"/>
                <w:sz w:val="20"/>
                <w:szCs w:val="20"/>
              </w:rPr>
              <w:t>Change from baseline migraine headache days</w:t>
            </w:r>
          </w:p>
        </w:tc>
        <w:tc>
          <w:tcPr>
            <w:tcW w:w="1374" w:type="dxa"/>
            <w:vAlign w:val="center"/>
          </w:tcPr>
          <w:p w:rsidR="0072310B" w:rsidRDefault="00783925">
            <w:pPr>
              <w:ind w:right="-19"/>
              <w:jc w:val="center"/>
              <w:rPr>
                <w:rFonts w:ascii="Arial Narrow" w:hAnsi="Arial Narrow"/>
                <w:sz w:val="20"/>
                <w:szCs w:val="20"/>
              </w:rPr>
            </w:pPr>
            <w:r>
              <w:rPr>
                <w:rFonts w:ascii="Arial Narrow" w:hAnsi="Arial Narrow"/>
                <w:sz w:val="20"/>
                <w:szCs w:val="20"/>
              </w:rPr>
              <w:t>-2.74 days</w:t>
            </w:r>
          </w:p>
        </w:tc>
        <w:tc>
          <w:tcPr>
            <w:tcW w:w="1429" w:type="dxa"/>
            <w:vAlign w:val="center"/>
          </w:tcPr>
          <w:p w:rsidR="0072310B" w:rsidRDefault="00D95519">
            <w:pPr>
              <w:ind w:right="-19"/>
              <w:jc w:val="center"/>
              <w:rPr>
                <w:rFonts w:ascii="Arial Narrow" w:hAnsi="Arial Narrow"/>
                <w:sz w:val="20"/>
                <w:szCs w:val="20"/>
              </w:rPr>
            </w:pPr>
            <w:r>
              <w:rPr>
                <w:rFonts w:ascii="Arial Narrow" w:hAnsi="Arial Narrow"/>
                <w:noProof/>
                <w:color w:val="000000"/>
                <w:sz w:val="20"/>
                <w:szCs w:val="20"/>
                <w:highlight w:val="black"/>
              </w:rPr>
              <w:t>'''''''''''</w:t>
            </w:r>
            <w:r w:rsidR="00783925">
              <w:rPr>
                <w:rFonts w:ascii="Arial Narrow" w:hAnsi="Arial Narrow"/>
                <w:sz w:val="20"/>
                <w:szCs w:val="20"/>
              </w:rPr>
              <w:t xml:space="preserve"> days</w:t>
            </w:r>
          </w:p>
        </w:tc>
        <w:tc>
          <w:tcPr>
            <w:tcW w:w="1287" w:type="dxa"/>
            <w:vAlign w:val="center"/>
          </w:tcPr>
          <w:p w:rsidR="0072310B" w:rsidRDefault="00D95519">
            <w:pPr>
              <w:ind w:right="-19"/>
              <w:jc w:val="center"/>
              <w:rPr>
                <w:rFonts w:ascii="Arial Narrow" w:hAnsi="Arial Narrow"/>
                <w:sz w:val="20"/>
                <w:szCs w:val="20"/>
              </w:rPr>
            </w:pPr>
            <w:r>
              <w:rPr>
                <w:rFonts w:ascii="Arial Narrow" w:hAnsi="Arial Narrow"/>
                <w:noProof/>
                <w:color w:val="000000"/>
                <w:sz w:val="20"/>
                <w:szCs w:val="20"/>
                <w:highlight w:val="black"/>
              </w:rPr>
              <w:t>'''''''''''''</w:t>
            </w:r>
            <w:r w:rsidR="00783925">
              <w:rPr>
                <w:rFonts w:ascii="Arial Narrow" w:hAnsi="Arial Narrow"/>
                <w:sz w:val="20"/>
                <w:szCs w:val="20"/>
              </w:rPr>
              <w:t xml:space="preserve"> days</w:t>
            </w:r>
          </w:p>
        </w:tc>
        <w:tc>
          <w:tcPr>
            <w:tcW w:w="1287" w:type="dxa"/>
            <w:vAlign w:val="center"/>
          </w:tcPr>
          <w:p w:rsidR="0072310B" w:rsidRDefault="00783925">
            <w:pPr>
              <w:ind w:right="-19"/>
              <w:jc w:val="center"/>
              <w:rPr>
                <w:rFonts w:ascii="Arial Narrow" w:hAnsi="Arial Narrow"/>
                <w:sz w:val="20"/>
                <w:szCs w:val="20"/>
              </w:rPr>
            </w:pPr>
            <w:r>
              <w:rPr>
                <w:rFonts w:ascii="Arial Narrow" w:hAnsi="Arial Narrow"/>
                <w:sz w:val="20"/>
                <w:szCs w:val="20"/>
              </w:rPr>
              <w:t>-6.26 days</w:t>
            </w:r>
          </w:p>
        </w:tc>
        <w:tc>
          <w:tcPr>
            <w:tcW w:w="1467" w:type="dxa"/>
            <w:vAlign w:val="center"/>
          </w:tcPr>
          <w:p w:rsidR="0072310B" w:rsidRDefault="00783925">
            <w:pPr>
              <w:ind w:right="-19"/>
              <w:jc w:val="center"/>
              <w:rPr>
                <w:rFonts w:ascii="Arial Narrow" w:hAnsi="Arial Narrow"/>
                <w:sz w:val="20"/>
                <w:szCs w:val="20"/>
              </w:rPr>
            </w:pPr>
            <w:r w:rsidRPr="00AC0E0F">
              <w:rPr>
                <w:rFonts w:ascii="Arial Narrow" w:hAnsi="Arial Narrow"/>
                <w:sz w:val="20"/>
                <w:szCs w:val="20"/>
              </w:rPr>
              <w:t>-4.28</w:t>
            </w:r>
            <w:r>
              <w:rPr>
                <w:rFonts w:ascii="Arial Narrow" w:hAnsi="Arial Narrow"/>
                <w:sz w:val="20"/>
                <w:szCs w:val="20"/>
              </w:rPr>
              <w:t xml:space="preserve"> days</w:t>
            </w:r>
          </w:p>
        </w:tc>
      </w:tr>
      <w:tr w:rsidR="0072310B" w:rsidTr="005E1C57">
        <w:tc>
          <w:tcPr>
            <w:tcW w:w="2173" w:type="dxa"/>
            <w:vAlign w:val="center"/>
          </w:tcPr>
          <w:p w:rsidR="0072310B" w:rsidRDefault="00783925">
            <w:pPr>
              <w:ind w:right="-19"/>
              <w:jc w:val="left"/>
              <w:rPr>
                <w:rFonts w:ascii="Arial Narrow" w:hAnsi="Arial Narrow"/>
                <w:sz w:val="20"/>
                <w:szCs w:val="20"/>
              </w:rPr>
            </w:pPr>
            <w:r>
              <w:rPr>
                <w:rFonts w:ascii="Arial Narrow" w:hAnsi="Arial Narrow"/>
                <w:sz w:val="20"/>
                <w:szCs w:val="20"/>
              </w:rPr>
              <w:t>≥50% reduction in migraine headache days</w:t>
            </w:r>
          </w:p>
        </w:tc>
        <w:tc>
          <w:tcPr>
            <w:tcW w:w="1374" w:type="dxa"/>
            <w:vAlign w:val="center"/>
          </w:tcPr>
          <w:p w:rsidR="0072310B" w:rsidRDefault="00783925">
            <w:pPr>
              <w:ind w:right="-19"/>
              <w:jc w:val="center"/>
              <w:rPr>
                <w:rFonts w:ascii="Arial Narrow" w:hAnsi="Arial Narrow"/>
                <w:sz w:val="20"/>
                <w:szCs w:val="20"/>
              </w:rPr>
            </w:pPr>
            <w:r>
              <w:rPr>
                <w:rFonts w:ascii="Arial Narrow" w:hAnsi="Arial Narrow"/>
                <w:sz w:val="20"/>
                <w:szCs w:val="20"/>
              </w:rPr>
              <w:t>24.7%</w:t>
            </w:r>
          </w:p>
        </w:tc>
        <w:tc>
          <w:tcPr>
            <w:tcW w:w="1429" w:type="dxa"/>
            <w:vAlign w:val="center"/>
          </w:tcPr>
          <w:p w:rsidR="0072310B" w:rsidRDefault="00783925">
            <w:pPr>
              <w:ind w:right="-19"/>
              <w:jc w:val="center"/>
              <w:rPr>
                <w:rFonts w:ascii="Arial Narrow" w:hAnsi="Arial Narrow"/>
                <w:sz w:val="20"/>
                <w:szCs w:val="20"/>
              </w:rPr>
            </w:pPr>
            <w:r>
              <w:rPr>
                <w:rFonts w:ascii="Arial Narrow" w:hAnsi="Arial Narrow"/>
                <w:sz w:val="20"/>
                <w:szCs w:val="20"/>
              </w:rPr>
              <w:t>NR</w:t>
            </w:r>
          </w:p>
        </w:tc>
        <w:tc>
          <w:tcPr>
            <w:tcW w:w="1287" w:type="dxa"/>
            <w:vAlign w:val="center"/>
          </w:tcPr>
          <w:p w:rsidR="0072310B" w:rsidRDefault="00783925">
            <w:pPr>
              <w:ind w:right="-19"/>
              <w:jc w:val="center"/>
              <w:rPr>
                <w:rFonts w:ascii="Arial Narrow" w:hAnsi="Arial Narrow"/>
                <w:sz w:val="20"/>
                <w:szCs w:val="20"/>
              </w:rPr>
            </w:pPr>
            <w:r>
              <w:rPr>
                <w:rFonts w:ascii="Arial Narrow" w:hAnsi="Arial Narrow"/>
                <w:sz w:val="20"/>
                <w:szCs w:val="20"/>
              </w:rPr>
              <w:t>NR</w:t>
            </w:r>
          </w:p>
        </w:tc>
        <w:tc>
          <w:tcPr>
            <w:tcW w:w="1287" w:type="dxa"/>
            <w:vAlign w:val="center"/>
          </w:tcPr>
          <w:p w:rsidR="0072310B" w:rsidRDefault="00783925">
            <w:pPr>
              <w:ind w:right="-19"/>
              <w:jc w:val="center"/>
              <w:rPr>
                <w:rFonts w:ascii="Arial Narrow" w:hAnsi="Arial Narrow"/>
                <w:sz w:val="20"/>
                <w:szCs w:val="20"/>
              </w:rPr>
            </w:pPr>
            <w:r>
              <w:rPr>
                <w:rFonts w:ascii="Arial Narrow" w:hAnsi="Arial Narrow"/>
                <w:sz w:val="20"/>
                <w:szCs w:val="20"/>
              </w:rPr>
              <w:t>36.4%</w:t>
            </w:r>
          </w:p>
        </w:tc>
        <w:tc>
          <w:tcPr>
            <w:tcW w:w="1467" w:type="dxa"/>
            <w:vAlign w:val="center"/>
          </w:tcPr>
          <w:p w:rsidR="0072310B" w:rsidRDefault="00783925">
            <w:pPr>
              <w:ind w:right="-19"/>
              <w:jc w:val="center"/>
              <w:rPr>
                <w:rFonts w:ascii="Arial Narrow" w:hAnsi="Arial Narrow"/>
                <w:sz w:val="20"/>
                <w:szCs w:val="20"/>
              </w:rPr>
            </w:pPr>
            <w:r>
              <w:rPr>
                <w:rFonts w:ascii="Arial Narrow" w:hAnsi="Arial Narrow"/>
                <w:sz w:val="20"/>
                <w:szCs w:val="20"/>
              </w:rPr>
              <w:t>NR</w:t>
            </w:r>
          </w:p>
        </w:tc>
      </w:tr>
    </w:tbl>
    <w:p w:rsidR="0072310B" w:rsidRDefault="00783925">
      <w:pPr>
        <w:pStyle w:val="TableFooter"/>
      </w:pPr>
      <w:r>
        <w:t>ITT=intention-to-treat; mITT=modified intention-to-treat; NR=not reported</w:t>
      </w:r>
    </w:p>
    <w:p w:rsidR="0072310B" w:rsidRDefault="00783925">
      <w:pPr>
        <w:pStyle w:val="TableFooter"/>
      </w:pPr>
      <w:r>
        <w:t>Source:</w:t>
      </w:r>
      <w:r w:rsidR="002535F9">
        <w:t xml:space="preserve"> </w:t>
      </w:r>
      <w:r>
        <w:t>Table 2.5.1, p63; Table 2.6.5, p94; Table 2.6.11, p100 of the submission.</w:t>
      </w:r>
    </w:p>
    <w:p w:rsidR="0072310B" w:rsidRDefault="0072310B"/>
    <w:p w:rsidR="0072310B" w:rsidRDefault="00783925">
      <w:pPr>
        <w:pStyle w:val="ListParagraph"/>
        <w:numPr>
          <w:ilvl w:val="1"/>
          <w:numId w:val="3"/>
        </w:numPr>
        <w:spacing w:after="120"/>
      </w:pPr>
      <w:r>
        <w:t>For the galcanezumab and erenumab indirect comparison, the ITT populations had similar patient demographic characteristics, although there were some differences in bas</w:t>
      </w:r>
      <w:r w:rsidR="00587E9A">
        <w:t>eline disease characteristics.</w:t>
      </w:r>
    </w:p>
    <w:p w:rsidR="0072310B" w:rsidRDefault="00783925">
      <w:pPr>
        <w:pStyle w:val="ListParagraph"/>
        <w:numPr>
          <w:ilvl w:val="1"/>
          <w:numId w:val="3"/>
        </w:numPr>
        <w:spacing w:after="120"/>
      </w:pPr>
      <w:r>
        <w:t>Overall, the PBAC considered there were differences between the trials that may impact on the transitivity assumption of the indirect comparisons for galcanezumab versus Botox and versus erenumab (i.e., differences in outcome definitions, patient demographics, placebo response, size of</w:t>
      </w:r>
      <w:r w:rsidR="00587E9A">
        <w:t xml:space="preserve"> subgroups).</w:t>
      </w:r>
    </w:p>
    <w:p w:rsidR="0072310B" w:rsidRDefault="00783925">
      <w:pPr>
        <w:pStyle w:val="Heading2"/>
      </w:pPr>
      <w:bookmarkStart w:id="8" w:name="_Toc9435331"/>
      <w:r>
        <w:t>Comparative effectiveness</w:t>
      </w:r>
      <w:bookmarkEnd w:id="8"/>
    </w:p>
    <w:p w:rsidR="0072310B" w:rsidRDefault="0072310B"/>
    <w:p w:rsidR="0072310B" w:rsidRDefault="00783925">
      <w:pPr>
        <w:rPr>
          <w:u w:val="single"/>
        </w:rPr>
      </w:pPr>
      <w:r>
        <w:rPr>
          <w:u w:val="single"/>
        </w:rPr>
        <w:t>Indirect comparison: galcanezumab versus Botox</w:t>
      </w:r>
    </w:p>
    <w:p w:rsidR="0072310B" w:rsidRDefault="0072310B"/>
    <w:p w:rsidR="0072310B" w:rsidRDefault="00783925">
      <w:pPr>
        <w:pStyle w:val="ListParagraph"/>
        <w:numPr>
          <w:ilvl w:val="1"/>
          <w:numId w:val="3"/>
        </w:numPr>
        <w:spacing w:after="120"/>
      </w:pPr>
      <w:r>
        <w:t>The submission specified a non-inferiority margin based on previous acceptance by the PBAC that a reduction of 2 to 3 headache days per month could be considered to be a clinically important benefit (July 2012 Botox PSD), using the upper 95% confidence interval for mean differences for change in headache days.</w:t>
      </w:r>
    </w:p>
    <w:p w:rsidR="0072310B" w:rsidRDefault="00783925">
      <w:pPr>
        <w:pStyle w:val="ListParagraph"/>
        <w:numPr>
          <w:ilvl w:val="1"/>
          <w:numId w:val="3"/>
        </w:numPr>
        <w:spacing w:after="120"/>
      </w:pPr>
      <w:r>
        <w:t>Results for the indirect comparisons of galcanezumab and Botox for change from baseline in migraine headache days are provided below.</w:t>
      </w:r>
      <w:r w:rsidR="002535F9">
        <w:t xml:space="preserve"> </w:t>
      </w:r>
    </w:p>
    <w:p w:rsidR="0072310B" w:rsidRDefault="00783925">
      <w:pPr>
        <w:jc w:val="left"/>
        <w:rPr>
          <w:rFonts w:ascii="Arial Narrow" w:hAnsi="Arial Narrow"/>
          <w:b/>
          <w:sz w:val="20"/>
          <w:szCs w:val="20"/>
        </w:rPr>
      </w:pPr>
      <w:r>
        <w:rPr>
          <w:rFonts w:ascii="Arial Narrow" w:hAnsi="Arial Narrow"/>
          <w:b/>
          <w:sz w:val="20"/>
          <w:szCs w:val="20"/>
        </w:rPr>
        <w:br w:type="page"/>
      </w:r>
    </w:p>
    <w:p w:rsidR="005E1C57" w:rsidRPr="005E1C57" w:rsidRDefault="005E1C57" w:rsidP="005E1C57">
      <w:pPr>
        <w:pStyle w:val="Caption"/>
        <w:keepNext/>
        <w:spacing w:after="0"/>
        <w:rPr>
          <w:rStyle w:val="CommentReference"/>
        </w:rPr>
      </w:pPr>
      <w:r w:rsidRPr="005E1C57">
        <w:rPr>
          <w:rStyle w:val="CommentReference"/>
        </w:rPr>
        <w:lastRenderedPageBreak/>
        <w:t xml:space="preserve">Table </w:t>
      </w:r>
      <w:r w:rsidRPr="005E1C57">
        <w:rPr>
          <w:rStyle w:val="CommentReference"/>
        </w:rPr>
        <w:fldChar w:fldCharType="begin"/>
      </w:r>
      <w:r w:rsidRPr="005E1C57">
        <w:rPr>
          <w:rStyle w:val="CommentReference"/>
        </w:rPr>
        <w:instrText xml:space="preserve"> SEQ Table \* ARABIC </w:instrText>
      </w:r>
      <w:r w:rsidRPr="005E1C57">
        <w:rPr>
          <w:rStyle w:val="CommentReference"/>
        </w:rPr>
        <w:fldChar w:fldCharType="separate"/>
      </w:r>
      <w:r w:rsidR="00CD46F2">
        <w:rPr>
          <w:rStyle w:val="CommentReference"/>
          <w:noProof/>
        </w:rPr>
        <w:t>5</w:t>
      </w:r>
      <w:r w:rsidRPr="005E1C57">
        <w:rPr>
          <w:rStyle w:val="CommentReference"/>
        </w:rPr>
        <w:fldChar w:fldCharType="end"/>
      </w:r>
      <w:r w:rsidRPr="005E1C57">
        <w:rPr>
          <w:rStyle w:val="CommentReference"/>
        </w:rPr>
        <w:t>: Results across all groups for change from baseline in migraine headache days – galcanezumab vs. Botox</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Results across all groups for change from baseline in migraine headache days – galcanezumab vs. Botox"/>
      </w:tblPr>
      <w:tblGrid>
        <w:gridCol w:w="1607"/>
        <w:gridCol w:w="1733"/>
        <w:gridCol w:w="1905"/>
        <w:gridCol w:w="1562"/>
        <w:gridCol w:w="2210"/>
      </w:tblGrid>
      <w:tr w:rsidR="0072310B">
        <w:trPr>
          <w:tblHeader/>
          <w:jc w:val="center"/>
        </w:trPr>
        <w:tc>
          <w:tcPr>
            <w:tcW w:w="1607" w:type="dxa"/>
            <w:vMerge w:val="restart"/>
            <w:shd w:val="clear" w:color="auto" w:fill="auto"/>
            <w:vAlign w:val="center"/>
          </w:tcPr>
          <w:p w:rsidR="0072310B" w:rsidRDefault="00783925">
            <w:pPr>
              <w:pStyle w:val="Tabletext"/>
              <w:keepNext/>
              <w:rPr>
                <w:b/>
              </w:rPr>
            </w:pPr>
            <w:r>
              <w:rPr>
                <w:b/>
              </w:rPr>
              <w:t>Trial</w:t>
            </w:r>
          </w:p>
        </w:tc>
        <w:tc>
          <w:tcPr>
            <w:tcW w:w="5200" w:type="dxa"/>
            <w:gridSpan w:val="3"/>
            <w:shd w:val="clear" w:color="auto" w:fill="auto"/>
            <w:vAlign w:val="center"/>
          </w:tcPr>
          <w:p w:rsidR="0072310B" w:rsidRDefault="00783925">
            <w:pPr>
              <w:pStyle w:val="Tabletext"/>
              <w:keepNext/>
              <w:jc w:val="center"/>
              <w:rPr>
                <w:b/>
              </w:rPr>
            </w:pPr>
            <w:r>
              <w:rPr>
                <w:b/>
              </w:rPr>
              <w:t>Mean change from baseline (SE or 95% CI) in migraine headache days</w:t>
            </w:r>
          </w:p>
        </w:tc>
        <w:tc>
          <w:tcPr>
            <w:tcW w:w="2210" w:type="dxa"/>
            <w:vMerge w:val="restart"/>
            <w:shd w:val="clear" w:color="auto" w:fill="auto"/>
            <w:vAlign w:val="center"/>
          </w:tcPr>
          <w:p w:rsidR="0072310B" w:rsidRDefault="00783925">
            <w:pPr>
              <w:pStyle w:val="Tabletext"/>
              <w:keepNext/>
              <w:jc w:val="center"/>
              <w:rPr>
                <w:b/>
              </w:rPr>
            </w:pPr>
            <w:r>
              <w:rPr>
                <w:b/>
              </w:rPr>
              <w:t>Mean difference (95% CI)</w:t>
            </w:r>
          </w:p>
        </w:tc>
      </w:tr>
      <w:tr w:rsidR="0072310B">
        <w:trPr>
          <w:tblHeader/>
          <w:jc w:val="center"/>
        </w:trPr>
        <w:tc>
          <w:tcPr>
            <w:tcW w:w="1607" w:type="dxa"/>
            <w:vMerge/>
            <w:shd w:val="clear" w:color="auto" w:fill="auto"/>
            <w:vAlign w:val="center"/>
          </w:tcPr>
          <w:p w:rsidR="0072310B" w:rsidRDefault="0072310B">
            <w:pPr>
              <w:pStyle w:val="Tabletext"/>
            </w:pPr>
          </w:p>
        </w:tc>
        <w:tc>
          <w:tcPr>
            <w:tcW w:w="1733" w:type="dxa"/>
            <w:shd w:val="clear" w:color="auto" w:fill="auto"/>
            <w:vAlign w:val="center"/>
          </w:tcPr>
          <w:p w:rsidR="0072310B" w:rsidRDefault="00783925">
            <w:pPr>
              <w:pStyle w:val="Tabletext"/>
              <w:jc w:val="center"/>
              <w:rPr>
                <w:b/>
              </w:rPr>
            </w:pPr>
            <w:r>
              <w:rPr>
                <w:b/>
              </w:rPr>
              <w:t>Galcanezumab</w:t>
            </w:r>
          </w:p>
        </w:tc>
        <w:tc>
          <w:tcPr>
            <w:tcW w:w="1905" w:type="dxa"/>
            <w:shd w:val="clear" w:color="auto" w:fill="auto"/>
            <w:vAlign w:val="center"/>
          </w:tcPr>
          <w:p w:rsidR="0072310B" w:rsidRDefault="00783925">
            <w:pPr>
              <w:pStyle w:val="Tabletext"/>
              <w:jc w:val="center"/>
              <w:rPr>
                <w:b/>
              </w:rPr>
            </w:pPr>
            <w:r>
              <w:rPr>
                <w:b/>
              </w:rPr>
              <w:t>Placebo</w:t>
            </w:r>
          </w:p>
        </w:tc>
        <w:tc>
          <w:tcPr>
            <w:tcW w:w="1562" w:type="dxa"/>
            <w:shd w:val="clear" w:color="auto" w:fill="auto"/>
            <w:vAlign w:val="center"/>
          </w:tcPr>
          <w:p w:rsidR="0072310B" w:rsidRDefault="00783925">
            <w:pPr>
              <w:pStyle w:val="Tabletext"/>
              <w:jc w:val="center"/>
              <w:rPr>
                <w:b/>
              </w:rPr>
            </w:pPr>
            <w:r>
              <w:rPr>
                <w:b/>
              </w:rPr>
              <w:t>Botox</w:t>
            </w:r>
          </w:p>
        </w:tc>
        <w:tc>
          <w:tcPr>
            <w:tcW w:w="2210" w:type="dxa"/>
            <w:vMerge/>
            <w:shd w:val="clear" w:color="auto" w:fill="auto"/>
            <w:vAlign w:val="center"/>
          </w:tcPr>
          <w:p w:rsidR="0072310B" w:rsidRDefault="0072310B">
            <w:pPr>
              <w:pStyle w:val="Tabletext"/>
              <w:jc w:val="center"/>
            </w:pPr>
          </w:p>
        </w:tc>
      </w:tr>
      <w:tr w:rsidR="0072310B">
        <w:trPr>
          <w:jc w:val="center"/>
        </w:trPr>
        <w:tc>
          <w:tcPr>
            <w:tcW w:w="9017" w:type="dxa"/>
            <w:gridSpan w:val="5"/>
            <w:shd w:val="clear" w:color="auto" w:fill="auto"/>
            <w:vAlign w:val="center"/>
          </w:tcPr>
          <w:p w:rsidR="0072310B" w:rsidRDefault="00783925">
            <w:pPr>
              <w:pStyle w:val="Tabletext"/>
              <w:rPr>
                <w:b/>
              </w:rPr>
            </w:pPr>
            <w:r>
              <w:rPr>
                <w:b/>
              </w:rPr>
              <w:t>ITT population</w:t>
            </w:r>
            <w:r>
              <w:rPr>
                <w:b/>
                <w:vertAlign w:val="superscript"/>
              </w:rPr>
              <w:t>a</w:t>
            </w:r>
          </w:p>
        </w:tc>
      </w:tr>
      <w:tr w:rsidR="0072310B">
        <w:trPr>
          <w:jc w:val="center"/>
        </w:trPr>
        <w:tc>
          <w:tcPr>
            <w:tcW w:w="1607" w:type="dxa"/>
            <w:shd w:val="clear" w:color="auto" w:fill="auto"/>
            <w:vAlign w:val="center"/>
          </w:tcPr>
          <w:p w:rsidR="0072310B" w:rsidRDefault="00783925">
            <w:pPr>
              <w:pStyle w:val="Tabletext"/>
            </w:pPr>
            <w:r>
              <w:t xml:space="preserve">REGAIN </w:t>
            </w:r>
          </w:p>
          <w:p w:rsidR="0072310B" w:rsidRDefault="00783925">
            <w:pPr>
              <w:pStyle w:val="Tabletext"/>
            </w:pPr>
            <w:r>
              <w:t>(12 weeks)</w:t>
            </w:r>
          </w:p>
        </w:tc>
        <w:tc>
          <w:tcPr>
            <w:tcW w:w="1733" w:type="dxa"/>
            <w:shd w:val="clear" w:color="auto" w:fill="auto"/>
            <w:vAlign w:val="center"/>
          </w:tcPr>
          <w:p w:rsidR="0072310B" w:rsidRDefault="00783925">
            <w:pPr>
              <w:pStyle w:val="Tabletext"/>
              <w:jc w:val="center"/>
            </w:pPr>
            <w:r>
              <w:t>N=273</w:t>
            </w:r>
          </w:p>
          <w:p w:rsidR="0072310B" w:rsidRDefault="00783925">
            <w:pPr>
              <w:pStyle w:val="Tabletext"/>
              <w:jc w:val="center"/>
            </w:pPr>
            <w:r>
              <w:t>-4.83 (0.44)</w:t>
            </w:r>
          </w:p>
        </w:tc>
        <w:tc>
          <w:tcPr>
            <w:tcW w:w="1905" w:type="dxa"/>
            <w:shd w:val="clear" w:color="auto" w:fill="auto"/>
            <w:vAlign w:val="center"/>
          </w:tcPr>
          <w:p w:rsidR="0072310B" w:rsidRDefault="00783925">
            <w:pPr>
              <w:pStyle w:val="Tabletext"/>
              <w:jc w:val="center"/>
            </w:pPr>
            <w:r>
              <w:t>N=538</w:t>
            </w:r>
          </w:p>
          <w:p w:rsidR="0072310B" w:rsidRDefault="00783925">
            <w:pPr>
              <w:pStyle w:val="Tabletext"/>
              <w:jc w:val="center"/>
            </w:pPr>
            <w:r>
              <w:t>-2.74 (0.36)</w:t>
            </w:r>
          </w:p>
        </w:tc>
        <w:tc>
          <w:tcPr>
            <w:tcW w:w="1562" w:type="dxa"/>
            <w:shd w:val="clear" w:color="auto" w:fill="auto"/>
            <w:vAlign w:val="center"/>
          </w:tcPr>
          <w:p w:rsidR="0072310B" w:rsidRDefault="00783925">
            <w:pPr>
              <w:pStyle w:val="Tabletext"/>
              <w:jc w:val="center"/>
            </w:pPr>
            <w:r>
              <w:t>-</w:t>
            </w:r>
          </w:p>
        </w:tc>
        <w:tc>
          <w:tcPr>
            <w:tcW w:w="2210" w:type="dxa"/>
            <w:shd w:val="clear" w:color="auto" w:fill="auto"/>
            <w:vAlign w:val="center"/>
          </w:tcPr>
          <w:p w:rsidR="0072310B" w:rsidRDefault="00783925">
            <w:pPr>
              <w:pStyle w:val="Tabletext"/>
              <w:jc w:val="center"/>
              <w:rPr>
                <w:b/>
              </w:rPr>
            </w:pPr>
            <w:r>
              <w:rPr>
                <w:b/>
              </w:rPr>
              <w:t>-2.09 (-2.92, -1.26)</w:t>
            </w:r>
          </w:p>
        </w:tc>
      </w:tr>
      <w:tr w:rsidR="0072310B">
        <w:trPr>
          <w:jc w:val="center"/>
        </w:trPr>
        <w:tc>
          <w:tcPr>
            <w:tcW w:w="1607" w:type="dxa"/>
            <w:shd w:val="clear" w:color="auto" w:fill="auto"/>
            <w:vAlign w:val="center"/>
          </w:tcPr>
          <w:p w:rsidR="0072310B" w:rsidRDefault="00783925">
            <w:pPr>
              <w:pStyle w:val="Tabletext"/>
            </w:pPr>
            <w:r>
              <w:t>Pooled PREEMPT trials (24 weeks)</w:t>
            </w:r>
          </w:p>
        </w:tc>
        <w:tc>
          <w:tcPr>
            <w:tcW w:w="1733" w:type="dxa"/>
            <w:shd w:val="clear" w:color="auto" w:fill="auto"/>
            <w:vAlign w:val="center"/>
          </w:tcPr>
          <w:p w:rsidR="0072310B" w:rsidRDefault="00783925">
            <w:pPr>
              <w:pStyle w:val="Tabletext"/>
              <w:jc w:val="center"/>
            </w:pPr>
            <w:r>
              <w:t>-</w:t>
            </w:r>
          </w:p>
        </w:tc>
        <w:tc>
          <w:tcPr>
            <w:tcW w:w="1905" w:type="dxa"/>
            <w:shd w:val="clear" w:color="auto" w:fill="auto"/>
            <w:vAlign w:val="center"/>
          </w:tcPr>
          <w:p w:rsidR="0072310B" w:rsidRDefault="00783925">
            <w:pPr>
              <w:pStyle w:val="Tabletext"/>
              <w:jc w:val="center"/>
            </w:pPr>
            <w:r>
              <w:t>N=696</w:t>
            </w:r>
          </w:p>
          <w:p w:rsidR="0072310B" w:rsidRDefault="00783925">
            <w:pPr>
              <w:pStyle w:val="Tabletext"/>
              <w:jc w:val="center"/>
            </w:pPr>
            <w:r>
              <w:t>-6.2 (-6.69, -5.68)</w:t>
            </w:r>
          </w:p>
        </w:tc>
        <w:tc>
          <w:tcPr>
            <w:tcW w:w="1562" w:type="dxa"/>
            <w:shd w:val="clear" w:color="auto" w:fill="auto"/>
            <w:vAlign w:val="center"/>
          </w:tcPr>
          <w:p w:rsidR="0072310B" w:rsidRDefault="00783925">
            <w:pPr>
              <w:pStyle w:val="Tabletext"/>
              <w:jc w:val="center"/>
            </w:pPr>
            <w:r>
              <w:t>N=688</w:t>
            </w:r>
          </w:p>
          <w:p w:rsidR="0072310B" w:rsidRDefault="00783925">
            <w:pPr>
              <w:pStyle w:val="Tabletext"/>
              <w:jc w:val="center"/>
            </w:pPr>
            <w:r>
              <w:t>-8.2 (-8.69, -7.70)</w:t>
            </w:r>
          </w:p>
        </w:tc>
        <w:tc>
          <w:tcPr>
            <w:tcW w:w="2210" w:type="dxa"/>
            <w:shd w:val="clear" w:color="auto" w:fill="auto"/>
            <w:vAlign w:val="center"/>
          </w:tcPr>
          <w:p w:rsidR="0072310B" w:rsidRDefault="00783925">
            <w:pPr>
              <w:pStyle w:val="Tabletext"/>
              <w:jc w:val="center"/>
              <w:rPr>
                <w:b/>
              </w:rPr>
            </w:pPr>
            <w:r>
              <w:rPr>
                <w:b/>
              </w:rPr>
              <w:t>-2.00 (-2.67, -1.27)</w:t>
            </w:r>
          </w:p>
        </w:tc>
      </w:tr>
      <w:tr w:rsidR="0072310B">
        <w:trPr>
          <w:jc w:val="center"/>
        </w:trPr>
        <w:tc>
          <w:tcPr>
            <w:tcW w:w="6807" w:type="dxa"/>
            <w:gridSpan w:val="4"/>
            <w:shd w:val="clear" w:color="auto" w:fill="auto"/>
            <w:vAlign w:val="center"/>
          </w:tcPr>
          <w:p w:rsidR="0072310B" w:rsidRDefault="00783925">
            <w:pPr>
              <w:pStyle w:val="Tabletext"/>
              <w:jc w:val="right"/>
            </w:pPr>
            <w:r>
              <w:t>Indirect comparison</w:t>
            </w:r>
          </w:p>
        </w:tc>
        <w:tc>
          <w:tcPr>
            <w:tcW w:w="2210" w:type="dxa"/>
            <w:shd w:val="clear" w:color="auto" w:fill="auto"/>
            <w:vAlign w:val="center"/>
          </w:tcPr>
          <w:p w:rsidR="0072310B" w:rsidRDefault="00783925">
            <w:pPr>
              <w:pStyle w:val="Tabletext"/>
              <w:jc w:val="center"/>
            </w:pPr>
            <w:r>
              <w:t xml:space="preserve">-0.09 (-1.18, 1.0) </w:t>
            </w:r>
          </w:p>
        </w:tc>
      </w:tr>
      <w:tr w:rsidR="0072310B">
        <w:trPr>
          <w:jc w:val="center"/>
        </w:trPr>
        <w:tc>
          <w:tcPr>
            <w:tcW w:w="9017" w:type="dxa"/>
            <w:gridSpan w:val="5"/>
            <w:shd w:val="clear" w:color="auto" w:fill="auto"/>
            <w:vAlign w:val="center"/>
          </w:tcPr>
          <w:p w:rsidR="0072310B" w:rsidRDefault="00783925">
            <w:pPr>
              <w:pStyle w:val="Tabletext"/>
              <w:rPr>
                <w:b/>
              </w:rPr>
            </w:pPr>
            <w:r>
              <w:rPr>
                <w:b/>
              </w:rPr>
              <w:t>Identified subgroup (≥3 treatment failures; sourced from ITT population for REGAIN)</w:t>
            </w:r>
          </w:p>
        </w:tc>
      </w:tr>
      <w:tr w:rsidR="0072310B">
        <w:trPr>
          <w:jc w:val="center"/>
        </w:trPr>
        <w:tc>
          <w:tcPr>
            <w:tcW w:w="1607" w:type="dxa"/>
            <w:shd w:val="clear" w:color="auto" w:fill="auto"/>
            <w:vAlign w:val="center"/>
          </w:tcPr>
          <w:p w:rsidR="0072310B" w:rsidRDefault="00783925">
            <w:pPr>
              <w:pStyle w:val="Tabletext"/>
            </w:pPr>
            <w:r>
              <w:t xml:space="preserve">REGAIN </w:t>
            </w:r>
          </w:p>
          <w:p w:rsidR="0072310B" w:rsidRDefault="00783925">
            <w:pPr>
              <w:pStyle w:val="Tabletext"/>
            </w:pPr>
            <w:r>
              <w:t>(12 weeks)</w:t>
            </w:r>
          </w:p>
        </w:tc>
        <w:tc>
          <w:tcPr>
            <w:tcW w:w="1733" w:type="dxa"/>
            <w:shd w:val="clear" w:color="auto" w:fill="auto"/>
            <w:vAlign w:val="center"/>
          </w:tcPr>
          <w:p w:rsidR="0072310B" w:rsidRDefault="00783925">
            <w:pPr>
              <w:pStyle w:val="Tabletext"/>
              <w:jc w:val="center"/>
            </w:pPr>
            <w:r>
              <w:t>N=</w:t>
            </w:r>
            <w:r w:rsidR="00D95519">
              <w:rPr>
                <w:noProof/>
                <w:color w:val="000000"/>
                <w:highlight w:val="black"/>
              </w:rPr>
              <w:t>''''''</w:t>
            </w:r>
          </w:p>
          <w:p w:rsidR="0072310B" w:rsidRDefault="00D95519">
            <w:pPr>
              <w:pStyle w:val="Tabletext"/>
              <w:jc w:val="center"/>
            </w:pPr>
            <w:r>
              <w:rPr>
                <w:noProof/>
                <w:color w:val="000000"/>
                <w:highlight w:val="black"/>
              </w:rPr>
              <w:t>''''''''''''''</w:t>
            </w:r>
            <w:r w:rsidR="00783925">
              <w:t xml:space="preserve"> (</w:t>
            </w:r>
            <w:r>
              <w:rPr>
                <w:noProof/>
                <w:color w:val="000000"/>
                <w:highlight w:val="black"/>
              </w:rPr>
              <w:t>'''''''''''</w:t>
            </w:r>
            <w:r w:rsidR="00783925">
              <w:t>)</w:t>
            </w:r>
          </w:p>
        </w:tc>
        <w:tc>
          <w:tcPr>
            <w:tcW w:w="1905" w:type="dxa"/>
            <w:shd w:val="clear" w:color="auto" w:fill="auto"/>
            <w:vAlign w:val="center"/>
          </w:tcPr>
          <w:p w:rsidR="0072310B" w:rsidRDefault="00783925">
            <w:pPr>
              <w:pStyle w:val="Tabletext"/>
              <w:jc w:val="center"/>
            </w:pPr>
            <w:r>
              <w:t>N=</w:t>
            </w:r>
            <w:r w:rsidR="00D95519">
              <w:rPr>
                <w:noProof/>
                <w:color w:val="000000"/>
                <w:highlight w:val="black"/>
              </w:rPr>
              <w:t>'''''''''</w:t>
            </w:r>
          </w:p>
          <w:p w:rsidR="0072310B" w:rsidRDefault="00D95519">
            <w:pPr>
              <w:pStyle w:val="Tabletext"/>
              <w:jc w:val="center"/>
            </w:pPr>
            <w:r>
              <w:rPr>
                <w:noProof/>
                <w:color w:val="000000"/>
                <w:highlight w:val="black"/>
              </w:rPr>
              <w:t>''''''''''''''</w:t>
            </w:r>
            <w:r w:rsidR="00783925">
              <w:t xml:space="preserve"> (</w:t>
            </w:r>
            <w:r>
              <w:rPr>
                <w:noProof/>
                <w:color w:val="000000"/>
                <w:highlight w:val="black"/>
              </w:rPr>
              <w:t>''''''''''</w:t>
            </w:r>
            <w:r w:rsidR="00783925">
              <w:t>)</w:t>
            </w:r>
          </w:p>
        </w:tc>
        <w:tc>
          <w:tcPr>
            <w:tcW w:w="1562" w:type="dxa"/>
            <w:shd w:val="clear" w:color="auto" w:fill="auto"/>
            <w:vAlign w:val="center"/>
          </w:tcPr>
          <w:p w:rsidR="0072310B" w:rsidRDefault="0072310B">
            <w:pPr>
              <w:pStyle w:val="Tabletext"/>
              <w:jc w:val="center"/>
            </w:pPr>
          </w:p>
        </w:tc>
        <w:tc>
          <w:tcPr>
            <w:tcW w:w="2210" w:type="dxa"/>
            <w:shd w:val="clear" w:color="auto" w:fill="auto"/>
            <w:vAlign w:val="center"/>
          </w:tcPr>
          <w:p w:rsidR="0072310B" w:rsidRDefault="00D95519">
            <w:pPr>
              <w:pStyle w:val="Tabletext"/>
              <w:jc w:val="center"/>
              <w:rPr>
                <w:b/>
              </w:rPr>
            </w:pPr>
            <w:r>
              <w:rPr>
                <w:b/>
                <w:noProof/>
                <w:color w:val="000000"/>
                <w:highlight w:val="black"/>
              </w:rPr>
              <w:t>''''''''''</w:t>
            </w:r>
            <w:r w:rsidR="00783925">
              <w:rPr>
                <w:b/>
              </w:rPr>
              <w:t xml:space="preserve"> (</w:t>
            </w:r>
            <w:r>
              <w:rPr>
                <w:b/>
                <w:noProof/>
                <w:color w:val="000000"/>
                <w:highlight w:val="black"/>
              </w:rPr>
              <w:t>''''''''''</w:t>
            </w:r>
            <w:r w:rsidR="00783925">
              <w:rPr>
                <w:b/>
              </w:rPr>
              <w:t xml:space="preserve">, </w:t>
            </w:r>
            <w:r>
              <w:rPr>
                <w:b/>
                <w:noProof/>
                <w:color w:val="000000"/>
                <w:highlight w:val="black"/>
              </w:rPr>
              <w:t>''''''''''</w:t>
            </w:r>
            <w:r w:rsidR="00783925">
              <w:rPr>
                <w:b/>
              </w:rPr>
              <w:t>)</w:t>
            </w:r>
          </w:p>
        </w:tc>
      </w:tr>
      <w:tr w:rsidR="0072310B">
        <w:trPr>
          <w:jc w:val="center"/>
        </w:trPr>
        <w:tc>
          <w:tcPr>
            <w:tcW w:w="1607" w:type="dxa"/>
            <w:shd w:val="clear" w:color="auto" w:fill="auto"/>
            <w:vAlign w:val="center"/>
          </w:tcPr>
          <w:p w:rsidR="0072310B" w:rsidRDefault="00783925">
            <w:pPr>
              <w:pStyle w:val="Tabletext"/>
            </w:pPr>
            <w:r>
              <w:t>Pooled PREEMPT trials (24 weeks)</w:t>
            </w:r>
          </w:p>
        </w:tc>
        <w:tc>
          <w:tcPr>
            <w:tcW w:w="1733" w:type="dxa"/>
            <w:shd w:val="clear" w:color="auto" w:fill="auto"/>
            <w:vAlign w:val="center"/>
          </w:tcPr>
          <w:p w:rsidR="0072310B" w:rsidRDefault="0072310B">
            <w:pPr>
              <w:pStyle w:val="Tabletext"/>
              <w:jc w:val="center"/>
            </w:pPr>
          </w:p>
        </w:tc>
        <w:tc>
          <w:tcPr>
            <w:tcW w:w="1905" w:type="dxa"/>
            <w:shd w:val="clear" w:color="auto" w:fill="auto"/>
            <w:vAlign w:val="center"/>
          </w:tcPr>
          <w:p w:rsidR="0072310B" w:rsidRDefault="00783925">
            <w:pPr>
              <w:pStyle w:val="Tabletext"/>
              <w:jc w:val="center"/>
            </w:pPr>
            <w:r>
              <w:t>N=</w:t>
            </w:r>
            <w:r w:rsidRPr="00AC0E0F">
              <w:t>248</w:t>
            </w:r>
          </w:p>
          <w:p w:rsidR="0072310B" w:rsidRDefault="00783925">
            <w:pPr>
              <w:pStyle w:val="Tabletext"/>
              <w:jc w:val="center"/>
            </w:pPr>
            <w:r w:rsidRPr="00AC0E0F">
              <w:t>-4.28</w:t>
            </w:r>
            <w:r>
              <w:t xml:space="preserve"> (</w:t>
            </w:r>
            <w:r w:rsidRPr="00AC0E0F">
              <w:t>0.41</w:t>
            </w:r>
            <w:r>
              <w:t>)</w:t>
            </w:r>
          </w:p>
        </w:tc>
        <w:tc>
          <w:tcPr>
            <w:tcW w:w="1562" w:type="dxa"/>
            <w:shd w:val="clear" w:color="auto" w:fill="auto"/>
            <w:vAlign w:val="center"/>
          </w:tcPr>
          <w:p w:rsidR="0072310B" w:rsidRDefault="00783925">
            <w:pPr>
              <w:pStyle w:val="Tabletext"/>
              <w:jc w:val="center"/>
            </w:pPr>
            <w:r>
              <w:t>N=</w:t>
            </w:r>
            <w:r w:rsidRPr="00AC0E0F">
              <w:t>231</w:t>
            </w:r>
          </w:p>
          <w:p w:rsidR="0072310B" w:rsidRDefault="00783925">
            <w:pPr>
              <w:pStyle w:val="Tabletext"/>
              <w:jc w:val="center"/>
            </w:pPr>
            <w:r w:rsidRPr="00AC0E0F">
              <w:t>-7.12</w:t>
            </w:r>
            <w:r>
              <w:t xml:space="preserve"> (</w:t>
            </w:r>
            <w:r w:rsidRPr="00AC0E0F">
              <w:t>0.44</w:t>
            </w:r>
            <w:r>
              <w:t>)</w:t>
            </w:r>
          </w:p>
        </w:tc>
        <w:tc>
          <w:tcPr>
            <w:tcW w:w="2210" w:type="dxa"/>
            <w:shd w:val="clear" w:color="auto" w:fill="auto"/>
            <w:vAlign w:val="center"/>
          </w:tcPr>
          <w:p w:rsidR="0072310B" w:rsidRDefault="00783925">
            <w:pPr>
              <w:pStyle w:val="Tabletext"/>
              <w:jc w:val="center"/>
              <w:rPr>
                <w:b/>
              </w:rPr>
            </w:pPr>
            <w:r w:rsidRPr="00AC0E0F">
              <w:rPr>
                <w:b/>
              </w:rPr>
              <w:t>-2.88</w:t>
            </w:r>
            <w:r>
              <w:rPr>
                <w:b/>
              </w:rPr>
              <w:t xml:space="preserve"> (</w:t>
            </w:r>
            <w:r w:rsidRPr="00AC0E0F">
              <w:rPr>
                <w:b/>
              </w:rPr>
              <w:t>-4.24</w:t>
            </w:r>
            <w:r>
              <w:rPr>
                <w:b/>
              </w:rPr>
              <w:t xml:space="preserve">, </w:t>
            </w:r>
            <w:r w:rsidRPr="00AC0E0F">
              <w:rPr>
                <w:b/>
              </w:rPr>
              <w:t>-1.51</w:t>
            </w:r>
            <w:r>
              <w:rPr>
                <w:b/>
              </w:rPr>
              <w:t>)</w:t>
            </w:r>
          </w:p>
        </w:tc>
      </w:tr>
      <w:tr w:rsidR="0072310B">
        <w:trPr>
          <w:jc w:val="center"/>
        </w:trPr>
        <w:tc>
          <w:tcPr>
            <w:tcW w:w="6807" w:type="dxa"/>
            <w:gridSpan w:val="4"/>
            <w:shd w:val="clear" w:color="auto" w:fill="auto"/>
            <w:vAlign w:val="center"/>
          </w:tcPr>
          <w:p w:rsidR="0072310B" w:rsidRDefault="00783925">
            <w:pPr>
              <w:pStyle w:val="Tabletext"/>
              <w:jc w:val="right"/>
            </w:pPr>
            <w:r>
              <w:t>Indirect comparison</w:t>
            </w:r>
          </w:p>
        </w:tc>
        <w:tc>
          <w:tcPr>
            <w:tcW w:w="2210" w:type="dxa"/>
            <w:shd w:val="clear" w:color="auto" w:fill="auto"/>
            <w:vAlign w:val="center"/>
          </w:tcPr>
          <w:p w:rsidR="0072310B" w:rsidRDefault="00D95519">
            <w:pPr>
              <w:pStyle w:val="Tabletext"/>
              <w:jc w:val="center"/>
            </w:pPr>
            <w:r>
              <w:rPr>
                <w:noProof/>
                <w:color w:val="000000"/>
                <w:highlight w:val="black"/>
              </w:rPr>
              <w:t>''''''''''''</w:t>
            </w:r>
            <w:r w:rsidR="00783925">
              <w:t xml:space="preserve"> (</w:t>
            </w:r>
            <w:r>
              <w:rPr>
                <w:noProof/>
                <w:color w:val="000000"/>
                <w:highlight w:val="black"/>
              </w:rPr>
              <w:t>''''''''''''''</w:t>
            </w:r>
            <w:r w:rsidR="00783925">
              <w:t xml:space="preserve">, </w:t>
            </w:r>
            <w:r>
              <w:rPr>
                <w:noProof/>
                <w:color w:val="000000"/>
                <w:highlight w:val="black"/>
              </w:rPr>
              <w:t>''''''''''''</w:t>
            </w:r>
            <w:r w:rsidR="00783925">
              <w:t>)</w:t>
            </w:r>
          </w:p>
        </w:tc>
      </w:tr>
      <w:tr w:rsidR="0072310B">
        <w:trPr>
          <w:jc w:val="center"/>
        </w:trPr>
        <w:tc>
          <w:tcPr>
            <w:tcW w:w="9017" w:type="dxa"/>
            <w:gridSpan w:val="5"/>
            <w:shd w:val="clear" w:color="auto" w:fill="auto"/>
            <w:vAlign w:val="center"/>
          </w:tcPr>
          <w:p w:rsidR="0072310B" w:rsidRDefault="00783925">
            <w:pPr>
              <w:pStyle w:val="Tabletext"/>
              <w:rPr>
                <w:b/>
              </w:rPr>
            </w:pPr>
            <w:r>
              <w:rPr>
                <w:b/>
              </w:rPr>
              <w:t>Modified ITT population (mITT; migraine definition changed to ≥4 hours from ≥30 minutes in ITT population</w:t>
            </w:r>
            <w:r>
              <w:rPr>
                <w:b/>
                <w:vertAlign w:val="superscript"/>
              </w:rPr>
              <w:t>b</w:t>
            </w:r>
            <w:r>
              <w:rPr>
                <w:b/>
              </w:rPr>
              <w:t>)</w:t>
            </w:r>
          </w:p>
        </w:tc>
      </w:tr>
      <w:tr w:rsidR="0072310B">
        <w:trPr>
          <w:jc w:val="center"/>
        </w:trPr>
        <w:tc>
          <w:tcPr>
            <w:tcW w:w="1607" w:type="dxa"/>
            <w:shd w:val="clear" w:color="auto" w:fill="auto"/>
            <w:vAlign w:val="center"/>
          </w:tcPr>
          <w:p w:rsidR="0072310B" w:rsidRDefault="00783925">
            <w:pPr>
              <w:pStyle w:val="Tabletext"/>
            </w:pPr>
            <w:r>
              <w:t xml:space="preserve">REGAIN </w:t>
            </w:r>
          </w:p>
          <w:p w:rsidR="0072310B" w:rsidRDefault="00783925">
            <w:pPr>
              <w:pStyle w:val="Tabletext"/>
            </w:pPr>
            <w:r>
              <w:t>(12 weeks)</w:t>
            </w:r>
          </w:p>
        </w:tc>
        <w:tc>
          <w:tcPr>
            <w:tcW w:w="1733" w:type="dxa"/>
            <w:shd w:val="clear" w:color="auto" w:fill="auto"/>
            <w:vAlign w:val="center"/>
          </w:tcPr>
          <w:p w:rsidR="0072310B" w:rsidRDefault="00783925">
            <w:pPr>
              <w:pStyle w:val="Tabletext"/>
              <w:jc w:val="center"/>
            </w:pPr>
            <w:r>
              <w:t>N=</w:t>
            </w:r>
            <w:r w:rsidR="00D95519">
              <w:rPr>
                <w:noProof/>
                <w:color w:val="000000"/>
                <w:highlight w:val="black"/>
              </w:rPr>
              <w:t>''''''''</w:t>
            </w:r>
          </w:p>
          <w:p w:rsidR="0072310B" w:rsidRDefault="00D95519">
            <w:pPr>
              <w:pStyle w:val="Tabletext"/>
              <w:jc w:val="center"/>
            </w:pPr>
            <w:r>
              <w:rPr>
                <w:noProof/>
                <w:color w:val="000000"/>
                <w:highlight w:val="black"/>
              </w:rPr>
              <w:t>''''''''''''</w:t>
            </w:r>
            <w:r w:rsidR="00783925">
              <w:t xml:space="preserve"> (</w:t>
            </w:r>
            <w:r>
              <w:rPr>
                <w:noProof/>
                <w:color w:val="000000"/>
                <w:highlight w:val="black"/>
              </w:rPr>
              <w:t>''''''''''</w:t>
            </w:r>
            <w:r w:rsidR="00783925">
              <w:t>)</w:t>
            </w:r>
          </w:p>
        </w:tc>
        <w:tc>
          <w:tcPr>
            <w:tcW w:w="1905" w:type="dxa"/>
            <w:shd w:val="clear" w:color="auto" w:fill="auto"/>
            <w:vAlign w:val="center"/>
          </w:tcPr>
          <w:p w:rsidR="0072310B" w:rsidRDefault="00783925">
            <w:pPr>
              <w:pStyle w:val="Tabletext"/>
              <w:jc w:val="center"/>
            </w:pPr>
            <w:r>
              <w:t>N=</w:t>
            </w:r>
            <w:r w:rsidR="00D95519">
              <w:rPr>
                <w:noProof/>
                <w:color w:val="000000"/>
                <w:highlight w:val="black"/>
              </w:rPr>
              <w:t>'''''''''</w:t>
            </w:r>
          </w:p>
          <w:p w:rsidR="0072310B" w:rsidRDefault="00D95519">
            <w:pPr>
              <w:pStyle w:val="Tabletext"/>
              <w:jc w:val="center"/>
            </w:pPr>
            <w:r>
              <w:rPr>
                <w:noProof/>
                <w:color w:val="000000"/>
                <w:highlight w:val="black"/>
              </w:rPr>
              <w:t>'''''''''''</w:t>
            </w:r>
            <w:r w:rsidR="00783925">
              <w:t xml:space="preserve"> (</w:t>
            </w:r>
            <w:r>
              <w:rPr>
                <w:noProof/>
                <w:color w:val="000000"/>
                <w:highlight w:val="black"/>
              </w:rPr>
              <w:t>''''''''''</w:t>
            </w:r>
            <w:r w:rsidR="00783925">
              <w:t>)</w:t>
            </w:r>
          </w:p>
        </w:tc>
        <w:tc>
          <w:tcPr>
            <w:tcW w:w="1562" w:type="dxa"/>
            <w:shd w:val="clear" w:color="auto" w:fill="auto"/>
            <w:vAlign w:val="center"/>
          </w:tcPr>
          <w:p w:rsidR="0072310B" w:rsidRDefault="00783925">
            <w:pPr>
              <w:pStyle w:val="Tabletext"/>
              <w:jc w:val="center"/>
            </w:pPr>
            <w:r>
              <w:t>-</w:t>
            </w:r>
          </w:p>
        </w:tc>
        <w:tc>
          <w:tcPr>
            <w:tcW w:w="2210" w:type="dxa"/>
            <w:shd w:val="clear" w:color="auto" w:fill="auto"/>
            <w:vAlign w:val="center"/>
          </w:tcPr>
          <w:p w:rsidR="0072310B" w:rsidRDefault="00D95519">
            <w:pPr>
              <w:pStyle w:val="Tabletext"/>
              <w:jc w:val="center"/>
              <w:rPr>
                <w:b/>
              </w:rPr>
            </w:pPr>
            <w:r>
              <w:rPr>
                <w:b/>
                <w:noProof/>
                <w:color w:val="000000"/>
                <w:highlight w:val="black"/>
              </w:rPr>
              <w:t>'''''''''</w:t>
            </w:r>
            <w:r w:rsidR="00783925">
              <w:rPr>
                <w:b/>
              </w:rPr>
              <w:t xml:space="preserve"> (</w:t>
            </w:r>
            <w:r>
              <w:rPr>
                <w:b/>
                <w:noProof/>
                <w:color w:val="000000"/>
                <w:highlight w:val="black"/>
              </w:rPr>
              <w:t>'''''''''</w:t>
            </w:r>
            <w:r w:rsidR="00783925">
              <w:rPr>
                <w:b/>
              </w:rPr>
              <w:t xml:space="preserve">, </w:t>
            </w:r>
            <w:r>
              <w:rPr>
                <w:b/>
                <w:noProof/>
                <w:color w:val="000000"/>
                <w:highlight w:val="black"/>
              </w:rPr>
              <w:t>''''''''''</w:t>
            </w:r>
            <w:r w:rsidR="00783925">
              <w:rPr>
                <w:b/>
              </w:rPr>
              <w:t>)</w:t>
            </w:r>
          </w:p>
        </w:tc>
      </w:tr>
      <w:tr w:rsidR="0072310B">
        <w:trPr>
          <w:jc w:val="center"/>
        </w:trPr>
        <w:tc>
          <w:tcPr>
            <w:tcW w:w="1607" w:type="dxa"/>
            <w:shd w:val="clear" w:color="auto" w:fill="auto"/>
            <w:vAlign w:val="center"/>
          </w:tcPr>
          <w:p w:rsidR="0072310B" w:rsidRDefault="00783925">
            <w:pPr>
              <w:pStyle w:val="Tabletext"/>
            </w:pPr>
            <w:r>
              <w:t>Pooled PREEMPT trials (24 weeks)</w:t>
            </w:r>
          </w:p>
        </w:tc>
        <w:tc>
          <w:tcPr>
            <w:tcW w:w="1733" w:type="dxa"/>
            <w:shd w:val="clear" w:color="auto" w:fill="auto"/>
            <w:vAlign w:val="center"/>
          </w:tcPr>
          <w:p w:rsidR="0072310B" w:rsidRDefault="00783925">
            <w:pPr>
              <w:pStyle w:val="Tabletext"/>
              <w:jc w:val="center"/>
            </w:pPr>
            <w:r>
              <w:t>-</w:t>
            </w:r>
          </w:p>
        </w:tc>
        <w:tc>
          <w:tcPr>
            <w:tcW w:w="1905" w:type="dxa"/>
            <w:shd w:val="clear" w:color="auto" w:fill="auto"/>
            <w:vAlign w:val="center"/>
          </w:tcPr>
          <w:p w:rsidR="0072310B" w:rsidRDefault="00783925">
            <w:pPr>
              <w:pStyle w:val="Tabletext"/>
              <w:jc w:val="center"/>
            </w:pPr>
            <w:r>
              <w:t>N=696</w:t>
            </w:r>
          </w:p>
          <w:p w:rsidR="0072310B" w:rsidRDefault="00783925">
            <w:pPr>
              <w:pStyle w:val="Tabletext"/>
              <w:jc w:val="center"/>
            </w:pPr>
            <w:r>
              <w:t>-6.26 (0.26)</w:t>
            </w:r>
          </w:p>
        </w:tc>
        <w:tc>
          <w:tcPr>
            <w:tcW w:w="1562" w:type="dxa"/>
            <w:shd w:val="clear" w:color="auto" w:fill="auto"/>
            <w:vAlign w:val="center"/>
          </w:tcPr>
          <w:p w:rsidR="0072310B" w:rsidRDefault="00783925">
            <w:pPr>
              <w:pStyle w:val="Tabletext"/>
              <w:jc w:val="center"/>
            </w:pPr>
            <w:r>
              <w:t>N=688</w:t>
            </w:r>
          </w:p>
          <w:p w:rsidR="0072310B" w:rsidRDefault="00783925">
            <w:pPr>
              <w:pStyle w:val="Tabletext"/>
              <w:jc w:val="center"/>
            </w:pPr>
            <w:r>
              <w:t>-8.21 (0.25)</w:t>
            </w:r>
          </w:p>
        </w:tc>
        <w:tc>
          <w:tcPr>
            <w:tcW w:w="2210" w:type="dxa"/>
            <w:shd w:val="clear" w:color="auto" w:fill="auto"/>
            <w:vAlign w:val="center"/>
          </w:tcPr>
          <w:p w:rsidR="0072310B" w:rsidRDefault="00783925">
            <w:pPr>
              <w:pStyle w:val="Tabletext"/>
              <w:jc w:val="center"/>
              <w:rPr>
                <w:b/>
              </w:rPr>
            </w:pPr>
            <w:r>
              <w:rPr>
                <w:b/>
              </w:rPr>
              <w:t>-1.96 (-2.66, -1.25)</w:t>
            </w:r>
            <w:r>
              <w:rPr>
                <w:b/>
                <w:vertAlign w:val="superscript"/>
              </w:rPr>
              <w:t>c</w:t>
            </w:r>
          </w:p>
        </w:tc>
      </w:tr>
      <w:tr w:rsidR="0072310B">
        <w:trPr>
          <w:jc w:val="center"/>
        </w:trPr>
        <w:tc>
          <w:tcPr>
            <w:tcW w:w="6807" w:type="dxa"/>
            <w:gridSpan w:val="4"/>
            <w:shd w:val="clear" w:color="auto" w:fill="auto"/>
            <w:vAlign w:val="center"/>
          </w:tcPr>
          <w:p w:rsidR="0072310B" w:rsidRDefault="00783925">
            <w:pPr>
              <w:pStyle w:val="Tabletext"/>
              <w:jc w:val="right"/>
            </w:pPr>
            <w:r>
              <w:t>Indirect comparison</w:t>
            </w:r>
          </w:p>
        </w:tc>
        <w:tc>
          <w:tcPr>
            <w:tcW w:w="2210" w:type="dxa"/>
            <w:shd w:val="clear" w:color="auto" w:fill="auto"/>
            <w:vAlign w:val="center"/>
          </w:tcPr>
          <w:p w:rsidR="0072310B" w:rsidRDefault="00D95519">
            <w:pPr>
              <w:pStyle w:val="Tabletext"/>
              <w:jc w:val="center"/>
            </w:pPr>
            <w:r>
              <w:rPr>
                <w:noProof/>
                <w:color w:val="000000"/>
                <w:highlight w:val="black"/>
              </w:rPr>
              <w:t>'''''''''''</w:t>
            </w:r>
            <w:r w:rsidR="00783925">
              <w:t xml:space="preserve"> (</w:t>
            </w:r>
            <w:r>
              <w:rPr>
                <w:noProof/>
                <w:color w:val="000000"/>
                <w:highlight w:val="black"/>
              </w:rPr>
              <w:t>''''''''''''''</w:t>
            </w:r>
            <w:r w:rsidR="00783925">
              <w:t xml:space="preserve">, </w:t>
            </w:r>
            <w:r>
              <w:rPr>
                <w:noProof/>
                <w:color w:val="000000"/>
                <w:highlight w:val="black"/>
              </w:rPr>
              <w:t>''''''''''</w:t>
            </w:r>
            <w:r w:rsidR="00783925">
              <w:t>)</w:t>
            </w:r>
          </w:p>
        </w:tc>
      </w:tr>
      <w:tr w:rsidR="0072310B">
        <w:trPr>
          <w:jc w:val="center"/>
        </w:trPr>
        <w:tc>
          <w:tcPr>
            <w:tcW w:w="9017" w:type="dxa"/>
            <w:gridSpan w:val="5"/>
            <w:shd w:val="clear" w:color="auto" w:fill="auto"/>
            <w:vAlign w:val="center"/>
          </w:tcPr>
          <w:p w:rsidR="0072310B" w:rsidRDefault="00783925">
            <w:pPr>
              <w:pStyle w:val="Tabletext"/>
              <w:rPr>
                <w:b/>
              </w:rPr>
            </w:pPr>
            <w:r>
              <w:rPr>
                <w:b/>
              </w:rPr>
              <w:t>Identified subgroup (≥3 treatment failures; sourced from mITT population for REGAIN)</w:t>
            </w:r>
          </w:p>
        </w:tc>
      </w:tr>
      <w:tr w:rsidR="0072310B">
        <w:trPr>
          <w:jc w:val="center"/>
        </w:trPr>
        <w:tc>
          <w:tcPr>
            <w:tcW w:w="1607" w:type="dxa"/>
            <w:shd w:val="clear" w:color="auto" w:fill="auto"/>
            <w:vAlign w:val="center"/>
          </w:tcPr>
          <w:p w:rsidR="0072310B" w:rsidRDefault="00783925">
            <w:pPr>
              <w:pStyle w:val="Tabletext"/>
            </w:pPr>
            <w:r>
              <w:t xml:space="preserve">REGAIN </w:t>
            </w:r>
          </w:p>
          <w:p w:rsidR="0072310B" w:rsidRDefault="00783925">
            <w:pPr>
              <w:pStyle w:val="Tabletext"/>
            </w:pPr>
            <w:r>
              <w:t>(12 weeks)</w:t>
            </w:r>
          </w:p>
        </w:tc>
        <w:tc>
          <w:tcPr>
            <w:tcW w:w="1733" w:type="dxa"/>
            <w:shd w:val="clear" w:color="auto" w:fill="auto"/>
            <w:vAlign w:val="center"/>
          </w:tcPr>
          <w:p w:rsidR="0072310B" w:rsidRDefault="00783925">
            <w:pPr>
              <w:pStyle w:val="Tabletext"/>
              <w:jc w:val="center"/>
            </w:pPr>
            <w:r>
              <w:t>N=</w:t>
            </w:r>
            <w:r w:rsidR="00D95519">
              <w:rPr>
                <w:noProof/>
                <w:color w:val="000000"/>
                <w:highlight w:val="black"/>
              </w:rPr>
              <w:t>''''''</w:t>
            </w:r>
          </w:p>
          <w:p w:rsidR="0072310B" w:rsidRDefault="00D95519">
            <w:pPr>
              <w:pStyle w:val="Tabletext"/>
              <w:jc w:val="center"/>
            </w:pPr>
            <w:r>
              <w:rPr>
                <w:noProof/>
                <w:color w:val="000000"/>
                <w:highlight w:val="black"/>
              </w:rPr>
              <w:t>''''''''''''</w:t>
            </w:r>
            <w:r w:rsidR="00783925">
              <w:t xml:space="preserve"> (</w:t>
            </w:r>
            <w:r>
              <w:rPr>
                <w:noProof/>
                <w:color w:val="000000"/>
                <w:highlight w:val="black"/>
              </w:rPr>
              <w:t>''''''''''</w:t>
            </w:r>
            <w:r w:rsidR="00783925">
              <w:t>)</w:t>
            </w:r>
          </w:p>
        </w:tc>
        <w:tc>
          <w:tcPr>
            <w:tcW w:w="1905" w:type="dxa"/>
            <w:shd w:val="clear" w:color="auto" w:fill="auto"/>
            <w:vAlign w:val="center"/>
          </w:tcPr>
          <w:p w:rsidR="0072310B" w:rsidRDefault="00783925">
            <w:pPr>
              <w:pStyle w:val="Tabletext"/>
              <w:jc w:val="center"/>
            </w:pPr>
            <w:r>
              <w:t>N=</w:t>
            </w:r>
            <w:r w:rsidR="00D95519">
              <w:rPr>
                <w:noProof/>
                <w:color w:val="000000"/>
                <w:highlight w:val="black"/>
              </w:rPr>
              <w:t>'''''''</w:t>
            </w:r>
          </w:p>
          <w:p w:rsidR="0072310B" w:rsidRDefault="00D95519">
            <w:pPr>
              <w:pStyle w:val="Tabletext"/>
              <w:jc w:val="center"/>
            </w:pPr>
            <w:r>
              <w:rPr>
                <w:noProof/>
                <w:color w:val="000000"/>
                <w:highlight w:val="black"/>
              </w:rPr>
              <w:t>''''''''''''</w:t>
            </w:r>
            <w:r w:rsidR="00783925">
              <w:t xml:space="preserve"> (</w:t>
            </w:r>
            <w:r>
              <w:rPr>
                <w:noProof/>
                <w:color w:val="000000"/>
                <w:highlight w:val="black"/>
              </w:rPr>
              <w:t>''''''''''</w:t>
            </w:r>
            <w:r w:rsidR="00783925">
              <w:t>)</w:t>
            </w:r>
          </w:p>
        </w:tc>
        <w:tc>
          <w:tcPr>
            <w:tcW w:w="1562" w:type="dxa"/>
            <w:shd w:val="clear" w:color="auto" w:fill="auto"/>
            <w:vAlign w:val="center"/>
          </w:tcPr>
          <w:p w:rsidR="0072310B" w:rsidRDefault="00783925">
            <w:pPr>
              <w:pStyle w:val="Tabletext"/>
              <w:jc w:val="center"/>
            </w:pPr>
            <w:r>
              <w:t>-</w:t>
            </w:r>
          </w:p>
        </w:tc>
        <w:tc>
          <w:tcPr>
            <w:tcW w:w="2210" w:type="dxa"/>
            <w:shd w:val="clear" w:color="auto" w:fill="auto"/>
            <w:vAlign w:val="center"/>
          </w:tcPr>
          <w:p w:rsidR="0072310B" w:rsidRDefault="00D95519">
            <w:pPr>
              <w:pStyle w:val="Tabletext"/>
              <w:jc w:val="center"/>
              <w:rPr>
                <w:b/>
              </w:rPr>
            </w:pPr>
            <w:r>
              <w:rPr>
                <w:b/>
                <w:noProof/>
                <w:color w:val="000000"/>
                <w:highlight w:val="black"/>
              </w:rPr>
              <w:t>'''''''''''</w:t>
            </w:r>
            <w:r w:rsidR="00783925">
              <w:rPr>
                <w:b/>
              </w:rPr>
              <w:t xml:space="preserve"> (</w:t>
            </w:r>
            <w:r>
              <w:rPr>
                <w:b/>
                <w:noProof/>
                <w:color w:val="000000"/>
                <w:highlight w:val="black"/>
              </w:rPr>
              <w:t>'''''''''''</w:t>
            </w:r>
            <w:r w:rsidR="00783925">
              <w:rPr>
                <w:b/>
              </w:rPr>
              <w:t xml:space="preserve">, </w:t>
            </w:r>
            <w:r>
              <w:rPr>
                <w:b/>
                <w:noProof/>
                <w:color w:val="000000"/>
                <w:highlight w:val="black"/>
              </w:rPr>
              <w:t>'''''''</w:t>
            </w:r>
            <w:r w:rsidR="00783925">
              <w:rPr>
                <w:b/>
              </w:rPr>
              <w:t>)</w:t>
            </w:r>
          </w:p>
        </w:tc>
      </w:tr>
      <w:tr w:rsidR="0072310B">
        <w:trPr>
          <w:jc w:val="center"/>
        </w:trPr>
        <w:tc>
          <w:tcPr>
            <w:tcW w:w="1607" w:type="dxa"/>
            <w:shd w:val="clear" w:color="auto" w:fill="auto"/>
            <w:vAlign w:val="center"/>
          </w:tcPr>
          <w:p w:rsidR="0072310B" w:rsidRDefault="00783925">
            <w:pPr>
              <w:pStyle w:val="Tabletext"/>
            </w:pPr>
            <w:r>
              <w:t>Pooled PREEMPT trials (24 weeks)</w:t>
            </w:r>
          </w:p>
        </w:tc>
        <w:tc>
          <w:tcPr>
            <w:tcW w:w="1733" w:type="dxa"/>
            <w:shd w:val="clear" w:color="auto" w:fill="auto"/>
            <w:vAlign w:val="center"/>
          </w:tcPr>
          <w:p w:rsidR="0072310B" w:rsidRDefault="00783925">
            <w:pPr>
              <w:pStyle w:val="Tabletext"/>
              <w:jc w:val="center"/>
            </w:pPr>
            <w:r>
              <w:t>-</w:t>
            </w:r>
          </w:p>
        </w:tc>
        <w:tc>
          <w:tcPr>
            <w:tcW w:w="1905" w:type="dxa"/>
            <w:shd w:val="clear" w:color="auto" w:fill="auto"/>
            <w:vAlign w:val="center"/>
          </w:tcPr>
          <w:p w:rsidR="0072310B" w:rsidRDefault="00783925">
            <w:pPr>
              <w:pStyle w:val="Tabletext"/>
              <w:jc w:val="center"/>
            </w:pPr>
            <w:r>
              <w:t>N=248</w:t>
            </w:r>
          </w:p>
          <w:p w:rsidR="0072310B" w:rsidRDefault="00783925">
            <w:pPr>
              <w:pStyle w:val="Tabletext"/>
              <w:jc w:val="center"/>
            </w:pPr>
            <w:r>
              <w:t>-4.28 (0.41)</w:t>
            </w:r>
          </w:p>
        </w:tc>
        <w:tc>
          <w:tcPr>
            <w:tcW w:w="1562" w:type="dxa"/>
            <w:shd w:val="clear" w:color="auto" w:fill="auto"/>
            <w:vAlign w:val="center"/>
          </w:tcPr>
          <w:p w:rsidR="0072310B" w:rsidRDefault="00783925">
            <w:pPr>
              <w:pStyle w:val="Tabletext"/>
              <w:jc w:val="center"/>
            </w:pPr>
            <w:r>
              <w:t>N=231</w:t>
            </w:r>
          </w:p>
          <w:p w:rsidR="0072310B" w:rsidRDefault="00783925">
            <w:pPr>
              <w:pStyle w:val="Tabletext"/>
              <w:jc w:val="center"/>
            </w:pPr>
            <w:r>
              <w:t>-7.12 (0.44)</w:t>
            </w:r>
          </w:p>
        </w:tc>
        <w:tc>
          <w:tcPr>
            <w:tcW w:w="2210" w:type="dxa"/>
            <w:shd w:val="clear" w:color="auto" w:fill="auto"/>
            <w:vAlign w:val="center"/>
          </w:tcPr>
          <w:p w:rsidR="0072310B" w:rsidRDefault="00783925">
            <w:pPr>
              <w:pStyle w:val="Tabletext"/>
              <w:jc w:val="center"/>
              <w:rPr>
                <w:b/>
              </w:rPr>
            </w:pPr>
            <w:r>
              <w:rPr>
                <w:b/>
              </w:rPr>
              <w:t>-2.88 (-4.24, -1.51)</w:t>
            </w:r>
          </w:p>
        </w:tc>
      </w:tr>
      <w:tr w:rsidR="0072310B">
        <w:trPr>
          <w:jc w:val="center"/>
        </w:trPr>
        <w:tc>
          <w:tcPr>
            <w:tcW w:w="6807" w:type="dxa"/>
            <w:gridSpan w:val="4"/>
            <w:shd w:val="clear" w:color="auto" w:fill="auto"/>
            <w:vAlign w:val="center"/>
          </w:tcPr>
          <w:p w:rsidR="0072310B" w:rsidRDefault="00783925">
            <w:pPr>
              <w:pStyle w:val="Tabletext"/>
              <w:jc w:val="right"/>
            </w:pPr>
            <w:r>
              <w:t>Indirect comparison</w:t>
            </w:r>
          </w:p>
        </w:tc>
        <w:tc>
          <w:tcPr>
            <w:tcW w:w="2210" w:type="dxa"/>
            <w:shd w:val="clear" w:color="auto" w:fill="auto"/>
            <w:vAlign w:val="center"/>
          </w:tcPr>
          <w:p w:rsidR="0072310B" w:rsidRDefault="00D95519">
            <w:pPr>
              <w:pStyle w:val="Tabletext"/>
              <w:jc w:val="center"/>
            </w:pPr>
            <w:r>
              <w:rPr>
                <w:noProof/>
                <w:color w:val="000000"/>
                <w:highlight w:val="black"/>
              </w:rPr>
              <w:t>'''''''''''''</w:t>
            </w:r>
            <w:r w:rsidR="00783925">
              <w:t xml:space="preserve"> (</w:t>
            </w:r>
            <w:r>
              <w:rPr>
                <w:noProof/>
                <w:color w:val="000000"/>
                <w:highlight w:val="black"/>
              </w:rPr>
              <w:t>''''''''''''''</w:t>
            </w:r>
            <w:r w:rsidR="00783925">
              <w:t xml:space="preserve">, </w:t>
            </w:r>
            <w:r>
              <w:rPr>
                <w:noProof/>
                <w:color w:val="000000"/>
                <w:highlight w:val="black"/>
              </w:rPr>
              <w:t>'''''''''</w:t>
            </w:r>
            <w:r w:rsidR="00783925">
              <w:t>)</w:t>
            </w:r>
          </w:p>
        </w:tc>
      </w:tr>
    </w:tbl>
    <w:p w:rsidR="0072310B" w:rsidRDefault="00783925">
      <w:pPr>
        <w:pStyle w:val="TableFooter"/>
        <w:tabs>
          <w:tab w:val="left" w:pos="142"/>
        </w:tabs>
        <w:ind w:left="142" w:hanging="142"/>
        <w:rPr>
          <w:vertAlign w:val="superscript"/>
        </w:rPr>
      </w:pPr>
      <w:r>
        <w:rPr>
          <w:vertAlign w:val="superscript"/>
        </w:rPr>
        <w:t>a</w:t>
      </w:r>
      <w:r>
        <w:tab/>
        <w:t>The ITT population that was assessed in REGAIN (N=811) was based on patients with non-missing change from baseline in migraine headache days data, which was less than the overall ITT population (N=836).</w:t>
      </w:r>
    </w:p>
    <w:p w:rsidR="0072310B" w:rsidRDefault="00783925">
      <w:pPr>
        <w:pStyle w:val="TableFooter"/>
        <w:tabs>
          <w:tab w:val="left" w:pos="142"/>
        </w:tabs>
        <w:ind w:left="142" w:hanging="142"/>
      </w:pPr>
      <w:r>
        <w:rPr>
          <w:vertAlign w:val="superscript"/>
        </w:rPr>
        <w:t>b</w:t>
      </w:r>
      <w:r>
        <w:tab/>
        <w:t>The mITT population consisted of patients for whom migraine headache days were defined as ≥4 hours instead of ≥30 minutes as used in the REGAIN ITT population, or when a patient took acute medication on the corresponding day.</w:t>
      </w:r>
      <w:r w:rsidR="002535F9">
        <w:t xml:space="preserve"> </w:t>
      </w:r>
      <w:r>
        <w:t>Statistical analyses used ANCOVA to correspond to the methodology used in the PREEMPT trials instead of the mixed model repeated measures used in REGAIN for the ITT population comparisons.</w:t>
      </w:r>
    </w:p>
    <w:p w:rsidR="0072310B" w:rsidRDefault="00783925">
      <w:pPr>
        <w:pStyle w:val="TableFooter"/>
        <w:tabs>
          <w:tab w:val="left" w:pos="142"/>
        </w:tabs>
        <w:ind w:left="142" w:hanging="142"/>
      </w:pPr>
      <w:r>
        <w:rPr>
          <w:vertAlign w:val="superscript"/>
        </w:rPr>
        <w:t>c</w:t>
      </w:r>
      <w:r>
        <w:tab/>
        <w:t>The Botox – placebo differences reported here were based on a meta-analysis conducted by the submission instead of the values reported in the PREEMPT trial publications.</w:t>
      </w:r>
    </w:p>
    <w:p w:rsidR="0072310B" w:rsidRDefault="00783925">
      <w:pPr>
        <w:pStyle w:val="TableFooter"/>
      </w:pPr>
      <w:r>
        <w:t xml:space="preserve">CI=confidence interval; NR=not reported; SE=standard error </w:t>
      </w:r>
      <w:r>
        <w:rPr>
          <w:b/>
        </w:rPr>
        <w:t>bold</w:t>
      </w:r>
      <w:r>
        <w:t>=statistically significant</w:t>
      </w:r>
    </w:p>
    <w:p w:rsidR="0072310B" w:rsidRDefault="00783925">
      <w:pPr>
        <w:pStyle w:val="TableFooter"/>
        <w:spacing w:after="120"/>
      </w:pPr>
      <w:r>
        <w:t>Source: Table 2.5.1, p63; Table 2.5.7, p73; Table 2.6.8, p98; Table 2.6.12, p101 of the submission. Subgroup data from the ITT population was provided in the PSCR.</w:t>
      </w:r>
    </w:p>
    <w:p w:rsidR="0072310B" w:rsidRDefault="00783925">
      <w:pPr>
        <w:pStyle w:val="ListParagraph"/>
        <w:numPr>
          <w:ilvl w:val="1"/>
          <w:numId w:val="3"/>
        </w:numPr>
        <w:spacing w:after="120"/>
      </w:pPr>
      <w:r>
        <w:t>Within each trial the reduction in migraine headache days was statistically significant for the active treatment, galcanezumab or Botox, compared to placebo across the ITT population, mITT subgroup and treatment failure subgroups.</w:t>
      </w:r>
      <w:r w:rsidR="002535F9">
        <w:t xml:space="preserve"> </w:t>
      </w:r>
      <w:r>
        <w:t>The indirect comparisons using the ITT, the mITT subgroup and the treatment failure subgroups showed no statistically significant differences between galcanezumab and Botox.</w:t>
      </w:r>
      <w:r w:rsidR="002535F9">
        <w:t xml:space="preserve"> </w:t>
      </w:r>
      <w:r>
        <w:t>The submission stated that as the upper confidence intervals for the difference in change in headache days did not cross the PBAC-accepted clinically meaningful reduction of 2 to 3 days, a claim of non-inferiority of galcanezumab and Botox was supported. The PBAC noted the larger incremental benefit of galcanezumab versus placebo and versus Botox when the analyses were based on the post-hoc subgroups but considered these analyses to be less reliable than the analyses based on the ITT and mITT population.</w:t>
      </w:r>
      <w:r w:rsidR="002535F9">
        <w:rPr>
          <w:i/>
        </w:rPr>
        <w:t xml:space="preserve"> </w:t>
      </w:r>
      <w:r>
        <w:lastRenderedPageBreak/>
        <w:t>The PBAC also noted that much of the incremental benefit was driven by a lower placebo response in the galcanezumab studies than in the Botox studies.</w:t>
      </w:r>
    </w:p>
    <w:p w:rsidR="0072310B" w:rsidRDefault="00783925">
      <w:pPr>
        <w:pStyle w:val="ListParagraph"/>
        <w:numPr>
          <w:ilvl w:val="1"/>
          <w:numId w:val="3"/>
        </w:numPr>
        <w:spacing w:after="120"/>
      </w:pPr>
      <w:r>
        <w:t xml:space="preserve">The table below provides the results of the indirect comparison of galcanezumab and Botox for change from baseline in headache days. </w:t>
      </w:r>
    </w:p>
    <w:p w:rsidR="005E1C57" w:rsidRPr="005E1C57" w:rsidRDefault="005E1C57" w:rsidP="005E1C57">
      <w:pPr>
        <w:pStyle w:val="Caption"/>
        <w:keepNext/>
        <w:spacing w:after="0"/>
        <w:rPr>
          <w:rStyle w:val="CommentReference"/>
        </w:rPr>
      </w:pPr>
      <w:r w:rsidRPr="005E1C57">
        <w:rPr>
          <w:rStyle w:val="CommentReference"/>
        </w:rPr>
        <w:t xml:space="preserve">Table </w:t>
      </w:r>
      <w:r w:rsidRPr="005E1C57">
        <w:rPr>
          <w:rStyle w:val="CommentReference"/>
        </w:rPr>
        <w:fldChar w:fldCharType="begin"/>
      </w:r>
      <w:r w:rsidRPr="005E1C57">
        <w:rPr>
          <w:rStyle w:val="CommentReference"/>
        </w:rPr>
        <w:instrText xml:space="preserve"> SEQ Table \* ARABIC </w:instrText>
      </w:r>
      <w:r w:rsidRPr="005E1C57">
        <w:rPr>
          <w:rStyle w:val="CommentReference"/>
        </w:rPr>
        <w:fldChar w:fldCharType="separate"/>
      </w:r>
      <w:r w:rsidR="00CD46F2">
        <w:rPr>
          <w:rStyle w:val="CommentReference"/>
          <w:noProof/>
        </w:rPr>
        <w:t>6</w:t>
      </w:r>
      <w:r w:rsidRPr="005E1C57">
        <w:rPr>
          <w:rStyle w:val="CommentReference"/>
        </w:rPr>
        <w:fldChar w:fldCharType="end"/>
      </w:r>
      <w:r w:rsidRPr="005E1C57">
        <w:rPr>
          <w:rStyle w:val="CommentReference"/>
        </w:rPr>
        <w:t>: Results across all groups for change from baseline in headache days - galcanezumab vs. Botox</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Results across all groups for change from baseline in headache days - galcanezumab vs. Botox"/>
      </w:tblPr>
      <w:tblGrid>
        <w:gridCol w:w="1601"/>
        <w:gridCol w:w="1895"/>
        <w:gridCol w:w="1732"/>
        <w:gridCol w:w="1487"/>
        <w:gridCol w:w="2302"/>
      </w:tblGrid>
      <w:tr w:rsidR="0072310B">
        <w:trPr>
          <w:tblHeader/>
          <w:jc w:val="center"/>
        </w:trPr>
        <w:tc>
          <w:tcPr>
            <w:tcW w:w="1601" w:type="dxa"/>
            <w:vMerge w:val="restart"/>
            <w:shd w:val="clear" w:color="auto" w:fill="auto"/>
            <w:vAlign w:val="center"/>
          </w:tcPr>
          <w:p w:rsidR="0072310B" w:rsidRDefault="00783925">
            <w:pPr>
              <w:pStyle w:val="Tabletext"/>
              <w:keepNext/>
              <w:rPr>
                <w:b/>
              </w:rPr>
            </w:pPr>
            <w:r>
              <w:rPr>
                <w:b/>
              </w:rPr>
              <w:t>Trial</w:t>
            </w:r>
          </w:p>
        </w:tc>
        <w:tc>
          <w:tcPr>
            <w:tcW w:w="5114" w:type="dxa"/>
            <w:gridSpan w:val="3"/>
            <w:shd w:val="clear" w:color="auto" w:fill="auto"/>
            <w:vAlign w:val="center"/>
          </w:tcPr>
          <w:p w:rsidR="0072310B" w:rsidRDefault="00783925">
            <w:pPr>
              <w:pStyle w:val="Tabletext"/>
              <w:jc w:val="center"/>
              <w:rPr>
                <w:b/>
              </w:rPr>
            </w:pPr>
            <w:r>
              <w:rPr>
                <w:b/>
              </w:rPr>
              <w:t>Mean change from baseline (SE or 95% CI) in headache days</w:t>
            </w:r>
          </w:p>
        </w:tc>
        <w:tc>
          <w:tcPr>
            <w:tcW w:w="2302" w:type="dxa"/>
            <w:vMerge w:val="restart"/>
            <w:shd w:val="clear" w:color="auto" w:fill="auto"/>
            <w:vAlign w:val="center"/>
          </w:tcPr>
          <w:p w:rsidR="0072310B" w:rsidRDefault="00783925">
            <w:pPr>
              <w:pStyle w:val="Tabletext"/>
              <w:jc w:val="center"/>
              <w:rPr>
                <w:b/>
              </w:rPr>
            </w:pPr>
            <w:r>
              <w:rPr>
                <w:b/>
              </w:rPr>
              <w:t>Mean difference (95% CI)</w:t>
            </w:r>
          </w:p>
        </w:tc>
      </w:tr>
      <w:tr w:rsidR="0072310B">
        <w:trPr>
          <w:tblHeader/>
          <w:jc w:val="center"/>
        </w:trPr>
        <w:tc>
          <w:tcPr>
            <w:tcW w:w="1601" w:type="dxa"/>
            <w:vMerge/>
            <w:shd w:val="clear" w:color="auto" w:fill="auto"/>
            <w:vAlign w:val="center"/>
          </w:tcPr>
          <w:p w:rsidR="0072310B" w:rsidRDefault="0072310B">
            <w:pPr>
              <w:pStyle w:val="Tabletext"/>
            </w:pPr>
          </w:p>
        </w:tc>
        <w:tc>
          <w:tcPr>
            <w:tcW w:w="1895" w:type="dxa"/>
            <w:shd w:val="clear" w:color="auto" w:fill="auto"/>
            <w:vAlign w:val="center"/>
          </w:tcPr>
          <w:p w:rsidR="0072310B" w:rsidRDefault="00783925">
            <w:pPr>
              <w:pStyle w:val="Tabletext"/>
              <w:jc w:val="center"/>
              <w:rPr>
                <w:b/>
              </w:rPr>
            </w:pPr>
            <w:r>
              <w:rPr>
                <w:b/>
              </w:rPr>
              <w:t>Galcanezumab</w:t>
            </w:r>
          </w:p>
        </w:tc>
        <w:tc>
          <w:tcPr>
            <w:tcW w:w="1732" w:type="dxa"/>
            <w:shd w:val="clear" w:color="auto" w:fill="auto"/>
            <w:vAlign w:val="center"/>
          </w:tcPr>
          <w:p w:rsidR="0072310B" w:rsidRDefault="00783925">
            <w:pPr>
              <w:pStyle w:val="Tabletext"/>
              <w:jc w:val="center"/>
              <w:rPr>
                <w:b/>
              </w:rPr>
            </w:pPr>
            <w:r>
              <w:rPr>
                <w:b/>
              </w:rPr>
              <w:t>Placebo</w:t>
            </w:r>
          </w:p>
        </w:tc>
        <w:tc>
          <w:tcPr>
            <w:tcW w:w="1487" w:type="dxa"/>
            <w:shd w:val="clear" w:color="auto" w:fill="auto"/>
            <w:vAlign w:val="center"/>
          </w:tcPr>
          <w:p w:rsidR="0072310B" w:rsidRDefault="00783925">
            <w:pPr>
              <w:pStyle w:val="Tabletext"/>
              <w:jc w:val="center"/>
              <w:rPr>
                <w:b/>
              </w:rPr>
            </w:pPr>
            <w:r>
              <w:rPr>
                <w:b/>
              </w:rPr>
              <w:t>Botox</w:t>
            </w:r>
          </w:p>
        </w:tc>
        <w:tc>
          <w:tcPr>
            <w:tcW w:w="2302" w:type="dxa"/>
            <w:vMerge/>
            <w:shd w:val="clear" w:color="auto" w:fill="auto"/>
            <w:vAlign w:val="center"/>
          </w:tcPr>
          <w:p w:rsidR="0072310B" w:rsidRDefault="0072310B">
            <w:pPr>
              <w:pStyle w:val="Tabletext"/>
              <w:jc w:val="center"/>
            </w:pPr>
          </w:p>
        </w:tc>
      </w:tr>
      <w:tr w:rsidR="0072310B">
        <w:trPr>
          <w:jc w:val="center"/>
        </w:trPr>
        <w:tc>
          <w:tcPr>
            <w:tcW w:w="9017" w:type="dxa"/>
            <w:gridSpan w:val="5"/>
            <w:shd w:val="clear" w:color="auto" w:fill="auto"/>
            <w:vAlign w:val="center"/>
          </w:tcPr>
          <w:p w:rsidR="0072310B" w:rsidRDefault="00783925">
            <w:pPr>
              <w:pStyle w:val="Tabletext"/>
              <w:rPr>
                <w:b/>
              </w:rPr>
            </w:pPr>
            <w:r>
              <w:rPr>
                <w:b/>
              </w:rPr>
              <w:t>ITT population</w:t>
            </w:r>
          </w:p>
        </w:tc>
      </w:tr>
      <w:tr w:rsidR="0072310B">
        <w:trPr>
          <w:jc w:val="center"/>
        </w:trPr>
        <w:tc>
          <w:tcPr>
            <w:tcW w:w="1601" w:type="dxa"/>
            <w:shd w:val="clear" w:color="auto" w:fill="auto"/>
            <w:vAlign w:val="center"/>
          </w:tcPr>
          <w:p w:rsidR="0072310B" w:rsidRDefault="00783925">
            <w:pPr>
              <w:pStyle w:val="Tabletext"/>
            </w:pPr>
            <w:r>
              <w:t xml:space="preserve">REGAIN </w:t>
            </w:r>
          </w:p>
          <w:p w:rsidR="0072310B" w:rsidRDefault="00783925">
            <w:pPr>
              <w:pStyle w:val="Tabletext"/>
            </w:pPr>
            <w:r>
              <w:t>(12 weeks)</w:t>
            </w:r>
          </w:p>
        </w:tc>
        <w:tc>
          <w:tcPr>
            <w:tcW w:w="1895" w:type="dxa"/>
            <w:shd w:val="clear" w:color="auto" w:fill="auto"/>
            <w:vAlign w:val="center"/>
          </w:tcPr>
          <w:p w:rsidR="0072310B" w:rsidRDefault="00783925">
            <w:pPr>
              <w:pStyle w:val="Tabletext"/>
              <w:jc w:val="center"/>
            </w:pPr>
            <w:r>
              <w:t>N=273</w:t>
            </w:r>
          </w:p>
          <w:p w:rsidR="0072310B" w:rsidRDefault="00783925">
            <w:pPr>
              <w:pStyle w:val="Tabletext"/>
              <w:jc w:val="center"/>
            </w:pPr>
            <w:r>
              <w:t>-4.84 (0.43)</w:t>
            </w:r>
          </w:p>
        </w:tc>
        <w:tc>
          <w:tcPr>
            <w:tcW w:w="1732" w:type="dxa"/>
            <w:shd w:val="clear" w:color="auto" w:fill="auto"/>
            <w:vAlign w:val="center"/>
          </w:tcPr>
          <w:p w:rsidR="0072310B" w:rsidRDefault="00783925">
            <w:pPr>
              <w:pStyle w:val="Tabletext"/>
              <w:jc w:val="center"/>
            </w:pPr>
            <w:r>
              <w:t>N=538</w:t>
            </w:r>
          </w:p>
          <w:p w:rsidR="0072310B" w:rsidRDefault="00783925">
            <w:pPr>
              <w:pStyle w:val="Tabletext"/>
              <w:jc w:val="center"/>
            </w:pPr>
            <w:r>
              <w:t>-3.01 (0.35)</w:t>
            </w:r>
          </w:p>
        </w:tc>
        <w:tc>
          <w:tcPr>
            <w:tcW w:w="1487" w:type="dxa"/>
            <w:shd w:val="clear" w:color="auto" w:fill="auto"/>
            <w:vAlign w:val="center"/>
          </w:tcPr>
          <w:p w:rsidR="0072310B" w:rsidRDefault="00783925">
            <w:pPr>
              <w:pStyle w:val="Tabletext"/>
              <w:jc w:val="center"/>
            </w:pPr>
            <w:r>
              <w:t>-</w:t>
            </w:r>
          </w:p>
        </w:tc>
        <w:tc>
          <w:tcPr>
            <w:tcW w:w="2302" w:type="dxa"/>
            <w:shd w:val="clear" w:color="auto" w:fill="auto"/>
            <w:vAlign w:val="center"/>
          </w:tcPr>
          <w:p w:rsidR="0072310B" w:rsidRDefault="00783925">
            <w:pPr>
              <w:pStyle w:val="Tabletext"/>
              <w:jc w:val="center"/>
              <w:rPr>
                <w:b/>
              </w:rPr>
            </w:pPr>
            <w:r>
              <w:rPr>
                <w:b/>
              </w:rPr>
              <w:t>-1.84 (-2.65, -1.02)</w:t>
            </w:r>
          </w:p>
        </w:tc>
      </w:tr>
      <w:tr w:rsidR="0072310B">
        <w:trPr>
          <w:jc w:val="center"/>
        </w:trPr>
        <w:tc>
          <w:tcPr>
            <w:tcW w:w="1601" w:type="dxa"/>
            <w:shd w:val="clear" w:color="auto" w:fill="auto"/>
            <w:vAlign w:val="center"/>
          </w:tcPr>
          <w:p w:rsidR="0072310B" w:rsidRDefault="00783925">
            <w:pPr>
              <w:pStyle w:val="Tabletext"/>
            </w:pPr>
            <w:r>
              <w:t>Pooled PREEMPT trials (24 weeks)</w:t>
            </w:r>
          </w:p>
        </w:tc>
        <w:tc>
          <w:tcPr>
            <w:tcW w:w="1895" w:type="dxa"/>
            <w:shd w:val="clear" w:color="auto" w:fill="auto"/>
            <w:vAlign w:val="center"/>
          </w:tcPr>
          <w:p w:rsidR="0072310B" w:rsidRDefault="00783925">
            <w:pPr>
              <w:pStyle w:val="Tabletext"/>
              <w:jc w:val="center"/>
            </w:pPr>
            <w:r>
              <w:t>-</w:t>
            </w:r>
          </w:p>
        </w:tc>
        <w:tc>
          <w:tcPr>
            <w:tcW w:w="1732" w:type="dxa"/>
            <w:shd w:val="clear" w:color="auto" w:fill="auto"/>
            <w:vAlign w:val="center"/>
          </w:tcPr>
          <w:p w:rsidR="0072310B" w:rsidRDefault="00783925">
            <w:pPr>
              <w:pStyle w:val="Tabletext"/>
              <w:jc w:val="center"/>
            </w:pPr>
            <w:r>
              <w:t>N=696</w:t>
            </w:r>
          </w:p>
          <w:p w:rsidR="0072310B" w:rsidRDefault="00783925">
            <w:pPr>
              <w:pStyle w:val="Tabletext"/>
              <w:jc w:val="center"/>
            </w:pPr>
            <w:r>
              <w:t>-6.6 (-7.07, -6.08)</w:t>
            </w:r>
          </w:p>
        </w:tc>
        <w:tc>
          <w:tcPr>
            <w:tcW w:w="1487" w:type="dxa"/>
            <w:shd w:val="clear" w:color="auto" w:fill="auto"/>
            <w:vAlign w:val="center"/>
          </w:tcPr>
          <w:p w:rsidR="0072310B" w:rsidRDefault="00783925">
            <w:pPr>
              <w:pStyle w:val="Tabletext"/>
              <w:jc w:val="center"/>
            </w:pPr>
            <w:r>
              <w:t>N=688</w:t>
            </w:r>
          </w:p>
          <w:p w:rsidR="0072310B" w:rsidRDefault="00783925">
            <w:pPr>
              <w:pStyle w:val="Tabletext"/>
              <w:jc w:val="center"/>
            </w:pPr>
            <w:r>
              <w:t>-8.4 (-8.90, -7.92)</w:t>
            </w:r>
          </w:p>
        </w:tc>
        <w:tc>
          <w:tcPr>
            <w:tcW w:w="2302" w:type="dxa"/>
            <w:shd w:val="clear" w:color="auto" w:fill="auto"/>
            <w:vAlign w:val="center"/>
          </w:tcPr>
          <w:p w:rsidR="0072310B" w:rsidRDefault="00783925">
            <w:pPr>
              <w:pStyle w:val="Tabletext"/>
              <w:jc w:val="center"/>
              <w:rPr>
                <w:b/>
              </w:rPr>
            </w:pPr>
            <w:r>
              <w:rPr>
                <w:b/>
              </w:rPr>
              <w:t>-1.8 (-2.52, -1.13)</w:t>
            </w:r>
          </w:p>
        </w:tc>
      </w:tr>
      <w:tr w:rsidR="0072310B">
        <w:trPr>
          <w:jc w:val="center"/>
        </w:trPr>
        <w:tc>
          <w:tcPr>
            <w:tcW w:w="6715" w:type="dxa"/>
            <w:gridSpan w:val="4"/>
            <w:shd w:val="clear" w:color="auto" w:fill="auto"/>
            <w:vAlign w:val="center"/>
          </w:tcPr>
          <w:p w:rsidR="0072310B" w:rsidRDefault="00783925">
            <w:pPr>
              <w:pStyle w:val="Tabletext"/>
              <w:jc w:val="right"/>
            </w:pPr>
            <w:r>
              <w:t>Indirect comparison</w:t>
            </w:r>
          </w:p>
        </w:tc>
        <w:tc>
          <w:tcPr>
            <w:tcW w:w="2302" w:type="dxa"/>
            <w:shd w:val="clear" w:color="auto" w:fill="auto"/>
            <w:vAlign w:val="center"/>
          </w:tcPr>
          <w:p w:rsidR="0072310B" w:rsidRDefault="00783925">
            <w:pPr>
              <w:pStyle w:val="Tabletext"/>
              <w:jc w:val="center"/>
            </w:pPr>
            <w:r>
              <w:t>-0.04 (-1.11, 1.03)</w:t>
            </w:r>
          </w:p>
        </w:tc>
      </w:tr>
      <w:tr w:rsidR="0072310B">
        <w:trPr>
          <w:jc w:val="center"/>
        </w:trPr>
        <w:tc>
          <w:tcPr>
            <w:tcW w:w="9017" w:type="dxa"/>
            <w:gridSpan w:val="5"/>
            <w:shd w:val="clear" w:color="auto" w:fill="auto"/>
            <w:vAlign w:val="center"/>
          </w:tcPr>
          <w:p w:rsidR="0072310B" w:rsidRDefault="00783925">
            <w:pPr>
              <w:pStyle w:val="Tabletext"/>
              <w:rPr>
                <w:b/>
              </w:rPr>
            </w:pPr>
            <w:r>
              <w:rPr>
                <w:b/>
              </w:rPr>
              <w:t>Identified subgroup (≥3 treatment failures; sourced from ITT population for REGAIN)</w:t>
            </w:r>
          </w:p>
        </w:tc>
      </w:tr>
      <w:tr w:rsidR="0072310B">
        <w:trPr>
          <w:jc w:val="center"/>
        </w:trPr>
        <w:tc>
          <w:tcPr>
            <w:tcW w:w="1601" w:type="dxa"/>
            <w:shd w:val="clear" w:color="auto" w:fill="auto"/>
            <w:vAlign w:val="center"/>
          </w:tcPr>
          <w:p w:rsidR="0072310B" w:rsidRDefault="00783925">
            <w:pPr>
              <w:pStyle w:val="Tabletext"/>
            </w:pPr>
            <w:r>
              <w:t xml:space="preserve">REGAIN </w:t>
            </w:r>
          </w:p>
          <w:p w:rsidR="0072310B" w:rsidRDefault="00783925">
            <w:pPr>
              <w:pStyle w:val="Tabletext"/>
            </w:pPr>
            <w:r>
              <w:t>(12 weeks)</w:t>
            </w:r>
          </w:p>
        </w:tc>
        <w:tc>
          <w:tcPr>
            <w:tcW w:w="1895" w:type="dxa"/>
            <w:shd w:val="clear" w:color="auto" w:fill="auto"/>
            <w:vAlign w:val="center"/>
          </w:tcPr>
          <w:p w:rsidR="0072310B" w:rsidRDefault="00783925">
            <w:pPr>
              <w:pStyle w:val="Tabletext"/>
              <w:jc w:val="center"/>
            </w:pPr>
            <w:r>
              <w:t>N=</w:t>
            </w:r>
            <w:r w:rsidR="00D95519">
              <w:rPr>
                <w:noProof/>
                <w:color w:val="000000"/>
                <w:highlight w:val="black"/>
              </w:rPr>
              <w:t>''''''</w:t>
            </w:r>
          </w:p>
          <w:p w:rsidR="0072310B" w:rsidRDefault="00D95519">
            <w:pPr>
              <w:pStyle w:val="Tabletext"/>
              <w:jc w:val="center"/>
            </w:pPr>
            <w:r>
              <w:rPr>
                <w:noProof/>
                <w:color w:val="000000"/>
                <w:highlight w:val="black"/>
              </w:rPr>
              <w:t>'''''''''''''</w:t>
            </w:r>
            <w:r w:rsidR="00783925">
              <w:t xml:space="preserve"> (</w:t>
            </w:r>
            <w:r>
              <w:rPr>
                <w:noProof/>
                <w:color w:val="000000"/>
                <w:highlight w:val="black"/>
              </w:rPr>
              <w:t>''''''''''</w:t>
            </w:r>
            <w:r w:rsidR="00783925">
              <w:t>)</w:t>
            </w:r>
          </w:p>
        </w:tc>
        <w:tc>
          <w:tcPr>
            <w:tcW w:w="1732" w:type="dxa"/>
            <w:shd w:val="clear" w:color="auto" w:fill="auto"/>
            <w:vAlign w:val="center"/>
          </w:tcPr>
          <w:p w:rsidR="0072310B" w:rsidRDefault="00783925">
            <w:pPr>
              <w:pStyle w:val="Tabletext"/>
              <w:jc w:val="center"/>
            </w:pPr>
            <w:r>
              <w:t>N=</w:t>
            </w:r>
            <w:r w:rsidR="00D95519">
              <w:rPr>
                <w:noProof/>
                <w:color w:val="000000"/>
                <w:highlight w:val="black"/>
              </w:rPr>
              <w:t>''''''''''</w:t>
            </w:r>
          </w:p>
          <w:p w:rsidR="0072310B" w:rsidRDefault="00D95519">
            <w:pPr>
              <w:pStyle w:val="Tabletext"/>
              <w:jc w:val="center"/>
            </w:pPr>
            <w:r>
              <w:rPr>
                <w:noProof/>
                <w:color w:val="000000"/>
                <w:highlight w:val="black"/>
              </w:rPr>
              <w:t>'''''''''''''</w:t>
            </w:r>
            <w:r w:rsidR="00783925">
              <w:t xml:space="preserve"> (</w:t>
            </w:r>
            <w:r>
              <w:rPr>
                <w:noProof/>
                <w:color w:val="000000"/>
                <w:highlight w:val="black"/>
              </w:rPr>
              <w:t>''''''''''</w:t>
            </w:r>
            <w:r w:rsidR="00783925">
              <w:t>)</w:t>
            </w:r>
          </w:p>
        </w:tc>
        <w:tc>
          <w:tcPr>
            <w:tcW w:w="1487" w:type="dxa"/>
            <w:shd w:val="clear" w:color="auto" w:fill="auto"/>
            <w:vAlign w:val="center"/>
          </w:tcPr>
          <w:p w:rsidR="0072310B" w:rsidRDefault="00783925">
            <w:pPr>
              <w:pStyle w:val="Tabletext"/>
              <w:jc w:val="center"/>
            </w:pPr>
            <w:r>
              <w:t>-</w:t>
            </w:r>
          </w:p>
        </w:tc>
        <w:tc>
          <w:tcPr>
            <w:tcW w:w="2302" w:type="dxa"/>
            <w:shd w:val="clear" w:color="auto" w:fill="auto"/>
            <w:vAlign w:val="center"/>
          </w:tcPr>
          <w:p w:rsidR="0072310B" w:rsidRDefault="00D95519">
            <w:pPr>
              <w:pStyle w:val="Tabletext"/>
              <w:jc w:val="center"/>
              <w:rPr>
                <w:b/>
              </w:rPr>
            </w:pPr>
            <w:r>
              <w:rPr>
                <w:b/>
                <w:noProof/>
                <w:color w:val="000000"/>
                <w:highlight w:val="black"/>
              </w:rPr>
              <w:t>''''''''''</w:t>
            </w:r>
            <w:r w:rsidR="00783925" w:rsidRPr="00AC0E0F">
              <w:rPr>
                <w:b/>
              </w:rPr>
              <w:t xml:space="preserve"> (-</w:t>
            </w:r>
            <w:r>
              <w:rPr>
                <w:b/>
                <w:noProof/>
                <w:color w:val="000000"/>
                <w:highlight w:val="black"/>
              </w:rPr>
              <w:t>'''''''''</w:t>
            </w:r>
            <w:r w:rsidR="00783925" w:rsidRPr="00AC0E0F">
              <w:rPr>
                <w:b/>
              </w:rPr>
              <w:t xml:space="preserve">, </w:t>
            </w:r>
            <w:r>
              <w:rPr>
                <w:b/>
                <w:noProof/>
                <w:color w:val="000000"/>
                <w:highlight w:val="black"/>
              </w:rPr>
              <w:t>'''''''''</w:t>
            </w:r>
            <w:r w:rsidR="00783925">
              <w:rPr>
                <w:b/>
              </w:rPr>
              <w:t>)</w:t>
            </w:r>
          </w:p>
        </w:tc>
      </w:tr>
      <w:tr w:rsidR="0072310B">
        <w:trPr>
          <w:jc w:val="center"/>
        </w:trPr>
        <w:tc>
          <w:tcPr>
            <w:tcW w:w="1601" w:type="dxa"/>
            <w:tcBorders>
              <w:bottom w:val="single" w:sz="4" w:space="0" w:color="auto"/>
            </w:tcBorders>
            <w:shd w:val="clear" w:color="auto" w:fill="auto"/>
            <w:vAlign w:val="center"/>
          </w:tcPr>
          <w:p w:rsidR="0072310B" w:rsidRDefault="00783925">
            <w:pPr>
              <w:pStyle w:val="Tabletext"/>
            </w:pPr>
            <w:r>
              <w:t>Pooled PREEMPT trials (24 weeks)</w:t>
            </w:r>
          </w:p>
        </w:tc>
        <w:tc>
          <w:tcPr>
            <w:tcW w:w="1895" w:type="dxa"/>
            <w:tcBorders>
              <w:bottom w:val="single" w:sz="4" w:space="0" w:color="auto"/>
            </w:tcBorders>
            <w:shd w:val="clear" w:color="auto" w:fill="auto"/>
            <w:vAlign w:val="center"/>
          </w:tcPr>
          <w:p w:rsidR="0072310B" w:rsidRDefault="00783925">
            <w:pPr>
              <w:pStyle w:val="Tabletext"/>
              <w:jc w:val="center"/>
            </w:pPr>
            <w:r>
              <w:t>-</w:t>
            </w:r>
          </w:p>
        </w:tc>
        <w:tc>
          <w:tcPr>
            <w:tcW w:w="1732" w:type="dxa"/>
            <w:tcBorders>
              <w:bottom w:val="single" w:sz="4" w:space="0" w:color="auto"/>
            </w:tcBorders>
            <w:shd w:val="clear" w:color="auto" w:fill="auto"/>
            <w:vAlign w:val="center"/>
          </w:tcPr>
          <w:p w:rsidR="0072310B" w:rsidRDefault="00783925">
            <w:pPr>
              <w:pStyle w:val="Tabletext"/>
              <w:jc w:val="center"/>
            </w:pPr>
            <w:r>
              <w:t>N=248</w:t>
            </w:r>
          </w:p>
          <w:p w:rsidR="0072310B" w:rsidRDefault="00783925">
            <w:pPr>
              <w:pStyle w:val="Tabletext"/>
              <w:jc w:val="center"/>
            </w:pPr>
            <w:r>
              <w:t>-4.68 (0.41)</w:t>
            </w:r>
          </w:p>
        </w:tc>
        <w:tc>
          <w:tcPr>
            <w:tcW w:w="1487" w:type="dxa"/>
            <w:tcBorders>
              <w:bottom w:val="single" w:sz="4" w:space="0" w:color="auto"/>
            </w:tcBorders>
            <w:shd w:val="clear" w:color="auto" w:fill="auto"/>
            <w:vAlign w:val="center"/>
          </w:tcPr>
          <w:p w:rsidR="0072310B" w:rsidRDefault="00783925">
            <w:pPr>
              <w:pStyle w:val="Tabletext"/>
              <w:jc w:val="center"/>
            </w:pPr>
            <w:r>
              <w:t>N=231</w:t>
            </w:r>
          </w:p>
          <w:p w:rsidR="0072310B" w:rsidRDefault="00783925">
            <w:pPr>
              <w:pStyle w:val="Tabletext"/>
              <w:jc w:val="center"/>
            </w:pPr>
            <w:r>
              <w:t>-7.37 (0.44)</w:t>
            </w:r>
          </w:p>
        </w:tc>
        <w:tc>
          <w:tcPr>
            <w:tcW w:w="2302" w:type="dxa"/>
            <w:tcBorders>
              <w:bottom w:val="single" w:sz="4" w:space="0" w:color="auto"/>
            </w:tcBorders>
            <w:shd w:val="clear" w:color="auto" w:fill="auto"/>
            <w:vAlign w:val="center"/>
          </w:tcPr>
          <w:p w:rsidR="0072310B" w:rsidRDefault="00783925">
            <w:pPr>
              <w:pStyle w:val="Tabletext"/>
              <w:jc w:val="center"/>
              <w:rPr>
                <w:b/>
              </w:rPr>
            </w:pPr>
            <w:r>
              <w:rPr>
                <w:b/>
              </w:rPr>
              <w:t>-2.72 (-4.19 -1.26)</w:t>
            </w:r>
          </w:p>
        </w:tc>
      </w:tr>
      <w:tr w:rsidR="0072310B">
        <w:trPr>
          <w:jc w:val="center"/>
        </w:trPr>
        <w:tc>
          <w:tcPr>
            <w:tcW w:w="6715" w:type="dxa"/>
            <w:gridSpan w:val="4"/>
            <w:shd w:val="clear" w:color="auto" w:fill="auto"/>
            <w:vAlign w:val="center"/>
          </w:tcPr>
          <w:p w:rsidR="0072310B" w:rsidRDefault="00783925">
            <w:pPr>
              <w:pStyle w:val="Tabletext"/>
              <w:jc w:val="right"/>
            </w:pPr>
            <w:r>
              <w:t>Indirect comparison</w:t>
            </w:r>
          </w:p>
        </w:tc>
        <w:tc>
          <w:tcPr>
            <w:tcW w:w="2302" w:type="dxa"/>
            <w:shd w:val="clear" w:color="auto" w:fill="auto"/>
            <w:vAlign w:val="center"/>
          </w:tcPr>
          <w:p w:rsidR="0072310B" w:rsidRDefault="00D95519">
            <w:pPr>
              <w:pStyle w:val="Tabletext"/>
              <w:jc w:val="center"/>
            </w:pPr>
            <w:r>
              <w:rPr>
                <w:noProof/>
                <w:color w:val="000000"/>
                <w:highlight w:val="black"/>
              </w:rPr>
              <w:t>''''''''''''</w:t>
            </w:r>
            <w:r w:rsidR="00783925">
              <w:t xml:space="preserve"> (</w:t>
            </w:r>
            <w:r>
              <w:rPr>
                <w:noProof/>
                <w:color w:val="000000"/>
                <w:highlight w:val="black"/>
              </w:rPr>
              <w:t>''''''''''''</w:t>
            </w:r>
            <w:r w:rsidR="00783925">
              <w:t xml:space="preserve">, </w:t>
            </w:r>
            <w:r>
              <w:rPr>
                <w:noProof/>
                <w:color w:val="000000"/>
                <w:highlight w:val="black"/>
              </w:rPr>
              <w:t>''''''''''''</w:t>
            </w:r>
            <w:r w:rsidR="00783925">
              <w:t>)</w:t>
            </w:r>
          </w:p>
        </w:tc>
      </w:tr>
      <w:tr w:rsidR="0072310B">
        <w:trPr>
          <w:jc w:val="center"/>
        </w:trPr>
        <w:tc>
          <w:tcPr>
            <w:tcW w:w="9017" w:type="dxa"/>
            <w:gridSpan w:val="5"/>
            <w:shd w:val="clear" w:color="auto" w:fill="auto"/>
            <w:vAlign w:val="center"/>
          </w:tcPr>
          <w:p w:rsidR="0072310B" w:rsidRDefault="00783925">
            <w:pPr>
              <w:pStyle w:val="Tabletext"/>
              <w:rPr>
                <w:b/>
              </w:rPr>
            </w:pPr>
            <w:r>
              <w:rPr>
                <w:b/>
              </w:rPr>
              <w:t>Modified ITT population (mITT; migraine definition changed to ≥4 hours from ≥30 minutes in ITT population</w:t>
            </w:r>
            <w:r>
              <w:rPr>
                <w:b/>
                <w:vertAlign w:val="superscript"/>
              </w:rPr>
              <w:t>b</w:t>
            </w:r>
            <w:r>
              <w:rPr>
                <w:b/>
              </w:rPr>
              <w:t>)</w:t>
            </w:r>
          </w:p>
        </w:tc>
      </w:tr>
      <w:tr w:rsidR="0072310B">
        <w:trPr>
          <w:jc w:val="center"/>
        </w:trPr>
        <w:tc>
          <w:tcPr>
            <w:tcW w:w="1601" w:type="dxa"/>
            <w:shd w:val="clear" w:color="auto" w:fill="auto"/>
            <w:vAlign w:val="center"/>
          </w:tcPr>
          <w:p w:rsidR="0072310B" w:rsidRDefault="00783925">
            <w:pPr>
              <w:pStyle w:val="Tabletext"/>
            </w:pPr>
            <w:r>
              <w:t xml:space="preserve">REGAIN </w:t>
            </w:r>
          </w:p>
          <w:p w:rsidR="0072310B" w:rsidRDefault="00783925">
            <w:pPr>
              <w:pStyle w:val="Tabletext"/>
            </w:pPr>
            <w:r>
              <w:t>(12 weeks)</w:t>
            </w:r>
          </w:p>
        </w:tc>
        <w:tc>
          <w:tcPr>
            <w:tcW w:w="1895" w:type="dxa"/>
            <w:shd w:val="clear" w:color="auto" w:fill="auto"/>
            <w:vAlign w:val="center"/>
          </w:tcPr>
          <w:p w:rsidR="0072310B" w:rsidRPr="00D95519" w:rsidRDefault="00783925">
            <w:pPr>
              <w:pStyle w:val="Tabletext"/>
              <w:jc w:val="center"/>
            </w:pPr>
            <w:r>
              <w:t>N=</w:t>
            </w:r>
            <w:r w:rsidR="00D95519">
              <w:rPr>
                <w:noProof/>
                <w:color w:val="000000"/>
                <w:highlight w:val="black"/>
              </w:rPr>
              <w:t>''''''''''</w:t>
            </w:r>
          </w:p>
          <w:p w:rsidR="0072310B" w:rsidRDefault="00D95519">
            <w:pPr>
              <w:pStyle w:val="Tabletext"/>
              <w:jc w:val="center"/>
            </w:pPr>
            <w:r>
              <w:rPr>
                <w:noProof/>
                <w:color w:val="000000"/>
                <w:highlight w:val="black"/>
              </w:rPr>
              <w:t>''''''''''''''</w:t>
            </w:r>
            <w:r w:rsidR="00783925">
              <w:t xml:space="preserve"> (</w:t>
            </w:r>
            <w:r>
              <w:rPr>
                <w:noProof/>
                <w:color w:val="000000"/>
                <w:highlight w:val="black"/>
              </w:rPr>
              <w:t>''''''''''</w:t>
            </w:r>
            <w:r w:rsidR="00783925">
              <w:t>)</w:t>
            </w:r>
          </w:p>
        </w:tc>
        <w:tc>
          <w:tcPr>
            <w:tcW w:w="1732" w:type="dxa"/>
            <w:shd w:val="clear" w:color="auto" w:fill="auto"/>
            <w:vAlign w:val="center"/>
          </w:tcPr>
          <w:p w:rsidR="0072310B" w:rsidRPr="00D95519" w:rsidRDefault="00783925">
            <w:pPr>
              <w:pStyle w:val="Tabletext"/>
              <w:jc w:val="center"/>
            </w:pPr>
            <w:r>
              <w:t>N=</w:t>
            </w:r>
            <w:r w:rsidR="00D95519">
              <w:rPr>
                <w:noProof/>
                <w:color w:val="000000"/>
                <w:highlight w:val="black"/>
              </w:rPr>
              <w:t>''''''''''</w:t>
            </w:r>
          </w:p>
          <w:p w:rsidR="0072310B" w:rsidRDefault="00D95519">
            <w:pPr>
              <w:pStyle w:val="Tabletext"/>
              <w:jc w:val="center"/>
            </w:pPr>
            <w:r>
              <w:rPr>
                <w:noProof/>
                <w:color w:val="000000"/>
                <w:highlight w:val="black"/>
              </w:rPr>
              <w:t>''''''''''''''</w:t>
            </w:r>
            <w:r w:rsidR="00783925">
              <w:t xml:space="preserve"> (</w:t>
            </w:r>
            <w:r>
              <w:rPr>
                <w:noProof/>
                <w:color w:val="000000"/>
                <w:highlight w:val="black"/>
              </w:rPr>
              <w:t>''''''''''</w:t>
            </w:r>
            <w:r w:rsidR="00783925">
              <w:t>)</w:t>
            </w:r>
          </w:p>
        </w:tc>
        <w:tc>
          <w:tcPr>
            <w:tcW w:w="1487" w:type="dxa"/>
            <w:shd w:val="clear" w:color="auto" w:fill="auto"/>
            <w:vAlign w:val="center"/>
          </w:tcPr>
          <w:p w:rsidR="0072310B" w:rsidRDefault="00783925">
            <w:pPr>
              <w:pStyle w:val="Tabletext"/>
              <w:jc w:val="center"/>
            </w:pPr>
            <w:r>
              <w:t>-</w:t>
            </w:r>
          </w:p>
        </w:tc>
        <w:tc>
          <w:tcPr>
            <w:tcW w:w="2302" w:type="dxa"/>
            <w:shd w:val="clear" w:color="auto" w:fill="auto"/>
            <w:vAlign w:val="center"/>
          </w:tcPr>
          <w:p w:rsidR="0072310B" w:rsidRDefault="00D95519">
            <w:pPr>
              <w:pStyle w:val="Tabletext"/>
              <w:jc w:val="center"/>
              <w:rPr>
                <w:b/>
              </w:rPr>
            </w:pPr>
            <w:r>
              <w:rPr>
                <w:b/>
                <w:noProof/>
                <w:color w:val="000000"/>
                <w:highlight w:val="black"/>
              </w:rPr>
              <w:t>'''''''''''</w:t>
            </w:r>
            <w:r w:rsidR="00783925">
              <w:rPr>
                <w:b/>
              </w:rPr>
              <w:t xml:space="preserve"> (</w:t>
            </w:r>
            <w:r>
              <w:rPr>
                <w:b/>
                <w:noProof/>
                <w:color w:val="000000"/>
                <w:highlight w:val="black"/>
              </w:rPr>
              <w:t>'''''''</w:t>
            </w:r>
            <w:r w:rsidR="00783925">
              <w:rPr>
                <w:b/>
              </w:rPr>
              <w:t xml:space="preserve">, </w:t>
            </w:r>
            <w:r>
              <w:rPr>
                <w:b/>
                <w:noProof/>
                <w:color w:val="000000"/>
                <w:highlight w:val="black"/>
              </w:rPr>
              <w:t>'''''''</w:t>
            </w:r>
            <w:r w:rsidR="00783925">
              <w:rPr>
                <w:b/>
              </w:rPr>
              <w:t>)</w:t>
            </w:r>
          </w:p>
        </w:tc>
      </w:tr>
      <w:tr w:rsidR="0072310B">
        <w:trPr>
          <w:jc w:val="center"/>
        </w:trPr>
        <w:tc>
          <w:tcPr>
            <w:tcW w:w="1601" w:type="dxa"/>
            <w:shd w:val="clear" w:color="auto" w:fill="auto"/>
            <w:vAlign w:val="center"/>
          </w:tcPr>
          <w:p w:rsidR="0072310B" w:rsidRDefault="00783925">
            <w:pPr>
              <w:pStyle w:val="Tabletext"/>
            </w:pPr>
            <w:r>
              <w:t>Pooled PREEMPT trials (24 weeks)</w:t>
            </w:r>
          </w:p>
        </w:tc>
        <w:tc>
          <w:tcPr>
            <w:tcW w:w="1895" w:type="dxa"/>
            <w:shd w:val="clear" w:color="auto" w:fill="auto"/>
            <w:vAlign w:val="center"/>
          </w:tcPr>
          <w:p w:rsidR="0072310B" w:rsidRDefault="00783925">
            <w:pPr>
              <w:pStyle w:val="Tabletext"/>
              <w:jc w:val="center"/>
            </w:pPr>
            <w:r>
              <w:t>-</w:t>
            </w:r>
          </w:p>
        </w:tc>
        <w:tc>
          <w:tcPr>
            <w:tcW w:w="1732" w:type="dxa"/>
            <w:shd w:val="clear" w:color="auto" w:fill="auto"/>
            <w:vAlign w:val="center"/>
          </w:tcPr>
          <w:p w:rsidR="0072310B" w:rsidRDefault="00783925">
            <w:pPr>
              <w:pStyle w:val="Tabletext"/>
              <w:jc w:val="center"/>
            </w:pPr>
            <w:r>
              <w:t>N=696</w:t>
            </w:r>
          </w:p>
          <w:p w:rsidR="0072310B" w:rsidRDefault="00783925">
            <w:pPr>
              <w:pStyle w:val="Tabletext"/>
              <w:jc w:val="center"/>
            </w:pPr>
            <w:r>
              <w:t>-6.66 (0.25)</w:t>
            </w:r>
          </w:p>
        </w:tc>
        <w:tc>
          <w:tcPr>
            <w:tcW w:w="1487" w:type="dxa"/>
            <w:shd w:val="clear" w:color="auto" w:fill="auto"/>
            <w:vAlign w:val="center"/>
          </w:tcPr>
          <w:p w:rsidR="0072310B" w:rsidRDefault="00783925">
            <w:pPr>
              <w:pStyle w:val="Tabletext"/>
              <w:jc w:val="center"/>
            </w:pPr>
            <w:r>
              <w:t>N=688</w:t>
            </w:r>
          </w:p>
          <w:p w:rsidR="0072310B" w:rsidRDefault="00783925">
            <w:pPr>
              <w:pStyle w:val="Tabletext"/>
              <w:jc w:val="center"/>
            </w:pPr>
            <w:r>
              <w:t>-8.51 (0.25)</w:t>
            </w:r>
          </w:p>
        </w:tc>
        <w:tc>
          <w:tcPr>
            <w:tcW w:w="2302" w:type="dxa"/>
            <w:shd w:val="clear" w:color="auto" w:fill="auto"/>
            <w:vAlign w:val="center"/>
          </w:tcPr>
          <w:p w:rsidR="0072310B" w:rsidRDefault="00783925">
            <w:pPr>
              <w:pStyle w:val="Tabletext"/>
              <w:jc w:val="center"/>
              <w:rPr>
                <w:b/>
              </w:rPr>
            </w:pPr>
            <w:r>
              <w:rPr>
                <w:b/>
              </w:rPr>
              <w:t>-1.86 (-2.74, -0.97)</w:t>
            </w:r>
            <w:r>
              <w:rPr>
                <w:b/>
                <w:vertAlign w:val="superscript"/>
              </w:rPr>
              <w:t>c</w:t>
            </w:r>
          </w:p>
        </w:tc>
      </w:tr>
      <w:tr w:rsidR="0072310B">
        <w:trPr>
          <w:jc w:val="center"/>
        </w:trPr>
        <w:tc>
          <w:tcPr>
            <w:tcW w:w="6715" w:type="dxa"/>
            <w:gridSpan w:val="4"/>
            <w:shd w:val="clear" w:color="auto" w:fill="auto"/>
            <w:vAlign w:val="center"/>
          </w:tcPr>
          <w:p w:rsidR="0072310B" w:rsidRDefault="00783925">
            <w:pPr>
              <w:pStyle w:val="Tabletext"/>
              <w:jc w:val="right"/>
            </w:pPr>
            <w:r>
              <w:t>Indirect comparison 12 weeks REGAIN vs. 24 weeks PREEMPT</w:t>
            </w:r>
          </w:p>
        </w:tc>
        <w:tc>
          <w:tcPr>
            <w:tcW w:w="2302" w:type="dxa"/>
            <w:shd w:val="clear" w:color="auto" w:fill="auto"/>
            <w:vAlign w:val="center"/>
          </w:tcPr>
          <w:p w:rsidR="0072310B" w:rsidRDefault="00D95519">
            <w:pPr>
              <w:pStyle w:val="Tabletext"/>
              <w:jc w:val="center"/>
            </w:pPr>
            <w:r>
              <w:rPr>
                <w:noProof/>
                <w:color w:val="000000"/>
                <w:highlight w:val="black"/>
              </w:rPr>
              <w:t>''''''''''''</w:t>
            </w:r>
            <w:r w:rsidR="00783925">
              <w:t xml:space="preserve"> (</w:t>
            </w:r>
            <w:r>
              <w:rPr>
                <w:noProof/>
                <w:color w:val="000000"/>
                <w:highlight w:val="black"/>
              </w:rPr>
              <w:t>''''''''''''</w:t>
            </w:r>
            <w:r w:rsidR="00783925">
              <w:t xml:space="preserve">, </w:t>
            </w:r>
            <w:r>
              <w:rPr>
                <w:noProof/>
                <w:color w:val="000000"/>
                <w:highlight w:val="black"/>
              </w:rPr>
              <w:t>''''''''''''</w:t>
            </w:r>
            <w:r w:rsidR="00783925">
              <w:t>)</w:t>
            </w:r>
          </w:p>
        </w:tc>
      </w:tr>
      <w:tr w:rsidR="0072310B">
        <w:trPr>
          <w:jc w:val="center"/>
        </w:trPr>
        <w:tc>
          <w:tcPr>
            <w:tcW w:w="9017" w:type="dxa"/>
            <w:gridSpan w:val="5"/>
            <w:shd w:val="clear" w:color="auto" w:fill="auto"/>
            <w:vAlign w:val="center"/>
          </w:tcPr>
          <w:p w:rsidR="0072310B" w:rsidRDefault="00783925">
            <w:pPr>
              <w:pStyle w:val="Tabletext"/>
              <w:rPr>
                <w:b/>
              </w:rPr>
            </w:pPr>
            <w:r>
              <w:rPr>
                <w:b/>
              </w:rPr>
              <w:t>Identified subgroup (≥3 treatment failures; sourced from mITT population for REGAIN)</w:t>
            </w:r>
          </w:p>
        </w:tc>
      </w:tr>
      <w:tr w:rsidR="0072310B">
        <w:trPr>
          <w:jc w:val="center"/>
        </w:trPr>
        <w:tc>
          <w:tcPr>
            <w:tcW w:w="1601" w:type="dxa"/>
            <w:shd w:val="clear" w:color="auto" w:fill="auto"/>
            <w:vAlign w:val="center"/>
          </w:tcPr>
          <w:p w:rsidR="0072310B" w:rsidRDefault="00783925">
            <w:pPr>
              <w:pStyle w:val="Tabletext"/>
            </w:pPr>
            <w:r>
              <w:t xml:space="preserve">REGAIN </w:t>
            </w:r>
          </w:p>
          <w:p w:rsidR="0072310B" w:rsidRDefault="00783925">
            <w:pPr>
              <w:pStyle w:val="Tabletext"/>
            </w:pPr>
            <w:r>
              <w:t>(12 weeks)</w:t>
            </w:r>
          </w:p>
        </w:tc>
        <w:tc>
          <w:tcPr>
            <w:tcW w:w="1895" w:type="dxa"/>
            <w:shd w:val="clear" w:color="auto" w:fill="auto"/>
            <w:vAlign w:val="center"/>
          </w:tcPr>
          <w:p w:rsidR="0072310B" w:rsidRPr="00D95519" w:rsidRDefault="00783925">
            <w:pPr>
              <w:pStyle w:val="Tabletext"/>
              <w:jc w:val="center"/>
            </w:pPr>
            <w:r>
              <w:t>N=</w:t>
            </w:r>
            <w:r w:rsidR="00D95519">
              <w:rPr>
                <w:noProof/>
                <w:color w:val="000000"/>
                <w:highlight w:val="black"/>
              </w:rPr>
              <w:t>'''''''</w:t>
            </w:r>
          </w:p>
          <w:p w:rsidR="0072310B" w:rsidRDefault="00D95519">
            <w:pPr>
              <w:pStyle w:val="Tabletext"/>
              <w:jc w:val="center"/>
            </w:pPr>
            <w:r>
              <w:rPr>
                <w:noProof/>
                <w:color w:val="000000"/>
                <w:highlight w:val="black"/>
              </w:rPr>
              <w:t>''''''''''''</w:t>
            </w:r>
            <w:r w:rsidR="00783925">
              <w:t xml:space="preserve"> (</w:t>
            </w:r>
            <w:r>
              <w:rPr>
                <w:noProof/>
                <w:color w:val="000000"/>
                <w:highlight w:val="black"/>
              </w:rPr>
              <w:t>'''''''''''</w:t>
            </w:r>
            <w:r w:rsidR="00783925">
              <w:t>)</w:t>
            </w:r>
          </w:p>
        </w:tc>
        <w:tc>
          <w:tcPr>
            <w:tcW w:w="1732" w:type="dxa"/>
            <w:shd w:val="clear" w:color="auto" w:fill="auto"/>
            <w:vAlign w:val="center"/>
          </w:tcPr>
          <w:p w:rsidR="0072310B" w:rsidRPr="00D95519" w:rsidRDefault="00783925">
            <w:pPr>
              <w:pStyle w:val="Tabletext"/>
              <w:jc w:val="center"/>
            </w:pPr>
            <w:r>
              <w:t>N=</w:t>
            </w:r>
            <w:r w:rsidR="00D95519">
              <w:rPr>
                <w:noProof/>
                <w:color w:val="000000"/>
                <w:highlight w:val="black"/>
              </w:rPr>
              <w:t>'''''</w:t>
            </w:r>
          </w:p>
          <w:p w:rsidR="0072310B" w:rsidRDefault="00D95519">
            <w:pPr>
              <w:pStyle w:val="Tabletext"/>
              <w:jc w:val="center"/>
            </w:pPr>
            <w:r>
              <w:rPr>
                <w:noProof/>
                <w:color w:val="000000"/>
                <w:highlight w:val="black"/>
              </w:rPr>
              <w:t>''''''''''''</w:t>
            </w:r>
            <w:r w:rsidR="002535F9">
              <w:t xml:space="preserve"> </w:t>
            </w:r>
            <w:r w:rsidR="00783925">
              <w:t>(</w:t>
            </w:r>
            <w:r>
              <w:rPr>
                <w:noProof/>
                <w:color w:val="000000"/>
                <w:highlight w:val="black"/>
              </w:rPr>
              <w:t>''''''''</w:t>
            </w:r>
            <w:r w:rsidR="00783925">
              <w:t>)</w:t>
            </w:r>
          </w:p>
        </w:tc>
        <w:tc>
          <w:tcPr>
            <w:tcW w:w="1487" w:type="dxa"/>
            <w:shd w:val="clear" w:color="auto" w:fill="auto"/>
            <w:vAlign w:val="center"/>
          </w:tcPr>
          <w:p w:rsidR="0072310B" w:rsidRDefault="00783925">
            <w:pPr>
              <w:pStyle w:val="Tabletext"/>
              <w:jc w:val="center"/>
            </w:pPr>
            <w:r>
              <w:t>-</w:t>
            </w:r>
          </w:p>
        </w:tc>
        <w:tc>
          <w:tcPr>
            <w:tcW w:w="2302" w:type="dxa"/>
            <w:shd w:val="clear" w:color="auto" w:fill="auto"/>
            <w:vAlign w:val="center"/>
          </w:tcPr>
          <w:p w:rsidR="0072310B" w:rsidRDefault="00D95519">
            <w:pPr>
              <w:pStyle w:val="Tabletext"/>
              <w:jc w:val="center"/>
              <w:rPr>
                <w:b/>
              </w:rPr>
            </w:pPr>
            <w:r>
              <w:rPr>
                <w:b/>
                <w:noProof/>
                <w:color w:val="000000"/>
                <w:highlight w:val="black"/>
              </w:rPr>
              <w:t>''''''''</w:t>
            </w:r>
            <w:r w:rsidR="00783925">
              <w:rPr>
                <w:b/>
              </w:rPr>
              <w:t xml:space="preserve"> (</w:t>
            </w:r>
            <w:r>
              <w:rPr>
                <w:b/>
                <w:noProof/>
                <w:color w:val="000000"/>
                <w:highlight w:val="black"/>
              </w:rPr>
              <w:t>'''''''''</w:t>
            </w:r>
            <w:r w:rsidR="00783925">
              <w:rPr>
                <w:b/>
              </w:rPr>
              <w:t xml:space="preserve">, </w:t>
            </w:r>
            <w:r>
              <w:rPr>
                <w:b/>
                <w:noProof/>
                <w:color w:val="000000"/>
                <w:highlight w:val="black"/>
              </w:rPr>
              <w:t>''''''''''</w:t>
            </w:r>
            <w:r w:rsidR="00783925" w:rsidRPr="00AC0E0F">
              <w:rPr>
                <w:b/>
              </w:rPr>
              <w:t>)</w:t>
            </w:r>
          </w:p>
        </w:tc>
      </w:tr>
      <w:tr w:rsidR="0072310B">
        <w:trPr>
          <w:jc w:val="center"/>
        </w:trPr>
        <w:tc>
          <w:tcPr>
            <w:tcW w:w="1601" w:type="dxa"/>
            <w:tcBorders>
              <w:bottom w:val="single" w:sz="4" w:space="0" w:color="auto"/>
            </w:tcBorders>
            <w:shd w:val="clear" w:color="auto" w:fill="auto"/>
            <w:vAlign w:val="center"/>
          </w:tcPr>
          <w:p w:rsidR="0072310B" w:rsidRDefault="00783925">
            <w:pPr>
              <w:pStyle w:val="Tabletext"/>
            </w:pPr>
            <w:r>
              <w:t>Pooled PREEMPT trials (24 weeks)</w:t>
            </w:r>
          </w:p>
        </w:tc>
        <w:tc>
          <w:tcPr>
            <w:tcW w:w="1895" w:type="dxa"/>
            <w:tcBorders>
              <w:bottom w:val="single" w:sz="4" w:space="0" w:color="auto"/>
            </w:tcBorders>
            <w:shd w:val="clear" w:color="auto" w:fill="auto"/>
            <w:vAlign w:val="center"/>
          </w:tcPr>
          <w:p w:rsidR="0072310B" w:rsidRDefault="00783925">
            <w:pPr>
              <w:pStyle w:val="Tabletext"/>
              <w:jc w:val="center"/>
            </w:pPr>
            <w:r>
              <w:t>-</w:t>
            </w:r>
          </w:p>
        </w:tc>
        <w:tc>
          <w:tcPr>
            <w:tcW w:w="1732" w:type="dxa"/>
            <w:tcBorders>
              <w:bottom w:val="single" w:sz="4" w:space="0" w:color="auto"/>
            </w:tcBorders>
            <w:shd w:val="clear" w:color="auto" w:fill="auto"/>
            <w:vAlign w:val="center"/>
          </w:tcPr>
          <w:p w:rsidR="0072310B" w:rsidRDefault="00783925">
            <w:pPr>
              <w:pStyle w:val="Tabletext"/>
              <w:jc w:val="center"/>
            </w:pPr>
            <w:r>
              <w:t>N=248</w:t>
            </w:r>
          </w:p>
          <w:p w:rsidR="0072310B" w:rsidRDefault="00783925">
            <w:pPr>
              <w:pStyle w:val="Tabletext"/>
              <w:jc w:val="center"/>
            </w:pPr>
            <w:r>
              <w:t>-4.68 (0.41)</w:t>
            </w:r>
          </w:p>
        </w:tc>
        <w:tc>
          <w:tcPr>
            <w:tcW w:w="1487" w:type="dxa"/>
            <w:tcBorders>
              <w:bottom w:val="single" w:sz="4" w:space="0" w:color="auto"/>
            </w:tcBorders>
            <w:shd w:val="clear" w:color="auto" w:fill="auto"/>
            <w:vAlign w:val="center"/>
          </w:tcPr>
          <w:p w:rsidR="0072310B" w:rsidRDefault="00783925">
            <w:pPr>
              <w:pStyle w:val="Tabletext"/>
              <w:jc w:val="center"/>
            </w:pPr>
            <w:r>
              <w:t>N=231</w:t>
            </w:r>
          </w:p>
          <w:p w:rsidR="0072310B" w:rsidRDefault="00783925">
            <w:pPr>
              <w:pStyle w:val="Tabletext"/>
              <w:jc w:val="center"/>
            </w:pPr>
            <w:r>
              <w:t>-7.37 (0.44)</w:t>
            </w:r>
          </w:p>
        </w:tc>
        <w:tc>
          <w:tcPr>
            <w:tcW w:w="2302" w:type="dxa"/>
            <w:tcBorders>
              <w:bottom w:val="single" w:sz="4" w:space="0" w:color="auto"/>
            </w:tcBorders>
            <w:shd w:val="clear" w:color="auto" w:fill="auto"/>
            <w:vAlign w:val="center"/>
          </w:tcPr>
          <w:p w:rsidR="0072310B" w:rsidRDefault="00783925">
            <w:pPr>
              <w:pStyle w:val="Tabletext"/>
              <w:jc w:val="center"/>
              <w:rPr>
                <w:b/>
              </w:rPr>
            </w:pPr>
            <w:r>
              <w:rPr>
                <w:b/>
              </w:rPr>
              <w:t>-2.72 (-4.19 -1.26)</w:t>
            </w:r>
          </w:p>
        </w:tc>
      </w:tr>
      <w:tr w:rsidR="0072310B">
        <w:trPr>
          <w:jc w:val="center"/>
        </w:trPr>
        <w:tc>
          <w:tcPr>
            <w:tcW w:w="6715" w:type="dxa"/>
            <w:gridSpan w:val="4"/>
            <w:shd w:val="clear" w:color="auto" w:fill="auto"/>
            <w:vAlign w:val="center"/>
          </w:tcPr>
          <w:p w:rsidR="0072310B" w:rsidRDefault="00783925">
            <w:pPr>
              <w:pStyle w:val="Tabletext"/>
              <w:jc w:val="right"/>
            </w:pPr>
            <w:r>
              <w:t>Indirect comparison</w:t>
            </w:r>
          </w:p>
        </w:tc>
        <w:tc>
          <w:tcPr>
            <w:tcW w:w="2302" w:type="dxa"/>
            <w:shd w:val="clear" w:color="auto" w:fill="auto"/>
            <w:vAlign w:val="center"/>
          </w:tcPr>
          <w:p w:rsidR="0072310B" w:rsidRDefault="00D95519">
            <w:pPr>
              <w:pStyle w:val="Tabletext"/>
              <w:jc w:val="center"/>
            </w:pPr>
            <w:r>
              <w:rPr>
                <w:noProof/>
                <w:color w:val="000000"/>
                <w:highlight w:val="black"/>
              </w:rPr>
              <w:t>''''''''''''</w:t>
            </w:r>
            <w:r w:rsidR="00783925">
              <w:t xml:space="preserve"> (</w:t>
            </w:r>
            <w:r>
              <w:rPr>
                <w:noProof/>
                <w:color w:val="000000"/>
                <w:highlight w:val="black"/>
              </w:rPr>
              <w:t>''''''''''''''</w:t>
            </w:r>
            <w:r w:rsidR="00783925">
              <w:t xml:space="preserve">, </w:t>
            </w:r>
            <w:r>
              <w:rPr>
                <w:noProof/>
                <w:color w:val="000000"/>
                <w:highlight w:val="black"/>
              </w:rPr>
              <w:t>''''''''''</w:t>
            </w:r>
            <w:r w:rsidR="00783925">
              <w:t>)</w:t>
            </w:r>
          </w:p>
        </w:tc>
      </w:tr>
    </w:tbl>
    <w:p w:rsidR="0072310B" w:rsidRDefault="00783925">
      <w:pPr>
        <w:pStyle w:val="TableFooter"/>
        <w:tabs>
          <w:tab w:val="left" w:pos="142"/>
        </w:tabs>
        <w:ind w:left="142" w:hanging="142"/>
        <w:rPr>
          <w:vertAlign w:val="superscript"/>
        </w:rPr>
      </w:pPr>
      <w:r>
        <w:rPr>
          <w:vertAlign w:val="superscript"/>
        </w:rPr>
        <w:t>a</w:t>
      </w:r>
      <w:r>
        <w:tab/>
        <w:t>The ITT population that was assessed in REGAIN (N=811) was based on patients with non-missing change from baseline in migraine headache days data, which was less than the overall ITT population (N=836).</w:t>
      </w:r>
    </w:p>
    <w:p w:rsidR="0072310B" w:rsidRDefault="00783925">
      <w:pPr>
        <w:pStyle w:val="TableFooter"/>
        <w:tabs>
          <w:tab w:val="left" w:pos="142"/>
        </w:tabs>
        <w:ind w:left="142" w:hanging="142"/>
      </w:pPr>
      <w:r>
        <w:rPr>
          <w:vertAlign w:val="superscript"/>
        </w:rPr>
        <w:t>b</w:t>
      </w:r>
      <w:r>
        <w:tab/>
        <w:t>The mITT population consisted of patients for whom migraine headache days were defined as ≥4 hours instead of ≥30 minutes as used in the REGAIN ITT population, or when a patient took acute medication on the corresponding day.</w:t>
      </w:r>
      <w:r w:rsidR="002535F9">
        <w:t xml:space="preserve"> </w:t>
      </w:r>
      <w:r>
        <w:t>Statistical analyses used ANCOVA to correspond to the methodology used in the PREEMPT trials instead of the mixed model repeated measures used in REGAIN for the ITT population comparisons.</w:t>
      </w:r>
    </w:p>
    <w:p w:rsidR="0072310B" w:rsidRDefault="00783925">
      <w:pPr>
        <w:pStyle w:val="TableFooter"/>
      </w:pPr>
      <w:r>
        <w:t xml:space="preserve">CI=confidence interval; NR=not reported; SE=standard error </w:t>
      </w:r>
      <w:r>
        <w:rPr>
          <w:b/>
        </w:rPr>
        <w:t>bold</w:t>
      </w:r>
      <w:r>
        <w:t>=statistically significant</w:t>
      </w:r>
    </w:p>
    <w:p w:rsidR="0072310B" w:rsidRDefault="00783925">
      <w:pPr>
        <w:pStyle w:val="TableFooter"/>
        <w:spacing w:after="240"/>
      </w:pPr>
      <w:r>
        <w:t>Source: Table 2.5.3, p67; Table 2.5.6, p72; Table 2.6.9, p98; Table 2.6.10, p99 of the submission. Subgroup data from the ITT population was provided in the PSCR.</w:t>
      </w:r>
    </w:p>
    <w:p w:rsidR="0072310B" w:rsidRDefault="00783925">
      <w:pPr>
        <w:pStyle w:val="ListParagraph"/>
        <w:numPr>
          <w:ilvl w:val="1"/>
          <w:numId w:val="3"/>
        </w:numPr>
        <w:spacing w:after="120"/>
      </w:pPr>
      <w:r>
        <w:t>The indirect comparisons showed there were no statistically significant differences between galcanezumab and Botox for change from baseline in headache days for the ITT, mITT subgroup and treatment failure subgroup populations.</w:t>
      </w:r>
    </w:p>
    <w:p w:rsidR="0072310B" w:rsidRDefault="00783925">
      <w:pPr>
        <w:pStyle w:val="ListParagraph"/>
        <w:numPr>
          <w:ilvl w:val="1"/>
          <w:numId w:val="3"/>
        </w:numPr>
        <w:spacing w:after="120"/>
      </w:pPr>
      <w:r>
        <w:t>The table below provides the results of the indirect comparison of galcanezumab and Botox for the outcome of ≥50% reduction in migraine headache days.</w:t>
      </w:r>
      <w:r w:rsidR="002535F9">
        <w:t xml:space="preserve"> </w:t>
      </w:r>
      <w:r>
        <w:t>This comparison was undertaken using only the ITT populations as subgroup data for this outcome was not available for the PREEMPT trials.</w:t>
      </w:r>
    </w:p>
    <w:p w:rsidR="0072310B" w:rsidRDefault="00783925">
      <w:pPr>
        <w:jc w:val="left"/>
        <w:rPr>
          <w:rFonts w:ascii="Arial Narrow" w:hAnsi="Arial Narrow"/>
          <w:b/>
          <w:sz w:val="20"/>
          <w:szCs w:val="20"/>
        </w:rPr>
      </w:pPr>
      <w:r>
        <w:rPr>
          <w:rFonts w:ascii="Arial Narrow" w:hAnsi="Arial Narrow"/>
          <w:b/>
          <w:sz w:val="20"/>
          <w:szCs w:val="20"/>
        </w:rPr>
        <w:br w:type="page"/>
      </w:r>
    </w:p>
    <w:p w:rsidR="005E1C57" w:rsidRPr="005E1C57" w:rsidRDefault="005E1C57" w:rsidP="005E1C57">
      <w:pPr>
        <w:pStyle w:val="Caption"/>
        <w:keepNext/>
        <w:spacing w:after="0"/>
        <w:rPr>
          <w:rStyle w:val="CommentReference"/>
        </w:rPr>
      </w:pPr>
      <w:r w:rsidRPr="005E1C57">
        <w:rPr>
          <w:rStyle w:val="CommentReference"/>
        </w:rPr>
        <w:lastRenderedPageBreak/>
        <w:t xml:space="preserve">Table </w:t>
      </w:r>
      <w:r w:rsidRPr="005E1C57">
        <w:rPr>
          <w:rStyle w:val="CommentReference"/>
        </w:rPr>
        <w:fldChar w:fldCharType="begin"/>
      </w:r>
      <w:r w:rsidRPr="005E1C57">
        <w:rPr>
          <w:rStyle w:val="CommentReference"/>
        </w:rPr>
        <w:instrText xml:space="preserve"> SEQ Table \* ARABIC </w:instrText>
      </w:r>
      <w:r w:rsidRPr="005E1C57">
        <w:rPr>
          <w:rStyle w:val="CommentReference"/>
        </w:rPr>
        <w:fldChar w:fldCharType="separate"/>
      </w:r>
      <w:r w:rsidR="00CD46F2">
        <w:rPr>
          <w:rStyle w:val="CommentReference"/>
          <w:noProof/>
        </w:rPr>
        <w:t>7</w:t>
      </w:r>
      <w:r w:rsidRPr="005E1C57">
        <w:rPr>
          <w:rStyle w:val="CommentReference"/>
        </w:rPr>
        <w:fldChar w:fldCharType="end"/>
      </w:r>
      <w:r w:rsidRPr="005E1C57">
        <w:rPr>
          <w:rStyle w:val="CommentReference"/>
        </w:rPr>
        <w:t>: Indirect comparison of galcanezumab and Botox for ≥50% reduction in migraine headache days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Indirect comparison of galcanezumab and Botox for ≥50% reduction in migraine headache days"/>
      </w:tblPr>
      <w:tblGrid>
        <w:gridCol w:w="1576"/>
        <w:gridCol w:w="1874"/>
        <w:gridCol w:w="1696"/>
        <w:gridCol w:w="1487"/>
        <w:gridCol w:w="2384"/>
      </w:tblGrid>
      <w:tr w:rsidR="0072310B" w:rsidTr="005E1C57">
        <w:trPr>
          <w:tblHeader/>
          <w:jc w:val="center"/>
        </w:trPr>
        <w:tc>
          <w:tcPr>
            <w:tcW w:w="1576" w:type="dxa"/>
            <w:vMerge w:val="restart"/>
            <w:shd w:val="clear" w:color="auto" w:fill="auto"/>
            <w:vAlign w:val="center"/>
          </w:tcPr>
          <w:p w:rsidR="0072310B" w:rsidRDefault="00783925">
            <w:pPr>
              <w:pStyle w:val="Tabletext"/>
              <w:keepNext/>
              <w:rPr>
                <w:b/>
              </w:rPr>
            </w:pPr>
            <w:r>
              <w:rPr>
                <w:b/>
              </w:rPr>
              <w:t>Trial</w:t>
            </w:r>
          </w:p>
        </w:tc>
        <w:tc>
          <w:tcPr>
            <w:tcW w:w="5057" w:type="dxa"/>
            <w:gridSpan w:val="3"/>
            <w:shd w:val="clear" w:color="auto" w:fill="auto"/>
            <w:vAlign w:val="center"/>
          </w:tcPr>
          <w:p w:rsidR="0072310B" w:rsidRDefault="00783925">
            <w:pPr>
              <w:pStyle w:val="Tabletext"/>
              <w:jc w:val="center"/>
              <w:rPr>
                <w:b/>
              </w:rPr>
            </w:pPr>
            <w:r>
              <w:rPr>
                <w:b/>
              </w:rPr>
              <w:t xml:space="preserve">≥50% reduction in monthly migraine headache days </w:t>
            </w:r>
          </w:p>
          <w:p w:rsidR="0072310B" w:rsidRDefault="00783925">
            <w:pPr>
              <w:pStyle w:val="Tabletext"/>
              <w:jc w:val="center"/>
              <w:rPr>
                <w:b/>
              </w:rPr>
            </w:pPr>
            <w:r>
              <w:rPr>
                <w:b/>
              </w:rPr>
              <w:t>n with event/N (%)</w:t>
            </w:r>
          </w:p>
        </w:tc>
        <w:tc>
          <w:tcPr>
            <w:tcW w:w="2384" w:type="dxa"/>
            <w:vMerge w:val="restart"/>
            <w:shd w:val="clear" w:color="auto" w:fill="auto"/>
            <w:vAlign w:val="center"/>
          </w:tcPr>
          <w:p w:rsidR="0072310B" w:rsidRDefault="00783925">
            <w:pPr>
              <w:pStyle w:val="Tabletext"/>
              <w:jc w:val="center"/>
              <w:rPr>
                <w:b/>
              </w:rPr>
            </w:pPr>
            <w:r>
              <w:rPr>
                <w:b/>
              </w:rPr>
              <w:t>OR (95% CI)</w:t>
            </w:r>
          </w:p>
        </w:tc>
      </w:tr>
      <w:tr w:rsidR="0072310B" w:rsidTr="005E1C57">
        <w:trPr>
          <w:tblHeader/>
          <w:jc w:val="center"/>
        </w:trPr>
        <w:tc>
          <w:tcPr>
            <w:tcW w:w="1576" w:type="dxa"/>
            <w:vMerge/>
            <w:shd w:val="clear" w:color="auto" w:fill="auto"/>
            <w:vAlign w:val="center"/>
          </w:tcPr>
          <w:p w:rsidR="0072310B" w:rsidRDefault="0072310B">
            <w:pPr>
              <w:pStyle w:val="Tabletext"/>
            </w:pPr>
          </w:p>
        </w:tc>
        <w:tc>
          <w:tcPr>
            <w:tcW w:w="1874" w:type="dxa"/>
            <w:shd w:val="clear" w:color="auto" w:fill="auto"/>
            <w:vAlign w:val="center"/>
          </w:tcPr>
          <w:p w:rsidR="0072310B" w:rsidRDefault="00783925">
            <w:pPr>
              <w:pStyle w:val="Tabletext"/>
              <w:jc w:val="center"/>
              <w:rPr>
                <w:b/>
              </w:rPr>
            </w:pPr>
            <w:r>
              <w:rPr>
                <w:b/>
              </w:rPr>
              <w:t>Galcanezumab</w:t>
            </w:r>
          </w:p>
        </w:tc>
        <w:tc>
          <w:tcPr>
            <w:tcW w:w="1696" w:type="dxa"/>
            <w:shd w:val="clear" w:color="auto" w:fill="auto"/>
            <w:vAlign w:val="center"/>
          </w:tcPr>
          <w:p w:rsidR="0072310B" w:rsidRDefault="00783925">
            <w:pPr>
              <w:pStyle w:val="Tabletext"/>
              <w:jc w:val="center"/>
              <w:rPr>
                <w:b/>
              </w:rPr>
            </w:pPr>
            <w:r>
              <w:rPr>
                <w:b/>
              </w:rPr>
              <w:t>Placebo</w:t>
            </w:r>
          </w:p>
        </w:tc>
        <w:tc>
          <w:tcPr>
            <w:tcW w:w="1487" w:type="dxa"/>
            <w:shd w:val="clear" w:color="auto" w:fill="auto"/>
            <w:vAlign w:val="center"/>
          </w:tcPr>
          <w:p w:rsidR="0072310B" w:rsidRDefault="00783925">
            <w:pPr>
              <w:pStyle w:val="Tabletext"/>
              <w:jc w:val="center"/>
              <w:rPr>
                <w:b/>
              </w:rPr>
            </w:pPr>
            <w:r>
              <w:rPr>
                <w:b/>
              </w:rPr>
              <w:t>Botox</w:t>
            </w:r>
          </w:p>
        </w:tc>
        <w:tc>
          <w:tcPr>
            <w:tcW w:w="2384" w:type="dxa"/>
            <w:vMerge/>
            <w:shd w:val="clear" w:color="auto" w:fill="auto"/>
            <w:vAlign w:val="center"/>
          </w:tcPr>
          <w:p w:rsidR="0072310B" w:rsidRDefault="0072310B">
            <w:pPr>
              <w:pStyle w:val="Tabletext"/>
              <w:jc w:val="center"/>
            </w:pPr>
          </w:p>
        </w:tc>
      </w:tr>
      <w:tr w:rsidR="0072310B" w:rsidTr="005E1C57">
        <w:trPr>
          <w:jc w:val="center"/>
        </w:trPr>
        <w:tc>
          <w:tcPr>
            <w:tcW w:w="9017" w:type="dxa"/>
            <w:gridSpan w:val="5"/>
            <w:shd w:val="clear" w:color="auto" w:fill="auto"/>
            <w:vAlign w:val="center"/>
          </w:tcPr>
          <w:p w:rsidR="0072310B" w:rsidRDefault="00783925">
            <w:pPr>
              <w:pStyle w:val="Tabletext"/>
              <w:rPr>
                <w:b/>
              </w:rPr>
            </w:pPr>
            <w:r>
              <w:rPr>
                <w:b/>
              </w:rPr>
              <w:t>ITT population</w:t>
            </w:r>
          </w:p>
        </w:tc>
      </w:tr>
      <w:tr w:rsidR="0072310B" w:rsidTr="005E1C57">
        <w:trPr>
          <w:jc w:val="center"/>
        </w:trPr>
        <w:tc>
          <w:tcPr>
            <w:tcW w:w="1576" w:type="dxa"/>
            <w:shd w:val="clear" w:color="auto" w:fill="auto"/>
            <w:vAlign w:val="center"/>
          </w:tcPr>
          <w:p w:rsidR="0072310B" w:rsidRDefault="00783925">
            <w:pPr>
              <w:pStyle w:val="Tabletext"/>
            </w:pPr>
            <w:r>
              <w:t xml:space="preserve">REGAIN </w:t>
            </w:r>
          </w:p>
          <w:p w:rsidR="0072310B" w:rsidRDefault="00783925">
            <w:pPr>
              <w:pStyle w:val="Tabletext"/>
            </w:pPr>
            <w:r>
              <w:t>(12 weeks)</w:t>
            </w:r>
          </w:p>
        </w:tc>
        <w:tc>
          <w:tcPr>
            <w:tcW w:w="1874" w:type="dxa"/>
            <w:shd w:val="clear" w:color="auto" w:fill="auto"/>
            <w:vAlign w:val="center"/>
          </w:tcPr>
          <w:p w:rsidR="0072310B" w:rsidRDefault="00783925">
            <w:pPr>
              <w:pStyle w:val="Tabletext"/>
              <w:jc w:val="center"/>
            </w:pPr>
            <w:r>
              <w:t>90/256 (35.2%)</w:t>
            </w:r>
          </w:p>
        </w:tc>
        <w:tc>
          <w:tcPr>
            <w:tcW w:w="1696" w:type="dxa"/>
            <w:shd w:val="clear" w:color="auto" w:fill="auto"/>
            <w:vAlign w:val="center"/>
          </w:tcPr>
          <w:p w:rsidR="0072310B" w:rsidRDefault="00783925">
            <w:pPr>
              <w:pStyle w:val="Tabletext"/>
              <w:jc w:val="center"/>
            </w:pPr>
            <w:r>
              <w:t>123/498 (24.7%)</w:t>
            </w:r>
          </w:p>
        </w:tc>
        <w:tc>
          <w:tcPr>
            <w:tcW w:w="1487" w:type="dxa"/>
            <w:shd w:val="clear" w:color="auto" w:fill="auto"/>
            <w:vAlign w:val="center"/>
          </w:tcPr>
          <w:p w:rsidR="0072310B" w:rsidRDefault="00783925">
            <w:pPr>
              <w:pStyle w:val="Tabletext"/>
              <w:jc w:val="center"/>
            </w:pPr>
            <w:r>
              <w:t>-</w:t>
            </w:r>
          </w:p>
        </w:tc>
        <w:tc>
          <w:tcPr>
            <w:tcW w:w="2384" w:type="dxa"/>
            <w:shd w:val="clear" w:color="auto" w:fill="auto"/>
            <w:vAlign w:val="center"/>
          </w:tcPr>
          <w:p w:rsidR="0072310B" w:rsidRDefault="00783925">
            <w:pPr>
              <w:pStyle w:val="Tabletext"/>
              <w:jc w:val="center"/>
              <w:rPr>
                <w:b/>
              </w:rPr>
            </w:pPr>
            <w:r>
              <w:rPr>
                <w:b/>
              </w:rPr>
              <w:t>1.65 (1.19, 2.29)</w:t>
            </w:r>
          </w:p>
        </w:tc>
      </w:tr>
      <w:tr w:rsidR="0072310B" w:rsidTr="005E1C57">
        <w:trPr>
          <w:jc w:val="center"/>
        </w:trPr>
        <w:tc>
          <w:tcPr>
            <w:tcW w:w="1576" w:type="dxa"/>
            <w:shd w:val="clear" w:color="auto" w:fill="auto"/>
            <w:vAlign w:val="center"/>
          </w:tcPr>
          <w:p w:rsidR="0072310B" w:rsidRDefault="00783925">
            <w:pPr>
              <w:pStyle w:val="Tabletext"/>
            </w:pPr>
            <w:r>
              <w:t>Pooled PREEMPT trials (24 weeks)</w:t>
            </w:r>
          </w:p>
        </w:tc>
        <w:tc>
          <w:tcPr>
            <w:tcW w:w="1874" w:type="dxa"/>
            <w:shd w:val="clear" w:color="auto" w:fill="auto"/>
            <w:vAlign w:val="center"/>
          </w:tcPr>
          <w:p w:rsidR="0072310B" w:rsidRDefault="00783925">
            <w:pPr>
              <w:pStyle w:val="Tabletext"/>
              <w:jc w:val="center"/>
            </w:pPr>
            <w:r>
              <w:t>-</w:t>
            </w:r>
          </w:p>
        </w:tc>
        <w:tc>
          <w:tcPr>
            <w:tcW w:w="1696" w:type="dxa"/>
            <w:shd w:val="clear" w:color="auto" w:fill="auto"/>
            <w:vAlign w:val="center"/>
          </w:tcPr>
          <w:p w:rsidR="0072310B" w:rsidRDefault="00783925">
            <w:pPr>
              <w:pStyle w:val="Tabletext"/>
              <w:jc w:val="center"/>
            </w:pPr>
            <w:r>
              <w:t>202/555 (36.4%)</w:t>
            </w:r>
          </w:p>
        </w:tc>
        <w:tc>
          <w:tcPr>
            <w:tcW w:w="1487" w:type="dxa"/>
            <w:shd w:val="clear" w:color="auto" w:fill="auto"/>
            <w:vAlign w:val="center"/>
          </w:tcPr>
          <w:p w:rsidR="0072310B" w:rsidRDefault="00783925">
            <w:pPr>
              <w:pStyle w:val="Tabletext"/>
              <w:jc w:val="center"/>
            </w:pPr>
            <w:r>
              <w:t>260/539 (48.2%)</w:t>
            </w:r>
          </w:p>
        </w:tc>
        <w:tc>
          <w:tcPr>
            <w:tcW w:w="2384" w:type="dxa"/>
            <w:shd w:val="clear" w:color="auto" w:fill="auto"/>
            <w:vAlign w:val="center"/>
          </w:tcPr>
          <w:p w:rsidR="0072310B" w:rsidRDefault="00783925">
            <w:pPr>
              <w:pStyle w:val="Tabletext"/>
              <w:jc w:val="center"/>
              <w:rPr>
                <w:b/>
              </w:rPr>
            </w:pPr>
            <w:r>
              <w:rPr>
                <w:b/>
              </w:rPr>
              <w:t>1.62 (1.19, 2.21)</w:t>
            </w:r>
            <w:r>
              <w:rPr>
                <w:b/>
                <w:vertAlign w:val="superscript"/>
              </w:rPr>
              <w:t>a</w:t>
            </w:r>
          </w:p>
        </w:tc>
      </w:tr>
      <w:tr w:rsidR="0072310B" w:rsidTr="005E1C57">
        <w:trPr>
          <w:jc w:val="center"/>
        </w:trPr>
        <w:tc>
          <w:tcPr>
            <w:tcW w:w="6633" w:type="dxa"/>
            <w:gridSpan w:val="4"/>
            <w:shd w:val="clear" w:color="auto" w:fill="auto"/>
            <w:vAlign w:val="center"/>
          </w:tcPr>
          <w:p w:rsidR="0072310B" w:rsidRDefault="00783925">
            <w:pPr>
              <w:pStyle w:val="Tabletext"/>
              <w:jc w:val="right"/>
            </w:pPr>
            <w:r>
              <w:t>Indirect comparison</w:t>
            </w:r>
          </w:p>
        </w:tc>
        <w:tc>
          <w:tcPr>
            <w:tcW w:w="2384" w:type="dxa"/>
            <w:shd w:val="clear" w:color="auto" w:fill="auto"/>
            <w:vAlign w:val="center"/>
          </w:tcPr>
          <w:p w:rsidR="0072310B" w:rsidRDefault="00783925">
            <w:pPr>
              <w:pStyle w:val="Tabletext"/>
              <w:jc w:val="center"/>
            </w:pPr>
            <w:r>
              <w:t>1.02 (0.65, 1.6)</w:t>
            </w:r>
          </w:p>
        </w:tc>
      </w:tr>
    </w:tbl>
    <w:p w:rsidR="0072310B" w:rsidRDefault="00783925">
      <w:pPr>
        <w:pStyle w:val="TableFooter"/>
        <w:tabs>
          <w:tab w:val="left" w:pos="142"/>
        </w:tabs>
        <w:ind w:left="142" w:hanging="142"/>
      </w:pPr>
      <w:r>
        <w:rPr>
          <w:vertAlign w:val="superscript"/>
        </w:rPr>
        <w:t>a</w:t>
      </w:r>
      <w:r>
        <w:tab/>
        <w:t>The Botox – placebo differences reported here were based on a meta-analysis conducted by the submission instead of the values reported in the PREEMPT trial publications.</w:t>
      </w:r>
    </w:p>
    <w:p w:rsidR="0072310B" w:rsidRDefault="00783925">
      <w:pPr>
        <w:pStyle w:val="TableFooter"/>
      </w:pPr>
      <w:r>
        <w:t xml:space="preserve">CI=confidence interval; OR=odds ratio; </w:t>
      </w:r>
      <w:r>
        <w:rPr>
          <w:b/>
        </w:rPr>
        <w:t>bold</w:t>
      </w:r>
      <w:r>
        <w:t>=statistically significant</w:t>
      </w:r>
    </w:p>
    <w:p w:rsidR="0072310B" w:rsidRDefault="00783925">
      <w:pPr>
        <w:pStyle w:val="TableFooter"/>
        <w:spacing w:after="240"/>
      </w:pPr>
      <w:r>
        <w:t>Source: Table 2.6.11, p100 of the submission.</w:t>
      </w:r>
    </w:p>
    <w:p w:rsidR="0072310B" w:rsidRDefault="00783925">
      <w:pPr>
        <w:pStyle w:val="ListParagraph"/>
        <w:numPr>
          <w:ilvl w:val="1"/>
          <w:numId w:val="3"/>
        </w:numPr>
        <w:spacing w:after="120"/>
      </w:pPr>
      <w:r>
        <w:t>The indirect comparison showed no statistically significant difference between galcanezumab and Botox for proportion of patients with ≥50% reduction in migraine headache days.</w:t>
      </w:r>
    </w:p>
    <w:p w:rsidR="0072310B" w:rsidRDefault="00783925">
      <w:pPr>
        <w:spacing w:after="240"/>
      </w:pPr>
      <w:r>
        <w:rPr>
          <w:u w:val="single"/>
        </w:rPr>
        <w:t>Indirect comparison: galcanezumab versus erenumab</w:t>
      </w:r>
    </w:p>
    <w:p w:rsidR="0072310B" w:rsidRDefault="00783925">
      <w:pPr>
        <w:pStyle w:val="ListParagraph"/>
        <w:numPr>
          <w:ilvl w:val="1"/>
          <w:numId w:val="3"/>
        </w:numPr>
        <w:spacing w:after="120"/>
      </w:pPr>
      <w:r>
        <w:t>The tables below provide the results of the indirect comparison of galcanezumab and erenumab for change from baseline in migraine headache days and the proportion of patients with ≥50% reduction in migraine headache days in the ITT and the treatment failure subgroup populations.</w:t>
      </w:r>
    </w:p>
    <w:p w:rsidR="005E1C57" w:rsidRPr="005E1C57" w:rsidRDefault="005E1C57" w:rsidP="005E1C57">
      <w:pPr>
        <w:pStyle w:val="Caption"/>
        <w:keepNext/>
        <w:spacing w:after="0"/>
        <w:rPr>
          <w:rStyle w:val="CommentReference"/>
        </w:rPr>
      </w:pPr>
      <w:r w:rsidRPr="005E1C57">
        <w:rPr>
          <w:rStyle w:val="CommentReference"/>
        </w:rPr>
        <w:t xml:space="preserve">Table </w:t>
      </w:r>
      <w:r w:rsidRPr="005E1C57">
        <w:rPr>
          <w:rStyle w:val="CommentReference"/>
        </w:rPr>
        <w:fldChar w:fldCharType="begin"/>
      </w:r>
      <w:r w:rsidRPr="005E1C57">
        <w:rPr>
          <w:rStyle w:val="CommentReference"/>
        </w:rPr>
        <w:instrText xml:space="preserve"> SEQ Table \* ARABIC </w:instrText>
      </w:r>
      <w:r w:rsidRPr="005E1C57">
        <w:rPr>
          <w:rStyle w:val="CommentReference"/>
        </w:rPr>
        <w:fldChar w:fldCharType="separate"/>
      </w:r>
      <w:r w:rsidR="00CD46F2">
        <w:rPr>
          <w:rStyle w:val="CommentReference"/>
          <w:noProof/>
        </w:rPr>
        <w:t>8</w:t>
      </w:r>
      <w:r w:rsidRPr="005E1C57">
        <w:rPr>
          <w:rStyle w:val="CommentReference"/>
        </w:rPr>
        <w:fldChar w:fldCharType="end"/>
      </w:r>
      <w:r w:rsidRPr="005E1C57">
        <w:rPr>
          <w:rStyle w:val="CommentReference"/>
        </w:rPr>
        <w:t>: Indirect comparison of galcanezumab and erenumab – ITT population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Indirect comparison of galcanezumab and erenumab – ITT population"/>
      </w:tblPr>
      <w:tblGrid>
        <w:gridCol w:w="1603"/>
        <w:gridCol w:w="1733"/>
        <w:gridCol w:w="1905"/>
        <w:gridCol w:w="1566"/>
        <w:gridCol w:w="2210"/>
      </w:tblGrid>
      <w:tr w:rsidR="0072310B" w:rsidTr="005E1C57">
        <w:trPr>
          <w:tblHeader/>
          <w:jc w:val="center"/>
        </w:trPr>
        <w:tc>
          <w:tcPr>
            <w:tcW w:w="1603" w:type="dxa"/>
            <w:vMerge w:val="restart"/>
            <w:shd w:val="clear" w:color="auto" w:fill="auto"/>
            <w:vAlign w:val="center"/>
          </w:tcPr>
          <w:p w:rsidR="0072310B" w:rsidRDefault="00783925">
            <w:pPr>
              <w:pStyle w:val="Tabletext"/>
              <w:keepNext/>
              <w:rPr>
                <w:b/>
              </w:rPr>
            </w:pPr>
            <w:r>
              <w:rPr>
                <w:b/>
              </w:rPr>
              <w:t>Trial</w:t>
            </w:r>
          </w:p>
        </w:tc>
        <w:tc>
          <w:tcPr>
            <w:tcW w:w="5204" w:type="dxa"/>
            <w:gridSpan w:val="3"/>
            <w:shd w:val="clear" w:color="auto" w:fill="auto"/>
            <w:vAlign w:val="center"/>
          </w:tcPr>
          <w:p w:rsidR="0072310B" w:rsidRDefault="00783925">
            <w:pPr>
              <w:pStyle w:val="Tabletext"/>
              <w:keepNext/>
              <w:jc w:val="center"/>
              <w:rPr>
                <w:b/>
              </w:rPr>
            </w:pPr>
            <w:r>
              <w:rPr>
                <w:b/>
              </w:rPr>
              <w:t>Mean change from baseline (SE) in migraine headache days</w:t>
            </w:r>
          </w:p>
        </w:tc>
        <w:tc>
          <w:tcPr>
            <w:tcW w:w="2210" w:type="dxa"/>
            <w:vMerge w:val="restart"/>
            <w:shd w:val="clear" w:color="auto" w:fill="auto"/>
            <w:vAlign w:val="center"/>
          </w:tcPr>
          <w:p w:rsidR="0072310B" w:rsidRDefault="00783925">
            <w:pPr>
              <w:pStyle w:val="Tabletext"/>
              <w:keepNext/>
              <w:jc w:val="center"/>
              <w:rPr>
                <w:b/>
              </w:rPr>
            </w:pPr>
            <w:r>
              <w:rPr>
                <w:b/>
              </w:rPr>
              <w:t xml:space="preserve">Mean difference </w:t>
            </w:r>
          </w:p>
          <w:p w:rsidR="0072310B" w:rsidRDefault="00783925">
            <w:pPr>
              <w:pStyle w:val="Tabletext"/>
              <w:keepNext/>
              <w:jc w:val="center"/>
              <w:rPr>
                <w:b/>
              </w:rPr>
            </w:pPr>
            <w:r>
              <w:rPr>
                <w:b/>
              </w:rPr>
              <w:t>(95% CI)</w:t>
            </w:r>
          </w:p>
        </w:tc>
      </w:tr>
      <w:tr w:rsidR="0072310B" w:rsidTr="005E1C57">
        <w:trPr>
          <w:tblHeader/>
          <w:jc w:val="center"/>
        </w:trPr>
        <w:tc>
          <w:tcPr>
            <w:tcW w:w="1603" w:type="dxa"/>
            <w:vMerge/>
            <w:shd w:val="clear" w:color="auto" w:fill="auto"/>
            <w:vAlign w:val="center"/>
          </w:tcPr>
          <w:p w:rsidR="0072310B" w:rsidRDefault="0072310B">
            <w:pPr>
              <w:pStyle w:val="Tabletext"/>
            </w:pPr>
          </w:p>
        </w:tc>
        <w:tc>
          <w:tcPr>
            <w:tcW w:w="1733" w:type="dxa"/>
            <w:shd w:val="clear" w:color="auto" w:fill="auto"/>
            <w:vAlign w:val="center"/>
          </w:tcPr>
          <w:p w:rsidR="0072310B" w:rsidRDefault="00783925">
            <w:pPr>
              <w:pStyle w:val="Tabletext"/>
              <w:jc w:val="center"/>
              <w:rPr>
                <w:b/>
              </w:rPr>
            </w:pPr>
            <w:r>
              <w:rPr>
                <w:b/>
              </w:rPr>
              <w:t>Galcanezumab</w:t>
            </w:r>
          </w:p>
        </w:tc>
        <w:tc>
          <w:tcPr>
            <w:tcW w:w="1905" w:type="dxa"/>
            <w:shd w:val="clear" w:color="auto" w:fill="auto"/>
            <w:vAlign w:val="center"/>
          </w:tcPr>
          <w:p w:rsidR="0072310B" w:rsidRDefault="00783925">
            <w:pPr>
              <w:pStyle w:val="Tabletext"/>
              <w:jc w:val="center"/>
              <w:rPr>
                <w:b/>
              </w:rPr>
            </w:pPr>
            <w:r>
              <w:rPr>
                <w:b/>
              </w:rPr>
              <w:t>Placebo</w:t>
            </w:r>
          </w:p>
        </w:tc>
        <w:tc>
          <w:tcPr>
            <w:tcW w:w="1566" w:type="dxa"/>
            <w:shd w:val="clear" w:color="auto" w:fill="auto"/>
            <w:vAlign w:val="center"/>
          </w:tcPr>
          <w:p w:rsidR="0072310B" w:rsidRDefault="00783925">
            <w:pPr>
              <w:pStyle w:val="Tabletext"/>
              <w:jc w:val="center"/>
              <w:rPr>
                <w:b/>
              </w:rPr>
            </w:pPr>
            <w:r>
              <w:rPr>
                <w:b/>
              </w:rPr>
              <w:t>Erenumab</w:t>
            </w:r>
          </w:p>
        </w:tc>
        <w:tc>
          <w:tcPr>
            <w:tcW w:w="2210" w:type="dxa"/>
            <w:vMerge/>
            <w:shd w:val="clear" w:color="auto" w:fill="auto"/>
            <w:vAlign w:val="center"/>
          </w:tcPr>
          <w:p w:rsidR="0072310B" w:rsidRDefault="0072310B">
            <w:pPr>
              <w:pStyle w:val="Tabletext"/>
              <w:jc w:val="center"/>
            </w:pPr>
          </w:p>
        </w:tc>
      </w:tr>
      <w:tr w:rsidR="0072310B" w:rsidTr="005E1C57">
        <w:trPr>
          <w:jc w:val="center"/>
        </w:trPr>
        <w:tc>
          <w:tcPr>
            <w:tcW w:w="1603" w:type="dxa"/>
            <w:shd w:val="clear" w:color="auto" w:fill="auto"/>
            <w:vAlign w:val="center"/>
          </w:tcPr>
          <w:p w:rsidR="0072310B" w:rsidRDefault="00783925">
            <w:pPr>
              <w:pStyle w:val="Tabletext"/>
            </w:pPr>
            <w:r>
              <w:t xml:space="preserve">REGAIN </w:t>
            </w:r>
          </w:p>
          <w:p w:rsidR="0072310B" w:rsidRDefault="00783925">
            <w:pPr>
              <w:pStyle w:val="Tabletext"/>
            </w:pPr>
            <w:r>
              <w:t>(over 12 weeks)</w:t>
            </w:r>
          </w:p>
        </w:tc>
        <w:tc>
          <w:tcPr>
            <w:tcW w:w="1733" w:type="dxa"/>
            <w:shd w:val="clear" w:color="auto" w:fill="auto"/>
            <w:vAlign w:val="center"/>
          </w:tcPr>
          <w:p w:rsidR="0072310B" w:rsidRDefault="00783925">
            <w:pPr>
              <w:pStyle w:val="Tabletext"/>
              <w:jc w:val="center"/>
            </w:pPr>
            <w:r>
              <w:t>N=273</w:t>
            </w:r>
          </w:p>
          <w:p w:rsidR="0072310B" w:rsidRDefault="00783925">
            <w:pPr>
              <w:pStyle w:val="Tabletext"/>
              <w:jc w:val="center"/>
            </w:pPr>
            <w:r>
              <w:t>-4.8 (0.4)</w:t>
            </w:r>
          </w:p>
        </w:tc>
        <w:tc>
          <w:tcPr>
            <w:tcW w:w="1905" w:type="dxa"/>
            <w:shd w:val="clear" w:color="auto" w:fill="auto"/>
            <w:vAlign w:val="center"/>
          </w:tcPr>
          <w:p w:rsidR="0072310B" w:rsidRDefault="00783925">
            <w:pPr>
              <w:pStyle w:val="Tabletext"/>
              <w:jc w:val="center"/>
            </w:pPr>
            <w:r>
              <w:t>N=538</w:t>
            </w:r>
          </w:p>
          <w:p w:rsidR="0072310B" w:rsidRDefault="00783925">
            <w:pPr>
              <w:pStyle w:val="Tabletext"/>
              <w:jc w:val="center"/>
            </w:pPr>
            <w:r>
              <w:t>-2.7 (0.4)</w:t>
            </w:r>
          </w:p>
        </w:tc>
        <w:tc>
          <w:tcPr>
            <w:tcW w:w="1566" w:type="dxa"/>
            <w:shd w:val="clear" w:color="auto" w:fill="auto"/>
            <w:vAlign w:val="center"/>
          </w:tcPr>
          <w:p w:rsidR="0072310B" w:rsidRDefault="00783925">
            <w:pPr>
              <w:pStyle w:val="Tabletext"/>
              <w:jc w:val="center"/>
            </w:pPr>
            <w:r>
              <w:t>-</w:t>
            </w:r>
          </w:p>
        </w:tc>
        <w:tc>
          <w:tcPr>
            <w:tcW w:w="2210" w:type="dxa"/>
            <w:shd w:val="clear" w:color="auto" w:fill="auto"/>
            <w:vAlign w:val="center"/>
          </w:tcPr>
          <w:p w:rsidR="0072310B" w:rsidRDefault="00783925">
            <w:pPr>
              <w:pStyle w:val="Tabletext"/>
              <w:jc w:val="center"/>
              <w:rPr>
                <w:b/>
              </w:rPr>
            </w:pPr>
            <w:r>
              <w:rPr>
                <w:b/>
              </w:rPr>
              <w:t>-2.1 (-3.21, -0.99)</w:t>
            </w:r>
          </w:p>
        </w:tc>
      </w:tr>
      <w:tr w:rsidR="0072310B" w:rsidTr="005E1C57">
        <w:trPr>
          <w:jc w:val="center"/>
        </w:trPr>
        <w:tc>
          <w:tcPr>
            <w:tcW w:w="1603" w:type="dxa"/>
            <w:shd w:val="clear" w:color="auto" w:fill="auto"/>
            <w:vAlign w:val="center"/>
          </w:tcPr>
          <w:p w:rsidR="0072310B" w:rsidRDefault="00783925">
            <w:pPr>
              <w:pStyle w:val="Tabletext"/>
            </w:pPr>
            <w:r>
              <w:t>Study 295 (70 mg) (at 12 weeks)</w:t>
            </w:r>
          </w:p>
        </w:tc>
        <w:tc>
          <w:tcPr>
            <w:tcW w:w="1733" w:type="dxa"/>
            <w:shd w:val="clear" w:color="auto" w:fill="auto"/>
            <w:vAlign w:val="center"/>
          </w:tcPr>
          <w:p w:rsidR="0072310B" w:rsidRDefault="00783925">
            <w:pPr>
              <w:pStyle w:val="Tabletext"/>
              <w:jc w:val="center"/>
            </w:pPr>
            <w:r>
              <w:t>-</w:t>
            </w:r>
          </w:p>
        </w:tc>
        <w:tc>
          <w:tcPr>
            <w:tcW w:w="1905" w:type="dxa"/>
            <w:shd w:val="clear" w:color="auto" w:fill="auto"/>
            <w:vAlign w:val="center"/>
          </w:tcPr>
          <w:p w:rsidR="0072310B" w:rsidRDefault="00783925">
            <w:pPr>
              <w:pStyle w:val="Tabletext"/>
              <w:jc w:val="center"/>
            </w:pPr>
            <w:r>
              <w:t>N=281</w:t>
            </w:r>
          </w:p>
          <w:p w:rsidR="0072310B" w:rsidRDefault="00783925">
            <w:pPr>
              <w:pStyle w:val="Tabletext"/>
              <w:jc w:val="center"/>
            </w:pPr>
            <w:r>
              <w:t>-4.2 (0.4)</w:t>
            </w:r>
          </w:p>
        </w:tc>
        <w:tc>
          <w:tcPr>
            <w:tcW w:w="1566" w:type="dxa"/>
            <w:shd w:val="clear" w:color="auto" w:fill="auto"/>
            <w:vAlign w:val="center"/>
          </w:tcPr>
          <w:p w:rsidR="0072310B" w:rsidRDefault="00783925">
            <w:pPr>
              <w:pStyle w:val="Tabletext"/>
              <w:jc w:val="center"/>
            </w:pPr>
            <w:r>
              <w:t>N=188</w:t>
            </w:r>
          </w:p>
          <w:p w:rsidR="0072310B" w:rsidRDefault="00783925">
            <w:pPr>
              <w:pStyle w:val="Tabletext"/>
              <w:jc w:val="center"/>
            </w:pPr>
            <w:r>
              <w:t>-6.6 (0.4)</w:t>
            </w:r>
          </w:p>
        </w:tc>
        <w:tc>
          <w:tcPr>
            <w:tcW w:w="2210" w:type="dxa"/>
            <w:shd w:val="clear" w:color="auto" w:fill="auto"/>
            <w:vAlign w:val="center"/>
          </w:tcPr>
          <w:p w:rsidR="0072310B" w:rsidRDefault="00783925">
            <w:pPr>
              <w:pStyle w:val="Tabletext"/>
              <w:jc w:val="center"/>
              <w:rPr>
                <w:b/>
              </w:rPr>
            </w:pPr>
            <w:r>
              <w:rPr>
                <w:b/>
              </w:rPr>
              <w:t>-2.4 (-3.51, -1.29)</w:t>
            </w:r>
          </w:p>
        </w:tc>
      </w:tr>
      <w:tr w:rsidR="0072310B" w:rsidTr="005E1C57">
        <w:trPr>
          <w:jc w:val="center"/>
        </w:trPr>
        <w:tc>
          <w:tcPr>
            <w:tcW w:w="6807" w:type="dxa"/>
            <w:gridSpan w:val="4"/>
            <w:shd w:val="clear" w:color="auto" w:fill="auto"/>
            <w:vAlign w:val="center"/>
          </w:tcPr>
          <w:p w:rsidR="0072310B" w:rsidRDefault="00783925">
            <w:pPr>
              <w:pStyle w:val="Tabletext"/>
              <w:jc w:val="right"/>
              <w:rPr>
                <w:b/>
              </w:rPr>
            </w:pPr>
            <w:r>
              <w:rPr>
                <w:b/>
              </w:rPr>
              <w:t>Indirect comparison galcanezumab vs. erenumab 70 mg</w:t>
            </w:r>
          </w:p>
        </w:tc>
        <w:tc>
          <w:tcPr>
            <w:tcW w:w="2210" w:type="dxa"/>
            <w:shd w:val="clear" w:color="auto" w:fill="auto"/>
            <w:vAlign w:val="center"/>
          </w:tcPr>
          <w:p w:rsidR="0072310B" w:rsidRDefault="00783925">
            <w:pPr>
              <w:pStyle w:val="Tabletext"/>
              <w:jc w:val="center"/>
            </w:pPr>
            <w:r>
              <w:t>0.3 (-1.27, 1.87)</w:t>
            </w:r>
          </w:p>
        </w:tc>
      </w:tr>
      <w:tr w:rsidR="0072310B" w:rsidTr="005E1C57">
        <w:trPr>
          <w:jc w:val="center"/>
        </w:trPr>
        <w:tc>
          <w:tcPr>
            <w:tcW w:w="1603" w:type="dxa"/>
            <w:shd w:val="clear" w:color="auto" w:fill="auto"/>
            <w:vAlign w:val="center"/>
          </w:tcPr>
          <w:p w:rsidR="0072310B" w:rsidRDefault="00783925">
            <w:pPr>
              <w:pStyle w:val="Tabletext"/>
            </w:pPr>
            <w:r>
              <w:t>Study 295 (140 mg) (at 12 weeks)</w:t>
            </w:r>
          </w:p>
        </w:tc>
        <w:tc>
          <w:tcPr>
            <w:tcW w:w="1733" w:type="dxa"/>
            <w:shd w:val="clear" w:color="auto" w:fill="auto"/>
            <w:vAlign w:val="center"/>
          </w:tcPr>
          <w:p w:rsidR="0072310B" w:rsidRDefault="00783925">
            <w:pPr>
              <w:pStyle w:val="Tabletext"/>
              <w:jc w:val="center"/>
            </w:pPr>
            <w:r>
              <w:t>-</w:t>
            </w:r>
          </w:p>
        </w:tc>
        <w:tc>
          <w:tcPr>
            <w:tcW w:w="1905" w:type="dxa"/>
            <w:shd w:val="clear" w:color="auto" w:fill="auto"/>
            <w:vAlign w:val="center"/>
          </w:tcPr>
          <w:p w:rsidR="0072310B" w:rsidRDefault="00783925">
            <w:pPr>
              <w:pStyle w:val="Tabletext"/>
              <w:jc w:val="center"/>
            </w:pPr>
            <w:r>
              <w:t>N=281</w:t>
            </w:r>
          </w:p>
          <w:p w:rsidR="0072310B" w:rsidRDefault="00783925">
            <w:pPr>
              <w:pStyle w:val="Tabletext"/>
              <w:jc w:val="center"/>
            </w:pPr>
            <w:r>
              <w:t>-4.2 (0.4)</w:t>
            </w:r>
          </w:p>
        </w:tc>
        <w:tc>
          <w:tcPr>
            <w:tcW w:w="1566" w:type="dxa"/>
            <w:shd w:val="clear" w:color="auto" w:fill="auto"/>
            <w:vAlign w:val="center"/>
          </w:tcPr>
          <w:p w:rsidR="0072310B" w:rsidRDefault="00783925">
            <w:pPr>
              <w:pStyle w:val="Tabletext"/>
              <w:jc w:val="center"/>
            </w:pPr>
            <w:r>
              <w:t>N=187</w:t>
            </w:r>
          </w:p>
          <w:p w:rsidR="0072310B" w:rsidRDefault="00783925">
            <w:pPr>
              <w:pStyle w:val="Tabletext"/>
              <w:jc w:val="center"/>
            </w:pPr>
            <w:r>
              <w:t>-6.6 (0.4)</w:t>
            </w:r>
          </w:p>
        </w:tc>
        <w:tc>
          <w:tcPr>
            <w:tcW w:w="2210" w:type="dxa"/>
            <w:shd w:val="clear" w:color="auto" w:fill="auto"/>
            <w:vAlign w:val="center"/>
          </w:tcPr>
          <w:p w:rsidR="0072310B" w:rsidRDefault="00783925">
            <w:pPr>
              <w:pStyle w:val="Tabletext"/>
              <w:jc w:val="center"/>
              <w:rPr>
                <w:b/>
              </w:rPr>
            </w:pPr>
            <w:r>
              <w:rPr>
                <w:b/>
              </w:rPr>
              <w:t>-2.4 (-3.51, -1.29)</w:t>
            </w:r>
          </w:p>
        </w:tc>
      </w:tr>
      <w:tr w:rsidR="0072310B" w:rsidTr="005E1C57">
        <w:trPr>
          <w:jc w:val="center"/>
        </w:trPr>
        <w:tc>
          <w:tcPr>
            <w:tcW w:w="6807" w:type="dxa"/>
            <w:gridSpan w:val="4"/>
            <w:tcBorders>
              <w:bottom w:val="double" w:sz="4" w:space="0" w:color="auto"/>
            </w:tcBorders>
            <w:shd w:val="clear" w:color="auto" w:fill="auto"/>
            <w:vAlign w:val="center"/>
          </w:tcPr>
          <w:p w:rsidR="0072310B" w:rsidRDefault="00783925">
            <w:pPr>
              <w:pStyle w:val="Tabletext"/>
              <w:jc w:val="right"/>
              <w:rPr>
                <w:b/>
              </w:rPr>
            </w:pPr>
            <w:r>
              <w:rPr>
                <w:b/>
              </w:rPr>
              <w:t>Indirect comparison galcanezumab vs. erenumab 140mg</w:t>
            </w:r>
          </w:p>
        </w:tc>
        <w:tc>
          <w:tcPr>
            <w:tcW w:w="2210" w:type="dxa"/>
            <w:tcBorders>
              <w:bottom w:val="double" w:sz="4" w:space="0" w:color="auto"/>
            </w:tcBorders>
            <w:shd w:val="clear" w:color="auto" w:fill="auto"/>
            <w:vAlign w:val="center"/>
          </w:tcPr>
          <w:p w:rsidR="0072310B" w:rsidRDefault="00783925">
            <w:pPr>
              <w:pStyle w:val="Tabletext"/>
              <w:jc w:val="center"/>
            </w:pPr>
            <w:r>
              <w:t>0.3 (-1.27, 1.87)</w:t>
            </w:r>
          </w:p>
        </w:tc>
      </w:tr>
      <w:tr w:rsidR="0072310B" w:rsidTr="005E1C57">
        <w:trPr>
          <w:jc w:val="center"/>
        </w:trPr>
        <w:tc>
          <w:tcPr>
            <w:tcW w:w="1603" w:type="dxa"/>
            <w:vMerge w:val="restart"/>
            <w:tcBorders>
              <w:top w:val="double" w:sz="4" w:space="0" w:color="auto"/>
            </w:tcBorders>
            <w:shd w:val="clear" w:color="auto" w:fill="auto"/>
            <w:vAlign w:val="center"/>
          </w:tcPr>
          <w:p w:rsidR="0072310B" w:rsidRDefault="0072310B">
            <w:pPr>
              <w:pStyle w:val="Tabletext"/>
            </w:pPr>
          </w:p>
        </w:tc>
        <w:tc>
          <w:tcPr>
            <w:tcW w:w="5204" w:type="dxa"/>
            <w:gridSpan w:val="3"/>
            <w:tcBorders>
              <w:top w:val="double" w:sz="4" w:space="0" w:color="auto"/>
            </w:tcBorders>
            <w:shd w:val="clear" w:color="auto" w:fill="auto"/>
            <w:vAlign w:val="center"/>
          </w:tcPr>
          <w:p w:rsidR="0072310B" w:rsidRDefault="00783925">
            <w:pPr>
              <w:pStyle w:val="Tabletext"/>
              <w:jc w:val="center"/>
              <w:rPr>
                <w:b/>
              </w:rPr>
            </w:pPr>
            <w:r>
              <w:rPr>
                <w:b/>
              </w:rPr>
              <w:t xml:space="preserve">≥50% reduction in migraine headache days </w:t>
            </w:r>
          </w:p>
          <w:p w:rsidR="0072310B" w:rsidRDefault="00783925">
            <w:pPr>
              <w:pStyle w:val="Tabletext"/>
              <w:jc w:val="center"/>
              <w:rPr>
                <w:b/>
              </w:rPr>
            </w:pPr>
            <w:r>
              <w:rPr>
                <w:b/>
              </w:rPr>
              <w:t>n with event/N (%)</w:t>
            </w:r>
          </w:p>
        </w:tc>
        <w:tc>
          <w:tcPr>
            <w:tcW w:w="2210" w:type="dxa"/>
            <w:vMerge w:val="restart"/>
            <w:tcBorders>
              <w:top w:val="double" w:sz="4" w:space="0" w:color="auto"/>
            </w:tcBorders>
            <w:shd w:val="clear" w:color="auto" w:fill="auto"/>
            <w:vAlign w:val="center"/>
          </w:tcPr>
          <w:p w:rsidR="0072310B" w:rsidRDefault="00783925">
            <w:pPr>
              <w:pStyle w:val="Tabletext"/>
              <w:jc w:val="center"/>
              <w:rPr>
                <w:b/>
              </w:rPr>
            </w:pPr>
            <w:r>
              <w:rPr>
                <w:b/>
              </w:rPr>
              <w:t>Treatment effect</w:t>
            </w:r>
          </w:p>
          <w:p w:rsidR="0072310B" w:rsidRDefault="00783925">
            <w:pPr>
              <w:pStyle w:val="Tabletext"/>
              <w:jc w:val="center"/>
              <w:rPr>
                <w:b/>
              </w:rPr>
            </w:pPr>
            <w:r>
              <w:rPr>
                <w:b/>
              </w:rPr>
              <w:t>OR (95% CI)</w:t>
            </w:r>
          </w:p>
        </w:tc>
      </w:tr>
      <w:tr w:rsidR="0072310B" w:rsidTr="005E1C57">
        <w:trPr>
          <w:jc w:val="center"/>
        </w:trPr>
        <w:tc>
          <w:tcPr>
            <w:tcW w:w="1603" w:type="dxa"/>
            <w:vMerge/>
            <w:shd w:val="clear" w:color="auto" w:fill="auto"/>
            <w:vAlign w:val="center"/>
          </w:tcPr>
          <w:p w:rsidR="0072310B" w:rsidRDefault="0072310B">
            <w:pPr>
              <w:pStyle w:val="Tabletext"/>
            </w:pPr>
          </w:p>
        </w:tc>
        <w:tc>
          <w:tcPr>
            <w:tcW w:w="1733" w:type="dxa"/>
            <w:shd w:val="clear" w:color="auto" w:fill="auto"/>
            <w:vAlign w:val="center"/>
          </w:tcPr>
          <w:p w:rsidR="0072310B" w:rsidRDefault="00783925">
            <w:pPr>
              <w:pStyle w:val="Tabletext"/>
              <w:jc w:val="center"/>
            </w:pPr>
            <w:r>
              <w:rPr>
                <w:b/>
              </w:rPr>
              <w:t>Galcanezumab</w:t>
            </w:r>
          </w:p>
        </w:tc>
        <w:tc>
          <w:tcPr>
            <w:tcW w:w="1905" w:type="dxa"/>
            <w:shd w:val="clear" w:color="auto" w:fill="auto"/>
            <w:vAlign w:val="center"/>
          </w:tcPr>
          <w:p w:rsidR="0072310B" w:rsidRDefault="00783925">
            <w:pPr>
              <w:pStyle w:val="Tabletext"/>
              <w:jc w:val="center"/>
            </w:pPr>
            <w:r>
              <w:rPr>
                <w:b/>
              </w:rPr>
              <w:t>Placebo</w:t>
            </w:r>
          </w:p>
        </w:tc>
        <w:tc>
          <w:tcPr>
            <w:tcW w:w="1566" w:type="dxa"/>
            <w:shd w:val="clear" w:color="auto" w:fill="auto"/>
            <w:vAlign w:val="center"/>
          </w:tcPr>
          <w:p w:rsidR="0072310B" w:rsidRDefault="00783925">
            <w:pPr>
              <w:pStyle w:val="Tabletext"/>
              <w:jc w:val="center"/>
            </w:pPr>
            <w:r>
              <w:rPr>
                <w:b/>
              </w:rPr>
              <w:t>Erenumab</w:t>
            </w:r>
          </w:p>
        </w:tc>
        <w:tc>
          <w:tcPr>
            <w:tcW w:w="2210" w:type="dxa"/>
            <w:vMerge/>
            <w:shd w:val="clear" w:color="auto" w:fill="auto"/>
            <w:vAlign w:val="center"/>
          </w:tcPr>
          <w:p w:rsidR="0072310B" w:rsidRDefault="0072310B">
            <w:pPr>
              <w:pStyle w:val="Tabletext"/>
              <w:jc w:val="center"/>
              <w:rPr>
                <w:b/>
              </w:rPr>
            </w:pPr>
          </w:p>
        </w:tc>
      </w:tr>
      <w:tr w:rsidR="0072310B" w:rsidTr="005E1C57">
        <w:trPr>
          <w:jc w:val="center"/>
        </w:trPr>
        <w:tc>
          <w:tcPr>
            <w:tcW w:w="1603" w:type="dxa"/>
            <w:shd w:val="clear" w:color="auto" w:fill="auto"/>
            <w:vAlign w:val="center"/>
          </w:tcPr>
          <w:p w:rsidR="0072310B" w:rsidRDefault="00783925">
            <w:pPr>
              <w:pStyle w:val="Tabletext"/>
            </w:pPr>
            <w:r>
              <w:t xml:space="preserve">REGAIN </w:t>
            </w:r>
          </w:p>
          <w:p w:rsidR="0072310B" w:rsidRDefault="00783925">
            <w:pPr>
              <w:pStyle w:val="Tabletext"/>
            </w:pPr>
            <w:r>
              <w:t>(over 12 weeks)</w:t>
            </w:r>
          </w:p>
        </w:tc>
        <w:tc>
          <w:tcPr>
            <w:tcW w:w="1733" w:type="dxa"/>
            <w:shd w:val="clear" w:color="auto" w:fill="auto"/>
            <w:vAlign w:val="center"/>
          </w:tcPr>
          <w:p w:rsidR="0072310B" w:rsidRDefault="00783925">
            <w:pPr>
              <w:pStyle w:val="Tabletext"/>
              <w:jc w:val="center"/>
            </w:pPr>
            <w:r>
              <w:t>75/273 (27.5%)</w:t>
            </w:r>
          </w:p>
        </w:tc>
        <w:tc>
          <w:tcPr>
            <w:tcW w:w="1905" w:type="dxa"/>
            <w:shd w:val="clear" w:color="auto" w:fill="auto"/>
            <w:vAlign w:val="center"/>
          </w:tcPr>
          <w:p w:rsidR="0072310B" w:rsidRDefault="00783925">
            <w:pPr>
              <w:pStyle w:val="Tabletext"/>
              <w:jc w:val="center"/>
            </w:pPr>
            <w:r>
              <w:t>83/538 (15.4%)</w:t>
            </w:r>
          </w:p>
        </w:tc>
        <w:tc>
          <w:tcPr>
            <w:tcW w:w="1566" w:type="dxa"/>
            <w:shd w:val="clear" w:color="auto" w:fill="auto"/>
            <w:vAlign w:val="center"/>
          </w:tcPr>
          <w:p w:rsidR="0072310B" w:rsidRDefault="00783925">
            <w:pPr>
              <w:pStyle w:val="Tabletext"/>
              <w:jc w:val="center"/>
            </w:pPr>
            <w:r>
              <w:t>-</w:t>
            </w:r>
          </w:p>
        </w:tc>
        <w:tc>
          <w:tcPr>
            <w:tcW w:w="2210" w:type="dxa"/>
            <w:shd w:val="clear" w:color="auto" w:fill="auto"/>
            <w:vAlign w:val="center"/>
          </w:tcPr>
          <w:p w:rsidR="0072310B" w:rsidRDefault="00783925">
            <w:pPr>
              <w:pStyle w:val="Tabletext"/>
              <w:jc w:val="center"/>
              <w:rPr>
                <w:b/>
              </w:rPr>
            </w:pPr>
            <w:r>
              <w:rPr>
                <w:b/>
              </w:rPr>
              <w:t>2.08 (1.46, 2.96)</w:t>
            </w:r>
          </w:p>
        </w:tc>
      </w:tr>
      <w:tr w:rsidR="0072310B" w:rsidTr="005E1C57">
        <w:trPr>
          <w:jc w:val="center"/>
        </w:trPr>
        <w:tc>
          <w:tcPr>
            <w:tcW w:w="1603" w:type="dxa"/>
            <w:shd w:val="clear" w:color="auto" w:fill="auto"/>
            <w:vAlign w:val="center"/>
          </w:tcPr>
          <w:p w:rsidR="0072310B" w:rsidRDefault="00783925">
            <w:pPr>
              <w:pStyle w:val="Tabletext"/>
            </w:pPr>
            <w:r>
              <w:t>Study 295 (70 mg)</w:t>
            </w:r>
            <w:r w:rsidR="002535F9">
              <w:t xml:space="preserve"> </w:t>
            </w:r>
            <w:r>
              <w:t>(at 12 weeks)</w:t>
            </w:r>
          </w:p>
        </w:tc>
        <w:tc>
          <w:tcPr>
            <w:tcW w:w="1733" w:type="dxa"/>
            <w:shd w:val="clear" w:color="auto" w:fill="auto"/>
            <w:vAlign w:val="center"/>
          </w:tcPr>
          <w:p w:rsidR="0072310B" w:rsidRDefault="00783925">
            <w:pPr>
              <w:pStyle w:val="Tabletext"/>
              <w:jc w:val="center"/>
            </w:pPr>
            <w:r>
              <w:t>-</w:t>
            </w:r>
          </w:p>
        </w:tc>
        <w:tc>
          <w:tcPr>
            <w:tcW w:w="1905" w:type="dxa"/>
            <w:shd w:val="clear" w:color="auto" w:fill="auto"/>
            <w:vAlign w:val="center"/>
          </w:tcPr>
          <w:p w:rsidR="0072310B" w:rsidRDefault="00783925">
            <w:pPr>
              <w:pStyle w:val="Tabletext"/>
              <w:jc w:val="center"/>
            </w:pPr>
            <w:r>
              <w:t>66/281 (23.5%)</w:t>
            </w:r>
          </w:p>
        </w:tc>
        <w:tc>
          <w:tcPr>
            <w:tcW w:w="1566" w:type="dxa"/>
            <w:shd w:val="clear" w:color="auto" w:fill="auto"/>
            <w:vAlign w:val="center"/>
          </w:tcPr>
          <w:p w:rsidR="0072310B" w:rsidRDefault="00783925">
            <w:pPr>
              <w:pStyle w:val="Tabletext"/>
              <w:jc w:val="center"/>
            </w:pPr>
            <w:r>
              <w:t>75/188 (39.9%)</w:t>
            </w:r>
          </w:p>
        </w:tc>
        <w:tc>
          <w:tcPr>
            <w:tcW w:w="2210" w:type="dxa"/>
            <w:shd w:val="clear" w:color="auto" w:fill="auto"/>
            <w:vAlign w:val="center"/>
          </w:tcPr>
          <w:p w:rsidR="0072310B" w:rsidRDefault="00783925">
            <w:pPr>
              <w:pStyle w:val="Tabletext"/>
              <w:jc w:val="center"/>
              <w:rPr>
                <w:b/>
              </w:rPr>
            </w:pPr>
            <w:r>
              <w:rPr>
                <w:b/>
              </w:rPr>
              <w:t>2.16 (1.45, 3.23)</w:t>
            </w:r>
          </w:p>
        </w:tc>
      </w:tr>
      <w:tr w:rsidR="0072310B" w:rsidTr="005E1C57">
        <w:trPr>
          <w:jc w:val="center"/>
        </w:trPr>
        <w:tc>
          <w:tcPr>
            <w:tcW w:w="6807" w:type="dxa"/>
            <w:gridSpan w:val="4"/>
            <w:shd w:val="clear" w:color="auto" w:fill="auto"/>
            <w:vAlign w:val="center"/>
          </w:tcPr>
          <w:p w:rsidR="0072310B" w:rsidRDefault="00783925">
            <w:pPr>
              <w:pStyle w:val="Tabletext"/>
              <w:jc w:val="right"/>
              <w:rPr>
                <w:b/>
              </w:rPr>
            </w:pPr>
            <w:r>
              <w:rPr>
                <w:b/>
              </w:rPr>
              <w:t>Indirect comparison galcanezumab vs. erenumab 70 mg</w:t>
            </w:r>
          </w:p>
        </w:tc>
        <w:tc>
          <w:tcPr>
            <w:tcW w:w="2210" w:type="dxa"/>
            <w:shd w:val="clear" w:color="auto" w:fill="auto"/>
            <w:vAlign w:val="center"/>
          </w:tcPr>
          <w:p w:rsidR="0072310B" w:rsidRDefault="00783925">
            <w:pPr>
              <w:pStyle w:val="Tabletext"/>
              <w:jc w:val="center"/>
            </w:pPr>
            <w:r>
              <w:t>0.96 (0.56, 1.64)</w:t>
            </w:r>
          </w:p>
        </w:tc>
      </w:tr>
      <w:tr w:rsidR="0072310B" w:rsidTr="005E1C57">
        <w:trPr>
          <w:jc w:val="center"/>
        </w:trPr>
        <w:tc>
          <w:tcPr>
            <w:tcW w:w="1603" w:type="dxa"/>
            <w:shd w:val="clear" w:color="auto" w:fill="auto"/>
            <w:vAlign w:val="center"/>
          </w:tcPr>
          <w:p w:rsidR="0072310B" w:rsidRDefault="00783925">
            <w:pPr>
              <w:pStyle w:val="Tabletext"/>
            </w:pPr>
            <w:r>
              <w:t>Study 295 (140 mg)</w:t>
            </w:r>
            <w:r w:rsidR="002535F9">
              <w:t xml:space="preserve"> </w:t>
            </w:r>
            <w:r>
              <w:t>(at 12 weeks)</w:t>
            </w:r>
          </w:p>
        </w:tc>
        <w:tc>
          <w:tcPr>
            <w:tcW w:w="1733" w:type="dxa"/>
            <w:shd w:val="clear" w:color="auto" w:fill="auto"/>
            <w:vAlign w:val="center"/>
          </w:tcPr>
          <w:p w:rsidR="0072310B" w:rsidRDefault="0072310B">
            <w:pPr>
              <w:pStyle w:val="Tabletext"/>
              <w:jc w:val="center"/>
            </w:pPr>
          </w:p>
        </w:tc>
        <w:tc>
          <w:tcPr>
            <w:tcW w:w="1905" w:type="dxa"/>
            <w:shd w:val="clear" w:color="auto" w:fill="auto"/>
            <w:vAlign w:val="center"/>
          </w:tcPr>
          <w:p w:rsidR="0072310B" w:rsidRDefault="00783925">
            <w:pPr>
              <w:pStyle w:val="Tabletext"/>
              <w:jc w:val="center"/>
            </w:pPr>
            <w:r>
              <w:t>66/281 (23.5%)</w:t>
            </w:r>
          </w:p>
        </w:tc>
        <w:tc>
          <w:tcPr>
            <w:tcW w:w="1566" w:type="dxa"/>
            <w:shd w:val="clear" w:color="auto" w:fill="auto"/>
            <w:vAlign w:val="center"/>
          </w:tcPr>
          <w:p w:rsidR="0072310B" w:rsidRDefault="00783925">
            <w:pPr>
              <w:pStyle w:val="Tabletext"/>
              <w:jc w:val="center"/>
            </w:pPr>
            <w:r>
              <w:t>77/187 (41.2%)</w:t>
            </w:r>
          </w:p>
        </w:tc>
        <w:tc>
          <w:tcPr>
            <w:tcW w:w="2210" w:type="dxa"/>
            <w:shd w:val="clear" w:color="auto" w:fill="auto"/>
            <w:vAlign w:val="center"/>
          </w:tcPr>
          <w:p w:rsidR="0072310B" w:rsidRDefault="00783925">
            <w:pPr>
              <w:pStyle w:val="Tabletext"/>
              <w:jc w:val="center"/>
              <w:rPr>
                <w:b/>
              </w:rPr>
            </w:pPr>
            <w:r>
              <w:rPr>
                <w:b/>
              </w:rPr>
              <w:t>2.28 (1.53, 3.41)</w:t>
            </w:r>
          </w:p>
        </w:tc>
      </w:tr>
      <w:tr w:rsidR="0072310B" w:rsidTr="005E1C57">
        <w:trPr>
          <w:jc w:val="center"/>
        </w:trPr>
        <w:tc>
          <w:tcPr>
            <w:tcW w:w="6807" w:type="dxa"/>
            <w:gridSpan w:val="4"/>
            <w:shd w:val="clear" w:color="auto" w:fill="auto"/>
            <w:vAlign w:val="center"/>
          </w:tcPr>
          <w:p w:rsidR="0072310B" w:rsidRDefault="00783925">
            <w:pPr>
              <w:pStyle w:val="Tabletext"/>
              <w:jc w:val="right"/>
              <w:rPr>
                <w:b/>
              </w:rPr>
            </w:pPr>
            <w:r>
              <w:rPr>
                <w:b/>
              </w:rPr>
              <w:t>Indirect comparison galcanezumab vs. erenumab 140 mg</w:t>
            </w:r>
          </w:p>
        </w:tc>
        <w:tc>
          <w:tcPr>
            <w:tcW w:w="2210" w:type="dxa"/>
            <w:shd w:val="clear" w:color="auto" w:fill="auto"/>
            <w:vAlign w:val="center"/>
          </w:tcPr>
          <w:p w:rsidR="0072310B" w:rsidRDefault="00783925">
            <w:pPr>
              <w:pStyle w:val="Tabletext"/>
              <w:jc w:val="center"/>
            </w:pPr>
            <w:r>
              <w:t>0.91 (0.53, 1.55)</w:t>
            </w:r>
          </w:p>
        </w:tc>
      </w:tr>
    </w:tbl>
    <w:p w:rsidR="0072310B" w:rsidRDefault="00783925">
      <w:pPr>
        <w:pStyle w:val="TableFooter"/>
      </w:pPr>
      <w:r>
        <w:t xml:space="preserve">CI=confidence interval; OR=odds ratio; SE=standard error </w:t>
      </w:r>
      <w:r>
        <w:rPr>
          <w:b/>
        </w:rPr>
        <w:t>bold</w:t>
      </w:r>
      <w:r>
        <w:t>=statistically significant</w:t>
      </w:r>
    </w:p>
    <w:p w:rsidR="0072310B" w:rsidRDefault="00783925">
      <w:pPr>
        <w:pStyle w:val="TableFooter"/>
      </w:pPr>
      <w:r>
        <w:t>Source: Tables 1.4.3-1.4.6, p23-25 of Attachment 4.6 of the submission.</w:t>
      </w:r>
    </w:p>
    <w:p w:rsidR="0072310B" w:rsidRDefault="0072310B"/>
    <w:p w:rsidR="0072310B" w:rsidRDefault="0072310B">
      <w:pPr>
        <w:rPr>
          <w:rFonts w:ascii="Arial Narrow" w:hAnsi="Arial Narrow"/>
          <w:b/>
          <w:sz w:val="20"/>
          <w:szCs w:val="20"/>
        </w:rPr>
      </w:pPr>
    </w:p>
    <w:p w:rsidR="005E1C57" w:rsidRPr="005E1C57" w:rsidRDefault="005E1C57" w:rsidP="005E1C57">
      <w:pPr>
        <w:pStyle w:val="Caption"/>
        <w:keepNext/>
        <w:spacing w:after="0"/>
        <w:rPr>
          <w:rStyle w:val="CommentReference"/>
        </w:rPr>
      </w:pPr>
      <w:r w:rsidRPr="005E1C57">
        <w:rPr>
          <w:rStyle w:val="CommentReference"/>
        </w:rPr>
        <w:t xml:space="preserve">Table </w:t>
      </w:r>
      <w:r w:rsidRPr="005E1C57">
        <w:rPr>
          <w:rStyle w:val="CommentReference"/>
        </w:rPr>
        <w:fldChar w:fldCharType="begin"/>
      </w:r>
      <w:r w:rsidRPr="005E1C57">
        <w:rPr>
          <w:rStyle w:val="CommentReference"/>
        </w:rPr>
        <w:instrText xml:space="preserve"> SEQ Table \* ARABIC </w:instrText>
      </w:r>
      <w:r w:rsidRPr="005E1C57">
        <w:rPr>
          <w:rStyle w:val="CommentReference"/>
        </w:rPr>
        <w:fldChar w:fldCharType="separate"/>
      </w:r>
      <w:r w:rsidR="00CD46F2">
        <w:rPr>
          <w:rStyle w:val="CommentReference"/>
          <w:noProof/>
        </w:rPr>
        <w:t>9</w:t>
      </w:r>
      <w:r w:rsidRPr="005E1C57">
        <w:rPr>
          <w:rStyle w:val="CommentReference"/>
        </w:rPr>
        <w:fldChar w:fldCharType="end"/>
      </w:r>
      <w:r w:rsidRPr="005E1C57">
        <w:rPr>
          <w:rStyle w:val="CommentReference"/>
        </w:rPr>
        <w:t>: Indirect comparison of galcanezumab and erenumab – treatment failure subgroup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Indirect comparison of galcanezumab and erenumab – treatment failure subgroup"/>
      </w:tblPr>
      <w:tblGrid>
        <w:gridCol w:w="1604"/>
        <w:gridCol w:w="1732"/>
        <w:gridCol w:w="1905"/>
        <w:gridCol w:w="1565"/>
        <w:gridCol w:w="2211"/>
      </w:tblGrid>
      <w:tr w:rsidR="0072310B" w:rsidTr="005E1C57">
        <w:trPr>
          <w:tblHeader/>
          <w:jc w:val="center"/>
        </w:trPr>
        <w:tc>
          <w:tcPr>
            <w:tcW w:w="1604" w:type="dxa"/>
            <w:vMerge w:val="restart"/>
            <w:shd w:val="clear" w:color="auto" w:fill="auto"/>
            <w:vAlign w:val="center"/>
          </w:tcPr>
          <w:p w:rsidR="0072310B" w:rsidRDefault="00783925">
            <w:pPr>
              <w:pStyle w:val="Tabletext"/>
              <w:keepNext/>
              <w:rPr>
                <w:b/>
              </w:rPr>
            </w:pPr>
            <w:r>
              <w:rPr>
                <w:b/>
              </w:rPr>
              <w:t>Trial</w:t>
            </w:r>
          </w:p>
        </w:tc>
        <w:tc>
          <w:tcPr>
            <w:tcW w:w="5202" w:type="dxa"/>
            <w:gridSpan w:val="3"/>
            <w:shd w:val="clear" w:color="auto" w:fill="auto"/>
            <w:vAlign w:val="center"/>
          </w:tcPr>
          <w:p w:rsidR="0072310B" w:rsidRDefault="00783925">
            <w:pPr>
              <w:pStyle w:val="Tabletext"/>
              <w:keepNext/>
              <w:jc w:val="center"/>
              <w:rPr>
                <w:b/>
              </w:rPr>
            </w:pPr>
            <w:r>
              <w:rPr>
                <w:b/>
              </w:rPr>
              <w:t>Mean change from baseline (SE) in migraine headache days</w:t>
            </w:r>
          </w:p>
        </w:tc>
        <w:tc>
          <w:tcPr>
            <w:tcW w:w="2211" w:type="dxa"/>
            <w:vMerge w:val="restart"/>
            <w:shd w:val="clear" w:color="auto" w:fill="auto"/>
            <w:vAlign w:val="center"/>
          </w:tcPr>
          <w:p w:rsidR="0072310B" w:rsidRDefault="00783925">
            <w:pPr>
              <w:pStyle w:val="Tabletext"/>
              <w:keepNext/>
              <w:jc w:val="center"/>
              <w:rPr>
                <w:b/>
              </w:rPr>
            </w:pPr>
            <w:r>
              <w:rPr>
                <w:b/>
              </w:rPr>
              <w:t xml:space="preserve">Mean difference </w:t>
            </w:r>
          </w:p>
          <w:p w:rsidR="0072310B" w:rsidRDefault="00783925">
            <w:pPr>
              <w:pStyle w:val="Tabletext"/>
              <w:keepNext/>
              <w:jc w:val="center"/>
              <w:rPr>
                <w:b/>
              </w:rPr>
            </w:pPr>
            <w:r>
              <w:rPr>
                <w:b/>
              </w:rPr>
              <w:t>(95% CI)</w:t>
            </w:r>
          </w:p>
        </w:tc>
      </w:tr>
      <w:tr w:rsidR="0072310B" w:rsidTr="005E1C57">
        <w:trPr>
          <w:tblHeader/>
          <w:jc w:val="center"/>
        </w:trPr>
        <w:tc>
          <w:tcPr>
            <w:tcW w:w="1604" w:type="dxa"/>
            <w:vMerge/>
            <w:tcBorders>
              <w:bottom w:val="single" w:sz="4" w:space="0" w:color="auto"/>
            </w:tcBorders>
            <w:shd w:val="clear" w:color="auto" w:fill="auto"/>
            <w:vAlign w:val="center"/>
          </w:tcPr>
          <w:p w:rsidR="0072310B" w:rsidRDefault="0072310B">
            <w:pPr>
              <w:pStyle w:val="Tabletext"/>
            </w:pPr>
          </w:p>
        </w:tc>
        <w:tc>
          <w:tcPr>
            <w:tcW w:w="1732" w:type="dxa"/>
            <w:tcBorders>
              <w:bottom w:val="single" w:sz="4" w:space="0" w:color="auto"/>
            </w:tcBorders>
            <w:shd w:val="clear" w:color="auto" w:fill="auto"/>
            <w:vAlign w:val="center"/>
          </w:tcPr>
          <w:p w:rsidR="0072310B" w:rsidRDefault="00783925">
            <w:pPr>
              <w:pStyle w:val="Tabletext"/>
              <w:jc w:val="center"/>
              <w:rPr>
                <w:b/>
              </w:rPr>
            </w:pPr>
            <w:r>
              <w:rPr>
                <w:b/>
              </w:rPr>
              <w:t>Galcanezumab</w:t>
            </w:r>
          </w:p>
        </w:tc>
        <w:tc>
          <w:tcPr>
            <w:tcW w:w="1905" w:type="dxa"/>
            <w:tcBorders>
              <w:bottom w:val="single" w:sz="4" w:space="0" w:color="auto"/>
            </w:tcBorders>
            <w:shd w:val="clear" w:color="auto" w:fill="auto"/>
            <w:vAlign w:val="center"/>
          </w:tcPr>
          <w:p w:rsidR="0072310B" w:rsidRDefault="00783925">
            <w:pPr>
              <w:pStyle w:val="Tabletext"/>
              <w:jc w:val="center"/>
              <w:rPr>
                <w:b/>
              </w:rPr>
            </w:pPr>
            <w:r>
              <w:rPr>
                <w:b/>
              </w:rPr>
              <w:t>Placebo</w:t>
            </w:r>
          </w:p>
        </w:tc>
        <w:tc>
          <w:tcPr>
            <w:tcW w:w="1565" w:type="dxa"/>
            <w:tcBorders>
              <w:bottom w:val="single" w:sz="4" w:space="0" w:color="auto"/>
            </w:tcBorders>
            <w:shd w:val="clear" w:color="auto" w:fill="auto"/>
            <w:vAlign w:val="center"/>
          </w:tcPr>
          <w:p w:rsidR="0072310B" w:rsidRDefault="00783925">
            <w:pPr>
              <w:pStyle w:val="Tabletext"/>
              <w:jc w:val="center"/>
              <w:rPr>
                <w:b/>
              </w:rPr>
            </w:pPr>
            <w:r>
              <w:rPr>
                <w:b/>
              </w:rPr>
              <w:t>Erenumab</w:t>
            </w:r>
          </w:p>
        </w:tc>
        <w:tc>
          <w:tcPr>
            <w:tcW w:w="2211" w:type="dxa"/>
            <w:vMerge/>
            <w:tcBorders>
              <w:bottom w:val="single" w:sz="4" w:space="0" w:color="auto"/>
            </w:tcBorders>
            <w:shd w:val="clear" w:color="auto" w:fill="auto"/>
            <w:vAlign w:val="center"/>
          </w:tcPr>
          <w:p w:rsidR="0072310B" w:rsidRDefault="0072310B">
            <w:pPr>
              <w:pStyle w:val="Tabletext"/>
              <w:jc w:val="center"/>
            </w:pPr>
          </w:p>
        </w:tc>
      </w:tr>
      <w:tr w:rsidR="0072310B" w:rsidTr="005E1C57">
        <w:trPr>
          <w:jc w:val="center"/>
        </w:trPr>
        <w:tc>
          <w:tcPr>
            <w:tcW w:w="1604" w:type="dxa"/>
            <w:shd w:val="clear" w:color="auto" w:fill="auto"/>
            <w:vAlign w:val="center"/>
          </w:tcPr>
          <w:p w:rsidR="0072310B" w:rsidRDefault="00783925">
            <w:pPr>
              <w:pStyle w:val="Tabletext"/>
            </w:pPr>
            <w:r>
              <w:t xml:space="preserve">REGAIN </w:t>
            </w:r>
          </w:p>
          <w:p w:rsidR="0072310B" w:rsidRDefault="00783925">
            <w:pPr>
              <w:pStyle w:val="Tabletext"/>
            </w:pPr>
            <w:r>
              <w:t>(over 12 weeks)</w:t>
            </w:r>
          </w:p>
        </w:tc>
        <w:tc>
          <w:tcPr>
            <w:tcW w:w="1732" w:type="dxa"/>
            <w:shd w:val="clear" w:color="auto" w:fill="auto"/>
            <w:vAlign w:val="center"/>
          </w:tcPr>
          <w:p w:rsidR="0072310B" w:rsidRDefault="00783925">
            <w:pPr>
              <w:pStyle w:val="Tabletext"/>
              <w:jc w:val="center"/>
            </w:pPr>
            <w:r>
              <w:t>N=36</w:t>
            </w:r>
          </w:p>
          <w:p w:rsidR="0072310B" w:rsidRDefault="00783925">
            <w:pPr>
              <w:pStyle w:val="Tabletext"/>
              <w:jc w:val="center"/>
            </w:pPr>
            <w:r>
              <w:t>-5.6 (1.0)</w:t>
            </w:r>
          </w:p>
        </w:tc>
        <w:tc>
          <w:tcPr>
            <w:tcW w:w="1905" w:type="dxa"/>
            <w:shd w:val="clear" w:color="auto" w:fill="auto"/>
            <w:vAlign w:val="center"/>
          </w:tcPr>
          <w:p w:rsidR="0072310B" w:rsidRDefault="00783925">
            <w:pPr>
              <w:pStyle w:val="Tabletext"/>
              <w:jc w:val="center"/>
            </w:pPr>
            <w:r>
              <w:t>N=102</w:t>
            </w:r>
          </w:p>
          <w:p w:rsidR="0072310B" w:rsidRDefault="00783925">
            <w:pPr>
              <w:pStyle w:val="Tabletext"/>
              <w:jc w:val="center"/>
            </w:pPr>
            <w:r>
              <w:t>-0.4 (0.8)</w:t>
            </w:r>
          </w:p>
        </w:tc>
        <w:tc>
          <w:tcPr>
            <w:tcW w:w="1565" w:type="dxa"/>
            <w:shd w:val="clear" w:color="auto" w:fill="auto"/>
            <w:vAlign w:val="center"/>
          </w:tcPr>
          <w:p w:rsidR="0072310B" w:rsidRDefault="00783925">
            <w:pPr>
              <w:pStyle w:val="Tabletext"/>
              <w:jc w:val="center"/>
            </w:pPr>
            <w:r>
              <w:t>-</w:t>
            </w:r>
          </w:p>
        </w:tc>
        <w:tc>
          <w:tcPr>
            <w:tcW w:w="2211" w:type="dxa"/>
            <w:shd w:val="clear" w:color="auto" w:fill="auto"/>
            <w:vAlign w:val="center"/>
          </w:tcPr>
          <w:p w:rsidR="0072310B" w:rsidRDefault="00783925">
            <w:pPr>
              <w:pStyle w:val="Tabletext"/>
              <w:jc w:val="center"/>
              <w:rPr>
                <w:b/>
              </w:rPr>
            </w:pPr>
            <w:r>
              <w:rPr>
                <w:b/>
              </w:rPr>
              <w:t>-5.3 (-7.67, -2.83)</w:t>
            </w:r>
          </w:p>
        </w:tc>
      </w:tr>
      <w:tr w:rsidR="0072310B" w:rsidTr="005E1C57">
        <w:trPr>
          <w:jc w:val="center"/>
        </w:trPr>
        <w:tc>
          <w:tcPr>
            <w:tcW w:w="1604" w:type="dxa"/>
            <w:shd w:val="clear" w:color="auto" w:fill="auto"/>
            <w:vAlign w:val="center"/>
          </w:tcPr>
          <w:p w:rsidR="0072310B" w:rsidRDefault="00783925">
            <w:pPr>
              <w:pStyle w:val="Tabletext"/>
            </w:pPr>
            <w:r>
              <w:t>Study 295 (70 mg) (at 12 weeks)</w:t>
            </w:r>
          </w:p>
        </w:tc>
        <w:tc>
          <w:tcPr>
            <w:tcW w:w="1732" w:type="dxa"/>
            <w:shd w:val="clear" w:color="auto" w:fill="auto"/>
            <w:vAlign w:val="center"/>
          </w:tcPr>
          <w:p w:rsidR="0072310B" w:rsidRDefault="00783925">
            <w:pPr>
              <w:pStyle w:val="Tabletext"/>
              <w:jc w:val="center"/>
            </w:pPr>
            <w:r>
              <w:t>-</w:t>
            </w:r>
          </w:p>
        </w:tc>
        <w:tc>
          <w:tcPr>
            <w:tcW w:w="1905" w:type="dxa"/>
            <w:shd w:val="clear" w:color="auto" w:fill="auto"/>
            <w:vAlign w:val="center"/>
          </w:tcPr>
          <w:p w:rsidR="0072310B" w:rsidRDefault="00783925">
            <w:pPr>
              <w:pStyle w:val="Tabletext"/>
              <w:jc w:val="center"/>
            </w:pPr>
            <w:r>
              <w:t>NR</w:t>
            </w:r>
          </w:p>
        </w:tc>
        <w:tc>
          <w:tcPr>
            <w:tcW w:w="1565" w:type="dxa"/>
            <w:shd w:val="clear" w:color="auto" w:fill="auto"/>
            <w:vAlign w:val="center"/>
          </w:tcPr>
          <w:p w:rsidR="0072310B" w:rsidRDefault="00783925">
            <w:pPr>
              <w:pStyle w:val="Tabletext"/>
              <w:jc w:val="center"/>
            </w:pPr>
            <w:r>
              <w:t>N=NR</w:t>
            </w:r>
          </w:p>
          <w:p w:rsidR="0072310B" w:rsidRDefault="00783925">
            <w:pPr>
              <w:pStyle w:val="Tabletext"/>
              <w:jc w:val="center"/>
            </w:pPr>
            <w:r>
              <w:t>-2.5 (0.9)</w:t>
            </w:r>
          </w:p>
        </w:tc>
        <w:tc>
          <w:tcPr>
            <w:tcW w:w="2211" w:type="dxa"/>
            <w:shd w:val="clear" w:color="auto" w:fill="auto"/>
            <w:vAlign w:val="center"/>
          </w:tcPr>
          <w:p w:rsidR="0072310B" w:rsidRDefault="00783925">
            <w:pPr>
              <w:pStyle w:val="Tabletext"/>
              <w:jc w:val="center"/>
              <w:rPr>
                <w:b/>
              </w:rPr>
            </w:pPr>
            <w:r>
              <w:rPr>
                <w:b/>
              </w:rPr>
              <w:t>-2.5 (-4.25, -0.75)</w:t>
            </w:r>
          </w:p>
        </w:tc>
      </w:tr>
      <w:tr w:rsidR="0072310B" w:rsidTr="005E1C57">
        <w:trPr>
          <w:jc w:val="center"/>
        </w:trPr>
        <w:tc>
          <w:tcPr>
            <w:tcW w:w="6806" w:type="dxa"/>
            <w:gridSpan w:val="4"/>
            <w:shd w:val="clear" w:color="auto" w:fill="auto"/>
            <w:vAlign w:val="center"/>
          </w:tcPr>
          <w:p w:rsidR="0072310B" w:rsidRDefault="00783925">
            <w:pPr>
              <w:pStyle w:val="Tabletext"/>
              <w:jc w:val="right"/>
              <w:rPr>
                <w:b/>
              </w:rPr>
            </w:pPr>
            <w:r>
              <w:rPr>
                <w:b/>
              </w:rPr>
              <w:t>Indirect comparison galcanezumab vs. erenumab 70 mg</w:t>
            </w:r>
          </w:p>
        </w:tc>
        <w:tc>
          <w:tcPr>
            <w:tcW w:w="2211" w:type="dxa"/>
            <w:shd w:val="clear" w:color="auto" w:fill="auto"/>
            <w:vAlign w:val="center"/>
          </w:tcPr>
          <w:p w:rsidR="0072310B" w:rsidRDefault="00783925">
            <w:pPr>
              <w:pStyle w:val="Tabletext"/>
              <w:jc w:val="center"/>
            </w:pPr>
            <w:r>
              <w:t>-2.8 (-5.73, 0.23)</w:t>
            </w:r>
          </w:p>
        </w:tc>
      </w:tr>
      <w:tr w:rsidR="0072310B" w:rsidTr="005E1C57">
        <w:trPr>
          <w:jc w:val="center"/>
        </w:trPr>
        <w:tc>
          <w:tcPr>
            <w:tcW w:w="1604" w:type="dxa"/>
            <w:shd w:val="clear" w:color="auto" w:fill="auto"/>
            <w:vAlign w:val="center"/>
          </w:tcPr>
          <w:p w:rsidR="0072310B" w:rsidRDefault="00783925">
            <w:pPr>
              <w:pStyle w:val="Tabletext"/>
            </w:pPr>
            <w:r>
              <w:t>Study 295 (140 mg) (at 12 weeks)</w:t>
            </w:r>
          </w:p>
        </w:tc>
        <w:tc>
          <w:tcPr>
            <w:tcW w:w="1732" w:type="dxa"/>
            <w:shd w:val="clear" w:color="auto" w:fill="auto"/>
            <w:vAlign w:val="center"/>
          </w:tcPr>
          <w:p w:rsidR="0072310B" w:rsidRDefault="00783925">
            <w:pPr>
              <w:pStyle w:val="Tabletext"/>
              <w:jc w:val="center"/>
            </w:pPr>
            <w:r>
              <w:t>-</w:t>
            </w:r>
          </w:p>
        </w:tc>
        <w:tc>
          <w:tcPr>
            <w:tcW w:w="1905" w:type="dxa"/>
            <w:shd w:val="clear" w:color="auto" w:fill="auto"/>
            <w:vAlign w:val="center"/>
          </w:tcPr>
          <w:p w:rsidR="0072310B" w:rsidRDefault="00783925">
            <w:pPr>
              <w:pStyle w:val="Tabletext"/>
              <w:jc w:val="center"/>
            </w:pPr>
            <w:r>
              <w:t>NR</w:t>
            </w:r>
          </w:p>
        </w:tc>
        <w:tc>
          <w:tcPr>
            <w:tcW w:w="1565" w:type="dxa"/>
            <w:shd w:val="clear" w:color="auto" w:fill="auto"/>
            <w:vAlign w:val="center"/>
          </w:tcPr>
          <w:p w:rsidR="0072310B" w:rsidRDefault="00783925">
            <w:pPr>
              <w:pStyle w:val="Tabletext"/>
              <w:jc w:val="center"/>
            </w:pPr>
            <w:r>
              <w:t>N=NR</w:t>
            </w:r>
          </w:p>
          <w:p w:rsidR="0072310B" w:rsidRDefault="00783925">
            <w:pPr>
              <w:pStyle w:val="Tabletext"/>
              <w:jc w:val="center"/>
            </w:pPr>
            <w:r>
              <w:t>-4.1 (0.9)</w:t>
            </w:r>
          </w:p>
        </w:tc>
        <w:tc>
          <w:tcPr>
            <w:tcW w:w="2211" w:type="dxa"/>
            <w:shd w:val="clear" w:color="auto" w:fill="auto"/>
            <w:vAlign w:val="center"/>
          </w:tcPr>
          <w:p w:rsidR="0072310B" w:rsidRDefault="00783925">
            <w:pPr>
              <w:pStyle w:val="Tabletext"/>
              <w:jc w:val="center"/>
              <w:rPr>
                <w:b/>
              </w:rPr>
            </w:pPr>
            <w:r>
              <w:rPr>
                <w:b/>
              </w:rPr>
              <w:t>-4.1 (-5.85, -2.35)</w:t>
            </w:r>
          </w:p>
        </w:tc>
      </w:tr>
      <w:tr w:rsidR="0072310B" w:rsidTr="005E1C57">
        <w:trPr>
          <w:jc w:val="center"/>
        </w:trPr>
        <w:tc>
          <w:tcPr>
            <w:tcW w:w="6806" w:type="dxa"/>
            <w:gridSpan w:val="4"/>
            <w:tcBorders>
              <w:bottom w:val="double" w:sz="4" w:space="0" w:color="auto"/>
            </w:tcBorders>
            <w:shd w:val="clear" w:color="auto" w:fill="auto"/>
            <w:vAlign w:val="center"/>
          </w:tcPr>
          <w:p w:rsidR="0072310B" w:rsidRDefault="00783925">
            <w:pPr>
              <w:pStyle w:val="Tabletext"/>
              <w:jc w:val="right"/>
              <w:rPr>
                <w:b/>
              </w:rPr>
            </w:pPr>
            <w:r>
              <w:rPr>
                <w:b/>
              </w:rPr>
              <w:t>Indirect comparison galcanezumab vs. erenumab 140 mg</w:t>
            </w:r>
          </w:p>
        </w:tc>
        <w:tc>
          <w:tcPr>
            <w:tcW w:w="2211" w:type="dxa"/>
            <w:tcBorders>
              <w:bottom w:val="double" w:sz="4" w:space="0" w:color="auto"/>
            </w:tcBorders>
            <w:shd w:val="clear" w:color="auto" w:fill="auto"/>
            <w:vAlign w:val="center"/>
          </w:tcPr>
          <w:p w:rsidR="0072310B" w:rsidRDefault="00783925">
            <w:pPr>
              <w:pStyle w:val="Tabletext"/>
              <w:jc w:val="center"/>
            </w:pPr>
            <w:r>
              <w:t>-1.2 (-4.13, 1.83)</w:t>
            </w:r>
          </w:p>
        </w:tc>
      </w:tr>
      <w:tr w:rsidR="0072310B" w:rsidTr="005E1C57">
        <w:trPr>
          <w:jc w:val="center"/>
        </w:trPr>
        <w:tc>
          <w:tcPr>
            <w:tcW w:w="1604" w:type="dxa"/>
            <w:vMerge w:val="restart"/>
            <w:tcBorders>
              <w:top w:val="double" w:sz="4" w:space="0" w:color="auto"/>
            </w:tcBorders>
            <w:shd w:val="clear" w:color="auto" w:fill="auto"/>
            <w:vAlign w:val="center"/>
          </w:tcPr>
          <w:p w:rsidR="0072310B" w:rsidRDefault="0072310B">
            <w:pPr>
              <w:pStyle w:val="Tabletext"/>
            </w:pPr>
          </w:p>
        </w:tc>
        <w:tc>
          <w:tcPr>
            <w:tcW w:w="5202" w:type="dxa"/>
            <w:gridSpan w:val="3"/>
            <w:tcBorders>
              <w:top w:val="double" w:sz="4" w:space="0" w:color="auto"/>
            </w:tcBorders>
            <w:shd w:val="clear" w:color="auto" w:fill="auto"/>
            <w:vAlign w:val="center"/>
          </w:tcPr>
          <w:p w:rsidR="0072310B" w:rsidRDefault="00783925">
            <w:pPr>
              <w:pStyle w:val="Tabletext"/>
              <w:jc w:val="center"/>
              <w:rPr>
                <w:b/>
              </w:rPr>
            </w:pPr>
            <w:r>
              <w:rPr>
                <w:b/>
              </w:rPr>
              <w:t xml:space="preserve">≥50% reduction in migraine headache days </w:t>
            </w:r>
          </w:p>
          <w:p w:rsidR="0072310B" w:rsidRDefault="00783925">
            <w:pPr>
              <w:pStyle w:val="Tabletext"/>
              <w:jc w:val="center"/>
              <w:rPr>
                <w:b/>
              </w:rPr>
            </w:pPr>
            <w:r>
              <w:rPr>
                <w:b/>
              </w:rPr>
              <w:t>n with event/N (%)</w:t>
            </w:r>
          </w:p>
        </w:tc>
        <w:tc>
          <w:tcPr>
            <w:tcW w:w="2211" w:type="dxa"/>
            <w:vMerge w:val="restart"/>
            <w:tcBorders>
              <w:top w:val="double" w:sz="4" w:space="0" w:color="auto"/>
            </w:tcBorders>
            <w:shd w:val="clear" w:color="auto" w:fill="auto"/>
            <w:vAlign w:val="center"/>
          </w:tcPr>
          <w:p w:rsidR="0072310B" w:rsidRDefault="00783925">
            <w:pPr>
              <w:pStyle w:val="Tabletext"/>
              <w:jc w:val="center"/>
              <w:rPr>
                <w:b/>
              </w:rPr>
            </w:pPr>
            <w:r>
              <w:rPr>
                <w:b/>
              </w:rPr>
              <w:t>Treatment effect</w:t>
            </w:r>
          </w:p>
          <w:p w:rsidR="0072310B" w:rsidRDefault="00783925">
            <w:pPr>
              <w:pStyle w:val="Tabletext"/>
              <w:jc w:val="center"/>
              <w:rPr>
                <w:b/>
              </w:rPr>
            </w:pPr>
            <w:r>
              <w:rPr>
                <w:b/>
              </w:rPr>
              <w:t>OR (95% CI)</w:t>
            </w:r>
          </w:p>
        </w:tc>
      </w:tr>
      <w:tr w:rsidR="0072310B" w:rsidTr="005E1C57">
        <w:trPr>
          <w:jc w:val="center"/>
        </w:trPr>
        <w:tc>
          <w:tcPr>
            <w:tcW w:w="1604" w:type="dxa"/>
            <w:vMerge/>
            <w:shd w:val="clear" w:color="auto" w:fill="auto"/>
            <w:vAlign w:val="center"/>
          </w:tcPr>
          <w:p w:rsidR="0072310B" w:rsidRDefault="0072310B">
            <w:pPr>
              <w:pStyle w:val="Tabletext"/>
            </w:pPr>
          </w:p>
        </w:tc>
        <w:tc>
          <w:tcPr>
            <w:tcW w:w="1732" w:type="dxa"/>
            <w:shd w:val="clear" w:color="auto" w:fill="auto"/>
            <w:vAlign w:val="center"/>
          </w:tcPr>
          <w:p w:rsidR="0072310B" w:rsidRDefault="00783925">
            <w:pPr>
              <w:pStyle w:val="Tabletext"/>
              <w:jc w:val="center"/>
            </w:pPr>
            <w:r>
              <w:rPr>
                <w:b/>
              </w:rPr>
              <w:t>Galcanezumab</w:t>
            </w:r>
          </w:p>
        </w:tc>
        <w:tc>
          <w:tcPr>
            <w:tcW w:w="1905" w:type="dxa"/>
            <w:shd w:val="clear" w:color="auto" w:fill="auto"/>
            <w:vAlign w:val="center"/>
          </w:tcPr>
          <w:p w:rsidR="0072310B" w:rsidRDefault="00783925">
            <w:pPr>
              <w:pStyle w:val="Tabletext"/>
              <w:jc w:val="center"/>
            </w:pPr>
            <w:r>
              <w:rPr>
                <w:b/>
              </w:rPr>
              <w:t>Placebo</w:t>
            </w:r>
          </w:p>
        </w:tc>
        <w:tc>
          <w:tcPr>
            <w:tcW w:w="1565" w:type="dxa"/>
            <w:shd w:val="clear" w:color="auto" w:fill="auto"/>
            <w:vAlign w:val="center"/>
          </w:tcPr>
          <w:p w:rsidR="0072310B" w:rsidRDefault="00783925">
            <w:pPr>
              <w:pStyle w:val="Tabletext"/>
              <w:jc w:val="center"/>
            </w:pPr>
            <w:r>
              <w:rPr>
                <w:b/>
              </w:rPr>
              <w:t>Erenumab</w:t>
            </w:r>
          </w:p>
        </w:tc>
        <w:tc>
          <w:tcPr>
            <w:tcW w:w="2211" w:type="dxa"/>
            <w:vMerge/>
            <w:shd w:val="clear" w:color="auto" w:fill="auto"/>
            <w:vAlign w:val="center"/>
          </w:tcPr>
          <w:p w:rsidR="0072310B" w:rsidRDefault="0072310B">
            <w:pPr>
              <w:pStyle w:val="Tabletext"/>
              <w:jc w:val="center"/>
              <w:rPr>
                <w:b/>
              </w:rPr>
            </w:pPr>
          </w:p>
        </w:tc>
      </w:tr>
      <w:tr w:rsidR="0072310B" w:rsidTr="005E1C57">
        <w:trPr>
          <w:jc w:val="center"/>
        </w:trPr>
        <w:tc>
          <w:tcPr>
            <w:tcW w:w="1604" w:type="dxa"/>
            <w:shd w:val="clear" w:color="auto" w:fill="auto"/>
            <w:vAlign w:val="center"/>
          </w:tcPr>
          <w:p w:rsidR="0072310B" w:rsidRDefault="00783925">
            <w:pPr>
              <w:pStyle w:val="Tabletext"/>
            </w:pPr>
            <w:r>
              <w:t xml:space="preserve">REGAIN </w:t>
            </w:r>
          </w:p>
          <w:p w:rsidR="0072310B" w:rsidRDefault="00783925">
            <w:pPr>
              <w:pStyle w:val="Tabletext"/>
            </w:pPr>
            <w:r>
              <w:t>(over 12 weeks)</w:t>
            </w:r>
          </w:p>
        </w:tc>
        <w:tc>
          <w:tcPr>
            <w:tcW w:w="1732" w:type="dxa"/>
            <w:shd w:val="clear" w:color="auto" w:fill="auto"/>
            <w:vAlign w:val="center"/>
          </w:tcPr>
          <w:p w:rsidR="0072310B" w:rsidRDefault="00783925">
            <w:pPr>
              <w:pStyle w:val="Tabletext"/>
              <w:jc w:val="center"/>
            </w:pPr>
            <w:r>
              <w:t>11/36 (30.6%)</w:t>
            </w:r>
          </w:p>
        </w:tc>
        <w:tc>
          <w:tcPr>
            <w:tcW w:w="1905" w:type="dxa"/>
            <w:shd w:val="clear" w:color="auto" w:fill="auto"/>
            <w:vAlign w:val="center"/>
          </w:tcPr>
          <w:p w:rsidR="0072310B" w:rsidRDefault="00783925">
            <w:pPr>
              <w:pStyle w:val="Tabletext"/>
              <w:jc w:val="center"/>
            </w:pPr>
            <w:r>
              <w:t>7/102 (6.9%)</w:t>
            </w:r>
          </w:p>
        </w:tc>
        <w:tc>
          <w:tcPr>
            <w:tcW w:w="1565" w:type="dxa"/>
            <w:shd w:val="clear" w:color="auto" w:fill="auto"/>
            <w:vAlign w:val="center"/>
          </w:tcPr>
          <w:p w:rsidR="0072310B" w:rsidRDefault="00783925">
            <w:pPr>
              <w:pStyle w:val="Tabletext"/>
              <w:jc w:val="center"/>
            </w:pPr>
            <w:r>
              <w:t>-</w:t>
            </w:r>
          </w:p>
        </w:tc>
        <w:tc>
          <w:tcPr>
            <w:tcW w:w="2211" w:type="dxa"/>
            <w:shd w:val="clear" w:color="auto" w:fill="auto"/>
            <w:vAlign w:val="center"/>
          </w:tcPr>
          <w:p w:rsidR="0072310B" w:rsidRDefault="00783925">
            <w:pPr>
              <w:pStyle w:val="Tabletext"/>
              <w:jc w:val="center"/>
              <w:rPr>
                <w:b/>
              </w:rPr>
            </w:pPr>
            <w:r>
              <w:rPr>
                <w:b/>
              </w:rPr>
              <w:t>5.97 (2.10, 16.98)</w:t>
            </w:r>
          </w:p>
        </w:tc>
      </w:tr>
      <w:tr w:rsidR="0072310B" w:rsidTr="005E1C57">
        <w:trPr>
          <w:jc w:val="center"/>
        </w:trPr>
        <w:tc>
          <w:tcPr>
            <w:tcW w:w="1604" w:type="dxa"/>
            <w:shd w:val="clear" w:color="auto" w:fill="auto"/>
            <w:vAlign w:val="center"/>
          </w:tcPr>
          <w:p w:rsidR="0072310B" w:rsidRDefault="00783925">
            <w:pPr>
              <w:pStyle w:val="Tabletext"/>
            </w:pPr>
            <w:r>
              <w:t>Study 295 (70 mg)</w:t>
            </w:r>
            <w:r w:rsidR="002535F9">
              <w:t xml:space="preserve"> </w:t>
            </w:r>
            <w:r>
              <w:t>(at 12 weeks)</w:t>
            </w:r>
          </w:p>
        </w:tc>
        <w:tc>
          <w:tcPr>
            <w:tcW w:w="1732" w:type="dxa"/>
            <w:shd w:val="clear" w:color="auto" w:fill="auto"/>
            <w:vAlign w:val="center"/>
          </w:tcPr>
          <w:p w:rsidR="0072310B" w:rsidRDefault="00783925">
            <w:pPr>
              <w:pStyle w:val="Tabletext"/>
              <w:jc w:val="center"/>
            </w:pPr>
            <w:r>
              <w:t>-</w:t>
            </w:r>
          </w:p>
        </w:tc>
        <w:tc>
          <w:tcPr>
            <w:tcW w:w="1905" w:type="dxa"/>
            <w:shd w:val="clear" w:color="auto" w:fill="auto"/>
            <w:vAlign w:val="center"/>
          </w:tcPr>
          <w:p w:rsidR="0072310B" w:rsidRDefault="00783925">
            <w:pPr>
              <w:pStyle w:val="Tabletext"/>
              <w:jc w:val="center"/>
            </w:pPr>
            <w:r>
              <w:t>15/98 (15.3%)</w:t>
            </w:r>
          </w:p>
        </w:tc>
        <w:tc>
          <w:tcPr>
            <w:tcW w:w="1565" w:type="dxa"/>
            <w:shd w:val="clear" w:color="auto" w:fill="auto"/>
            <w:vAlign w:val="center"/>
          </w:tcPr>
          <w:p w:rsidR="0072310B" w:rsidRDefault="00783925">
            <w:pPr>
              <w:pStyle w:val="Tabletext"/>
              <w:jc w:val="center"/>
            </w:pPr>
            <w:r>
              <w:t>23/69 (33.3%)</w:t>
            </w:r>
          </w:p>
        </w:tc>
        <w:tc>
          <w:tcPr>
            <w:tcW w:w="2211" w:type="dxa"/>
            <w:shd w:val="clear" w:color="auto" w:fill="auto"/>
            <w:vAlign w:val="center"/>
          </w:tcPr>
          <w:p w:rsidR="0072310B" w:rsidRDefault="00783925">
            <w:pPr>
              <w:pStyle w:val="Tabletext"/>
              <w:jc w:val="center"/>
              <w:rPr>
                <w:b/>
              </w:rPr>
            </w:pPr>
            <w:r>
              <w:rPr>
                <w:b/>
              </w:rPr>
              <w:t>2.77 (1.32, 5.82)</w:t>
            </w:r>
          </w:p>
        </w:tc>
      </w:tr>
      <w:tr w:rsidR="0072310B" w:rsidTr="005E1C57">
        <w:trPr>
          <w:jc w:val="center"/>
        </w:trPr>
        <w:tc>
          <w:tcPr>
            <w:tcW w:w="6806" w:type="dxa"/>
            <w:gridSpan w:val="4"/>
            <w:shd w:val="clear" w:color="auto" w:fill="auto"/>
            <w:vAlign w:val="center"/>
          </w:tcPr>
          <w:p w:rsidR="0072310B" w:rsidRDefault="00783925">
            <w:pPr>
              <w:pStyle w:val="Tabletext"/>
              <w:jc w:val="right"/>
              <w:rPr>
                <w:b/>
              </w:rPr>
            </w:pPr>
            <w:r>
              <w:rPr>
                <w:b/>
              </w:rPr>
              <w:t>Indirect comparison galcanezumab vs. erenumab 70 mg</w:t>
            </w:r>
          </w:p>
        </w:tc>
        <w:tc>
          <w:tcPr>
            <w:tcW w:w="2211" w:type="dxa"/>
            <w:shd w:val="clear" w:color="auto" w:fill="auto"/>
            <w:vAlign w:val="center"/>
          </w:tcPr>
          <w:p w:rsidR="0072310B" w:rsidRDefault="00783925">
            <w:pPr>
              <w:pStyle w:val="Tabletext"/>
              <w:jc w:val="center"/>
            </w:pPr>
            <w:r>
              <w:t>2.16 (0.60, 7.78)</w:t>
            </w:r>
          </w:p>
        </w:tc>
      </w:tr>
      <w:tr w:rsidR="0072310B" w:rsidTr="005E1C57">
        <w:trPr>
          <w:jc w:val="center"/>
        </w:trPr>
        <w:tc>
          <w:tcPr>
            <w:tcW w:w="1604" w:type="dxa"/>
            <w:shd w:val="clear" w:color="auto" w:fill="auto"/>
            <w:vAlign w:val="center"/>
          </w:tcPr>
          <w:p w:rsidR="0072310B" w:rsidRDefault="00783925">
            <w:pPr>
              <w:pStyle w:val="Tabletext"/>
            </w:pPr>
            <w:r>
              <w:t>Study 295 (140 mg)</w:t>
            </w:r>
            <w:r w:rsidR="002535F9">
              <w:t xml:space="preserve"> </w:t>
            </w:r>
            <w:r>
              <w:t>(at 12 weeks)</w:t>
            </w:r>
          </w:p>
        </w:tc>
        <w:tc>
          <w:tcPr>
            <w:tcW w:w="1732" w:type="dxa"/>
            <w:shd w:val="clear" w:color="auto" w:fill="auto"/>
            <w:vAlign w:val="center"/>
          </w:tcPr>
          <w:p w:rsidR="0072310B" w:rsidRDefault="0072310B">
            <w:pPr>
              <w:pStyle w:val="Tabletext"/>
              <w:jc w:val="center"/>
            </w:pPr>
          </w:p>
        </w:tc>
        <w:tc>
          <w:tcPr>
            <w:tcW w:w="1905" w:type="dxa"/>
            <w:shd w:val="clear" w:color="auto" w:fill="auto"/>
            <w:vAlign w:val="center"/>
          </w:tcPr>
          <w:p w:rsidR="0072310B" w:rsidRDefault="00783925">
            <w:pPr>
              <w:pStyle w:val="Tabletext"/>
              <w:jc w:val="center"/>
            </w:pPr>
            <w:r>
              <w:t>15/98 (15.3%)</w:t>
            </w:r>
          </w:p>
        </w:tc>
        <w:tc>
          <w:tcPr>
            <w:tcW w:w="1565" w:type="dxa"/>
            <w:shd w:val="clear" w:color="auto" w:fill="auto"/>
            <w:vAlign w:val="center"/>
          </w:tcPr>
          <w:p w:rsidR="0072310B" w:rsidRDefault="00783925">
            <w:pPr>
              <w:pStyle w:val="Tabletext"/>
              <w:jc w:val="center"/>
            </w:pPr>
            <w:r>
              <w:t>25/65 (38.5%)</w:t>
            </w:r>
          </w:p>
        </w:tc>
        <w:tc>
          <w:tcPr>
            <w:tcW w:w="2211" w:type="dxa"/>
            <w:shd w:val="clear" w:color="auto" w:fill="auto"/>
            <w:vAlign w:val="center"/>
          </w:tcPr>
          <w:p w:rsidR="0072310B" w:rsidRDefault="00783925">
            <w:pPr>
              <w:pStyle w:val="Tabletext"/>
              <w:jc w:val="center"/>
              <w:rPr>
                <w:b/>
              </w:rPr>
            </w:pPr>
            <w:r>
              <w:rPr>
                <w:b/>
              </w:rPr>
              <w:t>3.46 (1.65, 7.27)</w:t>
            </w:r>
          </w:p>
        </w:tc>
      </w:tr>
      <w:tr w:rsidR="0072310B" w:rsidTr="005E1C57">
        <w:trPr>
          <w:jc w:val="center"/>
        </w:trPr>
        <w:tc>
          <w:tcPr>
            <w:tcW w:w="6806" w:type="dxa"/>
            <w:gridSpan w:val="4"/>
            <w:shd w:val="clear" w:color="auto" w:fill="auto"/>
            <w:vAlign w:val="center"/>
          </w:tcPr>
          <w:p w:rsidR="0072310B" w:rsidRDefault="00783925">
            <w:pPr>
              <w:pStyle w:val="Tabletext"/>
              <w:jc w:val="right"/>
              <w:rPr>
                <w:b/>
              </w:rPr>
            </w:pPr>
            <w:r>
              <w:rPr>
                <w:b/>
              </w:rPr>
              <w:t>Indirect comparison galcanezumab vs. erenumab 140 mg</w:t>
            </w:r>
          </w:p>
        </w:tc>
        <w:tc>
          <w:tcPr>
            <w:tcW w:w="2211" w:type="dxa"/>
            <w:shd w:val="clear" w:color="auto" w:fill="auto"/>
            <w:vAlign w:val="center"/>
          </w:tcPr>
          <w:p w:rsidR="0072310B" w:rsidRDefault="00783925">
            <w:pPr>
              <w:pStyle w:val="Tabletext"/>
              <w:jc w:val="center"/>
            </w:pPr>
            <w:r>
              <w:t>1.73 (0.48, 6.22)</w:t>
            </w:r>
          </w:p>
        </w:tc>
      </w:tr>
    </w:tbl>
    <w:p w:rsidR="0072310B" w:rsidRDefault="00783925">
      <w:pPr>
        <w:pStyle w:val="TableFooter"/>
      </w:pPr>
      <w:r>
        <w:t xml:space="preserve">CI=confidence interval; NR=not reported; OR=odds ratio; SE=standard error </w:t>
      </w:r>
      <w:r>
        <w:rPr>
          <w:b/>
        </w:rPr>
        <w:t>bold</w:t>
      </w:r>
      <w:r>
        <w:t>=statistically significant</w:t>
      </w:r>
    </w:p>
    <w:p w:rsidR="0072310B" w:rsidRDefault="00783925">
      <w:pPr>
        <w:pStyle w:val="TableFooter"/>
      </w:pPr>
      <w:r>
        <w:t>Source: Tables 1.4.11-1.4.14, p29-31 of Attachment 4.6 of the submission.</w:t>
      </w:r>
    </w:p>
    <w:p w:rsidR="0072310B" w:rsidRDefault="0072310B"/>
    <w:p w:rsidR="0072310B" w:rsidRDefault="00783925">
      <w:pPr>
        <w:pStyle w:val="ListParagraph"/>
        <w:numPr>
          <w:ilvl w:val="1"/>
          <w:numId w:val="3"/>
        </w:numPr>
      </w:pPr>
      <w:r>
        <w:t>The indirect comparisons showed no statistically significant differences between galcanezumab and erenumab for change from baseline in migraine headache days and proportion of patients with ≥50% reduction in migraine headache days across both the ITT and treatment failure populations.</w:t>
      </w:r>
    </w:p>
    <w:p w:rsidR="0072310B" w:rsidRDefault="00783925">
      <w:pPr>
        <w:pStyle w:val="Heading2"/>
      </w:pPr>
      <w:bookmarkStart w:id="9" w:name="_Toc9435332"/>
      <w:r>
        <w:t>Comparative harms</w:t>
      </w:r>
      <w:bookmarkEnd w:id="9"/>
    </w:p>
    <w:p w:rsidR="0072310B" w:rsidRDefault="0072310B">
      <w:pPr>
        <w:ind w:left="720" w:hanging="720"/>
      </w:pPr>
    </w:p>
    <w:p w:rsidR="0072310B" w:rsidRDefault="00783925">
      <w:pPr>
        <w:ind w:left="720" w:hanging="720"/>
        <w:rPr>
          <w:u w:val="single"/>
        </w:rPr>
      </w:pPr>
      <w:r>
        <w:rPr>
          <w:u w:val="single"/>
        </w:rPr>
        <w:t xml:space="preserve">Galcanezumab and Botox – safety outcomes </w:t>
      </w:r>
    </w:p>
    <w:p w:rsidR="0072310B" w:rsidRDefault="0072310B">
      <w:pPr>
        <w:ind w:left="720" w:hanging="720"/>
      </w:pPr>
    </w:p>
    <w:p w:rsidR="0072310B" w:rsidRDefault="00783925">
      <w:pPr>
        <w:pStyle w:val="ListParagraph"/>
        <w:numPr>
          <w:ilvl w:val="1"/>
          <w:numId w:val="3"/>
        </w:numPr>
      </w:pPr>
      <w:r>
        <w:t>The submission provided safety results for the overall (ITT) trial populations of REGAIN and the PREEMPT trials as well as safety results for the treatment failure subgroup in REGAIN.</w:t>
      </w:r>
      <w:r w:rsidR="002535F9">
        <w:t xml:space="preserve"> </w:t>
      </w:r>
      <w:r>
        <w:t>The table below provides a summary of adverse events (AEs) across the REGAIN and PREEMPT trials.</w:t>
      </w:r>
    </w:p>
    <w:p w:rsidR="00927809" w:rsidRDefault="00927809">
      <w:pPr>
        <w:jc w:val="left"/>
        <w:rPr>
          <w:rFonts w:ascii="Arial Narrow" w:hAnsi="Arial Narrow"/>
          <w:b/>
          <w:sz w:val="20"/>
          <w:szCs w:val="20"/>
        </w:rPr>
      </w:pPr>
      <w:r>
        <w:rPr>
          <w:rFonts w:ascii="Arial Narrow" w:hAnsi="Arial Narrow"/>
          <w:b/>
          <w:sz w:val="20"/>
          <w:szCs w:val="20"/>
        </w:rPr>
        <w:br w:type="page"/>
      </w:r>
    </w:p>
    <w:p w:rsidR="00787712" w:rsidRPr="00787712" w:rsidRDefault="00787712" w:rsidP="00787712">
      <w:pPr>
        <w:pStyle w:val="Caption"/>
        <w:keepNext/>
        <w:spacing w:after="0"/>
        <w:rPr>
          <w:rStyle w:val="CommentReference"/>
        </w:rPr>
      </w:pPr>
      <w:r w:rsidRPr="00787712">
        <w:rPr>
          <w:rStyle w:val="CommentReference"/>
        </w:rPr>
        <w:lastRenderedPageBreak/>
        <w:t xml:space="preserve">Table </w:t>
      </w:r>
      <w:r w:rsidRPr="00787712">
        <w:rPr>
          <w:rStyle w:val="CommentReference"/>
        </w:rPr>
        <w:fldChar w:fldCharType="begin"/>
      </w:r>
      <w:r w:rsidRPr="00787712">
        <w:rPr>
          <w:rStyle w:val="CommentReference"/>
        </w:rPr>
        <w:instrText xml:space="preserve"> SEQ Table \* ARABIC </w:instrText>
      </w:r>
      <w:r w:rsidRPr="00787712">
        <w:rPr>
          <w:rStyle w:val="CommentReference"/>
        </w:rPr>
        <w:fldChar w:fldCharType="separate"/>
      </w:r>
      <w:r w:rsidR="00CD46F2">
        <w:rPr>
          <w:rStyle w:val="CommentReference"/>
          <w:noProof/>
        </w:rPr>
        <w:t>10</w:t>
      </w:r>
      <w:r w:rsidRPr="00787712">
        <w:rPr>
          <w:rStyle w:val="CommentReference"/>
        </w:rPr>
        <w:fldChar w:fldCharType="end"/>
      </w:r>
      <w:r w:rsidRPr="00787712">
        <w:rPr>
          <w:rStyle w:val="CommentReference"/>
        </w:rPr>
        <w:t>: Summary of adverse events in REGAIN and PREEMPT 1 and PREEMPT 2</w:t>
      </w:r>
    </w:p>
    <w:tbl>
      <w:tblPr>
        <w:tblStyle w:val="TableGrid"/>
        <w:tblW w:w="5000" w:type="pct"/>
        <w:tblLayout w:type="fixed"/>
        <w:tblCellMar>
          <w:left w:w="28" w:type="dxa"/>
          <w:right w:w="28" w:type="dxa"/>
        </w:tblCellMar>
        <w:tblLook w:val="04A0" w:firstRow="1" w:lastRow="0" w:firstColumn="1" w:lastColumn="0" w:noHBand="0" w:noVBand="1"/>
        <w:tblCaption w:val="Table 10: Summary of adverse events in REGAIN and PREEMPT 1 and PREEMPT 2"/>
      </w:tblPr>
      <w:tblGrid>
        <w:gridCol w:w="3379"/>
        <w:gridCol w:w="1550"/>
        <w:gridCol w:w="1269"/>
        <w:gridCol w:w="1410"/>
        <w:gridCol w:w="1409"/>
      </w:tblGrid>
      <w:tr w:rsidR="0072310B" w:rsidTr="00787712">
        <w:trPr>
          <w:tblHeader/>
        </w:trPr>
        <w:tc>
          <w:tcPr>
            <w:tcW w:w="3379" w:type="dxa"/>
            <w:vMerge w:val="restart"/>
            <w:vAlign w:val="center"/>
          </w:tcPr>
          <w:p w:rsidR="0072310B" w:rsidRDefault="00783925">
            <w:pPr>
              <w:tabs>
                <w:tab w:val="left" w:pos="142"/>
              </w:tabs>
              <w:jc w:val="left"/>
              <w:rPr>
                <w:rFonts w:ascii="Arial Narrow" w:hAnsi="Arial Narrow"/>
                <w:b/>
                <w:sz w:val="20"/>
                <w:szCs w:val="20"/>
              </w:rPr>
            </w:pPr>
            <w:r>
              <w:rPr>
                <w:rFonts w:ascii="Arial Narrow" w:hAnsi="Arial Narrow"/>
                <w:b/>
                <w:sz w:val="20"/>
                <w:szCs w:val="20"/>
              </w:rPr>
              <w:t>Adverse event</w:t>
            </w:r>
          </w:p>
        </w:tc>
        <w:tc>
          <w:tcPr>
            <w:tcW w:w="2819" w:type="dxa"/>
            <w:gridSpan w:val="2"/>
            <w:vAlign w:val="center"/>
          </w:tcPr>
          <w:p w:rsidR="0072310B" w:rsidRDefault="00783925">
            <w:pPr>
              <w:jc w:val="center"/>
              <w:rPr>
                <w:rFonts w:ascii="Arial Narrow" w:hAnsi="Arial Narrow"/>
                <w:b/>
                <w:sz w:val="20"/>
                <w:szCs w:val="20"/>
              </w:rPr>
            </w:pPr>
            <w:r>
              <w:rPr>
                <w:rFonts w:ascii="Arial Narrow" w:hAnsi="Arial Narrow"/>
                <w:b/>
                <w:sz w:val="20"/>
                <w:szCs w:val="20"/>
              </w:rPr>
              <w:t>REGAIN</w:t>
            </w:r>
          </w:p>
        </w:tc>
        <w:tc>
          <w:tcPr>
            <w:tcW w:w="2819" w:type="dxa"/>
            <w:gridSpan w:val="2"/>
            <w:tcBorders>
              <w:left w:val="double" w:sz="4" w:space="0" w:color="auto"/>
            </w:tcBorders>
            <w:vAlign w:val="center"/>
          </w:tcPr>
          <w:p w:rsidR="0072310B" w:rsidRDefault="00783925">
            <w:pPr>
              <w:jc w:val="center"/>
              <w:rPr>
                <w:rFonts w:ascii="Arial Narrow" w:hAnsi="Arial Narrow"/>
                <w:b/>
                <w:sz w:val="20"/>
                <w:szCs w:val="20"/>
              </w:rPr>
            </w:pPr>
            <w:r>
              <w:rPr>
                <w:rFonts w:ascii="Arial Narrow" w:hAnsi="Arial Narrow"/>
                <w:b/>
                <w:sz w:val="20"/>
                <w:szCs w:val="20"/>
              </w:rPr>
              <w:t>PREEMPT 1 and 2</w:t>
            </w:r>
          </w:p>
        </w:tc>
      </w:tr>
      <w:tr w:rsidR="0072310B" w:rsidTr="00787712">
        <w:trPr>
          <w:tblHeader/>
        </w:trPr>
        <w:tc>
          <w:tcPr>
            <w:tcW w:w="3379" w:type="dxa"/>
            <w:vMerge/>
            <w:vAlign w:val="center"/>
          </w:tcPr>
          <w:p w:rsidR="0072310B" w:rsidRDefault="0072310B">
            <w:pPr>
              <w:tabs>
                <w:tab w:val="left" w:pos="142"/>
              </w:tabs>
              <w:jc w:val="left"/>
              <w:rPr>
                <w:rFonts w:ascii="Arial Narrow" w:hAnsi="Arial Narrow"/>
                <w:b/>
                <w:sz w:val="20"/>
                <w:szCs w:val="20"/>
              </w:rPr>
            </w:pPr>
          </w:p>
        </w:tc>
        <w:tc>
          <w:tcPr>
            <w:tcW w:w="1550" w:type="dxa"/>
            <w:vAlign w:val="center"/>
          </w:tcPr>
          <w:p w:rsidR="0072310B" w:rsidRDefault="00783925">
            <w:pPr>
              <w:jc w:val="center"/>
              <w:rPr>
                <w:rFonts w:ascii="Arial Narrow" w:hAnsi="Arial Narrow"/>
                <w:b/>
                <w:sz w:val="20"/>
                <w:szCs w:val="20"/>
              </w:rPr>
            </w:pPr>
            <w:r>
              <w:rPr>
                <w:rFonts w:ascii="Arial Narrow" w:hAnsi="Arial Narrow"/>
                <w:b/>
                <w:sz w:val="20"/>
                <w:szCs w:val="20"/>
              </w:rPr>
              <w:t>Galcanezumab (N=273)</w:t>
            </w:r>
          </w:p>
        </w:tc>
        <w:tc>
          <w:tcPr>
            <w:tcW w:w="1269" w:type="dxa"/>
            <w:vAlign w:val="center"/>
          </w:tcPr>
          <w:p w:rsidR="0072310B" w:rsidRDefault="00783925">
            <w:pPr>
              <w:jc w:val="center"/>
              <w:rPr>
                <w:rFonts w:ascii="Arial Narrow" w:hAnsi="Arial Narrow"/>
                <w:b/>
                <w:sz w:val="20"/>
                <w:szCs w:val="20"/>
              </w:rPr>
            </w:pPr>
            <w:r>
              <w:rPr>
                <w:rFonts w:ascii="Arial Narrow" w:hAnsi="Arial Narrow"/>
                <w:b/>
                <w:sz w:val="20"/>
                <w:szCs w:val="20"/>
              </w:rPr>
              <w:t>Placebo (N=558)</w:t>
            </w:r>
          </w:p>
        </w:tc>
        <w:tc>
          <w:tcPr>
            <w:tcW w:w="1410" w:type="dxa"/>
            <w:tcBorders>
              <w:left w:val="double" w:sz="4" w:space="0" w:color="auto"/>
            </w:tcBorders>
            <w:vAlign w:val="center"/>
          </w:tcPr>
          <w:p w:rsidR="0072310B" w:rsidRDefault="00783925">
            <w:pPr>
              <w:jc w:val="center"/>
              <w:rPr>
                <w:rFonts w:ascii="Arial Narrow" w:hAnsi="Arial Narrow"/>
                <w:b/>
              </w:rPr>
            </w:pPr>
            <w:r>
              <w:rPr>
                <w:rFonts w:ascii="Arial Narrow" w:hAnsi="Arial Narrow"/>
                <w:b/>
                <w:sz w:val="20"/>
                <w:szCs w:val="20"/>
              </w:rPr>
              <w:t xml:space="preserve">Botox </w:t>
            </w:r>
          </w:p>
          <w:p w:rsidR="0072310B" w:rsidRDefault="00783925">
            <w:pPr>
              <w:jc w:val="center"/>
              <w:rPr>
                <w:rFonts w:ascii="Arial Narrow" w:hAnsi="Arial Narrow"/>
                <w:b/>
                <w:sz w:val="20"/>
                <w:szCs w:val="20"/>
              </w:rPr>
            </w:pPr>
            <w:r>
              <w:rPr>
                <w:rFonts w:ascii="Arial Narrow" w:hAnsi="Arial Narrow"/>
                <w:b/>
                <w:sz w:val="20"/>
                <w:szCs w:val="20"/>
              </w:rPr>
              <w:t>(N=687)</w:t>
            </w:r>
          </w:p>
        </w:tc>
        <w:tc>
          <w:tcPr>
            <w:tcW w:w="1409" w:type="dxa"/>
            <w:vAlign w:val="center"/>
          </w:tcPr>
          <w:p w:rsidR="0072310B" w:rsidRDefault="00783925">
            <w:pPr>
              <w:jc w:val="center"/>
              <w:rPr>
                <w:rFonts w:ascii="Arial Narrow" w:hAnsi="Arial Narrow"/>
                <w:b/>
              </w:rPr>
            </w:pPr>
            <w:r>
              <w:rPr>
                <w:rFonts w:ascii="Arial Narrow" w:hAnsi="Arial Narrow"/>
                <w:b/>
                <w:sz w:val="20"/>
                <w:szCs w:val="20"/>
              </w:rPr>
              <w:t xml:space="preserve">Placebo </w:t>
            </w:r>
          </w:p>
          <w:p w:rsidR="0072310B" w:rsidRDefault="00783925">
            <w:pPr>
              <w:jc w:val="center"/>
              <w:rPr>
                <w:rFonts w:ascii="Arial Narrow" w:hAnsi="Arial Narrow"/>
                <w:b/>
                <w:sz w:val="20"/>
                <w:szCs w:val="20"/>
              </w:rPr>
            </w:pPr>
            <w:r>
              <w:rPr>
                <w:rFonts w:ascii="Arial Narrow" w:hAnsi="Arial Narrow"/>
                <w:b/>
                <w:sz w:val="20"/>
                <w:szCs w:val="20"/>
              </w:rPr>
              <w:t>(N=692)</w:t>
            </w:r>
          </w:p>
        </w:tc>
      </w:tr>
      <w:tr w:rsidR="0072310B" w:rsidTr="00787712">
        <w:tc>
          <w:tcPr>
            <w:tcW w:w="3379" w:type="dxa"/>
            <w:vAlign w:val="center"/>
          </w:tcPr>
          <w:p w:rsidR="0072310B" w:rsidRDefault="00783925">
            <w:pPr>
              <w:tabs>
                <w:tab w:val="left" w:pos="142"/>
              </w:tabs>
              <w:jc w:val="left"/>
              <w:rPr>
                <w:rFonts w:ascii="Arial Narrow" w:hAnsi="Arial Narrow"/>
                <w:sz w:val="20"/>
                <w:szCs w:val="20"/>
              </w:rPr>
            </w:pPr>
            <w:r>
              <w:rPr>
                <w:rFonts w:ascii="Arial Narrow" w:hAnsi="Arial Narrow"/>
                <w:sz w:val="20"/>
                <w:szCs w:val="20"/>
              </w:rPr>
              <w:t>AEs</w:t>
            </w:r>
          </w:p>
        </w:tc>
        <w:tc>
          <w:tcPr>
            <w:tcW w:w="1550" w:type="dxa"/>
          </w:tcPr>
          <w:p w:rsidR="0072310B" w:rsidRDefault="00783925">
            <w:pPr>
              <w:jc w:val="center"/>
              <w:rPr>
                <w:rFonts w:ascii="Arial Narrow" w:hAnsi="Arial Narrow"/>
                <w:sz w:val="20"/>
                <w:szCs w:val="20"/>
              </w:rPr>
            </w:pPr>
            <w:r>
              <w:rPr>
                <w:rFonts w:ascii="Arial Narrow" w:hAnsi="Arial Narrow"/>
                <w:sz w:val="20"/>
                <w:szCs w:val="20"/>
              </w:rPr>
              <w:t>159 (58.2%)</w:t>
            </w:r>
            <w:r>
              <w:rPr>
                <w:rFonts w:ascii="Arial Narrow" w:hAnsi="Arial Narrow"/>
                <w:sz w:val="20"/>
                <w:szCs w:val="20"/>
                <w:vertAlign w:val="superscript"/>
              </w:rPr>
              <w:t>a</w:t>
            </w:r>
          </w:p>
        </w:tc>
        <w:tc>
          <w:tcPr>
            <w:tcW w:w="1269" w:type="dxa"/>
          </w:tcPr>
          <w:p w:rsidR="0072310B" w:rsidRDefault="00783925">
            <w:pPr>
              <w:jc w:val="center"/>
              <w:rPr>
                <w:rFonts w:ascii="Arial Narrow" w:hAnsi="Arial Narrow"/>
                <w:sz w:val="20"/>
                <w:szCs w:val="20"/>
              </w:rPr>
            </w:pPr>
            <w:r>
              <w:rPr>
                <w:rFonts w:ascii="Arial Narrow" w:hAnsi="Arial Narrow"/>
                <w:sz w:val="20"/>
                <w:szCs w:val="20"/>
              </w:rPr>
              <w:t>279 (50.0%)</w:t>
            </w:r>
          </w:p>
        </w:tc>
        <w:tc>
          <w:tcPr>
            <w:tcW w:w="1410"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429 (62.4%)</w:t>
            </w:r>
          </w:p>
        </w:tc>
        <w:tc>
          <w:tcPr>
            <w:tcW w:w="1409" w:type="dxa"/>
          </w:tcPr>
          <w:p w:rsidR="0072310B" w:rsidRDefault="00783925">
            <w:pPr>
              <w:jc w:val="center"/>
              <w:rPr>
                <w:rFonts w:ascii="Arial Narrow" w:hAnsi="Arial Narrow"/>
                <w:sz w:val="20"/>
                <w:szCs w:val="20"/>
              </w:rPr>
            </w:pPr>
            <w:r>
              <w:rPr>
                <w:rFonts w:ascii="Arial Narrow" w:hAnsi="Arial Narrow"/>
                <w:sz w:val="20"/>
                <w:szCs w:val="20"/>
              </w:rPr>
              <w:t>358 (51.7%)</w:t>
            </w:r>
          </w:p>
        </w:tc>
      </w:tr>
      <w:tr w:rsidR="0072310B" w:rsidTr="00787712">
        <w:tc>
          <w:tcPr>
            <w:tcW w:w="3379" w:type="dxa"/>
            <w:vAlign w:val="center"/>
          </w:tcPr>
          <w:p w:rsidR="0072310B" w:rsidRDefault="00783925">
            <w:pPr>
              <w:tabs>
                <w:tab w:val="left" w:pos="142"/>
              </w:tabs>
              <w:jc w:val="left"/>
              <w:rPr>
                <w:rFonts w:ascii="Arial Narrow" w:hAnsi="Arial Narrow"/>
                <w:sz w:val="20"/>
                <w:szCs w:val="20"/>
              </w:rPr>
            </w:pPr>
            <w:r>
              <w:rPr>
                <w:rFonts w:ascii="Arial Narrow" w:hAnsi="Arial Narrow"/>
                <w:sz w:val="20"/>
                <w:szCs w:val="20"/>
              </w:rPr>
              <w:t>Treatment-related AEs</w:t>
            </w:r>
          </w:p>
        </w:tc>
        <w:tc>
          <w:tcPr>
            <w:tcW w:w="1550" w:type="dxa"/>
          </w:tcPr>
          <w:p w:rsidR="0072310B" w:rsidRDefault="00D95519">
            <w:pPr>
              <w:jc w:val="center"/>
              <w:rPr>
                <w:rFonts w:ascii="Arial Narrow" w:hAnsi="Arial Narrow"/>
                <w:sz w:val="20"/>
                <w:szCs w:val="20"/>
              </w:rPr>
            </w:pPr>
            <w:r>
              <w:rPr>
                <w:rFonts w:ascii="Arial Narrow" w:hAnsi="Arial Narrow"/>
                <w:noProof/>
                <w:color w:val="000000"/>
                <w:sz w:val="20"/>
                <w:szCs w:val="20"/>
                <w:highlight w:val="black"/>
              </w:rPr>
              <w:t>'''''</w:t>
            </w:r>
            <w:r w:rsidR="00783925">
              <w:rPr>
                <w:rFonts w:ascii="Arial Narrow" w:hAnsi="Arial Narrow"/>
                <w:sz w:val="20"/>
                <w:szCs w:val="20"/>
              </w:rPr>
              <w:t xml:space="preserve"> (</w:t>
            </w:r>
            <w:r>
              <w:rPr>
                <w:rFonts w:ascii="Arial Narrow" w:hAnsi="Arial Narrow"/>
                <w:noProof/>
                <w:color w:val="000000"/>
                <w:sz w:val="20"/>
                <w:szCs w:val="20"/>
                <w:highlight w:val="black"/>
              </w:rPr>
              <w:t>''''''''''</w:t>
            </w:r>
            <w:r w:rsidR="00783925">
              <w:rPr>
                <w:rFonts w:ascii="Arial Narrow" w:hAnsi="Arial Narrow"/>
                <w:sz w:val="20"/>
                <w:szCs w:val="20"/>
              </w:rPr>
              <w:t>%)</w:t>
            </w:r>
          </w:p>
        </w:tc>
        <w:tc>
          <w:tcPr>
            <w:tcW w:w="1269" w:type="dxa"/>
          </w:tcPr>
          <w:p w:rsidR="0072310B" w:rsidRDefault="00D95519">
            <w:pPr>
              <w:jc w:val="center"/>
              <w:rPr>
                <w:rFonts w:ascii="Arial Narrow" w:hAnsi="Arial Narrow"/>
                <w:sz w:val="20"/>
                <w:szCs w:val="20"/>
              </w:rPr>
            </w:pPr>
            <w:r>
              <w:rPr>
                <w:rFonts w:ascii="Arial Narrow" w:hAnsi="Arial Narrow"/>
                <w:noProof/>
                <w:color w:val="000000"/>
                <w:sz w:val="20"/>
                <w:szCs w:val="20"/>
                <w:highlight w:val="black"/>
              </w:rPr>
              <w:t>''''''''''</w:t>
            </w:r>
            <w:r w:rsidR="00783925">
              <w:rPr>
                <w:rFonts w:ascii="Arial Narrow" w:hAnsi="Arial Narrow"/>
                <w:sz w:val="20"/>
                <w:szCs w:val="20"/>
              </w:rPr>
              <w:t xml:space="preserve"> (</w:t>
            </w:r>
            <w:r>
              <w:rPr>
                <w:rFonts w:ascii="Arial Narrow" w:hAnsi="Arial Narrow"/>
                <w:noProof/>
                <w:color w:val="000000"/>
                <w:sz w:val="20"/>
                <w:szCs w:val="20"/>
                <w:highlight w:val="black"/>
              </w:rPr>
              <w:t>'''''''''''</w:t>
            </w:r>
            <w:r w:rsidR="00783925">
              <w:rPr>
                <w:rFonts w:ascii="Arial Narrow" w:hAnsi="Arial Narrow"/>
                <w:sz w:val="20"/>
                <w:szCs w:val="20"/>
              </w:rPr>
              <w:t>%)</w:t>
            </w:r>
          </w:p>
        </w:tc>
        <w:tc>
          <w:tcPr>
            <w:tcW w:w="1410"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202 (29.4%)</w:t>
            </w:r>
          </w:p>
        </w:tc>
        <w:tc>
          <w:tcPr>
            <w:tcW w:w="1409" w:type="dxa"/>
          </w:tcPr>
          <w:p w:rsidR="0072310B" w:rsidRDefault="00783925">
            <w:pPr>
              <w:jc w:val="center"/>
              <w:rPr>
                <w:rFonts w:ascii="Arial Narrow" w:hAnsi="Arial Narrow"/>
                <w:sz w:val="20"/>
                <w:szCs w:val="20"/>
              </w:rPr>
            </w:pPr>
            <w:r>
              <w:rPr>
                <w:rFonts w:ascii="Arial Narrow" w:hAnsi="Arial Narrow"/>
                <w:sz w:val="20"/>
                <w:szCs w:val="20"/>
              </w:rPr>
              <w:t>88 (12.7%)</w:t>
            </w:r>
          </w:p>
        </w:tc>
      </w:tr>
      <w:tr w:rsidR="0072310B" w:rsidTr="00787712">
        <w:tc>
          <w:tcPr>
            <w:tcW w:w="3379" w:type="dxa"/>
          </w:tcPr>
          <w:p w:rsidR="0072310B" w:rsidRDefault="00783925">
            <w:pPr>
              <w:tabs>
                <w:tab w:val="left" w:pos="142"/>
              </w:tabs>
              <w:jc w:val="left"/>
              <w:rPr>
                <w:rFonts w:ascii="Arial Narrow" w:hAnsi="Arial Narrow"/>
                <w:sz w:val="20"/>
                <w:szCs w:val="20"/>
              </w:rPr>
            </w:pPr>
            <w:r>
              <w:rPr>
                <w:rFonts w:ascii="Arial Narrow" w:hAnsi="Arial Narrow"/>
                <w:sz w:val="20"/>
                <w:szCs w:val="20"/>
              </w:rPr>
              <w:tab/>
              <w:t>Injection site pain</w:t>
            </w:r>
          </w:p>
        </w:tc>
        <w:tc>
          <w:tcPr>
            <w:tcW w:w="1550" w:type="dxa"/>
          </w:tcPr>
          <w:p w:rsidR="0072310B" w:rsidRDefault="00783925">
            <w:pPr>
              <w:jc w:val="center"/>
              <w:rPr>
                <w:rFonts w:ascii="Arial Narrow" w:hAnsi="Arial Narrow"/>
                <w:sz w:val="20"/>
                <w:szCs w:val="20"/>
              </w:rPr>
            </w:pPr>
            <w:r>
              <w:rPr>
                <w:rFonts w:ascii="Arial Narrow" w:hAnsi="Arial Narrow"/>
                <w:sz w:val="20"/>
                <w:szCs w:val="20"/>
              </w:rPr>
              <w:t>16 (5.9%)</w:t>
            </w:r>
          </w:p>
        </w:tc>
        <w:tc>
          <w:tcPr>
            <w:tcW w:w="1269" w:type="dxa"/>
          </w:tcPr>
          <w:p w:rsidR="0072310B" w:rsidRDefault="00783925">
            <w:pPr>
              <w:jc w:val="center"/>
              <w:rPr>
                <w:rFonts w:ascii="Arial Narrow" w:hAnsi="Arial Narrow"/>
                <w:sz w:val="20"/>
                <w:szCs w:val="20"/>
              </w:rPr>
            </w:pPr>
            <w:r>
              <w:rPr>
                <w:rFonts w:ascii="Arial Narrow" w:hAnsi="Arial Narrow"/>
                <w:sz w:val="20"/>
                <w:szCs w:val="20"/>
              </w:rPr>
              <w:t>24 (4.3%)</w:t>
            </w:r>
          </w:p>
        </w:tc>
        <w:tc>
          <w:tcPr>
            <w:tcW w:w="1410"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22 (3.2%)</w:t>
            </w:r>
          </w:p>
        </w:tc>
        <w:tc>
          <w:tcPr>
            <w:tcW w:w="1409" w:type="dxa"/>
          </w:tcPr>
          <w:p w:rsidR="0072310B" w:rsidRDefault="00783925">
            <w:pPr>
              <w:jc w:val="center"/>
              <w:rPr>
                <w:rFonts w:ascii="Arial Narrow" w:hAnsi="Arial Narrow"/>
                <w:sz w:val="20"/>
                <w:szCs w:val="20"/>
              </w:rPr>
            </w:pPr>
            <w:r>
              <w:rPr>
                <w:rFonts w:ascii="Arial Narrow" w:hAnsi="Arial Narrow"/>
                <w:sz w:val="20"/>
                <w:szCs w:val="20"/>
              </w:rPr>
              <w:t>14 (2.0%)</w:t>
            </w:r>
          </w:p>
        </w:tc>
      </w:tr>
      <w:tr w:rsidR="0072310B" w:rsidTr="00787712">
        <w:tc>
          <w:tcPr>
            <w:tcW w:w="3379" w:type="dxa"/>
          </w:tcPr>
          <w:p w:rsidR="0072310B" w:rsidRDefault="00783925">
            <w:pPr>
              <w:tabs>
                <w:tab w:val="left" w:pos="142"/>
              </w:tabs>
              <w:jc w:val="left"/>
              <w:rPr>
                <w:rFonts w:ascii="Arial Narrow" w:hAnsi="Arial Narrow"/>
                <w:sz w:val="20"/>
                <w:szCs w:val="20"/>
              </w:rPr>
            </w:pPr>
            <w:r>
              <w:rPr>
                <w:rFonts w:ascii="Arial Narrow" w:hAnsi="Arial Narrow"/>
                <w:sz w:val="20"/>
                <w:szCs w:val="20"/>
              </w:rPr>
              <w:tab/>
              <w:t>Injection site reaction</w:t>
            </w:r>
          </w:p>
        </w:tc>
        <w:tc>
          <w:tcPr>
            <w:tcW w:w="1550" w:type="dxa"/>
          </w:tcPr>
          <w:p w:rsidR="0072310B" w:rsidRDefault="00783925">
            <w:pPr>
              <w:jc w:val="center"/>
              <w:rPr>
                <w:rFonts w:ascii="Arial Narrow" w:hAnsi="Arial Narrow"/>
                <w:sz w:val="20"/>
                <w:szCs w:val="20"/>
              </w:rPr>
            </w:pPr>
            <w:r>
              <w:rPr>
                <w:rFonts w:ascii="Arial Narrow" w:hAnsi="Arial Narrow"/>
                <w:sz w:val="20"/>
                <w:szCs w:val="20"/>
              </w:rPr>
              <w:t>8 (2.9%)</w:t>
            </w:r>
          </w:p>
        </w:tc>
        <w:tc>
          <w:tcPr>
            <w:tcW w:w="1269" w:type="dxa"/>
          </w:tcPr>
          <w:p w:rsidR="0072310B" w:rsidRDefault="00783925">
            <w:pPr>
              <w:jc w:val="center"/>
              <w:rPr>
                <w:rFonts w:ascii="Arial Narrow" w:hAnsi="Arial Narrow"/>
                <w:sz w:val="20"/>
                <w:szCs w:val="20"/>
              </w:rPr>
            </w:pPr>
            <w:r>
              <w:rPr>
                <w:rFonts w:ascii="Arial Narrow" w:hAnsi="Arial Narrow"/>
                <w:sz w:val="20"/>
                <w:szCs w:val="20"/>
              </w:rPr>
              <w:t>10 (1.8%)</w:t>
            </w:r>
          </w:p>
        </w:tc>
        <w:tc>
          <w:tcPr>
            <w:tcW w:w="1410"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NR</w:t>
            </w:r>
          </w:p>
        </w:tc>
        <w:tc>
          <w:tcPr>
            <w:tcW w:w="1409" w:type="dxa"/>
          </w:tcPr>
          <w:p w:rsidR="0072310B" w:rsidRDefault="00783925">
            <w:pPr>
              <w:jc w:val="center"/>
              <w:rPr>
                <w:rFonts w:ascii="Arial Narrow" w:hAnsi="Arial Narrow"/>
                <w:sz w:val="20"/>
                <w:szCs w:val="20"/>
              </w:rPr>
            </w:pPr>
            <w:r>
              <w:rPr>
                <w:rFonts w:ascii="Arial Narrow" w:hAnsi="Arial Narrow"/>
                <w:sz w:val="20"/>
                <w:szCs w:val="20"/>
              </w:rPr>
              <w:t>NR</w:t>
            </w:r>
          </w:p>
        </w:tc>
      </w:tr>
      <w:tr w:rsidR="0072310B" w:rsidTr="00787712">
        <w:tc>
          <w:tcPr>
            <w:tcW w:w="3379" w:type="dxa"/>
          </w:tcPr>
          <w:p w:rsidR="0072310B" w:rsidRDefault="00783925">
            <w:pPr>
              <w:tabs>
                <w:tab w:val="left" w:pos="142"/>
              </w:tabs>
              <w:jc w:val="left"/>
              <w:rPr>
                <w:rFonts w:ascii="Arial Narrow" w:hAnsi="Arial Narrow"/>
                <w:sz w:val="20"/>
                <w:szCs w:val="20"/>
              </w:rPr>
            </w:pPr>
            <w:r>
              <w:rPr>
                <w:rFonts w:ascii="Arial Narrow" w:hAnsi="Arial Narrow"/>
                <w:sz w:val="20"/>
                <w:szCs w:val="20"/>
              </w:rPr>
              <w:tab/>
              <w:t>Injection site erythema</w:t>
            </w:r>
          </w:p>
        </w:tc>
        <w:tc>
          <w:tcPr>
            <w:tcW w:w="1550" w:type="dxa"/>
          </w:tcPr>
          <w:p w:rsidR="0072310B" w:rsidRDefault="00783925">
            <w:pPr>
              <w:jc w:val="center"/>
              <w:rPr>
                <w:rFonts w:ascii="Arial Narrow" w:hAnsi="Arial Narrow"/>
                <w:sz w:val="20"/>
                <w:szCs w:val="20"/>
              </w:rPr>
            </w:pPr>
            <w:r>
              <w:rPr>
                <w:rFonts w:ascii="Arial Narrow" w:hAnsi="Arial Narrow"/>
                <w:sz w:val="20"/>
                <w:szCs w:val="20"/>
              </w:rPr>
              <w:t>4 (1.5%)</w:t>
            </w:r>
          </w:p>
        </w:tc>
        <w:tc>
          <w:tcPr>
            <w:tcW w:w="1269" w:type="dxa"/>
          </w:tcPr>
          <w:p w:rsidR="0072310B" w:rsidRDefault="00783925">
            <w:pPr>
              <w:jc w:val="center"/>
              <w:rPr>
                <w:rFonts w:ascii="Arial Narrow" w:hAnsi="Arial Narrow"/>
                <w:sz w:val="20"/>
                <w:szCs w:val="20"/>
              </w:rPr>
            </w:pPr>
            <w:r>
              <w:rPr>
                <w:rFonts w:ascii="Arial Narrow" w:hAnsi="Arial Narrow"/>
                <w:sz w:val="20"/>
                <w:szCs w:val="20"/>
              </w:rPr>
              <w:t>5 (0.9%)</w:t>
            </w:r>
          </w:p>
        </w:tc>
        <w:tc>
          <w:tcPr>
            <w:tcW w:w="1410"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NR</w:t>
            </w:r>
          </w:p>
        </w:tc>
        <w:tc>
          <w:tcPr>
            <w:tcW w:w="1409" w:type="dxa"/>
          </w:tcPr>
          <w:p w:rsidR="0072310B" w:rsidRDefault="00783925">
            <w:pPr>
              <w:jc w:val="center"/>
              <w:rPr>
                <w:rFonts w:ascii="Arial Narrow" w:hAnsi="Arial Narrow"/>
                <w:sz w:val="20"/>
                <w:szCs w:val="20"/>
              </w:rPr>
            </w:pPr>
            <w:r>
              <w:rPr>
                <w:rFonts w:ascii="Arial Narrow" w:hAnsi="Arial Narrow"/>
                <w:sz w:val="20"/>
                <w:szCs w:val="20"/>
              </w:rPr>
              <w:t>NR</w:t>
            </w:r>
          </w:p>
        </w:tc>
      </w:tr>
      <w:tr w:rsidR="0072310B" w:rsidTr="00787712">
        <w:tc>
          <w:tcPr>
            <w:tcW w:w="3379" w:type="dxa"/>
          </w:tcPr>
          <w:p w:rsidR="0072310B" w:rsidRDefault="00783925">
            <w:pPr>
              <w:tabs>
                <w:tab w:val="left" w:pos="142"/>
              </w:tabs>
              <w:jc w:val="left"/>
              <w:rPr>
                <w:rFonts w:ascii="Arial Narrow" w:hAnsi="Arial Narrow"/>
                <w:sz w:val="20"/>
                <w:szCs w:val="20"/>
              </w:rPr>
            </w:pPr>
            <w:r>
              <w:rPr>
                <w:rFonts w:ascii="Arial Narrow" w:hAnsi="Arial Narrow"/>
                <w:sz w:val="20"/>
                <w:szCs w:val="20"/>
              </w:rPr>
              <w:tab/>
              <w:t>Headache</w:t>
            </w:r>
          </w:p>
        </w:tc>
        <w:tc>
          <w:tcPr>
            <w:tcW w:w="1550" w:type="dxa"/>
          </w:tcPr>
          <w:p w:rsidR="0072310B" w:rsidRDefault="00D95519">
            <w:pPr>
              <w:jc w:val="center"/>
              <w:rPr>
                <w:rFonts w:ascii="Arial Narrow" w:hAnsi="Arial Narrow"/>
                <w:sz w:val="20"/>
                <w:szCs w:val="20"/>
              </w:rPr>
            </w:pPr>
            <w:r>
              <w:rPr>
                <w:rFonts w:ascii="Arial Narrow" w:hAnsi="Arial Narrow"/>
                <w:noProof/>
                <w:color w:val="000000"/>
                <w:sz w:val="20"/>
                <w:szCs w:val="20"/>
                <w:highlight w:val="black"/>
              </w:rPr>
              <w:t>''''</w:t>
            </w:r>
            <w:r w:rsidR="00783925">
              <w:rPr>
                <w:rFonts w:ascii="Arial Narrow" w:hAnsi="Arial Narrow"/>
                <w:sz w:val="20"/>
                <w:szCs w:val="20"/>
              </w:rPr>
              <w:t xml:space="preserve"> (</w:t>
            </w:r>
            <w:r>
              <w:rPr>
                <w:rFonts w:ascii="Arial Narrow" w:hAnsi="Arial Narrow"/>
                <w:noProof/>
                <w:color w:val="000000"/>
                <w:sz w:val="20"/>
                <w:szCs w:val="20"/>
                <w:highlight w:val="black"/>
              </w:rPr>
              <w:t>''''''''</w:t>
            </w:r>
            <w:r w:rsidR="00783925">
              <w:rPr>
                <w:rFonts w:ascii="Arial Narrow" w:hAnsi="Arial Narrow"/>
                <w:sz w:val="20"/>
                <w:szCs w:val="20"/>
              </w:rPr>
              <w:t>%)</w:t>
            </w:r>
          </w:p>
        </w:tc>
        <w:tc>
          <w:tcPr>
            <w:tcW w:w="1269" w:type="dxa"/>
          </w:tcPr>
          <w:p w:rsidR="0072310B" w:rsidRDefault="00D95519">
            <w:pPr>
              <w:jc w:val="center"/>
              <w:rPr>
                <w:rFonts w:ascii="Arial Narrow" w:hAnsi="Arial Narrow"/>
                <w:sz w:val="20"/>
                <w:szCs w:val="20"/>
              </w:rPr>
            </w:pPr>
            <w:r>
              <w:rPr>
                <w:rFonts w:ascii="Arial Narrow" w:hAnsi="Arial Narrow"/>
                <w:noProof/>
                <w:color w:val="000000"/>
                <w:sz w:val="20"/>
                <w:szCs w:val="20"/>
                <w:highlight w:val="black"/>
              </w:rPr>
              <w:t>'''</w:t>
            </w:r>
            <w:r w:rsidR="00783925">
              <w:rPr>
                <w:rFonts w:ascii="Arial Narrow" w:hAnsi="Arial Narrow"/>
                <w:sz w:val="20"/>
                <w:szCs w:val="20"/>
              </w:rPr>
              <w:t xml:space="preserve"> (</w:t>
            </w:r>
            <w:r>
              <w:rPr>
                <w:rFonts w:ascii="Arial Narrow" w:hAnsi="Arial Narrow"/>
                <w:noProof/>
                <w:color w:val="000000"/>
                <w:sz w:val="20"/>
                <w:szCs w:val="20"/>
                <w:highlight w:val="black"/>
              </w:rPr>
              <w:t>'''''''''</w:t>
            </w:r>
            <w:r w:rsidR="00783925">
              <w:rPr>
                <w:rFonts w:ascii="Arial Narrow" w:hAnsi="Arial Narrow"/>
                <w:sz w:val="20"/>
                <w:szCs w:val="20"/>
              </w:rPr>
              <w:t>%)</w:t>
            </w:r>
          </w:p>
        </w:tc>
        <w:tc>
          <w:tcPr>
            <w:tcW w:w="1410"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20 (2.9%)</w:t>
            </w:r>
          </w:p>
        </w:tc>
        <w:tc>
          <w:tcPr>
            <w:tcW w:w="1409" w:type="dxa"/>
          </w:tcPr>
          <w:p w:rsidR="0072310B" w:rsidRDefault="00783925">
            <w:pPr>
              <w:jc w:val="center"/>
              <w:rPr>
                <w:rFonts w:ascii="Arial Narrow" w:hAnsi="Arial Narrow"/>
                <w:sz w:val="20"/>
                <w:szCs w:val="20"/>
              </w:rPr>
            </w:pPr>
            <w:r>
              <w:rPr>
                <w:rFonts w:ascii="Arial Narrow" w:hAnsi="Arial Narrow"/>
                <w:sz w:val="20"/>
                <w:szCs w:val="20"/>
              </w:rPr>
              <w:t>11 (1.6%)</w:t>
            </w:r>
          </w:p>
        </w:tc>
      </w:tr>
      <w:tr w:rsidR="0072310B" w:rsidTr="00787712">
        <w:tc>
          <w:tcPr>
            <w:tcW w:w="3379" w:type="dxa"/>
          </w:tcPr>
          <w:p w:rsidR="0072310B" w:rsidRDefault="00783925">
            <w:pPr>
              <w:tabs>
                <w:tab w:val="left" w:pos="142"/>
              </w:tabs>
              <w:jc w:val="left"/>
              <w:rPr>
                <w:rFonts w:ascii="Arial Narrow" w:hAnsi="Arial Narrow"/>
                <w:sz w:val="20"/>
                <w:szCs w:val="20"/>
              </w:rPr>
            </w:pPr>
            <w:r>
              <w:rPr>
                <w:rFonts w:ascii="Arial Narrow" w:hAnsi="Arial Narrow"/>
                <w:sz w:val="20"/>
                <w:szCs w:val="20"/>
              </w:rPr>
              <w:tab/>
              <w:t>Neck pain</w:t>
            </w:r>
          </w:p>
        </w:tc>
        <w:tc>
          <w:tcPr>
            <w:tcW w:w="1550" w:type="dxa"/>
          </w:tcPr>
          <w:p w:rsidR="0072310B" w:rsidRDefault="00D95519">
            <w:pPr>
              <w:jc w:val="center"/>
              <w:rPr>
                <w:rFonts w:ascii="Arial Narrow" w:hAnsi="Arial Narrow"/>
                <w:sz w:val="20"/>
                <w:szCs w:val="20"/>
              </w:rPr>
            </w:pPr>
            <w:r>
              <w:rPr>
                <w:rFonts w:ascii="Arial Narrow" w:hAnsi="Arial Narrow"/>
                <w:noProof/>
                <w:color w:val="000000"/>
                <w:sz w:val="20"/>
                <w:szCs w:val="20"/>
                <w:highlight w:val="black"/>
              </w:rPr>
              <w:t>''''</w:t>
            </w:r>
            <w:r w:rsidR="00783925">
              <w:rPr>
                <w:rFonts w:ascii="Arial Narrow" w:hAnsi="Arial Narrow"/>
                <w:sz w:val="20"/>
                <w:szCs w:val="20"/>
              </w:rPr>
              <w:t xml:space="preserve"> (</w:t>
            </w:r>
            <w:r>
              <w:rPr>
                <w:rFonts w:ascii="Arial Narrow" w:hAnsi="Arial Narrow"/>
                <w:noProof/>
                <w:color w:val="000000"/>
                <w:sz w:val="20"/>
                <w:szCs w:val="20"/>
                <w:highlight w:val="black"/>
              </w:rPr>
              <w:t>''''''''</w:t>
            </w:r>
            <w:r w:rsidR="00783925">
              <w:rPr>
                <w:rFonts w:ascii="Arial Narrow" w:hAnsi="Arial Narrow"/>
                <w:sz w:val="20"/>
                <w:szCs w:val="20"/>
              </w:rPr>
              <w:t>%)</w:t>
            </w:r>
            <w:r w:rsidR="00783925">
              <w:rPr>
                <w:rFonts w:ascii="Arial Narrow" w:hAnsi="Arial Narrow"/>
                <w:sz w:val="20"/>
                <w:szCs w:val="20"/>
                <w:vertAlign w:val="superscript"/>
              </w:rPr>
              <w:t>a</w:t>
            </w:r>
          </w:p>
        </w:tc>
        <w:tc>
          <w:tcPr>
            <w:tcW w:w="1269" w:type="dxa"/>
          </w:tcPr>
          <w:p w:rsidR="0072310B" w:rsidRDefault="00D95519">
            <w:pPr>
              <w:jc w:val="center"/>
              <w:rPr>
                <w:rFonts w:ascii="Arial Narrow" w:hAnsi="Arial Narrow"/>
                <w:sz w:val="20"/>
                <w:szCs w:val="20"/>
              </w:rPr>
            </w:pPr>
            <w:r>
              <w:rPr>
                <w:rFonts w:ascii="Arial Narrow" w:hAnsi="Arial Narrow"/>
                <w:noProof/>
                <w:color w:val="000000"/>
                <w:sz w:val="20"/>
                <w:szCs w:val="20"/>
                <w:highlight w:val="black"/>
              </w:rPr>
              <w:t>''''</w:t>
            </w:r>
            <w:r w:rsidR="00783925">
              <w:rPr>
                <w:rFonts w:ascii="Arial Narrow" w:hAnsi="Arial Narrow"/>
                <w:sz w:val="20"/>
                <w:szCs w:val="20"/>
              </w:rPr>
              <w:t xml:space="preserve"> (</w:t>
            </w:r>
            <w:r>
              <w:rPr>
                <w:rFonts w:ascii="Arial Narrow" w:hAnsi="Arial Narrow"/>
                <w:noProof/>
                <w:color w:val="000000"/>
                <w:sz w:val="20"/>
                <w:szCs w:val="20"/>
                <w:highlight w:val="black"/>
              </w:rPr>
              <w:t>''''</w:t>
            </w:r>
            <w:r w:rsidR="00783925">
              <w:rPr>
                <w:rFonts w:ascii="Arial Narrow" w:hAnsi="Arial Narrow"/>
                <w:sz w:val="20"/>
                <w:szCs w:val="20"/>
              </w:rPr>
              <w:t>%)</w:t>
            </w:r>
          </w:p>
        </w:tc>
        <w:tc>
          <w:tcPr>
            <w:tcW w:w="1410"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46 (6.7%)</w:t>
            </w:r>
          </w:p>
        </w:tc>
        <w:tc>
          <w:tcPr>
            <w:tcW w:w="1409" w:type="dxa"/>
          </w:tcPr>
          <w:p w:rsidR="0072310B" w:rsidRDefault="00783925">
            <w:pPr>
              <w:jc w:val="center"/>
              <w:rPr>
                <w:rFonts w:ascii="Arial Narrow" w:hAnsi="Arial Narrow"/>
                <w:sz w:val="20"/>
                <w:szCs w:val="20"/>
              </w:rPr>
            </w:pPr>
            <w:r>
              <w:rPr>
                <w:rFonts w:ascii="Arial Narrow" w:hAnsi="Arial Narrow"/>
                <w:sz w:val="20"/>
                <w:szCs w:val="20"/>
              </w:rPr>
              <w:t>15 (2.2%)</w:t>
            </w:r>
          </w:p>
        </w:tc>
      </w:tr>
      <w:tr w:rsidR="0072310B" w:rsidTr="00787712">
        <w:tc>
          <w:tcPr>
            <w:tcW w:w="3379" w:type="dxa"/>
          </w:tcPr>
          <w:p w:rsidR="0072310B" w:rsidRDefault="00783925">
            <w:pPr>
              <w:tabs>
                <w:tab w:val="left" w:pos="142"/>
              </w:tabs>
              <w:jc w:val="left"/>
              <w:rPr>
                <w:rFonts w:ascii="Arial Narrow" w:hAnsi="Arial Narrow"/>
                <w:sz w:val="20"/>
                <w:szCs w:val="20"/>
              </w:rPr>
            </w:pPr>
            <w:r>
              <w:rPr>
                <w:rFonts w:ascii="Arial Narrow" w:hAnsi="Arial Narrow"/>
                <w:sz w:val="20"/>
                <w:szCs w:val="20"/>
              </w:rPr>
              <w:tab/>
              <w:t>Nausea</w:t>
            </w:r>
          </w:p>
        </w:tc>
        <w:tc>
          <w:tcPr>
            <w:tcW w:w="1550" w:type="dxa"/>
          </w:tcPr>
          <w:p w:rsidR="0072310B" w:rsidRDefault="00D95519">
            <w:pPr>
              <w:jc w:val="center"/>
              <w:rPr>
                <w:rFonts w:ascii="Arial Narrow" w:hAnsi="Arial Narrow"/>
                <w:sz w:val="20"/>
                <w:szCs w:val="20"/>
              </w:rPr>
            </w:pPr>
            <w:r>
              <w:rPr>
                <w:rFonts w:ascii="Arial Narrow" w:hAnsi="Arial Narrow"/>
                <w:noProof/>
                <w:color w:val="000000"/>
                <w:sz w:val="20"/>
                <w:szCs w:val="20"/>
                <w:highlight w:val="black"/>
              </w:rPr>
              <w:t>''''</w:t>
            </w:r>
            <w:r w:rsidR="00783925">
              <w:rPr>
                <w:rFonts w:ascii="Arial Narrow" w:hAnsi="Arial Narrow"/>
                <w:sz w:val="20"/>
                <w:szCs w:val="20"/>
              </w:rPr>
              <w:t xml:space="preserve"> (</w:t>
            </w:r>
            <w:r>
              <w:rPr>
                <w:rFonts w:ascii="Arial Narrow" w:hAnsi="Arial Narrow"/>
                <w:noProof/>
                <w:color w:val="000000"/>
                <w:sz w:val="20"/>
                <w:szCs w:val="20"/>
                <w:highlight w:val="black"/>
              </w:rPr>
              <w:t>'''''''</w:t>
            </w:r>
            <w:r w:rsidR="00783925">
              <w:rPr>
                <w:rFonts w:ascii="Arial Narrow" w:hAnsi="Arial Narrow"/>
                <w:sz w:val="20"/>
                <w:szCs w:val="20"/>
              </w:rPr>
              <w:t>%)</w:t>
            </w:r>
          </w:p>
        </w:tc>
        <w:tc>
          <w:tcPr>
            <w:tcW w:w="1269" w:type="dxa"/>
          </w:tcPr>
          <w:p w:rsidR="0072310B" w:rsidRDefault="00D95519">
            <w:pPr>
              <w:jc w:val="center"/>
              <w:rPr>
                <w:rFonts w:ascii="Arial Narrow" w:hAnsi="Arial Narrow"/>
                <w:sz w:val="20"/>
                <w:szCs w:val="20"/>
              </w:rPr>
            </w:pPr>
            <w:r>
              <w:rPr>
                <w:rFonts w:ascii="Arial Narrow" w:hAnsi="Arial Narrow"/>
                <w:noProof/>
                <w:color w:val="000000"/>
                <w:sz w:val="20"/>
                <w:szCs w:val="20"/>
                <w:highlight w:val="black"/>
              </w:rPr>
              <w:t>''''''</w:t>
            </w:r>
            <w:r w:rsidR="00783925">
              <w:rPr>
                <w:rFonts w:ascii="Arial Narrow" w:hAnsi="Arial Narrow"/>
                <w:sz w:val="20"/>
                <w:szCs w:val="20"/>
              </w:rPr>
              <w:t xml:space="preserve"> (</w:t>
            </w:r>
            <w:r>
              <w:rPr>
                <w:rFonts w:ascii="Arial Narrow" w:hAnsi="Arial Narrow"/>
                <w:noProof/>
                <w:color w:val="000000"/>
                <w:sz w:val="20"/>
                <w:szCs w:val="20"/>
                <w:highlight w:val="black"/>
              </w:rPr>
              <w:t>'''''''''</w:t>
            </w:r>
            <w:r w:rsidR="00783925">
              <w:rPr>
                <w:rFonts w:ascii="Arial Narrow" w:hAnsi="Arial Narrow"/>
                <w:sz w:val="20"/>
                <w:szCs w:val="20"/>
              </w:rPr>
              <w:t>%)</w:t>
            </w:r>
          </w:p>
        </w:tc>
        <w:tc>
          <w:tcPr>
            <w:tcW w:w="1410"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NR</w:t>
            </w:r>
          </w:p>
        </w:tc>
        <w:tc>
          <w:tcPr>
            <w:tcW w:w="1409" w:type="dxa"/>
          </w:tcPr>
          <w:p w:rsidR="0072310B" w:rsidRDefault="00783925">
            <w:pPr>
              <w:jc w:val="center"/>
              <w:rPr>
                <w:rFonts w:ascii="Arial Narrow" w:hAnsi="Arial Narrow"/>
                <w:sz w:val="20"/>
                <w:szCs w:val="20"/>
              </w:rPr>
            </w:pPr>
            <w:r>
              <w:rPr>
                <w:rFonts w:ascii="Arial Narrow" w:hAnsi="Arial Narrow"/>
                <w:sz w:val="20"/>
                <w:szCs w:val="20"/>
              </w:rPr>
              <w:t>NR</w:t>
            </w:r>
          </w:p>
        </w:tc>
      </w:tr>
      <w:tr w:rsidR="0072310B" w:rsidTr="00787712">
        <w:tc>
          <w:tcPr>
            <w:tcW w:w="3379" w:type="dxa"/>
          </w:tcPr>
          <w:p w:rsidR="0072310B" w:rsidRDefault="00783925">
            <w:pPr>
              <w:tabs>
                <w:tab w:val="left" w:pos="142"/>
              </w:tabs>
              <w:jc w:val="left"/>
              <w:rPr>
                <w:rFonts w:ascii="Arial Narrow" w:hAnsi="Arial Narrow"/>
                <w:sz w:val="20"/>
                <w:szCs w:val="20"/>
              </w:rPr>
            </w:pPr>
            <w:r>
              <w:rPr>
                <w:rFonts w:ascii="Arial Narrow" w:hAnsi="Arial Narrow"/>
                <w:sz w:val="20"/>
                <w:szCs w:val="20"/>
              </w:rPr>
              <w:tab/>
              <w:t>Dizziness</w:t>
            </w:r>
          </w:p>
        </w:tc>
        <w:tc>
          <w:tcPr>
            <w:tcW w:w="1550" w:type="dxa"/>
          </w:tcPr>
          <w:p w:rsidR="0072310B" w:rsidRDefault="00D95519">
            <w:pPr>
              <w:jc w:val="center"/>
              <w:rPr>
                <w:rFonts w:ascii="Arial Narrow" w:hAnsi="Arial Narrow"/>
                <w:sz w:val="20"/>
                <w:szCs w:val="20"/>
              </w:rPr>
            </w:pPr>
            <w:r>
              <w:rPr>
                <w:rFonts w:ascii="Arial Narrow" w:hAnsi="Arial Narrow"/>
                <w:noProof/>
                <w:color w:val="000000"/>
                <w:sz w:val="20"/>
                <w:szCs w:val="20"/>
                <w:highlight w:val="black"/>
              </w:rPr>
              <w:t>'''</w:t>
            </w:r>
            <w:r w:rsidR="00783925">
              <w:rPr>
                <w:rFonts w:ascii="Arial Narrow" w:hAnsi="Arial Narrow"/>
                <w:sz w:val="20"/>
                <w:szCs w:val="20"/>
              </w:rPr>
              <w:t xml:space="preserve"> (</w:t>
            </w:r>
            <w:r>
              <w:rPr>
                <w:rFonts w:ascii="Arial Narrow" w:hAnsi="Arial Narrow"/>
                <w:noProof/>
                <w:color w:val="000000"/>
                <w:sz w:val="20"/>
                <w:szCs w:val="20"/>
                <w:highlight w:val="black"/>
              </w:rPr>
              <w:t>'''''''''</w:t>
            </w:r>
            <w:r w:rsidR="00783925">
              <w:rPr>
                <w:rFonts w:ascii="Arial Narrow" w:hAnsi="Arial Narrow"/>
                <w:sz w:val="20"/>
                <w:szCs w:val="20"/>
              </w:rPr>
              <w:t>%)</w:t>
            </w:r>
          </w:p>
        </w:tc>
        <w:tc>
          <w:tcPr>
            <w:tcW w:w="1269" w:type="dxa"/>
          </w:tcPr>
          <w:p w:rsidR="0072310B" w:rsidRDefault="00D95519">
            <w:pPr>
              <w:jc w:val="center"/>
              <w:rPr>
                <w:rFonts w:ascii="Arial Narrow" w:hAnsi="Arial Narrow"/>
                <w:sz w:val="20"/>
                <w:szCs w:val="20"/>
              </w:rPr>
            </w:pPr>
            <w:r>
              <w:rPr>
                <w:rFonts w:ascii="Arial Narrow" w:hAnsi="Arial Narrow"/>
                <w:noProof/>
                <w:color w:val="000000"/>
                <w:sz w:val="20"/>
                <w:szCs w:val="20"/>
                <w:highlight w:val="black"/>
              </w:rPr>
              <w:t>''''''</w:t>
            </w:r>
            <w:r w:rsidR="00783925">
              <w:rPr>
                <w:rFonts w:ascii="Arial Narrow" w:hAnsi="Arial Narrow"/>
                <w:sz w:val="20"/>
                <w:szCs w:val="20"/>
              </w:rPr>
              <w:t xml:space="preserve"> (</w:t>
            </w:r>
            <w:r>
              <w:rPr>
                <w:rFonts w:ascii="Arial Narrow" w:hAnsi="Arial Narrow"/>
                <w:noProof/>
                <w:color w:val="000000"/>
                <w:sz w:val="20"/>
                <w:szCs w:val="20"/>
                <w:highlight w:val="black"/>
              </w:rPr>
              <w:t>''''''''</w:t>
            </w:r>
            <w:r w:rsidR="00783925">
              <w:rPr>
                <w:rFonts w:ascii="Arial Narrow" w:hAnsi="Arial Narrow"/>
                <w:sz w:val="20"/>
                <w:szCs w:val="20"/>
              </w:rPr>
              <w:t>%)</w:t>
            </w:r>
          </w:p>
        </w:tc>
        <w:tc>
          <w:tcPr>
            <w:tcW w:w="1410"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NR</w:t>
            </w:r>
          </w:p>
        </w:tc>
        <w:tc>
          <w:tcPr>
            <w:tcW w:w="1409" w:type="dxa"/>
          </w:tcPr>
          <w:p w:rsidR="0072310B" w:rsidRDefault="00783925">
            <w:pPr>
              <w:jc w:val="center"/>
              <w:rPr>
                <w:rFonts w:ascii="Arial Narrow" w:hAnsi="Arial Narrow"/>
                <w:sz w:val="20"/>
                <w:szCs w:val="20"/>
              </w:rPr>
            </w:pPr>
            <w:r>
              <w:rPr>
                <w:rFonts w:ascii="Arial Narrow" w:hAnsi="Arial Narrow"/>
                <w:sz w:val="20"/>
                <w:szCs w:val="20"/>
              </w:rPr>
              <w:t>NR</w:t>
            </w:r>
          </w:p>
        </w:tc>
      </w:tr>
      <w:tr w:rsidR="0072310B" w:rsidTr="00787712">
        <w:tc>
          <w:tcPr>
            <w:tcW w:w="3379" w:type="dxa"/>
          </w:tcPr>
          <w:p w:rsidR="0072310B" w:rsidRDefault="00783925">
            <w:pPr>
              <w:tabs>
                <w:tab w:val="left" w:pos="142"/>
              </w:tabs>
              <w:jc w:val="left"/>
              <w:rPr>
                <w:rFonts w:ascii="Arial Narrow" w:hAnsi="Arial Narrow"/>
                <w:sz w:val="20"/>
                <w:szCs w:val="20"/>
              </w:rPr>
            </w:pPr>
            <w:r>
              <w:rPr>
                <w:rFonts w:ascii="Arial Narrow" w:hAnsi="Arial Narrow"/>
                <w:sz w:val="20"/>
                <w:szCs w:val="20"/>
              </w:rPr>
              <w:tab/>
              <w:t>Muscular weakness</w:t>
            </w:r>
          </w:p>
        </w:tc>
        <w:tc>
          <w:tcPr>
            <w:tcW w:w="1550" w:type="dxa"/>
          </w:tcPr>
          <w:p w:rsidR="0072310B" w:rsidRPr="00D95519" w:rsidRDefault="00D9551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69" w:type="dxa"/>
          </w:tcPr>
          <w:p w:rsidR="0072310B" w:rsidRPr="00D95519" w:rsidRDefault="00D9551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410"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38 (5.5%)</w:t>
            </w:r>
          </w:p>
        </w:tc>
        <w:tc>
          <w:tcPr>
            <w:tcW w:w="1409" w:type="dxa"/>
          </w:tcPr>
          <w:p w:rsidR="0072310B" w:rsidRDefault="00783925">
            <w:pPr>
              <w:jc w:val="center"/>
              <w:rPr>
                <w:rFonts w:ascii="Arial Narrow" w:hAnsi="Arial Narrow"/>
                <w:sz w:val="20"/>
                <w:szCs w:val="20"/>
              </w:rPr>
            </w:pPr>
            <w:r>
              <w:rPr>
                <w:rFonts w:ascii="Arial Narrow" w:hAnsi="Arial Narrow"/>
                <w:sz w:val="20"/>
                <w:szCs w:val="20"/>
              </w:rPr>
              <w:t>2 (0.3%)</w:t>
            </w:r>
          </w:p>
        </w:tc>
      </w:tr>
      <w:tr w:rsidR="0072310B" w:rsidTr="00787712">
        <w:tc>
          <w:tcPr>
            <w:tcW w:w="3379" w:type="dxa"/>
          </w:tcPr>
          <w:p w:rsidR="0072310B" w:rsidRDefault="00783925">
            <w:pPr>
              <w:tabs>
                <w:tab w:val="left" w:pos="142"/>
              </w:tabs>
              <w:jc w:val="left"/>
              <w:rPr>
                <w:rFonts w:ascii="Arial Narrow" w:hAnsi="Arial Narrow"/>
                <w:sz w:val="20"/>
                <w:szCs w:val="20"/>
              </w:rPr>
            </w:pPr>
            <w:r>
              <w:rPr>
                <w:rFonts w:ascii="Arial Narrow" w:hAnsi="Arial Narrow"/>
                <w:sz w:val="20"/>
                <w:szCs w:val="20"/>
              </w:rPr>
              <w:tab/>
              <w:t>Musculoskeletal pain</w:t>
            </w:r>
          </w:p>
        </w:tc>
        <w:tc>
          <w:tcPr>
            <w:tcW w:w="1550" w:type="dxa"/>
          </w:tcPr>
          <w:p w:rsidR="0072310B" w:rsidRPr="00D95519" w:rsidRDefault="00D9551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69" w:type="dxa"/>
          </w:tcPr>
          <w:p w:rsidR="0072310B" w:rsidRPr="00D95519" w:rsidRDefault="00D9551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410"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15 (2.2%)</w:t>
            </w:r>
          </w:p>
        </w:tc>
        <w:tc>
          <w:tcPr>
            <w:tcW w:w="1409" w:type="dxa"/>
          </w:tcPr>
          <w:p w:rsidR="0072310B" w:rsidRDefault="00783925">
            <w:pPr>
              <w:jc w:val="center"/>
              <w:rPr>
                <w:rFonts w:ascii="Arial Narrow" w:hAnsi="Arial Narrow"/>
                <w:sz w:val="20"/>
                <w:szCs w:val="20"/>
              </w:rPr>
            </w:pPr>
            <w:r>
              <w:rPr>
                <w:rFonts w:ascii="Arial Narrow" w:hAnsi="Arial Narrow"/>
                <w:sz w:val="20"/>
                <w:szCs w:val="20"/>
              </w:rPr>
              <w:t>5 (0.7%)</w:t>
            </w:r>
          </w:p>
        </w:tc>
      </w:tr>
      <w:tr w:rsidR="0072310B" w:rsidTr="00787712">
        <w:tc>
          <w:tcPr>
            <w:tcW w:w="3379" w:type="dxa"/>
          </w:tcPr>
          <w:p w:rsidR="0072310B" w:rsidRDefault="00783925">
            <w:pPr>
              <w:tabs>
                <w:tab w:val="left" w:pos="142"/>
              </w:tabs>
              <w:jc w:val="left"/>
              <w:rPr>
                <w:rFonts w:ascii="Arial Narrow" w:hAnsi="Arial Narrow"/>
                <w:sz w:val="20"/>
                <w:szCs w:val="20"/>
              </w:rPr>
            </w:pPr>
            <w:r>
              <w:rPr>
                <w:rFonts w:ascii="Arial Narrow" w:hAnsi="Arial Narrow"/>
                <w:sz w:val="20"/>
                <w:szCs w:val="20"/>
              </w:rPr>
              <w:tab/>
              <w:t>Musculoskeletal stiffness</w:t>
            </w:r>
          </w:p>
        </w:tc>
        <w:tc>
          <w:tcPr>
            <w:tcW w:w="1550" w:type="dxa"/>
          </w:tcPr>
          <w:p w:rsidR="0072310B" w:rsidRPr="00D95519" w:rsidRDefault="00D9551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69" w:type="dxa"/>
          </w:tcPr>
          <w:p w:rsidR="0072310B" w:rsidRPr="00D95519" w:rsidRDefault="00D9551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410"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16 (2.3%)</w:t>
            </w:r>
          </w:p>
        </w:tc>
        <w:tc>
          <w:tcPr>
            <w:tcW w:w="1409" w:type="dxa"/>
          </w:tcPr>
          <w:p w:rsidR="0072310B" w:rsidRDefault="00783925">
            <w:pPr>
              <w:jc w:val="center"/>
              <w:rPr>
                <w:rFonts w:ascii="Arial Narrow" w:hAnsi="Arial Narrow"/>
                <w:sz w:val="20"/>
                <w:szCs w:val="20"/>
              </w:rPr>
            </w:pPr>
            <w:r>
              <w:rPr>
                <w:rFonts w:ascii="Arial Narrow" w:hAnsi="Arial Narrow"/>
                <w:sz w:val="20"/>
                <w:szCs w:val="20"/>
              </w:rPr>
              <w:t>5 (0.7%)</w:t>
            </w:r>
          </w:p>
        </w:tc>
      </w:tr>
      <w:tr w:rsidR="0072310B" w:rsidTr="00787712">
        <w:tc>
          <w:tcPr>
            <w:tcW w:w="3379" w:type="dxa"/>
          </w:tcPr>
          <w:p w:rsidR="0072310B" w:rsidRDefault="00783925">
            <w:pPr>
              <w:tabs>
                <w:tab w:val="left" w:pos="142"/>
              </w:tabs>
              <w:jc w:val="left"/>
              <w:rPr>
                <w:rFonts w:ascii="Arial Narrow" w:hAnsi="Arial Narrow"/>
                <w:sz w:val="20"/>
                <w:szCs w:val="20"/>
              </w:rPr>
            </w:pPr>
            <w:r>
              <w:rPr>
                <w:rFonts w:ascii="Arial Narrow" w:hAnsi="Arial Narrow"/>
                <w:sz w:val="20"/>
                <w:szCs w:val="20"/>
              </w:rPr>
              <w:tab/>
              <w:t>Eyelid ptosis</w:t>
            </w:r>
          </w:p>
        </w:tc>
        <w:tc>
          <w:tcPr>
            <w:tcW w:w="1550" w:type="dxa"/>
          </w:tcPr>
          <w:p w:rsidR="0072310B" w:rsidRPr="00D95519" w:rsidRDefault="00D9551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69" w:type="dxa"/>
          </w:tcPr>
          <w:p w:rsidR="0072310B" w:rsidRPr="00D95519" w:rsidRDefault="00D9551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410"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23 (3.3%)</w:t>
            </w:r>
          </w:p>
        </w:tc>
        <w:tc>
          <w:tcPr>
            <w:tcW w:w="1409" w:type="dxa"/>
          </w:tcPr>
          <w:p w:rsidR="0072310B" w:rsidRDefault="00783925">
            <w:pPr>
              <w:jc w:val="center"/>
              <w:rPr>
                <w:rFonts w:ascii="Arial Narrow" w:hAnsi="Arial Narrow"/>
                <w:sz w:val="20"/>
                <w:szCs w:val="20"/>
              </w:rPr>
            </w:pPr>
            <w:r>
              <w:rPr>
                <w:rFonts w:ascii="Arial Narrow" w:hAnsi="Arial Narrow"/>
                <w:sz w:val="20"/>
                <w:szCs w:val="20"/>
              </w:rPr>
              <w:t>2 (0.3%)</w:t>
            </w:r>
          </w:p>
        </w:tc>
      </w:tr>
      <w:tr w:rsidR="0072310B" w:rsidTr="00787712">
        <w:tc>
          <w:tcPr>
            <w:tcW w:w="3379" w:type="dxa"/>
          </w:tcPr>
          <w:p w:rsidR="0072310B" w:rsidRDefault="00783925">
            <w:pPr>
              <w:tabs>
                <w:tab w:val="left" w:pos="142"/>
              </w:tabs>
              <w:jc w:val="left"/>
              <w:rPr>
                <w:rFonts w:ascii="Arial Narrow" w:hAnsi="Arial Narrow"/>
                <w:sz w:val="20"/>
                <w:szCs w:val="20"/>
              </w:rPr>
            </w:pPr>
            <w:r>
              <w:rPr>
                <w:rFonts w:ascii="Arial Narrow" w:hAnsi="Arial Narrow"/>
                <w:sz w:val="20"/>
                <w:szCs w:val="20"/>
              </w:rPr>
              <w:tab/>
              <w:t>Myalgia</w:t>
            </w:r>
          </w:p>
        </w:tc>
        <w:tc>
          <w:tcPr>
            <w:tcW w:w="1550" w:type="dxa"/>
          </w:tcPr>
          <w:p w:rsidR="0072310B" w:rsidRPr="00D95519" w:rsidRDefault="00D9551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69" w:type="dxa"/>
          </w:tcPr>
          <w:p w:rsidR="0072310B" w:rsidRPr="00D95519" w:rsidRDefault="00D9551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410"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18 (2.6%)</w:t>
            </w:r>
          </w:p>
        </w:tc>
        <w:tc>
          <w:tcPr>
            <w:tcW w:w="1409" w:type="dxa"/>
          </w:tcPr>
          <w:p w:rsidR="0072310B" w:rsidRDefault="00783925">
            <w:pPr>
              <w:jc w:val="center"/>
              <w:rPr>
                <w:rFonts w:ascii="Arial Narrow" w:hAnsi="Arial Narrow"/>
                <w:sz w:val="20"/>
                <w:szCs w:val="20"/>
              </w:rPr>
            </w:pPr>
            <w:r>
              <w:rPr>
                <w:rFonts w:ascii="Arial Narrow" w:hAnsi="Arial Narrow"/>
                <w:sz w:val="20"/>
                <w:szCs w:val="20"/>
              </w:rPr>
              <w:t>2 (0.3%)</w:t>
            </w:r>
          </w:p>
        </w:tc>
      </w:tr>
      <w:tr w:rsidR="0072310B" w:rsidTr="00787712">
        <w:tc>
          <w:tcPr>
            <w:tcW w:w="3379" w:type="dxa"/>
            <w:vAlign w:val="center"/>
          </w:tcPr>
          <w:p w:rsidR="0072310B" w:rsidRDefault="00783925">
            <w:pPr>
              <w:tabs>
                <w:tab w:val="left" w:pos="142"/>
              </w:tabs>
              <w:jc w:val="left"/>
              <w:rPr>
                <w:rFonts w:ascii="Arial Narrow" w:hAnsi="Arial Narrow"/>
                <w:sz w:val="20"/>
                <w:szCs w:val="20"/>
              </w:rPr>
            </w:pPr>
            <w:r>
              <w:rPr>
                <w:rFonts w:ascii="Arial Narrow" w:hAnsi="Arial Narrow"/>
                <w:sz w:val="20"/>
                <w:szCs w:val="20"/>
              </w:rPr>
              <w:t>SAEs</w:t>
            </w:r>
          </w:p>
        </w:tc>
        <w:tc>
          <w:tcPr>
            <w:tcW w:w="1550" w:type="dxa"/>
          </w:tcPr>
          <w:p w:rsidR="0072310B" w:rsidRDefault="00783925">
            <w:pPr>
              <w:jc w:val="center"/>
              <w:rPr>
                <w:rFonts w:ascii="Arial Narrow" w:hAnsi="Arial Narrow"/>
                <w:sz w:val="20"/>
                <w:szCs w:val="20"/>
              </w:rPr>
            </w:pPr>
            <w:r>
              <w:rPr>
                <w:rFonts w:ascii="Arial Narrow" w:hAnsi="Arial Narrow"/>
                <w:sz w:val="20"/>
                <w:szCs w:val="20"/>
              </w:rPr>
              <w:t>1 (0.4%)</w:t>
            </w:r>
          </w:p>
        </w:tc>
        <w:tc>
          <w:tcPr>
            <w:tcW w:w="1269" w:type="dxa"/>
          </w:tcPr>
          <w:p w:rsidR="0072310B" w:rsidRDefault="00783925">
            <w:pPr>
              <w:jc w:val="center"/>
              <w:rPr>
                <w:rFonts w:ascii="Arial Narrow" w:hAnsi="Arial Narrow"/>
                <w:sz w:val="20"/>
                <w:szCs w:val="20"/>
              </w:rPr>
            </w:pPr>
            <w:r>
              <w:rPr>
                <w:rFonts w:ascii="Arial Narrow" w:hAnsi="Arial Narrow"/>
                <w:sz w:val="20"/>
                <w:szCs w:val="20"/>
              </w:rPr>
              <w:t>4 (0.7%)</w:t>
            </w:r>
          </w:p>
        </w:tc>
        <w:tc>
          <w:tcPr>
            <w:tcW w:w="1410"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33 (4.8%)</w:t>
            </w:r>
          </w:p>
        </w:tc>
        <w:tc>
          <w:tcPr>
            <w:tcW w:w="1409" w:type="dxa"/>
          </w:tcPr>
          <w:p w:rsidR="0072310B" w:rsidRDefault="00783925">
            <w:pPr>
              <w:jc w:val="center"/>
              <w:rPr>
                <w:rFonts w:ascii="Arial Narrow" w:hAnsi="Arial Narrow"/>
                <w:sz w:val="20"/>
                <w:szCs w:val="20"/>
              </w:rPr>
            </w:pPr>
            <w:r>
              <w:rPr>
                <w:rFonts w:ascii="Arial Narrow" w:hAnsi="Arial Narrow"/>
                <w:sz w:val="20"/>
                <w:szCs w:val="20"/>
              </w:rPr>
              <w:t>16 (2.3%)</w:t>
            </w:r>
          </w:p>
        </w:tc>
      </w:tr>
      <w:tr w:rsidR="0072310B" w:rsidTr="00787712">
        <w:tc>
          <w:tcPr>
            <w:tcW w:w="3379" w:type="dxa"/>
            <w:vAlign w:val="center"/>
          </w:tcPr>
          <w:p w:rsidR="0072310B" w:rsidRDefault="00783925">
            <w:pPr>
              <w:tabs>
                <w:tab w:val="left" w:pos="142"/>
              </w:tabs>
              <w:jc w:val="left"/>
              <w:rPr>
                <w:rFonts w:ascii="Arial Narrow" w:hAnsi="Arial Narrow"/>
                <w:sz w:val="20"/>
                <w:szCs w:val="20"/>
              </w:rPr>
            </w:pPr>
            <w:r>
              <w:rPr>
                <w:rFonts w:ascii="Arial Narrow" w:hAnsi="Arial Narrow"/>
                <w:sz w:val="20"/>
                <w:szCs w:val="20"/>
              </w:rPr>
              <w:tab/>
              <w:t>Patients with ≥1 SAE</w:t>
            </w:r>
          </w:p>
        </w:tc>
        <w:tc>
          <w:tcPr>
            <w:tcW w:w="1550" w:type="dxa"/>
          </w:tcPr>
          <w:p w:rsidR="0072310B" w:rsidRDefault="00783925">
            <w:pPr>
              <w:jc w:val="center"/>
              <w:rPr>
                <w:rFonts w:ascii="Arial Narrow" w:hAnsi="Arial Narrow"/>
                <w:sz w:val="20"/>
                <w:szCs w:val="20"/>
              </w:rPr>
            </w:pPr>
            <w:r>
              <w:rPr>
                <w:rFonts w:ascii="Arial Narrow" w:hAnsi="Arial Narrow"/>
                <w:sz w:val="20"/>
                <w:szCs w:val="20"/>
              </w:rPr>
              <w:t>1 (0.4%)</w:t>
            </w:r>
          </w:p>
        </w:tc>
        <w:tc>
          <w:tcPr>
            <w:tcW w:w="1269" w:type="dxa"/>
          </w:tcPr>
          <w:p w:rsidR="0072310B" w:rsidRDefault="00783925">
            <w:pPr>
              <w:jc w:val="center"/>
              <w:rPr>
                <w:rFonts w:ascii="Arial Narrow" w:hAnsi="Arial Narrow"/>
                <w:sz w:val="20"/>
                <w:szCs w:val="20"/>
              </w:rPr>
            </w:pPr>
            <w:r>
              <w:rPr>
                <w:rFonts w:ascii="Arial Narrow" w:hAnsi="Arial Narrow"/>
                <w:sz w:val="20"/>
                <w:szCs w:val="20"/>
              </w:rPr>
              <w:t>4 (0.7%)</w:t>
            </w:r>
          </w:p>
        </w:tc>
        <w:tc>
          <w:tcPr>
            <w:tcW w:w="1410"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33 (4.8%)</w:t>
            </w:r>
          </w:p>
        </w:tc>
        <w:tc>
          <w:tcPr>
            <w:tcW w:w="1409" w:type="dxa"/>
          </w:tcPr>
          <w:p w:rsidR="0072310B" w:rsidRDefault="00783925">
            <w:pPr>
              <w:jc w:val="center"/>
              <w:rPr>
                <w:rFonts w:ascii="Arial Narrow" w:hAnsi="Arial Narrow"/>
                <w:sz w:val="20"/>
                <w:szCs w:val="20"/>
              </w:rPr>
            </w:pPr>
            <w:r>
              <w:rPr>
                <w:rFonts w:ascii="Arial Narrow" w:hAnsi="Arial Narrow"/>
                <w:sz w:val="20"/>
                <w:szCs w:val="20"/>
              </w:rPr>
              <w:t>16 (2.3%)</w:t>
            </w:r>
          </w:p>
        </w:tc>
      </w:tr>
      <w:tr w:rsidR="0072310B" w:rsidTr="00787712">
        <w:tc>
          <w:tcPr>
            <w:tcW w:w="3379" w:type="dxa"/>
            <w:vAlign w:val="center"/>
          </w:tcPr>
          <w:p w:rsidR="0072310B" w:rsidRDefault="00783925">
            <w:pPr>
              <w:tabs>
                <w:tab w:val="left" w:pos="142"/>
              </w:tabs>
              <w:jc w:val="left"/>
              <w:rPr>
                <w:rFonts w:ascii="Arial Narrow" w:hAnsi="Arial Narrow"/>
                <w:sz w:val="20"/>
                <w:szCs w:val="20"/>
              </w:rPr>
            </w:pPr>
            <w:r>
              <w:rPr>
                <w:rFonts w:ascii="Arial Narrow" w:hAnsi="Arial Narrow"/>
                <w:sz w:val="20"/>
                <w:szCs w:val="20"/>
              </w:rPr>
              <w:t>Treatment-related SAEs</w:t>
            </w:r>
          </w:p>
        </w:tc>
        <w:tc>
          <w:tcPr>
            <w:tcW w:w="1550" w:type="dxa"/>
          </w:tcPr>
          <w:p w:rsidR="0072310B" w:rsidRDefault="00783925">
            <w:pPr>
              <w:jc w:val="center"/>
              <w:rPr>
                <w:rFonts w:ascii="Arial Narrow" w:hAnsi="Arial Narrow"/>
                <w:sz w:val="20"/>
                <w:szCs w:val="20"/>
              </w:rPr>
            </w:pPr>
            <w:r w:rsidRPr="00ED5EC9">
              <w:rPr>
                <w:rFonts w:ascii="Arial Narrow" w:hAnsi="Arial Narrow"/>
                <w:sz w:val="20"/>
                <w:szCs w:val="20"/>
              </w:rPr>
              <w:t>0</w:t>
            </w:r>
            <w:r>
              <w:rPr>
                <w:rFonts w:ascii="Arial Narrow" w:hAnsi="Arial Narrow"/>
                <w:sz w:val="20"/>
                <w:szCs w:val="20"/>
              </w:rPr>
              <w:t xml:space="preserve"> (</w:t>
            </w:r>
            <w:r w:rsidRPr="00ED5EC9">
              <w:rPr>
                <w:rFonts w:ascii="Arial Narrow" w:hAnsi="Arial Narrow"/>
                <w:sz w:val="20"/>
                <w:szCs w:val="20"/>
              </w:rPr>
              <w:t>0.0</w:t>
            </w:r>
            <w:r>
              <w:rPr>
                <w:rFonts w:ascii="Arial Narrow" w:hAnsi="Arial Narrow"/>
                <w:sz w:val="20"/>
                <w:szCs w:val="20"/>
              </w:rPr>
              <w:t>%)</w:t>
            </w:r>
          </w:p>
        </w:tc>
        <w:tc>
          <w:tcPr>
            <w:tcW w:w="1269" w:type="dxa"/>
          </w:tcPr>
          <w:p w:rsidR="0072310B" w:rsidRDefault="00783925">
            <w:pPr>
              <w:jc w:val="center"/>
              <w:rPr>
                <w:rFonts w:ascii="Arial Narrow" w:hAnsi="Arial Narrow"/>
                <w:sz w:val="20"/>
                <w:szCs w:val="20"/>
              </w:rPr>
            </w:pPr>
            <w:r w:rsidRPr="00ED5EC9">
              <w:rPr>
                <w:rFonts w:ascii="Arial Narrow" w:hAnsi="Arial Narrow"/>
                <w:sz w:val="20"/>
                <w:szCs w:val="20"/>
              </w:rPr>
              <w:t>0</w:t>
            </w:r>
            <w:r>
              <w:rPr>
                <w:rFonts w:ascii="Arial Narrow" w:hAnsi="Arial Narrow"/>
                <w:sz w:val="20"/>
                <w:szCs w:val="20"/>
              </w:rPr>
              <w:t xml:space="preserve"> (</w:t>
            </w:r>
            <w:r w:rsidRPr="00ED5EC9">
              <w:rPr>
                <w:rFonts w:ascii="Arial Narrow" w:hAnsi="Arial Narrow"/>
                <w:sz w:val="20"/>
                <w:szCs w:val="20"/>
              </w:rPr>
              <w:t>0.0</w:t>
            </w:r>
            <w:r>
              <w:rPr>
                <w:rFonts w:ascii="Arial Narrow" w:hAnsi="Arial Narrow"/>
                <w:sz w:val="20"/>
                <w:szCs w:val="20"/>
              </w:rPr>
              <w:t>%)</w:t>
            </w:r>
          </w:p>
        </w:tc>
        <w:tc>
          <w:tcPr>
            <w:tcW w:w="1410"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1 (0.1%)</w:t>
            </w:r>
          </w:p>
        </w:tc>
        <w:tc>
          <w:tcPr>
            <w:tcW w:w="1409" w:type="dxa"/>
          </w:tcPr>
          <w:p w:rsidR="0072310B" w:rsidRDefault="00783925">
            <w:pPr>
              <w:jc w:val="center"/>
              <w:rPr>
                <w:rFonts w:ascii="Arial Narrow" w:hAnsi="Arial Narrow"/>
                <w:sz w:val="20"/>
                <w:szCs w:val="20"/>
              </w:rPr>
            </w:pPr>
            <w:r>
              <w:rPr>
                <w:rFonts w:ascii="Arial Narrow" w:hAnsi="Arial Narrow"/>
                <w:sz w:val="20"/>
                <w:szCs w:val="20"/>
              </w:rPr>
              <w:t>0 (0.0%)</w:t>
            </w:r>
          </w:p>
        </w:tc>
      </w:tr>
      <w:tr w:rsidR="0072310B" w:rsidTr="00787712">
        <w:tc>
          <w:tcPr>
            <w:tcW w:w="3379" w:type="dxa"/>
            <w:vAlign w:val="center"/>
          </w:tcPr>
          <w:p w:rsidR="0072310B" w:rsidRDefault="00783925">
            <w:pPr>
              <w:tabs>
                <w:tab w:val="left" w:pos="142"/>
              </w:tabs>
              <w:jc w:val="left"/>
              <w:rPr>
                <w:rFonts w:ascii="Arial Narrow" w:hAnsi="Arial Narrow"/>
                <w:sz w:val="20"/>
                <w:szCs w:val="20"/>
              </w:rPr>
            </w:pPr>
            <w:r>
              <w:rPr>
                <w:rFonts w:ascii="Arial Narrow" w:hAnsi="Arial Narrow"/>
                <w:sz w:val="20"/>
                <w:szCs w:val="20"/>
              </w:rPr>
              <w:t>Discontinuation due to AEs</w:t>
            </w:r>
          </w:p>
        </w:tc>
        <w:tc>
          <w:tcPr>
            <w:tcW w:w="1550" w:type="dxa"/>
          </w:tcPr>
          <w:p w:rsidR="0072310B" w:rsidRDefault="00783925">
            <w:pPr>
              <w:jc w:val="center"/>
              <w:rPr>
                <w:rFonts w:ascii="Arial Narrow" w:hAnsi="Arial Narrow"/>
                <w:sz w:val="20"/>
                <w:szCs w:val="20"/>
              </w:rPr>
            </w:pPr>
            <w:r>
              <w:rPr>
                <w:rFonts w:ascii="Arial Narrow" w:hAnsi="Arial Narrow"/>
                <w:sz w:val="20"/>
                <w:szCs w:val="20"/>
              </w:rPr>
              <w:t>1 (0.4%)</w:t>
            </w:r>
          </w:p>
        </w:tc>
        <w:tc>
          <w:tcPr>
            <w:tcW w:w="1269" w:type="dxa"/>
          </w:tcPr>
          <w:p w:rsidR="0072310B" w:rsidRDefault="00783925">
            <w:pPr>
              <w:jc w:val="center"/>
              <w:rPr>
                <w:rFonts w:ascii="Arial Narrow" w:hAnsi="Arial Narrow"/>
                <w:sz w:val="20"/>
                <w:szCs w:val="20"/>
              </w:rPr>
            </w:pPr>
            <w:r>
              <w:rPr>
                <w:rFonts w:ascii="Arial Narrow" w:hAnsi="Arial Narrow"/>
                <w:sz w:val="20"/>
                <w:szCs w:val="20"/>
              </w:rPr>
              <w:t>6 (1.1%)</w:t>
            </w:r>
          </w:p>
        </w:tc>
        <w:tc>
          <w:tcPr>
            <w:tcW w:w="1410"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26 (3.8%)</w:t>
            </w:r>
          </w:p>
        </w:tc>
        <w:tc>
          <w:tcPr>
            <w:tcW w:w="1409" w:type="dxa"/>
          </w:tcPr>
          <w:p w:rsidR="0072310B" w:rsidRDefault="00783925">
            <w:pPr>
              <w:jc w:val="center"/>
              <w:rPr>
                <w:rFonts w:ascii="Arial Narrow" w:hAnsi="Arial Narrow"/>
                <w:sz w:val="20"/>
                <w:szCs w:val="20"/>
              </w:rPr>
            </w:pPr>
            <w:r>
              <w:rPr>
                <w:rFonts w:ascii="Arial Narrow" w:hAnsi="Arial Narrow"/>
                <w:sz w:val="20"/>
                <w:szCs w:val="20"/>
              </w:rPr>
              <w:t>8 (1.2%)</w:t>
            </w:r>
          </w:p>
        </w:tc>
      </w:tr>
      <w:tr w:rsidR="0072310B" w:rsidTr="00787712">
        <w:tc>
          <w:tcPr>
            <w:tcW w:w="3379" w:type="dxa"/>
            <w:vAlign w:val="center"/>
          </w:tcPr>
          <w:p w:rsidR="0072310B" w:rsidRDefault="00783925">
            <w:pPr>
              <w:tabs>
                <w:tab w:val="left" w:pos="142"/>
              </w:tabs>
              <w:jc w:val="left"/>
              <w:rPr>
                <w:rFonts w:ascii="Arial Narrow" w:hAnsi="Arial Narrow"/>
                <w:sz w:val="20"/>
                <w:szCs w:val="20"/>
              </w:rPr>
            </w:pPr>
            <w:r>
              <w:rPr>
                <w:rFonts w:ascii="Arial Narrow" w:hAnsi="Arial Narrow"/>
                <w:sz w:val="20"/>
                <w:szCs w:val="20"/>
              </w:rPr>
              <w:t>Deaths</w:t>
            </w:r>
          </w:p>
        </w:tc>
        <w:tc>
          <w:tcPr>
            <w:tcW w:w="1550" w:type="dxa"/>
          </w:tcPr>
          <w:p w:rsidR="0072310B" w:rsidRDefault="00783925">
            <w:pPr>
              <w:jc w:val="center"/>
              <w:rPr>
                <w:rFonts w:ascii="Arial Narrow" w:hAnsi="Arial Narrow"/>
                <w:sz w:val="20"/>
                <w:szCs w:val="20"/>
              </w:rPr>
            </w:pPr>
            <w:r>
              <w:rPr>
                <w:rFonts w:ascii="Arial Narrow" w:hAnsi="Arial Narrow"/>
                <w:sz w:val="20"/>
                <w:szCs w:val="20"/>
              </w:rPr>
              <w:t>0 (0.0%)</w:t>
            </w:r>
          </w:p>
        </w:tc>
        <w:tc>
          <w:tcPr>
            <w:tcW w:w="1269" w:type="dxa"/>
          </w:tcPr>
          <w:p w:rsidR="0072310B" w:rsidRDefault="00783925">
            <w:pPr>
              <w:jc w:val="center"/>
              <w:rPr>
                <w:rFonts w:ascii="Arial Narrow" w:hAnsi="Arial Narrow"/>
                <w:sz w:val="20"/>
                <w:szCs w:val="20"/>
              </w:rPr>
            </w:pPr>
            <w:r>
              <w:rPr>
                <w:rFonts w:ascii="Arial Narrow" w:hAnsi="Arial Narrow"/>
                <w:sz w:val="20"/>
                <w:szCs w:val="20"/>
              </w:rPr>
              <w:t>0 (0.0%)</w:t>
            </w:r>
          </w:p>
        </w:tc>
        <w:tc>
          <w:tcPr>
            <w:tcW w:w="1410"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0 (0.0%)</w:t>
            </w:r>
          </w:p>
        </w:tc>
        <w:tc>
          <w:tcPr>
            <w:tcW w:w="1409" w:type="dxa"/>
          </w:tcPr>
          <w:p w:rsidR="0072310B" w:rsidRDefault="00783925">
            <w:pPr>
              <w:jc w:val="center"/>
              <w:rPr>
                <w:rFonts w:ascii="Arial Narrow" w:hAnsi="Arial Narrow"/>
                <w:sz w:val="20"/>
                <w:szCs w:val="20"/>
              </w:rPr>
            </w:pPr>
            <w:r>
              <w:rPr>
                <w:rFonts w:ascii="Arial Narrow" w:hAnsi="Arial Narrow"/>
                <w:sz w:val="20"/>
                <w:szCs w:val="20"/>
              </w:rPr>
              <w:t>0 (0.0%)</w:t>
            </w:r>
          </w:p>
        </w:tc>
      </w:tr>
    </w:tbl>
    <w:p w:rsidR="0072310B" w:rsidRDefault="00783925">
      <w:pPr>
        <w:pStyle w:val="TableFooter"/>
        <w:tabs>
          <w:tab w:val="left" w:pos="142"/>
        </w:tabs>
      </w:pPr>
      <w:r>
        <w:rPr>
          <w:vertAlign w:val="superscript"/>
        </w:rPr>
        <w:t>a</w:t>
      </w:r>
      <w:r>
        <w:tab/>
        <w:t>Significantly different from placebo; p&lt;0.05</w:t>
      </w:r>
    </w:p>
    <w:p w:rsidR="0072310B" w:rsidRDefault="00783925">
      <w:pPr>
        <w:pStyle w:val="TableFooter"/>
      </w:pPr>
      <w:r>
        <w:t>AE=adverse events; NR=not reported; SAE=serious adverse events</w:t>
      </w:r>
    </w:p>
    <w:p w:rsidR="0072310B" w:rsidRDefault="00783925">
      <w:pPr>
        <w:pStyle w:val="TableFooter"/>
      </w:pPr>
      <w:r>
        <w:t>Source:</w:t>
      </w:r>
      <w:r w:rsidR="002535F9">
        <w:t xml:space="preserve"> </w:t>
      </w:r>
      <w:r>
        <w:t>Table 2.5.11, p78; Table 2.5.13, p80; and Table 2.5.14, p81 of the submission.</w:t>
      </w:r>
    </w:p>
    <w:p w:rsidR="0072310B" w:rsidRDefault="0072310B"/>
    <w:p w:rsidR="0072310B" w:rsidRDefault="00783925">
      <w:pPr>
        <w:pStyle w:val="ListParagraph"/>
        <w:numPr>
          <w:ilvl w:val="1"/>
          <w:numId w:val="3"/>
        </w:numPr>
        <w:spacing w:after="120"/>
      </w:pPr>
      <w:r>
        <w:t xml:space="preserve">Botox had a higher incidence of AEs, treatment-related AEs, serious AEs (SAEs) and discontinuation related to AEs in the pooled PREEMPT trials compared to galcanezumab-treated patients in REGAIN. </w:t>
      </w:r>
    </w:p>
    <w:p w:rsidR="0072310B" w:rsidRDefault="00783925">
      <w:pPr>
        <w:pStyle w:val="ListParagraph"/>
        <w:numPr>
          <w:ilvl w:val="1"/>
          <w:numId w:val="3"/>
        </w:numPr>
        <w:spacing w:after="120"/>
      </w:pPr>
      <w:r>
        <w:t>The PBAC noted the incidence of injection site pain was higher in the galcanezumab treatment arm (5.9%) in REGAIN compared to the Botox treatment arm (3.2%) in the pooled PREEMPT trials although the difference between active treatment and placebo for the AE of injection site pain was similar for the REGAIN and PREEMPT studies (1.6% and 1.2%, respectively).</w:t>
      </w:r>
    </w:p>
    <w:p w:rsidR="0072310B" w:rsidRDefault="00783925">
      <w:pPr>
        <w:pStyle w:val="ListParagraph"/>
        <w:numPr>
          <w:ilvl w:val="1"/>
          <w:numId w:val="3"/>
        </w:numPr>
        <w:spacing w:after="120"/>
      </w:pPr>
      <w:r>
        <w:t>In the treatment failure subgroup there were numerically higher incidences of AEs (73.1%) and treatment-related AEs (</w:t>
      </w:r>
      <w:r w:rsidR="00D95519">
        <w:rPr>
          <w:noProof/>
          <w:color w:val="000000"/>
          <w:highlight w:val="black"/>
        </w:rPr>
        <w:t>'''''''''''''</w:t>
      </w:r>
      <w:r>
        <w:t xml:space="preserve">) in the galcanezumab group compared to the placebo group (48.2% and </w:t>
      </w:r>
      <w:r w:rsidR="00D95519">
        <w:rPr>
          <w:noProof/>
          <w:color w:val="000000"/>
          <w:highlight w:val="black"/>
        </w:rPr>
        <w:t>''''''''</w:t>
      </w:r>
      <w:r>
        <w:t>%, respectively).</w:t>
      </w:r>
      <w:r w:rsidR="002535F9">
        <w:t xml:space="preserve"> </w:t>
      </w:r>
      <w:r>
        <w:t>The incidence of overall AEs and treatment-related AEs in the subgroup was higher than that observed in the ITT population.</w:t>
      </w:r>
    </w:p>
    <w:p w:rsidR="0072310B" w:rsidRDefault="00783925">
      <w:pPr>
        <w:pStyle w:val="ListParagraph"/>
        <w:numPr>
          <w:ilvl w:val="1"/>
          <w:numId w:val="3"/>
        </w:numPr>
        <w:spacing w:after="120"/>
      </w:pPr>
      <w:r>
        <w:t xml:space="preserve">The PBAC noted the REGAIN trial excluded patients with recent cardiovascular events and that there is a theoretical cardiovascular risk associated with CGRP inhibitors. The PBAC noted the proposed TGA Risk Management Plan included pharmacovigilance measures to address the risks associated with patients at high risk of cardiovascular and cerebrovascular events, including in patients ≥ 65 years; hypertension during pregnancy; use in pregnancy; and long-term safety (including malignancy). The PBAC also noted there is substantially more, longer-term safety data available for Botox in </w:t>
      </w:r>
      <w:r>
        <w:lastRenderedPageBreak/>
        <w:t xml:space="preserve">a broader patient population (i.e., use in migraine in a wider cross section of the population and across indications other than migraine). </w:t>
      </w:r>
    </w:p>
    <w:p w:rsidR="0072310B" w:rsidRDefault="00783925">
      <w:r>
        <w:rPr>
          <w:u w:val="single"/>
        </w:rPr>
        <w:t>Galcanezumab and erenumab – safety outcomes</w:t>
      </w:r>
    </w:p>
    <w:p w:rsidR="0072310B" w:rsidRDefault="0072310B"/>
    <w:p w:rsidR="0072310B" w:rsidRDefault="00783925">
      <w:pPr>
        <w:pStyle w:val="ListParagraph"/>
        <w:numPr>
          <w:ilvl w:val="1"/>
          <w:numId w:val="3"/>
        </w:numPr>
      </w:pPr>
      <w:r>
        <w:t>The table below provides a summary of the safety outcomes provided for galcanezumab and erenumab.</w:t>
      </w:r>
    </w:p>
    <w:p w:rsidR="00787712" w:rsidRPr="00787712" w:rsidRDefault="00787712" w:rsidP="00787712">
      <w:pPr>
        <w:pStyle w:val="Caption"/>
        <w:keepNext/>
        <w:spacing w:after="0"/>
        <w:rPr>
          <w:rStyle w:val="CommentReference"/>
        </w:rPr>
      </w:pPr>
      <w:r w:rsidRPr="00787712">
        <w:rPr>
          <w:rStyle w:val="CommentReference"/>
        </w:rPr>
        <w:t xml:space="preserve">Table </w:t>
      </w:r>
      <w:r w:rsidRPr="00787712">
        <w:rPr>
          <w:rStyle w:val="CommentReference"/>
        </w:rPr>
        <w:fldChar w:fldCharType="begin"/>
      </w:r>
      <w:r w:rsidRPr="00787712">
        <w:rPr>
          <w:rStyle w:val="CommentReference"/>
        </w:rPr>
        <w:instrText xml:space="preserve"> SEQ Table \* ARABIC </w:instrText>
      </w:r>
      <w:r w:rsidRPr="00787712">
        <w:rPr>
          <w:rStyle w:val="CommentReference"/>
        </w:rPr>
        <w:fldChar w:fldCharType="separate"/>
      </w:r>
      <w:r w:rsidR="00CD46F2">
        <w:rPr>
          <w:rStyle w:val="CommentReference"/>
          <w:noProof/>
        </w:rPr>
        <w:t>11</w:t>
      </w:r>
      <w:r w:rsidRPr="00787712">
        <w:rPr>
          <w:rStyle w:val="CommentReference"/>
        </w:rPr>
        <w:fldChar w:fldCharType="end"/>
      </w:r>
      <w:r w:rsidRPr="00787712">
        <w:rPr>
          <w:rStyle w:val="CommentReference"/>
        </w:rPr>
        <w:t>: Summary of adverse events in REGAIN and Study 295 (erenumab)</w:t>
      </w:r>
    </w:p>
    <w:tbl>
      <w:tblPr>
        <w:tblStyle w:val="TableGrid"/>
        <w:tblW w:w="5000" w:type="pct"/>
        <w:tblLayout w:type="fixed"/>
        <w:tblCellMar>
          <w:left w:w="28" w:type="dxa"/>
          <w:right w:w="28" w:type="dxa"/>
        </w:tblCellMar>
        <w:tblLook w:val="04A0" w:firstRow="1" w:lastRow="0" w:firstColumn="1" w:lastColumn="0" w:noHBand="0" w:noVBand="1"/>
        <w:tblCaption w:val="Table 11: Summary of adverse events in REGAIN and Study 295 (erenumab)"/>
      </w:tblPr>
      <w:tblGrid>
        <w:gridCol w:w="2103"/>
        <w:gridCol w:w="1435"/>
        <w:gridCol w:w="1124"/>
        <w:gridCol w:w="1546"/>
        <w:gridCol w:w="1685"/>
        <w:gridCol w:w="1124"/>
      </w:tblGrid>
      <w:tr w:rsidR="0072310B" w:rsidTr="00787712">
        <w:trPr>
          <w:tblHeader/>
        </w:trPr>
        <w:tc>
          <w:tcPr>
            <w:tcW w:w="2103" w:type="dxa"/>
            <w:vMerge w:val="restart"/>
          </w:tcPr>
          <w:p w:rsidR="0072310B" w:rsidRDefault="0072310B">
            <w:pPr>
              <w:tabs>
                <w:tab w:val="left" w:pos="142"/>
              </w:tabs>
              <w:jc w:val="left"/>
              <w:rPr>
                <w:rFonts w:ascii="Arial Narrow" w:hAnsi="Arial Narrow"/>
                <w:b/>
                <w:sz w:val="20"/>
                <w:szCs w:val="20"/>
              </w:rPr>
            </w:pPr>
          </w:p>
        </w:tc>
        <w:tc>
          <w:tcPr>
            <w:tcW w:w="2559" w:type="dxa"/>
            <w:gridSpan w:val="2"/>
          </w:tcPr>
          <w:p w:rsidR="0072310B" w:rsidRDefault="00783925">
            <w:pPr>
              <w:jc w:val="center"/>
              <w:rPr>
                <w:rFonts w:ascii="Arial Narrow" w:hAnsi="Arial Narrow"/>
                <w:b/>
                <w:sz w:val="20"/>
                <w:szCs w:val="20"/>
              </w:rPr>
            </w:pPr>
            <w:r>
              <w:rPr>
                <w:rFonts w:ascii="Arial Narrow" w:hAnsi="Arial Narrow"/>
                <w:b/>
                <w:sz w:val="20"/>
                <w:szCs w:val="20"/>
              </w:rPr>
              <w:t>REGAIN</w:t>
            </w:r>
          </w:p>
        </w:tc>
        <w:tc>
          <w:tcPr>
            <w:tcW w:w="4355" w:type="dxa"/>
            <w:gridSpan w:val="3"/>
            <w:tcBorders>
              <w:left w:val="double" w:sz="4" w:space="0" w:color="auto"/>
            </w:tcBorders>
          </w:tcPr>
          <w:p w:rsidR="0072310B" w:rsidRDefault="00783925">
            <w:pPr>
              <w:jc w:val="center"/>
              <w:rPr>
                <w:rFonts w:ascii="Arial Narrow" w:hAnsi="Arial Narrow"/>
                <w:b/>
                <w:sz w:val="20"/>
                <w:szCs w:val="20"/>
              </w:rPr>
            </w:pPr>
            <w:r>
              <w:rPr>
                <w:rFonts w:ascii="Arial Narrow" w:hAnsi="Arial Narrow"/>
                <w:b/>
                <w:sz w:val="20"/>
                <w:szCs w:val="20"/>
              </w:rPr>
              <w:t>Study 295</w:t>
            </w:r>
          </w:p>
        </w:tc>
      </w:tr>
      <w:tr w:rsidR="0072310B" w:rsidTr="00787712">
        <w:trPr>
          <w:tblHeader/>
        </w:trPr>
        <w:tc>
          <w:tcPr>
            <w:tcW w:w="2103" w:type="dxa"/>
            <w:vMerge/>
          </w:tcPr>
          <w:p w:rsidR="0072310B" w:rsidRDefault="0072310B">
            <w:pPr>
              <w:tabs>
                <w:tab w:val="left" w:pos="142"/>
              </w:tabs>
              <w:jc w:val="left"/>
              <w:rPr>
                <w:rFonts w:ascii="Arial Narrow" w:hAnsi="Arial Narrow"/>
                <w:b/>
                <w:sz w:val="20"/>
                <w:szCs w:val="20"/>
              </w:rPr>
            </w:pPr>
          </w:p>
        </w:tc>
        <w:tc>
          <w:tcPr>
            <w:tcW w:w="1435" w:type="dxa"/>
          </w:tcPr>
          <w:p w:rsidR="0072310B" w:rsidRDefault="00783925">
            <w:pPr>
              <w:jc w:val="center"/>
              <w:rPr>
                <w:rFonts w:ascii="Arial Narrow" w:hAnsi="Arial Narrow"/>
                <w:b/>
                <w:sz w:val="20"/>
                <w:szCs w:val="20"/>
              </w:rPr>
            </w:pPr>
            <w:r>
              <w:rPr>
                <w:rFonts w:ascii="Arial Narrow" w:hAnsi="Arial Narrow"/>
                <w:b/>
                <w:sz w:val="20"/>
                <w:szCs w:val="20"/>
              </w:rPr>
              <w:t>Galcanezumab (N=273)</w:t>
            </w:r>
          </w:p>
        </w:tc>
        <w:tc>
          <w:tcPr>
            <w:tcW w:w="1124" w:type="dxa"/>
          </w:tcPr>
          <w:p w:rsidR="0072310B" w:rsidRDefault="00783925">
            <w:pPr>
              <w:jc w:val="center"/>
              <w:rPr>
                <w:rFonts w:ascii="Arial Narrow" w:hAnsi="Arial Narrow"/>
                <w:b/>
                <w:sz w:val="20"/>
                <w:szCs w:val="20"/>
              </w:rPr>
            </w:pPr>
            <w:r>
              <w:rPr>
                <w:rFonts w:ascii="Arial Narrow" w:hAnsi="Arial Narrow"/>
                <w:b/>
                <w:sz w:val="20"/>
                <w:szCs w:val="20"/>
              </w:rPr>
              <w:t>Placebo (N=558</w:t>
            </w:r>
            <w:r>
              <w:rPr>
                <w:rFonts w:ascii="Arial Narrow" w:hAnsi="Arial Narrow"/>
                <w:b/>
                <w:sz w:val="20"/>
                <w:szCs w:val="20"/>
                <w:vertAlign w:val="superscript"/>
              </w:rPr>
              <w:t>a</w:t>
            </w:r>
            <w:r>
              <w:rPr>
                <w:rFonts w:ascii="Arial Narrow" w:hAnsi="Arial Narrow"/>
                <w:b/>
                <w:sz w:val="20"/>
                <w:szCs w:val="20"/>
              </w:rPr>
              <w:t>)</w:t>
            </w:r>
          </w:p>
        </w:tc>
        <w:tc>
          <w:tcPr>
            <w:tcW w:w="1546" w:type="dxa"/>
            <w:tcBorders>
              <w:left w:val="double" w:sz="4" w:space="0" w:color="auto"/>
            </w:tcBorders>
          </w:tcPr>
          <w:p w:rsidR="0072310B" w:rsidRDefault="00783925">
            <w:pPr>
              <w:jc w:val="center"/>
              <w:rPr>
                <w:rFonts w:ascii="Arial Narrow" w:hAnsi="Arial Narrow"/>
                <w:b/>
                <w:sz w:val="20"/>
                <w:szCs w:val="20"/>
              </w:rPr>
            </w:pPr>
            <w:r>
              <w:rPr>
                <w:rFonts w:ascii="Arial Narrow" w:hAnsi="Arial Narrow"/>
                <w:b/>
                <w:sz w:val="20"/>
                <w:szCs w:val="20"/>
              </w:rPr>
              <w:t>Erenumab 70 mg (N=190)</w:t>
            </w:r>
          </w:p>
        </w:tc>
        <w:tc>
          <w:tcPr>
            <w:tcW w:w="1685" w:type="dxa"/>
          </w:tcPr>
          <w:p w:rsidR="0072310B" w:rsidRDefault="00783925">
            <w:pPr>
              <w:jc w:val="center"/>
              <w:rPr>
                <w:rFonts w:ascii="Arial Narrow" w:hAnsi="Arial Narrow"/>
                <w:b/>
                <w:sz w:val="20"/>
                <w:szCs w:val="20"/>
              </w:rPr>
            </w:pPr>
            <w:r>
              <w:rPr>
                <w:rFonts w:ascii="Arial Narrow" w:hAnsi="Arial Narrow"/>
                <w:b/>
                <w:sz w:val="20"/>
                <w:szCs w:val="20"/>
              </w:rPr>
              <w:t>Erenumab 140 mg (N=188)</w:t>
            </w:r>
          </w:p>
        </w:tc>
        <w:tc>
          <w:tcPr>
            <w:tcW w:w="1124" w:type="dxa"/>
          </w:tcPr>
          <w:p w:rsidR="0072310B" w:rsidRDefault="00783925">
            <w:pPr>
              <w:jc w:val="center"/>
              <w:rPr>
                <w:rFonts w:ascii="Arial Narrow" w:hAnsi="Arial Narrow"/>
                <w:b/>
                <w:sz w:val="20"/>
                <w:szCs w:val="20"/>
              </w:rPr>
            </w:pPr>
            <w:r>
              <w:rPr>
                <w:rFonts w:ascii="Arial Narrow" w:hAnsi="Arial Narrow"/>
                <w:b/>
                <w:sz w:val="20"/>
                <w:szCs w:val="20"/>
              </w:rPr>
              <w:t>Placebo (N=282)</w:t>
            </w:r>
          </w:p>
        </w:tc>
      </w:tr>
      <w:tr w:rsidR="0072310B" w:rsidTr="00787712">
        <w:tc>
          <w:tcPr>
            <w:tcW w:w="2103" w:type="dxa"/>
            <w:vAlign w:val="center"/>
          </w:tcPr>
          <w:p w:rsidR="0072310B" w:rsidRDefault="00783925">
            <w:pPr>
              <w:tabs>
                <w:tab w:val="left" w:pos="142"/>
              </w:tabs>
              <w:jc w:val="left"/>
              <w:rPr>
                <w:rFonts w:ascii="Arial Narrow" w:hAnsi="Arial Narrow"/>
                <w:sz w:val="20"/>
                <w:szCs w:val="20"/>
              </w:rPr>
            </w:pPr>
            <w:r>
              <w:rPr>
                <w:rFonts w:ascii="Arial Narrow" w:hAnsi="Arial Narrow"/>
                <w:sz w:val="20"/>
                <w:szCs w:val="20"/>
              </w:rPr>
              <w:t>AEs</w:t>
            </w:r>
          </w:p>
        </w:tc>
        <w:tc>
          <w:tcPr>
            <w:tcW w:w="1435" w:type="dxa"/>
          </w:tcPr>
          <w:p w:rsidR="0072310B" w:rsidRDefault="00783925">
            <w:pPr>
              <w:jc w:val="center"/>
              <w:rPr>
                <w:rFonts w:ascii="Arial Narrow" w:hAnsi="Arial Narrow"/>
                <w:sz w:val="20"/>
                <w:szCs w:val="20"/>
              </w:rPr>
            </w:pPr>
            <w:r>
              <w:rPr>
                <w:rFonts w:ascii="Arial Narrow" w:hAnsi="Arial Narrow"/>
                <w:sz w:val="20"/>
                <w:szCs w:val="20"/>
              </w:rPr>
              <w:t>159 (58.2%)</w:t>
            </w:r>
            <w:r>
              <w:rPr>
                <w:rFonts w:ascii="Arial Narrow" w:hAnsi="Arial Narrow"/>
                <w:sz w:val="20"/>
                <w:szCs w:val="20"/>
                <w:vertAlign w:val="superscript"/>
              </w:rPr>
              <w:t>b</w:t>
            </w:r>
          </w:p>
        </w:tc>
        <w:tc>
          <w:tcPr>
            <w:tcW w:w="1124" w:type="dxa"/>
          </w:tcPr>
          <w:p w:rsidR="0072310B" w:rsidRDefault="00783925">
            <w:pPr>
              <w:jc w:val="center"/>
              <w:rPr>
                <w:rFonts w:ascii="Arial Narrow" w:hAnsi="Arial Narrow"/>
                <w:sz w:val="20"/>
                <w:szCs w:val="20"/>
              </w:rPr>
            </w:pPr>
            <w:r>
              <w:rPr>
                <w:rFonts w:ascii="Arial Narrow" w:hAnsi="Arial Narrow"/>
                <w:sz w:val="20"/>
                <w:szCs w:val="20"/>
              </w:rPr>
              <w:t>279 (50.0%)</w:t>
            </w:r>
          </w:p>
        </w:tc>
        <w:tc>
          <w:tcPr>
            <w:tcW w:w="1546"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83 (43.7%)</w:t>
            </w:r>
          </w:p>
        </w:tc>
        <w:tc>
          <w:tcPr>
            <w:tcW w:w="1685" w:type="dxa"/>
          </w:tcPr>
          <w:p w:rsidR="0072310B" w:rsidRDefault="00783925">
            <w:pPr>
              <w:jc w:val="center"/>
              <w:rPr>
                <w:rFonts w:ascii="Arial Narrow" w:hAnsi="Arial Narrow"/>
                <w:sz w:val="20"/>
                <w:szCs w:val="20"/>
              </w:rPr>
            </w:pPr>
            <w:r>
              <w:rPr>
                <w:rFonts w:ascii="Arial Narrow" w:hAnsi="Arial Narrow"/>
                <w:sz w:val="20"/>
                <w:szCs w:val="20"/>
              </w:rPr>
              <w:t>88 (46.8%)</w:t>
            </w:r>
          </w:p>
        </w:tc>
        <w:tc>
          <w:tcPr>
            <w:tcW w:w="1124" w:type="dxa"/>
          </w:tcPr>
          <w:p w:rsidR="0072310B" w:rsidRDefault="00783925">
            <w:pPr>
              <w:jc w:val="center"/>
              <w:rPr>
                <w:rFonts w:ascii="Arial Narrow" w:hAnsi="Arial Narrow"/>
                <w:sz w:val="20"/>
                <w:szCs w:val="20"/>
              </w:rPr>
            </w:pPr>
            <w:r>
              <w:rPr>
                <w:rFonts w:ascii="Arial Narrow" w:hAnsi="Arial Narrow"/>
                <w:sz w:val="20"/>
                <w:szCs w:val="20"/>
              </w:rPr>
              <w:t>110 (39.0%)</w:t>
            </w:r>
          </w:p>
        </w:tc>
      </w:tr>
      <w:tr w:rsidR="0072310B" w:rsidTr="00787712">
        <w:tc>
          <w:tcPr>
            <w:tcW w:w="2103" w:type="dxa"/>
            <w:vAlign w:val="center"/>
          </w:tcPr>
          <w:p w:rsidR="0072310B" w:rsidRDefault="00783925">
            <w:pPr>
              <w:tabs>
                <w:tab w:val="left" w:pos="142"/>
              </w:tabs>
              <w:jc w:val="left"/>
              <w:rPr>
                <w:rFonts w:ascii="Arial Narrow" w:hAnsi="Arial Narrow"/>
                <w:sz w:val="20"/>
                <w:szCs w:val="20"/>
              </w:rPr>
            </w:pPr>
            <w:r>
              <w:rPr>
                <w:rFonts w:ascii="Arial Narrow" w:hAnsi="Arial Narrow"/>
                <w:sz w:val="20"/>
                <w:szCs w:val="20"/>
              </w:rPr>
              <w:t>Treatment-related AEs</w:t>
            </w:r>
          </w:p>
        </w:tc>
        <w:tc>
          <w:tcPr>
            <w:tcW w:w="1435" w:type="dxa"/>
          </w:tcPr>
          <w:p w:rsidR="0072310B" w:rsidRDefault="00783925">
            <w:pPr>
              <w:jc w:val="center"/>
              <w:rPr>
                <w:rFonts w:ascii="Arial Narrow" w:hAnsi="Arial Narrow"/>
                <w:sz w:val="20"/>
                <w:szCs w:val="20"/>
              </w:rPr>
            </w:pPr>
            <w:r>
              <w:rPr>
                <w:rFonts w:ascii="Arial Narrow" w:hAnsi="Arial Narrow"/>
                <w:sz w:val="20"/>
                <w:szCs w:val="20"/>
              </w:rPr>
              <w:t>63 (23.1%)</w:t>
            </w:r>
          </w:p>
        </w:tc>
        <w:tc>
          <w:tcPr>
            <w:tcW w:w="1124" w:type="dxa"/>
          </w:tcPr>
          <w:p w:rsidR="0072310B" w:rsidRDefault="00783925">
            <w:pPr>
              <w:jc w:val="center"/>
              <w:rPr>
                <w:rFonts w:ascii="Arial Narrow" w:hAnsi="Arial Narrow"/>
                <w:sz w:val="20"/>
                <w:szCs w:val="20"/>
              </w:rPr>
            </w:pPr>
            <w:r>
              <w:rPr>
                <w:rFonts w:ascii="Arial Narrow" w:hAnsi="Arial Narrow"/>
                <w:sz w:val="20"/>
                <w:szCs w:val="20"/>
              </w:rPr>
              <w:t>102 (18.3%)</w:t>
            </w:r>
          </w:p>
        </w:tc>
        <w:tc>
          <w:tcPr>
            <w:tcW w:w="1546"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NR</w:t>
            </w:r>
          </w:p>
        </w:tc>
        <w:tc>
          <w:tcPr>
            <w:tcW w:w="1685" w:type="dxa"/>
          </w:tcPr>
          <w:p w:rsidR="0072310B" w:rsidRDefault="00783925">
            <w:pPr>
              <w:jc w:val="center"/>
              <w:rPr>
                <w:rFonts w:ascii="Arial Narrow" w:hAnsi="Arial Narrow"/>
                <w:sz w:val="20"/>
                <w:szCs w:val="20"/>
              </w:rPr>
            </w:pPr>
            <w:r>
              <w:rPr>
                <w:rFonts w:ascii="Arial Narrow" w:hAnsi="Arial Narrow"/>
                <w:sz w:val="20"/>
                <w:szCs w:val="20"/>
              </w:rPr>
              <w:t>NR</w:t>
            </w:r>
          </w:p>
        </w:tc>
        <w:tc>
          <w:tcPr>
            <w:tcW w:w="1124" w:type="dxa"/>
          </w:tcPr>
          <w:p w:rsidR="0072310B" w:rsidRDefault="00783925">
            <w:pPr>
              <w:jc w:val="center"/>
              <w:rPr>
                <w:rFonts w:ascii="Arial Narrow" w:hAnsi="Arial Narrow"/>
                <w:sz w:val="20"/>
                <w:szCs w:val="20"/>
              </w:rPr>
            </w:pPr>
            <w:r>
              <w:rPr>
                <w:rFonts w:ascii="Arial Narrow" w:hAnsi="Arial Narrow"/>
                <w:sz w:val="20"/>
                <w:szCs w:val="20"/>
              </w:rPr>
              <w:t>NR</w:t>
            </w:r>
          </w:p>
        </w:tc>
      </w:tr>
      <w:tr w:rsidR="0072310B" w:rsidTr="00787712">
        <w:tc>
          <w:tcPr>
            <w:tcW w:w="2103" w:type="dxa"/>
            <w:vAlign w:val="center"/>
          </w:tcPr>
          <w:p w:rsidR="0072310B" w:rsidRDefault="00783925">
            <w:pPr>
              <w:tabs>
                <w:tab w:val="left" w:pos="142"/>
              </w:tabs>
              <w:jc w:val="left"/>
              <w:rPr>
                <w:rFonts w:ascii="Arial Narrow" w:hAnsi="Arial Narrow"/>
                <w:sz w:val="20"/>
                <w:szCs w:val="20"/>
              </w:rPr>
            </w:pPr>
            <w:r>
              <w:rPr>
                <w:rFonts w:ascii="Arial Narrow" w:hAnsi="Arial Narrow"/>
                <w:sz w:val="20"/>
                <w:szCs w:val="20"/>
              </w:rPr>
              <w:t>SAEs</w:t>
            </w:r>
          </w:p>
        </w:tc>
        <w:tc>
          <w:tcPr>
            <w:tcW w:w="1435" w:type="dxa"/>
          </w:tcPr>
          <w:p w:rsidR="0072310B" w:rsidRDefault="00783925">
            <w:pPr>
              <w:jc w:val="center"/>
              <w:rPr>
                <w:rFonts w:ascii="Arial Narrow" w:hAnsi="Arial Narrow"/>
                <w:sz w:val="20"/>
                <w:szCs w:val="20"/>
              </w:rPr>
            </w:pPr>
            <w:r>
              <w:rPr>
                <w:rFonts w:ascii="Arial Narrow" w:hAnsi="Arial Narrow"/>
                <w:sz w:val="20"/>
                <w:szCs w:val="20"/>
              </w:rPr>
              <w:t>1 (0.4%)</w:t>
            </w:r>
          </w:p>
        </w:tc>
        <w:tc>
          <w:tcPr>
            <w:tcW w:w="1124" w:type="dxa"/>
          </w:tcPr>
          <w:p w:rsidR="0072310B" w:rsidRDefault="00783925">
            <w:pPr>
              <w:jc w:val="center"/>
              <w:rPr>
                <w:rFonts w:ascii="Arial Narrow" w:hAnsi="Arial Narrow"/>
                <w:sz w:val="20"/>
                <w:szCs w:val="20"/>
              </w:rPr>
            </w:pPr>
            <w:r>
              <w:rPr>
                <w:rFonts w:ascii="Arial Narrow" w:hAnsi="Arial Narrow"/>
                <w:sz w:val="20"/>
                <w:szCs w:val="20"/>
              </w:rPr>
              <w:t>4 (0.7%)</w:t>
            </w:r>
          </w:p>
        </w:tc>
        <w:tc>
          <w:tcPr>
            <w:tcW w:w="1546"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6 (3.2%)</w:t>
            </w:r>
          </w:p>
        </w:tc>
        <w:tc>
          <w:tcPr>
            <w:tcW w:w="1685" w:type="dxa"/>
          </w:tcPr>
          <w:p w:rsidR="0072310B" w:rsidRDefault="00783925">
            <w:pPr>
              <w:jc w:val="center"/>
              <w:rPr>
                <w:rFonts w:ascii="Arial Narrow" w:hAnsi="Arial Narrow"/>
                <w:sz w:val="20"/>
                <w:szCs w:val="20"/>
              </w:rPr>
            </w:pPr>
            <w:r>
              <w:rPr>
                <w:rFonts w:ascii="Arial Narrow" w:hAnsi="Arial Narrow"/>
                <w:sz w:val="20"/>
                <w:szCs w:val="20"/>
              </w:rPr>
              <w:t>2 (1.1%)</w:t>
            </w:r>
          </w:p>
        </w:tc>
        <w:tc>
          <w:tcPr>
            <w:tcW w:w="1124" w:type="dxa"/>
          </w:tcPr>
          <w:p w:rsidR="0072310B" w:rsidRDefault="00783925">
            <w:pPr>
              <w:jc w:val="center"/>
              <w:rPr>
                <w:rFonts w:ascii="Arial Narrow" w:hAnsi="Arial Narrow"/>
                <w:sz w:val="20"/>
                <w:szCs w:val="20"/>
              </w:rPr>
            </w:pPr>
            <w:r>
              <w:rPr>
                <w:rFonts w:ascii="Arial Narrow" w:hAnsi="Arial Narrow"/>
                <w:sz w:val="20"/>
                <w:szCs w:val="20"/>
              </w:rPr>
              <w:t>7 (2.5%)</w:t>
            </w:r>
          </w:p>
        </w:tc>
      </w:tr>
      <w:tr w:rsidR="0072310B" w:rsidTr="00787712">
        <w:tc>
          <w:tcPr>
            <w:tcW w:w="2103" w:type="dxa"/>
            <w:vAlign w:val="center"/>
          </w:tcPr>
          <w:p w:rsidR="0072310B" w:rsidRDefault="00783925">
            <w:pPr>
              <w:tabs>
                <w:tab w:val="left" w:pos="142"/>
              </w:tabs>
              <w:jc w:val="left"/>
              <w:rPr>
                <w:rFonts w:ascii="Arial Narrow" w:hAnsi="Arial Narrow"/>
                <w:sz w:val="20"/>
                <w:szCs w:val="20"/>
              </w:rPr>
            </w:pPr>
            <w:r>
              <w:rPr>
                <w:rFonts w:ascii="Arial Narrow" w:hAnsi="Arial Narrow"/>
                <w:sz w:val="20"/>
                <w:szCs w:val="20"/>
              </w:rPr>
              <w:t>Treatment-related SAEs</w:t>
            </w:r>
          </w:p>
        </w:tc>
        <w:tc>
          <w:tcPr>
            <w:tcW w:w="1435" w:type="dxa"/>
          </w:tcPr>
          <w:p w:rsidR="0072310B" w:rsidRDefault="00783925">
            <w:pPr>
              <w:jc w:val="center"/>
              <w:rPr>
                <w:rFonts w:ascii="Arial Narrow" w:hAnsi="Arial Narrow"/>
                <w:sz w:val="20"/>
                <w:szCs w:val="20"/>
              </w:rPr>
            </w:pPr>
            <w:r>
              <w:rPr>
                <w:rFonts w:ascii="Arial Narrow" w:hAnsi="Arial Narrow"/>
                <w:sz w:val="20"/>
                <w:szCs w:val="20"/>
              </w:rPr>
              <w:t>0 (0.0%)</w:t>
            </w:r>
          </w:p>
        </w:tc>
        <w:tc>
          <w:tcPr>
            <w:tcW w:w="1124" w:type="dxa"/>
          </w:tcPr>
          <w:p w:rsidR="0072310B" w:rsidRDefault="00783925">
            <w:pPr>
              <w:jc w:val="center"/>
              <w:rPr>
                <w:rFonts w:ascii="Arial Narrow" w:hAnsi="Arial Narrow"/>
                <w:sz w:val="20"/>
                <w:szCs w:val="20"/>
              </w:rPr>
            </w:pPr>
            <w:r>
              <w:rPr>
                <w:rFonts w:ascii="Arial Narrow" w:hAnsi="Arial Narrow"/>
                <w:sz w:val="20"/>
                <w:szCs w:val="20"/>
              </w:rPr>
              <w:t>0 (0.0%)</w:t>
            </w:r>
          </w:p>
        </w:tc>
        <w:tc>
          <w:tcPr>
            <w:tcW w:w="1546"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NR</w:t>
            </w:r>
          </w:p>
        </w:tc>
        <w:tc>
          <w:tcPr>
            <w:tcW w:w="1685" w:type="dxa"/>
          </w:tcPr>
          <w:p w:rsidR="0072310B" w:rsidRDefault="00783925">
            <w:pPr>
              <w:jc w:val="center"/>
              <w:rPr>
                <w:rFonts w:ascii="Arial Narrow" w:hAnsi="Arial Narrow"/>
                <w:sz w:val="20"/>
                <w:szCs w:val="20"/>
              </w:rPr>
            </w:pPr>
            <w:r>
              <w:rPr>
                <w:rFonts w:ascii="Arial Narrow" w:hAnsi="Arial Narrow"/>
                <w:sz w:val="20"/>
                <w:szCs w:val="20"/>
              </w:rPr>
              <w:t>NR</w:t>
            </w:r>
          </w:p>
        </w:tc>
        <w:tc>
          <w:tcPr>
            <w:tcW w:w="1124" w:type="dxa"/>
          </w:tcPr>
          <w:p w:rsidR="0072310B" w:rsidRDefault="00783925">
            <w:pPr>
              <w:jc w:val="center"/>
              <w:rPr>
                <w:rFonts w:ascii="Arial Narrow" w:hAnsi="Arial Narrow"/>
                <w:sz w:val="20"/>
                <w:szCs w:val="20"/>
              </w:rPr>
            </w:pPr>
            <w:r>
              <w:rPr>
                <w:rFonts w:ascii="Arial Narrow" w:hAnsi="Arial Narrow"/>
                <w:sz w:val="20"/>
                <w:szCs w:val="20"/>
              </w:rPr>
              <w:t>NR</w:t>
            </w:r>
          </w:p>
        </w:tc>
      </w:tr>
      <w:tr w:rsidR="0072310B" w:rsidTr="00787712">
        <w:tc>
          <w:tcPr>
            <w:tcW w:w="2103" w:type="dxa"/>
            <w:vAlign w:val="center"/>
          </w:tcPr>
          <w:p w:rsidR="0072310B" w:rsidRDefault="00783925">
            <w:pPr>
              <w:tabs>
                <w:tab w:val="left" w:pos="142"/>
              </w:tabs>
              <w:jc w:val="left"/>
              <w:rPr>
                <w:rFonts w:ascii="Arial Narrow" w:hAnsi="Arial Narrow"/>
                <w:sz w:val="20"/>
                <w:szCs w:val="20"/>
              </w:rPr>
            </w:pPr>
            <w:r>
              <w:rPr>
                <w:rFonts w:ascii="Arial Narrow" w:hAnsi="Arial Narrow"/>
                <w:sz w:val="20"/>
                <w:szCs w:val="20"/>
              </w:rPr>
              <w:t>Discontinuation due to AEs</w:t>
            </w:r>
          </w:p>
        </w:tc>
        <w:tc>
          <w:tcPr>
            <w:tcW w:w="1435" w:type="dxa"/>
          </w:tcPr>
          <w:p w:rsidR="0072310B" w:rsidRDefault="00783925">
            <w:pPr>
              <w:jc w:val="center"/>
              <w:rPr>
                <w:rFonts w:ascii="Arial Narrow" w:hAnsi="Arial Narrow"/>
                <w:sz w:val="20"/>
                <w:szCs w:val="20"/>
              </w:rPr>
            </w:pPr>
            <w:r>
              <w:rPr>
                <w:rFonts w:ascii="Arial Narrow" w:hAnsi="Arial Narrow"/>
                <w:sz w:val="20"/>
                <w:szCs w:val="20"/>
              </w:rPr>
              <w:t>1 (0.4%)</w:t>
            </w:r>
          </w:p>
        </w:tc>
        <w:tc>
          <w:tcPr>
            <w:tcW w:w="1124" w:type="dxa"/>
          </w:tcPr>
          <w:p w:rsidR="0072310B" w:rsidRDefault="00783925">
            <w:pPr>
              <w:jc w:val="center"/>
              <w:rPr>
                <w:rFonts w:ascii="Arial Narrow" w:hAnsi="Arial Narrow"/>
                <w:sz w:val="20"/>
                <w:szCs w:val="20"/>
              </w:rPr>
            </w:pPr>
            <w:r>
              <w:rPr>
                <w:rFonts w:ascii="Arial Narrow" w:hAnsi="Arial Narrow"/>
                <w:sz w:val="20"/>
                <w:szCs w:val="20"/>
              </w:rPr>
              <w:t>6 (1.1%)</w:t>
            </w:r>
          </w:p>
        </w:tc>
        <w:tc>
          <w:tcPr>
            <w:tcW w:w="1546"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0 (0.0%)</w:t>
            </w:r>
          </w:p>
        </w:tc>
        <w:tc>
          <w:tcPr>
            <w:tcW w:w="1685" w:type="dxa"/>
          </w:tcPr>
          <w:p w:rsidR="0072310B" w:rsidRDefault="00783925">
            <w:pPr>
              <w:jc w:val="center"/>
              <w:rPr>
                <w:rFonts w:ascii="Arial Narrow" w:hAnsi="Arial Narrow"/>
                <w:sz w:val="20"/>
                <w:szCs w:val="20"/>
              </w:rPr>
            </w:pPr>
            <w:r>
              <w:rPr>
                <w:rFonts w:ascii="Arial Narrow" w:hAnsi="Arial Narrow"/>
                <w:sz w:val="20"/>
                <w:szCs w:val="20"/>
              </w:rPr>
              <w:t>2 (1.1%)</w:t>
            </w:r>
          </w:p>
        </w:tc>
        <w:tc>
          <w:tcPr>
            <w:tcW w:w="1124" w:type="dxa"/>
          </w:tcPr>
          <w:p w:rsidR="0072310B" w:rsidRDefault="00783925">
            <w:pPr>
              <w:jc w:val="center"/>
              <w:rPr>
                <w:rFonts w:ascii="Arial Narrow" w:hAnsi="Arial Narrow"/>
                <w:sz w:val="20"/>
                <w:szCs w:val="20"/>
              </w:rPr>
            </w:pPr>
            <w:r>
              <w:rPr>
                <w:rFonts w:ascii="Arial Narrow" w:hAnsi="Arial Narrow"/>
                <w:sz w:val="20"/>
                <w:szCs w:val="20"/>
              </w:rPr>
              <w:t>2 (0.7%)</w:t>
            </w:r>
          </w:p>
        </w:tc>
      </w:tr>
      <w:tr w:rsidR="0072310B" w:rsidTr="00787712">
        <w:tc>
          <w:tcPr>
            <w:tcW w:w="2103" w:type="dxa"/>
            <w:vAlign w:val="center"/>
          </w:tcPr>
          <w:p w:rsidR="0072310B" w:rsidRDefault="00783925">
            <w:pPr>
              <w:tabs>
                <w:tab w:val="left" w:pos="142"/>
              </w:tabs>
              <w:jc w:val="left"/>
              <w:rPr>
                <w:rFonts w:ascii="Arial Narrow" w:hAnsi="Arial Narrow"/>
                <w:sz w:val="20"/>
                <w:szCs w:val="20"/>
              </w:rPr>
            </w:pPr>
            <w:r>
              <w:rPr>
                <w:rFonts w:ascii="Arial Narrow" w:hAnsi="Arial Narrow"/>
                <w:sz w:val="20"/>
                <w:szCs w:val="20"/>
              </w:rPr>
              <w:t>Deaths</w:t>
            </w:r>
          </w:p>
        </w:tc>
        <w:tc>
          <w:tcPr>
            <w:tcW w:w="1435" w:type="dxa"/>
          </w:tcPr>
          <w:p w:rsidR="0072310B" w:rsidRDefault="00783925">
            <w:pPr>
              <w:jc w:val="center"/>
              <w:rPr>
                <w:rFonts w:ascii="Arial Narrow" w:hAnsi="Arial Narrow"/>
                <w:sz w:val="20"/>
                <w:szCs w:val="20"/>
              </w:rPr>
            </w:pPr>
            <w:r>
              <w:rPr>
                <w:rFonts w:ascii="Arial Narrow" w:hAnsi="Arial Narrow"/>
                <w:sz w:val="20"/>
                <w:szCs w:val="20"/>
              </w:rPr>
              <w:t>0 (0.0%)</w:t>
            </w:r>
          </w:p>
        </w:tc>
        <w:tc>
          <w:tcPr>
            <w:tcW w:w="1124" w:type="dxa"/>
          </w:tcPr>
          <w:p w:rsidR="0072310B" w:rsidRDefault="00783925">
            <w:pPr>
              <w:jc w:val="center"/>
              <w:rPr>
                <w:rFonts w:ascii="Arial Narrow" w:hAnsi="Arial Narrow"/>
                <w:sz w:val="20"/>
                <w:szCs w:val="20"/>
              </w:rPr>
            </w:pPr>
            <w:r>
              <w:rPr>
                <w:rFonts w:ascii="Arial Narrow" w:hAnsi="Arial Narrow"/>
                <w:sz w:val="20"/>
                <w:szCs w:val="20"/>
              </w:rPr>
              <w:t>0 (0.0%)</w:t>
            </w:r>
          </w:p>
        </w:tc>
        <w:tc>
          <w:tcPr>
            <w:tcW w:w="1546"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NR</w:t>
            </w:r>
          </w:p>
        </w:tc>
        <w:tc>
          <w:tcPr>
            <w:tcW w:w="1685" w:type="dxa"/>
          </w:tcPr>
          <w:p w:rsidR="0072310B" w:rsidRDefault="00783925">
            <w:pPr>
              <w:jc w:val="center"/>
              <w:rPr>
                <w:rFonts w:ascii="Arial Narrow" w:hAnsi="Arial Narrow"/>
                <w:sz w:val="20"/>
                <w:szCs w:val="20"/>
              </w:rPr>
            </w:pPr>
            <w:r>
              <w:rPr>
                <w:rFonts w:ascii="Arial Narrow" w:hAnsi="Arial Narrow"/>
                <w:sz w:val="20"/>
                <w:szCs w:val="20"/>
              </w:rPr>
              <w:t>NR</w:t>
            </w:r>
          </w:p>
        </w:tc>
        <w:tc>
          <w:tcPr>
            <w:tcW w:w="1124" w:type="dxa"/>
          </w:tcPr>
          <w:p w:rsidR="0072310B" w:rsidRDefault="00783925">
            <w:pPr>
              <w:jc w:val="center"/>
              <w:rPr>
                <w:rFonts w:ascii="Arial Narrow" w:hAnsi="Arial Narrow"/>
                <w:sz w:val="20"/>
                <w:szCs w:val="20"/>
              </w:rPr>
            </w:pPr>
            <w:r>
              <w:rPr>
                <w:rFonts w:ascii="Arial Narrow" w:hAnsi="Arial Narrow"/>
                <w:sz w:val="20"/>
                <w:szCs w:val="20"/>
              </w:rPr>
              <w:t>NR</w:t>
            </w:r>
          </w:p>
        </w:tc>
      </w:tr>
      <w:tr w:rsidR="0072310B" w:rsidTr="00787712">
        <w:tc>
          <w:tcPr>
            <w:tcW w:w="2103" w:type="dxa"/>
            <w:vAlign w:val="center"/>
          </w:tcPr>
          <w:p w:rsidR="0072310B" w:rsidRDefault="00783925">
            <w:pPr>
              <w:tabs>
                <w:tab w:val="left" w:pos="142"/>
              </w:tabs>
              <w:jc w:val="left"/>
              <w:rPr>
                <w:rFonts w:ascii="Arial Narrow" w:hAnsi="Arial Narrow"/>
                <w:sz w:val="20"/>
                <w:szCs w:val="20"/>
              </w:rPr>
            </w:pPr>
            <w:r>
              <w:rPr>
                <w:rFonts w:ascii="Arial Narrow" w:hAnsi="Arial Narrow"/>
                <w:sz w:val="20"/>
                <w:szCs w:val="20"/>
              </w:rPr>
              <w:t>Treatment-emergent AEs</w:t>
            </w:r>
            <w:r>
              <w:rPr>
                <w:rFonts w:ascii="Arial Narrow" w:hAnsi="Arial Narrow"/>
                <w:sz w:val="20"/>
                <w:szCs w:val="20"/>
                <w:vertAlign w:val="superscript"/>
              </w:rPr>
              <w:t>c</w:t>
            </w:r>
          </w:p>
        </w:tc>
        <w:tc>
          <w:tcPr>
            <w:tcW w:w="1435" w:type="dxa"/>
          </w:tcPr>
          <w:p w:rsidR="0072310B" w:rsidRDefault="0072310B">
            <w:pPr>
              <w:jc w:val="center"/>
              <w:rPr>
                <w:rFonts w:ascii="Arial Narrow" w:hAnsi="Arial Narrow"/>
                <w:sz w:val="20"/>
                <w:szCs w:val="20"/>
              </w:rPr>
            </w:pPr>
          </w:p>
        </w:tc>
        <w:tc>
          <w:tcPr>
            <w:tcW w:w="1124" w:type="dxa"/>
          </w:tcPr>
          <w:p w:rsidR="0072310B" w:rsidRDefault="0072310B">
            <w:pPr>
              <w:jc w:val="center"/>
              <w:rPr>
                <w:rFonts w:ascii="Arial Narrow" w:hAnsi="Arial Narrow"/>
                <w:sz w:val="20"/>
                <w:szCs w:val="20"/>
              </w:rPr>
            </w:pPr>
          </w:p>
        </w:tc>
        <w:tc>
          <w:tcPr>
            <w:tcW w:w="1546" w:type="dxa"/>
            <w:tcBorders>
              <w:left w:val="double" w:sz="4" w:space="0" w:color="auto"/>
            </w:tcBorders>
          </w:tcPr>
          <w:p w:rsidR="0072310B" w:rsidRDefault="0072310B">
            <w:pPr>
              <w:jc w:val="center"/>
              <w:rPr>
                <w:rFonts w:ascii="Arial Narrow" w:hAnsi="Arial Narrow"/>
                <w:sz w:val="20"/>
                <w:szCs w:val="20"/>
              </w:rPr>
            </w:pPr>
          </w:p>
        </w:tc>
        <w:tc>
          <w:tcPr>
            <w:tcW w:w="1685" w:type="dxa"/>
          </w:tcPr>
          <w:p w:rsidR="0072310B" w:rsidRDefault="0072310B">
            <w:pPr>
              <w:jc w:val="center"/>
              <w:rPr>
                <w:rFonts w:ascii="Arial Narrow" w:hAnsi="Arial Narrow"/>
                <w:sz w:val="20"/>
                <w:szCs w:val="20"/>
              </w:rPr>
            </w:pPr>
          </w:p>
        </w:tc>
        <w:tc>
          <w:tcPr>
            <w:tcW w:w="1124" w:type="dxa"/>
          </w:tcPr>
          <w:p w:rsidR="0072310B" w:rsidRDefault="0072310B">
            <w:pPr>
              <w:jc w:val="center"/>
              <w:rPr>
                <w:rFonts w:ascii="Arial Narrow" w:hAnsi="Arial Narrow"/>
                <w:sz w:val="20"/>
                <w:szCs w:val="20"/>
              </w:rPr>
            </w:pPr>
          </w:p>
        </w:tc>
      </w:tr>
      <w:tr w:rsidR="0072310B" w:rsidTr="00787712">
        <w:tc>
          <w:tcPr>
            <w:tcW w:w="2103" w:type="dxa"/>
          </w:tcPr>
          <w:p w:rsidR="0072310B" w:rsidRDefault="00783925">
            <w:pPr>
              <w:tabs>
                <w:tab w:val="left" w:pos="142"/>
              </w:tabs>
              <w:jc w:val="left"/>
              <w:rPr>
                <w:rFonts w:ascii="Arial Narrow" w:hAnsi="Arial Narrow"/>
                <w:sz w:val="20"/>
                <w:szCs w:val="20"/>
              </w:rPr>
            </w:pPr>
            <w:r>
              <w:rPr>
                <w:rFonts w:ascii="Arial Narrow" w:hAnsi="Arial Narrow"/>
                <w:sz w:val="20"/>
                <w:szCs w:val="20"/>
              </w:rPr>
              <w:tab/>
              <w:t>Nasopharyngitis</w:t>
            </w:r>
          </w:p>
        </w:tc>
        <w:tc>
          <w:tcPr>
            <w:tcW w:w="1435" w:type="dxa"/>
          </w:tcPr>
          <w:p w:rsidR="0072310B" w:rsidRDefault="00783925">
            <w:pPr>
              <w:jc w:val="center"/>
              <w:rPr>
                <w:rFonts w:ascii="Arial Narrow" w:hAnsi="Arial Narrow"/>
                <w:sz w:val="20"/>
                <w:szCs w:val="20"/>
              </w:rPr>
            </w:pPr>
            <w:r>
              <w:rPr>
                <w:rFonts w:ascii="Arial Narrow" w:hAnsi="Arial Narrow"/>
                <w:sz w:val="20"/>
                <w:szCs w:val="20"/>
              </w:rPr>
              <w:t>17 (6.2%)</w:t>
            </w:r>
          </w:p>
        </w:tc>
        <w:tc>
          <w:tcPr>
            <w:tcW w:w="1124" w:type="dxa"/>
          </w:tcPr>
          <w:p w:rsidR="0072310B" w:rsidRDefault="00783925">
            <w:pPr>
              <w:jc w:val="center"/>
              <w:rPr>
                <w:rFonts w:ascii="Arial Narrow" w:hAnsi="Arial Narrow"/>
                <w:sz w:val="20"/>
                <w:szCs w:val="20"/>
              </w:rPr>
            </w:pPr>
            <w:r>
              <w:rPr>
                <w:rFonts w:ascii="Arial Narrow" w:hAnsi="Arial Narrow"/>
                <w:sz w:val="20"/>
                <w:szCs w:val="20"/>
              </w:rPr>
              <w:t>26 (4.7%)</w:t>
            </w:r>
          </w:p>
        </w:tc>
        <w:tc>
          <w:tcPr>
            <w:tcW w:w="1546"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6 (3.2%)</w:t>
            </w:r>
          </w:p>
        </w:tc>
        <w:tc>
          <w:tcPr>
            <w:tcW w:w="1685" w:type="dxa"/>
          </w:tcPr>
          <w:p w:rsidR="0072310B" w:rsidRDefault="00783925">
            <w:pPr>
              <w:jc w:val="center"/>
              <w:rPr>
                <w:rFonts w:ascii="Arial Narrow" w:hAnsi="Arial Narrow"/>
                <w:sz w:val="20"/>
                <w:szCs w:val="20"/>
              </w:rPr>
            </w:pPr>
            <w:r>
              <w:rPr>
                <w:rFonts w:ascii="Arial Narrow" w:hAnsi="Arial Narrow"/>
                <w:sz w:val="20"/>
                <w:szCs w:val="20"/>
              </w:rPr>
              <w:t>3 (1.6%)</w:t>
            </w:r>
          </w:p>
        </w:tc>
        <w:tc>
          <w:tcPr>
            <w:tcW w:w="1124" w:type="dxa"/>
          </w:tcPr>
          <w:p w:rsidR="0072310B" w:rsidRDefault="00783925">
            <w:pPr>
              <w:jc w:val="center"/>
              <w:rPr>
                <w:rFonts w:ascii="Arial Narrow" w:hAnsi="Arial Narrow"/>
                <w:sz w:val="20"/>
                <w:szCs w:val="20"/>
              </w:rPr>
            </w:pPr>
            <w:r>
              <w:rPr>
                <w:rFonts w:ascii="Arial Narrow" w:hAnsi="Arial Narrow"/>
                <w:sz w:val="20"/>
                <w:szCs w:val="20"/>
              </w:rPr>
              <w:t>16 (5.7%)</w:t>
            </w:r>
          </w:p>
        </w:tc>
      </w:tr>
      <w:tr w:rsidR="0072310B" w:rsidTr="00787712">
        <w:tc>
          <w:tcPr>
            <w:tcW w:w="2103" w:type="dxa"/>
          </w:tcPr>
          <w:p w:rsidR="0072310B" w:rsidRDefault="00783925">
            <w:pPr>
              <w:tabs>
                <w:tab w:val="left" w:pos="142"/>
              </w:tabs>
              <w:jc w:val="left"/>
              <w:rPr>
                <w:rFonts w:ascii="Arial Narrow" w:hAnsi="Arial Narrow"/>
                <w:sz w:val="20"/>
                <w:szCs w:val="20"/>
              </w:rPr>
            </w:pPr>
            <w:r>
              <w:rPr>
                <w:rFonts w:ascii="Arial Narrow" w:hAnsi="Arial Narrow"/>
                <w:sz w:val="20"/>
                <w:szCs w:val="20"/>
              </w:rPr>
              <w:tab/>
              <w:t>Injection site pain</w:t>
            </w:r>
          </w:p>
        </w:tc>
        <w:tc>
          <w:tcPr>
            <w:tcW w:w="1435" w:type="dxa"/>
          </w:tcPr>
          <w:p w:rsidR="0072310B" w:rsidRDefault="00783925">
            <w:pPr>
              <w:jc w:val="center"/>
              <w:rPr>
                <w:rFonts w:ascii="Arial Narrow" w:hAnsi="Arial Narrow"/>
                <w:sz w:val="20"/>
                <w:szCs w:val="20"/>
              </w:rPr>
            </w:pPr>
            <w:r>
              <w:rPr>
                <w:rFonts w:ascii="Arial Narrow" w:hAnsi="Arial Narrow"/>
                <w:sz w:val="20"/>
                <w:szCs w:val="20"/>
              </w:rPr>
              <w:t>17 (6.2%)</w:t>
            </w:r>
          </w:p>
        </w:tc>
        <w:tc>
          <w:tcPr>
            <w:tcW w:w="1124" w:type="dxa"/>
          </w:tcPr>
          <w:p w:rsidR="0072310B" w:rsidRDefault="00783925">
            <w:pPr>
              <w:jc w:val="center"/>
              <w:rPr>
                <w:rFonts w:ascii="Arial Narrow" w:hAnsi="Arial Narrow"/>
                <w:sz w:val="20"/>
                <w:szCs w:val="20"/>
              </w:rPr>
            </w:pPr>
            <w:r>
              <w:rPr>
                <w:rFonts w:ascii="Arial Narrow" w:hAnsi="Arial Narrow"/>
                <w:sz w:val="20"/>
                <w:szCs w:val="20"/>
              </w:rPr>
              <w:t>24 (4.3%)</w:t>
            </w:r>
          </w:p>
        </w:tc>
        <w:tc>
          <w:tcPr>
            <w:tcW w:w="1546"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7 (3.7%)</w:t>
            </w:r>
          </w:p>
        </w:tc>
        <w:tc>
          <w:tcPr>
            <w:tcW w:w="1685" w:type="dxa"/>
          </w:tcPr>
          <w:p w:rsidR="0072310B" w:rsidRDefault="00783925">
            <w:pPr>
              <w:jc w:val="center"/>
              <w:rPr>
                <w:rFonts w:ascii="Arial Narrow" w:hAnsi="Arial Narrow"/>
                <w:sz w:val="20"/>
                <w:szCs w:val="20"/>
              </w:rPr>
            </w:pPr>
            <w:r>
              <w:rPr>
                <w:rFonts w:ascii="Arial Narrow" w:hAnsi="Arial Narrow"/>
                <w:sz w:val="20"/>
                <w:szCs w:val="20"/>
              </w:rPr>
              <w:t>7 (3.7%)</w:t>
            </w:r>
          </w:p>
        </w:tc>
        <w:tc>
          <w:tcPr>
            <w:tcW w:w="1124" w:type="dxa"/>
          </w:tcPr>
          <w:p w:rsidR="0072310B" w:rsidRDefault="00783925">
            <w:pPr>
              <w:jc w:val="center"/>
              <w:rPr>
                <w:rFonts w:ascii="Arial Narrow" w:hAnsi="Arial Narrow"/>
                <w:sz w:val="20"/>
                <w:szCs w:val="20"/>
              </w:rPr>
            </w:pPr>
            <w:r>
              <w:rPr>
                <w:rFonts w:ascii="Arial Narrow" w:hAnsi="Arial Narrow"/>
                <w:sz w:val="20"/>
                <w:szCs w:val="20"/>
              </w:rPr>
              <w:t>3 (1.1%)</w:t>
            </w:r>
          </w:p>
        </w:tc>
      </w:tr>
      <w:tr w:rsidR="0072310B" w:rsidTr="00787712">
        <w:tc>
          <w:tcPr>
            <w:tcW w:w="2103" w:type="dxa"/>
          </w:tcPr>
          <w:p w:rsidR="0072310B" w:rsidRDefault="00783925">
            <w:pPr>
              <w:tabs>
                <w:tab w:val="left" w:pos="142"/>
              </w:tabs>
              <w:jc w:val="left"/>
              <w:rPr>
                <w:rFonts w:ascii="Arial Narrow" w:hAnsi="Arial Narrow"/>
                <w:sz w:val="20"/>
                <w:szCs w:val="20"/>
              </w:rPr>
            </w:pPr>
            <w:r>
              <w:rPr>
                <w:rFonts w:ascii="Arial Narrow" w:hAnsi="Arial Narrow"/>
                <w:sz w:val="20"/>
                <w:szCs w:val="20"/>
              </w:rPr>
              <w:tab/>
              <w:t>URTI</w:t>
            </w:r>
          </w:p>
        </w:tc>
        <w:tc>
          <w:tcPr>
            <w:tcW w:w="1435" w:type="dxa"/>
          </w:tcPr>
          <w:p w:rsidR="0072310B" w:rsidRDefault="00783925">
            <w:pPr>
              <w:jc w:val="center"/>
              <w:rPr>
                <w:rFonts w:ascii="Arial Narrow" w:hAnsi="Arial Narrow"/>
                <w:sz w:val="20"/>
                <w:szCs w:val="20"/>
              </w:rPr>
            </w:pPr>
            <w:r>
              <w:rPr>
                <w:rFonts w:ascii="Arial Narrow" w:hAnsi="Arial Narrow"/>
                <w:sz w:val="20"/>
                <w:szCs w:val="20"/>
              </w:rPr>
              <w:t>9 (3.3%)</w:t>
            </w:r>
          </w:p>
        </w:tc>
        <w:tc>
          <w:tcPr>
            <w:tcW w:w="1124" w:type="dxa"/>
          </w:tcPr>
          <w:p w:rsidR="0072310B" w:rsidRDefault="00783925">
            <w:pPr>
              <w:jc w:val="center"/>
              <w:rPr>
                <w:rFonts w:ascii="Arial Narrow" w:hAnsi="Arial Narrow"/>
                <w:sz w:val="20"/>
                <w:szCs w:val="20"/>
              </w:rPr>
            </w:pPr>
            <w:r>
              <w:rPr>
                <w:rFonts w:ascii="Arial Narrow" w:hAnsi="Arial Narrow"/>
                <w:sz w:val="20"/>
                <w:szCs w:val="20"/>
              </w:rPr>
              <w:t>13 (2.3%)</w:t>
            </w:r>
          </w:p>
        </w:tc>
        <w:tc>
          <w:tcPr>
            <w:tcW w:w="1546"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5 (2.6%)</w:t>
            </w:r>
          </w:p>
        </w:tc>
        <w:tc>
          <w:tcPr>
            <w:tcW w:w="1685" w:type="dxa"/>
          </w:tcPr>
          <w:p w:rsidR="0072310B" w:rsidRDefault="00783925">
            <w:pPr>
              <w:jc w:val="center"/>
              <w:rPr>
                <w:rFonts w:ascii="Arial Narrow" w:hAnsi="Arial Narrow"/>
                <w:sz w:val="20"/>
                <w:szCs w:val="20"/>
              </w:rPr>
            </w:pPr>
            <w:r>
              <w:rPr>
                <w:rFonts w:ascii="Arial Narrow" w:hAnsi="Arial Narrow"/>
                <w:sz w:val="20"/>
                <w:szCs w:val="20"/>
              </w:rPr>
              <w:t>6 (3.2%)</w:t>
            </w:r>
          </w:p>
        </w:tc>
        <w:tc>
          <w:tcPr>
            <w:tcW w:w="1124" w:type="dxa"/>
          </w:tcPr>
          <w:p w:rsidR="0072310B" w:rsidRDefault="00783925">
            <w:pPr>
              <w:jc w:val="center"/>
              <w:rPr>
                <w:rFonts w:ascii="Arial Narrow" w:hAnsi="Arial Narrow"/>
                <w:sz w:val="20"/>
                <w:szCs w:val="20"/>
              </w:rPr>
            </w:pPr>
            <w:r>
              <w:rPr>
                <w:rFonts w:ascii="Arial Narrow" w:hAnsi="Arial Narrow"/>
                <w:sz w:val="20"/>
                <w:szCs w:val="20"/>
              </w:rPr>
              <w:t>4 (1.4%)</w:t>
            </w:r>
          </w:p>
        </w:tc>
      </w:tr>
      <w:tr w:rsidR="0072310B" w:rsidTr="00787712">
        <w:tc>
          <w:tcPr>
            <w:tcW w:w="2103" w:type="dxa"/>
          </w:tcPr>
          <w:p w:rsidR="0072310B" w:rsidRDefault="00783925">
            <w:pPr>
              <w:tabs>
                <w:tab w:val="left" w:pos="142"/>
              </w:tabs>
              <w:jc w:val="left"/>
              <w:rPr>
                <w:rFonts w:ascii="Arial Narrow" w:hAnsi="Arial Narrow"/>
                <w:sz w:val="20"/>
                <w:szCs w:val="20"/>
              </w:rPr>
            </w:pPr>
            <w:r>
              <w:rPr>
                <w:rFonts w:ascii="Arial Narrow" w:hAnsi="Arial Narrow"/>
                <w:sz w:val="20"/>
                <w:szCs w:val="20"/>
              </w:rPr>
              <w:tab/>
              <w:t>Migraine</w:t>
            </w:r>
          </w:p>
        </w:tc>
        <w:tc>
          <w:tcPr>
            <w:tcW w:w="1435" w:type="dxa"/>
          </w:tcPr>
          <w:p w:rsidR="0072310B" w:rsidRDefault="00D95519">
            <w:pPr>
              <w:jc w:val="center"/>
              <w:rPr>
                <w:rFonts w:ascii="Arial Narrow" w:hAnsi="Arial Narrow"/>
                <w:sz w:val="20"/>
                <w:szCs w:val="20"/>
              </w:rPr>
            </w:pPr>
            <w:r>
              <w:rPr>
                <w:rFonts w:ascii="Arial Narrow" w:hAnsi="Arial Narrow"/>
                <w:noProof/>
                <w:color w:val="000000"/>
                <w:sz w:val="20"/>
                <w:szCs w:val="20"/>
                <w:highlight w:val="black"/>
              </w:rPr>
              <w:t>'''</w:t>
            </w:r>
            <w:r w:rsidR="00783925">
              <w:rPr>
                <w:rFonts w:ascii="Arial Narrow" w:hAnsi="Arial Narrow"/>
                <w:sz w:val="20"/>
                <w:szCs w:val="20"/>
              </w:rPr>
              <w:t xml:space="preserve"> (</w:t>
            </w:r>
            <w:r>
              <w:rPr>
                <w:rFonts w:ascii="Arial Narrow" w:hAnsi="Arial Narrow"/>
                <w:noProof/>
                <w:color w:val="000000"/>
                <w:sz w:val="20"/>
                <w:szCs w:val="20"/>
                <w:highlight w:val="black"/>
              </w:rPr>
              <w:t>'''''''</w:t>
            </w:r>
            <w:r w:rsidR="00783925">
              <w:rPr>
                <w:rFonts w:ascii="Arial Narrow" w:hAnsi="Arial Narrow"/>
                <w:sz w:val="20"/>
                <w:szCs w:val="20"/>
              </w:rPr>
              <w:t>%)</w:t>
            </w:r>
          </w:p>
        </w:tc>
        <w:tc>
          <w:tcPr>
            <w:tcW w:w="1124" w:type="dxa"/>
          </w:tcPr>
          <w:p w:rsidR="0072310B" w:rsidRDefault="00D95519">
            <w:pPr>
              <w:jc w:val="center"/>
              <w:rPr>
                <w:rFonts w:ascii="Arial Narrow" w:hAnsi="Arial Narrow"/>
                <w:sz w:val="20"/>
                <w:szCs w:val="20"/>
              </w:rPr>
            </w:pPr>
            <w:r>
              <w:rPr>
                <w:rFonts w:ascii="Arial Narrow" w:hAnsi="Arial Narrow"/>
                <w:noProof/>
                <w:color w:val="000000"/>
                <w:sz w:val="20"/>
                <w:szCs w:val="20"/>
                <w:highlight w:val="black"/>
              </w:rPr>
              <w:t>''''</w:t>
            </w:r>
            <w:r w:rsidR="00783925">
              <w:rPr>
                <w:rFonts w:ascii="Arial Narrow" w:hAnsi="Arial Narrow"/>
                <w:sz w:val="20"/>
                <w:szCs w:val="20"/>
              </w:rPr>
              <w:t xml:space="preserve"> (</w:t>
            </w:r>
            <w:r>
              <w:rPr>
                <w:rFonts w:ascii="Arial Narrow" w:hAnsi="Arial Narrow"/>
                <w:noProof/>
                <w:color w:val="000000"/>
                <w:sz w:val="20"/>
                <w:szCs w:val="20"/>
                <w:highlight w:val="black"/>
              </w:rPr>
              <w:t>'''''''''</w:t>
            </w:r>
            <w:r w:rsidR="00783925">
              <w:rPr>
                <w:rFonts w:ascii="Arial Narrow" w:hAnsi="Arial Narrow"/>
                <w:sz w:val="20"/>
                <w:szCs w:val="20"/>
              </w:rPr>
              <w:t>%)</w:t>
            </w:r>
          </w:p>
        </w:tc>
        <w:tc>
          <w:tcPr>
            <w:tcW w:w="1546" w:type="dxa"/>
            <w:tcBorders>
              <w:left w:val="double" w:sz="4" w:space="0" w:color="auto"/>
            </w:tcBorders>
          </w:tcPr>
          <w:p w:rsidR="0072310B" w:rsidRDefault="00783925">
            <w:pPr>
              <w:jc w:val="center"/>
              <w:rPr>
                <w:rFonts w:ascii="Arial Narrow" w:hAnsi="Arial Narrow"/>
                <w:sz w:val="20"/>
                <w:szCs w:val="20"/>
              </w:rPr>
            </w:pPr>
            <w:r>
              <w:rPr>
                <w:rFonts w:ascii="Arial Narrow" w:hAnsi="Arial Narrow"/>
                <w:sz w:val="20"/>
                <w:szCs w:val="20"/>
              </w:rPr>
              <w:t>3 (1.6%)</w:t>
            </w:r>
          </w:p>
        </w:tc>
        <w:tc>
          <w:tcPr>
            <w:tcW w:w="1685" w:type="dxa"/>
          </w:tcPr>
          <w:p w:rsidR="0072310B" w:rsidRDefault="00783925">
            <w:pPr>
              <w:jc w:val="center"/>
              <w:rPr>
                <w:rFonts w:ascii="Arial Narrow" w:hAnsi="Arial Narrow"/>
                <w:sz w:val="20"/>
                <w:szCs w:val="20"/>
              </w:rPr>
            </w:pPr>
            <w:r>
              <w:rPr>
                <w:rFonts w:ascii="Arial Narrow" w:hAnsi="Arial Narrow"/>
                <w:sz w:val="20"/>
                <w:szCs w:val="20"/>
              </w:rPr>
              <w:t>5 (2.7%)</w:t>
            </w:r>
          </w:p>
        </w:tc>
        <w:tc>
          <w:tcPr>
            <w:tcW w:w="1124" w:type="dxa"/>
          </w:tcPr>
          <w:p w:rsidR="0072310B" w:rsidRDefault="00783925">
            <w:pPr>
              <w:jc w:val="center"/>
              <w:rPr>
                <w:rFonts w:ascii="Arial Narrow" w:hAnsi="Arial Narrow"/>
                <w:sz w:val="20"/>
                <w:szCs w:val="20"/>
              </w:rPr>
            </w:pPr>
            <w:r>
              <w:rPr>
                <w:rFonts w:ascii="Arial Narrow" w:hAnsi="Arial Narrow"/>
                <w:sz w:val="20"/>
                <w:szCs w:val="20"/>
              </w:rPr>
              <w:t>3 (1.1%)</w:t>
            </w:r>
          </w:p>
        </w:tc>
      </w:tr>
    </w:tbl>
    <w:p w:rsidR="0072310B" w:rsidRDefault="00783925">
      <w:pPr>
        <w:pStyle w:val="TableFooter"/>
        <w:tabs>
          <w:tab w:val="left" w:pos="142"/>
        </w:tabs>
        <w:ind w:left="142" w:hanging="142"/>
        <w:rPr>
          <w:vertAlign w:val="superscript"/>
        </w:rPr>
      </w:pPr>
      <w:r>
        <w:rPr>
          <w:vertAlign w:val="superscript"/>
        </w:rPr>
        <w:t>a</w:t>
      </w:r>
      <w:r>
        <w:tab/>
        <w:t>Tables 1.5.2 and 1.5.3 of Attachment 4.6 of the submission reported the N for the REGAIN placebo group as N=557.</w:t>
      </w:r>
      <w:r w:rsidR="002535F9">
        <w:t xml:space="preserve"> </w:t>
      </w:r>
      <w:r>
        <w:t>However that value did not concur with the CSR tables cited as the source of value, nor did it concur with the placebo N in the CSR for safety outcomes.</w:t>
      </w:r>
      <w:r w:rsidR="002535F9">
        <w:t xml:space="preserve"> </w:t>
      </w:r>
      <w:r>
        <w:t>Hence the value was altered to N=558, which also corresponds to the N presented by the submission for safety outcomes in the galcanezumab versus Botox comparison.</w:t>
      </w:r>
    </w:p>
    <w:p w:rsidR="0072310B" w:rsidRDefault="00783925">
      <w:pPr>
        <w:pStyle w:val="TableFooter"/>
        <w:tabs>
          <w:tab w:val="left" w:pos="142"/>
        </w:tabs>
      </w:pPr>
      <w:r>
        <w:rPr>
          <w:vertAlign w:val="superscript"/>
        </w:rPr>
        <w:t>b</w:t>
      </w:r>
      <w:r>
        <w:tab/>
        <w:t>Significantly different from placebo; p&lt;0.05</w:t>
      </w:r>
    </w:p>
    <w:p w:rsidR="0072310B" w:rsidRDefault="00783925">
      <w:pPr>
        <w:pStyle w:val="TableFooter"/>
        <w:tabs>
          <w:tab w:val="left" w:pos="142"/>
        </w:tabs>
        <w:ind w:left="142" w:hanging="142"/>
      </w:pPr>
      <w:r>
        <w:rPr>
          <w:vertAlign w:val="superscript"/>
        </w:rPr>
        <w:t>c</w:t>
      </w:r>
      <w:r>
        <w:tab/>
        <w:t>Only the treatment-emergent AEs which had data available for both galcanezumab and erenumab are presented above. The submission included additional treatment-emergent AEs which were reported for one trial only.</w:t>
      </w:r>
    </w:p>
    <w:p w:rsidR="0072310B" w:rsidRDefault="00783925">
      <w:pPr>
        <w:pStyle w:val="TableFooter"/>
      </w:pPr>
      <w:r>
        <w:t>AE=adverse events; NR=not reported; SAE=serious adverse events; URTI=upper respiratory tract infection</w:t>
      </w:r>
    </w:p>
    <w:p w:rsidR="0072310B" w:rsidRDefault="00783925">
      <w:pPr>
        <w:pStyle w:val="TableFooter"/>
      </w:pPr>
      <w:r>
        <w:t>Source:</w:t>
      </w:r>
      <w:r w:rsidR="002535F9">
        <w:t xml:space="preserve"> </w:t>
      </w:r>
      <w:r>
        <w:t>Table 1.5.2, p36 and Table 1.5.3, p37 of Attachment 4.6 of the submission.</w:t>
      </w:r>
    </w:p>
    <w:p w:rsidR="0072310B" w:rsidRDefault="0072310B"/>
    <w:p w:rsidR="0072310B" w:rsidRDefault="00783925">
      <w:pPr>
        <w:pStyle w:val="ListParagraph"/>
        <w:numPr>
          <w:ilvl w:val="1"/>
          <w:numId w:val="3"/>
        </w:numPr>
        <w:spacing w:after="120"/>
      </w:pPr>
      <w:r>
        <w:t>The proportion of patients experiencing treatment-emergent AEs across all treatment arms was higher in REGAIN (</w:t>
      </w:r>
      <w:r w:rsidR="00D95519">
        <w:rPr>
          <w:noProof/>
          <w:color w:val="000000"/>
          <w:highlight w:val="black"/>
        </w:rPr>
        <w:t>''''''''</w:t>
      </w:r>
      <w:r>
        <w:t xml:space="preserve">% for galcanezumab; </w:t>
      </w:r>
      <w:r w:rsidR="00D95519">
        <w:rPr>
          <w:noProof/>
          <w:color w:val="000000"/>
          <w:highlight w:val="black"/>
        </w:rPr>
        <w:t>''''''''</w:t>
      </w:r>
      <w:r>
        <w:t>% for placebo) compared to Study 295 (43.7% for 70 mg erenumab; 46.8% for 140 mg erenumab; 39.0% for placebo).</w:t>
      </w:r>
      <w:r w:rsidR="002535F9">
        <w:t xml:space="preserve"> </w:t>
      </w:r>
    </w:p>
    <w:p w:rsidR="0072310B" w:rsidRDefault="00783925">
      <w:pPr>
        <w:pStyle w:val="ListParagraph"/>
        <w:numPr>
          <w:ilvl w:val="1"/>
          <w:numId w:val="3"/>
        </w:numPr>
        <w:spacing w:after="120"/>
      </w:pPr>
      <w:r>
        <w:t>Injection site pain and nasopharyngitis were the treatment-emergent AEs, which had higher incidence in the galcanezumab-treated arms of REGAIN compared to erenumab-treated patients in Study 295.</w:t>
      </w:r>
      <w:r w:rsidR="002535F9">
        <w:t xml:space="preserve"> </w:t>
      </w:r>
    </w:p>
    <w:p w:rsidR="0072310B" w:rsidRDefault="00783925">
      <w:pPr>
        <w:pStyle w:val="Heading2"/>
      </w:pPr>
      <w:bookmarkStart w:id="10" w:name="_Toc9435333"/>
      <w:r>
        <w:t>Benefits/harms</w:t>
      </w:r>
      <w:bookmarkEnd w:id="10"/>
    </w:p>
    <w:p w:rsidR="0072310B" w:rsidRDefault="0072310B"/>
    <w:p w:rsidR="0072310B" w:rsidRDefault="00783925">
      <w:pPr>
        <w:pStyle w:val="ListParagraph"/>
        <w:numPr>
          <w:ilvl w:val="1"/>
          <w:numId w:val="3"/>
        </w:numPr>
        <w:spacing w:after="120"/>
      </w:pPr>
      <w:r>
        <w:t>On the basis of the direct head-to-head trial, compared with placebo galcanezumab resulted in:</w:t>
      </w:r>
    </w:p>
    <w:p w:rsidR="0072310B" w:rsidRDefault="00783925">
      <w:pPr>
        <w:pStyle w:val="Bulletpoints"/>
        <w:spacing w:after="120"/>
        <w:ind w:left="993" w:hanging="284"/>
      </w:pPr>
      <w:r>
        <w:t>A reduction of approximately 2 migraine headache days per month (5 in the galcanezumab group and 3 in the placebo group) over a duration of exposure of 12 weeks.</w:t>
      </w:r>
      <w:r w:rsidR="002535F9">
        <w:t xml:space="preserve"> </w:t>
      </w:r>
      <w:r>
        <w:t>This reduction was observed in patients from the overall trial population, who had approximately 19 migraine headache days per month at baseline.</w:t>
      </w:r>
    </w:p>
    <w:p w:rsidR="0072310B" w:rsidRDefault="00783925">
      <w:pPr>
        <w:pStyle w:val="Bulletpoints"/>
        <w:spacing w:after="120"/>
        <w:ind w:left="993" w:hanging="284"/>
      </w:pPr>
      <w:r>
        <w:lastRenderedPageBreak/>
        <w:t>For the subgroup of patients who had failed ≥3 prior medications, a reduction of approximately 5 migraine headache days per month (6 in the galcanezumab group</w:t>
      </w:r>
      <w:r w:rsidR="002535F9">
        <w:t xml:space="preserve"> </w:t>
      </w:r>
      <w:r>
        <w:t>and 1 in the placebo group) over a duration of exposure of 12 weeks.</w:t>
      </w:r>
      <w:r w:rsidR="002535F9">
        <w:t xml:space="preserve"> </w:t>
      </w:r>
      <w:r>
        <w:t>These patients had approximately 20 migraine headache days per month at baseline.</w:t>
      </w:r>
      <w:r w:rsidR="002535F9">
        <w:t xml:space="preserve"> </w:t>
      </w:r>
      <w:r>
        <w:t>The subgroup (N=104) represented 13% of the larger trial population (N=</w:t>
      </w:r>
      <w:r w:rsidR="00677F47">
        <w:t>836</w:t>
      </w:r>
      <w:r>
        <w:t>).</w:t>
      </w:r>
    </w:p>
    <w:p w:rsidR="0072310B" w:rsidRDefault="00783925">
      <w:pPr>
        <w:pStyle w:val="ListParagraph"/>
        <w:numPr>
          <w:ilvl w:val="1"/>
          <w:numId w:val="3"/>
        </w:numPr>
        <w:spacing w:after="0"/>
      </w:pPr>
      <w:r>
        <w:t>On the basis of the indirect evidence presented, patients treated with Botox for 24 weeks and galcanezumab for 12 weeks would experience a similar reduction in migraine headache days per month.</w:t>
      </w:r>
      <w:r w:rsidR="002535F9">
        <w:t xml:space="preserve"> </w:t>
      </w:r>
    </w:p>
    <w:p w:rsidR="0072310B" w:rsidRDefault="0072310B"/>
    <w:p w:rsidR="0072310B" w:rsidRDefault="00783925">
      <w:pPr>
        <w:pStyle w:val="Heading2"/>
      </w:pPr>
      <w:bookmarkStart w:id="11" w:name="_Toc9435334"/>
      <w:r>
        <w:t>Clinical claim</w:t>
      </w:r>
      <w:bookmarkEnd w:id="11"/>
    </w:p>
    <w:p w:rsidR="0072310B" w:rsidRDefault="0072310B">
      <w:pPr>
        <w:ind w:left="720" w:hanging="720"/>
      </w:pPr>
    </w:p>
    <w:p w:rsidR="0072310B" w:rsidRDefault="00783925">
      <w:pPr>
        <w:ind w:left="720" w:hanging="720"/>
      </w:pPr>
      <w:r>
        <w:rPr>
          <w:u w:val="single"/>
        </w:rPr>
        <w:t>Galcanezumab versus Botox</w:t>
      </w:r>
    </w:p>
    <w:p w:rsidR="0072310B" w:rsidRDefault="0072310B">
      <w:pPr>
        <w:ind w:left="720" w:hanging="720"/>
      </w:pPr>
    </w:p>
    <w:p w:rsidR="0072310B" w:rsidRDefault="00783925">
      <w:pPr>
        <w:pStyle w:val="ListParagraph"/>
        <w:numPr>
          <w:ilvl w:val="1"/>
          <w:numId w:val="3"/>
        </w:numPr>
        <w:spacing w:after="120"/>
      </w:pPr>
      <w:r>
        <w:t>The submission described galcanezumab as non-inferior in terms of comparative effectiveness, with a comparable safety profile to Botox for the treatment of patients with treatment-resistant chronic migraine.</w:t>
      </w:r>
    </w:p>
    <w:p w:rsidR="0072310B" w:rsidRDefault="00783925">
      <w:pPr>
        <w:pStyle w:val="ListParagraph"/>
        <w:numPr>
          <w:ilvl w:val="1"/>
          <w:numId w:val="3"/>
        </w:numPr>
        <w:spacing w:after="120"/>
      </w:pPr>
      <w:r>
        <w:t>While there were no statistically significant differences between the groups and the identified non-inferiority margin was met, there were a number of concerns with the clinical claim made by the submission:</w:t>
      </w:r>
    </w:p>
    <w:p w:rsidR="0072310B" w:rsidRDefault="00783925">
      <w:pPr>
        <w:pStyle w:val="Bulletpoints"/>
        <w:spacing w:after="120"/>
        <w:ind w:left="993" w:hanging="284"/>
      </w:pPr>
      <w:r>
        <w:t>There were different outcome definitions and different statistical methodologies between the REGAIN and PREEMPT trials (paragraph 6.10). While the mITT analysis was intended to account for these differences, it was a post-hoc analysis.</w:t>
      </w:r>
    </w:p>
    <w:p w:rsidR="0072310B" w:rsidRDefault="00783925">
      <w:pPr>
        <w:pStyle w:val="Bulletpoints"/>
        <w:spacing w:after="120"/>
        <w:ind w:left="993" w:hanging="284"/>
      </w:pPr>
      <w:r>
        <w:t>The differing placebo response levels between the REGAIN and PREEMPT trials suggest there were transitivity issues (paragraph 6.13).</w:t>
      </w:r>
    </w:p>
    <w:p w:rsidR="0072310B" w:rsidRDefault="00783925">
      <w:pPr>
        <w:pStyle w:val="Bulletpoints"/>
        <w:spacing w:after="120"/>
        <w:ind w:left="993" w:hanging="284"/>
      </w:pPr>
      <w:r>
        <w:t>The treatment failure subgroup from REGAIN represented approximately 13% of the overall trial population while the subgroup from PREEMPT represented approximately 35% of that trial’s overall population.</w:t>
      </w:r>
      <w:r w:rsidR="002535F9">
        <w:t xml:space="preserve"> </w:t>
      </w:r>
      <w:r>
        <w:t>The smaller proportion of the galcanezumab subgroup may impact on the transitivity of the indirect comparison (paragraph 6.6).</w:t>
      </w:r>
    </w:p>
    <w:p w:rsidR="0072310B" w:rsidRDefault="00783925">
      <w:pPr>
        <w:pStyle w:val="ListParagraph"/>
        <w:numPr>
          <w:ilvl w:val="1"/>
          <w:numId w:val="3"/>
        </w:numPr>
        <w:spacing w:after="120"/>
      </w:pPr>
      <w:r>
        <w:t>The ESC concluded that the magnitude of benefit observed with galcanezumab versus placebo was small and uncertain (ranging from a reduction of between 2 and 6 migraine headache days per month, from a baseline of approximately 20) and the comparative benefit versus Botox was uncertain given the transitivity issues.</w:t>
      </w:r>
      <w:r w:rsidR="002535F9">
        <w:t xml:space="preserve"> </w:t>
      </w:r>
      <w:r>
        <w:t>Comparative safety was also uncertain given the transitivity issues identified and the relative lack of data on longer-term safety for galcanezumab compared to Botox.</w:t>
      </w:r>
    </w:p>
    <w:p w:rsidR="0072310B" w:rsidRDefault="00783925">
      <w:pPr>
        <w:pStyle w:val="ListParagraph"/>
        <w:numPr>
          <w:ilvl w:val="1"/>
          <w:numId w:val="3"/>
        </w:numPr>
        <w:spacing w:after="120"/>
      </w:pPr>
      <w:r>
        <w:t>The PBAC noted the conclusion of non-inferiority to Botox was met across all the analyses (i.e., ITT, mITT subgroup and treatment failure subgroups) and on balance, the PBAC considered that the claim of non-inferior comparative effectiveness was reasonable. The PBAC considered the claim that galcanezumab had comparable safety to Botox was reasonably supported by the evidence presented.</w:t>
      </w:r>
    </w:p>
    <w:p w:rsidR="0072310B" w:rsidRDefault="00783925">
      <w:pPr>
        <w:pStyle w:val="Heading2"/>
      </w:pPr>
      <w:bookmarkStart w:id="12" w:name="_Toc9435335"/>
      <w:r>
        <w:lastRenderedPageBreak/>
        <w:t>Economic analysis</w:t>
      </w:r>
      <w:bookmarkEnd w:id="12"/>
      <w:r>
        <w:t xml:space="preserve"> </w:t>
      </w:r>
    </w:p>
    <w:p w:rsidR="0072310B" w:rsidRDefault="0072310B">
      <w:pPr>
        <w:ind w:left="720" w:hanging="720"/>
      </w:pPr>
    </w:p>
    <w:p w:rsidR="0072310B" w:rsidRDefault="00783925">
      <w:pPr>
        <w:pStyle w:val="ListParagraph"/>
        <w:numPr>
          <w:ilvl w:val="1"/>
          <w:numId w:val="3"/>
        </w:numPr>
        <w:spacing w:after="120"/>
      </w:pPr>
      <w:r>
        <w:t>The submission presented a CMA over a 2-year time horizon based on the indirect comparison versus Botox.</w:t>
      </w:r>
      <w:r w:rsidR="002535F9">
        <w:t xml:space="preserve"> </w:t>
      </w:r>
      <w:r>
        <w:t>The submission indicated a 2-year time horizon was selected as this was the time horizon considered by the ESC and PBAC as the most appropriate time horizon for cost-minimisation analyses for on-going therapy (ixekizumab PSD July 2018, abatacept PSD March 2018 and cladribine November PSD 2017 PSDs). The ESC considered there are likely to be differences in the natural history of psoriatic arthritis, relapsing remitting multiple sclerosis and chronic migraine and the use of the 2 year time horizon was not well justified.</w:t>
      </w:r>
    </w:p>
    <w:p w:rsidR="0072310B" w:rsidRDefault="00783925">
      <w:pPr>
        <w:pStyle w:val="ListParagraph"/>
        <w:numPr>
          <w:ilvl w:val="1"/>
          <w:numId w:val="3"/>
        </w:numPr>
        <w:spacing w:after="120"/>
      </w:pPr>
      <w:r>
        <w:t xml:space="preserve">The trial-based equi-effective doses were estimated as galcanezumab 120 mg monthly and Botox 164U every 12 weeks. The results of the CMA based on the published price for Botox are provided in the table below. The ESC noted the equi-effective doses used in the CMA were galcanezumab 120 mg every 30 days = Botox 200 IU every 12 weeks. </w:t>
      </w:r>
    </w:p>
    <w:p w:rsidR="00787712" w:rsidRPr="00787712" w:rsidRDefault="00787712" w:rsidP="00787712">
      <w:pPr>
        <w:pStyle w:val="Caption"/>
        <w:keepNext/>
        <w:spacing w:after="0"/>
        <w:rPr>
          <w:rStyle w:val="CommentReference"/>
        </w:rPr>
      </w:pPr>
      <w:r w:rsidRPr="00787712">
        <w:rPr>
          <w:rStyle w:val="CommentReference"/>
        </w:rPr>
        <w:t xml:space="preserve">Table </w:t>
      </w:r>
      <w:r w:rsidRPr="00787712">
        <w:rPr>
          <w:rStyle w:val="CommentReference"/>
        </w:rPr>
        <w:fldChar w:fldCharType="begin"/>
      </w:r>
      <w:r w:rsidRPr="00787712">
        <w:rPr>
          <w:rStyle w:val="CommentReference"/>
        </w:rPr>
        <w:instrText xml:space="preserve"> SEQ Table \* ARABIC </w:instrText>
      </w:r>
      <w:r w:rsidRPr="00787712">
        <w:rPr>
          <w:rStyle w:val="CommentReference"/>
        </w:rPr>
        <w:fldChar w:fldCharType="separate"/>
      </w:r>
      <w:r w:rsidR="00CD46F2">
        <w:rPr>
          <w:rStyle w:val="CommentReference"/>
          <w:noProof/>
        </w:rPr>
        <w:t>12</w:t>
      </w:r>
      <w:r w:rsidRPr="00787712">
        <w:rPr>
          <w:rStyle w:val="CommentReference"/>
        </w:rPr>
        <w:fldChar w:fldCharType="end"/>
      </w:r>
      <w:r w:rsidRPr="00787712">
        <w:rPr>
          <w:rStyle w:val="CommentReference"/>
        </w:rPr>
        <w:t>: Results of the cost-minimisation analysis based on the published price for Botox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Results of the cost-minimisation analysis based on the published price for Botox"/>
      </w:tblPr>
      <w:tblGrid>
        <w:gridCol w:w="4053"/>
        <w:gridCol w:w="2542"/>
        <w:gridCol w:w="2405"/>
        <w:gridCol w:w="17"/>
      </w:tblGrid>
      <w:tr w:rsidR="0072310B">
        <w:trPr>
          <w:gridAfter w:val="1"/>
          <w:wAfter w:w="17" w:type="dxa"/>
          <w:tblHeader/>
        </w:trPr>
        <w:tc>
          <w:tcPr>
            <w:tcW w:w="4053" w:type="dxa"/>
          </w:tcPr>
          <w:p w:rsidR="0072310B" w:rsidRDefault="00783925">
            <w:pPr>
              <w:pStyle w:val="Tabletext"/>
              <w:tabs>
                <w:tab w:val="left" w:pos="142"/>
              </w:tabs>
              <w:rPr>
                <w:b/>
              </w:rPr>
            </w:pPr>
            <w:r>
              <w:rPr>
                <w:b/>
              </w:rPr>
              <w:t>Component</w:t>
            </w:r>
          </w:p>
        </w:tc>
        <w:tc>
          <w:tcPr>
            <w:tcW w:w="2542" w:type="dxa"/>
          </w:tcPr>
          <w:p w:rsidR="0072310B" w:rsidRDefault="00783925">
            <w:pPr>
              <w:pStyle w:val="Tabletext"/>
              <w:jc w:val="center"/>
              <w:rPr>
                <w:b/>
              </w:rPr>
            </w:pPr>
            <w:r>
              <w:rPr>
                <w:b/>
              </w:rPr>
              <w:t>Galcanezumab</w:t>
            </w:r>
          </w:p>
        </w:tc>
        <w:tc>
          <w:tcPr>
            <w:tcW w:w="2405" w:type="dxa"/>
          </w:tcPr>
          <w:p w:rsidR="0072310B" w:rsidRDefault="00783925">
            <w:pPr>
              <w:pStyle w:val="Tabletext"/>
              <w:jc w:val="center"/>
              <w:rPr>
                <w:b/>
              </w:rPr>
            </w:pPr>
            <w:r>
              <w:rPr>
                <w:b/>
              </w:rPr>
              <w:t>Botox</w:t>
            </w:r>
          </w:p>
        </w:tc>
      </w:tr>
      <w:tr w:rsidR="0072310B">
        <w:tc>
          <w:tcPr>
            <w:tcW w:w="9017" w:type="dxa"/>
            <w:gridSpan w:val="4"/>
          </w:tcPr>
          <w:p w:rsidR="0072310B" w:rsidRDefault="00783925">
            <w:pPr>
              <w:pStyle w:val="Tabletext"/>
              <w:tabs>
                <w:tab w:val="left" w:pos="142"/>
              </w:tabs>
              <w:rPr>
                <w:b/>
              </w:rPr>
            </w:pPr>
            <w:r>
              <w:rPr>
                <w:b/>
              </w:rPr>
              <w:t>Drug costs (AEMP)</w:t>
            </w:r>
          </w:p>
        </w:tc>
      </w:tr>
      <w:tr w:rsidR="0072310B">
        <w:trPr>
          <w:gridAfter w:val="1"/>
          <w:wAfter w:w="17" w:type="dxa"/>
        </w:trPr>
        <w:tc>
          <w:tcPr>
            <w:tcW w:w="4053" w:type="dxa"/>
          </w:tcPr>
          <w:p w:rsidR="0072310B" w:rsidRDefault="00783925">
            <w:pPr>
              <w:pStyle w:val="Tabletext"/>
              <w:tabs>
                <w:tab w:val="left" w:pos="142"/>
              </w:tabs>
            </w:pPr>
            <w:r>
              <w:tab/>
              <w:t>Per dose</w:t>
            </w:r>
          </w:p>
        </w:tc>
        <w:tc>
          <w:tcPr>
            <w:tcW w:w="2542" w:type="dxa"/>
            <w:vAlign w:val="center"/>
          </w:tcPr>
          <w:p w:rsidR="0072310B" w:rsidRDefault="00783925">
            <w:pPr>
              <w:pStyle w:val="Tabletext"/>
              <w:jc w:val="center"/>
            </w:pPr>
            <w:r>
              <w:t>$</w:t>
            </w:r>
            <w:r w:rsidR="00D95519">
              <w:rPr>
                <w:noProof/>
                <w:color w:val="000000"/>
                <w:highlight w:val="black"/>
              </w:rPr>
              <w:t>'''''''''''''''''</w:t>
            </w:r>
          </w:p>
        </w:tc>
        <w:tc>
          <w:tcPr>
            <w:tcW w:w="2405" w:type="dxa"/>
            <w:vAlign w:val="center"/>
          </w:tcPr>
          <w:p w:rsidR="0072310B" w:rsidRDefault="00783925">
            <w:pPr>
              <w:pStyle w:val="Tabletext"/>
              <w:jc w:val="center"/>
            </w:pPr>
            <w:r>
              <w:t>$674.98</w:t>
            </w:r>
            <w:r>
              <w:rPr>
                <w:vertAlign w:val="superscript"/>
              </w:rPr>
              <w:t>a</w:t>
            </w:r>
          </w:p>
        </w:tc>
      </w:tr>
      <w:tr w:rsidR="0072310B">
        <w:trPr>
          <w:gridAfter w:val="1"/>
          <w:wAfter w:w="17" w:type="dxa"/>
        </w:trPr>
        <w:tc>
          <w:tcPr>
            <w:tcW w:w="4053" w:type="dxa"/>
          </w:tcPr>
          <w:p w:rsidR="0072310B" w:rsidRDefault="00783925">
            <w:pPr>
              <w:pStyle w:val="Tabletext"/>
              <w:tabs>
                <w:tab w:val="left" w:pos="142"/>
              </w:tabs>
            </w:pPr>
            <w:r>
              <w:tab/>
              <w:t>Number of doses per 2 years</w:t>
            </w:r>
          </w:p>
        </w:tc>
        <w:tc>
          <w:tcPr>
            <w:tcW w:w="2542" w:type="dxa"/>
            <w:vAlign w:val="center"/>
          </w:tcPr>
          <w:p w:rsidR="0072310B" w:rsidRDefault="00783925">
            <w:pPr>
              <w:pStyle w:val="Tabletext"/>
              <w:jc w:val="center"/>
            </w:pPr>
            <w:r>
              <w:t>25.0</w:t>
            </w:r>
          </w:p>
        </w:tc>
        <w:tc>
          <w:tcPr>
            <w:tcW w:w="2405" w:type="dxa"/>
            <w:vAlign w:val="center"/>
          </w:tcPr>
          <w:p w:rsidR="0072310B" w:rsidRDefault="00783925">
            <w:pPr>
              <w:pStyle w:val="Tabletext"/>
              <w:jc w:val="center"/>
            </w:pPr>
            <w:r>
              <w:t>9.0</w:t>
            </w:r>
          </w:p>
        </w:tc>
      </w:tr>
      <w:tr w:rsidR="0072310B">
        <w:trPr>
          <w:gridAfter w:val="1"/>
          <w:wAfter w:w="17" w:type="dxa"/>
        </w:trPr>
        <w:tc>
          <w:tcPr>
            <w:tcW w:w="4053" w:type="dxa"/>
          </w:tcPr>
          <w:p w:rsidR="0072310B" w:rsidRDefault="00783925">
            <w:pPr>
              <w:pStyle w:val="Tabletext"/>
              <w:tabs>
                <w:tab w:val="left" w:pos="142"/>
              </w:tabs>
            </w:pPr>
            <w:r>
              <w:tab/>
              <w:t>Total drug cost: 2 years</w:t>
            </w:r>
          </w:p>
        </w:tc>
        <w:tc>
          <w:tcPr>
            <w:tcW w:w="2542" w:type="dxa"/>
            <w:vAlign w:val="center"/>
          </w:tcPr>
          <w:p w:rsidR="0072310B" w:rsidRDefault="00783925">
            <w:pPr>
              <w:pStyle w:val="Tabletext"/>
              <w:jc w:val="center"/>
            </w:pPr>
            <w:r>
              <w:t>$</w:t>
            </w:r>
            <w:r w:rsidR="00D95519">
              <w:rPr>
                <w:noProof/>
                <w:color w:val="000000"/>
                <w:highlight w:val="black"/>
              </w:rPr>
              <w:t>'''''''''''''''''''</w:t>
            </w:r>
          </w:p>
        </w:tc>
        <w:tc>
          <w:tcPr>
            <w:tcW w:w="2405" w:type="dxa"/>
            <w:vAlign w:val="center"/>
          </w:tcPr>
          <w:p w:rsidR="0072310B" w:rsidRDefault="00783925">
            <w:pPr>
              <w:pStyle w:val="Tabletext"/>
              <w:jc w:val="center"/>
            </w:pPr>
            <w:r>
              <w:t>$6,074.82</w:t>
            </w:r>
          </w:p>
        </w:tc>
      </w:tr>
      <w:tr w:rsidR="0072310B">
        <w:tc>
          <w:tcPr>
            <w:tcW w:w="9017" w:type="dxa"/>
            <w:gridSpan w:val="4"/>
          </w:tcPr>
          <w:p w:rsidR="0072310B" w:rsidRDefault="00783925">
            <w:pPr>
              <w:pStyle w:val="Tabletext"/>
              <w:tabs>
                <w:tab w:val="left" w:pos="142"/>
              </w:tabs>
              <w:rPr>
                <w:b/>
              </w:rPr>
            </w:pPr>
            <w:r>
              <w:rPr>
                <w:b/>
              </w:rPr>
              <w:t>Administration costs</w:t>
            </w:r>
          </w:p>
        </w:tc>
      </w:tr>
      <w:tr w:rsidR="0072310B">
        <w:trPr>
          <w:gridAfter w:val="1"/>
          <w:wAfter w:w="17" w:type="dxa"/>
        </w:trPr>
        <w:tc>
          <w:tcPr>
            <w:tcW w:w="4053" w:type="dxa"/>
          </w:tcPr>
          <w:p w:rsidR="0072310B" w:rsidRDefault="00783925">
            <w:pPr>
              <w:pStyle w:val="Tabletext"/>
              <w:tabs>
                <w:tab w:val="left" w:pos="142"/>
              </w:tabs>
            </w:pPr>
            <w:r>
              <w:tab/>
              <w:t>Neurologist (MBS Item 116) per visit</w:t>
            </w:r>
          </w:p>
        </w:tc>
        <w:tc>
          <w:tcPr>
            <w:tcW w:w="2542" w:type="dxa"/>
            <w:vAlign w:val="center"/>
          </w:tcPr>
          <w:p w:rsidR="0072310B" w:rsidRDefault="00783925">
            <w:pPr>
              <w:pStyle w:val="Tabletext"/>
              <w:jc w:val="center"/>
            </w:pPr>
            <w:r>
              <w:t>$</w:t>
            </w:r>
            <w:r w:rsidR="00D95519">
              <w:rPr>
                <w:noProof/>
                <w:color w:val="000000"/>
                <w:highlight w:val="black"/>
              </w:rPr>
              <w:t>'''''''''''''''</w:t>
            </w:r>
          </w:p>
        </w:tc>
        <w:tc>
          <w:tcPr>
            <w:tcW w:w="2405" w:type="dxa"/>
            <w:vAlign w:val="center"/>
          </w:tcPr>
          <w:p w:rsidR="0072310B" w:rsidRDefault="00783925">
            <w:pPr>
              <w:pStyle w:val="Tabletext"/>
              <w:jc w:val="center"/>
            </w:pPr>
            <w:r>
              <w:t>$76.65</w:t>
            </w:r>
          </w:p>
        </w:tc>
      </w:tr>
      <w:tr w:rsidR="0072310B">
        <w:trPr>
          <w:gridAfter w:val="1"/>
          <w:wAfter w:w="17" w:type="dxa"/>
        </w:trPr>
        <w:tc>
          <w:tcPr>
            <w:tcW w:w="4053" w:type="dxa"/>
          </w:tcPr>
          <w:p w:rsidR="0072310B" w:rsidRDefault="00783925">
            <w:pPr>
              <w:pStyle w:val="Tabletext"/>
              <w:tabs>
                <w:tab w:val="left" w:pos="142"/>
              </w:tabs>
              <w:ind w:left="142" w:hanging="142"/>
            </w:pPr>
            <w:r>
              <w:tab/>
              <w:t>Botox administration (MBS Item 18377) per visit</w:t>
            </w:r>
          </w:p>
        </w:tc>
        <w:tc>
          <w:tcPr>
            <w:tcW w:w="2542" w:type="dxa"/>
            <w:vAlign w:val="center"/>
          </w:tcPr>
          <w:p w:rsidR="0072310B" w:rsidRDefault="00783925">
            <w:pPr>
              <w:pStyle w:val="Tabletext"/>
              <w:jc w:val="center"/>
            </w:pPr>
            <w:r>
              <w:noBreakHyphen/>
            </w:r>
          </w:p>
        </w:tc>
        <w:tc>
          <w:tcPr>
            <w:tcW w:w="2405" w:type="dxa"/>
            <w:vAlign w:val="center"/>
          </w:tcPr>
          <w:p w:rsidR="0072310B" w:rsidRDefault="00783925">
            <w:pPr>
              <w:pStyle w:val="Tabletext"/>
              <w:jc w:val="center"/>
            </w:pPr>
            <w:r>
              <w:t>$124.85</w:t>
            </w:r>
          </w:p>
        </w:tc>
      </w:tr>
      <w:tr w:rsidR="0072310B">
        <w:trPr>
          <w:gridAfter w:val="1"/>
          <w:wAfter w:w="17" w:type="dxa"/>
        </w:trPr>
        <w:tc>
          <w:tcPr>
            <w:tcW w:w="4053" w:type="dxa"/>
          </w:tcPr>
          <w:p w:rsidR="0072310B" w:rsidRDefault="00783925">
            <w:pPr>
              <w:pStyle w:val="Tabletext"/>
              <w:tabs>
                <w:tab w:val="left" w:pos="142"/>
              </w:tabs>
            </w:pPr>
            <w:r>
              <w:tab/>
              <w:t>Number of visits per 2 years</w:t>
            </w:r>
          </w:p>
        </w:tc>
        <w:tc>
          <w:tcPr>
            <w:tcW w:w="2542" w:type="dxa"/>
            <w:vAlign w:val="center"/>
          </w:tcPr>
          <w:p w:rsidR="0072310B" w:rsidRDefault="00783925">
            <w:pPr>
              <w:pStyle w:val="Tabletext"/>
              <w:jc w:val="center"/>
            </w:pPr>
            <w:r>
              <w:t>5.0</w:t>
            </w:r>
          </w:p>
        </w:tc>
        <w:tc>
          <w:tcPr>
            <w:tcW w:w="2405" w:type="dxa"/>
            <w:vAlign w:val="center"/>
          </w:tcPr>
          <w:p w:rsidR="0072310B" w:rsidRDefault="00783925">
            <w:pPr>
              <w:pStyle w:val="Tabletext"/>
              <w:jc w:val="center"/>
            </w:pPr>
            <w:r>
              <w:t>9.0</w:t>
            </w:r>
          </w:p>
        </w:tc>
      </w:tr>
      <w:tr w:rsidR="0072310B">
        <w:trPr>
          <w:gridAfter w:val="1"/>
          <w:wAfter w:w="17" w:type="dxa"/>
        </w:trPr>
        <w:tc>
          <w:tcPr>
            <w:tcW w:w="4053" w:type="dxa"/>
            <w:tcBorders>
              <w:bottom w:val="single" w:sz="4" w:space="0" w:color="auto"/>
            </w:tcBorders>
          </w:tcPr>
          <w:p w:rsidR="0072310B" w:rsidRDefault="00783925">
            <w:pPr>
              <w:pStyle w:val="Tabletext"/>
              <w:tabs>
                <w:tab w:val="left" w:pos="142"/>
              </w:tabs>
            </w:pPr>
            <w:r>
              <w:tab/>
              <w:t>Total administration cost: 2 years</w:t>
            </w:r>
          </w:p>
        </w:tc>
        <w:tc>
          <w:tcPr>
            <w:tcW w:w="2542" w:type="dxa"/>
            <w:tcBorders>
              <w:bottom w:val="single" w:sz="4" w:space="0" w:color="auto"/>
            </w:tcBorders>
            <w:vAlign w:val="center"/>
          </w:tcPr>
          <w:p w:rsidR="0072310B" w:rsidRDefault="00783925">
            <w:pPr>
              <w:pStyle w:val="Tabletext"/>
              <w:jc w:val="center"/>
            </w:pPr>
            <w:r>
              <w:t>$</w:t>
            </w:r>
            <w:r w:rsidR="00D95519">
              <w:rPr>
                <w:noProof/>
                <w:color w:val="000000"/>
                <w:highlight w:val="black"/>
              </w:rPr>
              <w:t>''''''''''''''''''</w:t>
            </w:r>
          </w:p>
        </w:tc>
        <w:tc>
          <w:tcPr>
            <w:tcW w:w="2405" w:type="dxa"/>
            <w:tcBorders>
              <w:bottom w:val="single" w:sz="4" w:space="0" w:color="auto"/>
            </w:tcBorders>
            <w:vAlign w:val="center"/>
          </w:tcPr>
          <w:p w:rsidR="0072310B" w:rsidRDefault="00783925">
            <w:pPr>
              <w:pStyle w:val="Tabletext"/>
              <w:jc w:val="center"/>
            </w:pPr>
            <w:r>
              <w:t>$1,813.50</w:t>
            </w:r>
          </w:p>
        </w:tc>
      </w:tr>
      <w:tr w:rsidR="0072310B">
        <w:trPr>
          <w:gridAfter w:val="1"/>
          <w:wAfter w:w="17" w:type="dxa"/>
        </w:trPr>
        <w:tc>
          <w:tcPr>
            <w:tcW w:w="4053" w:type="dxa"/>
          </w:tcPr>
          <w:p w:rsidR="0072310B" w:rsidRDefault="00783925">
            <w:pPr>
              <w:pStyle w:val="Tabletext"/>
              <w:tabs>
                <w:tab w:val="left" w:pos="142"/>
              </w:tabs>
              <w:rPr>
                <w:b/>
              </w:rPr>
            </w:pPr>
            <w:r>
              <w:rPr>
                <w:b/>
              </w:rPr>
              <w:t>Total drug and administration cost: 2 years</w:t>
            </w:r>
          </w:p>
        </w:tc>
        <w:tc>
          <w:tcPr>
            <w:tcW w:w="2542" w:type="dxa"/>
            <w:vAlign w:val="center"/>
          </w:tcPr>
          <w:p w:rsidR="0072310B" w:rsidRDefault="00783925">
            <w:pPr>
              <w:pStyle w:val="Tabletext"/>
              <w:jc w:val="center"/>
              <w:rPr>
                <w:b/>
              </w:rPr>
            </w:pPr>
            <w:r>
              <w:rPr>
                <w:b/>
              </w:rPr>
              <w:t>$</w:t>
            </w:r>
            <w:r w:rsidR="00D95519">
              <w:rPr>
                <w:b/>
                <w:noProof/>
                <w:color w:val="000000"/>
                <w:highlight w:val="black"/>
              </w:rPr>
              <w:t>'''''''''''''''''</w:t>
            </w:r>
          </w:p>
        </w:tc>
        <w:tc>
          <w:tcPr>
            <w:tcW w:w="2405" w:type="dxa"/>
            <w:vAlign w:val="center"/>
          </w:tcPr>
          <w:p w:rsidR="0072310B" w:rsidRDefault="00783925">
            <w:pPr>
              <w:pStyle w:val="Tabletext"/>
              <w:jc w:val="center"/>
              <w:rPr>
                <w:b/>
              </w:rPr>
            </w:pPr>
            <w:r>
              <w:rPr>
                <w:b/>
              </w:rPr>
              <w:t>$7,888.32</w:t>
            </w:r>
          </w:p>
        </w:tc>
      </w:tr>
    </w:tbl>
    <w:p w:rsidR="0072310B" w:rsidRDefault="00783925">
      <w:pPr>
        <w:pStyle w:val="TableFooter"/>
        <w:tabs>
          <w:tab w:val="left" w:pos="142"/>
        </w:tabs>
      </w:pPr>
      <w:r>
        <w:rPr>
          <w:vertAlign w:val="superscript"/>
        </w:rPr>
        <w:t>a</w:t>
      </w:r>
      <w:r>
        <w:tab/>
        <w:t>The cost per dose of Botox was based on the published price ($337.49 per vial) and assumed 200U (2 vials) per dose.</w:t>
      </w:r>
    </w:p>
    <w:p w:rsidR="0072310B" w:rsidRDefault="00783925">
      <w:pPr>
        <w:pStyle w:val="TableFooter"/>
      </w:pPr>
      <w:r>
        <w:t>AEMP=approved ex-manufacturer price</w:t>
      </w:r>
    </w:p>
    <w:p w:rsidR="0072310B" w:rsidRDefault="00783925">
      <w:pPr>
        <w:pStyle w:val="TableFooter"/>
      </w:pPr>
      <w:r>
        <w:t>Source: Table 3.4.2, p115 of the submission.</w:t>
      </w:r>
    </w:p>
    <w:p w:rsidR="0072310B" w:rsidRDefault="0072310B"/>
    <w:p w:rsidR="0072310B" w:rsidRDefault="00783925">
      <w:pPr>
        <w:pStyle w:val="ListParagraph"/>
        <w:numPr>
          <w:ilvl w:val="1"/>
          <w:numId w:val="3"/>
        </w:numPr>
        <w:spacing w:after="120"/>
        <w:rPr>
          <w:iCs/>
        </w:rPr>
      </w:pPr>
      <w:r>
        <w:rPr>
          <w:iCs/>
        </w:rPr>
        <w:t xml:space="preserve">The number of administrations of galcanezumab over 2 years (25) did not correspond to the number of doses assumed when estimating the financial implications, where an average of </w:t>
      </w:r>
      <w:r w:rsidR="00D95519">
        <w:rPr>
          <w:iCs/>
          <w:noProof/>
          <w:color w:val="000000"/>
          <w:highlight w:val="black"/>
        </w:rPr>
        <w:t>''''''''''</w:t>
      </w:r>
      <w:r>
        <w:rPr>
          <w:iCs/>
        </w:rPr>
        <w:t xml:space="preserve"> scripts per year was assumed for new patients, including the loading dose.</w:t>
      </w:r>
      <w:r w:rsidR="002535F9">
        <w:rPr>
          <w:iCs/>
        </w:rPr>
        <w:t xml:space="preserve"> </w:t>
      </w:r>
      <w:r>
        <w:rPr>
          <w:iCs/>
        </w:rPr>
        <w:t xml:space="preserve">In addition, the analysis assumed that Botox is dosed every </w:t>
      </w:r>
      <w:r w:rsidR="00D95519">
        <w:rPr>
          <w:iCs/>
          <w:noProof/>
          <w:color w:val="000000"/>
          <w:highlight w:val="black"/>
        </w:rPr>
        <w:t>'''''</w:t>
      </w:r>
      <w:r>
        <w:rPr>
          <w:iCs/>
        </w:rPr>
        <w:t xml:space="preserve"> weeks, however the DUSC review of Botox in 2017 reported that the mean number of injection services for Botox in the first 12 months after initiation was 3.23, which on average corresponded to treatment every 16 week.</w:t>
      </w:r>
      <w:r w:rsidR="002535F9">
        <w:rPr>
          <w:iCs/>
        </w:rPr>
        <w:t xml:space="preserve"> </w:t>
      </w:r>
      <w:r>
        <w:rPr>
          <w:iCs/>
        </w:rPr>
        <w:t>The PSCR states that the number of administrations of galcanezumab used in the CMA (</w:t>
      </w:r>
      <w:r w:rsidR="00D95519">
        <w:rPr>
          <w:iCs/>
          <w:noProof/>
          <w:color w:val="000000"/>
          <w:highlight w:val="black"/>
        </w:rPr>
        <w:t>'''''''''</w:t>
      </w:r>
      <w:r>
        <w:rPr>
          <w:iCs/>
        </w:rPr>
        <w:t xml:space="preserve"> per year) was calculated over 2 years and in the financial estimates the number of scripts (</w:t>
      </w:r>
      <w:r w:rsidR="00D95519">
        <w:rPr>
          <w:iCs/>
          <w:noProof/>
          <w:color w:val="000000"/>
          <w:highlight w:val="black"/>
        </w:rPr>
        <w:t>'''''''''''</w:t>
      </w:r>
      <w:r>
        <w:rPr>
          <w:iCs/>
        </w:rPr>
        <w:t xml:space="preserve"> per year) was averaged over 6 years.</w:t>
      </w:r>
    </w:p>
    <w:p w:rsidR="0072310B" w:rsidRDefault="00783925">
      <w:pPr>
        <w:pStyle w:val="ListParagraph"/>
        <w:numPr>
          <w:ilvl w:val="1"/>
          <w:numId w:val="3"/>
        </w:numPr>
        <w:spacing w:after="120"/>
        <w:rPr>
          <w:iCs/>
        </w:rPr>
      </w:pPr>
      <w:r>
        <w:t>The ESC noted the impact of rounding the number of Botox administrations over 2 years</w:t>
      </w:r>
      <w:r>
        <w:rPr>
          <w:rStyle w:val="FootnoteReference"/>
        </w:rPr>
        <w:footnoteReference w:id="2"/>
      </w:r>
      <w:r>
        <w:t xml:space="preserve"> resulted in an average of </w:t>
      </w:r>
      <w:r w:rsidR="00D95519">
        <w:rPr>
          <w:noProof/>
          <w:color w:val="000000"/>
          <w:highlight w:val="black"/>
        </w:rPr>
        <w:t>'''''''</w:t>
      </w:r>
      <w:r>
        <w:t xml:space="preserve"> Botox administrations per year being applied in </w:t>
      </w:r>
      <w:r>
        <w:lastRenderedPageBreak/>
        <w:t xml:space="preserve">the CMA which was not consistent with the average of </w:t>
      </w:r>
      <w:r w:rsidR="00D95519">
        <w:rPr>
          <w:noProof/>
          <w:color w:val="000000"/>
          <w:highlight w:val="black"/>
        </w:rPr>
        <w:t>'''''''''</w:t>
      </w:r>
      <w:r>
        <w:t xml:space="preserve"> applied in the financial estimates or 3.23 determined by the DUSC review. Additionally, rounding the number of administrations resulted in different durations of treatment for Botox and galcanezumab (</w:t>
      </w:r>
      <w:r w:rsidR="00D95519">
        <w:rPr>
          <w:noProof/>
          <w:color w:val="000000"/>
          <w:highlight w:val="black"/>
        </w:rPr>
        <w:t>''''''''</w:t>
      </w:r>
      <w:r>
        <w:t xml:space="preserve"> years vs 1.97 years, respectively). </w:t>
      </w:r>
    </w:p>
    <w:p w:rsidR="0072310B" w:rsidRDefault="00783925">
      <w:pPr>
        <w:pStyle w:val="ListParagraph"/>
        <w:numPr>
          <w:ilvl w:val="1"/>
          <w:numId w:val="3"/>
        </w:numPr>
        <w:spacing w:after="120"/>
        <w:rPr>
          <w:iCs/>
        </w:rPr>
      </w:pPr>
      <w:r>
        <w:t>The PBAC considered the CMA should apply the trial-based equi-effective doses i.e., galcanezumab 120 mg every 30 days = Botox 164U every 12 weeks, assume a 2 year treatment duration for galcanezumab and Botox and not round the number of doses or administrations. The revised CMA based on the published Botox price is presented below.</w:t>
      </w:r>
    </w:p>
    <w:p w:rsidR="00787712" w:rsidRPr="00787712" w:rsidRDefault="00787712" w:rsidP="00787712">
      <w:pPr>
        <w:pStyle w:val="Caption"/>
        <w:keepNext/>
        <w:spacing w:after="0"/>
        <w:rPr>
          <w:rStyle w:val="CommentReference"/>
        </w:rPr>
      </w:pPr>
      <w:r w:rsidRPr="00787712">
        <w:rPr>
          <w:rStyle w:val="CommentReference"/>
        </w:rPr>
        <w:t xml:space="preserve">Table </w:t>
      </w:r>
      <w:r w:rsidRPr="00787712">
        <w:rPr>
          <w:rStyle w:val="CommentReference"/>
        </w:rPr>
        <w:fldChar w:fldCharType="begin"/>
      </w:r>
      <w:r w:rsidRPr="00787712">
        <w:rPr>
          <w:rStyle w:val="CommentReference"/>
        </w:rPr>
        <w:instrText xml:space="preserve"> SEQ Table \* ARABIC </w:instrText>
      </w:r>
      <w:r w:rsidRPr="00787712">
        <w:rPr>
          <w:rStyle w:val="CommentReference"/>
        </w:rPr>
        <w:fldChar w:fldCharType="separate"/>
      </w:r>
      <w:r w:rsidR="00CD46F2">
        <w:rPr>
          <w:rStyle w:val="CommentReference"/>
          <w:noProof/>
        </w:rPr>
        <w:t>13</w:t>
      </w:r>
      <w:r w:rsidRPr="00787712">
        <w:rPr>
          <w:rStyle w:val="CommentReference"/>
        </w:rPr>
        <w:fldChar w:fldCharType="end"/>
      </w:r>
      <w:r w:rsidRPr="00787712">
        <w:rPr>
          <w:rStyle w:val="CommentReference"/>
        </w:rPr>
        <w:t>: Results of the cost-minimisation analysis based on the published price for Botox, revised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Results of the cost-minimisation analysis based on the published price for Botox, revised"/>
      </w:tblPr>
      <w:tblGrid>
        <w:gridCol w:w="4053"/>
        <w:gridCol w:w="2542"/>
        <w:gridCol w:w="2405"/>
        <w:gridCol w:w="17"/>
      </w:tblGrid>
      <w:tr w:rsidR="0072310B">
        <w:trPr>
          <w:gridAfter w:val="1"/>
          <w:wAfter w:w="17" w:type="dxa"/>
          <w:tblHeader/>
        </w:trPr>
        <w:tc>
          <w:tcPr>
            <w:tcW w:w="4053" w:type="dxa"/>
          </w:tcPr>
          <w:p w:rsidR="0072310B" w:rsidRDefault="00783925">
            <w:pPr>
              <w:pStyle w:val="Tabletext"/>
              <w:tabs>
                <w:tab w:val="left" w:pos="142"/>
              </w:tabs>
              <w:rPr>
                <w:b/>
              </w:rPr>
            </w:pPr>
            <w:r>
              <w:rPr>
                <w:b/>
              </w:rPr>
              <w:t>Component</w:t>
            </w:r>
          </w:p>
        </w:tc>
        <w:tc>
          <w:tcPr>
            <w:tcW w:w="2542" w:type="dxa"/>
          </w:tcPr>
          <w:p w:rsidR="0072310B" w:rsidRDefault="00783925">
            <w:pPr>
              <w:pStyle w:val="Tabletext"/>
              <w:jc w:val="center"/>
              <w:rPr>
                <w:b/>
              </w:rPr>
            </w:pPr>
            <w:r>
              <w:rPr>
                <w:b/>
              </w:rPr>
              <w:t>Galcanezumab</w:t>
            </w:r>
          </w:p>
        </w:tc>
        <w:tc>
          <w:tcPr>
            <w:tcW w:w="2405" w:type="dxa"/>
          </w:tcPr>
          <w:p w:rsidR="0072310B" w:rsidRDefault="00783925">
            <w:pPr>
              <w:pStyle w:val="Tabletext"/>
              <w:jc w:val="center"/>
              <w:rPr>
                <w:b/>
              </w:rPr>
            </w:pPr>
            <w:r>
              <w:rPr>
                <w:b/>
              </w:rPr>
              <w:t>Botox</w:t>
            </w:r>
          </w:p>
        </w:tc>
      </w:tr>
      <w:tr w:rsidR="0072310B">
        <w:tc>
          <w:tcPr>
            <w:tcW w:w="9017" w:type="dxa"/>
            <w:gridSpan w:val="4"/>
          </w:tcPr>
          <w:p w:rsidR="0072310B" w:rsidRDefault="00783925">
            <w:pPr>
              <w:pStyle w:val="Tabletext"/>
              <w:tabs>
                <w:tab w:val="left" w:pos="142"/>
              </w:tabs>
              <w:rPr>
                <w:b/>
              </w:rPr>
            </w:pPr>
            <w:r>
              <w:rPr>
                <w:b/>
              </w:rPr>
              <w:t>Drug costs (AEMP)</w:t>
            </w:r>
          </w:p>
        </w:tc>
      </w:tr>
      <w:tr w:rsidR="0072310B">
        <w:trPr>
          <w:gridAfter w:val="1"/>
          <w:wAfter w:w="17" w:type="dxa"/>
        </w:trPr>
        <w:tc>
          <w:tcPr>
            <w:tcW w:w="4053" w:type="dxa"/>
          </w:tcPr>
          <w:p w:rsidR="0072310B" w:rsidRDefault="00783925">
            <w:pPr>
              <w:pStyle w:val="Tabletext"/>
              <w:tabs>
                <w:tab w:val="left" w:pos="142"/>
              </w:tabs>
            </w:pPr>
            <w:r>
              <w:tab/>
              <w:t>Per dose</w:t>
            </w:r>
          </w:p>
        </w:tc>
        <w:tc>
          <w:tcPr>
            <w:tcW w:w="2542" w:type="dxa"/>
            <w:vAlign w:val="center"/>
          </w:tcPr>
          <w:p w:rsidR="0072310B" w:rsidRDefault="00783925">
            <w:pPr>
              <w:pStyle w:val="Tabletext"/>
              <w:jc w:val="center"/>
            </w:pPr>
            <w:r>
              <w:t>$</w:t>
            </w:r>
            <w:r w:rsidR="00D95519">
              <w:rPr>
                <w:noProof/>
                <w:color w:val="000000"/>
                <w:highlight w:val="black"/>
              </w:rPr>
              <w:t>''''''''''''''''</w:t>
            </w:r>
          </w:p>
        </w:tc>
        <w:tc>
          <w:tcPr>
            <w:tcW w:w="2405" w:type="dxa"/>
            <w:vAlign w:val="center"/>
          </w:tcPr>
          <w:p w:rsidR="0072310B" w:rsidRDefault="00783925">
            <w:pPr>
              <w:pStyle w:val="Tabletext"/>
              <w:jc w:val="center"/>
            </w:pPr>
            <w:r>
              <w:t>$553.48</w:t>
            </w:r>
            <w:r>
              <w:rPr>
                <w:vertAlign w:val="superscript"/>
              </w:rPr>
              <w:t>a</w:t>
            </w:r>
          </w:p>
        </w:tc>
      </w:tr>
      <w:tr w:rsidR="0072310B">
        <w:trPr>
          <w:gridAfter w:val="1"/>
          <w:wAfter w:w="17" w:type="dxa"/>
        </w:trPr>
        <w:tc>
          <w:tcPr>
            <w:tcW w:w="4053" w:type="dxa"/>
          </w:tcPr>
          <w:p w:rsidR="0072310B" w:rsidRDefault="00783925">
            <w:pPr>
              <w:pStyle w:val="Tabletext"/>
              <w:tabs>
                <w:tab w:val="left" w:pos="142"/>
              </w:tabs>
            </w:pPr>
            <w:r>
              <w:tab/>
              <w:t>Number of doses per 2 years</w:t>
            </w:r>
          </w:p>
        </w:tc>
        <w:tc>
          <w:tcPr>
            <w:tcW w:w="2542" w:type="dxa"/>
            <w:vAlign w:val="center"/>
          </w:tcPr>
          <w:p w:rsidR="0072310B" w:rsidRDefault="00783925">
            <w:pPr>
              <w:pStyle w:val="Tabletext"/>
              <w:jc w:val="center"/>
            </w:pPr>
            <w:r>
              <w:t>25.35</w:t>
            </w:r>
          </w:p>
        </w:tc>
        <w:tc>
          <w:tcPr>
            <w:tcW w:w="2405" w:type="dxa"/>
            <w:vAlign w:val="center"/>
          </w:tcPr>
          <w:p w:rsidR="0072310B" w:rsidRDefault="00783925">
            <w:pPr>
              <w:pStyle w:val="Tabletext"/>
              <w:jc w:val="center"/>
            </w:pPr>
            <w:r>
              <w:t>8.70</w:t>
            </w:r>
          </w:p>
        </w:tc>
      </w:tr>
      <w:tr w:rsidR="0072310B">
        <w:trPr>
          <w:gridAfter w:val="1"/>
          <w:wAfter w:w="17" w:type="dxa"/>
        </w:trPr>
        <w:tc>
          <w:tcPr>
            <w:tcW w:w="4053" w:type="dxa"/>
          </w:tcPr>
          <w:p w:rsidR="0072310B" w:rsidRDefault="00783925">
            <w:pPr>
              <w:pStyle w:val="Tabletext"/>
              <w:tabs>
                <w:tab w:val="left" w:pos="142"/>
              </w:tabs>
            </w:pPr>
            <w:r>
              <w:tab/>
              <w:t>Total drug cost: 2 years</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rsidR="0072310B" w:rsidRDefault="00783925">
            <w:pPr>
              <w:pStyle w:val="Tabletext"/>
              <w:jc w:val="center"/>
            </w:pPr>
            <w:r>
              <w:t>$</w:t>
            </w:r>
            <w:r w:rsidR="00D95519">
              <w:rPr>
                <w:noProof/>
                <w:color w:val="000000"/>
                <w:highlight w:val="black"/>
              </w:rPr>
              <w:t>'''''''''''''''''''''''</w:t>
            </w:r>
          </w:p>
        </w:tc>
        <w:tc>
          <w:tcPr>
            <w:tcW w:w="2405" w:type="dxa"/>
            <w:tcBorders>
              <w:top w:val="single" w:sz="4" w:space="0" w:color="auto"/>
              <w:left w:val="nil"/>
              <w:bottom w:val="single" w:sz="4" w:space="0" w:color="auto"/>
              <w:right w:val="single" w:sz="4" w:space="0" w:color="auto"/>
            </w:tcBorders>
            <w:shd w:val="clear" w:color="000000" w:fill="FFFFFF"/>
            <w:vAlign w:val="center"/>
          </w:tcPr>
          <w:p w:rsidR="0072310B" w:rsidRDefault="00783925">
            <w:pPr>
              <w:pStyle w:val="Tabletext"/>
              <w:jc w:val="center"/>
            </w:pPr>
            <w:r>
              <w:t>$4,813.33</w:t>
            </w:r>
          </w:p>
        </w:tc>
      </w:tr>
      <w:tr w:rsidR="0072310B">
        <w:tc>
          <w:tcPr>
            <w:tcW w:w="9017" w:type="dxa"/>
            <w:gridSpan w:val="4"/>
          </w:tcPr>
          <w:p w:rsidR="0072310B" w:rsidRDefault="00783925">
            <w:pPr>
              <w:pStyle w:val="Tabletext"/>
              <w:tabs>
                <w:tab w:val="left" w:pos="142"/>
              </w:tabs>
              <w:rPr>
                <w:b/>
              </w:rPr>
            </w:pPr>
            <w:r>
              <w:rPr>
                <w:b/>
              </w:rPr>
              <w:t>Administration costs</w:t>
            </w:r>
          </w:p>
        </w:tc>
      </w:tr>
      <w:tr w:rsidR="0072310B">
        <w:trPr>
          <w:gridAfter w:val="1"/>
          <w:wAfter w:w="17" w:type="dxa"/>
        </w:trPr>
        <w:tc>
          <w:tcPr>
            <w:tcW w:w="4053" w:type="dxa"/>
          </w:tcPr>
          <w:p w:rsidR="0072310B" w:rsidRDefault="00783925">
            <w:pPr>
              <w:pStyle w:val="Tabletext"/>
              <w:tabs>
                <w:tab w:val="left" w:pos="142"/>
              </w:tabs>
            </w:pPr>
            <w:r>
              <w:tab/>
              <w:t>Neurologist (MBS Item 116) per visit</w:t>
            </w:r>
          </w:p>
        </w:tc>
        <w:tc>
          <w:tcPr>
            <w:tcW w:w="2542" w:type="dxa"/>
            <w:vAlign w:val="center"/>
          </w:tcPr>
          <w:p w:rsidR="0072310B" w:rsidRDefault="00783925">
            <w:pPr>
              <w:pStyle w:val="Tabletext"/>
              <w:jc w:val="center"/>
            </w:pPr>
            <w:r>
              <w:t>$</w:t>
            </w:r>
            <w:r w:rsidR="00D95519">
              <w:rPr>
                <w:noProof/>
                <w:color w:val="000000"/>
                <w:highlight w:val="black"/>
              </w:rPr>
              <w:t>''''''''''''</w:t>
            </w:r>
          </w:p>
        </w:tc>
        <w:tc>
          <w:tcPr>
            <w:tcW w:w="2405" w:type="dxa"/>
            <w:vAlign w:val="center"/>
          </w:tcPr>
          <w:p w:rsidR="0072310B" w:rsidRDefault="00783925">
            <w:pPr>
              <w:pStyle w:val="Tabletext"/>
              <w:jc w:val="center"/>
            </w:pPr>
            <w:r>
              <w:t>$76.65</w:t>
            </w:r>
          </w:p>
        </w:tc>
      </w:tr>
      <w:tr w:rsidR="0072310B">
        <w:trPr>
          <w:gridAfter w:val="1"/>
          <w:wAfter w:w="17" w:type="dxa"/>
        </w:trPr>
        <w:tc>
          <w:tcPr>
            <w:tcW w:w="4053" w:type="dxa"/>
          </w:tcPr>
          <w:p w:rsidR="0072310B" w:rsidRDefault="00783925">
            <w:pPr>
              <w:pStyle w:val="Tabletext"/>
              <w:tabs>
                <w:tab w:val="left" w:pos="142"/>
              </w:tabs>
              <w:ind w:left="142" w:hanging="142"/>
            </w:pPr>
            <w:r>
              <w:tab/>
              <w:t>Botox administration (MBS Item 18377) per visit</w:t>
            </w:r>
          </w:p>
        </w:tc>
        <w:tc>
          <w:tcPr>
            <w:tcW w:w="2542" w:type="dxa"/>
            <w:vAlign w:val="center"/>
          </w:tcPr>
          <w:p w:rsidR="0072310B" w:rsidRDefault="00783925">
            <w:pPr>
              <w:pStyle w:val="Tabletext"/>
              <w:jc w:val="center"/>
            </w:pPr>
            <w:r>
              <w:noBreakHyphen/>
            </w:r>
          </w:p>
        </w:tc>
        <w:tc>
          <w:tcPr>
            <w:tcW w:w="2405" w:type="dxa"/>
            <w:vAlign w:val="center"/>
          </w:tcPr>
          <w:p w:rsidR="0072310B" w:rsidRDefault="00783925">
            <w:pPr>
              <w:pStyle w:val="Tabletext"/>
              <w:jc w:val="center"/>
            </w:pPr>
            <w:r>
              <w:t>$124.85</w:t>
            </w:r>
          </w:p>
        </w:tc>
      </w:tr>
      <w:tr w:rsidR="0072310B">
        <w:trPr>
          <w:gridAfter w:val="1"/>
          <w:wAfter w:w="17" w:type="dxa"/>
        </w:trPr>
        <w:tc>
          <w:tcPr>
            <w:tcW w:w="4053" w:type="dxa"/>
          </w:tcPr>
          <w:p w:rsidR="0072310B" w:rsidRDefault="00783925">
            <w:pPr>
              <w:pStyle w:val="Tabletext"/>
              <w:tabs>
                <w:tab w:val="left" w:pos="142"/>
              </w:tabs>
            </w:pPr>
            <w:r>
              <w:tab/>
              <w:t>Number of visits per 2 years</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rsidR="0072310B" w:rsidRDefault="00783925">
            <w:pPr>
              <w:pStyle w:val="Tabletext"/>
              <w:jc w:val="center"/>
            </w:pPr>
            <w:r>
              <w:t>5.0</w:t>
            </w:r>
          </w:p>
        </w:tc>
        <w:tc>
          <w:tcPr>
            <w:tcW w:w="2405" w:type="dxa"/>
            <w:tcBorders>
              <w:top w:val="single" w:sz="4" w:space="0" w:color="auto"/>
              <w:left w:val="nil"/>
              <w:bottom w:val="single" w:sz="4" w:space="0" w:color="auto"/>
              <w:right w:val="single" w:sz="4" w:space="0" w:color="auto"/>
            </w:tcBorders>
            <w:shd w:val="clear" w:color="000000" w:fill="FFFFFF"/>
            <w:vAlign w:val="center"/>
          </w:tcPr>
          <w:p w:rsidR="0072310B" w:rsidRDefault="00783925">
            <w:pPr>
              <w:pStyle w:val="Tabletext"/>
              <w:jc w:val="center"/>
            </w:pPr>
            <w:r>
              <w:t>8.70</w:t>
            </w:r>
          </w:p>
        </w:tc>
      </w:tr>
      <w:tr w:rsidR="0072310B">
        <w:trPr>
          <w:gridAfter w:val="1"/>
          <w:wAfter w:w="17" w:type="dxa"/>
        </w:trPr>
        <w:tc>
          <w:tcPr>
            <w:tcW w:w="4053" w:type="dxa"/>
            <w:tcBorders>
              <w:bottom w:val="single" w:sz="4" w:space="0" w:color="auto"/>
            </w:tcBorders>
          </w:tcPr>
          <w:p w:rsidR="0072310B" w:rsidRDefault="00783925">
            <w:pPr>
              <w:pStyle w:val="Tabletext"/>
              <w:tabs>
                <w:tab w:val="left" w:pos="142"/>
              </w:tabs>
            </w:pPr>
            <w:r>
              <w:tab/>
              <w:t>Total administration cost: 2 years</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rsidR="0072310B" w:rsidRDefault="00783925">
            <w:pPr>
              <w:pStyle w:val="Tabletext"/>
              <w:jc w:val="center"/>
            </w:pPr>
            <w:r>
              <w:t>$</w:t>
            </w:r>
            <w:r w:rsidR="00D95519">
              <w:rPr>
                <w:noProof/>
                <w:color w:val="000000"/>
                <w:highlight w:val="black"/>
              </w:rPr>
              <w:t>''''''''''''''''</w:t>
            </w:r>
          </w:p>
        </w:tc>
        <w:tc>
          <w:tcPr>
            <w:tcW w:w="2405" w:type="dxa"/>
            <w:tcBorders>
              <w:top w:val="single" w:sz="4" w:space="0" w:color="auto"/>
              <w:left w:val="nil"/>
              <w:bottom w:val="single" w:sz="4" w:space="0" w:color="auto"/>
              <w:right w:val="single" w:sz="4" w:space="0" w:color="auto"/>
            </w:tcBorders>
            <w:shd w:val="clear" w:color="000000" w:fill="FFFFFF"/>
            <w:vAlign w:val="center"/>
          </w:tcPr>
          <w:p w:rsidR="0072310B" w:rsidRDefault="00783925">
            <w:pPr>
              <w:pStyle w:val="Tabletext"/>
              <w:jc w:val="center"/>
            </w:pPr>
            <w:r>
              <w:t>$1,752.33</w:t>
            </w:r>
          </w:p>
        </w:tc>
      </w:tr>
      <w:tr w:rsidR="0072310B">
        <w:trPr>
          <w:gridAfter w:val="1"/>
          <w:wAfter w:w="17" w:type="dxa"/>
        </w:trPr>
        <w:tc>
          <w:tcPr>
            <w:tcW w:w="4053" w:type="dxa"/>
          </w:tcPr>
          <w:p w:rsidR="0072310B" w:rsidRDefault="00783925">
            <w:pPr>
              <w:pStyle w:val="Tabletext"/>
              <w:tabs>
                <w:tab w:val="left" w:pos="142"/>
              </w:tabs>
              <w:rPr>
                <w:b/>
              </w:rPr>
            </w:pPr>
            <w:r>
              <w:rPr>
                <w:b/>
              </w:rPr>
              <w:t>Total drug and administration cost: 2 years</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rsidR="0072310B" w:rsidRDefault="00783925">
            <w:pPr>
              <w:pStyle w:val="Tabletext"/>
              <w:jc w:val="center"/>
            </w:pPr>
            <w:r>
              <w:t>$</w:t>
            </w:r>
            <w:r w:rsidR="00D95519">
              <w:rPr>
                <w:noProof/>
                <w:color w:val="000000"/>
                <w:highlight w:val="black"/>
              </w:rPr>
              <w:t>''''''''''''''''''''''</w:t>
            </w:r>
          </w:p>
        </w:tc>
        <w:tc>
          <w:tcPr>
            <w:tcW w:w="2405" w:type="dxa"/>
            <w:tcBorders>
              <w:top w:val="single" w:sz="4" w:space="0" w:color="auto"/>
              <w:left w:val="nil"/>
              <w:bottom w:val="single" w:sz="4" w:space="0" w:color="auto"/>
              <w:right w:val="single" w:sz="4" w:space="0" w:color="auto"/>
            </w:tcBorders>
            <w:shd w:val="clear" w:color="000000" w:fill="FFFFFF"/>
            <w:vAlign w:val="center"/>
          </w:tcPr>
          <w:p w:rsidR="0072310B" w:rsidRDefault="00783925">
            <w:pPr>
              <w:pStyle w:val="Tabletext"/>
              <w:jc w:val="center"/>
            </w:pPr>
            <w:r>
              <w:t>$6,565.66</w:t>
            </w:r>
          </w:p>
        </w:tc>
      </w:tr>
    </w:tbl>
    <w:p w:rsidR="0072310B" w:rsidRDefault="00783925">
      <w:pPr>
        <w:pStyle w:val="TableFooter"/>
        <w:tabs>
          <w:tab w:val="left" w:pos="142"/>
        </w:tabs>
      </w:pPr>
      <w:r>
        <w:rPr>
          <w:vertAlign w:val="superscript"/>
        </w:rPr>
        <w:t>a</w:t>
      </w:r>
      <w:r>
        <w:tab/>
        <w:t>The cost per dose of Botox was based on the published price ($337.49 per vial) and assumed 164IU per dose.</w:t>
      </w:r>
    </w:p>
    <w:p w:rsidR="0072310B" w:rsidRDefault="00783925">
      <w:pPr>
        <w:pStyle w:val="TableFooter"/>
      </w:pPr>
      <w:r>
        <w:t>AEMP=approved ex-manufacturer price</w:t>
      </w:r>
    </w:p>
    <w:p w:rsidR="0072310B" w:rsidRDefault="0072310B">
      <w:pPr>
        <w:rPr>
          <w:iCs/>
        </w:rPr>
      </w:pPr>
    </w:p>
    <w:p w:rsidR="0072310B" w:rsidRDefault="00783925">
      <w:pPr>
        <w:pStyle w:val="Heading2"/>
      </w:pPr>
      <w:bookmarkStart w:id="13" w:name="_Toc9435336"/>
      <w:r>
        <w:t>Drug cost/patient/year</w:t>
      </w:r>
      <w:bookmarkEnd w:id="13"/>
    </w:p>
    <w:p w:rsidR="0072310B" w:rsidRDefault="0072310B">
      <w:pPr>
        <w:keepNext/>
      </w:pPr>
    </w:p>
    <w:p w:rsidR="0072310B" w:rsidRDefault="00783925">
      <w:pPr>
        <w:pStyle w:val="ListParagraph"/>
        <w:keepNext/>
        <w:numPr>
          <w:ilvl w:val="1"/>
          <w:numId w:val="3"/>
        </w:numPr>
      </w:pPr>
      <w:r>
        <w:t>The table below provides a summary of the cost per dose, number of administrations per year and drug cost per patient per year based on the assumptions applied in the CMA and the financial estimates.</w:t>
      </w:r>
      <w:r w:rsidR="002535F9">
        <w:t xml:space="preserve"> </w:t>
      </w:r>
      <w:r>
        <w:t>The published price of Botox was used. The price for galcanezumab based on the CMA is higher than that for Botox as it accounts for the reduced administration costs.</w:t>
      </w:r>
    </w:p>
    <w:p w:rsidR="00787712" w:rsidRPr="00787712" w:rsidRDefault="00787712" w:rsidP="00787712">
      <w:pPr>
        <w:pStyle w:val="Caption"/>
        <w:keepNext/>
        <w:spacing w:after="0"/>
        <w:rPr>
          <w:rStyle w:val="CommentReference"/>
        </w:rPr>
      </w:pPr>
      <w:r w:rsidRPr="00787712">
        <w:rPr>
          <w:rStyle w:val="CommentReference"/>
        </w:rPr>
        <w:t xml:space="preserve">Table </w:t>
      </w:r>
      <w:r w:rsidRPr="00787712">
        <w:rPr>
          <w:rStyle w:val="CommentReference"/>
        </w:rPr>
        <w:fldChar w:fldCharType="begin"/>
      </w:r>
      <w:r w:rsidRPr="00787712">
        <w:rPr>
          <w:rStyle w:val="CommentReference"/>
        </w:rPr>
        <w:instrText xml:space="preserve"> SEQ Table \* ARABIC </w:instrText>
      </w:r>
      <w:r w:rsidRPr="00787712">
        <w:rPr>
          <w:rStyle w:val="CommentReference"/>
        </w:rPr>
        <w:fldChar w:fldCharType="separate"/>
      </w:r>
      <w:r w:rsidR="00CD46F2">
        <w:rPr>
          <w:rStyle w:val="CommentReference"/>
          <w:noProof/>
        </w:rPr>
        <w:t>14</w:t>
      </w:r>
      <w:r w:rsidRPr="00787712">
        <w:rPr>
          <w:rStyle w:val="CommentReference"/>
        </w:rPr>
        <w:fldChar w:fldCharType="end"/>
      </w:r>
      <w:r w:rsidRPr="00787712">
        <w:rPr>
          <w:rStyle w:val="CommentReference"/>
        </w:rPr>
        <w:t>: Drug cost per patient for galcanezumab and Botox (AEMP)</w:t>
      </w:r>
    </w:p>
    <w:tbl>
      <w:tblPr>
        <w:tblStyle w:val="TableGrid"/>
        <w:tblW w:w="5000" w:type="pct"/>
        <w:tblLook w:val="04A0" w:firstRow="1" w:lastRow="0" w:firstColumn="1" w:lastColumn="0" w:noHBand="0" w:noVBand="1"/>
        <w:tblCaption w:val="Table 14: Drug cost per patient for galcanezumab and Botox (AEMP)"/>
      </w:tblPr>
      <w:tblGrid>
        <w:gridCol w:w="2048"/>
        <w:gridCol w:w="1318"/>
        <w:gridCol w:w="1681"/>
        <w:gridCol w:w="1031"/>
        <w:gridCol w:w="1222"/>
        <w:gridCol w:w="1717"/>
      </w:tblGrid>
      <w:tr w:rsidR="0072310B" w:rsidTr="00787712">
        <w:trPr>
          <w:tblHeader/>
        </w:trPr>
        <w:tc>
          <w:tcPr>
            <w:tcW w:w="2048" w:type="dxa"/>
            <w:vMerge w:val="restart"/>
          </w:tcPr>
          <w:p w:rsidR="0072310B" w:rsidRDefault="0072310B">
            <w:pPr>
              <w:jc w:val="left"/>
              <w:rPr>
                <w:rFonts w:ascii="Arial Narrow" w:hAnsi="Arial Narrow"/>
                <w:b/>
                <w:sz w:val="20"/>
                <w:szCs w:val="20"/>
              </w:rPr>
            </w:pPr>
          </w:p>
        </w:tc>
        <w:tc>
          <w:tcPr>
            <w:tcW w:w="4030" w:type="dxa"/>
            <w:gridSpan w:val="3"/>
            <w:vAlign w:val="center"/>
          </w:tcPr>
          <w:p w:rsidR="0072310B" w:rsidRDefault="00783925">
            <w:pPr>
              <w:jc w:val="center"/>
              <w:rPr>
                <w:rFonts w:ascii="Arial Narrow" w:hAnsi="Arial Narrow"/>
                <w:b/>
                <w:sz w:val="20"/>
                <w:lang w:val="en-US"/>
              </w:rPr>
            </w:pPr>
            <w:r>
              <w:rPr>
                <w:rFonts w:ascii="Arial Narrow" w:hAnsi="Arial Narrow"/>
                <w:b/>
                <w:sz w:val="20"/>
                <w:lang w:val="en-US"/>
              </w:rPr>
              <w:t>Galcanezumab</w:t>
            </w:r>
          </w:p>
        </w:tc>
        <w:tc>
          <w:tcPr>
            <w:tcW w:w="2939" w:type="dxa"/>
            <w:gridSpan w:val="2"/>
            <w:shd w:val="clear" w:color="auto" w:fill="auto"/>
            <w:vAlign w:val="center"/>
          </w:tcPr>
          <w:p w:rsidR="0072310B" w:rsidRDefault="00783925">
            <w:pPr>
              <w:jc w:val="center"/>
              <w:rPr>
                <w:rFonts w:ascii="Arial Narrow" w:hAnsi="Arial Narrow"/>
                <w:b/>
                <w:sz w:val="20"/>
                <w:lang w:val="en-US"/>
              </w:rPr>
            </w:pPr>
            <w:r>
              <w:rPr>
                <w:rFonts w:ascii="Arial Narrow" w:hAnsi="Arial Narrow"/>
                <w:b/>
                <w:sz w:val="20"/>
                <w:lang w:val="en-US"/>
              </w:rPr>
              <w:t>Botox</w:t>
            </w:r>
          </w:p>
        </w:tc>
      </w:tr>
      <w:tr w:rsidR="0072310B" w:rsidTr="00787712">
        <w:trPr>
          <w:tblHeader/>
        </w:trPr>
        <w:tc>
          <w:tcPr>
            <w:tcW w:w="2048" w:type="dxa"/>
            <w:vMerge/>
          </w:tcPr>
          <w:p w:rsidR="0072310B" w:rsidRDefault="0072310B">
            <w:pPr>
              <w:jc w:val="left"/>
              <w:rPr>
                <w:rFonts w:ascii="Arial Narrow" w:hAnsi="Arial Narrow"/>
                <w:b/>
                <w:sz w:val="20"/>
                <w:szCs w:val="20"/>
              </w:rPr>
            </w:pPr>
          </w:p>
        </w:tc>
        <w:tc>
          <w:tcPr>
            <w:tcW w:w="1318" w:type="dxa"/>
            <w:vAlign w:val="center"/>
          </w:tcPr>
          <w:p w:rsidR="0072310B" w:rsidRDefault="00783925">
            <w:pPr>
              <w:jc w:val="center"/>
              <w:rPr>
                <w:rFonts w:ascii="Arial Narrow" w:hAnsi="Arial Narrow"/>
                <w:b/>
                <w:sz w:val="20"/>
                <w:szCs w:val="20"/>
              </w:rPr>
            </w:pPr>
            <w:r>
              <w:rPr>
                <w:rFonts w:ascii="Arial Narrow" w:hAnsi="Arial Narrow"/>
                <w:b/>
                <w:sz w:val="20"/>
                <w:lang w:val="en-US"/>
              </w:rPr>
              <w:t>CMA</w:t>
            </w:r>
          </w:p>
        </w:tc>
        <w:tc>
          <w:tcPr>
            <w:tcW w:w="1681" w:type="dxa"/>
            <w:vAlign w:val="center"/>
          </w:tcPr>
          <w:p w:rsidR="0072310B" w:rsidRDefault="00783925">
            <w:pPr>
              <w:jc w:val="center"/>
              <w:rPr>
                <w:rFonts w:ascii="Arial Narrow" w:hAnsi="Arial Narrow"/>
                <w:b/>
                <w:sz w:val="20"/>
                <w:lang w:val="en-US"/>
              </w:rPr>
            </w:pPr>
            <w:r>
              <w:rPr>
                <w:rFonts w:ascii="Arial Narrow" w:hAnsi="Arial Narrow"/>
                <w:b/>
                <w:sz w:val="20"/>
                <w:lang w:val="en-US"/>
              </w:rPr>
              <w:t>Financial estimates:</w:t>
            </w:r>
          </w:p>
          <w:p w:rsidR="0072310B" w:rsidRDefault="00783925">
            <w:pPr>
              <w:jc w:val="center"/>
              <w:rPr>
                <w:rFonts w:ascii="Arial Narrow" w:hAnsi="Arial Narrow"/>
                <w:b/>
                <w:sz w:val="20"/>
                <w:szCs w:val="20"/>
              </w:rPr>
            </w:pPr>
            <w:r>
              <w:rPr>
                <w:rFonts w:ascii="Arial Narrow" w:hAnsi="Arial Narrow"/>
                <w:b/>
                <w:sz w:val="20"/>
                <w:lang w:val="en-US"/>
              </w:rPr>
              <w:t>Market share patients</w:t>
            </w:r>
          </w:p>
        </w:tc>
        <w:tc>
          <w:tcPr>
            <w:tcW w:w="1031" w:type="dxa"/>
          </w:tcPr>
          <w:p w:rsidR="0072310B" w:rsidRDefault="00783925">
            <w:pPr>
              <w:jc w:val="center"/>
              <w:rPr>
                <w:rFonts w:ascii="Arial Narrow" w:hAnsi="Arial Narrow"/>
                <w:b/>
                <w:sz w:val="20"/>
                <w:lang w:val="en-US"/>
              </w:rPr>
            </w:pPr>
            <w:r>
              <w:rPr>
                <w:rFonts w:ascii="Arial Narrow" w:hAnsi="Arial Narrow"/>
                <w:b/>
                <w:sz w:val="20"/>
                <w:lang w:val="en-US"/>
              </w:rPr>
              <w:t>Financial estimates:</w:t>
            </w:r>
          </w:p>
          <w:p w:rsidR="0072310B" w:rsidRDefault="00783925">
            <w:pPr>
              <w:jc w:val="center"/>
              <w:rPr>
                <w:rFonts w:ascii="Arial Narrow" w:hAnsi="Arial Narrow"/>
                <w:b/>
                <w:sz w:val="20"/>
                <w:lang w:val="en-US"/>
              </w:rPr>
            </w:pPr>
            <w:r>
              <w:rPr>
                <w:rFonts w:ascii="Arial Narrow" w:hAnsi="Arial Narrow"/>
                <w:b/>
                <w:sz w:val="20"/>
                <w:lang w:val="en-US"/>
              </w:rPr>
              <w:t>Epi patients</w:t>
            </w:r>
          </w:p>
        </w:tc>
        <w:tc>
          <w:tcPr>
            <w:tcW w:w="1222" w:type="dxa"/>
            <w:shd w:val="clear" w:color="auto" w:fill="auto"/>
            <w:vAlign w:val="center"/>
          </w:tcPr>
          <w:p w:rsidR="0072310B" w:rsidRDefault="00783925">
            <w:pPr>
              <w:jc w:val="center"/>
              <w:rPr>
                <w:rFonts w:ascii="Arial Narrow" w:hAnsi="Arial Narrow"/>
                <w:b/>
                <w:sz w:val="20"/>
                <w:szCs w:val="20"/>
              </w:rPr>
            </w:pPr>
            <w:r>
              <w:rPr>
                <w:rFonts w:ascii="Arial Narrow" w:hAnsi="Arial Narrow"/>
                <w:b/>
                <w:sz w:val="20"/>
                <w:lang w:val="en-US"/>
              </w:rPr>
              <w:t xml:space="preserve">CMA </w:t>
            </w:r>
          </w:p>
        </w:tc>
        <w:tc>
          <w:tcPr>
            <w:tcW w:w="1717" w:type="dxa"/>
            <w:shd w:val="clear" w:color="auto" w:fill="auto"/>
            <w:vAlign w:val="center"/>
          </w:tcPr>
          <w:p w:rsidR="0072310B" w:rsidRDefault="00783925">
            <w:pPr>
              <w:jc w:val="center"/>
              <w:rPr>
                <w:rFonts w:ascii="Arial Narrow" w:hAnsi="Arial Narrow"/>
                <w:b/>
                <w:sz w:val="20"/>
                <w:szCs w:val="20"/>
              </w:rPr>
            </w:pPr>
            <w:r>
              <w:rPr>
                <w:rFonts w:ascii="Arial Narrow" w:hAnsi="Arial Narrow"/>
                <w:b/>
                <w:sz w:val="20"/>
                <w:lang w:val="en-US"/>
              </w:rPr>
              <w:t>Financial estimates</w:t>
            </w:r>
          </w:p>
        </w:tc>
      </w:tr>
      <w:tr w:rsidR="0072310B" w:rsidTr="00787712">
        <w:tc>
          <w:tcPr>
            <w:tcW w:w="2048" w:type="dxa"/>
            <w:vAlign w:val="center"/>
          </w:tcPr>
          <w:p w:rsidR="0072310B" w:rsidRDefault="00783925">
            <w:pPr>
              <w:jc w:val="left"/>
              <w:rPr>
                <w:rFonts w:ascii="Arial Narrow" w:hAnsi="Arial Narrow"/>
                <w:sz w:val="20"/>
                <w:szCs w:val="20"/>
              </w:rPr>
            </w:pPr>
            <w:r>
              <w:rPr>
                <w:rFonts w:ascii="Arial Narrow" w:hAnsi="Arial Narrow"/>
                <w:sz w:val="20"/>
                <w:szCs w:val="20"/>
              </w:rPr>
              <w:t>Cost per dose</w:t>
            </w:r>
          </w:p>
        </w:tc>
        <w:tc>
          <w:tcPr>
            <w:tcW w:w="4030" w:type="dxa"/>
            <w:gridSpan w:val="3"/>
          </w:tcPr>
          <w:p w:rsidR="0072310B" w:rsidRDefault="00783925">
            <w:pPr>
              <w:jc w:val="center"/>
              <w:rPr>
                <w:rFonts w:ascii="Arial Narrow" w:hAnsi="Arial Narrow"/>
                <w:iCs/>
                <w:sz w:val="20"/>
                <w:szCs w:val="20"/>
              </w:rPr>
            </w:pPr>
            <w:r>
              <w:rPr>
                <w:rFonts w:ascii="Arial Narrow" w:hAnsi="Arial Narrow"/>
                <w:sz w:val="20"/>
                <w:szCs w:val="20"/>
              </w:rPr>
              <w:t>$</w:t>
            </w:r>
            <w:r w:rsidR="00D95519">
              <w:rPr>
                <w:rFonts w:ascii="Arial Narrow" w:hAnsi="Arial Narrow"/>
                <w:noProof/>
                <w:color w:val="000000"/>
                <w:sz w:val="20"/>
                <w:szCs w:val="20"/>
                <w:highlight w:val="black"/>
              </w:rPr>
              <w:t>'''''''''''''''''</w:t>
            </w:r>
          </w:p>
        </w:tc>
        <w:tc>
          <w:tcPr>
            <w:tcW w:w="2939" w:type="dxa"/>
            <w:gridSpan w:val="2"/>
            <w:shd w:val="clear" w:color="auto" w:fill="auto"/>
          </w:tcPr>
          <w:p w:rsidR="0072310B" w:rsidRDefault="00783925">
            <w:pPr>
              <w:jc w:val="center"/>
              <w:rPr>
                <w:rFonts w:ascii="Arial Narrow" w:hAnsi="Arial Narrow"/>
                <w:sz w:val="20"/>
                <w:szCs w:val="20"/>
              </w:rPr>
            </w:pPr>
            <w:r>
              <w:rPr>
                <w:rFonts w:ascii="Arial Narrow" w:hAnsi="Arial Narrow"/>
                <w:iCs/>
                <w:sz w:val="20"/>
                <w:szCs w:val="20"/>
              </w:rPr>
              <w:t>$674.98</w:t>
            </w:r>
          </w:p>
        </w:tc>
      </w:tr>
      <w:tr w:rsidR="0072310B" w:rsidTr="00787712">
        <w:tc>
          <w:tcPr>
            <w:tcW w:w="2048" w:type="dxa"/>
            <w:vAlign w:val="center"/>
          </w:tcPr>
          <w:p w:rsidR="0072310B" w:rsidRDefault="00783925">
            <w:pPr>
              <w:jc w:val="left"/>
              <w:rPr>
                <w:rFonts w:ascii="Arial Narrow" w:hAnsi="Arial Narrow"/>
                <w:sz w:val="20"/>
                <w:szCs w:val="20"/>
              </w:rPr>
            </w:pPr>
            <w:r>
              <w:rPr>
                <w:rFonts w:ascii="Arial Narrow" w:hAnsi="Arial Narrow"/>
                <w:sz w:val="20"/>
                <w:lang w:val="en-US"/>
              </w:rPr>
              <w:t>Total doses administered</w:t>
            </w:r>
          </w:p>
        </w:tc>
        <w:tc>
          <w:tcPr>
            <w:tcW w:w="1318" w:type="dxa"/>
          </w:tcPr>
          <w:p w:rsidR="0072310B" w:rsidRPr="00D95519" w:rsidRDefault="00D9551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681" w:type="dxa"/>
          </w:tcPr>
          <w:p w:rsidR="0072310B" w:rsidRPr="00D95519" w:rsidRDefault="00D95519">
            <w:pPr>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031" w:type="dxa"/>
          </w:tcPr>
          <w:p w:rsidR="0072310B" w:rsidRPr="00D95519" w:rsidRDefault="00D9551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22" w:type="dxa"/>
            <w:shd w:val="clear" w:color="auto" w:fill="auto"/>
          </w:tcPr>
          <w:p w:rsidR="0072310B" w:rsidRDefault="00783925">
            <w:pPr>
              <w:jc w:val="center"/>
              <w:rPr>
                <w:rFonts w:ascii="Arial Narrow" w:hAnsi="Arial Narrow"/>
                <w:sz w:val="20"/>
                <w:szCs w:val="20"/>
              </w:rPr>
            </w:pPr>
            <w:r>
              <w:rPr>
                <w:rFonts w:ascii="Arial Narrow" w:hAnsi="Arial Narrow"/>
                <w:sz w:val="20"/>
                <w:szCs w:val="20"/>
              </w:rPr>
              <w:t>4.5</w:t>
            </w:r>
          </w:p>
        </w:tc>
        <w:tc>
          <w:tcPr>
            <w:tcW w:w="1717" w:type="dxa"/>
            <w:shd w:val="clear" w:color="auto" w:fill="auto"/>
          </w:tcPr>
          <w:p w:rsidR="0072310B" w:rsidRDefault="00783925">
            <w:pPr>
              <w:jc w:val="center"/>
              <w:rPr>
                <w:rFonts w:ascii="Arial Narrow" w:hAnsi="Arial Narrow"/>
                <w:sz w:val="20"/>
                <w:szCs w:val="20"/>
              </w:rPr>
            </w:pPr>
            <w:r>
              <w:rPr>
                <w:rFonts w:ascii="Arial Narrow" w:hAnsi="Arial Narrow"/>
                <w:iCs/>
                <w:sz w:val="20"/>
                <w:szCs w:val="20"/>
              </w:rPr>
              <w:t>4.33</w:t>
            </w:r>
          </w:p>
        </w:tc>
      </w:tr>
      <w:tr w:rsidR="0072310B" w:rsidTr="00787712">
        <w:tc>
          <w:tcPr>
            <w:tcW w:w="2048" w:type="dxa"/>
            <w:vAlign w:val="center"/>
          </w:tcPr>
          <w:p w:rsidR="0072310B" w:rsidRDefault="00783925">
            <w:pPr>
              <w:jc w:val="left"/>
              <w:rPr>
                <w:rFonts w:ascii="Arial Narrow" w:hAnsi="Arial Narrow"/>
                <w:sz w:val="20"/>
                <w:szCs w:val="20"/>
              </w:rPr>
            </w:pPr>
            <w:r>
              <w:rPr>
                <w:rFonts w:ascii="Arial Narrow" w:hAnsi="Arial Narrow"/>
                <w:sz w:val="20"/>
                <w:lang w:val="en-US"/>
              </w:rPr>
              <w:t>Drug cost/patient/ year</w:t>
            </w:r>
          </w:p>
        </w:tc>
        <w:tc>
          <w:tcPr>
            <w:tcW w:w="1318" w:type="dxa"/>
          </w:tcPr>
          <w:p w:rsidR="0072310B" w:rsidRDefault="00783925">
            <w:pPr>
              <w:jc w:val="center"/>
              <w:rPr>
                <w:rFonts w:ascii="Arial Narrow" w:hAnsi="Arial Narrow"/>
                <w:sz w:val="20"/>
                <w:szCs w:val="20"/>
              </w:rPr>
            </w:pPr>
            <w:r>
              <w:rPr>
                <w:rFonts w:ascii="Arial Narrow" w:hAnsi="Arial Narrow"/>
                <w:sz w:val="20"/>
                <w:szCs w:val="20"/>
              </w:rPr>
              <w:t>$</w:t>
            </w:r>
            <w:r w:rsidR="00D95519">
              <w:rPr>
                <w:rFonts w:ascii="Arial Narrow" w:hAnsi="Arial Narrow"/>
                <w:noProof/>
                <w:color w:val="000000"/>
                <w:sz w:val="20"/>
                <w:szCs w:val="20"/>
                <w:highlight w:val="black"/>
              </w:rPr>
              <w:t>'''''''''''''''''''</w:t>
            </w:r>
          </w:p>
        </w:tc>
        <w:tc>
          <w:tcPr>
            <w:tcW w:w="1681" w:type="dxa"/>
          </w:tcPr>
          <w:p w:rsidR="0072310B" w:rsidRDefault="00783925">
            <w:pPr>
              <w:jc w:val="center"/>
              <w:rPr>
                <w:rFonts w:ascii="Arial Narrow" w:hAnsi="Arial Narrow"/>
                <w:sz w:val="20"/>
                <w:szCs w:val="20"/>
              </w:rPr>
            </w:pPr>
            <w:r>
              <w:rPr>
                <w:rFonts w:ascii="Arial Narrow" w:hAnsi="Arial Narrow"/>
                <w:sz w:val="20"/>
                <w:szCs w:val="20"/>
              </w:rPr>
              <w:t>$</w:t>
            </w:r>
            <w:r w:rsidR="00D95519">
              <w:rPr>
                <w:rFonts w:ascii="Arial Narrow" w:hAnsi="Arial Narrow"/>
                <w:noProof/>
                <w:color w:val="000000"/>
                <w:sz w:val="20"/>
                <w:szCs w:val="20"/>
                <w:highlight w:val="black"/>
              </w:rPr>
              <w:t>''''''''''''''''''''''</w:t>
            </w:r>
          </w:p>
        </w:tc>
        <w:tc>
          <w:tcPr>
            <w:tcW w:w="1031" w:type="dxa"/>
          </w:tcPr>
          <w:p w:rsidR="0072310B" w:rsidRDefault="00783925">
            <w:pPr>
              <w:jc w:val="center"/>
              <w:rPr>
                <w:rFonts w:ascii="Arial Narrow" w:hAnsi="Arial Narrow"/>
                <w:sz w:val="20"/>
                <w:szCs w:val="20"/>
              </w:rPr>
            </w:pPr>
            <w:r>
              <w:rPr>
                <w:rFonts w:ascii="Arial Narrow" w:hAnsi="Arial Narrow"/>
                <w:sz w:val="20"/>
                <w:szCs w:val="20"/>
              </w:rPr>
              <w:t>$</w:t>
            </w:r>
            <w:r w:rsidR="00D95519">
              <w:rPr>
                <w:rFonts w:ascii="Arial Narrow" w:hAnsi="Arial Narrow"/>
                <w:noProof/>
                <w:color w:val="000000"/>
                <w:sz w:val="20"/>
                <w:szCs w:val="20"/>
                <w:highlight w:val="black"/>
              </w:rPr>
              <w:t>'''''''''''''''''''''''</w:t>
            </w:r>
          </w:p>
        </w:tc>
        <w:tc>
          <w:tcPr>
            <w:tcW w:w="1222" w:type="dxa"/>
            <w:shd w:val="clear" w:color="auto" w:fill="auto"/>
          </w:tcPr>
          <w:p w:rsidR="0072310B" w:rsidRDefault="00783925">
            <w:pPr>
              <w:jc w:val="center"/>
              <w:rPr>
                <w:rFonts w:ascii="Arial Narrow" w:hAnsi="Arial Narrow"/>
                <w:sz w:val="20"/>
                <w:szCs w:val="20"/>
              </w:rPr>
            </w:pPr>
            <w:r>
              <w:rPr>
                <w:rFonts w:ascii="Arial Narrow" w:hAnsi="Arial Narrow"/>
                <w:sz w:val="20"/>
                <w:szCs w:val="20"/>
              </w:rPr>
              <w:t>$3,037.41</w:t>
            </w:r>
          </w:p>
        </w:tc>
        <w:tc>
          <w:tcPr>
            <w:tcW w:w="1717" w:type="dxa"/>
            <w:shd w:val="clear" w:color="auto" w:fill="auto"/>
          </w:tcPr>
          <w:p w:rsidR="0072310B" w:rsidRDefault="00783925">
            <w:pPr>
              <w:jc w:val="center"/>
              <w:rPr>
                <w:rFonts w:ascii="Arial Narrow" w:hAnsi="Arial Narrow"/>
                <w:sz w:val="20"/>
                <w:szCs w:val="20"/>
              </w:rPr>
            </w:pPr>
            <w:r>
              <w:rPr>
                <w:rFonts w:ascii="Arial Narrow" w:hAnsi="Arial Narrow"/>
                <w:sz w:val="20"/>
                <w:szCs w:val="20"/>
              </w:rPr>
              <w:t>$2,922.66</w:t>
            </w:r>
          </w:p>
        </w:tc>
      </w:tr>
    </w:tbl>
    <w:p w:rsidR="0072310B" w:rsidRDefault="00783925">
      <w:pPr>
        <w:pStyle w:val="TableFooter"/>
        <w:tabs>
          <w:tab w:val="left" w:pos="142"/>
        </w:tabs>
      </w:pPr>
      <w:r>
        <w:t>AEMP=approved ex-manufacturer price; CMA=cost minimisation analysis; DPMQ=dispensed price for maximum quantity</w:t>
      </w:r>
    </w:p>
    <w:p w:rsidR="0072310B" w:rsidRDefault="00783925">
      <w:pPr>
        <w:pStyle w:val="TableFooter"/>
        <w:tabs>
          <w:tab w:val="left" w:pos="142"/>
        </w:tabs>
      </w:pPr>
      <w:r>
        <w:t>Source: Table 12 and Galcanezumab Section 4 Model.xls</w:t>
      </w:r>
    </w:p>
    <w:p w:rsidR="0072310B" w:rsidRDefault="0072310B"/>
    <w:p w:rsidR="00787712" w:rsidRDefault="00787712">
      <w:pPr>
        <w:jc w:val="left"/>
        <w:rPr>
          <w:b/>
          <w:i/>
          <w:sz w:val="28"/>
        </w:rPr>
      </w:pPr>
      <w:bookmarkStart w:id="14" w:name="_Toc9435337"/>
      <w:r>
        <w:br w:type="page"/>
      </w:r>
    </w:p>
    <w:p w:rsidR="0072310B" w:rsidRDefault="00783925">
      <w:pPr>
        <w:pStyle w:val="Heading2"/>
      </w:pPr>
      <w:r>
        <w:lastRenderedPageBreak/>
        <w:t>Estimated PBS usage &amp; financial implications</w:t>
      </w:r>
      <w:bookmarkEnd w:id="14"/>
    </w:p>
    <w:p w:rsidR="0072310B" w:rsidRDefault="0072310B">
      <w:pPr>
        <w:ind w:left="720" w:hanging="720"/>
      </w:pPr>
    </w:p>
    <w:p w:rsidR="0072310B" w:rsidRDefault="00783925">
      <w:pPr>
        <w:pStyle w:val="ListParagraph"/>
        <w:numPr>
          <w:ilvl w:val="1"/>
          <w:numId w:val="3"/>
        </w:numPr>
        <w:spacing w:after="120"/>
      </w:pPr>
      <w:r>
        <w:t>This submission was not considered by DUSC.</w:t>
      </w:r>
      <w:r w:rsidR="002535F9">
        <w:t xml:space="preserve"> </w:t>
      </w:r>
      <w:r>
        <w:t>A mixed model approach, with a combination of market share displacement (substitution of Botox) and an epidemiological analysis (new patients) was used to estimate the usage and financial impact of the PBS listing of galcanezumab.</w:t>
      </w:r>
      <w:r w:rsidR="002535F9">
        <w:t xml:space="preserve"> </w:t>
      </w:r>
      <w:r>
        <w:rPr>
          <w:iCs/>
        </w:rPr>
        <w:t xml:space="preserve">The market share approach contributed </w:t>
      </w:r>
      <w:r w:rsidR="00D95519">
        <w:rPr>
          <w:iCs/>
          <w:noProof/>
          <w:color w:val="000000"/>
          <w:highlight w:val="black"/>
        </w:rPr>
        <w:t>''''''</w:t>
      </w:r>
      <w:r>
        <w:rPr>
          <w:iCs/>
        </w:rPr>
        <w:t xml:space="preserve">% of estimated patients in Year 1 and </w:t>
      </w:r>
      <w:r w:rsidR="00D95519">
        <w:rPr>
          <w:iCs/>
          <w:noProof/>
          <w:color w:val="000000"/>
          <w:highlight w:val="black"/>
        </w:rPr>
        <w:t>'''''</w:t>
      </w:r>
      <w:r>
        <w:rPr>
          <w:iCs/>
        </w:rPr>
        <w:t xml:space="preserve">% over the first 6 years of listing, while the epidemiological approach contributed </w:t>
      </w:r>
      <w:r w:rsidR="00D95519">
        <w:rPr>
          <w:iCs/>
          <w:noProof/>
          <w:color w:val="000000"/>
          <w:highlight w:val="black"/>
        </w:rPr>
        <w:t>'''''</w:t>
      </w:r>
      <w:r>
        <w:rPr>
          <w:iCs/>
        </w:rPr>
        <w:t xml:space="preserve">% and </w:t>
      </w:r>
      <w:r w:rsidR="00D95519">
        <w:rPr>
          <w:iCs/>
          <w:noProof/>
          <w:color w:val="000000"/>
          <w:highlight w:val="black"/>
        </w:rPr>
        <w:t>''''''</w:t>
      </w:r>
      <w:r>
        <w:rPr>
          <w:iCs/>
        </w:rPr>
        <w:t xml:space="preserve">% of estimated patients, respectively. The PBAC noted the erenumab submission considered at the March 2019 meeting assumed only 21% of use would be from Botox patients (paragraph 7.4, erenumab PSD, March 2019). </w:t>
      </w:r>
    </w:p>
    <w:p w:rsidR="0072310B" w:rsidRDefault="00783925">
      <w:pPr>
        <w:pStyle w:val="ListParagraph"/>
        <w:numPr>
          <w:ilvl w:val="1"/>
          <w:numId w:val="3"/>
        </w:numPr>
        <w:spacing w:after="120"/>
      </w:pPr>
      <w:r>
        <w:t>The table below provides a summary of the estimated usage and financial implications of the listing of galcanezumab.</w:t>
      </w:r>
    </w:p>
    <w:p w:rsidR="00BE71DF" w:rsidRPr="00BE71DF" w:rsidRDefault="00BE71DF" w:rsidP="00BE71DF">
      <w:pPr>
        <w:pStyle w:val="Caption"/>
        <w:keepNext/>
        <w:spacing w:after="0"/>
        <w:rPr>
          <w:rStyle w:val="CommentReference"/>
        </w:rPr>
      </w:pPr>
      <w:r w:rsidRPr="00BE71DF">
        <w:rPr>
          <w:rStyle w:val="CommentReference"/>
        </w:rPr>
        <w:t xml:space="preserve">Table </w:t>
      </w:r>
      <w:r w:rsidRPr="00BE71DF">
        <w:rPr>
          <w:rStyle w:val="CommentReference"/>
        </w:rPr>
        <w:fldChar w:fldCharType="begin"/>
      </w:r>
      <w:r w:rsidRPr="00BE71DF">
        <w:rPr>
          <w:rStyle w:val="CommentReference"/>
        </w:rPr>
        <w:instrText xml:space="preserve"> SEQ Table \* ARABIC </w:instrText>
      </w:r>
      <w:r w:rsidRPr="00BE71DF">
        <w:rPr>
          <w:rStyle w:val="CommentReference"/>
        </w:rPr>
        <w:fldChar w:fldCharType="separate"/>
      </w:r>
      <w:r w:rsidR="00CD46F2">
        <w:rPr>
          <w:rStyle w:val="CommentReference"/>
          <w:noProof/>
        </w:rPr>
        <w:t>15</w:t>
      </w:r>
      <w:r w:rsidRPr="00BE71DF">
        <w:rPr>
          <w:rStyle w:val="CommentReference"/>
        </w:rPr>
        <w:fldChar w:fldCharType="end"/>
      </w:r>
      <w:r w:rsidRPr="00BE71DF">
        <w:rPr>
          <w:rStyle w:val="CommentReference"/>
        </w:rPr>
        <w:t>: Estimated use and financial implications</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Estimated use and financial implications"/>
      </w:tblPr>
      <w:tblGrid>
        <w:gridCol w:w="2264"/>
        <w:gridCol w:w="1147"/>
        <w:gridCol w:w="1091"/>
        <w:gridCol w:w="1176"/>
        <w:gridCol w:w="1130"/>
        <w:gridCol w:w="1160"/>
        <w:gridCol w:w="1105"/>
      </w:tblGrid>
      <w:tr w:rsidR="0072310B">
        <w:trPr>
          <w:tblHeader/>
          <w:jc w:val="center"/>
        </w:trPr>
        <w:tc>
          <w:tcPr>
            <w:tcW w:w="1248" w:type="pct"/>
            <w:shd w:val="clear" w:color="auto" w:fill="auto"/>
            <w:vAlign w:val="center"/>
          </w:tcPr>
          <w:p w:rsidR="0072310B" w:rsidRDefault="0072310B">
            <w:pPr>
              <w:pStyle w:val="Tabletext"/>
              <w:tabs>
                <w:tab w:val="left" w:pos="106"/>
              </w:tabs>
            </w:pPr>
          </w:p>
        </w:tc>
        <w:tc>
          <w:tcPr>
            <w:tcW w:w="632" w:type="pct"/>
            <w:shd w:val="clear" w:color="auto" w:fill="auto"/>
            <w:vAlign w:val="center"/>
          </w:tcPr>
          <w:p w:rsidR="0072310B" w:rsidRDefault="00783925">
            <w:pPr>
              <w:pStyle w:val="Tabletext"/>
              <w:jc w:val="center"/>
              <w:rPr>
                <w:b/>
              </w:rPr>
            </w:pPr>
            <w:r>
              <w:rPr>
                <w:b/>
              </w:rPr>
              <w:t>Year 1</w:t>
            </w:r>
          </w:p>
        </w:tc>
        <w:tc>
          <w:tcPr>
            <w:tcW w:w="601" w:type="pct"/>
            <w:shd w:val="clear" w:color="auto" w:fill="auto"/>
            <w:vAlign w:val="center"/>
          </w:tcPr>
          <w:p w:rsidR="0072310B" w:rsidRDefault="00783925">
            <w:pPr>
              <w:pStyle w:val="Tabletext"/>
              <w:jc w:val="center"/>
              <w:rPr>
                <w:b/>
              </w:rPr>
            </w:pPr>
            <w:r>
              <w:rPr>
                <w:b/>
              </w:rPr>
              <w:t>Year 2</w:t>
            </w:r>
          </w:p>
        </w:tc>
        <w:tc>
          <w:tcPr>
            <w:tcW w:w="648" w:type="pct"/>
            <w:shd w:val="clear" w:color="auto" w:fill="auto"/>
            <w:vAlign w:val="center"/>
          </w:tcPr>
          <w:p w:rsidR="0072310B" w:rsidRDefault="00783925">
            <w:pPr>
              <w:pStyle w:val="Tabletext"/>
              <w:jc w:val="center"/>
              <w:rPr>
                <w:b/>
              </w:rPr>
            </w:pPr>
            <w:r>
              <w:rPr>
                <w:b/>
              </w:rPr>
              <w:t>Year 3</w:t>
            </w:r>
          </w:p>
        </w:tc>
        <w:tc>
          <w:tcPr>
            <w:tcW w:w="623" w:type="pct"/>
            <w:shd w:val="clear" w:color="auto" w:fill="auto"/>
            <w:vAlign w:val="center"/>
          </w:tcPr>
          <w:p w:rsidR="0072310B" w:rsidRDefault="00783925">
            <w:pPr>
              <w:pStyle w:val="Tabletext"/>
              <w:jc w:val="center"/>
              <w:rPr>
                <w:b/>
              </w:rPr>
            </w:pPr>
            <w:r>
              <w:rPr>
                <w:b/>
              </w:rPr>
              <w:t>Year 4</w:t>
            </w:r>
          </w:p>
        </w:tc>
        <w:tc>
          <w:tcPr>
            <w:tcW w:w="639" w:type="pct"/>
            <w:shd w:val="clear" w:color="auto" w:fill="auto"/>
            <w:vAlign w:val="center"/>
          </w:tcPr>
          <w:p w:rsidR="0072310B" w:rsidRDefault="00783925">
            <w:pPr>
              <w:pStyle w:val="Tabletext"/>
              <w:jc w:val="center"/>
              <w:rPr>
                <w:b/>
              </w:rPr>
            </w:pPr>
            <w:r>
              <w:rPr>
                <w:b/>
              </w:rPr>
              <w:t>Year 5</w:t>
            </w:r>
          </w:p>
        </w:tc>
        <w:tc>
          <w:tcPr>
            <w:tcW w:w="609" w:type="pct"/>
            <w:vAlign w:val="center"/>
          </w:tcPr>
          <w:p w:rsidR="0072310B" w:rsidRDefault="00783925">
            <w:pPr>
              <w:pStyle w:val="Tabletext"/>
              <w:jc w:val="center"/>
              <w:rPr>
                <w:b/>
              </w:rPr>
            </w:pPr>
            <w:r>
              <w:rPr>
                <w:b/>
              </w:rPr>
              <w:t>Year 6</w:t>
            </w:r>
          </w:p>
        </w:tc>
      </w:tr>
      <w:tr w:rsidR="0072310B">
        <w:trPr>
          <w:jc w:val="center"/>
        </w:trPr>
        <w:tc>
          <w:tcPr>
            <w:tcW w:w="5000" w:type="pct"/>
            <w:gridSpan w:val="7"/>
            <w:shd w:val="clear" w:color="auto" w:fill="auto"/>
            <w:vAlign w:val="center"/>
          </w:tcPr>
          <w:p w:rsidR="0072310B" w:rsidRDefault="00783925">
            <w:pPr>
              <w:pStyle w:val="Tabletext"/>
              <w:tabs>
                <w:tab w:val="left" w:pos="106"/>
              </w:tabs>
              <w:rPr>
                <w:b/>
                <w:bCs/>
                <w:color w:val="000000"/>
              </w:rPr>
            </w:pPr>
            <w:r>
              <w:rPr>
                <w:b/>
                <w:bCs/>
                <w:color w:val="000000"/>
              </w:rPr>
              <w:t>Estimated extent of use</w:t>
            </w:r>
          </w:p>
        </w:tc>
      </w:tr>
      <w:tr w:rsidR="0072310B">
        <w:trPr>
          <w:jc w:val="center"/>
        </w:trPr>
        <w:tc>
          <w:tcPr>
            <w:tcW w:w="5000" w:type="pct"/>
            <w:gridSpan w:val="7"/>
            <w:shd w:val="clear" w:color="auto" w:fill="auto"/>
            <w:vAlign w:val="center"/>
          </w:tcPr>
          <w:p w:rsidR="0072310B" w:rsidRDefault="00783925">
            <w:pPr>
              <w:pStyle w:val="Tabletext"/>
              <w:rPr>
                <w:bCs/>
                <w:color w:val="000000"/>
              </w:rPr>
            </w:pPr>
            <w:r>
              <w:t>Number of patients treated</w:t>
            </w:r>
          </w:p>
        </w:tc>
      </w:tr>
      <w:tr w:rsidR="0072310B">
        <w:trPr>
          <w:jc w:val="center"/>
        </w:trPr>
        <w:tc>
          <w:tcPr>
            <w:tcW w:w="1248" w:type="pct"/>
            <w:shd w:val="clear" w:color="auto" w:fill="auto"/>
            <w:vAlign w:val="center"/>
          </w:tcPr>
          <w:p w:rsidR="0072310B" w:rsidRDefault="00783925">
            <w:pPr>
              <w:pStyle w:val="Tabletext"/>
              <w:tabs>
                <w:tab w:val="left" w:pos="106"/>
              </w:tabs>
            </w:pPr>
            <w:r>
              <w:tab/>
              <w:t>Market share approach</w:t>
            </w:r>
            <w:r>
              <w:rPr>
                <w:vertAlign w:val="superscript"/>
              </w:rPr>
              <w:t>a</w:t>
            </w:r>
          </w:p>
        </w:tc>
        <w:tc>
          <w:tcPr>
            <w:tcW w:w="632" w:type="pct"/>
            <w:shd w:val="clear" w:color="auto" w:fill="auto"/>
            <w:vAlign w:val="center"/>
          </w:tcPr>
          <w:p w:rsidR="0072310B" w:rsidRPr="00D95519" w:rsidRDefault="00D95519">
            <w:pPr>
              <w:pStyle w:val="Tabletext"/>
              <w:jc w:val="center"/>
              <w:rPr>
                <w:color w:val="000000"/>
                <w:szCs w:val="20"/>
                <w:highlight w:val="black"/>
              </w:rPr>
            </w:pPr>
            <w:r>
              <w:rPr>
                <w:noProof/>
                <w:color w:val="000000"/>
                <w:szCs w:val="20"/>
                <w:highlight w:val="black"/>
              </w:rPr>
              <w:t>'''''''''''''</w:t>
            </w:r>
            <w:r w:rsidR="00783925" w:rsidRPr="00D95519">
              <w:rPr>
                <w:color w:val="000000"/>
                <w:szCs w:val="20"/>
                <w:highlight w:val="black"/>
              </w:rPr>
              <w:t xml:space="preserve"> </w:t>
            </w:r>
          </w:p>
        </w:tc>
        <w:tc>
          <w:tcPr>
            <w:tcW w:w="601" w:type="pct"/>
            <w:shd w:val="clear" w:color="auto" w:fill="auto"/>
            <w:vAlign w:val="center"/>
          </w:tcPr>
          <w:p w:rsidR="0072310B" w:rsidRPr="00D95519" w:rsidRDefault="00D95519">
            <w:pPr>
              <w:pStyle w:val="Tabletext"/>
              <w:jc w:val="center"/>
              <w:rPr>
                <w:color w:val="000000"/>
                <w:szCs w:val="20"/>
                <w:highlight w:val="black"/>
              </w:rPr>
            </w:pPr>
            <w:r>
              <w:rPr>
                <w:noProof/>
                <w:color w:val="000000"/>
                <w:szCs w:val="20"/>
                <w:highlight w:val="black"/>
              </w:rPr>
              <w:t>''''''''''''''</w:t>
            </w:r>
            <w:r w:rsidR="00783925" w:rsidRPr="00D95519">
              <w:rPr>
                <w:color w:val="000000"/>
                <w:szCs w:val="20"/>
                <w:highlight w:val="black"/>
              </w:rPr>
              <w:t xml:space="preserve"> </w:t>
            </w:r>
          </w:p>
        </w:tc>
        <w:tc>
          <w:tcPr>
            <w:tcW w:w="648" w:type="pct"/>
            <w:shd w:val="clear" w:color="auto" w:fill="auto"/>
            <w:vAlign w:val="center"/>
          </w:tcPr>
          <w:p w:rsidR="0072310B" w:rsidRPr="00D95519" w:rsidRDefault="00D95519">
            <w:pPr>
              <w:pStyle w:val="Tabletext"/>
              <w:jc w:val="center"/>
              <w:rPr>
                <w:color w:val="000000"/>
                <w:szCs w:val="20"/>
                <w:highlight w:val="black"/>
              </w:rPr>
            </w:pPr>
            <w:r>
              <w:rPr>
                <w:noProof/>
                <w:color w:val="000000"/>
                <w:szCs w:val="20"/>
                <w:highlight w:val="black"/>
              </w:rPr>
              <w:t>''''''''''''''</w:t>
            </w:r>
            <w:r w:rsidR="00783925" w:rsidRPr="00D95519">
              <w:rPr>
                <w:color w:val="000000"/>
                <w:szCs w:val="20"/>
                <w:highlight w:val="black"/>
              </w:rPr>
              <w:t xml:space="preserve"> </w:t>
            </w:r>
          </w:p>
        </w:tc>
        <w:tc>
          <w:tcPr>
            <w:tcW w:w="623" w:type="pct"/>
            <w:shd w:val="clear" w:color="auto" w:fill="auto"/>
            <w:vAlign w:val="center"/>
          </w:tcPr>
          <w:p w:rsidR="0072310B" w:rsidRPr="00D95519" w:rsidRDefault="00D95519">
            <w:pPr>
              <w:pStyle w:val="Tabletext"/>
              <w:jc w:val="center"/>
              <w:rPr>
                <w:color w:val="000000"/>
                <w:szCs w:val="20"/>
                <w:highlight w:val="black"/>
              </w:rPr>
            </w:pPr>
            <w:r>
              <w:rPr>
                <w:noProof/>
                <w:color w:val="000000"/>
                <w:szCs w:val="20"/>
                <w:highlight w:val="black"/>
              </w:rPr>
              <w:t>'''''''''''''''</w:t>
            </w:r>
            <w:r w:rsidR="00783925" w:rsidRPr="00D95519">
              <w:rPr>
                <w:color w:val="000000"/>
                <w:szCs w:val="20"/>
                <w:highlight w:val="black"/>
              </w:rPr>
              <w:t xml:space="preserve"> </w:t>
            </w:r>
          </w:p>
        </w:tc>
        <w:tc>
          <w:tcPr>
            <w:tcW w:w="639" w:type="pct"/>
            <w:shd w:val="clear" w:color="auto" w:fill="auto"/>
            <w:vAlign w:val="center"/>
          </w:tcPr>
          <w:p w:rsidR="0072310B" w:rsidRPr="00D95519" w:rsidRDefault="00D95519">
            <w:pPr>
              <w:pStyle w:val="Tabletext"/>
              <w:jc w:val="center"/>
              <w:rPr>
                <w:color w:val="000000"/>
                <w:szCs w:val="20"/>
                <w:highlight w:val="black"/>
              </w:rPr>
            </w:pPr>
            <w:r>
              <w:rPr>
                <w:noProof/>
                <w:color w:val="000000"/>
                <w:szCs w:val="20"/>
                <w:highlight w:val="black"/>
              </w:rPr>
              <w:t>''''''''''''</w:t>
            </w:r>
            <w:r w:rsidR="00783925" w:rsidRPr="00D95519">
              <w:rPr>
                <w:color w:val="000000"/>
                <w:szCs w:val="20"/>
                <w:highlight w:val="black"/>
              </w:rPr>
              <w:t xml:space="preserve"> </w:t>
            </w:r>
          </w:p>
        </w:tc>
        <w:tc>
          <w:tcPr>
            <w:tcW w:w="609" w:type="pct"/>
            <w:vAlign w:val="center"/>
          </w:tcPr>
          <w:p w:rsidR="0072310B" w:rsidRPr="00D95519" w:rsidRDefault="00D95519">
            <w:pPr>
              <w:pStyle w:val="Tabletext"/>
              <w:jc w:val="center"/>
              <w:rPr>
                <w:color w:val="000000"/>
                <w:szCs w:val="20"/>
                <w:highlight w:val="black"/>
              </w:rPr>
            </w:pPr>
            <w:r>
              <w:rPr>
                <w:noProof/>
                <w:color w:val="000000"/>
                <w:szCs w:val="20"/>
                <w:highlight w:val="black"/>
              </w:rPr>
              <w:t>'''''''''''''</w:t>
            </w:r>
            <w:r w:rsidR="00783925" w:rsidRPr="00D95519">
              <w:rPr>
                <w:color w:val="000000"/>
                <w:szCs w:val="20"/>
                <w:highlight w:val="black"/>
              </w:rPr>
              <w:t xml:space="preserve"> </w:t>
            </w:r>
          </w:p>
        </w:tc>
      </w:tr>
      <w:tr w:rsidR="0072310B">
        <w:trPr>
          <w:jc w:val="center"/>
        </w:trPr>
        <w:tc>
          <w:tcPr>
            <w:tcW w:w="1248" w:type="pct"/>
            <w:shd w:val="clear" w:color="auto" w:fill="auto"/>
            <w:vAlign w:val="center"/>
          </w:tcPr>
          <w:p w:rsidR="0072310B" w:rsidRDefault="00783925">
            <w:pPr>
              <w:pStyle w:val="Tabletext"/>
              <w:tabs>
                <w:tab w:val="left" w:pos="106"/>
              </w:tabs>
            </w:pPr>
            <w:r>
              <w:tab/>
              <w:t>Epidemiological approach</w:t>
            </w:r>
            <w:r>
              <w:rPr>
                <w:vertAlign w:val="superscript"/>
              </w:rPr>
              <w:t>b</w:t>
            </w:r>
          </w:p>
        </w:tc>
        <w:tc>
          <w:tcPr>
            <w:tcW w:w="632" w:type="pct"/>
            <w:shd w:val="clear" w:color="auto" w:fill="auto"/>
            <w:vAlign w:val="center"/>
          </w:tcPr>
          <w:p w:rsidR="0072310B" w:rsidRPr="00D95519" w:rsidRDefault="00D95519">
            <w:pPr>
              <w:pStyle w:val="Tabletext"/>
              <w:jc w:val="center"/>
              <w:rPr>
                <w:color w:val="000000"/>
                <w:szCs w:val="20"/>
                <w:highlight w:val="black"/>
              </w:rPr>
            </w:pPr>
            <w:r>
              <w:rPr>
                <w:rFonts w:cs="Arial"/>
                <w:noProof/>
                <w:color w:val="000000"/>
                <w:highlight w:val="black"/>
              </w:rPr>
              <w:t>'''''''''''''</w:t>
            </w:r>
            <w:r w:rsidR="00783925" w:rsidRPr="00D95519">
              <w:rPr>
                <w:rFonts w:cs="Arial"/>
                <w:color w:val="000000"/>
                <w:highlight w:val="black"/>
              </w:rPr>
              <w:t xml:space="preserve"> </w:t>
            </w:r>
          </w:p>
        </w:tc>
        <w:tc>
          <w:tcPr>
            <w:tcW w:w="601" w:type="pct"/>
            <w:shd w:val="clear" w:color="auto" w:fill="auto"/>
            <w:vAlign w:val="center"/>
          </w:tcPr>
          <w:p w:rsidR="0072310B" w:rsidRPr="00D95519" w:rsidRDefault="00D95519">
            <w:pPr>
              <w:pStyle w:val="Tabletext"/>
              <w:jc w:val="center"/>
              <w:rPr>
                <w:color w:val="000000"/>
                <w:szCs w:val="20"/>
                <w:highlight w:val="black"/>
              </w:rPr>
            </w:pPr>
            <w:r>
              <w:rPr>
                <w:rFonts w:cs="Arial"/>
                <w:noProof/>
                <w:color w:val="000000"/>
                <w:highlight w:val="black"/>
              </w:rPr>
              <w:t>''''''''''''''</w:t>
            </w:r>
            <w:r w:rsidR="00783925" w:rsidRPr="00D95519">
              <w:rPr>
                <w:rFonts w:cs="Arial"/>
                <w:color w:val="000000"/>
                <w:highlight w:val="black"/>
              </w:rPr>
              <w:t xml:space="preserve"> </w:t>
            </w:r>
          </w:p>
        </w:tc>
        <w:tc>
          <w:tcPr>
            <w:tcW w:w="648" w:type="pct"/>
            <w:shd w:val="clear" w:color="auto" w:fill="auto"/>
            <w:vAlign w:val="center"/>
          </w:tcPr>
          <w:p w:rsidR="0072310B" w:rsidRPr="00D95519" w:rsidRDefault="00D95519">
            <w:pPr>
              <w:pStyle w:val="Tabletext"/>
              <w:jc w:val="center"/>
              <w:rPr>
                <w:color w:val="000000"/>
                <w:szCs w:val="20"/>
                <w:highlight w:val="black"/>
              </w:rPr>
            </w:pPr>
            <w:r>
              <w:rPr>
                <w:rFonts w:cs="Arial"/>
                <w:noProof/>
                <w:color w:val="000000"/>
                <w:highlight w:val="black"/>
              </w:rPr>
              <w:t>'''''''''''''''</w:t>
            </w:r>
            <w:r w:rsidR="00783925" w:rsidRPr="00D95519">
              <w:rPr>
                <w:rFonts w:cs="Arial"/>
                <w:color w:val="000000"/>
                <w:highlight w:val="black"/>
              </w:rPr>
              <w:t xml:space="preserve"> </w:t>
            </w:r>
          </w:p>
        </w:tc>
        <w:tc>
          <w:tcPr>
            <w:tcW w:w="623" w:type="pct"/>
            <w:shd w:val="clear" w:color="auto" w:fill="auto"/>
            <w:vAlign w:val="center"/>
          </w:tcPr>
          <w:p w:rsidR="0072310B" w:rsidRPr="00D95519" w:rsidRDefault="00D95519">
            <w:pPr>
              <w:pStyle w:val="Tabletext"/>
              <w:jc w:val="center"/>
              <w:rPr>
                <w:color w:val="000000"/>
                <w:szCs w:val="20"/>
                <w:highlight w:val="black"/>
              </w:rPr>
            </w:pPr>
            <w:r>
              <w:rPr>
                <w:rFonts w:cs="Arial"/>
                <w:noProof/>
                <w:color w:val="000000"/>
                <w:highlight w:val="black"/>
              </w:rPr>
              <w:t>'''''''''''''''</w:t>
            </w:r>
            <w:r w:rsidR="00783925" w:rsidRPr="00D95519">
              <w:rPr>
                <w:rFonts w:cs="Arial"/>
                <w:color w:val="000000"/>
                <w:highlight w:val="black"/>
              </w:rPr>
              <w:t xml:space="preserve"> </w:t>
            </w:r>
          </w:p>
        </w:tc>
        <w:tc>
          <w:tcPr>
            <w:tcW w:w="639" w:type="pct"/>
            <w:shd w:val="clear" w:color="auto" w:fill="auto"/>
            <w:vAlign w:val="center"/>
          </w:tcPr>
          <w:p w:rsidR="0072310B" w:rsidRPr="00D95519" w:rsidRDefault="00D95519">
            <w:pPr>
              <w:pStyle w:val="Tabletext"/>
              <w:jc w:val="center"/>
              <w:rPr>
                <w:color w:val="000000"/>
                <w:szCs w:val="20"/>
                <w:highlight w:val="black"/>
              </w:rPr>
            </w:pPr>
            <w:r>
              <w:rPr>
                <w:rFonts w:cs="Arial"/>
                <w:noProof/>
                <w:color w:val="000000"/>
                <w:highlight w:val="black"/>
              </w:rPr>
              <w:t>''''''''''''</w:t>
            </w:r>
            <w:r w:rsidR="00783925" w:rsidRPr="00D95519">
              <w:rPr>
                <w:rFonts w:cs="Arial"/>
                <w:color w:val="000000"/>
                <w:highlight w:val="black"/>
              </w:rPr>
              <w:t xml:space="preserve"> </w:t>
            </w:r>
          </w:p>
        </w:tc>
        <w:tc>
          <w:tcPr>
            <w:tcW w:w="609" w:type="pct"/>
            <w:vAlign w:val="center"/>
          </w:tcPr>
          <w:p w:rsidR="0072310B" w:rsidRPr="00D95519" w:rsidRDefault="00D95519">
            <w:pPr>
              <w:pStyle w:val="Tabletext"/>
              <w:jc w:val="center"/>
              <w:rPr>
                <w:color w:val="000000"/>
                <w:szCs w:val="20"/>
                <w:highlight w:val="black"/>
              </w:rPr>
            </w:pPr>
            <w:r>
              <w:rPr>
                <w:rFonts w:cs="Arial"/>
                <w:noProof/>
                <w:color w:val="000000"/>
                <w:highlight w:val="black"/>
              </w:rPr>
              <w:t>'''''''''''''</w:t>
            </w:r>
            <w:r w:rsidR="00783925" w:rsidRPr="00D95519">
              <w:rPr>
                <w:rFonts w:cs="Arial"/>
                <w:color w:val="000000"/>
                <w:highlight w:val="black"/>
              </w:rPr>
              <w:t xml:space="preserve"> </w:t>
            </w:r>
          </w:p>
        </w:tc>
      </w:tr>
      <w:tr w:rsidR="0072310B">
        <w:trPr>
          <w:jc w:val="center"/>
        </w:trPr>
        <w:tc>
          <w:tcPr>
            <w:tcW w:w="1248" w:type="pct"/>
            <w:shd w:val="clear" w:color="auto" w:fill="auto"/>
            <w:vAlign w:val="center"/>
          </w:tcPr>
          <w:p w:rsidR="0072310B" w:rsidRDefault="00783925">
            <w:pPr>
              <w:pStyle w:val="Tabletext"/>
              <w:tabs>
                <w:tab w:val="left" w:pos="106"/>
              </w:tabs>
            </w:pPr>
            <w:r>
              <w:tab/>
              <w:t>Total patients treated</w:t>
            </w:r>
          </w:p>
        </w:tc>
        <w:tc>
          <w:tcPr>
            <w:tcW w:w="632" w:type="pct"/>
            <w:shd w:val="clear" w:color="auto" w:fill="auto"/>
            <w:vAlign w:val="center"/>
          </w:tcPr>
          <w:p w:rsidR="0072310B" w:rsidRPr="00D95519" w:rsidRDefault="00D95519">
            <w:pPr>
              <w:pStyle w:val="Tabletext"/>
              <w:jc w:val="center"/>
              <w:rPr>
                <w:rFonts w:cs="Arial"/>
                <w:color w:val="000000"/>
                <w:highlight w:val="black"/>
              </w:rPr>
            </w:pPr>
            <w:r>
              <w:rPr>
                <w:noProof/>
                <w:color w:val="000000"/>
                <w:szCs w:val="20"/>
                <w:highlight w:val="black"/>
              </w:rPr>
              <w:t>''''''''''''''</w:t>
            </w:r>
            <w:r w:rsidR="00783925" w:rsidRPr="00D95519">
              <w:rPr>
                <w:szCs w:val="20"/>
                <w:highlight w:val="black"/>
              </w:rPr>
              <w:t xml:space="preserve"> </w:t>
            </w:r>
          </w:p>
        </w:tc>
        <w:tc>
          <w:tcPr>
            <w:tcW w:w="601" w:type="pct"/>
            <w:shd w:val="clear" w:color="auto" w:fill="auto"/>
            <w:vAlign w:val="center"/>
          </w:tcPr>
          <w:p w:rsidR="0072310B" w:rsidRPr="00D95519" w:rsidRDefault="00D95519">
            <w:pPr>
              <w:pStyle w:val="Tabletext"/>
              <w:jc w:val="center"/>
              <w:rPr>
                <w:rFonts w:cs="Arial"/>
                <w:color w:val="000000"/>
                <w:highlight w:val="black"/>
              </w:rPr>
            </w:pPr>
            <w:r>
              <w:rPr>
                <w:noProof/>
                <w:color w:val="000000"/>
                <w:szCs w:val="20"/>
                <w:highlight w:val="black"/>
              </w:rPr>
              <w:t>''''''''''''''</w:t>
            </w:r>
            <w:r w:rsidR="00783925" w:rsidRPr="00D95519">
              <w:rPr>
                <w:szCs w:val="20"/>
                <w:highlight w:val="black"/>
              </w:rPr>
              <w:t xml:space="preserve"> </w:t>
            </w:r>
          </w:p>
        </w:tc>
        <w:tc>
          <w:tcPr>
            <w:tcW w:w="648" w:type="pct"/>
            <w:shd w:val="clear" w:color="auto" w:fill="auto"/>
            <w:vAlign w:val="center"/>
          </w:tcPr>
          <w:p w:rsidR="0072310B" w:rsidRPr="00D95519" w:rsidRDefault="00D95519">
            <w:pPr>
              <w:pStyle w:val="Tabletext"/>
              <w:jc w:val="center"/>
              <w:rPr>
                <w:rFonts w:cs="Arial"/>
                <w:color w:val="000000"/>
                <w:highlight w:val="black"/>
              </w:rPr>
            </w:pPr>
            <w:r>
              <w:rPr>
                <w:noProof/>
                <w:color w:val="000000"/>
                <w:szCs w:val="20"/>
                <w:highlight w:val="black"/>
              </w:rPr>
              <w:t>'''''''''''''</w:t>
            </w:r>
            <w:r w:rsidR="00783925" w:rsidRPr="00D95519">
              <w:rPr>
                <w:szCs w:val="20"/>
                <w:highlight w:val="black"/>
              </w:rPr>
              <w:t xml:space="preserve"> </w:t>
            </w:r>
          </w:p>
        </w:tc>
        <w:tc>
          <w:tcPr>
            <w:tcW w:w="623" w:type="pct"/>
            <w:shd w:val="clear" w:color="auto" w:fill="auto"/>
            <w:vAlign w:val="center"/>
          </w:tcPr>
          <w:p w:rsidR="0072310B" w:rsidRPr="00D95519" w:rsidRDefault="00D95519">
            <w:pPr>
              <w:pStyle w:val="Tabletext"/>
              <w:jc w:val="center"/>
              <w:rPr>
                <w:rFonts w:cs="Arial"/>
                <w:color w:val="000000"/>
                <w:highlight w:val="black"/>
              </w:rPr>
            </w:pPr>
            <w:r>
              <w:rPr>
                <w:noProof/>
                <w:color w:val="000000"/>
                <w:szCs w:val="20"/>
                <w:highlight w:val="black"/>
              </w:rPr>
              <w:t>''''''''''''''</w:t>
            </w:r>
            <w:r w:rsidR="00783925" w:rsidRPr="00D95519">
              <w:rPr>
                <w:szCs w:val="20"/>
                <w:highlight w:val="black"/>
              </w:rPr>
              <w:t xml:space="preserve"> </w:t>
            </w:r>
          </w:p>
        </w:tc>
        <w:tc>
          <w:tcPr>
            <w:tcW w:w="639" w:type="pct"/>
            <w:shd w:val="clear" w:color="auto" w:fill="auto"/>
            <w:vAlign w:val="center"/>
          </w:tcPr>
          <w:p w:rsidR="0072310B" w:rsidRPr="00D95519" w:rsidRDefault="00D95519">
            <w:pPr>
              <w:pStyle w:val="Tabletext"/>
              <w:jc w:val="center"/>
              <w:rPr>
                <w:rFonts w:cs="Arial"/>
                <w:color w:val="000000"/>
                <w:highlight w:val="black"/>
              </w:rPr>
            </w:pPr>
            <w:r>
              <w:rPr>
                <w:noProof/>
                <w:color w:val="000000"/>
                <w:szCs w:val="20"/>
                <w:highlight w:val="black"/>
              </w:rPr>
              <w:t>'''''''''''''</w:t>
            </w:r>
            <w:r w:rsidR="00783925" w:rsidRPr="00D95519">
              <w:rPr>
                <w:szCs w:val="20"/>
                <w:highlight w:val="black"/>
              </w:rPr>
              <w:t xml:space="preserve"> </w:t>
            </w:r>
          </w:p>
        </w:tc>
        <w:tc>
          <w:tcPr>
            <w:tcW w:w="609" w:type="pct"/>
            <w:vAlign w:val="center"/>
          </w:tcPr>
          <w:p w:rsidR="0072310B" w:rsidRPr="00D95519" w:rsidRDefault="00D95519">
            <w:pPr>
              <w:pStyle w:val="Tabletext"/>
              <w:jc w:val="center"/>
              <w:rPr>
                <w:rFonts w:cs="Arial"/>
                <w:color w:val="000000"/>
                <w:highlight w:val="black"/>
              </w:rPr>
            </w:pPr>
            <w:r>
              <w:rPr>
                <w:noProof/>
                <w:color w:val="000000"/>
                <w:szCs w:val="20"/>
                <w:highlight w:val="black"/>
              </w:rPr>
              <w:t>''''''''''''''''</w:t>
            </w:r>
            <w:r w:rsidR="00783925" w:rsidRPr="00D95519">
              <w:rPr>
                <w:szCs w:val="20"/>
                <w:highlight w:val="black"/>
              </w:rPr>
              <w:t xml:space="preserve"> </w:t>
            </w:r>
          </w:p>
        </w:tc>
      </w:tr>
      <w:tr w:rsidR="0072310B">
        <w:trPr>
          <w:jc w:val="center"/>
        </w:trPr>
        <w:tc>
          <w:tcPr>
            <w:tcW w:w="5000" w:type="pct"/>
            <w:gridSpan w:val="7"/>
            <w:shd w:val="clear" w:color="auto" w:fill="auto"/>
            <w:vAlign w:val="center"/>
          </w:tcPr>
          <w:p w:rsidR="0072310B" w:rsidRDefault="00783925">
            <w:pPr>
              <w:pStyle w:val="Tabletext"/>
              <w:rPr>
                <w:bCs/>
                <w:color w:val="000000"/>
              </w:rPr>
            </w:pPr>
            <w:r>
              <w:t>Number of scripts dispensed</w:t>
            </w:r>
            <w:r>
              <w:rPr>
                <w:vertAlign w:val="superscript"/>
              </w:rPr>
              <w:t>c</w:t>
            </w:r>
          </w:p>
        </w:tc>
      </w:tr>
      <w:tr w:rsidR="0072310B">
        <w:trPr>
          <w:jc w:val="center"/>
        </w:trPr>
        <w:tc>
          <w:tcPr>
            <w:tcW w:w="1248" w:type="pct"/>
            <w:shd w:val="clear" w:color="auto" w:fill="auto"/>
            <w:vAlign w:val="center"/>
          </w:tcPr>
          <w:p w:rsidR="0072310B" w:rsidRDefault="00783925">
            <w:pPr>
              <w:pStyle w:val="Tabletext"/>
              <w:tabs>
                <w:tab w:val="left" w:pos="106"/>
              </w:tabs>
            </w:pPr>
            <w:r>
              <w:tab/>
              <w:t>Market share approach</w:t>
            </w:r>
            <w:r>
              <w:rPr>
                <w:vertAlign w:val="superscript"/>
              </w:rPr>
              <w:t>d</w:t>
            </w:r>
          </w:p>
        </w:tc>
        <w:tc>
          <w:tcPr>
            <w:tcW w:w="632" w:type="pct"/>
            <w:shd w:val="clear" w:color="auto" w:fill="auto"/>
            <w:vAlign w:val="center"/>
          </w:tcPr>
          <w:p w:rsidR="0072310B" w:rsidRPr="00D95519" w:rsidRDefault="00D95519">
            <w:pPr>
              <w:pStyle w:val="Tabletext"/>
              <w:jc w:val="center"/>
              <w:rPr>
                <w:bCs/>
                <w:color w:val="000000"/>
                <w:szCs w:val="20"/>
                <w:highlight w:val="black"/>
              </w:rPr>
            </w:pPr>
            <w:r>
              <w:rPr>
                <w:noProof/>
                <w:color w:val="000000"/>
                <w:szCs w:val="20"/>
                <w:highlight w:val="black"/>
              </w:rPr>
              <w:t>''''''''''''''''</w:t>
            </w:r>
            <w:r w:rsidR="00783925" w:rsidRPr="00D95519">
              <w:rPr>
                <w:color w:val="000000"/>
                <w:szCs w:val="20"/>
                <w:highlight w:val="black"/>
              </w:rPr>
              <w:t xml:space="preserve"> </w:t>
            </w:r>
          </w:p>
        </w:tc>
        <w:tc>
          <w:tcPr>
            <w:tcW w:w="601" w:type="pct"/>
            <w:shd w:val="clear" w:color="auto" w:fill="auto"/>
            <w:vAlign w:val="center"/>
          </w:tcPr>
          <w:p w:rsidR="0072310B" w:rsidRPr="00D95519" w:rsidRDefault="00D95519">
            <w:pPr>
              <w:pStyle w:val="Tabletext"/>
              <w:jc w:val="center"/>
              <w:rPr>
                <w:bCs/>
                <w:color w:val="000000"/>
                <w:szCs w:val="20"/>
                <w:highlight w:val="black"/>
              </w:rPr>
            </w:pPr>
            <w:r>
              <w:rPr>
                <w:noProof/>
                <w:color w:val="000000"/>
                <w:szCs w:val="20"/>
                <w:highlight w:val="black"/>
              </w:rPr>
              <w:t>''''''''''''''''</w:t>
            </w:r>
            <w:r w:rsidR="00783925" w:rsidRPr="00D95519">
              <w:rPr>
                <w:color w:val="000000"/>
                <w:szCs w:val="20"/>
                <w:highlight w:val="black"/>
              </w:rPr>
              <w:t xml:space="preserve"> </w:t>
            </w:r>
          </w:p>
        </w:tc>
        <w:tc>
          <w:tcPr>
            <w:tcW w:w="648" w:type="pct"/>
            <w:shd w:val="clear" w:color="auto" w:fill="auto"/>
            <w:vAlign w:val="center"/>
          </w:tcPr>
          <w:p w:rsidR="0072310B" w:rsidRPr="00D95519" w:rsidRDefault="00D95519">
            <w:pPr>
              <w:pStyle w:val="Tabletext"/>
              <w:jc w:val="center"/>
              <w:rPr>
                <w:bCs/>
                <w:color w:val="000000"/>
                <w:szCs w:val="20"/>
                <w:highlight w:val="black"/>
              </w:rPr>
            </w:pPr>
            <w:r>
              <w:rPr>
                <w:noProof/>
                <w:color w:val="000000"/>
                <w:szCs w:val="20"/>
                <w:highlight w:val="black"/>
              </w:rPr>
              <w:t>''''''''''''''''</w:t>
            </w:r>
            <w:r w:rsidR="00783925" w:rsidRPr="00D95519">
              <w:rPr>
                <w:color w:val="000000"/>
                <w:szCs w:val="20"/>
                <w:highlight w:val="black"/>
              </w:rPr>
              <w:t xml:space="preserve"> </w:t>
            </w:r>
          </w:p>
        </w:tc>
        <w:tc>
          <w:tcPr>
            <w:tcW w:w="623" w:type="pct"/>
            <w:shd w:val="clear" w:color="auto" w:fill="auto"/>
            <w:vAlign w:val="center"/>
          </w:tcPr>
          <w:p w:rsidR="0072310B" w:rsidRPr="00D95519" w:rsidRDefault="00D95519">
            <w:pPr>
              <w:pStyle w:val="Tabletext"/>
              <w:jc w:val="center"/>
              <w:rPr>
                <w:bCs/>
                <w:color w:val="000000"/>
                <w:szCs w:val="20"/>
                <w:highlight w:val="black"/>
              </w:rPr>
            </w:pPr>
            <w:r>
              <w:rPr>
                <w:noProof/>
                <w:color w:val="000000"/>
                <w:szCs w:val="20"/>
                <w:highlight w:val="black"/>
              </w:rPr>
              <w:t>''''''''''''''''</w:t>
            </w:r>
            <w:r w:rsidR="00783925" w:rsidRPr="00D95519">
              <w:rPr>
                <w:color w:val="000000"/>
                <w:szCs w:val="20"/>
                <w:highlight w:val="black"/>
              </w:rPr>
              <w:t xml:space="preserve"> </w:t>
            </w:r>
          </w:p>
        </w:tc>
        <w:tc>
          <w:tcPr>
            <w:tcW w:w="639" w:type="pct"/>
            <w:shd w:val="clear" w:color="auto" w:fill="auto"/>
            <w:vAlign w:val="center"/>
          </w:tcPr>
          <w:p w:rsidR="0072310B" w:rsidRPr="00D95519" w:rsidRDefault="00D95519">
            <w:pPr>
              <w:pStyle w:val="Tabletext"/>
              <w:jc w:val="center"/>
              <w:rPr>
                <w:bCs/>
                <w:color w:val="000000"/>
                <w:szCs w:val="20"/>
                <w:highlight w:val="black"/>
              </w:rPr>
            </w:pPr>
            <w:r>
              <w:rPr>
                <w:noProof/>
                <w:color w:val="000000"/>
                <w:szCs w:val="20"/>
                <w:highlight w:val="black"/>
              </w:rPr>
              <w:t>'''''''''''''''''</w:t>
            </w:r>
            <w:r w:rsidR="00783925" w:rsidRPr="00D95519">
              <w:rPr>
                <w:color w:val="000000"/>
                <w:szCs w:val="20"/>
                <w:highlight w:val="black"/>
              </w:rPr>
              <w:t xml:space="preserve"> </w:t>
            </w:r>
          </w:p>
        </w:tc>
        <w:tc>
          <w:tcPr>
            <w:tcW w:w="609" w:type="pct"/>
            <w:vAlign w:val="center"/>
          </w:tcPr>
          <w:p w:rsidR="0072310B" w:rsidRPr="00D95519" w:rsidRDefault="00D95519">
            <w:pPr>
              <w:pStyle w:val="Tabletext"/>
              <w:jc w:val="center"/>
              <w:rPr>
                <w:bCs/>
                <w:color w:val="000000"/>
                <w:szCs w:val="20"/>
                <w:highlight w:val="black"/>
              </w:rPr>
            </w:pPr>
            <w:r>
              <w:rPr>
                <w:noProof/>
                <w:color w:val="000000"/>
                <w:szCs w:val="20"/>
                <w:highlight w:val="black"/>
              </w:rPr>
              <w:t>''''''''''''''''</w:t>
            </w:r>
            <w:r w:rsidR="00783925" w:rsidRPr="00D95519">
              <w:rPr>
                <w:color w:val="000000"/>
                <w:szCs w:val="20"/>
                <w:highlight w:val="black"/>
              </w:rPr>
              <w:t xml:space="preserve"> </w:t>
            </w:r>
          </w:p>
        </w:tc>
      </w:tr>
      <w:tr w:rsidR="0072310B">
        <w:trPr>
          <w:jc w:val="center"/>
        </w:trPr>
        <w:tc>
          <w:tcPr>
            <w:tcW w:w="1248" w:type="pct"/>
            <w:shd w:val="clear" w:color="auto" w:fill="auto"/>
            <w:vAlign w:val="center"/>
          </w:tcPr>
          <w:p w:rsidR="0072310B" w:rsidRDefault="00783925">
            <w:pPr>
              <w:pStyle w:val="Tabletext"/>
              <w:tabs>
                <w:tab w:val="left" w:pos="106"/>
              </w:tabs>
            </w:pPr>
            <w:r>
              <w:tab/>
              <w:t>Epidemiological approach</w:t>
            </w:r>
          </w:p>
        </w:tc>
        <w:tc>
          <w:tcPr>
            <w:tcW w:w="632" w:type="pct"/>
            <w:shd w:val="clear" w:color="auto" w:fill="auto"/>
          </w:tcPr>
          <w:p w:rsidR="0072310B" w:rsidRPr="00D95519" w:rsidRDefault="00D95519">
            <w:pPr>
              <w:pStyle w:val="Tabletext"/>
              <w:jc w:val="center"/>
              <w:rPr>
                <w:bCs/>
                <w:color w:val="000000"/>
                <w:szCs w:val="20"/>
                <w:highlight w:val="black"/>
              </w:rPr>
            </w:pPr>
            <w:r>
              <w:rPr>
                <w:noProof/>
                <w:color w:val="000000"/>
                <w:highlight w:val="black"/>
              </w:rPr>
              <w:t>''''''''''''''</w:t>
            </w:r>
          </w:p>
        </w:tc>
        <w:tc>
          <w:tcPr>
            <w:tcW w:w="601" w:type="pct"/>
            <w:shd w:val="clear" w:color="auto" w:fill="auto"/>
          </w:tcPr>
          <w:p w:rsidR="0072310B" w:rsidRPr="00D95519" w:rsidRDefault="00D95519">
            <w:pPr>
              <w:pStyle w:val="Tabletext"/>
              <w:jc w:val="center"/>
              <w:rPr>
                <w:bCs/>
                <w:color w:val="000000"/>
                <w:szCs w:val="20"/>
                <w:highlight w:val="black"/>
              </w:rPr>
            </w:pPr>
            <w:r>
              <w:rPr>
                <w:noProof/>
                <w:color w:val="000000"/>
                <w:highlight w:val="black"/>
              </w:rPr>
              <w:t>''''''''''''''''</w:t>
            </w:r>
          </w:p>
        </w:tc>
        <w:tc>
          <w:tcPr>
            <w:tcW w:w="648" w:type="pct"/>
            <w:shd w:val="clear" w:color="auto" w:fill="auto"/>
          </w:tcPr>
          <w:p w:rsidR="0072310B" w:rsidRPr="00D95519" w:rsidRDefault="00D95519">
            <w:pPr>
              <w:pStyle w:val="Tabletext"/>
              <w:jc w:val="center"/>
              <w:rPr>
                <w:bCs/>
                <w:color w:val="000000"/>
                <w:szCs w:val="20"/>
                <w:highlight w:val="black"/>
              </w:rPr>
            </w:pPr>
            <w:r>
              <w:rPr>
                <w:noProof/>
                <w:color w:val="000000"/>
                <w:highlight w:val="black"/>
              </w:rPr>
              <w:t>''''''''''''''''</w:t>
            </w:r>
          </w:p>
        </w:tc>
        <w:tc>
          <w:tcPr>
            <w:tcW w:w="623" w:type="pct"/>
            <w:shd w:val="clear" w:color="auto" w:fill="auto"/>
          </w:tcPr>
          <w:p w:rsidR="0072310B" w:rsidRPr="00D95519" w:rsidRDefault="00D95519">
            <w:pPr>
              <w:pStyle w:val="Tabletext"/>
              <w:jc w:val="center"/>
              <w:rPr>
                <w:bCs/>
                <w:color w:val="000000"/>
                <w:szCs w:val="20"/>
                <w:highlight w:val="black"/>
              </w:rPr>
            </w:pPr>
            <w:r>
              <w:rPr>
                <w:noProof/>
                <w:color w:val="000000"/>
                <w:highlight w:val="black"/>
              </w:rPr>
              <w:t>'''''''''''''''</w:t>
            </w:r>
          </w:p>
        </w:tc>
        <w:tc>
          <w:tcPr>
            <w:tcW w:w="639" w:type="pct"/>
            <w:shd w:val="clear" w:color="auto" w:fill="auto"/>
          </w:tcPr>
          <w:p w:rsidR="0072310B" w:rsidRPr="00D95519" w:rsidRDefault="00D95519">
            <w:pPr>
              <w:pStyle w:val="Tabletext"/>
              <w:jc w:val="center"/>
              <w:rPr>
                <w:bCs/>
                <w:color w:val="000000"/>
                <w:szCs w:val="20"/>
                <w:highlight w:val="black"/>
              </w:rPr>
            </w:pPr>
            <w:r>
              <w:rPr>
                <w:noProof/>
                <w:color w:val="000000"/>
                <w:highlight w:val="black"/>
              </w:rPr>
              <w:t>''''''''''''''''</w:t>
            </w:r>
          </w:p>
        </w:tc>
        <w:tc>
          <w:tcPr>
            <w:tcW w:w="609" w:type="pct"/>
          </w:tcPr>
          <w:p w:rsidR="0072310B" w:rsidRPr="00D95519" w:rsidRDefault="00D95519">
            <w:pPr>
              <w:pStyle w:val="Tabletext"/>
              <w:jc w:val="center"/>
              <w:rPr>
                <w:bCs/>
                <w:color w:val="000000"/>
                <w:szCs w:val="20"/>
                <w:highlight w:val="black"/>
              </w:rPr>
            </w:pPr>
            <w:r>
              <w:rPr>
                <w:noProof/>
                <w:color w:val="000000"/>
                <w:highlight w:val="black"/>
              </w:rPr>
              <w:t>''''''''''''''''</w:t>
            </w:r>
          </w:p>
        </w:tc>
      </w:tr>
      <w:tr w:rsidR="0072310B">
        <w:trPr>
          <w:jc w:val="center"/>
        </w:trPr>
        <w:tc>
          <w:tcPr>
            <w:tcW w:w="1248" w:type="pct"/>
            <w:shd w:val="clear" w:color="auto" w:fill="auto"/>
            <w:vAlign w:val="center"/>
          </w:tcPr>
          <w:p w:rsidR="0072310B" w:rsidRDefault="00783925">
            <w:pPr>
              <w:pStyle w:val="Tabletext"/>
              <w:tabs>
                <w:tab w:val="left" w:pos="106"/>
              </w:tabs>
            </w:pPr>
            <w:r>
              <w:tab/>
              <w:t>Total scripts</w:t>
            </w:r>
          </w:p>
        </w:tc>
        <w:tc>
          <w:tcPr>
            <w:tcW w:w="632" w:type="pct"/>
            <w:shd w:val="clear" w:color="auto" w:fill="auto"/>
            <w:vAlign w:val="center"/>
          </w:tcPr>
          <w:p w:rsidR="0072310B" w:rsidRPr="00D95519" w:rsidRDefault="00D95519">
            <w:pPr>
              <w:pStyle w:val="Tabletext"/>
              <w:jc w:val="center"/>
              <w:rPr>
                <w:bCs/>
                <w:color w:val="000000"/>
                <w:szCs w:val="20"/>
                <w:highlight w:val="black"/>
              </w:rPr>
            </w:pPr>
            <w:r>
              <w:rPr>
                <w:bCs/>
                <w:noProof/>
                <w:color w:val="000000"/>
                <w:szCs w:val="20"/>
                <w:highlight w:val="black"/>
              </w:rPr>
              <w:t>''''''''''''''''</w:t>
            </w:r>
          </w:p>
        </w:tc>
        <w:tc>
          <w:tcPr>
            <w:tcW w:w="601" w:type="pct"/>
            <w:shd w:val="clear" w:color="auto" w:fill="auto"/>
            <w:vAlign w:val="center"/>
          </w:tcPr>
          <w:p w:rsidR="0072310B" w:rsidRPr="00D95519" w:rsidRDefault="00D95519">
            <w:pPr>
              <w:pStyle w:val="Tabletext"/>
              <w:jc w:val="center"/>
              <w:rPr>
                <w:bCs/>
                <w:color w:val="000000"/>
                <w:szCs w:val="20"/>
                <w:highlight w:val="black"/>
              </w:rPr>
            </w:pPr>
            <w:r>
              <w:rPr>
                <w:bCs/>
                <w:noProof/>
                <w:color w:val="000000"/>
                <w:szCs w:val="20"/>
                <w:highlight w:val="black"/>
              </w:rPr>
              <w:t>''''''''''''''''''</w:t>
            </w:r>
          </w:p>
        </w:tc>
        <w:tc>
          <w:tcPr>
            <w:tcW w:w="648" w:type="pct"/>
            <w:shd w:val="clear" w:color="auto" w:fill="auto"/>
            <w:vAlign w:val="center"/>
          </w:tcPr>
          <w:p w:rsidR="0072310B" w:rsidRPr="00D95519" w:rsidRDefault="00D95519">
            <w:pPr>
              <w:pStyle w:val="Tabletext"/>
              <w:jc w:val="center"/>
              <w:rPr>
                <w:bCs/>
                <w:color w:val="000000"/>
                <w:szCs w:val="20"/>
                <w:highlight w:val="black"/>
              </w:rPr>
            </w:pPr>
            <w:r>
              <w:rPr>
                <w:bCs/>
                <w:noProof/>
                <w:color w:val="000000"/>
                <w:szCs w:val="20"/>
                <w:highlight w:val="black"/>
              </w:rPr>
              <w:t>'''''''''''''''''</w:t>
            </w:r>
          </w:p>
        </w:tc>
        <w:tc>
          <w:tcPr>
            <w:tcW w:w="623" w:type="pct"/>
            <w:shd w:val="clear" w:color="auto" w:fill="auto"/>
            <w:vAlign w:val="center"/>
          </w:tcPr>
          <w:p w:rsidR="0072310B" w:rsidRPr="00D95519" w:rsidRDefault="00D95519">
            <w:pPr>
              <w:pStyle w:val="Tabletext"/>
              <w:jc w:val="center"/>
              <w:rPr>
                <w:bCs/>
                <w:color w:val="000000"/>
                <w:szCs w:val="20"/>
                <w:highlight w:val="black"/>
              </w:rPr>
            </w:pPr>
            <w:r>
              <w:rPr>
                <w:bCs/>
                <w:noProof/>
                <w:color w:val="000000"/>
                <w:szCs w:val="20"/>
                <w:highlight w:val="black"/>
              </w:rPr>
              <w:t>'''''''''''''''''</w:t>
            </w:r>
          </w:p>
        </w:tc>
        <w:tc>
          <w:tcPr>
            <w:tcW w:w="639" w:type="pct"/>
            <w:shd w:val="clear" w:color="auto" w:fill="auto"/>
            <w:vAlign w:val="center"/>
          </w:tcPr>
          <w:p w:rsidR="0072310B" w:rsidRPr="00D95519" w:rsidRDefault="00D95519">
            <w:pPr>
              <w:pStyle w:val="Tabletext"/>
              <w:jc w:val="center"/>
              <w:rPr>
                <w:bCs/>
                <w:color w:val="000000"/>
                <w:szCs w:val="20"/>
                <w:highlight w:val="black"/>
              </w:rPr>
            </w:pPr>
            <w:r>
              <w:rPr>
                <w:bCs/>
                <w:noProof/>
                <w:color w:val="000000"/>
                <w:szCs w:val="20"/>
                <w:highlight w:val="black"/>
              </w:rPr>
              <w:t>''''''''''''''''</w:t>
            </w:r>
          </w:p>
        </w:tc>
        <w:tc>
          <w:tcPr>
            <w:tcW w:w="609" w:type="pct"/>
            <w:vAlign w:val="center"/>
          </w:tcPr>
          <w:p w:rsidR="0072310B" w:rsidRPr="00D95519" w:rsidRDefault="00D95519">
            <w:pPr>
              <w:pStyle w:val="Tabletext"/>
              <w:jc w:val="center"/>
              <w:rPr>
                <w:bCs/>
                <w:color w:val="000000"/>
                <w:szCs w:val="20"/>
                <w:highlight w:val="black"/>
              </w:rPr>
            </w:pPr>
            <w:r>
              <w:rPr>
                <w:bCs/>
                <w:noProof/>
                <w:color w:val="000000"/>
                <w:szCs w:val="20"/>
                <w:highlight w:val="black"/>
              </w:rPr>
              <w:t>''''''''''''''''''''</w:t>
            </w:r>
          </w:p>
        </w:tc>
      </w:tr>
      <w:tr w:rsidR="0072310B">
        <w:trPr>
          <w:jc w:val="center"/>
        </w:trPr>
        <w:tc>
          <w:tcPr>
            <w:tcW w:w="5000" w:type="pct"/>
            <w:gridSpan w:val="7"/>
            <w:shd w:val="clear" w:color="auto" w:fill="auto"/>
            <w:vAlign w:val="center"/>
          </w:tcPr>
          <w:p w:rsidR="0072310B" w:rsidRDefault="00783925">
            <w:pPr>
              <w:pStyle w:val="Tabletext"/>
              <w:tabs>
                <w:tab w:val="left" w:pos="106"/>
              </w:tabs>
              <w:rPr>
                <w:b/>
                <w:bCs/>
                <w:color w:val="000000"/>
              </w:rPr>
            </w:pPr>
            <w:r>
              <w:rPr>
                <w:b/>
                <w:bCs/>
                <w:color w:val="000000"/>
              </w:rPr>
              <w:t>Estimated financial implications of galcanezumab</w:t>
            </w:r>
          </w:p>
        </w:tc>
      </w:tr>
      <w:tr w:rsidR="0072310B">
        <w:trPr>
          <w:jc w:val="center"/>
        </w:trPr>
        <w:tc>
          <w:tcPr>
            <w:tcW w:w="1248" w:type="pct"/>
            <w:shd w:val="clear" w:color="auto" w:fill="auto"/>
            <w:vAlign w:val="center"/>
          </w:tcPr>
          <w:p w:rsidR="0072310B" w:rsidRDefault="00783925">
            <w:pPr>
              <w:pStyle w:val="Tabletext"/>
              <w:tabs>
                <w:tab w:val="left" w:pos="106"/>
              </w:tabs>
              <w:rPr>
                <w:rFonts w:ascii="Times" w:hAnsi="Times"/>
                <w:szCs w:val="20"/>
              </w:rPr>
            </w:pPr>
            <w:r>
              <w:rPr>
                <w:szCs w:val="20"/>
              </w:rPr>
              <w:t>Cost to PBS/RPBS</w:t>
            </w:r>
          </w:p>
        </w:tc>
        <w:tc>
          <w:tcPr>
            <w:tcW w:w="632" w:type="pct"/>
            <w:shd w:val="clear" w:color="auto" w:fill="auto"/>
            <w:vAlign w:val="center"/>
          </w:tcPr>
          <w:p w:rsidR="0072310B" w:rsidRDefault="00783925">
            <w:pPr>
              <w:pStyle w:val="Tabletext"/>
              <w:jc w:val="center"/>
              <w:rPr>
                <w:bCs/>
                <w:color w:val="000000"/>
              </w:rPr>
            </w:pPr>
            <w:r>
              <w:rPr>
                <w:rFonts w:cs="Arial"/>
                <w:bCs/>
                <w:color w:val="000000"/>
                <w:szCs w:val="20"/>
              </w:rPr>
              <w:t>$</w:t>
            </w:r>
            <w:r w:rsidR="00D95519">
              <w:rPr>
                <w:rFonts w:cs="Arial"/>
                <w:bCs/>
                <w:noProof/>
                <w:color w:val="000000"/>
                <w:szCs w:val="20"/>
                <w:highlight w:val="black"/>
              </w:rPr>
              <w:t>'''''''''''''''''''''''''''''</w:t>
            </w:r>
          </w:p>
        </w:tc>
        <w:tc>
          <w:tcPr>
            <w:tcW w:w="601" w:type="pct"/>
            <w:shd w:val="clear" w:color="auto" w:fill="auto"/>
            <w:vAlign w:val="center"/>
          </w:tcPr>
          <w:p w:rsidR="0072310B" w:rsidRDefault="00783925">
            <w:pPr>
              <w:pStyle w:val="Tabletext"/>
              <w:jc w:val="center"/>
              <w:rPr>
                <w:bCs/>
                <w:color w:val="000000"/>
              </w:rPr>
            </w:pPr>
            <w:r>
              <w:rPr>
                <w:rFonts w:cs="Arial"/>
                <w:bCs/>
                <w:color w:val="000000"/>
                <w:szCs w:val="20"/>
              </w:rPr>
              <w:t>$</w:t>
            </w:r>
            <w:r w:rsidR="00D95519">
              <w:rPr>
                <w:rFonts w:cs="Arial"/>
                <w:bCs/>
                <w:noProof/>
                <w:color w:val="000000"/>
                <w:szCs w:val="20"/>
                <w:highlight w:val="black"/>
              </w:rPr>
              <w:t>'''''''''''''''''''''''''''</w:t>
            </w:r>
          </w:p>
        </w:tc>
        <w:tc>
          <w:tcPr>
            <w:tcW w:w="648" w:type="pct"/>
            <w:shd w:val="clear" w:color="auto" w:fill="auto"/>
            <w:vAlign w:val="center"/>
          </w:tcPr>
          <w:p w:rsidR="0072310B" w:rsidRDefault="00783925">
            <w:pPr>
              <w:pStyle w:val="Tabletext"/>
              <w:jc w:val="center"/>
              <w:rPr>
                <w:bCs/>
                <w:color w:val="000000"/>
              </w:rPr>
            </w:pPr>
            <w:r>
              <w:rPr>
                <w:rFonts w:cs="Arial"/>
                <w:bCs/>
                <w:color w:val="000000"/>
                <w:szCs w:val="20"/>
              </w:rPr>
              <w:t>$</w:t>
            </w:r>
            <w:r w:rsidR="00D95519">
              <w:rPr>
                <w:rFonts w:cs="Arial"/>
                <w:bCs/>
                <w:noProof/>
                <w:color w:val="000000"/>
                <w:szCs w:val="20"/>
                <w:highlight w:val="black"/>
              </w:rPr>
              <w:t>''''''''''''''''''''''''</w:t>
            </w:r>
          </w:p>
        </w:tc>
        <w:tc>
          <w:tcPr>
            <w:tcW w:w="623" w:type="pct"/>
            <w:shd w:val="clear" w:color="auto" w:fill="auto"/>
            <w:vAlign w:val="center"/>
          </w:tcPr>
          <w:p w:rsidR="0072310B" w:rsidRDefault="00783925">
            <w:pPr>
              <w:pStyle w:val="Tabletext"/>
              <w:jc w:val="center"/>
              <w:rPr>
                <w:bCs/>
                <w:color w:val="000000"/>
              </w:rPr>
            </w:pPr>
            <w:r>
              <w:rPr>
                <w:rFonts w:cs="Arial"/>
                <w:bCs/>
                <w:color w:val="000000"/>
                <w:szCs w:val="20"/>
              </w:rPr>
              <w:t>$</w:t>
            </w:r>
            <w:r w:rsidR="00D95519">
              <w:rPr>
                <w:rFonts w:cs="Arial"/>
                <w:bCs/>
                <w:noProof/>
                <w:color w:val="000000"/>
                <w:szCs w:val="20"/>
                <w:highlight w:val="black"/>
              </w:rPr>
              <w:t>''''''''''''''''''''''''</w:t>
            </w:r>
          </w:p>
        </w:tc>
        <w:tc>
          <w:tcPr>
            <w:tcW w:w="639" w:type="pct"/>
            <w:shd w:val="clear" w:color="auto" w:fill="auto"/>
            <w:vAlign w:val="center"/>
          </w:tcPr>
          <w:p w:rsidR="0072310B" w:rsidRDefault="00783925">
            <w:pPr>
              <w:pStyle w:val="Tabletext"/>
              <w:jc w:val="center"/>
              <w:rPr>
                <w:bCs/>
                <w:color w:val="000000"/>
              </w:rPr>
            </w:pPr>
            <w:r>
              <w:rPr>
                <w:rFonts w:cs="Arial"/>
                <w:bCs/>
                <w:color w:val="000000"/>
                <w:szCs w:val="20"/>
              </w:rPr>
              <w:t>$</w:t>
            </w:r>
            <w:r w:rsidR="00D95519">
              <w:rPr>
                <w:rFonts w:cs="Arial"/>
                <w:bCs/>
                <w:noProof/>
                <w:color w:val="000000"/>
                <w:szCs w:val="20"/>
                <w:highlight w:val="black"/>
              </w:rPr>
              <w:t>''''''''''''''''''''''''''''</w:t>
            </w:r>
          </w:p>
        </w:tc>
        <w:tc>
          <w:tcPr>
            <w:tcW w:w="609" w:type="pct"/>
            <w:vAlign w:val="center"/>
          </w:tcPr>
          <w:p w:rsidR="0072310B" w:rsidRDefault="00783925">
            <w:pPr>
              <w:pStyle w:val="Tabletext"/>
              <w:jc w:val="center"/>
              <w:rPr>
                <w:bCs/>
                <w:color w:val="000000"/>
              </w:rPr>
            </w:pPr>
            <w:r>
              <w:rPr>
                <w:rFonts w:cs="Arial"/>
                <w:bCs/>
                <w:color w:val="000000"/>
                <w:szCs w:val="20"/>
              </w:rPr>
              <w:t>$</w:t>
            </w:r>
            <w:r w:rsidR="00D95519">
              <w:rPr>
                <w:rFonts w:cs="Arial"/>
                <w:bCs/>
                <w:noProof/>
                <w:color w:val="000000"/>
                <w:szCs w:val="20"/>
                <w:highlight w:val="black"/>
              </w:rPr>
              <w:t>''''''''''''''''''''''''''''</w:t>
            </w:r>
          </w:p>
        </w:tc>
      </w:tr>
      <w:tr w:rsidR="0072310B">
        <w:trPr>
          <w:jc w:val="center"/>
        </w:trPr>
        <w:tc>
          <w:tcPr>
            <w:tcW w:w="1248" w:type="pct"/>
            <w:shd w:val="clear" w:color="auto" w:fill="auto"/>
            <w:vAlign w:val="center"/>
          </w:tcPr>
          <w:p w:rsidR="0072310B" w:rsidRDefault="00783925">
            <w:pPr>
              <w:pStyle w:val="Tabletext"/>
              <w:tabs>
                <w:tab w:val="left" w:pos="106"/>
              </w:tabs>
              <w:rPr>
                <w:szCs w:val="20"/>
              </w:rPr>
            </w:pPr>
            <w:r>
              <w:rPr>
                <w:szCs w:val="20"/>
              </w:rPr>
              <w:t>Copayments</w:t>
            </w:r>
          </w:p>
        </w:tc>
        <w:tc>
          <w:tcPr>
            <w:tcW w:w="632" w:type="pct"/>
            <w:shd w:val="clear" w:color="auto" w:fill="auto"/>
            <w:vAlign w:val="center"/>
          </w:tcPr>
          <w:p w:rsidR="0072310B" w:rsidRDefault="00783925">
            <w:pPr>
              <w:pStyle w:val="Tabletext"/>
              <w:jc w:val="center"/>
              <w:rPr>
                <w:bCs/>
                <w:color w:val="000000"/>
              </w:rPr>
            </w:pPr>
            <w:r>
              <w:rPr>
                <w:rFonts w:cs="Arial"/>
                <w:bCs/>
                <w:szCs w:val="20"/>
              </w:rPr>
              <w:t>-$</w:t>
            </w:r>
            <w:r w:rsidR="00D95519">
              <w:rPr>
                <w:rFonts w:cs="Arial"/>
                <w:bCs/>
                <w:noProof/>
                <w:color w:val="000000"/>
                <w:szCs w:val="20"/>
                <w:highlight w:val="black"/>
              </w:rPr>
              <w:t>'''''''''''''''''''''''</w:t>
            </w:r>
          </w:p>
        </w:tc>
        <w:tc>
          <w:tcPr>
            <w:tcW w:w="601" w:type="pct"/>
            <w:shd w:val="clear" w:color="auto" w:fill="auto"/>
            <w:vAlign w:val="center"/>
          </w:tcPr>
          <w:p w:rsidR="0072310B" w:rsidRDefault="00783925">
            <w:pPr>
              <w:pStyle w:val="Tabletext"/>
              <w:jc w:val="center"/>
              <w:rPr>
                <w:bCs/>
                <w:color w:val="000000"/>
              </w:rPr>
            </w:pPr>
            <w:r>
              <w:rPr>
                <w:rFonts w:cs="Arial"/>
                <w:bCs/>
                <w:szCs w:val="20"/>
              </w:rPr>
              <w:t>-$</w:t>
            </w:r>
            <w:r w:rsidR="00D95519">
              <w:rPr>
                <w:rFonts w:cs="Arial"/>
                <w:bCs/>
                <w:noProof/>
                <w:color w:val="000000"/>
                <w:szCs w:val="20"/>
                <w:highlight w:val="black"/>
              </w:rPr>
              <w:t>''''''''''''''''''''''''''</w:t>
            </w:r>
          </w:p>
        </w:tc>
        <w:tc>
          <w:tcPr>
            <w:tcW w:w="648" w:type="pct"/>
            <w:shd w:val="clear" w:color="auto" w:fill="auto"/>
            <w:vAlign w:val="center"/>
          </w:tcPr>
          <w:p w:rsidR="0072310B" w:rsidRDefault="00783925">
            <w:pPr>
              <w:pStyle w:val="Tabletext"/>
              <w:jc w:val="center"/>
              <w:rPr>
                <w:bCs/>
                <w:color w:val="000000"/>
              </w:rPr>
            </w:pPr>
            <w:r>
              <w:rPr>
                <w:rFonts w:cs="Arial"/>
                <w:bCs/>
                <w:szCs w:val="20"/>
              </w:rPr>
              <w:t>-$</w:t>
            </w:r>
            <w:r w:rsidR="00D95519">
              <w:rPr>
                <w:rFonts w:cs="Arial"/>
                <w:bCs/>
                <w:noProof/>
                <w:color w:val="000000"/>
                <w:szCs w:val="20"/>
                <w:highlight w:val="black"/>
              </w:rPr>
              <w:t>'''''''''''''''''''''''</w:t>
            </w:r>
          </w:p>
        </w:tc>
        <w:tc>
          <w:tcPr>
            <w:tcW w:w="623" w:type="pct"/>
            <w:shd w:val="clear" w:color="auto" w:fill="auto"/>
            <w:vAlign w:val="center"/>
          </w:tcPr>
          <w:p w:rsidR="0072310B" w:rsidRDefault="00783925">
            <w:pPr>
              <w:pStyle w:val="Tabletext"/>
              <w:jc w:val="center"/>
              <w:rPr>
                <w:bCs/>
                <w:color w:val="000000"/>
              </w:rPr>
            </w:pPr>
            <w:r>
              <w:rPr>
                <w:rFonts w:cs="Arial"/>
                <w:bCs/>
                <w:szCs w:val="20"/>
              </w:rPr>
              <w:t>-$</w:t>
            </w:r>
            <w:r w:rsidR="00D95519">
              <w:rPr>
                <w:rFonts w:cs="Arial"/>
                <w:bCs/>
                <w:noProof/>
                <w:color w:val="000000"/>
                <w:szCs w:val="20"/>
                <w:highlight w:val="black"/>
              </w:rPr>
              <w:t>'''''''''''''''''''''''''</w:t>
            </w:r>
          </w:p>
        </w:tc>
        <w:tc>
          <w:tcPr>
            <w:tcW w:w="639" w:type="pct"/>
            <w:shd w:val="clear" w:color="auto" w:fill="auto"/>
            <w:vAlign w:val="center"/>
          </w:tcPr>
          <w:p w:rsidR="0072310B" w:rsidRDefault="00783925">
            <w:pPr>
              <w:pStyle w:val="Tabletext"/>
              <w:jc w:val="center"/>
              <w:rPr>
                <w:bCs/>
                <w:color w:val="000000"/>
              </w:rPr>
            </w:pPr>
            <w:r>
              <w:rPr>
                <w:rFonts w:cs="Arial"/>
                <w:bCs/>
                <w:szCs w:val="20"/>
              </w:rPr>
              <w:t>-$</w:t>
            </w:r>
            <w:r w:rsidR="00D95519">
              <w:rPr>
                <w:rFonts w:cs="Arial"/>
                <w:bCs/>
                <w:noProof/>
                <w:color w:val="000000"/>
                <w:szCs w:val="20"/>
                <w:highlight w:val="black"/>
              </w:rPr>
              <w:t>'''''''''''''''''''''''</w:t>
            </w:r>
          </w:p>
        </w:tc>
        <w:tc>
          <w:tcPr>
            <w:tcW w:w="609" w:type="pct"/>
            <w:vAlign w:val="center"/>
          </w:tcPr>
          <w:p w:rsidR="0072310B" w:rsidRDefault="00783925">
            <w:pPr>
              <w:pStyle w:val="Tabletext"/>
              <w:jc w:val="center"/>
              <w:rPr>
                <w:bCs/>
                <w:color w:val="000000"/>
              </w:rPr>
            </w:pPr>
            <w:r>
              <w:rPr>
                <w:rFonts w:cs="Arial"/>
                <w:bCs/>
                <w:szCs w:val="20"/>
              </w:rPr>
              <w:t>-$</w:t>
            </w:r>
            <w:r w:rsidR="00D95519">
              <w:rPr>
                <w:rFonts w:cs="Arial"/>
                <w:bCs/>
                <w:noProof/>
                <w:color w:val="000000"/>
                <w:szCs w:val="20"/>
                <w:highlight w:val="black"/>
              </w:rPr>
              <w:t>''''''''''''''''''''''''</w:t>
            </w:r>
          </w:p>
        </w:tc>
      </w:tr>
      <w:tr w:rsidR="0072310B">
        <w:trPr>
          <w:jc w:val="center"/>
        </w:trPr>
        <w:tc>
          <w:tcPr>
            <w:tcW w:w="1248" w:type="pct"/>
            <w:shd w:val="clear" w:color="auto" w:fill="auto"/>
            <w:vAlign w:val="center"/>
          </w:tcPr>
          <w:p w:rsidR="0072310B" w:rsidRDefault="00783925">
            <w:pPr>
              <w:pStyle w:val="Tabletext"/>
              <w:tabs>
                <w:tab w:val="left" w:pos="106"/>
              </w:tabs>
              <w:rPr>
                <w:szCs w:val="20"/>
              </w:rPr>
            </w:pPr>
            <w:r>
              <w:rPr>
                <w:szCs w:val="20"/>
              </w:rPr>
              <w:t>Cost to PBS/RPBS less copayments</w:t>
            </w:r>
          </w:p>
        </w:tc>
        <w:tc>
          <w:tcPr>
            <w:tcW w:w="632" w:type="pct"/>
            <w:shd w:val="clear" w:color="auto" w:fill="auto"/>
            <w:vAlign w:val="center"/>
          </w:tcPr>
          <w:p w:rsidR="0072310B" w:rsidRDefault="00783925">
            <w:pPr>
              <w:pStyle w:val="Tabletext"/>
              <w:jc w:val="center"/>
              <w:rPr>
                <w:bCs/>
                <w:color w:val="000000"/>
              </w:rPr>
            </w:pPr>
            <w:r>
              <w:rPr>
                <w:rFonts w:cs="Arial"/>
                <w:color w:val="000000"/>
                <w:szCs w:val="20"/>
              </w:rPr>
              <w:t>$</w:t>
            </w:r>
            <w:r w:rsidR="00D95519">
              <w:rPr>
                <w:rFonts w:cs="Arial"/>
                <w:noProof/>
                <w:color w:val="000000"/>
                <w:szCs w:val="20"/>
                <w:highlight w:val="black"/>
              </w:rPr>
              <w:t>''''''''''''''''''''''''''''</w:t>
            </w:r>
          </w:p>
        </w:tc>
        <w:tc>
          <w:tcPr>
            <w:tcW w:w="601" w:type="pct"/>
            <w:shd w:val="clear" w:color="auto" w:fill="auto"/>
            <w:vAlign w:val="center"/>
          </w:tcPr>
          <w:p w:rsidR="0072310B" w:rsidRDefault="00783925">
            <w:pPr>
              <w:pStyle w:val="Tabletext"/>
              <w:jc w:val="center"/>
              <w:rPr>
                <w:bCs/>
                <w:color w:val="000000"/>
              </w:rPr>
            </w:pPr>
            <w:r>
              <w:rPr>
                <w:rFonts w:cs="Arial"/>
                <w:color w:val="000000"/>
                <w:szCs w:val="20"/>
              </w:rPr>
              <w:t>$</w:t>
            </w:r>
            <w:r w:rsidR="00D95519">
              <w:rPr>
                <w:rFonts w:cs="Arial"/>
                <w:noProof/>
                <w:color w:val="000000"/>
                <w:szCs w:val="20"/>
                <w:highlight w:val="black"/>
              </w:rPr>
              <w:t>'''''''''''''''''''''''''</w:t>
            </w:r>
          </w:p>
        </w:tc>
        <w:tc>
          <w:tcPr>
            <w:tcW w:w="648" w:type="pct"/>
            <w:shd w:val="clear" w:color="auto" w:fill="auto"/>
            <w:vAlign w:val="center"/>
          </w:tcPr>
          <w:p w:rsidR="0072310B" w:rsidRDefault="00783925">
            <w:pPr>
              <w:pStyle w:val="Tabletext"/>
              <w:jc w:val="center"/>
              <w:rPr>
                <w:bCs/>
                <w:color w:val="000000"/>
              </w:rPr>
            </w:pPr>
            <w:r>
              <w:rPr>
                <w:rFonts w:cs="Arial"/>
                <w:color w:val="000000"/>
                <w:szCs w:val="20"/>
              </w:rPr>
              <w:t>$</w:t>
            </w:r>
            <w:r w:rsidR="00D95519">
              <w:rPr>
                <w:rFonts w:cs="Arial"/>
                <w:noProof/>
                <w:color w:val="000000"/>
                <w:szCs w:val="20"/>
                <w:highlight w:val="black"/>
              </w:rPr>
              <w:t>''''''''''''''''''''''''</w:t>
            </w:r>
          </w:p>
        </w:tc>
        <w:tc>
          <w:tcPr>
            <w:tcW w:w="623" w:type="pct"/>
            <w:shd w:val="clear" w:color="auto" w:fill="auto"/>
            <w:vAlign w:val="center"/>
          </w:tcPr>
          <w:p w:rsidR="0072310B" w:rsidRDefault="00783925">
            <w:pPr>
              <w:pStyle w:val="Tabletext"/>
              <w:jc w:val="center"/>
              <w:rPr>
                <w:bCs/>
                <w:color w:val="000000"/>
              </w:rPr>
            </w:pPr>
            <w:r>
              <w:rPr>
                <w:rFonts w:cs="Arial"/>
                <w:color w:val="000000"/>
                <w:szCs w:val="20"/>
              </w:rPr>
              <w:t>$</w:t>
            </w:r>
            <w:r w:rsidR="00D95519">
              <w:rPr>
                <w:rFonts w:cs="Arial"/>
                <w:noProof/>
                <w:color w:val="000000"/>
                <w:szCs w:val="20"/>
                <w:highlight w:val="black"/>
              </w:rPr>
              <w:t>''''''''''''''''''''''''''</w:t>
            </w:r>
          </w:p>
        </w:tc>
        <w:tc>
          <w:tcPr>
            <w:tcW w:w="639" w:type="pct"/>
            <w:shd w:val="clear" w:color="auto" w:fill="auto"/>
            <w:vAlign w:val="center"/>
          </w:tcPr>
          <w:p w:rsidR="0072310B" w:rsidRDefault="00783925">
            <w:pPr>
              <w:pStyle w:val="Tabletext"/>
              <w:jc w:val="center"/>
              <w:rPr>
                <w:bCs/>
                <w:color w:val="000000"/>
              </w:rPr>
            </w:pPr>
            <w:r>
              <w:rPr>
                <w:rFonts w:cs="Arial"/>
                <w:color w:val="000000"/>
                <w:szCs w:val="20"/>
              </w:rPr>
              <w:t>$</w:t>
            </w:r>
            <w:r w:rsidR="00D95519">
              <w:rPr>
                <w:rFonts w:cs="Arial"/>
                <w:noProof/>
                <w:color w:val="000000"/>
                <w:szCs w:val="20"/>
                <w:highlight w:val="black"/>
              </w:rPr>
              <w:t>''''''''''''''''''''''''''''</w:t>
            </w:r>
          </w:p>
        </w:tc>
        <w:tc>
          <w:tcPr>
            <w:tcW w:w="609" w:type="pct"/>
            <w:vAlign w:val="center"/>
          </w:tcPr>
          <w:p w:rsidR="0072310B" w:rsidRDefault="00783925">
            <w:pPr>
              <w:pStyle w:val="Tabletext"/>
              <w:jc w:val="center"/>
              <w:rPr>
                <w:bCs/>
                <w:color w:val="000000"/>
              </w:rPr>
            </w:pPr>
            <w:r>
              <w:rPr>
                <w:rFonts w:cs="Arial"/>
                <w:color w:val="000000"/>
                <w:szCs w:val="20"/>
              </w:rPr>
              <w:t>$</w:t>
            </w:r>
            <w:r w:rsidR="00D95519">
              <w:rPr>
                <w:rFonts w:cs="Arial"/>
                <w:noProof/>
                <w:color w:val="000000"/>
                <w:szCs w:val="20"/>
                <w:highlight w:val="black"/>
              </w:rPr>
              <w:t>''''''''''''''''''''''''''</w:t>
            </w:r>
          </w:p>
        </w:tc>
      </w:tr>
      <w:tr w:rsidR="0072310B">
        <w:trPr>
          <w:jc w:val="center"/>
        </w:trPr>
        <w:tc>
          <w:tcPr>
            <w:tcW w:w="1248" w:type="pct"/>
            <w:shd w:val="clear" w:color="auto" w:fill="auto"/>
            <w:vAlign w:val="center"/>
          </w:tcPr>
          <w:p w:rsidR="0072310B" w:rsidRDefault="00783925">
            <w:pPr>
              <w:pStyle w:val="Tabletext"/>
              <w:tabs>
                <w:tab w:val="left" w:pos="106"/>
              </w:tabs>
              <w:rPr>
                <w:szCs w:val="20"/>
              </w:rPr>
            </w:pPr>
            <w:r>
              <w:rPr>
                <w:szCs w:val="20"/>
              </w:rPr>
              <w:t>Cost offsets for substituted Botox</w:t>
            </w:r>
          </w:p>
        </w:tc>
        <w:tc>
          <w:tcPr>
            <w:tcW w:w="632" w:type="pct"/>
            <w:shd w:val="clear" w:color="auto" w:fill="auto"/>
            <w:vAlign w:val="center"/>
          </w:tcPr>
          <w:p w:rsidR="0072310B" w:rsidRDefault="00783925">
            <w:pPr>
              <w:pStyle w:val="Tabletext"/>
              <w:jc w:val="center"/>
              <w:rPr>
                <w:rFonts w:cs="Arial"/>
              </w:rPr>
            </w:pPr>
            <w:r>
              <w:rPr>
                <w:rFonts w:cs="Arial"/>
                <w:szCs w:val="20"/>
              </w:rPr>
              <w:t>-$</w:t>
            </w:r>
            <w:r w:rsidR="00D95519">
              <w:rPr>
                <w:rFonts w:cs="Arial"/>
                <w:noProof/>
                <w:color w:val="000000"/>
                <w:szCs w:val="20"/>
                <w:highlight w:val="black"/>
              </w:rPr>
              <w:t>''''''''''''''''''''''''''</w:t>
            </w:r>
          </w:p>
        </w:tc>
        <w:tc>
          <w:tcPr>
            <w:tcW w:w="601" w:type="pct"/>
            <w:shd w:val="clear" w:color="auto" w:fill="auto"/>
            <w:vAlign w:val="center"/>
          </w:tcPr>
          <w:p w:rsidR="0072310B" w:rsidRDefault="00783925">
            <w:pPr>
              <w:pStyle w:val="Tabletext"/>
              <w:jc w:val="center"/>
              <w:rPr>
                <w:rFonts w:cs="Arial"/>
              </w:rPr>
            </w:pPr>
            <w:r>
              <w:rPr>
                <w:rFonts w:cs="Arial"/>
                <w:szCs w:val="20"/>
              </w:rPr>
              <w:t>-$</w:t>
            </w:r>
            <w:r w:rsidR="00D95519">
              <w:rPr>
                <w:rFonts w:cs="Arial"/>
                <w:noProof/>
                <w:color w:val="000000"/>
                <w:szCs w:val="20"/>
                <w:highlight w:val="black"/>
              </w:rPr>
              <w:t>''''''''''''''''''''''''''</w:t>
            </w:r>
          </w:p>
        </w:tc>
        <w:tc>
          <w:tcPr>
            <w:tcW w:w="648" w:type="pct"/>
            <w:shd w:val="clear" w:color="auto" w:fill="auto"/>
            <w:vAlign w:val="center"/>
          </w:tcPr>
          <w:p w:rsidR="0072310B" w:rsidRDefault="00783925">
            <w:pPr>
              <w:pStyle w:val="Tabletext"/>
              <w:jc w:val="center"/>
              <w:rPr>
                <w:rFonts w:cs="Arial"/>
              </w:rPr>
            </w:pPr>
            <w:r>
              <w:rPr>
                <w:rFonts w:cs="Arial"/>
                <w:szCs w:val="20"/>
              </w:rPr>
              <w:t>-$</w:t>
            </w:r>
            <w:r w:rsidR="00D95519">
              <w:rPr>
                <w:rFonts w:cs="Arial"/>
                <w:noProof/>
                <w:color w:val="000000"/>
                <w:szCs w:val="20"/>
                <w:highlight w:val="black"/>
              </w:rPr>
              <w:t>'''''''''''''''''''''''''''''</w:t>
            </w:r>
          </w:p>
        </w:tc>
        <w:tc>
          <w:tcPr>
            <w:tcW w:w="623" w:type="pct"/>
            <w:shd w:val="clear" w:color="auto" w:fill="auto"/>
            <w:vAlign w:val="center"/>
          </w:tcPr>
          <w:p w:rsidR="0072310B" w:rsidRDefault="00783925">
            <w:pPr>
              <w:pStyle w:val="Tabletext"/>
              <w:jc w:val="center"/>
              <w:rPr>
                <w:rFonts w:cs="Arial"/>
              </w:rPr>
            </w:pPr>
            <w:r>
              <w:rPr>
                <w:rFonts w:cs="Arial"/>
                <w:szCs w:val="20"/>
              </w:rPr>
              <w:t>-$</w:t>
            </w:r>
            <w:r w:rsidR="00D95519">
              <w:rPr>
                <w:rFonts w:cs="Arial"/>
                <w:noProof/>
                <w:color w:val="000000"/>
                <w:szCs w:val="20"/>
                <w:highlight w:val="black"/>
              </w:rPr>
              <w:t>''''''''''''''''''''''''''</w:t>
            </w:r>
          </w:p>
        </w:tc>
        <w:tc>
          <w:tcPr>
            <w:tcW w:w="639" w:type="pct"/>
            <w:shd w:val="clear" w:color="auto" w:fill="auto"/>
            <w:vAlign w:val="center"/>
          </w:tcPr>
          <w:p w:rsidR="0072310B" w:rsidRDefault="00783925">
            <w:pPr>
              <w:pStyle w:val="Tabletext"/>
              <w:jc w:val="center"/>
              <w:rPr>
                <w:rFonts w:cs="Arial"/>
              </w:rPr>
            </w:pPr>
            <w:r>
              <w:rPr>
                <w:rFonts w:cs="Arial"/>
                <w:szCs w:val="20"/>
              </w:rPr>
              <w:t>-$</w:t>
            </w:r>
            <w:r w:rsidR="00D95519">
              <w:rPr>
                <w:rFonts w:cs="Arial"/>
                <w:noProof/>
                <w:color w:val="000000"/>
                <w:szCs w:val="20"/>
                <w:highlight w:val="black"/>
              </w:rPr>
              <w:t>''''''''''''''''''''''''</w:t>
            </w:r>
          </w:p>
        </w:tc>
        <w:tc>
          <w:tcPr>
            <w:tcW w:w="609" w:type="pct"/>
            <w:vAlign w:val="center"/>
          </w:tcPr>
          <w:p w:rsidR="0072310B" w:rsidRDefault="00783925">
            <w:pPr>
              <w:pStyle w:val="Tabletext"/>
              <w:jc w:val="center"/>
              <w:rPr>
                <w:rFonts w:cs="Arial"/>
              </w:rPr>
            </w:pPr>
            <w:r>
              <w:rPr>
                <w:rFonts w:cs="Arial"/>
                <w:szCs w:val="20"/>
              </w:rPr>
              <w:t>-$</w:t>
            </w:r>
            <w:r w:rsidR="00D95519">
              <w:rPr>
                <w:rFonts w:cs="Arial"/>
                <w:noProof/>
                <w:color w:val="000000"/>
                <w:szCs w:val="20"/>
                <w:highlight w:val="black"/>
              </w:rPr>
              <w:t>''''''''''''''''''''''''''</w:t>
            </w:r>
          </w:p>
        </w:tc>
      </w:tr>
      <w:tr w:rsidR="0072310B">
        <w:trPr>
          <w:jc w:val="center"/>
        </w:trPr>
        <w:tc>
          <w:tcPr>
            <w:tcW w:w="5000" w:type="pct"/>
            <w:gridSpan w:val="7"/>
            <w:shd w:val="clear" w:color="auto" w:fill="auto"/>
            <w:vAlign w:val="center"/>
          </w:tcPr>
          <w:p w:rsidR="0072310B" w:rsidRDefault="00783925">
            <w:pPr>
              <w:pStyle w:val="Tabletext"/>
              <w:tabs>
                <w:tab w:val="left" w:pos="106"/>
              </w:tabs>
              <w:rPr>
                <w:b/>
                <w:bCs/>
                <w:color w:val="000000"/>
              </w:rPr>
            </w:pPr>
            <w:r>
              <w:rPr>
                <w:b/>
                <w:bCs/>
                <w:color w:val="000000"/>
              </w:rPr>
              <w:t>Net financial implications</w:t>
            </w:r>
            <w:r>
              <w:rPr>
                <w:b/>
                <w:bCs/>
                <w:color w:val="4BACC6" w:themeColor="accent5"/>
              </w:rPr>
              <w:t xml:space="preserve"> </w:t>
            </w:r>
          </w:p>
        </w:tc>
      </w:tr>
      <w:tr w:rsidR="0072310B">
        <w:trPr>
          <w:jc w:val="center"/>
        </w:trPr>
        <w:tc>
          <w:tcPr>
            <w:tcW w:w="1248" w:type="pct"/>
            <w:shd w:val="clear" w:color="auto" w:fill="auto"/>
            <w:vAlign w:val="center"/>
          </w:tcPr>
          <w:p w:rsidR="0072310B" w:rsidRDefault="00783925">
            <w:pPr>
              <w:pStyle w:val="Tabletext"/>
              <w:tabs>
                <w:tab w:val="left" w:pos="106"/>
              </w:tabs>
              <w:rPr>
                <w:szCs w:val="20"/>
              </w:rPr>
            </w:pPr>
            <w:r>
              <w:rPr>
                <w:szCs w:val="20"/>
              </w:rPr>
              <w:t>Net cost to PBS/RPBS</w:t>
            </w:r>
          </w:p>
        </w:tc>
        <w:tc>
          <w:tcPr>
            <w:tcW w:w="632" w:type="pct"/>
            <w:shd w:val="clear" w:color="auto" w:fill="auto"/>
            <w:vAlign w:val="center"/>
          </w:tcPr>
          <w:p w:rsidR="0072310B" w:rsidRDefault="00783925">
            <w:pPr>
              <w:pStyle w:val="Tabletext"/>
              <w:jc w:val="center"/>
              <w:rPr>
                <w:bCs/>
                <w:color w:val="000000"/>
              </w:rPr>
            </w:pPr>
            <w:r>
              <w:rPr>
                <w:szCs w:val="20"/>
              </w:rPr>
              <w:t>$</w:t>
            </w:r>
            <w:r w:rsidR="00D95519">
              <w:rPr>
                <w:noProof/>
                <w:color w:val="000000"/>
                <w:szCs w:val="20"/>
                <w:highlight w:val="black"/>
              </w:rPr>
              <w:t>'''''''''''''''''''''''</w:t>
            </w:r>
          </w:p>
        </w:tc>
        <w:tc>
          <w:tcPr>
            <w:tcW w:w="601" w:type="pct"/>
            <w:shd w:val="clear" w:color="auto" w:fill="auto"/>
            <w:vAlign w:val="center"/>
          </w:tcPr>
          <w:p w:rsidR="0072310B" w:rsidRDefault="00783925">
            <w:pPr>
              <w:pStyle w:val="Tabletext"/>
              <w:jc w:val="center"/>
              <w:rPr>
                <w:bCs/>
                <w:color w:val="000000"/>
              </w:rPr>
            </w:pPr>
            <w:r>
              <w:rPr>
                <w:szCs w:val="20"/>
              </w:rPr>
              <w:t>$</w:t>
            </w:r>
            <w:r w:rsidR="00D95519">
              <w:rPr>
                <w:noProof/>
                <w:color w:val="000000"/>
                <w:szCs w:val="20"/>
                <w:highlight w:val="black"/>
              </w:rPr>
              <w:t>'''''''''''''''''''''''</w:t>
            </w:r>
          </w:p>
        </w:tc>
        <w:tc>
          <w:tcPr>
            <w:tcW w:w="648" w:type="pct"/>
            <w:shd w:val="clear" w:color="auto" w:fill="auto"/>
            <w:vAlign w:val="center"/>
          </w:tcPr>
          <w:p w:rsidR="0072310B" w:rsidRDefault="00783925">
            <w:pPr>
              <w:pStyle w:val="Tabletext"/>
              <w:jc w:val="center"/>
              <w:rPr>
                <w:bCs/>
                <w:color w:val="000000"/>
              </w:rPr>
            </w:pPr>
            <w:r>
              <w:rPr>
                <w:szCs w:val="20"/>
              </w:rPr>
              <w:t>$</w:t>
            </w:r>
            <w:r w:rsidR="00D95519">
              <w:rPr>
                <w:noProof/>
                <w:color w:val="000000"/>
                <w:szCs w:val="20"/>
                <w:highlight w:val="black"/>
              </w:rPr>
              <w:t>''''''''''''''''''''''''</w:t>
            </w:r>
          </w:p>
        </w:tc>
        <w:tc>
          <w:tcPr>
            <w:tcW w:w="623" w:type="pct"/>
            <w:shd w:val="clear" w:color="auto" w:fill="auto"/>
            <w:vAlign w:val="center"/>
          </w:tcPr>
          <w:p w:rsidR="0072310B" w:rsidRDefault="00783925">
            <w:pPr>
              <w:pStyle w:val="Tabletext"/>
              <w:jc w:val="center"/>
              <w:rPr>
                <w:bCs/>
                <w:color w:val="000000"/>
              </w:rPr>
            </w:pPr>
            <w:r>
              <w:rPr>
                <w:szCs w:val="20"/>
              </w:rPr>
              <w:t>$</w:t>
            </w:r>
            <w:r w:rsidR="00D95519">
              <w:rPr>
                <w:noProof/>
                <w:color w:val="000000"/>
                <w:szCs w:val="20"/>
                <w:highlight w:val="black"/>
              </w:rPr>
              <w:t>'''''''''''''''''''''''''''</w:t>
            </w:r>
          </w:p>
        </w:tc>
        <w:tc>
          <w:tcPr>
            <w:tcW w:w="639" w:type="pct"/>
            <w:shd w:val="clear" w:color="auto" w:fill="auto"/>
            <w:vAlign w:val="center"/>
          </w:tcPr>
          <w:p w:rsidR="0072310B" w:rsidRDefault="00783925">
            <w:pPr>
              <w:pStyle w:val="Tabletext"/>
              <w:jc w:val="center"/>
              <w:rPr>
                <w:bCs/>
                <w:color w:val="000000"/>
              </w:rPr>
            </w:pPr>
            <w:r>
              <w:rPr>
                <w:szCs w:val="20"/>
              </w:rPr>
              <w:t>$</w:t>
            </w:r>
            <w:r w:rsidR="00D95519">
              <w:rPr>
                <w:noProof/>
                <w:color w:val="000000"/>
                <w:szCs w:val="20"/>
                <w:highlight w:val="black"/>
              </w:rPr>
              <w:t>''''''''''''''''''''''''''''</w:t>
            </w:r>
          </w:p>
        </w:tc>
        <w:tc>
          <w:tcPr>
            <w:tcW w:w="609" w:type="pct"/>
            <w:vAlign w:val="center"/>
          </w:tcPr>
          <w:p w:rsidR="0072310B" w:rsidRDefault="00783925">
            <w:pPr>
              <w:pStyle w:val="Tabletext"/>
              <w:jc w:val="center"/>
              <w:rPr>
                <w:bCs/>
                <w:color w:val="000000"/>
              </w:rPr>
            </w:pPr>
            <w:r>
              <w:rPr>
                <w:szCs w:val="20"/>
              </w:rPr>
              <w:t>$</w:t>
            </w:r>
            <w:r w:rsidR="00D95519">
              <w:rPr>
                <w:noProof/>
                <w:color w:val="000000"/>
                <w:szCs w:val="20"/>
                <w:highlight w:val="black"/>
              </w:rPr>
              <w:t>''''''''''''''''''''''''</w:t>
            </w:r>
          </w:p>
        </w:tc>
      </w:tr>
      <w:tr w:rsidR="0072310B">
        <w:trPr>
          <w:jc w:val="center"/>
        </w:trPr>
        <w:tc>
          <w:tcPr>
            <w:tcW w:w="1248" w:type="pct"/>
            <w:shd w:val="clear" w:color="auto" w:fill="auto"/>
            <w:vAlign w:val="center"/>
          </w:tcPr>
          <w:p w:rsidR="0072310B" w:rsidRDefault="00783925">
            <w:pPr>
              <w:pStyle w:val="Tabletext"/>
              <w:tabs>
                <w:tab w:val="left" w:pos="106"/>
              </w:tabs>
              <w:rPr>
                <w:rFonts w:ascii="Times" w:hAnsi="Times"/>
                <w:szCs w:val="20"/>
              </w:rPr>
            </w:pPr>
            <w:r>
              <w:rPr>
                <w:szCs w:val="20"/>
              </w:rPr>
              <w:t>Net cost to MBS</w:t>
            </w:r>
          </w:p>
        </w:tc>
        <w:tc>
          <w:tcPr>
            <w:tcW w:w="632" w:type="pct"/>
            <w:shd w:val="clear" w:color="auto" w:fill="auto"/>
            <w:vAlign w:val="center"/>
          </w:tcPr>
          <w:p w:rsidR="0072310B" w:rsidRDefault="00783925">
            <w:pPr>
              <w:pStyle w:val="Tabletext"/>
              <w:jc w:val="center"/>
              <w:rPr>
                <w:bCs/>
                <w:color w:val="000000"/>
              </w:rPr>
            </w:pPr>
            <w:r>
              <w:t>-$</w:t>
            </w:r>
            <w:r w:rsidR="00D95519">
              <w:rPr>
                <w:noProof/>
                <w:color w:val="000000"/>
                <w:highlight w:val="black"/>
              </w:rPr>
              <w:t>''''''''''''''''''''''</w:t>
            </w:r>
          </w:p>
        </w:tc>
        <w:tc>
          <w:tcPr>
            <w:tcW w:w="601" w:type="pct"/>
            <w:shd w:val="clear" w:color="auto" w:fill="auto"/>
            <w:vAlign w:val="center"/>
          </w:tcPr>
          <w:p w:rsidR="0072310B" w:rsidRDefault="00783925">
            <w:pPr>
              <w:pStyle w:val="Tabletext"/>
              <w:jc w:val="center"/>
              <w:rPr>
                <w:bCs/>
                <w:color w:val="000000"/>
              </w:rPr>
            </w:pPr>
            <w:r>
              <w:t>-$</w:t>
            </w:r>
            <w:r w:rsidR="00D95519">
              <w:rPr>
                <w:noProof/>
                <w:color w:val="000000"/>
                <w:highlight w:val="black"/>
              </w:rPr>
              <w:t>''''''''''''''''''''''''</w:t>
            </w:r>
          </w:p>
        </w:tc>
        <w:tc>
          <w:tcPr>
            <w:tcW w:w="648" w:type="pct"/>
            <w:shd w:val="clear" w:color="auto" w:fill="auto"/>
            <w:vAlign w:val="center"/>
          </w:tcPr>
          <w:p w:rsidR="0072310B" w:rsidRDefault="00783925">
            <w:pPr>
              <w:pStyle w:val="Tabletext"/>
              <w:jc w:val="center"/>
              <w:rPr>
                <w:bCs/>
                <w:color w:val="000000"/>
              </w:rPr>
            </w:pPr>
            <w:r>
              <w:t>-$</w:t>
            </w:r>
            <w:r w:rsidR="00D95519">
              <w:rPr>
                <w:noProof/>
                <w:color w:val="000000"/>
                <w:highlight w:val="black"/>
              </w:rPr>
              <w:t>''''''''''''''''''''''''''</w:t>
            </w:r>
          </w:p>
        </w:tc>
        <w:tc>
          <w:tcPr>
            <w:tcW w:w="623" w:type="pct"/>
            <w:shd w:val="clear" w:color="auto" w:fill="auto"/>
            <w:vAlign w:val="center"/>
          </w:tcPr>
          <w:p w:rsidR="0072310B" w:rsidRDefault="00783925">
            <w:pPr>
              <w:pStyle w:val="Tabletext"/>
              <w:jc w:val="center"/>
              <w:rPr>
                <w:bCs/>
                <w:color w:val="000000"/>
              </w:rPr>
            </w:pPr>
            <w:r>
              <w:t>-$</w:t>
            </w:r>
            <w:r w:rsidR="00D95519">
              <w:rPr>
                <w:noProof/>
                <w:color w:val="000000"/>
                <w:highlight w:val="black"/>
              </w:rPr>
              <w:t>'''''''''''''''''''''''''</w:t>
            </w:r>
          </w:p>
        </w:tc>
        <w:tc>
          <w:tcPr>
            <w:tcW w:w="639" w:type="pct"/>
            <w:shd w:val="clear" w:color="auto" w:fill="auto"/>
            <w:vAlign w:val="center"/>
          </w:tcPr>
          <w:p w:rsidR="0072310B" w:rsidRDefault="00783925">
            <w:pPr>
              <w:pStyle w:val="Tabletext"/>
              <w:jc w:val="center"/>
              <w:rPr>
                <w:bCs/>
                <w:color w:val="000000"/>
              </w:rPr>
            </w:pPr>
            <w:r>
              <w:t>-$</w:t>
            </w:r>
            <w:r w:rsidR="00D95519">
              <w:rPr>
                <w:noProof/>
                <w:color w:val="000000"/>
                <w:highlight w:val="black"/>
              </w:rPr>
              <w:t>''''''''''''''''''''''''</w:t>
            </w:r>
          </w:p>
        </w:tc>
        <w:tc>
          <w:tcPr>
            <w:tcW w:w="609" w:type="pct"/>
            <w:vAlign w:val="center"/>
          </w:tcPr>
          <w:p w:rsidR="0072310B" w:rsidRDefault="00783925">
            <w:pPr>
              <w:pStyle w:val="Tabletext"/>
              <w:jc w:val="center"/>
              <w:rPr>
                <w:bCs/>
                <w:color w:val="000000"/>
              </w:rPr>
            </w:pPr>
            <w:r>
              <w:t>-$</w:t>
            </w:r>
            <w:r w:rsidR="00D95519">
              <w:rPr>
                <w:noProof/>
                <w:color w:val="000000"/>
                <w:highlight w:val="black"/>
              </w:rPr>
              <w:t>'''''''''''''''''''''''''</w:t>
            </w:r>
          </w:p>
        </w:tc>
      </w:tr>
      <w:tr w:rsidR="0072310B">
        <w:trPr>
          <w:jc w:val="center"/>
        </w:trPr>
        <w:tc>
          <w:tcPr>
            <w:tcW w:w="1248" w:type="pct"/>
            <w:shd w:val="clear" w:color="auto" w:fill="auto"/>
            <w:vAlign w:val="center"/>
          </w:tcPr>
          <w:p w:rsidR="0072310B" w:rsidRDefault="00783925">
            <w:pPr>
              <w:pStyle w:val="Tabletext"/>
              <w:tabs>
                <w:tab w:val="left" w:pos="106"/>
              </w:tabs>
              <w:rPr>
                <w:szCs w:val="20"/>
              </w:rPr>
            </w:pPr>
            <w:r>
              <w:rPr>
                <w:b/>
              </w:rPr>
              <w:t>Overall net cost to Government</w:t>
            </w:r>
          </w:p>
        </w:tc>
        <w:tc>
          <w:tcPr>
            <w:tcW w:w="632" w:type="pct"/>
            <w:shd w:val="clear" w:color="auto" w:fill="auto"/>
            <w:vAlign w:val="center"/>
          </w:tcPr>
          <w:p w:rsidR="0072310B" w:rsidRDefault="00783925">
            <w:pPr>
              <w:pStyle w:val="Tabletext"/>
              <w:jc w:val="center"/>
              <w:rPr>
                <w:bCs/>
                <w:color w:val="000000"/>
              </w:rPr>
            </w:pPr>
            <w:r>
              <w:rPr>
                <w:b/>
              </w:rPr>
              <w:t>$</w:t>
            </w:r>
            <w:r w:rsidR="00D95519">
              <w:rPr>
                <w:b/>
                <w:noProof/>
                <w:color w:val="000000"/>
                <w:highlight w:val="black"/>
              </w:rPr>
              <w:t>''''''''''''''''''</w:t>
            </w:r>
          </w:p>
        </w:tc>
        <w:tc>
          <w:tcPr>
            <w:tcW w:w="601" w:type="pct"/>
            <w:shd w:val="clear" w:color="auto" w:fill="auto"/>
            <w:vAlign w:val="center"/>
          </w:tcPr>
          <w:p w:rsidR="0072310B" w:rsidRDefault="00783925">
            <w:pPr>
              <w:pStyle w:val="Tabletext"/>
              <w:jc w:val="center"/>
              <w:rPr>
                <w:bCs/>
                <w:color w:val="000000"/>
              </w:rPr>
            </w:pPr>
            <w:r>
              <w:rPr>
                <w:b/>
              </w:rPr>
              <w:t>$</w:t>
            </w:r>
            <w:r w:rsidR="00D95519">
              <w:rPr>
                <w:b/>
                <w:noProof/>
                <w:color w:val="000000"/>
                <w:highlight w:val="black"/>
              </w:rPr>
              <w:t>'''''''''''''''''''''</w:t>
            </w:r>
          </w:p>
        </w:tc>
        <w:tc>
          <w:tcPr>
            <w:tcW w:w="648" w:type="pct"/>
            <w:shd w:val="clear" w:color="auto" w:fill="auto"/>
            <w:vAlign w:val="center"/>
          </w:tcPr>
          <w:p w:rsidR="0072310B" w:rsidRDefault="00783925">
            <w:pPr>
              <w:pStyle w:val="Tabletext"/>
              <w:jc w:val="center"/>
              <w:rPr>
                <w:bCs/>
                <w:color w:val="000000"/>
              </w:rPr>
            </w:pPr>
            <w:r>
              <w:rPr>
                <w:b/>
              </w:rPr>
              <w:t>$</w:t>
            </w:r>
            <w:r w:rsidR="00D95519">
              <w:rPr>
                <w:b/>
                <w:noProof/>
                <w:color w:val="000000"/>
                <w:highlight w:val="black"/>
              </w:rPr>
              <w:t>''''''''''''''''''''</w:t>
            </w:r>
          </w:p>
        </w:tc>
        <w:tc>
          <w:tcPr>
            <w:tcW w:w="623" w:type="pct"/>
            <w:shd w:val="clear" w:color="auto" w:fill="auto"/>
            <w:vAlign w:val="center"/>
          </w:tcPr>
          <w:p w:rsidR="0072310B" w:rsidRDefault="00783925">
            <w:pPr>
              <w:pStyle w:val="Tabletext"/>
              <w:jc w:val="center"/>
              <w:rPr>
                <w:bCs/>
                <w:color w:val="000000"/>
              </w:rPr>
            </w:pPr>
            <w:r>
              <w:rPr>
                <w:b/>
              </w:rPr>
              <w:t>$</w:t>
            </w:r>
            <w:r w:rsidR="00D95519">
              <w:rPr>
                <w:b/>
                <w:noProof/>
                <w:color w:val="000000"/>
                <w:highlight w:val="black"/>
              </w:rPr>
              <w:t>'''''''''''''''''''</w:t>
            </w:r>
          </w:p>
        </w:tc>
        <w:tc>
          <w:tcPr>
            <w:tcW w:w="639" w:type="pct"/>
            <w:shd w:val="clear" w:color="auto" w:fill="auto"/>
            <w:vAlign w:val="center"/>
          </w:tcPr>
          <w:p w:rsidR="0072310B" w:rsidRDefault="00783925">
            <w:pPr>
              <w:pStyle w:val="Tabletext"/>
              <w:jc w:val="center"/>
              <w:rPr>
                <w:bCs/>
                <w:color w:val="000000"/>
              </w:rPr>
            </w:pPr>
            <w:r>
              <w:rPr>
                <w:b/>
              </w:rPr>
              <w:t>$</w:t>
            </w:r>
            <w:r w:rsidR="00D95519">
              <w:rPr>
                <w:b/>
                <w:noProof/>
                <w:color w:val="000000"/>
                <w:highlight w:val="black"/>
              </w:rPr>
              <w:t>'''''''''''''''''''''''</w:t>
            </w:r>
          </w:p>
        </w:tc>
        <w:tc>
          <w:tcPr>
            <w:tcW w:w="609" w:type="pct"/>
            <w:vAlign w:val="center"/>
          </w:tcPr>
          <w:p w:rsidR="0072310B" w:rsidRDefault="00783925">
            <w:pPr>
              <w:pStyle w:val="Tabletext"/>
              <w:jc w:val="center"/>
              <w:rPr>
                <w:bCs/>
                <w:color w:val="000000"/>
              </w:rPr>
            </w:pPr>
            <w:r>
              <w:rPr>
                <w:b/>
              </w:rPr>
              <w:t>$</w:t>
            </w:r>
            <w:r w:rsidR="00D95519">
              <w:rPr>
                <w:b/>
                <w:noProof/>
                <w:color w:val="000000"/>
                <w:highlight w:val="black"/>
              </w:rPr>
              <w:t>''''''''''''''''''''</w:t>
            </w:r>
          </w:p>
        </w:tc>
      </w:tr>
    </w:tbl>
    <w:p w:rsidR="0072310B" w:rsidRDefault="00783925">
      <w:pPr>
        <w:pStyle w:val="TableFooter"/>
        <w:tabs>
          <w:tab w:val="left" w:pos="142"/>
        </w:tabs>
        <w:ind w:left="142" w:hanging="142"/>
      </w:pPr>
      <w:r>
        <w:rPr>
          <w:vertAlign w:val="superscript"/>
        </w:rPr>
        <w:t>a</w:t>
      </w:r>
      <w:r>
        <w:t xml:space="preserve"> The number of patients for the market share approach is calculated by dividing the volume of Botox scripts displaced by galcanezumab by the mean services per patient per year as estimated in the 2017 DUSC report (3.23) </w:t>
      </w:r>
    </w:p>
    <w:p w:rsidR="0072310B" w:rsidRDefault="00783925">
      <w:pPr>
        <w:pStyle w:val="TableFooter"/>
        <w:tabs>
          <w:tab w:val="left" w:pos="142"/>
        </w:tabs>
        <w:ind w:left="142" w:hanging="142"/>
        <w:rPr>
          <w:vertAlign w:val="superscript"/>
        </w:rPr>
      </w:pPr>
      <w:r>
        <w:rPr>
          <w:vertAlign w:val="superscript"/>
        </w:rPr>
        <w:t>b</w:t>
      </w:r>
      <w:r>
        <w:t xml:space="preserve"> Includes initial and continuing patients.</w:t>
      </w:r>
      <w:r w:rsidR="002535F9">
        <w:t xml:space="preserve"> </w:t>
      </w:r>
      <w:r>
        <w:t xml:space="preserve">The submission assumed </w:t>
      </w:r>
      <w:r w:rsidR="00D95519">
        <w:rPr>
          <w:noProof/>
          <w:color w:val="000000"/>
          <w:highlight w:val="black"/>
        </w:rPr>
        <w:t>''''''''''''</w:t>
      </w:r>
      <w:r>
        <w:t xml:space="preserve">% of patients would have a response at 3 months with </w:t>
      </w:r>
      <w:r w:rsidR="00D95519">
        <w:rPr>
          <w:noProof/>
          <w:color w:val="000000"/>
          <w:highlight w:val="black"/>
        </w:rPr>
        <w:t>'''''''''''</w:t>
      </w:r>
      <w:r>
        <w:t xml:space="preserve">% continuing for the remainder of Year 1 and 80% continuing in subsequent years. </w:t>
      </w:r>
    </w:p>
    <w:p w:rsidR="0072310B" w:rsidRDefault="00783925">
      <w:pPr>
        <w:pStyle w:val="TableFooter"/>
        <w:tabs>
          <w:tab w:val="left" w:pos="142"/>
        </w:tabs>
        <w:ind w:left="142" w:hanging="142"/>
      </w:pPr>
      <w:r>
        <w:rPr>
          <w:vertAlign w:val="superscript"/>
        </w:rPr>
        <w:t xml:space="preserve"> c</w:t>
      </w:r>
      <w:r>
        <w:tab/>
        <w:t xml:space="preserve">Initiating </w:t>
      </w:r>
      <w:r w:rsidR="00D95519">
        <w:rPr>
          <w:noProof/>
          <w:color w:val="000000"/>
          <w:highlight w:val="black"/>
        </w:rPr>
        <w:t xml:space="preserve">''' </w:t>
      </w:r>
      <w:r>
        <w:t xml:space="preserve">scripts to Month 3; remainder of year </w:t>
      </w:r>
      <w:r w:rsidR="00D95519">
        <w:rPr>
          <w:noProof/>
          <w:color w:val="000000"/>
          <w:highlight w:val="black"/>
        </w:rPr>
        <w:t>''''''''''</w:t>
      </w:r>
      <w:r>
        <w:t xml:space="preserve"> scripts; subsequent years </w:t>
      </w:r>
      <w:r w:rsidR="00D95519">
        <w:rPr>
          <w:noProof/>
          <w:color w:val="000000"/>
          <w:highlight w:val="black"/>
        </w:rPr>
        <w:t>''''''''''''</w:t>
      </w:r>
      <w:r>
        <w:t xml:space="preserve"> scripts with average of </w:t>
      </w:r>
      <w:r w:rsidR="00D95519">
        <w:rPr>
          <w:noProof/>
          <w:color w:val="000000"/>
          <w:highlight w:val="black"/>
        </w:rPr>
        <w:t>''''''''''''</w:t>
      </w:r>
      <w:r>
        <w:t xml:space="preserve"> scripts over 6 years for a responding patient.</w:t>
      </w:r>
    </w:p>
    <w:p w:rsidR="0072310B" w:rsidRDefault="00783925">
      <w:pPr>
        <w:pStyle w:val="TableFooter"/>
        <w:tabs>
          <w:tab w:val="left" w:pos="142"/>
        </w:tabs>
        <w:ind w:left="142" w:hanging="142"/>
      </w:pPr>
      <w:r>
        <w:rPr>
          <w:vertAlign w:val="superscript"/>
        </w:rPr>
        <w:t>d</w:t>
      </w:r>
      <w:r>
        <w:tab/>
        <w:t>Corrected to be consistent with the financial estimates Excel workbook.</w:t>
      </w:r>
    </w:p>
    <w:p w:rsidR="0072310B" w:rsidRDefault="00783925">
      <w:pPr>
        <w:pStyle w:val="TableFooter"/>
      </w:pPr>
      <w:r>
        <w:t>Source: Table 4.2.16, p132; Table 4.3.3, p134; Table 4.4.1, p135; Table 4.5.8, p139 of the submission and Excel workbook ‘A6.1_Galcanezumab Section 4 model’.</w:t>
      </w:r>
    </w:p>
    <w:p w:rsidR="0072310B" w:rsidRDefault="0072310B"/>
    <w:p w:rsidR="004C45D0" w:rsidRDefault="004C45D0">
      <w:r w:rsidRPr="00184A79">
        <w:rPr>
          <w:rFonts w:asciiTheme="minorHAnsi" w:hAnsiTheme="minorHAnsi" w:cs="Arial"/>
        </w:rPr>
        <w:t xml:space="preserve">The redacted table shows that at </w:t>
      </w:r>
      <w:r>
        <w:rPr>
          <w:rFonts w:asciiTheme="minorHAnsi" w:hAnsiTheme="minorHAnsi" w:cs="Arial"/>
        </w:rPr>
        <w:t>Y</w:t>
      </w:r>
      <w:r w:rsidRPr="00184A79">
        <w:rPr>
          <w:rFonts w:asciiTheme="minorHAnsi" w:hAnsiTheme="minorHAnsi" w:cs="Arial"/>
        </w:rPr>
        <w:t xml:space="preserve">ear </w:t>
      </w:r>
      <w:r>
        <w:rPr>
          <w:rFonts w:asciiTheme="minorHAnsi" w:hAnsiTheme="minorHAnsi" w:cs="Arial"/>
        </w:rPr>
        <w:t>6</w:t>
      </w:r>
      <w:r w:rsidRPr="00184A79">
        <w:rPr>
          <w:rFonts w:asciiTheme="minorHAnsi" w:hAnsiTheme="minorHAnsi" w:cs="Arial"/>
        </w:rPr>
        <w:t xml:space="preserve">, the estimated number of patients was </w:t>
      </w:r>
      <w:r>
        <w:rPr>
          <w:rFonts w:asciiTheme="minorHAnsi" w:hAnsiTheme="minorHAnsi" w:cs="Arial"/>
        </w:rPr>
        <w:t>10,000 – 50,000</w:t>
      </w:r>
      <w:r w:rsidRPr="00184A79">
        <w:rPr>
          <w:rFonts w:asciiTheme="minorHAnsi" w:hAnsiTheme="minorHAnsi" w:cs="Arial"/>
        </w:rPr>
        <w:t xml:space="preserve"> and the net cost to the PBS would be </w:t>
      </w:r>
      <w:r>
        <w:rPr>
          <w:rFonts w:asciiTheme="minorHAnsi" w:hAnsiTheme="minorHAnsi" w:cs="Arial"/>
        </w:rPr>
        <w:t>$10 - $20 million per year</w:t>
      </w:r>
      <w:r w:rsidRPr="00184A79">
        <w:rPr>
          <w:rFonts w:asciiTheme="minorHAnsi" w:hAnsiTheme="minorHAnsi" w:cs="Arial"/>
        </w:rPr>
        <w:t>.</w:t>
      </w:r>
    </w:p>
    <w:p w:rsidR="004C45D0" w:rsidRDefault="004C45D0"/>
    <w:p w:rsidR="0072310B" w:rsidRDefault="00783925">
      <w:pPr>
        <w:pStyle w:val="ListParagraph"/>
        <w:numPr>
          <w:ilvl w:val="1"/>
          <w:numId w:val="3"/>
        </w:numPr>
        <w:spacing w:after="120"/>
      </w:pPr>
      <w:r>
        <w:lastRenderedPageBreak/>
        <w:t xml:space="preserve">The submission assumed </w:t>
      </w:r>
      <w:r w:rsidR="00D95519">
        <w:rPr>
          <w:noProof/>
          <w:color w:val="000000"/>
          <w:highlight w:val="black"/>
        </w:rPr>
        <w:t>''''''</w:t>
      </w:r>
      <w:r>
        <w:t xml:space="preserve">% of Botox scripts will be replaced by galcanezumab in Year 1, increasing to </w:t>
      </w:r>
      <w:r w:rsidR="00D95519">
        <w:rPr>
          <w:noProof/>
          <w:color w:val="000000"/>
          <w:highlight w:val="black"/>
        </w:rPr>
        <w:t>'''''</w:t>
      </w:r>
      <w:r>
        <w:t xml:space="preserve">% in Year 6. The submission calculated the number of galcanezumab scripts that will replace these Botox scripts using a script equivalence of </w:t>
      </w:r>
      <w:r w:rsidR="00D95519">
        <w:rPr>
          <w:noProof/>
          <w:color w:val="000000"/>
          <w:highlight w:val="black"/>
        </w:rPr>
        <w:t>''''''''</w:t>
      </w:r>
      <w:r>
        <w:t xml:space="preserve"> galcanezumab scripts for every </w:t>
      </w:r>
      <w:r w:rsidR="00D95519">
        <w:rPr>
          <w:noProof/>
          <w:color w:val="000000"/>
          <w:highlight w:val="black"/>
        </w:rPr>
        <w:t>'''</w:t>
      </w:r>
      <w:r>
        <w:t xml:space="preserve"> Botox script, assuming each patient used an average of </w:t>
      </w:r>
      <w:r w:rsidR="00D95519">
        <w:rPr>
          <w:noProof/>
          <w:color w:val="000000"/>
          <w:highlight w:val="black"/>
        </w:rPr>
        <w:t>'''''''''''</w:t>
      </w:r>
      <w:r>
        <w:t xml:space="preserve"> galcanezumab scripts per year and </w:t>
      </w:r>
      <w:r w:rsidR="00D95519">
        <w:rPr>
          <w:noProof/>
          <w:color w:val="000000"/>
          <w:highlight w:val="black"/>
        </w:rPr>
        <w:t>''''''''</w:t>
      </w:r>
      <w:r>
        <w:t xml:space="preserve"> Botox scripts per year. The PBAC considered the assumptions regarding script equivalence applied to the financial estimates should be consistent with the CMA (i.e., </w:t>
      </w:r>
      <w:r w:rsidR="00D95519">
        <w:rPr>
          <w:noProof/>
          <w:color w:val="000000"/>
          <w:highlight w:val="black"/>
        </w:rPr>
        <w:t>'''''''''''''''''''</w:t>
      </w:r>
      <w:r>
        <w:t xml:space="preserve"> = </w:t>
      </w:r>
      <w:r w:rsidR="00D95519">
        <w:rPr>
          <w:noProof/>
          <w:color w:val="000000"/>
          <w:highlight w:val="black"/>
        </w:rPr>
        <w:t>'''''''''</w:t>
      </w:r>
      <w:r>
        <w:t xml:space="preserve"> instead of </w:t>
      </w:r>
      <w:r w:rsidR="00D95519">
        <w:rPr>
          <w:noProof/>
          <w:color w:val="000000"/>
          <w:highlight w:val="black"/>
        </w:rPr>
        <w:t>''''''''</w:t>
      </w:r>
      <w:r>
        <w:t>).</w:t>
      </w:r>
    </w:p>
    <w:p w:rsidR="0072310B" w:rsidRDefault="00783925">
      <w:pPr>
        <w:pStyle w:val="ListParagraph"/>
        <w:numPr>
          <w:ilvl w:val="1"/>
          <w:numId w:val="3"/>
        </w:numPr>
        <w:spacing w:after="120"/>
      </w:pPr>
      <w:r>
        <w:t xml:space="preserve">For the epidemiological approach, the submission assumed 64% of Botox-certified neurologists in Year 1 will prescribe galcanezumab for new chronic migraine patients, 83% in Year 2 and 100% in Year 3 to Year 6. Each Botox-certified neurologist will prescribe galcanezumab for </w:t>
      </w:r>
      <w:r w:rsidR="00D95519">
        <w:rPr>
          <w:noProof/>
          <w:color w:val="000000"/>
          <w:highlight w:val="black"/>
        </w:rPr>
        <w:t>'''''</w:t>
      </w:r>
      <w:r>
        <w:t xml:space="preserve"> new chronic migraine patients per year. The submission assumed there would be no prescriptions from non-Botox certified neurologists in Year 1, with the proportion prescribing galcanezumab being </w:t>
      </w:r>
      <w:r w:rsidR="00D95519">
        <w:rPr>
          <w:noProof/>
          <w:color w:val="000000"/>
          <w:highlight w:val="black"/>
        </w:rPr>
        <w:t>'''''</w:t>
      </w:r>
      <w:r>
        <w:t xml:space="preserve">%, </w:t>
      </w:r>
      <w:r w:rsidR="00D95519">
        <w:rPr>
          <w:noProof/>
          <w:color w:val="000000"/>
          <w:highlight w:val="black"/>
        </w:rPr>
        <w:t>'''''</w:t>
      </w:r>
      <w:r>
        <w:t xml:space="preserve">%, </w:t>
      </w:r>
      <w:r w:rsidR="00D95519">
        <w:rPr>
          <w:noProof/>
          <w:color w:val="000000"/>
          <w:highlight w:val="black"/>
        </w:rPr>
        <w:t>'''''</w:t>
      </w:r>
      <w:r>
        <w:t xml:space="preserve">%, </w:t>
      </w:r>
      <w:r w:rsidR="00D95519">
        <w:rPr>
          <w:noProof/>
          <w:color w:val="000000"/>
          <w:highlight w:val="black"/>
        </w:rPr>
        <w:t>'''''</w:t>
      </w:r>
      <w:r>
        <w:t xml:space="preserve">% and </w:t>
      </w:r>
      <w:r w:rsidR="00D95519">
        <w:rPr>
          <w:noProof/>
          <w:color w:val="000000"/>
          <w:highlight w:val="black"/>
        </w:rPr>
        <w:t>'''''</w:t>
      </w:r>
      <w:r>
        <w:t xml:space="preserve">% in years 2 to 6. Each non-Botox certified neurologist would prescribe galcanezumab for </w:t>
      </w:r>
      <w:r w:rsidR="00D95519">
        <w:rPr>
          <w:noProof/>
          <w:color w:val="000000"/>
          <w:highlight w:val="black"/>
        </w:rPr>
        <w:t>'''''</w:t>
      </w:r>
      <w:r>
        <w:t xml:space="preserve"> new chronic migraine patients per year in Year 1 to 3, increasing to </w:t>
      </w:r>
      <w:r w:rsidR="00D95519">
        <w:rPr>
          <w:noProof/>
          <w:color w:val="000000"/>
          <w:highlight w:val="black"/>
        </w:rPr>
        <w:t>'''''</w:t>
      </w:r>
      <w:r>
        <w:t xml:space="preserve"> in Year 4 to 6. Of the total number of new patients being treated with galcanezumab each year, a majority (</w:t>
      </w:r>
      <w:r w:rsidR="00D95519">
        <w:rPr>
          <w:noProof/>
          <w:color w:val="000000"/>
          <w:highlight w:val="black"/>
        </w:rPr>
        <w:t>'''''</w:t>
      </w:r>
      <w:r>
        <w:t xml:space="preserve">% to </w:t>
      </w:r>
      <w:r w:rsidR="00D95519">
        <w:rPr>
          <w:noProof/>
          <w:color w:val="000000"/>
          <w:highlight w:val="black"/>
        </w:rPr>
        <w:t>'''''</w:t>
      </w:r>
      <w:r>
        <w:t xml:space="preserve">%) are treated by Botox-certified neurologists. </w:t>
      </w:r>
    </w:p>
    <w:p w:rsidR="0072310B" w:rsidRDefault="00783925">
      <w:pPr>
        <w:pStyle w:val="ListParagraph"/>
        <w:numPr>
          <w:ilvl w:val="1"/>
          <w:numId w:val="3"/>
        </w:numPr>
        <w:spacing w:after="120"/>
      </w:pPr>
      <w:r>
        <w:t xml:space="preserve">For the epidemiological approach, the submission assumed that </w:t>
      </w:r>
      <w:r w:rsidR="00D95519">
        <w:rPr>
          <w:noProof/>
          <w:color w:val="000000"/>
          <w:highlight w:val="black"/>
        </w:rPr>
        <w:t>'''''''''</w:t>
      </w:r>
      <w:r>
        <w:t>% of patients would continue at the 3 month assessment.</w:t>
      </w:r>
      <w:r w:rsidR="002535F9">
        <w:t xml:space="preserve"> </w:t>
      </w:r>
      <w:r>
        <w:t>This was based on a repeated measures model estimate, sourced from the assessed ITT population of REGAIN (N=83</w:t>
      </w:r>
      <w:r w:rsidR="008C2483">
        <w:t>6</w:t>
      </w:r>
      <w:r>
        <w:t>).</w:t>
      </w:r>
      <w:r w:rsidR="002535F9">
        <w:t xml:space="preserve"> </w:t>
      </w:r>
      <w:r>
        <w:t xml:space="preserve">Continuation from Month 3 to the end of Year 1 was assumed to be </w:t>
      </w:r>
      <w:r w:rsidR="00D95519">
        <w:rPr>
          <w:noProof/>
          <w:color w:val="000000"/>
          <w:highlight w:val="black"/>
        </w:rPr>
        <w:t>''''''''</w:t>
      </w:r>
      <w:r>
        <w:t xml:space="preserve">% (annual continuation rate of </w:t>
      </w:r>
      <w:r w:rsidR="00D95519">
        <w:rPr>
          <w:noProof/>
          <w:color w:val="000000"/>
          <w:highlight w:val="black"/>
        </w:rPr>
        <w:t>'''''</w:t>
      </w:r>
      <w:r>
        <w:t xml:space="preserve">% prorated to 9 months), and continuation in subsequent years was assumed to be </w:t>
      </w:r>
      <w:r w:rsidR="00D95519">
        <w:rPr>
          <w:noProof/>
          <w:color w:val="000000"/>
          <w:highlight w:val="black"/>
        </w:rPr>
        <w:t>'''''</w:t>
      </w:r>
      <w:r>
        <w:t>%.</w:t>
      </w:r>
      <w:r w:rsidR="002535F9">
        <w:t xml:space="preserve"> </w:t>
      </w:r>
      <w:r>
        <w:t xml:space="preserve">The </w:t>
      </w:r>
      <w:r w:rsidR="00D95519">
        <w:rPr>
          <w:noProof/>
          <w:color w:val="000000"/>
          <w:highlight w:val="black"/>
        </w:rPr>
        <w:t>''''''</w:t>
      </w:r>
      <w:r>
        <w:t xml:space="preserve">% was sourced from the open-label phase of REGAIN where </w:t>
      </w:r>
      <w:r w:rsidR="00D95519">
        <w:rPr>
          <w:noProof/>
          <w:color w:val="000000"/>
          <w:highlight w:val="black"/>
        </w:rPr>
        <w:t>'''''</w:t>
      </w:r>
      <w:r>
        <w:t>% of responders at month 3 had maintained ≥50% response at month 9.</w:t>
      </w:r>
    </w:p>
    <w:p w:rsidR="0072310B" w:rsidRDefault="00783925">
      <w:pPr>
        <w:pStyle w:val="ListParagraph"/>
        <w:numPr>
          <w:ilvl w:val="1"/>
          <w:numId w:val="3"/>
        </w:numPr>
        <w:spacing w:after="120"/>
      </w:pPr>
      <w:r>
        <w:t>The estimated net cost to Government for the first 6 years of galcanezumab listing was $</w:t>
      </w:r>
      <w:r w:rsidR="008D2951">
        <w:t>30 - $60 million</w:t>
      </w:r>
      <w:r>
        <w:t xml:space="preserve"> (based on the published Botox price).</w:t>
      </w:r>
      <w:r w:rsidR="002535F9">
        <w:t xml:space="preserve"> </w:t>
      </w:r>
      <w:r>
        <w:t>This estimate was sensitive to the proportion of patients sourced from the market share approach (replacing Botox) and new patients sourced from the epidemiological approach.</w:t>
      </w:r>
      <w:r w:rsidR="002535F9">
        <w:t xml:space="preserve"> </w:t>
      </w:r>
    </w:p>
    <w:p w:rsidR="0072310B" w:rsidRDefault="00783925">
      <w:pPr>
        <w:pStyle w:val="ListParagraph"/>
        <w:numPr>
          <w:ilvl w:val="1"/>
          <w:numId w:val="3"/>
        </w:numPr>
        <w:spacing w:after="120"/>
      </w:pPr>
      <w:r>
        <w:t>The ESC noted that a proportion of patients may use Botox and galcanezumab sequentially which has not been accounted for in the financial estimates.</w:t>
      </w:r>
    </w:p>
    <w:p w:rsidR="0072310B" w:rsidRDefault="00783925">
      <w:pPr>
        <w:pStyle w:val="ListParagraph"/>
        <w:numPr>
          <w:ilvl w:val="1"/>
          <w:numId w:val="3"/>
        </w:numPr>
        <w:spacing w:after="0"/>
      </w:pPr>
      <w:r>
        <w:t xml:space="preserve">Given the risk of use in a broader migraine population than requested and continued use in patients who do not meet the specified response criteria together with uncertain financial estimates, the ESC considered that a Risk Sharing Arrangement (RSA) with a </w:t>
      </w:r>
      <w:r w:rsidR="00D95519">
        <w:rPr>
          <w:noProof/>
          <w:color w:val="000000"/>
          <w:highlight w:val="black"/>
        </w:rPr>
        <w:t>''''''''</w:t>
      </w:r>
      <w:r>
        <w:t>% rebate over agreed caps may be required should the PBAC recommend galcanezumab for listing on the PBS. The PBAC considered that a combined galcanezumab and Botox RSA would be appropriate in order to manage the risks identified by the ESC, and that the RSA should be based on the current Botox RSA cap only allowing for the increase of cost where this is due to switching to galcanezumab.</w:t>
      </w:r>
      <w:r w:rsidR="002535F9">
        <w:t xml:space="preserve"> </w:t>
      </w:r>
    </w:p>
    <w:p w:rsidR="00927809" w:rsidRDefault="00927809">
      <w:pPr>
        <w:jc w:val="left"/>
      </w:pPr>
      <w:r>
        <w:br w:type="page"/>
      </w:r>
    </w:p>
    <w:p w:rsidR="0072310B" w:rsidRDefault="00783925">
      <w:pPr>
        <w:pStyle w:val="Heading2"/>
      </w:pPr>
      <w:bookmarkStart w:id="15" w:name="_Toc9435338"/>
      <w:r>
        <w:lastRenderedPageBreak/>
        <w:t>Quality Use of Medicines</w:t>
      </w:r>
      <w:bookmarkEnd w:id="15"/>
    </w:p>
    <w:p w:rsidR="0072310B" w:rsidRDefault="0072310B"/>
    <w:p w:rsidR="0072310B" w:rsidRDefault="00783925">
      <w:pPr>
        <w:pStyle w:val="ListParagraph"/>
        <w:numPr>
          <w:ilvl w:val="1"/>
          <w:numId w:val="3"/>
        </w:numPr>
        <w:spacing w:after="0"/>
      </w:pPr>
      <w:r>
        <w:t>The submission provided a summary of activities proposed to support the quality use of medicines (QUM) with galcanezumab, as well as discussion of risk management activities and pharmacovigilance activities.</w:t>
      </w:r>
    </w:p>
    <w:p w:rsidR="0072310B" w:rsidRDefault="0072310B"/>
    <w:p w:rsidR="0072310B" w:rsidRDefault="00783925">
      <w:pPr>
        <w:pStyle w:val="PBACHeading1"/>
      </w:pPr>
      <w:r>
        <w:t>PBAC Outcome</w:t>
      </w:r>
    </w:p>
    <w:p w:rsidR="0072310B" w:rsidRDefault="0072310B" w:rsidP="00437861"/>
    <w:p w:rsidR="0072310B" w:rsidRDefault="00783925">
      <w:pPr>
        <w:pStyle w:val="ListParagraph"/>
        <w:numPr>
          <w:ilvl w:val="1"/>
          <w:numId w:val="3"/>
        </w:numPr>
        <w:spacing w:after="120"/>
      </w:pPr>
      <w:r>
        <w:t>The PBAC recommended the Authority Required (Streamlined) listing of galcanezumab for the treatment of chronic migraine in patients who have experienced an inadequate response, intolerance or a contraindication to at least three prophylactic migraine medications. The PBAC considered galcanezumab was an alternative treatment to Botox for patients with chronic migraine and provided a similar reduction in migraine headache days.</w:t>
      </w:r>
      <w:r w:rsidR="002535F9">
        <w:t xml:space="preserve"> </w:t>
      </w:r>
      <w:r>
        <w:t>The PBAC considered the cost minimisation analysis should be based on equi-effective doses of 120 mg galcanezumab every 30 days and 164IU of Botox every 12 weeks over 2 years of treatment. Additionally, the PBAC considered it would be appropriate for galcanezumab and Botox to be in the same risk share arrangement to ensure the galcanezumab patient population is restricted to the same high need patient population as for Botox.</w:t>
      </w:r>
      <w:r w:rsidR="002535F9">
        <w:t xml:space="preserve"> </w:t>
      </w:r>
    </w:p>
    <w:p w:rsidR="0072310B" w:rsidRDefault="00783925">
      <w:pPr>
        <w:pStyle w:val="ListParagraph"/>
        <w:numPr>
          <w:ilvl w:val="1"/>
          <w:numId w:val="3"/>
        </w:numPr>
        <w:spacing w:after="120"/>
      </w:pPr>
      <w:r>
        <w:t>The PBAC’s recommendation for listing was based on, among other matters, its assessment, as described above, that the cost-effectiveness of galcanezumab would be acceptable if it were cost-minimised against Botox.</w:t>
      </w:r>
      <w:r w:rsidR="002535F9">
        <w:t xml:space="preserve"> </w:t>
      </w:r>
    </w:p>
    <w:p w:rsidR="0072310B" w:rsidRDefault="00783925">
      <w:pPr>
        <w:pStyle w:val="ListParagraph"/>
        <w:numPr>
          <w:ilvl w:val="1"/>
          <w:numId w:val="3"/>
        </w:numPr>
        <w:spacing w:after="120"/>
      </w:pPr>
      <w:r>
        <w:t>The PBAC considered that treatment with galcanezumab resulted in a clinically significant reduction in the number of migraine headache days compared to placebo, with a reduction of 2 to 6 migraine headache days, depending on the patient population, from a baseline of approximately 20. The PBAC noted the larger incremental benefit of galcanezumab versus placebo when the analyses were based on the post-hoc treatment failure subgroups but considered these analyses to be less reliable than the analyses based on the ITT and mITT populations.</w:t>
      </w:r>
      <w:r w:rsidR="002535F9">
        <w:rPr>
          <w:i/>
        </w:rPr>
        <w:t xml:space="preserve"> </w:t>
      </w:r>
    </w:p>
    <w:p w:rsidR="0072310B" w:rsidRDefault="00783925">
      <w:pPr>
        <w:pStyle w:val="ListParagraph"/>
        <w:numPr>
          <w:ilvl w:val="1"/>
          <w:numId w:val="3"/>
        </w:numPr>
        <w:spacing w:after="120"/>
      </w:pPr>
      <w:r>
        <w:t xml:space="preserve">The PBAC considered that Botox was the appropriate main comparator. The PBAC noted the ESC considered that BSC could be an additional comparator and considered this was particularly the case for the patients identified with the epidemiological approach which comprised </w:t>
      </w:r>
      <w:r w:rsidR="00D95519">
        <w:rPr>
          <w:noProof/>
          <w:color w:val="000000"/>
          <w:highlight w:val="black"/>
        </w:rPr>
        <w:t>'''''</w:t>
      </w:r>
      <w:r w:rsidR="004C45D0">
        <w:t>%</w:t>
      </w:r>
      <w:r>
        <w:t xml:space="preserve"> to </w:t>
      </w:r>
      <w:r w:rsidR="00D95519">
        <w:rPr>
          <w:noProof/>
          <w:color w:val="000000"/>
          <w:highlight w:val="black"/>
        </w:rPr>
        <w:t>''''''</w:t>
      </w:r>
      <w:r>
        <w:t xml:space="preserve">% of all treated patients. The PBAC further considered there was a high degree of uncertainty regarding the number of patients estimated using the epidemiological approach and the cost-effectiveness of treating these patients and that it was appropriate to restrict galcanezumab to the same high need patient population as for Botox. </w:t>
      </w:r>
    </w:p>
    <w:p w:rsidR="0072310B" w:rsidRDefault="00783925">
      <w:pPr>
        <w:pStyle w:val="ListParagraph"/>
        <w:numPr>
          <w:ilvl w:val="1"/>
          <w:numId w:val="3"/>
        </w:numPr>
        <w:spacing w:after="120"/>
      </w:pPr>
      <w:r>
        <w:t xml:space="preserve">The PBAC noted there were a number of transitivity and applicability issues with the indirect comparison versus Botox but that the conclusion of non-inferiority to Botox was met across all the analyses (i.e., ITT, mITT subgroup and treatment failure </w:t>
      </w:r>
      <w:r>
        <w:lastRenderedPageBreak/>
        <w:t xml:space="preserve">subgroups), and considered that on balance, the claim of non-inferior effectiveness was supported. The PBAC noted the relative lack of data on longer-term safety for galcanezumab compared to Botox but overall, galcanezumab was well tolerated and likely to have comparable safety to Botox. </w:t>
      </w:r>
    </w:p>
    <w:p w:rsidR="0072310B" w:rsidRDefault="00783925">
      <w:pPr>
        <w:pStyle w:val="ListParagraph"/>
        <w:numPr>
          <w:ilvl w:val="1"/>
          <w:numId w:val="3"/>
        </w:numPr>
        <w:spacing w:after="120"/>
      </w:pPr>
      <w:r>
        <w:t>The PBAC considered the CMA should be revised to more accurately reflect the equi-effective doses proposed by the submission (i.e., 120 mg galcanezumab every 30 days and 164IU of Botox every 12 weeks) and be conducted over 2 years of treatment for both medicines.</w:t>
      </w:r>
      <w:r w:rsidR="002535F9">
        <w:t xml:space="preserve"> </w:t>
      </w:r>
    </w:p>
    <w:p w:rsidR="0072310B" w:rsidRDefault="00783925">
      <w:pPr>
        <w:pStyle w:val="ListParagraph"/>
        <w:numPr>
          <w:ilvl w:val="1"/>
          <w:numId w:val="3"/>
        </w:numPr>
        <w:spacing w:after="120"/>
      </w:pPr>
      <w:r>
        <w:t>The PBAC considered it would be appropriate for galcanezumab and</w:t>
      </w:r>
      <w:r w:rsidR="002535F9">
        <w:t xml:space="preserve"> </w:t>
      </w:r>
      <w:r>
        <w:t xml:space="preserve">Botox to be encompassed within the same Risk Sharing Arrangement for chronic migraine based on the estimated PBS utilisation across both medicines, with necessary updates to the financial estimates and application of the correct hidden effective price, with an increase in expenditure cap to reflect the higher drug cost for galcanezumab (due to reduced administration costs compared with Botox) and that the RSA should be based on the current Botox RSA cap only allowing for the increase of cost where there is a net increase in the cost estimates due to switching to galcanezumab . </w:t>
      </w:r>
    </w:p>
    <w:p w:rsidR="0072310B" w:rsidRDefault="00783925">
      <w:pPr>
        <w:pStyle w:val="ListParagraph"/>
        <w:numPr>
          <w:ilvl w:val="1"/>
          <w:numId w:val="3"/>
        </w:numPr>
        <w:spacing w:after="120"/>
      </w:pPr>
      <w:r>
        <w:t>The PBAC noted that its recommendation was on a cost-minimisation basis and advised that, because galcanezumab is not expected to provide a substantial and clinically relevant improvement in efficacy, or reduction of toxicity, over Botox, or not expected to address a high and urgent unmet clinical need given the presence of an alternative therapy, the criteria prescribed by the National Health (Pharmaceuticals and Vaccines – Cost Recovery) Regulations 2009 for Pricing Pathway A were not met.</w:t>
      </w:r>
    </w:p>
    <w:p w:rsidR="0072310B" w:rsidRDefault="00783925">
      <w:pPr>
        <w:pStyle w:val="ListParagraph"/>
        <w:numPr>
          <w:ilvl w:val="1"/>
          <w:numId w:val="3"/>
        </w:numPr>
        <w:spacing w:after="120"/>
      </w:pPr>
      <w:r>
        <w:rPr>
          <w:rFonts w:asciiTheme="minorHAnsi" w:hAnsiTheme="minorHAnsi" w:cs="Arial"/>
          <w:bCs/>
          <w:snapToGrid w:val="0"/>
          <w:lang w:val="en-GB"/>
        </w:rPr>
        <w:t>The PBAC recommended that galcanezumab should not be treated as interchangeable on an individual patient basis with Botox.</w:t>
      </w:r>
      <w:r w:rsidR="002535F9">
        <w:rPr>
          <w:rFonts w:asciiTheme="minorHAnsi" w:hAnsiTheme="minorHAnsi" w:cs="Arial"/>
          <w:bCs/>
          <w:snapToGrid w:val="0"/>
          <w:lang w:val="en-GB"/>
        </w:rPr>
        <w:t xml:space="preserve"> </w:t>
      </w:r>
    </w:p>
    <w:p w:rsidR="0072310B" w:rsidRDefault="00783925">
      <w:pPr>
        <w:widowControl w:val="0"/>
        <w:numPr>
          <w:ilvl w:val="1"/>
          <w:numId w:val="3"/>
        </w:numPr>
        <w:spacing w:after="120"/>
        <w:rPr>
          <w:rFonts w:asciiTheme="minorHAnsi" w:hAnsiTheme="minorHAnsi" w:cs="Arial"/>
          <w:bCs/>
          <w:snapToGrid w:val="0"/>
          <w:lang w:val="en-GB"/>
        </w:rPr>
      </w:pPr>
      <w:r>
        <w:rPr>
          <w:rFonts w:asciiTheme="minorHAnsi" w:hAnsiTheme="minorHAnsi" w:cs="Arial"/>
          <w:bCs/>
          <w:snapToGrid w:val="0"/>
          <w:lang w:val="en-GB"/>
        </w:rPr>
        <w:t>The PBAC advised that galcanezumab is not suitable for prescribing by nurse practitioners.</w:t>
      </w:r>
      <w:r w:rsidR="002535F9">
        <w:rPr>
          <w:rFonts w:asciiTheme="minorHAnsi" w:hAnsiTheme="minorHAnsi" w:cs="Arial"/>
          <w:bCs/>
          <w:snapToGrid w:val="0"/>
          <w:lang w:val="en-GB"/>
        </w:rPr>
        <w:t xml:space="preserve"> </w:t>
      </w:r>
    </w:p>
    <w:p w:rsidR="0072310B" w:rsidRDefault="00783925">
      <w:pPr>
        <w:widowControl w:val="0"/>
        <w:numPr>
          <w:ilvl w:val="1"/>
          <w:numId w:val="3"/>
        </w:numPr>
        <w:spacing w:after="120"/>
      </w:pPr>
      <w:r>
        <w:rPr>
          <w:rFonts w:asciiTheme="minorHAnsi" w:hAnsiTheme="minorHAnsi" w:cs="Arial"/>
          <w:bCs/>
          <w:snapToGrid w:val="0"/>
          <w:lang w:val="en-GB"/>
        </w:rPr>
        <w:t>The PBAC noted that this submission is not eligible for an Independent Review.</w:t>
      </w:r>
    </w:p>
    <w:p w:rsidR="0072310B" w:rsidRDefault="00783925">
      <w:pPr>
        <w:pStyle w:val="ListParagraph"/>
        <w:numPr>
          <w:ilvl w:val="1"/>
          <w:numId w:val="3"/>
        </w:numPr>
        <w:spacing w:after="120"/>
      </w:pPr>
      <w:r>
        <w:t>The PBAC recommended that the Early Supply Rule should apply.</w:t>
      </w:r>
    </w:p>
    <w:p w:rsidR="0072310B" w:rsidRDefault="00783925">
      <w:pPr>
        <w:spacing w:before="240" w:after="120"/>
        <w:rPr>
          <w:rFonts w:asciiTheme="minorHAnsi" w:hAnsiTheme="minorHAnsi" w:cs="Arial"/>
          <w:b/>
          <w:bCs/>
          <w:snapToGrid w:val="0"/>
          <w:lang w:val="en-GB"/>
        </w:rPr>
      </w:pPr>
      <w:r>
        <w:rPr>
          <w:rFonts w:asciiTheme="minorHAnsi" w:hAnsiTheme="minorHAnsi" w:cs="Arial"/>
          <w:b/>
          <w:bCs/>
          <w:snapToGrid w:val="0"/>
          <w:lang w:val="en-GB"/>
        </w:rPr>
        <w:t>Outcome:</w:t>
      </w:r>
    </w:p>
    <w:p w:rsidR="00927809" w:rsidRDefault="00783925">
      <w:r>
        <w:t>Recommended.</w:t>
      </w:r>
    </w:p>
    <w:p w:rsidR="00927809" w:rsidRDefault="00927809">
      <w:pPr>
        <w:jc w:val="left"/>
      </w:pPr>
      <w:r>
        <w:br w:type="page"/>
      </w:r>
    </w:p>
    <w:p w:rsidR="0072310B" w:rsidRDefault="00783925" w:rsidP="00437861">
      <w:pPr>
        <w:pStyle w:val="PBACHeading1"/>
        <w:rPr>
          <w:lang w:val="en-GB"/>
        </w:rPr>
      </w:pPr>
      <w:r>
        <w:rPr>
          <w:lang w:val="en-GB"/>
        </w:rPr>
        <w:lastRenderedPageBreak/>
        <w:t>Recommended listing</w:t>
      </w:r>
    </w:p>
    <w:p w:rsidR="00437861" w:rsidRDefault="00437861" w:rsidP="00437861">
      <w:pPr>
        <w:rPr>
          <w:snapToGrid w:val="0"/>
          <w:lang w:val="en-GB"/>
        </w:rPr>
      </w:pPr>
    </w:p>
    <w:p w:rsidR="0072310B" w:rsidRDefault="00783925">
      <w:pPr>
        <w:pStyle w:val="ListParagraph"/>
        <w:numPr>
          <w:ilvl w:val="1"/>
          <w:numId w:val="3"/>
        </w:numPr>
      </w:pPr>
      <w:r>
        <w:t>Add new item:</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376"/>
        <w:gridCol w:w="1137"/>
        <w:gridCol w:w="990"/>
        <w:gridCol w:w="800"/>
        <w:gridCol w:w="236"/>
        <w:gridCol w:w="3488"/>
      </w:tblGrid>
      <w:tr w:rsidR="0072310B">
        <w:tc>
          <w:tcPr>
            <w:tcW w:w="2376" w:type="dxa"/>
            <w:vAlign w:val="center"/>
          </w:tcPr>
          <w:p w:rsidR="0072310B" w:rsidRDefault="00783925">
            <w:pPr>
              <w:rPr>
                <w:rFonts w:ascii="Arial Narrow" w:hAnsi="Arial Narrow"/>
                <w:b/>
                <w:bCs/>
                <w:sz w:val="20"/>
                <w:szCs w:val="20"/>
              </w:rPr>
            </w:pPr>
            <w:r>
              <w:rPr>
                <w:rFonts w:ascii="Arial Narrow" w:hAnsi="Arial Narrow"/>
                <w:b/>
                <w:sz w:val="20"/>
                <w:szCs w:val="20"/>
              </w:rPr>
              <w:t>Name, restriction, manner of administration, form</w:t>
            </w:r>
          </w:p>
        </w:tc>
        <w:tc>
          <w:tcPr>
            <w:tcW w:w="1137" w:type="dxa"/>
            <w:vAlign w:val="center"/>
          </w:tcPr>
          <w:p w:rsidR="0072310B" w:rsidRDefault="00783925">
            <w:pPr>
              <w:rPr>
                <w:rFonts w:ascii="Arial Narrow" w:hAnsi="Arial Narrow"/>
                <w:b/>
                <w:bCs/>
                <w:sz w:val="20"/>
                <w:szCs w:val="20"/>
              </w:rPr>
            </w:pPr>
            <w:r>
              <w:rPr>
                <w:rFonts w:ascii="Arial Narrow" w:hAnsi="Arial Narrow"/>
                <w:b/>
                <w:sz w:val="20"/>
                <w:szCs w:val="20"/>
              </w:rPr>
              <w:t>Maximum quantity (packs)</w:t>
            </w:r>
          </w:p>
        </w:tc>
        <w:tc>
          <w:tcPr>
            <w:tcW w:w="990" w:type="dxa"/>
            <w:vAlign w:val="center"/>
          </w:tcPr>
          <w:p w:rsidR="0072310B" w:rsidRDefault="00783925">
            <w:pPr>
              <w:rPr>
                <w:rFonts w:ascii="Arial Narrow" w:hAnsi="Arial Narrow"/>
                <w:b/>
                <w:bCs/>
                <w:sz w:val="20"/>
                <w:szCs w:val="20"/>
              </w:rPr>
            </w:pPr>
            <w:r>
              <w:rPr>
                <w:rFonts w:ascii="Arial Narrow" w:hAnsi="Arial Narrow"/>
                <w:b/>
                <w:sz w:val="20"/>
                <w:szCs w:val="20"/>
              </w:rPr>
              <w:t>Maximum quantity (units)</w:t>
            </w:r>
          </w:p>
        </w:tc>
        <w:tc>
          <w:tcPr>
            <w:tcW w:w="800" w:type="dxa"/>
            <w:vAlign w:val="center"/>
          </w:tcPr>
          <w:p w:rsidR="0072310B" w:rsidRDefault="00783925">
            <w:pPr>
              <w:rPr>
                <w:rFonts w:ascii="Arial Narrow" w:hAnsi="Arial Narrow"/>
                <w:b/>
                <w:bCs/>
                <w:sz w:val="20"/>
                <w:szCs w:val="20"/>
              </w:rPr>
            </w:pPr>
            <w:r>
              <w:rPr>
                <w:rFonts w:ascii="Arial Narrow" w:hAnsi="Arial Narrow"/>
                <w:b/>
                <w:sz w:val="20"/>
                <w:szCs w:val="20"/>
              </w:rPr>
              <w:t>No. of repeats</w:t>
            </w:r>
          </w:p>
        </w:tc>
        <w:tc>
          <w:tcPr>
            <w:tcW w:w="236" w:type="dxa"/>
            <w:tcBorders>
              <w:bottom w:val="single" w:sz="4" w:space="0" w:color="auto"/>
            </w:tcBorders>
            <w:vAlign w:val="center"/>
          </w:tcPr>
          <w:p w:rsidR="0072310B" w:rsidRDefault="0072310B">
            <w:pPr>
              <w:rPr>
                <w:rFonts w:ascii="Arial Narrow" w:hAnsi="Arial Narrow"/>
                <w:b/>
                <w:bCs/>
                <w:sz w:val="20"/>
                <w:szCs w:val="20"/>
              </w:rPr>
            </w:pPr>
          </w:p>
        </w:tc>
        <w:tc>
          <w:tcPr>
            <w:tcW w:w="3488" w:type="dxa"/>
            <w:vAlign w:val="center"/>
          </w:tcPr>
          <w:p w:rsidR="0072310B" w:rsidRDefault="00783925">
            <w:pPr>
              <w:rPr>
                <w:rFonts w:ascii="Arial Narrow" w:hAnsi="Arial Narrow"/>
                <w:b/>
                <w:bCs/>
                <w:sz w:val="20"/>
                <w:szCs w:val="20"/>
              </w:rPr>
            </w:pPr>
            <w:r>
              <w:rPr>
                <w:rFonts w:ascii="Arial Narrow" w:hAnsi="Arial Narrow"/>
                <w:b/>
                <w:sz w:val="20"/>
                <w:szCs w:val="20"/>
              </w:rPr>
              <w:t>Proprietary name and manufacturer</w:t>
            </w:r>
          </w:p>
        </w:tc>
      </w:tr>
      <w:tr w:rsidR="0072310B">
        <w:tc>
          <w:tcPr>
            <w:tcW w:w="2376" w:type="dxa"/>
            <w:vAlign w:val="center"/>
          </w:tcPr>
          <w:p w:rsidR="0072310B" w:rsidRDefault="00783925">
            <w:pPr>
              <w:pStyle w:val="Tabletext"/>
            </w:pPr>
            <w:r>
              <w:t>GALCANEZUMAB</w:t>
            </w:r>
          </w:p>
          <w:p w:rsidR="0072310B" w:rsidRDefault="00783925">
            <w:pPr>
              <w:pStyle w:val="Tabletext"/>
              <w:rPr>
                <w:b/>
                <w:bCs/>
              </w:rPr>
            </w:pPr>
            <w:r>
              <w:t>120 mg/1 mL, pre-filled pen</w:t>
            </w:r>
          </w:p>
        </w:tc>
        <w:tc>
          <w:tcPr>
            <w:tcW w:w="1137" w:type="dxa"/>
            <w:vAlign w:val="center"/>
          </w:tcPr>
          <w:p w:rsidR="0072310B" w:rsidRDefault="00783925">
            <w:pPr>
              <w:pStyle w:val="Tabletext"/>
              <w:jc w:val="center"/>
              <w:rPr>
                <w:rFonts w:ascii="Times" w:hAnsi="Times"/>
              </w:rPr>
            </w:pPr>
            <w:r>
              <w:t>2</w:t>
            </w:r>
          </w:p>
        </w:tc>
        <w:tc>
          <w:tcPr>
            <w:tcW w:w="990" w:type="dxa"/>
            <w:vAlign w:val="center"/>
          </w:tcPr>
          <w:p w:rsidR="0072310B" w:rsidRDefault="00783925">
            <w:pPr>
              <w:pStyle w:val="Tabletext"/>
              <w:jc w:val="center"/>
              <w:rPr>
                <w:rFonts w:ascii="Times" w:hAnsi="Times"/>
              </w:rPr>
            </w:pPr>
            <w:r>
              <w:t>2</w:t>
            </w:r>
          </w:p>
        </w:tc>
        <w:tc>
          <w:tcPr>
            <w:tcW w:w="800" w:type="dxa"/>
            <w:vAlign w:val="center"/>
          </w:tcPr>
          <w:p w:rsidR="0072310B" w:rsidRDefault="00783925">
            <w:pPr>
              <w:pStyle w:val="Tabletext"/>
              <w:jc w:val="center"/>
              <w:rPr>
                <w:rFonts w:ascii="Times" w:hAnsi="Times"/>
              </w:rPr>
            </w:pPr>
            <w:r>
              <w:t>0</w:t>
            </w:r>
          </w:p>
        </w:tc>
        <w:tc>
          <w:tcPr>
            <w:tcW w:w="236" w:type="dxa"/>
            <w:tcBorders>
              <w:right w:val="single" w:sz="4" w:space="0" w:color="auto"/>
            </w:tcBorders>
            <w:vAlign w:val="center"/>
          </w:tcPr>
          <w:p w:rsidR="0072310B" w:rsidRDefault="0072310B">
            <w:pPr>
              <w:pStyle w:val="Tabletext"/>
              <w:rPr>
                <w:rFonts w:ascii="Times" w:hAnsi="Times"/>
              </w:rPr>
            </w:pPr>
          </w:p>
        </w:tc>
        <w:tc>
          <w:tcPr>
            <w:tcW w:w="3488" w:type="dxa"/>
            <w:tcBorders>
              <w:left w:val="single" w:sz="4" w:space="0" w:color="auto"/>
            </w:tcBorders>
            <w:vAlign w:val="center"/>
          </w:tcPr>
          <w:p w:rsidR="0072310B" w:rsidRDefault="00783925">
            <w:pPr>
              <w:pStyle w:val="Tabletext"/>
              <w:rPr>
                <w:rFonts w:ascii="Times" w:hAnsi="Times"/>
              </w:rPr>
            </w:pPr>
            <w:r>
              <w:t>Emgality</w:t>
            </w:r>
            <w:r>
              <w:rPr>
                <w:vertAlign w:val="superscript"/>
              </w:rPr>
              <w:sym w:font="Symbol" w:char="F0D2"/>
            </w:r>
            <w:r>
              <w:t xml:space="preserve"> Eli Lilly Australia Pty Ltd</w:t>
            </w:r>
          </w:p>
        </w:tc>
      </w:tr>
    </w:tbl>
    <w:p w:rsidR="0072310B" w:rsidRDefault="0072310B">
      <w:pPr>
        <w:jc w:val="left"/>
      </w:pPr>
    </w:p>
    <w:tbl>
      <w:tblPr>
        <w:tblW w:w="5000" w:type="pct"/>
        <w:tblLook w:val="0000" w:firstRow="0" w:lastRow="0" w:firstColumn="0" w:lastColumn="0" w:noHBand="0" w:noVBand="0"/>
      </w:tblPr>
      <w:tblGrid>
        <w:gridCol w:w="3149"/>
        <w:gridCol w:w="5868"/>
      </w:tblGrid>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Category/Program:</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General Schedule - Section 85</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Prescriber type:</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fldChar w:fldCharType="begin">
                <w:ffData>
                  <w:name w:val="Check1"/>
                  <w:enabled/>
                  <w:calcOnExit w:val="0"/>
                  <w:checkBox>
                    <w:sizeAuto/>
                    <w:default w:val="0"/>
                  </w:checkBox>
                </w:ffData>
              </w:fldChar>
            </w:r>
            <w:r>
              <w:instrText xml:space="preserve"> FORMCHECKBOX </w:instrText>
            </w:r>
            <w:r w:rsidR="00575871">
              <w:fldChar w:fldCharType="separate"/>
            </w:r>
            <w:r>
              <w:fldChar w:fldCharType="end"/>
            </w:r>
            <w:r>
              <w:t xml:space="preserve">Dental  </w:t>
            </w:r>
            <w:r>
              <w:fldChar w:fldCharType="begin">
                <w:ffData>
                  <w:name w:val=""/>
                  <w:enabled/>
                  <w:calcOnExit w:val="0"/>
                  <w:checkBox>
                    <w:sizeAuto/>
                    <w:default w:val="1"/>
                  </w:checkBox>
                </w:ffData>
              </w:fldChar>
            </w:r>
            <w:r>
              <w:instrText xml:space="preserve"> FORMCHECKBOX </w:instrText>
            </w:r>
            <w:r w:rsidR="00575871">
              <w:fldChar w:fldCharType="separate"/>
            </w:r>
            <w:r>
              <w:fldChar w:fldCharType="end"/>
            </w:r>
            <w:r>
              <w:t xml:space="preserve">Medical Practitioners  </w:t>
            </w:r>
            <w:r>
              <w:fldChar w:fldCharType="begin">
                <w:ffData>
                  <w:name w:val="Check3"/>
                  <w:enabled/>
                  <w:calcOnExit w:val="0"/>
                  <w:checkBox>
                    <w:sizeAuto/>
                    <w:default w:val="0"/>
                  </w:checkBox>
                </w:ffData>
              </w:fldChar>
            </w:r>
            <w:r>
              <w:instrText xml:space="preserve"> FORMCHECKBOX </w:instrText>
            </w:r>
            <w:r w:rsidR="00575871">
              <w:fldChar w:fldCharType="separate"/>
            </w:r>
            <w:r>
              <w:fldChar w:fldCharType="end"/>
            </w:r>
            <w:r>
              <w:t xml:space="preserve">Nurse practitioners  </w:t>
            </w:r>
            <w:r>
              <w:fldChar w:fldCharType="begin">
                <w:ffData>
                  <w:name w:val=""/>
                  <w:enabled/>
                  <w:calcOnExit w:val="0"/>
                  <w:checkBox>
                    <w:sizeAuto/>
                    <w:default w:val="0"/>
                  </w:checkBox>
                </w:ffData>
              </w:fldChar>
            </w:r>
            <w:r>
              <w:instrText xml:space="preserve"> FORMCHECKBOX </w:instrText>
            </w:r>
            <w:r w:rsidR="00575871">
              <w:fldChar w:fldCharType="separate"/>
            </w:r>
            <w:r>
              <w:fldChar w:fldCharType="end"/>
            </w:r>
            <w:r>
              <w:t xml:space="preserve">Optometrists </w:t>
            </w:r>
            <w:r>
              <w:fldChar w:fldCharType="begin">
                <w:ffData>
                  <w:name w:val="Check5"/>
                  <w:enabled/>
                  <w:calcOnExit w:val="0"/>
                  <w:checkBox>
                    <w:sizeAuto/>
                    <w:default w:val="0"/>
                  </w:checkBox>
                </w:ffData>
              </w:fldChar>
            </w:r>
            <w:r>
              <w:instrText xml:space="preserve"> FORMCHECKBOX </w:instrText>
            </w:r>
            <w:r w:rsidR="00575871">
              <w:fldChar w:fldCharType="separate"/>
            </w:r>
            <w:r>
              <w:fldChar w:fldCharType="end"/>
            </w:r>
            <w:r>
              <w:t>Midwives</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Condition:</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Chronic migraine</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rPr>
                <w:b/>
              </w:rPr>
              <w:t>Treatment phase:</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Initial - loading dose</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Restriction:</w:t>
            </w:r>
          </w:p>
          <w:p w:rsidR="0072310B" w:rsidRDefault="00783925">
            <w:pPr>
              <w:pStyle w:val="Tabletext"/>
            </w:pPr>
            <w:r>
              <w:t>General Schedule</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fldChar w:fldCharType="begin">
                <w:ffData>
                  <w:name w:val="Check1"/>
                  <w:enabled/>
                  <w:calcOnExit w:val="0"/>
                  <w:checkBox>
                    <w:sizeAuto/>
                    <w:default w:val="0"/>
                  </w:checkBox>
                </w:ffData>
              </w:fldChar>
            </w:r>
            <w:r>
              <w:instrText xml:space="preserve"> FORMCHECKBOX </w:instrText>
            </w:r>
            <w:r w:rsidR="00575871">
              <w:fldChar w:fldCharType="separate"/>
            </w:r>
            <w:r>
              <w:fldChar w:fldCharType="end"/>
            </w:r>
            <w:r>
              <w:t>Restricted benefit</w:t>
            </w:r>
          </w:p>
          <w:p w:rsidR="0072310B" w:rsidRDefault="00783925">
            <w:pPr>
              <w:pStyle w:val="Tabletext"/>
            </w:pPr>
            <w:r>
              <w:fldChar w:fldCharType="begin">
                <w:ffData>
                  <w:name w:val=""/>
                  <w:enabled/>
                  <w:calcOnExit w:val="0"/>
                  <w:checkBox>
                    <w:sizeAuto/>
                    <w:default w:val="0"/>
                  </w:checkBox>
                </w:ffData>
              </w:fldChar>
            </w:r>
            <w:r>
              <w:instrText xml:space="preserve"> FORMCHECKBOX </w:instrText>
            </w:r>
            <w:r w:rsidR="00575871">
              <w:fldChar w:fldCharType="separate"/>
            </w:r>
            <w:r>
              <w:fldChar w:fldCharType="end"/>
            </w:r>
            <w:r>
              <w:t>Authority Required - In Writing</w:t>
            </w:r>
          </w:p>
          <w:p w:rsidR="0072310B" w:rsidRDefault="00783925">
            <w:pPr>
              <w:pStyle w:val="Tabletext"/>
            </w:pPr>
            <w:r>
              <w:fldChar w:fldCharType="begin">
                <w:ffData>
                  <w:name w:val="Check3"/>
                  <w:enabled/>
                  <w:calcOnExit w:val="0"/>
                  <w:checkBox>
                    <w:sizeAuto/>
                    <w:default w:val="0"/>
                  </w:checkBox>
                </w:ffData>
              </w:fldChar>
            </w:r>
            <w:r>
              <w:instrText xml:space="preserve"> FORMCHECKBOX </w:instrText>
            </w:r>
            <w:r w:rsidR="00575871">
              <w:fldChar w:fldCharType="separate"/>
            </w:r>
            <w:r>
              <w:fldChar w:fldCharType="end"/>
            </w:r>
            <w:r>
              <w:t>Authority Required - Telephone</w:t>
            </w:r>
          </w:p>
          <w:p w:rsidR="0072310B" w:rsidRDefault="00783925">
            <w:pPr>
              <w:pStyle w:val="Tabletext"/>
            </w:pPr>
            <w:r>
              <w:fldChar w:fldCharType="begin">
                <w:ffData>
                  <w:name w:val=""/>
                  <w:enabled/>
                  <w:calcOnExit w:val="0"/>
                  <w:checkBox>
                    <w:sizeAuto/>
                    <w:default w:val="0"/>
                  </w:checkBox>
                </w:ffData>
              </w:fldChar>
            </w:r>
            <w:r>
              <w:instrText xml:space="preserve"> FORMCHECKBOX </w:instrText>
            </w:r>
            <w:r w:rsidR="00575871">
              <w:fldChar w:fldCharType="separate"/>
            </w:r>
            <w:r>
              <w:fldChar w:fldCharType="end"/>
            </w:r>
            <w:r>
              <w:t>Authority Required – Emergency</w:t>
            </w:r>
          </w:p>
          <w:p w:rsidR="0072310B" w:rsidRDefault="00783925">
            <w:pPr>
              <w:pStyle w:val="Tabletext"/>
            </w:pPr>
            <w:r>
              <w:fldChar w:fldCharType="begin">
                <w:ffData>
                  <w:name w:val="Check5"/>
                  <w:enabled/>
                  <w:calcOnExit w:val="0"/>
                  <w:checkBox>
                    <w:sizeAuto/>
                    <w:default w:val="0"/>
                  </w:checkBox>
                </w:ffData>
              </w:fldChar>
            </w:r>
            <w:r>
              <w:instrText xml:space="preserve"> FORMCHECKBOX </w:instrText>
            </w:r>
            <w:r w:rsidR="00575871">
              <w:fldChar w:fldCharType="separate"/>
            </w:r>
            <w:r>
              <w:fldChar w:fldCharType="end"/>
            </w:r>
            <w:r>
              <w:t>Authority Required - Electronic</w:t>
            </w:r>
          </w:p>
          <w:p w:rsidR="0072310B" w:rsidRDefault="00783925">
            <w:pPr>
              <w:pStyle w:val="Tabletext"/>
              <w:rPr>
                <w:rFonts w:cs="Arial"/>
              </w:rPr>
            </w:pPr>
            <w:r>
              <w:fldChar w:fldCharType="begin">
                <w:ffData>
                  <w:name w:val=""/>
                  <w:enabled/>
                  <w:calcOnExit w:val="0"/>
                  <w:checkBox>
                    <w:sizeAuto/>
                    <w:default w:val="1"/>
                  </w:checkBox>
                </w:ffData>
              </w:fldChar>
            </w:r>
            <w:r>
              <w:instrText xml:space="preserve"> FORMCHECKBOX </w:instrText>
            </w:r>
            <w:r w:rsidR="00575871">
              <w:fldChar w:fldCharType="separate"/>
            </w:r>
            <w:r>
              <w:fldChar w:fldCharType="end"/>
            </w:r>
            <w:r>
              <w:t>Streamlined</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rPr>
                <w:b/>
              </w:rPr>
              <w:t>Treatment criteria:</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rFonts w:cs="Arial"/>
              </w:rPr>
            </w:pPr>
            <w:r>
              <w:t xml:space="preserve">Must be treated by a neurologist </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rPr>
                <w:b/>
              </w:rPr>
              <w:t>Clinical criteria:</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 xml:space="preserve">Patient must have experienced an average of 15 or more headache days per month, with at least 8 days of migraine, over a period of at least 6 months, prior to commencement of treatment with this drug for this condition </w:t>
            </w:r>
          </w:p>
          <w:p w:rsidR="0072310B" w:rsidRDefault="00783925">
            <w:pPr>
              <w:pStyle w:val="Tabletext"/>
            </w:pPr>
            <w:r>
              <w:t>AND</w:t>
            </w:r>
          </w:p>
          <w:p w:rsidR="0072310B" w:rsidRDefault="00783925">
            <w:pPr>
              <w:pStyle w:val="Tabletext"/>
            </w:pPr>
            <w:r>
              <w:t xml:space="preserve">Patient must have experienced an inadequate response, intolerance or a contraindication to at least three prophylactic migraine medications prior to commencement of treatment with this drug for this condition </w:t>
            </w:r>
          </w:p>
          <w:p w:rsidR="0072310B" w:rsidRDefault="00783925">
            <w:pPr>
              <w:pStyle w:val="Tabletext"/>
            </w:pPr>
            <w:r>
              <w:t>AND</w:t>
            </w:r>
          </w:p>
          <w:p w:rsidR="0072310B" w:rsidRDefault="00783925">
            <w:pPr>
              <w:pStyle w:val="Tabletext"/>
            </w:pPr>
            <w:r>
              <w:t>The treatment must not be in combination with botulinum toxin</w:t>
            </w:r>
          </w:p>
          <w:p w:rsidR="0072310B" w:rsidRDefault="00783925">
            <w:pPr>
              <w:pStyle w:val="Tabletext"/>
            </w:pPr>
            <w:r>
              <w:t>AND</w:t>
            </w:r>
          </w:p>
          <w:p w:rsidR="0072310B" w:rsidRDefault="00783925">
            <w:pPr>
              <w:pStyle w:val="Tabletext"/>
            </w:pPr>
            <w:r>
              <w:t xml:space="preserve">Patient must be appropriately managed for medication overuse headache, prior to initiation of treatment with this drug </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Population criteria:</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Patient must be aged 18 years or older</w:t>
            </w:r>
          </w:p>
        </w:tc>
      </w:tr>
      <w:tr w:rsidR="0072310B">
        <w:trPr>
          <w:cantSplit/>
          <w:trHeight w:val="296"/>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Prescriber Instructions:</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Prophylactic migraine medications are propranolol, amitriptyline, pizotifen, candesartan, verapamil, nortriptyline, sodium valproate or topiramate.</w:t>
            </w:r>
          </w:p>
        </w:tc>
      </w:tr>
    </w:tbl>
    <w:p w:rsidR="0072310B" w:rsidRDefault="0072310B"/>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376"/>
        <w:gridCol w:w="1137"/>
        <w:gridCol w:w="990"/>
        <w:gridCol w:w="800"/>
        <w:gridCol w:w="236"/>
        <w:gridCol w:w="3488"/>
      </w:tblGrid>
      <w:tr w:rsidR="0072310B">
        <w:tc>
          <w:tcPr>
            <w:tcW w:w="2376" w:type="dxa"/>
            <w:vAlign w:val="center"/>
          </w:tcPr>
          <w:p w:rsidR="0072310B" w:rsidRDefault="00783925">
            <w:pPr>
              <w:rPr>
                <w:rFonts w:ascii="Arial Narrow" w:hAnsi="Arial Narrow"/>
                <w:b/>
                <w:bCs/>
                <w:sz w:val="20"/>
                <w:szCs w:val="20"/>
              </w:rPr>
            </w:pPr>
            <w:r>
              <w:rPr>
                <w:rFonts w:ascii="Arial Narrow" w:hAnsi="Arial Narrow"/>
                <w:b/>
                <w:sz w:val="20"/>
                <w:szCs w:val="20"/>
              </w:rPr>
              <w:t>Name, restriction, manner of administration, form</w:t>
            </w:r>
          </w:p>
        </w:tc>
        <w:tc>
          <w:tcPr>
            <w:tcW w:w="1137" w:type="dxa"/>
            <w:vAlign w:val="center"/>
          </w:tcPr>
          <w:p w:rsidR="0072310B" w:rsidRDefault="00783925">
            <w:pPr>
              <w:rPr>
                <w:rFonts w:ascii="Arial Narrow" w:hAnsi="Arial Narrow"/>
                <w:b/>
                <w:bCs/>
                <w:sz w:val="20"/>
                <w:szCs w:val="20"/>
              </w:rPr>
            </w:pPr>
            <w:r>
              <w:rPr>
                <w:rFonts w:ascii="Arial Narrow" w:hAnsi="Arial Narrow"/>
                <w:b/>
                <w:sz w:val="20"/>
                <w:szCs w:val="20"/>
              </w:rPr>
              <w:t>Maximum quantity (packs)</w:t>
            </w:r>
          </w:p>
        </w:tc>
        <w:tc>
          <w:tcPr>
            <w:tcW w:w="990" w:type="dxa"/>
            <w:vAlign w:val="center"/>
          </w:tcPr>
          <w:p w:rsidR="0072310B" w:rsidRDefault="00783925">
            <w:pPr>
              <w:rPr>
                <w:rFonts w:ascii="Arial Narrow" w:hAnsi="Arial Narrow"/>
                <w:b/>
                <w:bCs/>
                <w:sz w:val="20"/>
                <w:szCs w:val="20"/>
              </w:rPr>
            </w:pPr>
            <w:r>
              <w:rPr>
                <w:rFonts w:ascii="Arial Narrow" w:hAnsi="Arial Narrow"/>
                <w:b/>
                <w:sz w:val="20"/>
                <w:szCs w:val="20"/>
              </w:rPr>
              <w:t>Maximum quantity (units)</w:t>
            </w:r>
          </w:p>
        </w:tc>
        <w:tc>
          <w:tcPr>
            <w:tcW w:w="800" w:type="dxa"/>
            <w:vAlign w:val="center"/>
          </w:tcPr>
          <w:p w:rsidR="0072310B" w:rsidRDefault="00783925">
            <w:pPr>
              <w:rPr>
                <w:rFonts w:ascii="Arial Narrow" w:hAnsi="Arial Narrow"/>
                <w:b/>
                <w:bCs/>
                <w:sz w:val="20"/>
                <w:szCs w:val="20"/>
              </w:rPr>
            </w:pPr>
            <w:r>
              <w:rPr>
                <w:rFonts w:ascii="Arial Narrow" w:hAnsi="Arial Narrow"/>
                <w:b/>
                <w:sz w:val="20"/>
                <w:szCs w:val="20"/>
              </w:rPr>
              <w:t>No. of repeats</w:t>
            </w:r>
          </w:p>
        </w:tc>
        <w:tc>
          <w:tcPr>
            <w:tcW w:w="236" w:type="dxa"/>
            <w:tcBorders>
              <w:bottom w:val="single" w:sz="4" w:space="0" w:color="auto"/>
            </w:tcBorders>
            <w:vAlign w:val="center"/>
          </w:tcPr>
          <w:p w:rsidR="0072310B" w:rsidRDefault="0072310B">
            <w:pPr>
              <w:rPr>
                <w:rFonts w:ascii="Arial Narrow" w:hAnsi="Arial Narrow"/>
                <w:b/>
                <w:bCs/>
                <w:sz w:val="20"/>
                <w:szCs w:val="20"/>
              </w:rPr>
            </w:pPr>
          </w:p>
        </w:tc>
        <w:tc>
          <w:tcPr>
            <w:tcW w:w="3488" w:type="dxa"/>
            <w:vAlign w:val="center"/>
          </w:tcPr>
          <w:p w:rsidR="0072310B" w:rsidRDefault="00783925">
            <w:pPr>
              <w:rPr>
                <w:rFonts w:ascii="Arial Narrow" w:hAnsi="Arial Narrow"/>
                <w:b/>
                <w:bCs/>
                <w:sz w:val="20"/>
                <w:szCs w:val="20"/>
              </w:rPr>
            </w:pPr>
            <w:r>
              <w:rPr>
                <w:rFonts w:ascii="Arial Narrow" w:hAnsi="Arial Narrow"/>
                <w:b/>
                <w:sz w:val="20"/>
                <w:szCs w:val="20"/>
              </w:rPr>
              <w:t>Proprietary name and manufacturer</w:t>
            </w:r>
          </w:p>
        </w:tc>
      </w:tr>
      <w:tr w:rsidR="0072310B">
        <w:tc>
          <w:tcPr>
            <w:tcW w:w="2376" w:type="dxa"/>
            <w:vAlign w:val="center"/>
          </w:tcPr>
          <w:p w:rsidR="0072310B" w:rsidRDefault="00783925">
            <w:pPr>
              <w:pStyle w:val="Tabletext"/>
            </w:pPr>
            <w:r>
              <w:t>GALCANEZUMAB</w:t>
            </w:r>
          </w:p>
          <w:p w:rsidR="0072310B" w:rsidRDefault="00783925">
            <w:pPr>
              <w:pStyle w:val="Tabletext"/>
            </w:pPr>
            <w:r>
              <w:t>120 mg/1 mL, pre-filled pen</w:t>
            </w:r>
          </w:p>
        </w:tc>
        <w:tc>
          <w:tcPr>
            <w:tcW w:w="1137" w:type="dxa"/>
            <w:vAlign w:val="center"/>
          </w:tcPr>
          <w:p w:rsidR="0072310B" w:rsidRDefault="00783925">
            <w:pPr>
              <w:pStyle w:val="Tabletext"/>
              <w:jc w:val="center"/>
            </w:pPr>
            <w:r>
              <w:t>1</w:t>
            </w:r>
          </w:p>
        </w:tc>
        <w:tc>
          <w:tcPr>
            <w:tcW w:w="990" w:type="dxa"/>
            <w:vAlign w:val="center"/>
          </w:tcPr>
          <w:p w:rsidR="0072310B" w:rsidRDefault="00783925">
            <w:pPr>
              <w:pStyle w:val="Tabletext"/>
              <w:jc w:val="center"/>
            </w:pPr>
            <w:r>
              <w:t>1</w:t>
            </w:r>
          </w:p>
        </w:tc>
        <w:tc>
          <w:tcPr>
            <w:tcW w:w="800" w:type="dxa"/>
            <w:vAlign w:val="center"/>
          </w:tcPr>
          <w:p w:rsidR="0072310B" w:rsidRDefault="00783925">
            <w:pPr>
              <w:pStyle w:val="Tabletext"/>
              <w:jc w:val="center"/>
            </w:pPr>
            <w:r>
              <w:t>1</w:t>
            </w:r>
          </w:p>
        </w:tc>
        <w:tc>
          <w:tcPr>
            <w:tcW w:w="236" w:type="dxa"/>
            <w:tcBorders>
              <w:right w:val="single" w:sz="4" w:space="0" w:color="auto"/>
            </w:tcBorders>
            <w:vAlign w:val="center"/>
          </w:tcPr>
          <w:p w:rsidR="0072310B" w:rsidRDefault="0072310B">
            <w:pPr>
              <w:pStyle w:val="Tabletext"/>
            </w:pPr>
          </w:p>
        </w:tc>
        <w:tc>
          <w:tcPr>
            <w:tcW w:w="3488" w:type="dxa"/>
            <w:tcBorders>
              <w:left w:val="single" w:sz="4" w:space="0" w:color="auto"/>
            </w:tcBorders>
            <w:vAlign w:val="center"/>
          </w:tcPr>
          <w:p w:rsidR="0072310B" w:rsidRDefault="00783925">
            <w:pPr>
              <w:pStyle w:val="Tabletext"/>
            </w:pPr>
            <w:r>
              <w:t>Emgality</w:t>
            </w:r>
            <w:r>
              <w:rPr>
                <w:vertAlign w:val="superscript"/>
              </w:rPr>
              <w:sym w:font="Symbol" w:char="F0D2"/>
            </w:r>
            <w:r>
              <w:t xml:space="preserve"> Eli Lilly Australia Pty Ltd</w:t>
            </w:r>
          </w:p>
        </w:tc>
      </w:tr>
    </w:tbl>
    <w:p w:rsidR="0072310B" w:rsidRDefault="0072310B"/>
    <w:tbl>
      <w:tblPr>
        <w:tblW w:w="5000" w:type="pct"/>
        <w:tblLook w:val="0000" w:firstRow="0" w:lastRow="0" w:firstColumn="0" w:lastColumn="0" w:noHBand="0" w:noVBand="0"/>
      </w:tblPr>
      <w:tblGrid>
        <w:gridCol w:w="3149"/>
        <w:gridCol w:w="5868"/>
      </w:tblGrid>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Category/Program:</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General Schedule - Section 85</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Prescriber type:</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fldChar w:fldCharType="begin">
                <w:ffData>
                  <w:name w:val="Check1"/>
                  <w:enabled/>
                  <w:calcOnExit w:val="0"/>
                  <w:checkBox>
                    <w:sizeAuto/>
                    <w:default w:val="0"/>
                  </w:checkBox>
                </w:ffData>
              </w:fldChar>
            </w:r>
            <w:r>
              <w:instrText xml:space="preserve"> FORMCHECKBOX </w:instrText>
            </w:r>
            <w:r w:rsidR="00575871">
              <w:fldChar w:fldCharType="separate"/>
            </w:r>
            <w:r>
              <w:fldChar w:fldCharType="end"/>
            </w:r>
            <w:r>
              <w:t xml:space="preserve">Dental  </w:t>
            </w:r>
            <w:r>
              <w:fldChar w:fldCharType="begin">
                <w:ffData>
                  <w:name w:val=""/>
                  <w:enabled/>
                  <w:calcOnExit w:val="0"/>
                  <w:checkBox>
                    <w:sizeAuto/>
                    <w:default w:val="1"/>
                  </w:checkBox>
                </w:ffData>
              </w:fldChar>
            </w:r>
            <w:r>
              <w:instrText xml:space="preserve"> FORMCHECKBOX </w:instrText>
            </w:r>
            <w:r w:rsidR="00575871">
              <w:fldChar w:fldCharType="separate"/>
            </w:r>
            <w:r>
              <w:fldChar w:fldCharType="end"/>
            </w:r>
            <w:r>
              <w:t xml:space="preserve">Medical Practitioners  </w:t>
            </w:r>
            <w:r>
              <w:fldChar w:fldCharType="begin">
                <w:ffData>
                  <w:name w:val="Check3"/>
                  <w:enabled/>
                  <w:calcOnExit w:val="0"/>
                  <w:checkBox>
                    <w:sizeAuto/>
                    <w:default w:val="0"/>
                  </w:checkBox>
                </w:ffData>
              </w:fldChar>
            </w:r>
            <w:r>
              <w:instrText xml:space="preserve"> FORMCHECKBOX </w:instrText>
            </w:r>
            <w:r w:rsidR="00575871">
              <w:fldChar w:fldCharType="separate"/>
            </w:r>
            <w:r>
              <w:fldChar w:fldCharType="end"/>
            </w:r>
            <w:r>
              <w:t xml:space="preserve">Nurse practitioners  </w:t>
            </w:r>
            <w:r>
              <w:fldChar w:fldCharType="begin">
                <w:ffData>
                  <w:name w:val=""/>
                  <w:enabled/>
                  <w:calcOnExit w:val="0"/>
                  <w:checkBox>
                    <w:sizeAuto/>
                    <w:default w:val="0"/>
                  </w:checkBox>
                </w:ffData>
              </w:fldChar>
            </w:r>
            <w:r>
              <w:instrText xml:space="preserve"> FORMCHECKBOX </w:instrText>
            </w:r>
            <w:r w:rsidR="00575871">
              <w:fldChar w:fldCharType="separate"/>
            </w:r>
            <w:r>
              <w:fldChar w:fldCharType="end"/>
            </w:r>
            <w:r>
              <w:t xml:space="preserve">Optometrists </w:t>
            </w:r>
            <w:r>
              <w:fldChar w:fldCharType="begin">
                <w:ffData>
                  <w:name w:val="Check5"/>
                  <w:enabled/>
                  <w:calcOnExit w:val="0"/>
                  <w:checkBox>
                    <w:sizeAuto/>
                    <w:default w:val="0"/>
                  </w:checkBox>
                </w:ffData>
              </w:fldChar>
            </w:r>
            <w:r>
              <w:instrText xml:space="preserve"> FORMCHECKBOX </w:instrText>
            </w:r>
            <w:r w:rsidR="00575871">
              <w:fldChar w:fldCharType="separate"/>
            </w:r>
            <w:r>
              <w:fldChar w:fldCharType="end"/>
            </w:r>
            <w:r>
              <w:t>Midwives</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Condition:</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Chronic migraine</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rPr>
                <w:b/>
              </w:rPr>
              <w:t>Treatment phase:</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 xml:space="preserve">Initial </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lastRenderedPageBreak/>
              <w:t>Restriction:</w:t>
            </w:r>
          </w:p>
          <w:p w:rsidR="0072310B" w:rsidRDefault="00783925">
            <w:pPr>
              <w:pStyle w:val="Tabletext"/>
            </w:pPr>
            <w:r>
              <w:t>General Schedule</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fldChar w:fldCharType="begin">
                <w:ffData>
                  <w:name w:val="Check1"/>
                  <w:enabled/>
                  <w:calcOnExit w:val="0"/>
                  <w:checkBox>
                    <w:sizeAuto/>
                    <w:default w:val="0"/>
                  </w:checkBox>
                </w:ffData>
              </w:fldChar>
            </w:r>
            <w:r>
              <w:instrText xml:space="preserve"> FORMCHECKBOX </w:instrText>
            </w:r>
            <w:r w:rsidR="00575871">
              <w:fldChar w:fldCharType="separate"/>
            </w:r>
            <w:r>
              <w:fldChar w:fldCharType="end"/>
            </w:r>
            <w:r>
              <w:t>Restricted benefit</w:t>
            </w:r>
          </w:p>
          <w:p w:rsidR="0072310B" w:rsidRDefault="00783925">
            <w:pPr>
              <w:pStyle w:val="Tabletext"/>
            </w:pPr>
            <w:r>
              <w:fldChar w:fldCharType="begin">
                <w:ffData>
                  <w:name w:val=""/>
                  <w:enabled/>
                  <w:calcOnExit w:val="0"/>
                  <w:checkBox>
                    <w:sizeAuto/>
                    <w:default w:val="0"/>
                  </w:checkBox>
                </w:ffData>
              </w:fldChar>
            </w:r>
            <w:r>
              <w:instrText xml:space="preserve"> FORMCHECKBOX </w:instrText>
            </w:r>
            <w:r w:rsidR="00575871">
              <w:fldChar w:fldCharType="separate"/>
            </w:r>
            <w:r>
              <w:fldChar w:fldCharType="end"/>
            </w:r>
            <w:r>
              <w:t>Authority Required - In Writing</w:t>
            </w:r>
          </w:p>
          <w:p w:rsidR="0072310B" w:rsidRDefault="00783925">
            <w:pPr>
              <w:pStyle w:val="Tabletext"/>
            </w:pPr>
            <w:r>
              <w:fldChar w:fldCharType="begin">
                <w:ffData>
                  <w:name w:val="Check3"/>
                  <w:enabled/>
                  <w:calcOnExit w:val="0"/>
                  <w:checkBox>
                    <w:sizeAuto/>
                    <w:default w:val="0"/>
                  </w:checkBox>
                </w:ffData>
              </w:fldChar>
            </w:r>
            <w:r>
              <w:instrText xml:space="preserve"> FORMCHECKBOX </w:instrText>
            </w:r>
            <w:r w:rsidR="00575871">
              <w:fldChar w:fldCharType="separate"/>
            </w:r>
            <w:r>
              <w:fldChar w:fldCharType="end"/>
            </w:r>
            <w:r>
              <w:t>Authority Required - Telephone</w:t>
            </w:r>
          </w:p>
          <w:p w:rsidR="0072310B" w:rsidRDefault="00783925">
            <w:pPr>
              <w:pStyle w:val="Tabletext"/>
            </w:pPr>
            <w:r>
              <w:fldChar w:fldCharType="begin">
                <w:ffData>
                  <w:name w:val=""/>
                  <w:enabled/>
                  <w:calcOnExit w:val="0"/>
                  <w:checkBox>
                    <w:sizeAuto/>
                    <w:default w:val="0"/>
                  </w:checkBox>
                </w:ffData>
              </w:fldChar>
            </w:r>
            <w:r>
              <w:instrText xml:space="preserve"> FORMCHECKBOX </w:instrText>
            </w:r>
            <w:r w:rsidR="00575871">
              <w:fldChar w:fldCharType="separate"/>
            </w:r>
            <w:r>
              <w:fldChar w:fldCharType="end"/>
            </w:r>
            <w:r>
              <w:t>Authority Required – Emergency</w:t>
            </w:r>
          </w:p>
          <w:p w:rsidR="0072310B" w:rsidRDefault="00783925">
            <w:pPr>
              <w:pStyle w:val="Tabletext"/>
            </w:pPr>
            <w:r>
              <w:fldChar w:fldCharType="begin">
                <w:ffData>
                  <w:name w:val="Check5"/>
                  <w:enabled/>
                  <w:calcOnExit w:val="0"/>
                  <w:checkBox>
                    <w:sizeAuto/>
                    <w:default w:val="0"/>
                  </w:checkBox>
                </w:ffData>
              </w:fldChar>
            </w:r>
            <w:r>
              <w:instrText xml:space="preserve"> FORMCHECKBOX </w:instrText>
            </w:r>
            <w:r w:rsidR="00575871">
              <w:fldChar w:fldCharType="separate"/>
            </w:r>
            <w:r>
              <w:fldChar w:fldCharType="end"/>
            </w:r>
            <w:r>
              <w:t>Authority Required - Electronic</w:t>
            </w:r>
          </w:p>
          <w:p w:rsidR="0072310B" w:rsidRDefault="00783925">
            <w:pPr>
              <w:pStyle w:val="Tabletext"/>
              <w:rPr>
                <w:rFonts w:cs="Arial"/>
              </w:rPr>
            </w:pPr>
            <w:r>
              <w:fldChar w:fldCharType="begin">
                <w:ffData>
                  <w:name w:val=""/>
                  <w:enabled/>
                  <w:calcOnExit w:val="0"/>
                  <w:checkBox>
                    <w:sizeAuto/>
                    <w:default w:val="1"/>
                  </w:checkBox>
                </w:ffData>
              </w:fldChar>
            </w:r>
            <w:r>
              <w:instrText xml:space="preserve"> FORMCHECKBOX </w:instrText>
            </w:r>
            <w:r w:rsidR="00575871">
              <w:fldChar w:fldCharType="separate"/>
            </w:r>
            <w:r>
              <w:fldChar w:fldCharType="end"/>
            </w:r>
            <w:r>
              <w:t>Streamlined</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rPr>
                <w:b/>
              </w:rPr>
              <w:t>Treatment criteria:</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rFonts w:cs="Arial"/>
              </w:rPr>
            </w:pPr>
            <w:r>
              <w:t xml:space="preserve">Must be treated by a neurologist </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rPr>
                <w:b/>
              </w:rPr>
              <w:t>Clinical criteria:</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Patient must have previously received PBS-subsidised treatment with this drug for this condition</w:t>
            </w:r>
          </w:p>
          <w:p w:rsidR="0072310B" w:rsidRDefault="00783925">
            <w:pPr>
              <w:pStyle w:val="Tabletext"/>
            </w:pPr>
            <w:r>
              <w:t>AND</w:t>
            </w:r>
          </w:p>
          <w:p w:rsidR="0072310B" w:rsidRDefault="00783925">
            <w:pPr>
              <w:pStyle w:val="Tabletext"/>
            </w:pPr>
            <w:r>
              <w:t xml:space="preserve">Patient must have experienced an average of 15 or more headache days per month, with at least 8 days of migraine, over a period of at least 6 months, prior to commencement of treatment with this drug for this condition </w:t>
            </w:r>
          </w:p>
          <w:p w:rsidR="0072310B" w:rsidRDefault="00783925">
            <w:pPr>
              <w:pStyle w:val="Tabletext"/>
            </w:pPr>
            <w:r>
              <w:t>AND</w:t>
            </w:r>
          </w:p>
          <w:p w:rsidR="0072310B" w:rsidRDefault="00783925">
            <w:pPr>
              <w:pStyle w:val="Tabletext"/>
            </w:pPr>
            <w:r>
              <w:t xml:space="preserve">Patient must have experienced an inadequate response, intolerance or a contraindication to at least three prophylactic migraine medications prior to commencement of treatment with this drug for this condition </w:t>
            </w:r>
          </w:p>
          <w:p w:rsidR="0072310B" w:rsidRDefault="00783925">
            <w:pPr>
              <w:pStyle w:val="Tabletext"/>
            </w:pPr>
            <w:r>
              <w:t>AND</w:t>
            </w:r>
          </w:p>
          <w:p w:rsidR="0072310B" w:rsidRDefault="00783925">
            <w:pPr>
              <w:pStyle w:val="Tabletext"/>
            </w:pPr>
            <w:r>
              <w:t>The treatment must not be in combination with botulinum toxin</w:t>
            </w:r>
          </w:p>
          <w:p w:rsidR="0072310B" w:rsidRDefault="00783925">
            <w:pPr>
              <w:pStyle w:val="Tabletext"/>
            </w:pPr>
            <w:r>
              <w:t>AND</w:t>
            </w:r>
          </w:p>
          <w:p w:rsidR="0072310B" w:rsidRDefault="00783925">
            <w:pPr>
              <w:pStyle w:val="Tabletext"/>
            </w:pPr>
            <w:r>
              <w:t xml:space="preserve">Patient must be appropriately managed for medication overuse headache, prior to initiation of treatment with this drug </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Population criteria:</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Patient must be aged 18 years or older</w:t>
            </w:r>
          </w:p>
        </w:tc>
      </w:tr>
      <w:tr w:rsidR="0072310B">
        <w:trPr>
          <w:cantSplit/>
          <w:trHeight w:val="296"/>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Prescriber Instructions:</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Prophylactic migraine medications are propranolol, amitriptyline, pizotifen, candesartan, verapamil, nortriptyline, sodium valproate or topiramate.</w:t>
            </w:r>
          </w:p>
        </w:tc>
      </w:tr>
    </w:tbl>
    <w:p w:rsidR="0072310B" w:rsidRDefault="0072310B">
      <w:pPr>
        <w:jc w:val="left"/>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376"/>
        <w:gridCol w:w="1137"/>
        <w:gridCol w:w="990"/>
        <w:gridCol w:w="800"/>
        <w:gridCol w:w="236"/>
        <w:gridCol w:w="3488"/>
      </w:tblGrid>
      <w:tr w:rsidR="0072310B">
        <w:tc>
          <w:tcPr>
            <w:tcW w:w="2376" w:type="dxa"/>
            <w:vAlign w:val="center"/>
          </w:tcPr>
          <w:p w:rsidR="0072310B" w:rsidRDefault="00783925">
            <w:pPr>
              <w:rPr>
                <w:rFonts w:ascii="Arial Narrow" w:hAnsi="Arial Narrow"/>
                <w:b/>
                <w:bCs/>
                <w:sz w:val="20"/>
                <w:szCs w:val="20"/>
              </w:rPr>
            </w:pPr>
            <w:r>
              <w:rPr>
                <w:rFonts w:ascii="Arial Narrow" w:hAnsi="Arial Narrow"/>
                <w:b/>
                <w:sz w:val="20"/>
                <w:szCs w:val="20"/>
              </w:rPr>
              <w:t>Name, restriction, manner of administration, form</w:t>
            </w:r>
          </w:p>
        </w:tc>
        <w:tc>
          <w:tcPr>
            <w:tcW w:w="1137" w:type="dxa"/>
            <w:vAlign w:val="center"/>
          </w:tcPr>
          <w:p w:rsidR="0072310B" w:rsidRDefault="00783925">
            <w:pPr>
              <w:rPr>
                <w:rFonts w:ascii="Arial Narrow" w:hAnsi="Arial Narrow"/>
                <w:b/>
                <w:bCs/>
                <w:sz w:val="20"/>
                <w:szCs w:val="20"/>
              </w:rPr>
            </w:pPr>
            <w:r>
              <w:rPr>
                <w:rFonts w:ascii="Arial Narrow" w:hAnsi="Arial Narrow"/>
                <w:b/>
                <w:sz w:val="20"/>
                <w:szCs w:val="20"/>
              </w:rPr>
              <w:t>Maximum quantity (packs)</w:t>
            </w:r>
          </w:p>
        </w:tc>
        <w:tc>
          <w:tcPr>
            <w:tcW w:w="990" w:type="dxa"/>
            <w:vAlign w:val="center"/>
          </w:tcPr>
          <w:p w:rsidR="0072310B" w:rsidRDefault="00783925">
            <w:pPr>
              <w:rPr>
                <w:rFonts w:ascii="Arial Narrow" w:hAnsi="Arial Narrow"/>
                <w:b/>
                <w:bCs/>
                <w:sz w:val="20"/>
                <w:szCs w:val="20"/>
              </w:rPr>
            </w:pPr>
            <w:r>
              <w:rPr>
                <w:rFonts w:ascii="Arial Narrow" w:hAnsi="Arial Narrow"/>
                <w:b/>
                <w:sz w:val="20"/>
                <w:szCs w:val="20"/>
              </w:rPr>
              <w:t>Maximum quantity (units)</w:t>
            </w:r>
          </w:p>
        </w:tc>
        <w:tc>
          <w:tcPr>
            <w:tcW w:w="800" w:type="dxa"/>
            <w:vAlign w:val="center"/>
          </w:tcPr>
          <w:p w:rsidR="0072310B" w:rsidRDefault="00783925">
            <w:pPr>
              <w:rPr>
                <w:rFonts w:ascii="Arial Narrow" w:hAnsi="Arial Narrow"/>
                <w:b/>
                <w:bCs/>
                <w:sz w:val="20"/>
                <w:szCs w:val="20"/>
              </w:rPr>
            </w:pPr>
            <w:r>
              <w:rPr>
                <w:rFonts w:ascii="Arial Narrow" w:hAnsi="Arial Narrow"/>
                <w:b/>
                <w:sz w:val="20"/>
                <w:szCs w:val="20"/>
              </w:rPr>
              <w:t>No. of repeats</w:t>
            </w:r>
          </w:p>
        </w:tc>
        <w:tc>
          <w:tcPr>
            <w:tcW w:w="236" w:type="dxa"/>
            <w:tcBorders>
              <w:bottom w:val="single" w:sz="4" w:space="0" w:color="auto"/>
            </w:tcBorders>
            <w:vAlign w:val="center"/>
          </w:tcPr>
          <w:p w:rsidR="0072310B" w:rsidRDefault="0072310B">
            <w:pPr>
              <w:rPr>
                <w:rFonts w:ascii="Arial Narrow" w:hAnsi="Arial Narrow"/>
                <w:b/>
                <w:bCs/>
                <w:sz w:val="20"/>
                <w:szCs w:val="20"/>
              </w:rPr>
            </w:pPr>
          </w:p>
        </w:tc>
        <w:tc>
          <w:tcPr>
            <w:tcW w:w="3488" w:type="dxa"/>
            <w:vAlign w:val="center"/>
          </w:tcPr>
          <w:p w:rsidR="0072310B" w:rsidRDefault="00783925">
            <w:pPr>
              <w:rPr>
                <w:rFonts w:ascii="Arial Narrow" w:hAnsi="Arial Narrow"/>
                <w:b/>
                <w:bCs/>
                <w:sz w:val="20"/>
                <w:szCs w:val="20"/>
              </w:rPr>
            </w:pPr>
            <w:r>
              <w:rPr>
                <w:rFonts w:ascii="Arial Narrow" w:hAnsi="Arial Narrow"/>
                <w:b/>
                <w:sz w:val="20"/>
                <w:szCs w:val="20"/>
              </w:rPr>
              <w:t>Proprietary name and manufacturer</w:t>
            </w:r>
          </w:p>
        </w:tc>
      </w:tr>
      <w:tr w:rsidR="0072310B">
        <w:tc>
          <w:tcPr>
            <w:tcW w:w="2376" w:type="dxa"/>
            <w:vAlign w:val="center"/>
          </w:tcPr>
          <w:p w:rsidR="0072310B" w:rsidRDefault="00783925">
            <w:pPr>
              <w:pStyle w:val="Tabletext"/>
            </w:pPr>
            <w:r>
              <w:t>GALCANEZUMAB</w:t>
            </w:r>
          </w:p>
          <w:p w:rsidR="0072310B" w:rsidRDefault="00783925">
            <w:pPr>
              <w:pStyle w:val="Tabletext"/>
            </w:pPr>
            <w:r>
              <w:t>120 mg/1 mL, pre-filled pen</w:t>
            </w:r>
          </w:p>
        </w:tc>
        <w:tc>
          <w:tcPr>
            <w:tcW w:w="1137" w:type="dxa"/>
            <w:vAlign w:val="center"/>
          </w:tcPr>
          <w:p w:rsidR="0072310B" w:rsidRDefault="00783925">
            <w:pPr>
              <w:pStyle w:val="Tabletext"/>
              <w:jc w:val="center"/>
            </w:pPr>
            <w:r>
              <w:t>1</w:t>
            </w:r>
          </w:p>
        </w:tc>
        <w:tc>
          <w:tcPr>
            <w:tcW w:w="990" w:type="dxa"/>
            <w:vAlign w:val="center"/>
          </w:tcPr>
          <w:p w:rsidR="0072310B" w:rsidRDefault="00783925">
            <w:pPr>
              <w:pStyle w:val="Tabletext"/>
              <w:jc w:val="center"/>
            </w:pPr>
            <w:r>
              <w:t>1</w:t>
            </w:r>
          </w:p>
        </w:tc>
        <w:tc>
          <w:tcPr>
            <w:tcW w:w="800" w:type="dxa"/>
            <w:vAlign w:val="center"/>
          </w:tcPr>
          <w:p w:rsidR="0072310B" w:rsidRDefault="00783925">
            <w:pPr>
              <w:pStyle w:val="Tabletext"/>
              <w:jc w:val="center"/>
            </w:pPr>
            <w:r>
              <w:t>5</w:t>
            </w:r>
          </w:p>
        </w:tc>
        <w:tc>
          <w:tcPr>
            <w:tcW w:w="236" w:type="dxa"/>
            <w:tcBorders>
              <w:right w:val="single" w:sz="4" w:space="0" w:color="auto"/>
            </w:tcBorders>
            <w:vAlign w:val="center"/>
          </w:tcPr>
          <w:p w:rsidR="0072310B" w:rsidRDefault="0072310B">
            <w:pPr>
              <w:pStyle w:val="Tabletext"/>
            </w:pPr>
          </w:p>
        </w:tc>
        <w:tc>
          <w:tcPr>
            <w:tcW w:w="3488" w:type="dxa"/>
            <w:tcBorders>
              <w:left w:val="single" w:sz="4" w:space="0" w:color="auto"/>
            </w:tcBorders>
            <w:vAlign w:val="center"/>
          </w:tcPr>
          <w:p w:rsidR="0072310B" w:rsidRDefault="00783925">
            <w:pPr>
              <w:pStyle w:val="Tabletext"/>
            </w:pPr>
            <w:r>
              <w:t>Emgality</w:t>
            </w:r>
            <w:r>
              <w:rPr>
                <w:vertAlign w:val="superscript"/>
              </w:rPr>
              <w:sym w:font="Symbol" w:char="F0D2"/>
            </w:r>
            <w:r>
              <w:t xml:space="preserve"> Eli Lilly Australia Pty Ltd</w:t>
            </w:r>
          </w:p>
        </w:tc>
      </w:tr>
    </w:tbl>
    <w:p w:rsidR="0072310B" w:rsidRDefault="0072310B"/>
    <w:tbl>
      <w:tblPr>
        <w:tblW w:w="5000" w:type="pct"/>
        <w:tblLook w:val="0000" w:firstRow="0" w:lastRow="0" w:firstColumn="0" w:lastColumn="0" w:noHBand="0" w:noVBand="0"/>
      </w:tblPr>
      <w:tblGrid>
        <w:gridCol w:w="3149"/>
        <w:gridCol w:w="5868"/>
      </w:tblGrid>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Treatment phase:</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Continuing</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Treatment criteria:</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 xml:space="preserve">Must be treated by or in consultation with a neurologist </w:t>
            </w:r>
          </w:p>
        </w:tc>
      </w:tr>
      <w:tr w:rsidR="0072310B">
        <w:trPr>
          <w:cantSplit/>
        </w:trPr>
        <w:tc>
          <w:tcPr>
            <w:tcW w:w="1746"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rPr>
                <w:b/>
              </w:rPr>
            </w:pPr>
            <w:r>
              <w:rPr>
                <w:b/>
              </w:rPr>
              <w:t>Clinical criteria:</w:t>
            </w:r>
          </w:p>
        </w:tc>
        <w:tc>
          <w:tcPr>
            <w:tcW w:w="3254" w:type="pct"/>
            <w:tcBorders>
              <w:top w:val="single" w:sz="4" w:space="0" w:color="auto"/>
              <w:left w:val="single" w:sz="4" w:space="0" w:color="auto"/>
              <w:bottom w:val="single" w:sz="4" w:space="0" w:color="auto"/>
              <w:right w:val="single" w:sz="4" w:space="0" w:color="auto"/>
            </w:tcBorders>
            <w:vAlign w:val="center"/>
          </w:tcPr>
          <w:p w:rsidR="0072310B" w:rsidRDefault="00783925">
            <w:pPr>
              <w:pStyle w:val="Tabletext"/>
            </w:pPr>
            <w:r>
              <w:t>Patient must have previously received PBS-subsidised treatment with this drug for this condition</w:t>
            </w:r>
          </w:p>
          <w:p w:rsidR="0072310B" w:rsidRDefault="00783925">
            <w:pPr>
              <w:pStyle w:val="Tabletext"/>
            </w:pPr>
            <w:r>
              <w:t>AND</w:t>
            </w:r>
          </w:p>
          <w:p w:rsidR="0072310B" w:rsidRDefault="00783925">
            <w:pPr>
              <w:pStyle w:val="Tabletext"/>
            </w:pPr>
            <w:r>
              <w:t>Patient must have achieved and maintained a 50% or greater reduction from baseline in the number of migraine headache days per month in order to be eligible for continuing PBS-subsidised treatment</w:t>
            </w:r>
          </w:p>
          <w:p w:rsidR="0072310B" w:rsidRDefault="00783925">
            <w:pPr>
              <w:pStyle w:val="Tabletext"/>
            </w:pPr>
            <w:r>
              <w:t>AND</w:t>
            </w:r>
          </w:p>
          <w:p w:rsidR="0072310B" w:rsidRDefault="00783925">
            <w:pPr>
              <w:pStyle w:val="Tabletext"/>
            </w:pPr>
            <w:r>
              <w:t>The treatment must not be in combination with botulinum toxin</w:t>
            </w:r>
          </w:p>
          <w:p w:rsidR="0072310B" w:rsidRDefault="00783925">
            <w:pPr>
              <w:pStyle w:val="Tabletext"/>
            </w:pPr>
            <w:r>
              <w:t>AND</w:t>
            </w:r>
          </w:p>
          <w:p w:rsidR="0072310B" w:rsidRDefault="00783925">
            <w:pPr>
              <w:pStyle w:val="Tabletext"/>
            </w:pPr>
            <w:r>
              <w:t>Patient must continue to be appropriately managed for medication overuse headache</w:t>
            </w:r>
          </w:p>
        </w:tc>
      </w:tr>
    </w:tbl>
    <w:p w:rsidR="0072310B" w:rsidRDefault="0072310B">
      <w:pPr>
        <w:spacing w:after="120"/>
        <w:jc w:val="left"/>
        <w:rPr>
          <w:b/>
          <w:u w:val="single"/>
        </w:rPr>
      </w:pPr>
    </w:p>
    <w:p w:rsidR="00927809" w:rsidRDefault="00783925">
      <w:pPr>
        <w:pStyle w:val="ListParagraph"/>
        <w:numPr>
          <w:ilvl w:val="1"/>
          <w:numId w:val="3"/>
        </w:numPr>
        <w:spacing w:after="120"/>
      </w:pPr>
      <w:r>
        <w:t>The Botox criteria should be updated to reflect the revised li</w:t>
      </w:r>
      <w:r w:rsidR="00927809">
        <w:t>st of prophylactic medications.</w:t>
      </w:r>
    </w:p>
    <w:p w:rsidR="00927809" w:rsidRDefault="00927809">
      <w:pPr>
        <w:jc w:val="left"/>
      </w:pPr>
      <w:r>
        <w:br w:type="page"/>
      </w:r>
    </w:p>
    <w:p w:rsidR="0072310B" w:rsidRDefault="00783925">
      <w:pPr>
        <w:pStyle w:val="PBACHeading1"/>
        <w:spacing w:after="120"/>
      </w:pPr>
      <w:r>
        <w:lastRenderedPageBreak/>
        <w:t>Context for Decision</w:t>
      </w:r>
    </w:p>
    <w:p w:rsidR="0072310B" w:rsidRDefault="00783925">
      <w:pPr>
        <w:rPr>
          <w:rFonts w:asciiTheme="minorHAnsi" w:hAnsiTheme="minorHAnsi" w:cs="Arial"/>
        </w:rPr>
      </w:pPr>
      <w:r>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2310B" w:rsidRDefault="0072310B">
      <w:pPr>
        <w:rPr>
          <w:rFonts w:asciiTheme="minorHAnsi" w:hAnsiTheme="minorHAnsi" w:cs="Arial"/>
        </w:rPr>
      </w:pPr>
    </w:p>
    <w:p w:rsidR="0072310B" w:rsidRDefault="00783925">
      <w:pPr>
        <w:pStyle w:val="PBACHeading1"/>
        <w:spacing w:after="120"/>
      </w:pPr>
      <w:r>
        <w:t>Sponsor’s Comments</w:t>
      </w:r>
    </w:p>
    <w:p w:rsidR="00437861" w:rsidRPr="00437861" w:rsidRDefault="000B4825" w:rsidP="00437861">
      <w:pPr>
        <w:spacing w:after="120" w:line="276" w:lineRule="auto"/>
        <w:rPr>
          <w:rFonts w:asciiTheme="minorHAnsi" w:eastAsiaTheme="minorHAnsi" w:hAnsiTheme="minorHAnsi" w:cs="Arial"/>
          <w:bCs/>
        </w:rPr>
      </w:pPr>
      <w:r>
        <w:rPr>
          <w:rFonts w:asciiTheme="minorHAnsi" w:eastAsiaTheme="minorHAnsi" w:hAnsiTheme="minorHAnsi" w:cs="Arial"/>
          <w:bCs/>
        </w:rPr>
        <w:t>The s</w:t>
      </w:r>
      <w:r w:rsidR="001F7D2A">
        <w:rPr>
          <w:rFonts w:asciiTheme="minorHAnsi" w:eastAsiaTheme="minorHAnsi" w:hAnsiTheme="minorHAnsi" w:cs="Arial"/>
          <w:bCs/>
        </w:rPr>
        <w:t>ponsor had no comment.</w:t>
      </w:r>
    </w:p>
    <w:sectPr w:rsidR="00437861" w:rsidRPr="00437861">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322F0C" w16cid:durableId="20BA64F0"/>
  <w16cid:commentId w16cid:paraId="3C105BBC" w16cid:durableId="20BA6617"/>
  <w16cid:commentId w16cid:paraId="7F3A40FB" w16cid:durableId="20BA63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C57" w:rsidRDefault="005E1C57">
      <w:r>
        <w:separator/>
      </w:r>
    </w:p>
    <w:p w:rsidR="005E1C57" w:rsidRDefault="005E1C57"/>
  </w:endnote>
  <w:endnote w:type="continuationSeparator" w:id="0">
    <w:p w:rsidR="005E1C57" w:rsidRDefault="005E1C57">
      <w:r>
        <w:continuationSeparator/>
      </w:r>
    </w:p>
    <w:p w:rsidR="005E1C57" w:rsidRDefault="005E1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C57" w:rsidRDefault="005E1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C57" w:rsidRDefault="005E1C57">
    <w:pPr>
      <w:ind w:right="360"/>
      <w:jc w:val="center"/>
      <w:rPr>
        <w:b/>
        <w:sz w:val="20"/>
      </w:rPr>
    </w:pPr>
  </w:p>
  <w:p w:rsidR="005E1C57" w:rsidRDefault="005E1C57">
    <w:pPr>
      <w:ind w:right="360"/>
      <w:jc w:val="center"/>
      <w:rPr>
        <w:b/>
        <w:sz w:val="20"/>
      </w:rPr>
    </w:pPr>
    <w:r>
      <w:rPr>
        <w:b/>
        <w:sz w:val="20"/>
      </w:rPr>
      <w:t xml:space="preserve"> </w:t>
    </w:r>
    <w:r>
      <w:rPr>
        <w:b/>
        <w:sz w:val="20"/>
      </w:rPr>
      <w:fldChar w:fldCharType="begin"/>
    </w:r>
    <w:r>
      <w:rPr>
        <w:b/>
        <w:sz w:val="20"/>
      </w:rPr>
      <w:instrText xml:space="preserve"> PAGE   \* MERGEFORMAT </w:instrText>
    </w:r>
    <w:r>
      <w:rPr>
        <w:b/>
        <w:sz w:val="20"/>
      </w:rPr>
      <w:fldChar w:fldCharType="separate"/>
    </w:r>
    <w:r w:rsidR="00575871">
      <w:rPr>
        <w:b/>
        <w:noProof/>
        <w:sz w:val="20"/>
      </w:rPr>
      <w:t>5</w:t>
    </w:r>
    <w:r>
      <w:rPr>
        <w:b/>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C57" w:rsidRDefault="005E1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C57" w:rsidRDefault="005E1C57">
      <w:r>
        <w:separator/>
      </w:r>
    </w:p>
    <w:p w:rsidR="005E1C57" w:rsidRDefault="005E1C57"/>
  </w:footnote>
  <w:footnote w:type="continuationSeparator" w:id="0">
    <w:p w:rsidR="005E1C57" w:rsidRDefault="005E1C57">
      <w:r>
        <w:continuationSeparator/>
      </w:r>
    </w:p>
    <w:p w:rsidR="005E1C57" w:rsidRDefault="005E1C57"/>
  </w:footnote>
  <w:footnote w:id="1">
    <w:p w:rsidR="005E1C57" w:rsidRDefault="005E1C5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Manack, A., Buse, D. C., Serrano, D., Turkel, C. C. &amp; Lipton, R. B. Rates, predictors, and consequences of remission from chronic migraine to episodic migraine. </w:t>
      </w:r>
      <w:r>
        <w:rPr>
          <w:rFonts w:asciiTheme="minorHAnsi" w:hAnsiTheme="minorHAnsi" w:cstheme="minorHAnsi"/>
          <w:i/>
        </w:rPr>
        <w:t>Neurology</w:t>
      </w:r>
      <w:r>
        <w:rPr>
          <w:rFonts w:asciiTheme="minorHAnsi" w:hAnsiTheme="minorHAnsi" w:cstheme="minorHAnsi"/>
        </w:rPr>
        <w:t xml:space="preserve"> 76, 711–718 (2011)</w:t>
      </w:r>
    </w:p>
  </w:footnote>
  <w:footnote w:id="2">
    <w:p w:rsidR="005E1C57" w:rsidRDefault="005E1C57">
      <w:pPr>
        <w:pStyle w:val="FootnoteText"/>
      </w:pPr>
      <w:r>
        <w:rPr>
          <w:rStyle w:val="FootnoteReference"/>
        </w:rPr>
        <w:footnoteRef/>
      </w:r>
      <w:r>
        <w:t xml:space="preserve"> </w:t>
      </w:r>
      <w:r>
        <w:rPr>
          <w:i/>
        </w:rPr>
        <w:t>2 x 4.33 = 8.66, rounded up to 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C57" w:rsidRDefault="005E1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C57" w:rsidRDefault="005E1C57">
    <w:pPr>
      <w:pStyle w:val="Header"/>
      <w:ind w:left="360"/>
      <w:jc w:val="center"/>
      <w:rPr>
        <w:rFonts w:asciiTheme="minorHAnsi" w:hAnsiTheme="minorHAnsi" w:cs="Arial"/>
        <w:i/>
      </w:rPr>
    </w:pPr>
    <w:r>
      <w:rPr>
        <w:rFonts w:asciiTheme="minorHAnsi" w:hAnsiTheme="minorHAnsi" w:cs="Arial"/>
        <w:i/>
      </w:rPr>
      <w:t>Public Summary Document – July 2019 PBAC Meeting</w:t>
    </w:r>
  </w:p>
  <w:p w:rsidR="005E1C57" w:rsidRDefault="005E1C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C57" w:rsidRDefault="005E1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CB6BE3E"/>
    <w:lvl w:ilvl="0">
      <w:start w:val="1"/>
      <w:numFmt w:val="decimal"/>
      <w:lvlText w:val="%1."/>
      <w:lvlJc w:val="left"/>
      <w:pPr>
        <w:tabs>
          <w:tab w:val="num" w:pos="360"/>
        </w:tabs>
        <w:ind w:left="360" w:hanging="360"/>
      </w:pPr>
    </w:lvl>
  </w:abstractNum>
  <w:abstractNum w:abstractNumId="1"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05138"/>
    <w:multiLevelType w:val="hybridMultilevel"/>
    <w:tmpl w:val="CA2CA0CE"/>
    <w:lvl w:ilvl="0" w:tplc="842865A6">
      <w:start w:val="1"/>
      <w:numFmt w:val="bullet"/>
      <w:pStyle w:val="Dash0"/>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B775C"/>
    <w:multiLevelType w:val="multilevel"/>
    <w:tmpl w:val="E6FE4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C616AB"/>
    <w:multiLevelType w:val="hybridMultilevel"/>
    <w:tmpl w:val="A336FBA0"/>
    <w:lvl w:ilvl="0" w:tplc="1C007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34EA8"/>
    <w:multiLevelType w:val="hybridMultilevel"/>
    <w:tmpl w:val="8EF4A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27E70"/>
    <w:multiLevelType w:val="hybridMultilevel"/>
    <w:tmpl w:val="DADA8D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117860"/>
    <w:multiLevelType w:val="hybridMultilevel"/>
    <w:tmpl w:val="90549320"/>
    <w:lvl w:ilvl="0" w:tplc="D5C46C36">
      <w:start w:val="1"/>
      <w:numFmt w:val="bullet"/>
      <w:lvlText w:val="•"/>
      <w:lvlJc w:val="left"/>
      <w:pPr>
        <w:tabs>
          <w:tab w:val="num" w:pos="720"/>
        </w:tabs>
        <w:ind w:left="720" w:hanging="360"/>
      </w:pPr>
      <w:rPr>
        <w:rFonts w:ascii="Arial" w:hAnsi="Arial" w:hint="default"/>
      </w:rPr>
    </w:lvl>
    <w:lvl w:ilvl="1" w:tplc="CC5EBFE4">
      <w:start w:val="1"/>
      <w:numFmt w:val="bullet"/>
      <w:lvlText w:val="•"/>
      <w:lvlJc w:val="left"/>
      <w:pPr>
        <w:tabs>
          <w:tab w:val="num" w:pos="1440"/>
        </w:tabs>
        <w:ind w:left="1440" w:hanging="360"/>
      </w:pPr>
      <w:rPr>
        <w:rFonts w:ascii="Arial" w:hAnsi="Arial" w:hint="default"/>
      </w:rPr>
    </w:lvl>
    <w:lvl w:ilvl="2" w:tplc="31447228" w:tentative="1">
      <w:start w:val="1"/>
      <w:numFmt w:val="bullet"/>
      <w:lvlText w:val="•"/>
      <w:lvlJc w:val="left"/>
      <w:pPr>
        <w:tabs>
          <w:tab w:val="num" w:pos="2160"/>
        </w:tabs>
        <w:ind w:left="2160" w:hanging="360"/>
      </w:pPr>
      <w:rPr>
        <w:rFonts w:ascii="Arial" w:hAnsi="Arial" w:hint="default"/>
      </w:rPr>
    </w:lvl>
    <w:lvl w:ilvl="3" w:tplc="E41CAFD2" w:tentative="1">
      <w:start w:val="1"/>
      <w:numFmt w:val="bullet"/>
      <w:lvlText w:val="•"/>
      <w:lvlJc w:val="left"/>
      <w:pPr>
        <w:tabs>
          <w:tab w:val="num" w:pos="2880"/>
        </w:tabs>
        <w:ind w:left="2880" w:hanging="360"/>
      </w:pPr>
      <w:rPr>
        <w:rFonts w:ascii="Arial" w:hAnsi="Arial" w:hint="default"/>
      </w:rPr>
    </w:lvl>
    <w:lvl w:ilvl="4" w:tplc="B37ACE58" w:tentative="1">
      <w:start w:val="1"/>
      <w:numFmt w:val="bullet"/>
      <w:lvlText w:val="•"/>
      <w:lvlJc w:val="left"/>
      <w:pPr>
        <w:tabs>
          <w:tab w:val="num" w:pos="3600"/>
        </w:tabs>
        <w:ind w:left="3600" w:hanging="360"/>
      </w:pPr>
      <w:rPr>
        <w:rFonts w:ascii="Arial" w:hAnsi="Arial" w:hint="default"/>
      </w:rPr>
    </w:lvl>
    <w:lvl w:ilvl="5" w:tplc="C34CD106" w:tentative="1">
      <w:start w:val="1"/>
      <w:numFmt w:val="bullet"/>
      <w:lvlText w:val="•"/>
      <w:lvlJc w:val="left"/>
      <w:pPr>
        <w:tabs>
          <w:tab w:val="num" w:pos="4320"/>
        </w:tabs>
        <w:ind w:left="4320" w:hanging="360"/>
      </w:pPr>
      <w:rPr>
        <w:rFonts w:ascii="Arial" w:hAnsi="Arial" w:hint="default"/>
      </w:rPr>
    </w:lvl>
    <w:lvl w:ilvl="6" w:tplc="78001536" w:tentative="1">
      <w:start w:val="1"/>
      <w:numFmt w:val="bullet"/>
      <w:lvlText w:val="•"/>
      <w:lvlJc w:val="left"/>
      <w:pPr>
        <w:tabs>
          <w:tab w:val="num" w:pos="5040"/>
        </w:tabs>
        <w:ind w:left="5040" w:hanging="360"/>
      </w:pPr>
      <w:rPr>
        <w:rFonts w:ascii="Arial" w:hAnsi="Arial" w:hint="default"/>
      </w:rPr>
    </w:lvl>
    <w:lvl w:ilvl="7" w:tplc="FEA25270" w:tentative="1">
      <w:start w:val="1"/>
      <w:numFmt w:val="bullet"/>
      <w:lvlText w:val="•"/>
      <w:lvlJc w:val="left"/>
      <w:pPr>
        <w:tabs>
          <w:tab w:val="num" w:pos="5760"/>
        </w:tabs>
        <w:ind w:left="5760" w:hanging="360"/>
      </w:pPr>
      <w:rPr>
        <w:rFonts w:ascii="Arial" w:hAnsi="Arial" w:hint="default"/>
      </w:rPr>
    </w:lvl>
    <w:lvl w:ilvl="8" w:tplc="2B2E119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B6162"/>
    <w:multiLevelType w:val="hybridMultilevel"/>
    <w:tmpl w:val="774C0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EF0EDC"/>
    <w:multiLevelType w:val="hybridMultilevel"/>
    <w:tmpl w:val="B00C7358"/>
    <w:lvl w:ilvl="0" w:tplc="62805CDA">
      <w:start w:val="1"/>
      <w:numFmt w:val="bullet"/>
      <w:pStyle w:val="Tablebulletlist"/>
      <w:lvlText w:val="•"/>
      <w:lvlJc w:val="left"/>
      <w:pPr>
        <w:ind w:left="468" w:hanging="360"/>
      </w:pPr>
      <w:rPr>
        <w:rFonts w:hint="default"/>
        <w:sz w:val="20"/>
        <w:szCs w:val="20"/>
      </w:rPr>
    </w:lvl>
    <w:lvl w:ilvl="1" w:tplc="B0A8C722">
      <w:start w:val="1"/>
      <w:numFmt w:val="bullet"/>
      <w:lvlText w:val="•"/>
      <w:lvlJc w:val="left"/>
      <w:pPr>
        <w:ind w:left="1061" w:hanging="356"/>
      </w:pPr>
      <w:rPr>
        <w:rFonts w:hint="default"/>
      </w:rPr>
    </w:lvl>
    <w:lvl w:ilvl="2" w:tplc="E0BC4358">
      <w:start w:val="1"/>
      <w:numFmt w:val="bullet"/>
      <w:lvlText w:val="•"/>
      <w:lvlJc w:val="left"/>
      <w:pPr>
        <w:ind w:left="1659" w:hanging="356"/>
      </w:pPr>
      <w:rPr>
        <w:rFonts w:hint="default"/>
      </w:rPr>
    </w:lvl>
    <w:lvl w:ilvl="3" w:tplc="EB8CDDD0">
      <w:start w:val="1"/>
      <w:numFmt w:val="bullet"/>
      <w:lvlText w:val="•"/>
      <w:lvlJc w:val="left"/>
      <w:pPr>
        <w:ind w:left="2257" w:hanging="356"/>
      </w:pPr>
      <w:rPr>
        <w:rFonts w:hint="default"/>
      </w:rPr>
    </w:lvl>
    <w:lvl w:ilvl="4" w:tplc="173E1550">
      <w:start w:val="1"/>
      <w:numFmt w:val="bullet"/>
      <w:lvlText w:val="•"/>
      <w:lvlJc w:val="left"/>
      <w:pPr>
        <w:ind w:left="2854" w:hanging="356"/>
      </w:pPr>
      <w:rPr>
        <w:rFonts w:hint="default"/>
      </w:rPr>
    </w:lvl>
    <w:lvl w:ilvl="5" w:tplc="08865432">
      <w:start w:val="1"/>
      <w:numFmt w:val="bullet"/>
      <w:lvlText w:val="•"/>
      <w:lvlJc w:val="left"/>
      <w:pPr>
        <w:ind w:left="3452" w:hanging="356"/>
      </w:pPr>
      <w:rPr>
        <w:rFonts w:hint="default"/>
      </w:rPr>
    </w:lvl>
    <w:lvl w:ilvl="6" w:tplc="677C8074">
      <w:start w:val="1"/>
      <w:numFmt w:val="bullet"/>
      <w:lvlText w:val="•"/>
      <w:lvlJc w:val="left"/>
      <w:pPr>
        <w:ind w:left="4050" w:hanging="356"/>
      </w:pPr>
      <w:rPr>
        <w:rFonts w:hint="default"/>
      </w:rPr>
    </w:lvl>
    <w:lvl w:ilvl="7" w:tplc="7082A91C">
      <w:start w:val="1"/>
      <w:numFmt w:val="bullet"/>
      <w:lvlText w:val="•"/>
      <w:lvlJc w:val="left"/>
      <w:pPr>
        <w:ind w:left="4648" w:hanging="356"/>
      </w:pPr>
      <w:rPr>
        <w:rFonts w:hint="default"/>
      </w:rPr>
    </w:lvl>
    <w:lvl w:ilvl="8" w:tplc="46545CBA">
      <w:start w:val="1"/>
      <w:numFmt w:val="bullet"/>
      <w:lvlText w:val="•"/>
      <w:lvlJc w:val="left"/>
      <w:pPr>
        <w:ind w:left="5245" w:hanging="356"/>
      </w:pPr>
      <w:rPr>
        <w:rFonts w:hint="default"/>
      </w:rPr>
    </w:lvl>
  </w:abstractNum>
  <w:abstractNum w:abstractNumId="14" w15:restartNumberingAfterBreak="0">
    <w:nsid w:val="4C010A71"/>
    <w:multiLevelType w:val="hybridMultilevel"/>
    <w:tmpl w:val="9DC2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F27ECD"/>
    <w:multiLevelType w:val="hybridMultilevel"/>
    <w:tmpl w:val="EDD4911A"/>
    <w:lvl w:ilvl="0" w:tplc="7B6682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81BB4"/>
    <w:multiLevelType w:val="hybridMultilevel"/>
    <w:tmpl w:val="23B6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51445"/>
    <w:multiLevelType w:val="hybridMultilevel"/>
    <w:tmpl w:val="B63483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AD73A52"/>
    <w:multiLevelType w:val="multilevel"/>
    <w:tmpl w:val="E6FE4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3A458F"/>
    <w:multiLevelType w:val="hybridMultilevel"/>
    <w:tmpl w:val="7EE0FF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97046F"/>
    <w:multiLevelType w:val="hybridMultilevel"/>
    <w:tmpl w:val="A5A2A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4D033C"/>
    <w:multiLevelType w:val="multilevel"/>
    <w:tmpl w:val="13A6246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F83B9D"/>
    <w:multiLevelType w:val="hybridMultilevel"/>
    <w:tmpl w:val="5FEAF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1"/>
  </w:num>
  <w:num w:numId="4">
    <w:abstractNumId w:val="22"/>
  </w:num>
  <w:num w:numId="5">
    <w:abstractNumId w:val="16"/>
  </w:num>
  <w:num w:numId="6">
    <w:abstractNumId w:val="14"/>
  </w:num>
  <w:num w:numId="7">
    <w:abstractNumId w:val="10"/>
  </w:num>
  <w:num w:numId="8">
    <w:abstractNumId w:val="11"/>
  </w:num>
  <w:num w:numId="9">
    <w:abstractNumId w:val="7"/>
  </w:num>
  <w:num w:numId="10">
    <w:abstractNumId w:val="13"/>
  </w:num>
  <w:num w:numId="11">
    <w:abstractNumId w:val="2"/>
  </w:num>
  <w:num w:numId="12">
    <w:abstractNumId w:val="4"/>
  </w:num>
  <w:num w:numId="13">
    <w:abstractNumId w:val="18"/>
  </w:num>
  <w:num w:numId="14">
    <w:abstractNumId w:val="5"/>
  </w:num>
  <w:num w:numId="15">
    <w:abstractNumId w:val="3"/>
  </w:num>
  <w:num w:numId="16">
    <w:abstractNumId w:val="19"/>
  </w:num>
  <w:num w:numId="17">
    <w:abstractNumId w:val="12"/>
  </w:num>
  <w:num w:numId="18">
    <w:abstractNumId w:val="15"/>
  </w:num>
  <w:num w:numId="19">
    <w:abstractNumId w:val="17"/>
  </w:num>
  <w:num w:numId="20">
    <w:abstractNumId w:val="0"/>
  </w:num>
  <w:num w:numId="21">
    <w:abstractNumId w:val="6"/>
  </w:num>
  <w:num w:numId="22">
    <w:abstractNumId w:val="8"/>
  </w:num>
  <w:num w:numId="23">
    <w:abstractNumId w:val="20"/>
  </w:num>
  <w:num w:numId="24">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0B"/>
    <w:rsid w:val="00035C8C"/>
    <w:rsid w:val="000B1CAF"/>
    <w:rsid w:val="000B4825"/>
    <w:rsid w:val="001121A9"/>
    <w:rsid w:val="00170370"/>
    <w:rsid w:val="001B5147"/>
    <w:rsid w:val="001F7D2A"/>
    <w:rsid w:val="00200463"/>
    <w:rsid w:val="00227299"/>
    <w:rsid w:val="002535F9"/>
    <w:rsid w:val="0032101D"/>
    <w:rsid w:val="0043308A"/>
    <w:rsid w:val="00437861"/>
    <w:rsid w:val="004A08A8"/>
    <w:rsid w:val="004C45D0"/>
    <w:rsid w:val="00543B30"/>
    <w:rsid w:val="00554280"/>
    <w:rsid w:val="00575871"/>
    <w:rsid w:val="00587E9A"/>
    <w:rsid w:val="005E1C57"/>
    <w:rsid w:val="00627050"/>
    <w:rsid w:val="00677F47"/>
    <w:rsid w:val="006B1A11"/>
    <w:rsid w:val="0072310B"/>
    <w:rsid w:val="00783925"/>
    <w:rsid w:val="00787712"/>
    <w:rsid w:val="007956B0"/>
    <w:rsid w:val="007F4AAE"/>
    <w:rsid w:val="008318D1"/>
    <w:rsid w:val="00845789"/>
    <w:rsid w:val="00865D51"/>
    <w:rsid w:val="008C2483"/>
    <w:rsid w:val="008D2951"/>
    <w:rsid w:val="008E6022"/>
    <w:rsid w:val="00927809"/>
    <w:rsid w:val="00963115"/>
    <w:rsid w:val="009B62D5"/>
    <w:rsid w:val="009C61E5"/>
    <w:rsid w:val="00A0617C"/>
    <w:rsid w:val="00A55C6C"/>
    <w:rsid w:val="00A72C69"/>
    <w:rsid w:val="00A82843"/>
    <w:rsid w:val="00AC0E0F"/>
    <w:rsid w:val="00B155B7"/>
    <w:rsid w:val="00BE71DF"/>
    <w:rsid w:val="00BF3882"/>
    <w:rsid w:val="00C553CE"/>
    <w:rsid w:val="00CA72EB"/>
    <w:rsid w:val="00CD46F2"/>
    <w:rsid w:val="00D95519"/>
    <w:rsid w:val="00E74866"/>
    <w:rsid w:val="00EA1CFA"/>
    <w:rsid w:val="00ED5EC9"/>
    <w:rsid w:val="00FC4F8D"/>
    <w:rsid w:val="00FF430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15DC47BC-A01C-42BC-AF96-BD41519B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Calibri" w:hAnsi="Calibri"/>
      <w:sz w:val="24"/>
      <w:szCs w:val="24"/>
      <w:lang w:eastAsia="en-US"/>
    </w:rPr>
  </w:style>
  <w:style w:type="paragraph" w:styleId="Heading1">
    <w:name w:val="heading 1"/>
    <w:basedOn w:val="Normal"/>
    <w:next w:val="Normal"/>
    <w:qFormat/>
    <w:pPr>
      <w:ind w:left="720" w:hanging="720"/>
      <w:outlineLvl w:val="0"/>
    </w:pPr>
    <w:rPr>
      <w:b/>
      <w:caps/>
      <w:sz w:val="32"/>
    </w:rPr>
  </w:style>
  <w:style w:type="paragraph" w:styleId="Heading2">
    <w:name w:val="heading 2"/>
    <w:basedOn w:val="Normal"/>
    <w:next w:val="Normal"/>
    <w:link w:val="Heading2Char"/>
    <w:qFormat/>
    <w:pPr>
      <w:outlineLvl w:val="1"/>
    </w:pPr>
    <w:rPr>
      <w:b/>
      <w:i/>
      <w:sz w:val="28"/>
    </w:rPr>
  </w:style>
  <w:style w:type="paragraph" w:styleId="Heading3">
    <w:name w:val="heading 3"/>
    <w:basedOn w:val="Normal"/>
    <w:next w:val="Normal"/>
    <w:pPr>
      <w:outlineLvl w:val="2"/>
    </w:pPr>
    <w:rPr>
      <w:u w:val="single"/>
    </w:rPr>
  </w:style>
  <w:style w:type="paragraph" w:styleId="Heading4">
    <w:name w:val="heading 4"/>
    <w:basedOn w:val="Normal"/>
    <w:next w:val="Normal"/>
    <w:pPr>
      <w:keepNext/>
      <w:spacing w:before="240" w:after="60"/>
      <w:outlineLvl w:val="3"/>
    </w:pPr>
    <w:rPr>
      <w:b/>
      <w:bCs/>
      <w:i/>
      <w:sz w:val="26"/>
      <w:szCs w:val="28"/>
    </w:rPr>
  </w:style>
  <w:style w:type="paragraph" w:styleId="Heading5">
    <w:name w:val="heading 5"/>
    <w:basedOn w:val="Normal"/>
    <w:next w:val="Normal"/>
    <w:pPr>
      <w:spacing w:before="240" w:after="60"/>
      <w:outlineLvl w:val="4"/>
    </w:pPr>
    <w:rPr>
      <w:b/>
      <w:bCs/>
      <w:iCs/>
      <w:sz w:val="26"/>
      <w:szCs w:val="26"/>
    </w:rPr>
  </w:style>
  <w:style w:type="paragraph" w:styleId="Heading6">
    <w:name w:val="heading 6"/>
    <w:basedOn w:val="Normal"/>
    <w:next w:val="Normal"/>
    <w:pPr>
      <w:spacing w:before="240" w:after="60"/>
      <w:outlineLvl w:val="5"/>
    </w:pPr>
    <w:rPr>
      <w:b/>
      <w:bCs/>
      <w:i/>
    </w:rPr>
  </w:style>
  <w:style w:type="paragraph" w:styleId="Heading7">
    <w:name w:val="heading 7"/>
    <w:basedOn w:val="Normal"/>
    <w:next w:val="Normal"/>
    <w:link w:val="Heading7Char"/>
    <w:pPr>
      <w:keepNext/>
      <w:jc w:val="center"/>
      <w:outlineLvl w:val="6"/>
    </w:pPr>
    <w:rPr>
      <w:b/>
      <w:sz w:val="20"/>
    </w:rPr>
  </w:style>
  <w:style w:type="paragraph" w:styleId="Heading8">
    <w:name w:val="heading 8"/>
    <w:basedOn w:val="Normal"/>
    <w:next w:val="Normal"/>
    <w:link w:val="Heading8Char"/>
    <w:pPr>
      <w:keepNext/>
      <w:jc w:val="right"/>
      <w:outlineLvl w:val="7"/>
    </w:pPr>
    <w:rPr>
      <w:b/>
    </w:rPr>
  </w:style>
  <w:style w:type="paragraph" w:styleId="Heading9">
    <w:name w:val="heading 9"/>
    <w:basedOn w:val="Normal"/>
    <w:next w:val="Normal"/>
    <w:link w:val="Heading9Char"/>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b/>
      <w:i/>
      <w:sz w:val="28"/>
      <w:szCs w:val="24"/>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qFormat/>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basedOn w:val="Normal"/>
    <w:next w:val="Normal"/>
    <w:link w:val="CaptionChar"/>
    <w:unhideWhenUsed/>
    <w:pPr>
      <w:spacing w:after="200"/>
    </w:pPr>
    <w:rPr>
      <w:b/>
      <w:bCs/>
      <w:color w:val="4F81BD" w:themeColor="accent1"/>
      <w:sz w:val="18"/>
      <w:szCs w:val="18"/>
    </w:rPr>
  </w:style>
  <w:style w:type="character" w:customStyle="1" w:styleId="CaptionChar">
    <w:name w:val="Caption Char"/>
    <w:link w:val="Caption"/>
    <w:rPr>
      <w:b/>
      <w:bCs/>
      <w:snapToGrid w:val="0"/>
      <w:color w:val="4F81BD" w:themeColor="accent1"/>
      <w:sz w:val="18"/>
      <w:szCs w:val="18"/>
      <w:lang w:eastAsia="en-US"/>
    </w:rPr>
  </w:style>
  <w:style w:type="paragraph" w:styleId="Title">
    <w:name w:val="Title"/>
    <w:basedOn w:val="Normal"/>
    <w:next w:val="Normal"/>
    <w:link w:val="TitleChar"/>
    <w:qFormat/>
    <w:pPr>
      <w:outlineLvl w:val="0"/>
    </w:pPr>
    <w:rPr>
      <w:b/>
      <w:sz w:val="36"/>
      <w:szCs w:val="36"/>
    </w:rPr>
  </w:style>
  <w:style w:type="character" w:customStyle="1" w:styleId="TitleChar">
    <w:name w:val="Title Char"/>
    <w:basedOn w:val="DefaultParagraphFont"/>
    <w:link w:val="Title"/>
    <w:rPr>
      <w:rFonts w:ascii="Calibri" w:hAnsi="Calibri"/>
      <w:b/>
      <w:sz w:val="36"/>
      <w:szCs w:val="36"/>
      <w:lang w:eastAsia="en-US"/>
    </w:rPr>
  </w:style>
  <w:style w:type="paragraph" w:styleId="BodyText">
    <w:name w:val="Body Text"/>
    <w:basedOn w:val="Normal"/>
    <w:link w:val="BodyTextChar"/>
    <w:qFormat/>
    <w:pPr>
      <w:jc w:val="left"/>
    </w:pP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Numbered para,BulletPoints,Styl moj,Akapit z listą11,Table Legend,Footnote,Bullet point,List Paragraph1,List Paragraph11,Recommendation,ES Paragraph,PBAC ES Paragraph,PBAC normal points,Bullet List"/>
    <w:basedOn w:val="Normal"/>
    <w:link w:val="ListParagraphChar"/>
    <w:uiPriority w:val="34"/>
    <w:qFormat/>
    <w:pPr>
      <w:spacing w:after="160"/>
      <w:ind w:left="720"/>
    </w:pPr>
  </w:style>
  <w:style w:type="character" w:customStyle="1" w:styleId="ListParagraphChar">
    <w:name w:val="List Paragraph Char"/>
    <w:aliases w:val="Numbered para Char,BulletPoints Char,Styl moj Char,Akapit z listą11 Char,Table Legend Char,Footnote Char,Bullet point Char,List Paragraph1 Char,List Paragraph11 Char,Recommendation Char,ES Paragraph Char,PBAC ES Paragraph Char"/>
    <w:basedOn w:val="DefaultParagraphFont"/>
    <w:link w:val="ListParagraph"/>
    <w:uiPriority w:val="72"/>
    <w:qFormat/>
    <w:locked/>
    <w:rPr>
      <w:rFonts w:ascii="Arial" w:hAnsi="Arial" w:cs="Arial"/>
      <w:snapToGrid w:val="0"/>
      <w:sz w:val="22"/>
      <w:szCs w:val="22"/>
      <w:lang w:eastAsia="en-US"/>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Pr>
      <w:rFonts w:ascii="Arial" w:hAnsi="Arial" w:cs="Arial"/>
      <w:snapToGrid w:val="0"/>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PBAC table,new style,MSD 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5E1C57"/>
    <w:rPr>
      <w:rFonts w:ascii="Arial Narrow" w:hAnsi="Arial Narrow"/>
      <w:color w:val="auto"/>
      <w:sz w:val="22"/>
    </w:rPr>
  </w:style>
  <w:style w:type="paragraph" w:customStyle="1" w:styleId="Tabletext">
    <w:name w:val="Table text"/>
    <w:basedOn w:val="Normal"/>
    <w:link w:val="TabletextChar"/>
    <w:uiPriority w:val="99"/>
    <w:qFormat/>
    <w:pPr>
      <w:jc w:val="left"/>
    </w:pPr>
    <w:rPr>
      <w:rFonts w:ascii="Arial Narrow" w:hAnsi="Arial Narrow"/>
      <w:snapToGrid w:val="0"/>
      <w:sz w:val="20"/>
    </w:rPr>
  </w:style>
  <w:style w:type="character" w:customStyle="1" w:styleId="TabletextChar">
    <w:name w:val="Table text Char"/>
    <w:link w:val="Tabletext"/>
    <w:uiPriority w:val="99"/>
    <w:rPr>
      <w:rFonts w:ascii="Arial Narrow" w:hAnsi="Arial Narrow"/>
      <w:lang w:eastAsia="en-US"/>
    </w:rPr>
  </w:style>
  <w:style w:type="paragraph" w:customStyle="1" w:styleId="TableHeading">
    <w:name w:val="TableHeading"/>
    <w:basedOn w:val="Normal"/>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pPr>
      <w:jc w:val="both"/>
    </w:pPr>
    <w:rPr>
      <w:rFonts w:ascii="Times" w:hAnsi="Times"/>
      <w:snapToGrid w:val="0"/>
      <w:lang w:val="en-US"/>
    </w:rPr>
  </w:style>
  <w:style w:type="paragraph" w:styleId="NormalWeb">
    <w:name w:val="Normal (Web)"/>
    <w:basedOn w:val="Normal"/>
    <w:uiPriority w:val="99"/>
    <w:pPr>
      <w:spacing w:before="100" w:after="100"/>
      <w:jc w:val="left"/>
    </w:pPr>
    <w:rPr>
      <w:rFonts w:ascii="Times New Roman" w:hAnsi="Times New Roman"/>
      <w:snapToGrid w:val="0"/>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spacing w:before="240" w:after="120"/>
      <w:jc w:val="left"/>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pPr>
      <w:ind w:left="440"/>
      <w:jc w:val="left"/>
    </w:pPr>
    <w:rPr>
      <w:rFonts w:asciiTheme="minorHAnsi" w:hAnsiTheme="minorHAnsi"/>
      <w:sz w:val="20"/>
    </w:rPr>
  </w:style>
  <w:style w:type="paragraph" w:styleId="TOC4">
    <w:name w:val="toc 4"/>
    <w:basedOn w:val="Normal"/>
    <w:next w:val="Normal"/>
    <w:autoRedefine/>
    <w:pPr>
      <w:ind w:left="660"/>
      <w:jc w:val="left"/>
    </w:pPr>
    <w:rPr>
      <w:rFonts w:asciiTheme="minorHAnsi" w:hAnsiTheme="minorHAnsi"/>
      <w:sz w:val="20"/>
    </w:rPr>
  </w:style>
  <w:style w:type="paragraph" w:styleId="TOC5">
    <w:name w:val="toc 5"/>
    <w:basedOn w:val="Normal"/>
    <w:next w:val="Normal"/>
    <w:autoRedefine/>
    <w:pPr>
      <w:ind w:left="880"/>
      <w:jc w:val="left"/>
    </w:pPr>
    <w:rPr>
      <w:rFonts w:asciiTheme="minorHAnsi" w:hAnsiTheme="minorHAnsi"/>
      <w:sz w:val="20"/>
    </w:rPr>
  </w:style>
  <w:style w:type="paragraph" w:styleId="TOC6">
    <w:name w:val="toc 6"/>
    <w:basedOn w:val="Normal"/>
    <w:next w:val="Normal"/>
    <w:autoRedefine/>
    <w:pPr>
      <w:ind w:left="1100"/>
      <w:jc w:val="left"/>
    </w:pPr>
    <w:rPr>
      <w:rFonts w:asciiTheme="minorHAnsi" w:hAnsiTheme="minorHAnsi"/>
      <w:sz w:val="20"/>
    </w:rPr>
  </w:style>
  <w:style w:type="paragraph" w:styleId="TOC7">
    <w:name w:val="toc 7"/>
    <w:basedOn w:val="Normal"/>
    <w:next w:val="Normal"/>
    <w:autoRedefine/>
    <w:pPr>
      <w:ind w:left="1320"/>
      <w:jc w:val="left"/>
    </w:pPr>
    <w:rPr>
      <w:rFonts w:asciiTheme="minorHAnsi" w:hAnsiTheme="minorHAnsi"/>
      <w:sz w:val="20"/>
    </w:rPr>
  </w:style>
  <w:style w:type="paragraph" w:styleId="TOC8">
    <w:name w:val="toc 8"/>
    <w:basedOn w:val="Normal"/>
    <w:next w:val="Normal"/>
    <w:autoRedefine/>
    <w:pPr>
      <w:ind w:left="1540"/>
      <w:jc w:val="left"/>
    </w:pPr>
    <w:rPr>
      <w:rFonts w:asciiTheme="minorHAnsi" w:hAnsiTheme="minorHAnsi"/>
      <w:sz w:val="20"/>
    </w:rPr>
  </w:style>
  <w:style w:type="paragraph" w:styleId="TOC9">
    <w:name w:val="toc 9"/>
    <w:basedOn w:val="Normal"/>
    <w:next w:val="Normal"/>
    <w:autoRedefine/>
    <w:pPr>
      <w:ind w:left="1760"/>
      <w:jc w:val="left"/>
    </w:pPr>
    <w:rPr>
      <w:rFonts w:asciiTheme="minorHAnsi" w:hAnsiTheme="minorHAnsi"/>
      <w:sz w:val="20"/>
    </w:rPr>
  </w:style>
  <w:style w:type="paragraph" w:styleId="CommentText">
    <w:name w:val="annotation text"/>
    <w:basedOn w:val="Normal"/>
    <w:link w:val="CommentTextChar"/>
    <w:uiPriority w:val="99"/>
    <w:rPr>
      <w:rFonts w:ascii="Times New Roman" w:hAnsi="Times New Roman"/>
      <w:sz w:val="20"/>
    </w:rPr>
  </w:style>
  <w:style w:type="character" w:customStyle="1" w:styleId="CommentTextChar">
    <w:name w:val="Comment Text Char"/>
    <w:basedOn w:val="DefaultParagraphFont"/>
    <w:link w:val="CommentText"/>
    <w:uiPriority w:val="99"/>
    <w:rPr>
      <w:snapToGrid w:val="0"/>
      <w:lang w:eastAsia="en-US"/>
    </w:rPr>
  </w:style>
  <w:style w:type="paragraph" w:customStyle="1" w:styleId="Bulletpoints">
    <w:name w:val="Bullet points"/>
    <w:basedOn w:val="ListParagraph"/>
    <w:qFormat/>
    <w:pPr>
      <w:numPr>
        <w:numId w:val="7"/>
      </w:numPr>
      <w:spacing w:after="0"/>
      <w:ind w:left="425" w:hanging="425"/>
    </w:pPr>
  </w:style>
  <w:style w:type="paragraph" w:customStyle="1" w:styleId="TableName">
    <w:name w:val="TableName"/>
    <w:basedOn w:val="Normal"/>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Pr>
      <w:lang w:eastAsia="en-US"/>
    </w:rPr>
  </w:style>
  <w:style w:type="paragraph" w:styleId="Subtitle">
    <w:name w:val="Subtitle"/>
    <w:basedOn w:val="Normal"/>
    <w:link w:val="SubtitleChar"/>
    <w:qFormat/>
    <w:rPr>
      <w:rFonts w:ascii="Times New Roman" w:hAnsi="Times New Roman"/>
      <w:snapToGrid w:val="0"/>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pPr>
      <w:numPr>
        <w:numId w:val="3"/>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qFormat/>
    <w:rPr>
      <w:i/>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rFonts w:ascii="Calibri" w:hAnsi="Calibri"/>
      <w:lang w:eastAsia="en-US"/>
    </w:rPr>
  </w:style>
  <w:style w:type="character" w:styleId="FootnoteReference">
    <w:name w:val="footnote reference"/>
    <w:basedOn w:val="DefaultParagraphFont"/>
    <w:uiPriority w:val="99"/>
    <w:unhideWhenUsed/>
    <w:rPr>
      <w:vertAlign w:val="superscript"/>
    </w:rPr>
  </w:style>
  <w:style w:type="paragraph" w:customStyle="1" w:styleId="PBACTableText">
    <w:name w:val="PBAC Table Text"/>
    <w:basedOn w:val="Normal"/>
    <w:link w:val="PBACTableTextChar"/>
    <w:qFormat/>
    <w:pPr>
      <w:spacing w:before="40" w:after="40"/>
      <w:jc w:val="left"/>
    </w:pPr>
    <w:rPr>
      <w:rFonts w:ascii="Arial Narrow" w:hAnsi="Arial Narrow"/>
      <w:sz w:val="20"/>
      <w:szCs w:val="20"/>
    </w:rPr>
  </w:style>
  <w:style w:type="character" w:customStyle="1" w:styleId="PBACTableTextChar">
    <w:name w:val="PBAC Table Text Char"/>
    <w:basedOn w:val="DefaultParagraphFont"/>
    <w:link w:val="PBACTableText"/>
    <w:rPr>
      <w:rFonts w:ascii="Arial Narrow" w:hAnsi="Arial Narrow"/>
      <w:lang w:eastAsia="en-US"/>
    </w:rPr>
  </w:style>
  <w:style w:type="paragraph" w:customStyle="1" w:styleId="PbacTableHeading">
    <w:name w:val="Pbac Table Heading"/>
    <w:basedOn w:val="PBACTableText"/>
    <w:pPr>
      <w:spacing w:before="0" w:after="80"/>
    </w:pPr>
    <w:rPr>
      <w:rFonts w:eastAsiaTheme="minorHAnsi" w:cs="Arial"/>
      <w:b/>
    </w:rPr>
  </w:style>
  <w:style w:type="paragraph" w:customStyle="1" w:styleId="Table-bodytext">
    <w:name w:val="Table - body text"/>
    <w:basedOn w:val="Normal"/>
    <w:link w:val="Table-bodytextChar"/>
    <w:pPr>
      <w:widowControl w:val="0"/>
      <w:adjustRightInd w:val="0"/>
      <w:jc w:val="center"/>
      <w:textAlignment w:val="baseline"/>
    </w:pPr>
    <w:rPr>
      <w:rFonts w:asciiTheme="minorHAnsi" w:hAnsiTheme="minorHAnsi" w:cs="Arial"/>
      <w:sz w:val="20"/>
    </w:rPr>
  </w:style>
  <w:style w:type="character" w:customStyle="1" w:styleId="Table-bodytextChar">
    <w:name w:val="Table - body text Char"/>
    <w:basedOn w:val="DefaultParagraphFont"/>
    <w:link w:val="Table-bodytext"/>
    <w:rPr>
      <w:rFonts w:asciiTheme="minorHAnsi" w:hAnsiTheme="minorHAnsi" w:cs="Arial"/>
      <w:szCs w:val="24"/>
      <w:lang w:eastAsia="en-US"/>
    </w:rPr>
  </w:style>
  <w:style w:type="paragraph" w:customStyle="1" w:styleId="Table-bodytextLEFT">
    <w:name w:val="Table - body text LEFT"/>
    <w:basedOn w:val="Table-bodytext"/>
    <w:pPr>
      <w:jc w:val="left"/>
    </w:pPr>
    <w:rPr>
      <w:rFonts w:ascii="Calibri" w:hAnsi="Calibri"/>
    </w:rPr>
  </w:style>
  <w:style w:type="character" w:customStyle="1" w:styleId="apple-converted-space">
    <w:name w:val="apple-converted-space"/>
    <w:basedOn w:val="DefaultParagraphFont"/>
  </w:style>
  <w:style w:type="paragraph" w:customStyle="1" w:styleId="Tablebulletlist">
    <w:name w:val="Table bullet list"/>
    <w:basedOn w:val="Normal"/>
    <w:pPr>
      <w:widowControl w:val="0"/>
      <w:numPr>
        <w:numId w:val="10"/>
      </w:numPr>
      <w:tabs>
        <w:tab w:val="left" w:pos="464"/>
      </w:tabs>
      <w:spacing w:before="34"/>
      <w:ind w:left="432" w:hanging="432"/>
      <w:jc w:val="left"/>
    </w:pPr>
    <w:rPr>
      <w:rFonts w:asciiTheme="minorHAnsi" w:eastAsia="Calibri" w:hAnsiTheme="minorHAnsi"/>
      <w:sz w:val="18"/>
      <w:szCs w:val="18"/>
      <w:lang w:val="en-US" w:eastAsia="en-AU"/>
    </w:rPr>
  </w:style>
  <w:style w:type="paragraph" w:customStyle="1" w:styleId="Tabletextleft">
    <w:name w:val="Table text left"/>
    <w:basedOn w:val="Normal"/>
    <w:link w:val="TabletextleftChar"/>
    <w:pPr>
      <w:spacing w:before="20" w:after="20"/>
      <w:jc w:val="left"/>
    </w:pPr>
    <w:rPr>
      <w:rFonts w:asciiTheme="minorHAnsi" w:hAnsiTheme="minorHAnsi"/>
      <w:sz w:val="18"/>
      <w:lang w:eastAsia="en-AU"/>
    </w:rPr>
  </w:style>
  <w:style w:type="character" w:customStyle="1" w:styleId="TabletextleftChar">
    <w:name w:val="Table text left Char"/>
    <w:basedOn w:val="DefaultParagraphFont"/>
    <w:link w:val="Tabletextleft"/>
    <w:rPr>
      <w:rFonts w:asciiTheme="minorHAnsi" w:hAnsiTheme="minorHAnsi"/>
      <w:sz w:val="18"/>
      <w:szCs w:val="24"/>
    </w:rPr>
  </w:style>
  <w:style w:type="paragraph" w:customStyle="1" w:styleId="Tabletextcent">
    <w:name w:val="Table text cent"/>
    <w:basedOn w:val="Tabletextleft"/>
    <w:pPr>
      <w:ind w:left="113" w:right="113"/>
      <w:jc w:val="center"/>
    </w:pPr>
    <w:rPr>
      <w:rFonts w:ascii="Calibri" w:hAnsi="Calibri"/>
      <w:sz w:val="20"/>
      <w:szCs w:val="20"/>
      <w:lang w:val="de-DE"/>
    </w:rPr>
  </w:style>
  <w:style w:type="table" w:customStyle="1" w:styleId="Summarybox2">
    <w:name w:val="Summary box2"/>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0">
    <w:name w:val="Dash+0"/>
    <w:basedOn w:val="Normal"/>
    <w:uiPriority w:val="2"/>
    <w:pPr>
      <w:numPr>
        <w:numId w:val="11"/>
      </w:numPr>
      <w:tabs>
        <w:tab w:val="left" w:pos="1134"/>
      </w:tabs>
      <w:spacing w:line="360" w:lineRule="auto"/>
    </w:pPr>
    <w:rPr>
      <w:rFonts w:asciiTheme="minorHAnsi" w:eastAsiaTheme="minorHAnsi" w:hAnsiTheme="minorHAnsi" w:cs="Tahoma"/>
      <w:color w:val="000000"/>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1082">
      <w:bodyDiv w:val="1"/>
      <w:marLeft w:val="0"/>
      <w:marRight w:val="0"/>
      <w:marTop w:val="0"/>
      <w:marBottom w:val="0"/>
      <w:divBdr>
        <w:top w:val="none" w:sz="0" w:space="0" w:color="auto"/>
        <w:left w:val="none" w:sz="0" w:space="0" w:color="auto"/>
        <w:bottom w:val="none" w:sz="0" w:space="0" w:color="auto"/>
        <w:right w:val="none" w:sz="0" w:space="0" w:color="auto"/>
      </w:divBdr>
      <w:divsChild>
        <w:div w:id="189149311">
          <w:marLeft w:val="0"/>
          <w:marRight w:val="0"/>
          <w:marTop w:val="0"/>
          <w:marBottom w:val="0"/>
          <w:divBdr>
            <w:top w:val="none" w:sz="0" w:space="0" w:color="auto"/>
            <w:left w:val="none" w:sz="0" w:space="0" w:color="auto"/>
            <w:bottom w:val="none" w:sz="0" w:space="0" w:color="auto"/>
            <w:right w:val="none" w:sz="0" w:space="0" w:color="auto"/>
          </w:divBdr>
          <w:divsChild>
            <w:div w:id="396779703">
              <w:marLeft w:val="0"/>
              <w:marRight w:val="0"/>
              <w:marTop w:val="0"/>
              <w:marBottom w:val="0"/>
              <w:divBdr>
                <w:top w:val="none" w:sz="0" w:space="0" w:color="auto"/>
                <w:left w:val="none" w:sz="0" w:space="0" w:color="auto"/>
                <w:bottom w:val="none" w:sz="0" w:space="0" w:color="auto"/>
                <w:right w:val="none" w:sz="0" w:space="0" w:color="auto"/>
              </w:divBdr>
              <w:divsChild>
                <w:div w:id="1756244302">
                  <w:marLeft w:val="0"/>
                  <w:marRight w:val="0"/>
                  <w:marTop w:val="0"/>
                  <w:marBottom w:val="0"/>
                  <w:divBdr>
                    <w:top w:val="none" w:sz="0" w:space="0" w:color="auto"/>
                    <w:left w:val="none" w:sz="0" w:space="0" w:color="auto"/>
                    <w:bottom w:val="none" w:sz="0" w:space="0" w:color="auto"/>
                    <w:right w:val="none" w:sz="0" w:space="0" w:color="auto"/>
                  </w:divBdr>
                </w:div>
              </w:divsChild>
            </w:div>
            <w:div w:id="392578704">
              <w:marLeft w:val="0"/>
              <w:marRight w:val="0"/>
              <w:marTop w:val="0"/>
              <w:marBottom w:val="0"/>
              <w:divBdr>
                <w:top w:val="none" w:sz="0" w:space="0" w:color="auto"/>
                <w:left w:val="none" w:sz="0" w:space="0" w:color="auto"/>
                <w:bottom w:val="none" w:sz="0" w:space="0" w:color="auto"/>
                <w:right w:val="none" w:sz="0" w:space="0" w:color="auto"/>
              </w:divBdr>
              <w:divsChild>
                <w:div w:id="1817448790">
                  <w:marLeft w:val="0"/>
                  <w:marRight w:val="0"/>
                  <w:marTop w:val="0"/>
                  <w:marBottom w:val="0"/>
                  <w:divBdr>
                    <w:top w:val="none" w:sz="0" w:space="0" w:color="auto"/>
                    <w:left w:val="none" w:sz="0" w:space="0" w:color="auto"/>
                    <w:bottom w:val="none" w:sz="0" w:space="0" w:color="auto"/>
                    <w:right w:val="none" w:sz="0" w:space="0" w:color="auto"/>
                  </w:divBdr>
                </w:div>
              </w:divsChild>
            </w:div>
            <w:div w:id="922569773">
              <w:marLeft w:val="0"/>
              <w:marRight w:val="0"/>
              <w:marTop w:val="0"/>
              <w:marBottom w:val="0"/>
              <w:divBdr>
                <w:top w:val="none" w:sz="0" w:space="0" w:color="auto"/>
                <w:left w:val="none" w:sz="0" w:space="0" w:color="auto"/>
                <w:bottom w:val="none" w:sz="0" w:space="0" w:color="auto"/>
                <w:right w:val="none" w:sz="0" w:space="0" w:color="auto"/>
              </w:divBdr>
              <w:divsChild>
                <w:div w:id="17103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7458">
      <w:bodyDiv w:val="1"/>
      <w:marLeft w:val="0"/>
      <w:marRight w:val="0"/>
      <w:marTop w:val="0"/>
      <w:marBottom w:val="0"/>
      <w:divBdr>
        <w:top w:val="none" w:sz="0" w:space="0" w:color="auto"/>
        <w:left w:val="none" w:sz="0" w:space="0" w:color="auto"/>
        <w:bottom w:val="none" w:sz="0" w:space="0" w:color="auto"/>
        <w:right w:val="none" w:sz="0" w:space="0" w:color="auto"/>
      </w:divBdr>
      <w:divsChild>
        <w:div w:id="785123252">
          <w:marLeft w:val="0"/>
          <w:marRight w:val="0"/>
          <w:marTop w:val="0"/>
          <w:marBottom w:val="0"/>
          <w:divBdr>
            <w:top w:val="none" w:sz="0" w:space="0" w:color="auto"/>
            <w:left w:val="none" w:sz="0" w:space="0" w:color="auto"/>
            <w:bottom w:val="none" w:sz="0" w:space="0" w:color="auto"/>
            <w:right w:val="none" w:sz="0" w:space="0" w:color="auto"/>
          </w:divBdr>
          <w:divsChild>
            <w:div w:id="517741521">
              <w:marLeft w:val="0"/>
              <w:marRight w:val="0"/>
              <w:marTop w:val="0"/>
              <w:marBottom w:val="0"/>
              <w:divBdr>
                <w:top w:val="none" w:sz="0" w:space="0" w:color="auto"/>
                <w:left w:val="none" w:sz="0" w:space="0" w:color="auto"/>
                <w:bottom w:val="none" w:sz="0" w:space="0" w:color="auto"/>
                <w:right w:val="none" w:sz="0" w:space="0" w:color="auto"/>
              </w:divBdr>
              <w:divsChild>
                <w:div w:id="19626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5209">
      <w:bodyDiv w:val="1"/>
      <w:marLeft w:val="0"/>
      <w:marRight w:val="0"/>
      <w:marTop w:val="0"/>
      <w:marBottom w:val="0"/>
      <w:divBdr>
        <w:top w:val="none" w:sz="0" w:space="0" w:color="auto"/>
        <w:left w:val="none" w:sz="0" w:space="0" w:color="auto"/>
        <w:bottom w:val="none" w:sz="0" w:space="0" w:color="auto"/>
        <w:right w:val="none" w:sz="0" w:space="0" w:color="auto"/>
      </w:divBdr>
      <w:divsChild>
        <w:div w:id="2042434741">
          <w:marLeft w:val="0"/>
          <w:marRight w:val="0"/>
          <w:marTop w:val="0"/>
          <w:marBottom w:val="0"/>
          <w:divBdr>
            <w:top w:val="none" w:sz="0" w:space="0" w:color="auto"/>
            <w:left w:val="none" w:sz="0" w:space="0" w:color="auto"/>
            <w:bottom w:val="none" w:sz="0" w:space="0" w:color="auto"/>
            <w:right w:val="none" w:sz="0" w:space="0" w:color="auto"/>
          </w:divBdr>
          <w:divsChild>
            <w:div w:id="2142727005">
              <w:marLeft w:val="0"/>
              <w:marRight w:val="0"/>
              <w:marTop w:val="0"/>
              <w:marBottom w:val="0"/>
              <w:divBdr>
                <w:top w:val="none" w:sz="0" w:space="0" w:color="auto"/>
                <w:left w:val="none" w:sz="0" w:space="0" w:color="auto"/>
                <w:bottom w:val="none" w:sz="0" w:space="0" w:color="auto"/>
                <w:right w:val="none" w:sz="0" w:space="0" w:color="auto"/>
              </w:divBdr>
              <w:divsChild>
                <w:div w:id="3035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3537">
      <w:bodyDiv w:val="1"/>
      <w:marLeft w:val="0"/>
      <w:marRight w:val="0"/>
      <w:marTop w:val="0"/>
      <w:marBottom w:val="0"/>
      <w:divBdr>
        <w:top w:val="none" w:sz="0" w:space="0" w:color="auto"/>
        <w:left w:val="none" w:sz="0" w:space="0" w:color="auto"/>
        <w:bottom w:val="none" w:sz="0" w:space="0" w:color="auto"/>
        <w:right w:val="none" w:sz="0" w:space="0" w:color="auto"/>
      </w:divBdr>
      <w:divsChild>
        <w:div w:id="1934898753">
          <w:marLeft w:val="0"/>
          <w:marRight w:val="0"/>
          <w:marTop w:val="0"/>
          <w:marBottom w:val="0"/>
          <w:divBdr>
            <w:top w:val="none" w:sz="0" w:space="0" w:color="auto"/>
            <w:left w:val="none" w:sz="0" w:space="0" w:color="auto"/>
            <w:bottom w:val="none" w:sz="0" w:space="0" w:color="auto"/>
            <w:right w:val="none" w:sz="0" w:space="0" w:color="auto"/>
          </w:divBdr>
          <w:divsChild>
            <w:div w:id="202985554">
              <w:marLeft w:val="0"/>
              <w:marRight w:val="0"/>
              <w:marTop w:val="0"/>
              <w:marBottom w:val="0"/>
              <w:divBdr>
                <w:top w:val="none" w:sz="0" w:space="0" w:color="auto"/>
                <w:left w:val="none" w:sz="0" w:space="0" w:color="auto"/>
                <w:bottom w:val="none" w:sz="0" w:space="0" w:color="auto"/>
                <w:right w:val="none" w:sz="0" w:space="0" w:color="auto"/>
              </w:divBdr>
              <w:divsChild>
                <w:div w:id="7742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5702">
      <w:bodyDiv w:val="1"/>
      <w:marLeft w:val="0"/>
      <w:marRight w:val="0"/>
      <w:marTop w:val="0"/>
      <w:marBottom w:val="0"/>
      <w:divBdr>
        <w:top w:val="none" w:sz="0" w:space="0" w:color="auto"/>
        <w:left w:val="none" w:sz="0" w:space="0" w:color="auto"/>
        <w:bottom w:val="none" w:sz="0" w:space="0" w:color="auto"/>
        <w:right w:val="none" w:sz="0" w:space="0" w:color="auto"/>
      </w:divBdr>
      <w:divsChild>
        <w:div w:id="52849255">
          <w:marLeft w:val="0"/>
          <w:marRight w:val="0"/>
          <w:marTop w:val="0"/>
          <w:marBottom w:val="0"/>
          <w:divBdr>
            <w:top w:val="none" w:sz="0" w:space="0" w:color="auto"/>
            <w:left w:val="none" w:sz="0" w:space="0" w:color="auto"/>
            <w:bottom w:val="none" w:sz="0" w:space="0" w:color="auto"/>
            <w:right w:val="none" w:sz="0" w:space="0" w:color="auto"/>
          </w:divBdr>
          <w:divsChild>
            <w:div w:id="865756157">
              <w:marLeft w:val="0"/>
              <w:marRight w:val="0"/>
              <w:marTop w:val="0"/>
              <w:marBottom w:val="0"/>
              <w:divBdr>
                <w:top w:val="none" w:sz="0" w:space="0" w:color="auto"/>
                <w:left w:val="none" w:sz="0" w:space="0" w:color="auto"/>
                <w:bottom w:val="none" w:sz="0" w:space="0" w:color="auto"/>
                <w:right w:val="none" w:sz="0" w:space="0" w:color="auto"/>
              </w:divBdr>
              <w:divsChild>
                <w:div w:id="147672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3722">
      <w:bodyDiv w:val="1"/>
      <w:marLeft w:val="0"/>
      <w:marRight w:val="0"/>
      <w:marTop w:val="0"/>
      <w:marBottom w:val="0"/>
      <w:divBdr>
        <w:top w:val="none" w:sz="0" w:space="0" w:color="auto"/>
        <w:left w:val="none" w:sz="0" w:space="0" w:color="auto"/>
        <w:bottom w:val="none" w:sz="0" w:space="0" w:color="auto"/>
        <w:right w:val="none" w:sz="0" w:space="0" w:color="auto"/>
      </w:divBdr>
      <w:divsChild>
        <w:div w:id="962232209">
          <w:marLeft w:val="0"/>
          <w:marRight w:val="0"/>
          <w:marTop w:val="0"/>
          <w:marBottom w:val="0"/>
          <w:divBdr>
            <w:top w:val="none" w:sz="0" w:space="0" w:color="auto"/>
            <w:left w:val="none" w:sz="0" w:space="0" w:color="auto"/>
            <w:bottom w:val="none" w:sz="0" w:space="0" w:color="auto"/>
            <w:right w:val="none" w:sz="0" w:space="0" w:color="auto"/>
          </w:divBdr>
          <w:divsChild>
            <w:div w:id="511604739">
              <w:marLeft w:val="0"/>
              <w:marRight w:val="0"/>
              <w:marTop w:val="0"/>
              <w:marBottom w:val="0"/>
              <w:divBdr>
                <w:top w:val="none" w:sz="0" w:space="0" w:color="auto"/>
                <w:left w:val="none" w:sz="0" w:space="0" w:color="auto"/>
                <w:bottom w:val="none" w:sz="0" w:space="0" w:color="auto"/>
                <w:right w:val="none" w:sz="0" w:space="0" w:color="auto"/>
              </w:divBdr>
              <w:divsChild>
                <w:div w:id="325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6004">
      <w:bodyDiv w:val="1"/>
      <w:marLeft w:val="0"/>
      <w:marRight w:val="0"/>
      <w:marTop w:val="0"/>
      <w:marBottom w:val="0"/>
      <w:divBdr>
        <w:top w:val="none" w:sz="0" w:space="0" w:color="auto"/>
        <w:left w:val="none" w:sz="0" w:space="0" w:color="auto"/>
        <w:bottom w:val="none" w:sz="0" w:space="0" w:color="auto"/>
        <w:right w:val="none" w:sz="0" w:space="0" w:color="auto"/>
      </w:divBdr>
      <w:divsChild>
        <w:div w:id="900600296">
          <w:marLeft w:val="0"/>
          <w:marRight w:val="0"/>
          <w:marTop w:val="0"/>
          <w:marBottom w:val="0"/>
          <w:divBdr>
            <w:top w:val="none" w:sz="0" w:space="0" w:color="auto"/>
            <w:left w:val="none" w:sz="0" w:space="0" w:color="auto"/>
            <w:bottom w:val="none" w:sz="0" w:space="0" w:color="auto"/>
            <w:right w:val="none" w:sz="0" w:space="0" w:color="auto"/>
          </w:divBdr>
          <w:divsChild>
            <w:div w:id="1351957620">
              <w:marLeft w:val="0"/>
              <w:marRight w:val="0"/>
              <w:marTop w:val="0"/>
              <w:marBottom w:val="0"/>
              <w:divBdr>
                <w:top w:val="none" w:sz="0" w:space="0" w:color="auto"/>
                <w:left w:val="none" w:sz="0" w:space="0" w:color="auto"/>
                <w:bottom w:val="none" w:sz="0" w:space="0" w:color="auto"/>
                <w:right w:val="none" w:sz="0" w:space="0" w:color="auto"/>
              </w:divBdr>
              <w:divsChild>
                <w:div w:id="152675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8209">
      <w:bodyDiv w:val="1"/>
      <w:marLeft w:val="0"/>
      <w:marRight w:val="0"/>
      <w:marTop w:val="0"/>
      <w:marBottom w:val="0"/>
      <w:divBdr>
        <w:top w:val="none" w:sz="0" w:space="0" w:color="auto"/>
        <w:left w:val="none" w:sz="0" w:space="0" w:color="auto"/>
        <w:bottom w:val="none" w:sz="0" w:space="0" w:color="auto"/>
        <w:right w:val="none" w:sz="0" w:space="0" w:color="auto"/>
      </w:divBdr>
      <w:divsChild>
        <w:div w:id="2020692825">
          <w:marLeft w:val="0"/>
          <w:marRight w:val="0"/>
          <w:marTop w:val="0"/>
          <w:marBottom w:val="0"/>
          <w:divBdr>
            <w:top w:val="none" w:sz="0" w:space="0" w:color="auto"/>
            <w:left w:val="none" w:sz="0" w:space="0" w:color="auto"/>
            <w:bottom w:val="none" w:sz="0" w:space="0" w:color="auto"/>
            <w:right w:val="none" w:sz="0" w:space="0" w:color="auto"/>
          </w:divBdr>
          <w:divsChild>
            <w:div w:id="185991885">
              <w:marLeft w:val="0"/>
              <w:marRight w:val="0"/>
              <w:marTop w:val="0"/>
              <w:marBottom w:val="0"/>
              <w:divBdr>
                <w:top w:val="none" w:sz="0" w:space="0" w:color="auto"/>
                <w:left w:val="none" w:sz="0" w:space="0" w:color="auto"/>
                <w:bottom w:val="none" w:sz="0" w:space="0" w:color="auto"/>
                <w:right w:val="none" w:sz="0" w:space="0" w:color="auto"/>
              </w:divBdr>
              <w:divsChild>
                <w:div w:id="105345215">
                  <w:marLeft w:val="0"/>
                  <w:marRight w:val="0"/>
                  <w:marTop w:val="0"/>
                  <w:marBottom w:val="0"/>
                  <w:divBdr>
                    <w:top w:val="none" w:sz="0" w:space="0" w:color="auto"/>
                    <w:left w:val="none" w:sz="0" w:space="0" w:color="auto"/>
                    <w:bottom w:val="none" w:sz="0" w:space="0" w:color="auto"/>
                    <w:right w:val="none" w:sz="0" w:space="0" w:color="auto"/>
                  </w:divBdr>
                  <w:divsChild>
                    <w:div w:id="34020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554618">
      <w:bodyDiv w:val="1"/>
      <w:marLeft w:val="0"/>
      <w:marRight w:val="0"/>
      <w:marTop w:val="0"/>
      <w:marBottom w:val="0"/>
      <w:divBdr>
        <w:top w:val="none" w:sz="0" w:space="0" w:color="auto"/>
        <w:left w:val="none" w:sz="0" w:space="0" w:color="auto"/>
        <w:bottom w:val="none" w:sz="0" w:space="0" w:color="auto"/>
        <w:right w:val="none" w:sz="0" w:space="0" w:color="auto"/>
      </w:divBdr>
      <w:divsChild>
        <w:div w:id="1619487328">
          <w:marLeft w:val="0"/>
          <w:marRight w:val="0"/>
          <w:marTop w:val="0"/>
          <w:marBottom w:val="0"/>
          <w:divBdr>
            <w:top w:val="none" w:sz="0" w:space="0" w:color="auto"/>
            <w:left w:val="none" w:sz="0" w:space="0" w:color="auto"/>
            <w:bottom w:val="none" w:sz="0" w:space="0" w:color="auto"/>
            <w:right w:val="none" w:sz="0" w:space="0" w:color="auto"/>
          </w:divBdr>
          <w:divsChild>
            <w:div w:id="1532037286">
              <w:marLeft w:val="0"/>
              <w:marRight w:val="0"/>
              <w:marTop w:val="0"/>
              <w:marBottom w:val="0"/>
              <w:divBdr>
                <w:top w:val="none" w:sz="0" w:space="0" w:color="auto"/>
                <w:left w:val="none" w:sz="0" w:space="0" w:color="auto"/>
                <w:bottom w:val="none" w:sz="0" w:space="0" w:color="auto"/>
                <w:right w:val="none" w:sz="0" w:space="0" w:color="auto"/>
              </w:divBdr>
              <w:divsChild>
                <w:div w:id="529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06463">
      <w:bodyDiv w:val="1"/>
      <w:marLeft w:val="0"/>
      <w:marRight w:val="0"/>
      <w:marTop w:val="0"/>
      <w:marBottom w:val="0"/>
      <w:divBdr>
        <w:top w:val="none" w:sz="0" w:space="0" w:color="auto"/>
        <w:left w:val="none" w:sz="0" w:space="0" w:color="auto"/>
        <w:bottom w:val="none" w:sz="0" w:space="0" w:color="auto"/>
        <w:right w:val="none" w:sz="0" w:space="0" w:color="auto"/>
      </w:divBdr>
      <w:divsChild>
        <w:div w:id="562764499">
          <w:marLeft w:val="0"/>
          <w:marRight w:val="0"/>
          <w:marTop w:val="0"/>
          <w:marBottom w:val="0"/>
          <w:divBdr>
            <w:top w:val="none" w:sz="0" w:space="0" w:color="auto"/>
            <w:left w:val="none" w:sz="0" w:space="0" w:color="auto"/>
            <w:bottom w:val="none" w:sz="0" w:space="0" w:color="auto"/>
            <w:right w:val="none" w:sz="0" w:space="0" w:color="auto"/>
          </w:divBdr>
          <w:divsChild>
            <w:div w:id="42293739">
              <w:marLeft w:val="0"/>
              <w:marRight w:val="0"/>
              <w:marTop w:val="0"/>
              <w:marBottom w:val="0"/>
              <w:divBdr>
                <w:top w:val="none" w:sz="0" w:space="0" w:color="auto"/>
                <w:left w:val="none" w:sz="0" w:space="0" w:color="auto"/>
                <w:bottom w:val="none" w:sz="0" w:space="0" w:color="auto"/>
                <w:right w:val="none" w:sz="0" w:space="0" w:color="auto"/>
              </w:divBdr>
              <w:divsChild>
                <w:div w:id="4975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150966">
      <w:bodyDiv w:val="1"/>
      <w:marLeft w:val="0"/>
      <w:marRight w:val="0"/>
      <w:marTop w:val="0"/>
      <w:marBottom w:val="0"/>
      <w:divBdr>
        <w:top w:val="none" w:sz="0" w:space="0" w:color="auto"/>
        <w:left w:val="none" w:sz="0" w:space="0" w:color="auto"/>
        <w:bottom w:val="none" w:sz="0" w:space="0" w:color="auto"/>
        <w:right w:val="none" w:sz="0" w:space="0" w:color="auto"/>
      </w:divBdr>
      <w:divsChild>
        <w:div w:id="1395278406">
          <w:marLeft w:val="0"/>
          <w:marRight w:val="0"/>
          <w:marTop w:val="0"/>
          <w:marBottom w:val="0"/>
          <w:divBdr>
            <w:top w:val="none" w:sz="0" w:space="0" w:color="auto"/>
            <w:left w:val="none" w:sz="0" w:space="0" w:color="auto"/>
            <w:bottom w:val="none" w:sz="0" w:space="0" w:color="auto"/>
            <w:right w:val="none" w:sz="0" w:space="0" w:color="auto"/>
          </w:divBdr>
          <w:divsChild>
            <w:div w:id="321585378">
              <w:marLeft w:val="0"/>
              <w:marRight w:val="0"/>
              <w:marTop w:val="0"/>
              <w:marBottom w:val="0"/>
              <w:divBdr>
                <w:top w:val="none" w:sz="0" w:space="0" w:color="auto"/>
                <w:left w:val="none" w:sz="0" w:space="0" w:color="auto"/>
                <w:bottom w:val="none" w:sz="0" w:space="0" w:color="auto"/>
                <w:right w:val="none" w:sz="0" w:space="0" w:color="auto"/>
              </w:divBdr>
              <w:divsChild>
                <w:div w:id="7845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7485">
      <w:bodyDiv w:val="1"/>
      <w:marLeft w:val="0"/>
      <w:marRight w:val="0"/>
      <w:marTop w:val="0"/>
      <w:marBottom w:val="0"/>
      <w:divBdr>
        <w:top w:val="none" w:sz="0" w:space="0" w:color="auto"/>
        <w:left w:val="none" w:sz="0" w:space="0" w:color="auto"/>
        <w:bottom w:val="none" w:sz="0" w:space="0" w:color="auto"/>
        <w:right w:val="none" w:sz="0" w:space="0" w:color="auto"/>
      </w:divBdr>
      <w:divsChild>
        <w:div w:id="631442680">
          <w:marLeft w:val="0"/>
          <w:marRight w:val="0"/>
          <w:marTop w:val="0"/>
          <w:marBottom w:val="0"/>
          <w:divBdr>
            <w:top w:val="none" w:sz="0" w:space="0" w:color="auto"/>
            <w:left w:val="none" w:sz="0" w:space="0" w:color="auto"/>
            <w:bottom w:val="none" w:sz="0" w:space="0" w:color="auto"/>
            <w:right w:val="none" w:sz="0" w:space="0" w:color="auto"/>
          </w:divBdr>
          <w:divsChild>
            <w:div w:id="344286389">
              <w:marLeft w:val="0"/>
              <w:marRight w:val="0"/>
              <w:marTop w:val="0"/>
              <w:marBottom w:val="0"/>
              <w:divBdr>
                <w:top w:val="none" w:sz="0" w:space="0" w:color="auto"/>
                <w:left w:val="none" w:sz="0" w:space="0" w:color="auto"/>
                <w:bottom w:val="none" w:sz="0" w:space="0" w:color="auto"/>
                <w:right w:val="none" w:sz="0" w:space="0" w:color="auto"/>
              </w:divBdr>
              <w:divsChild>
                <w:div w:id="5976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268687">
      <w:bodyDiv w:val="1"/>
      <w:marLeft w:val="0"/>
      <w:marRight w:val="0"/>
      <w:marTop w:val="0"/>
      <w:marBottom w:val="0"/>
      <w:divBdr>
        <w:top w:val="none" w:sz="0" w:space="0" w:color="auto"/>
        <w:left w:val="none" w:sz="0" w:space="0" w:color="auto"/>
        <w:bottom w:val="none" w:sz="0" w:space="0" w:color="auto"/>
        <w:right w:val="none" w:sz="0" w:space="0" w:color="auto"/>
      </w:divBdr>
      <w:divsChild>
        <w:div w:id="423843133">
          <w:marLeft w:val="0"/>
          <w:marRight w:val="0"/>
          <w:marTop w:val="0"/>
          <w:marBottom w:val="0"/>
          <w:divBdr>
            <w:top w:val="none" w:sz="0" w:space="0" w:color="auto"/>
            <w:left w:val="none" w:sz="0" w:space="0" w:color="auto"/>
            <w:bottom w:val="none" w:sz="0" w:space="0" w:color="auto"/>
            <w:right w:val="none" w:sz="0" w:space="0" w:color="auto"/>
          </w:divBdr>
          <w:divsChild>
            <w:div w:id="1400441577">
              <w:marLeft w:val="0"/>
              <w:marRight w:val="0"/>
              <w:marTop w:val="0"/>
              <w:marBottom w:val="0"/>
              <w:divBdr>
                <w:top w:val="none" w:sz="0" w:space="0" w:color="auto"/>
                <w:left w:val="none" w:sz="0" w:space="0" w:color="auto"/>
                <w:bottom w:val="none" w:sz="0" w:space="0" w:color="auto"/>
                <w:right w:val="none" w:sz="0" w:space="0" w:color="auto"/>
              </w:divBdr>
              <w:divsChild>
                <w:div w:id="136277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8928">
      <w:bodyDiv w:val="1"/>
      <w:marLeft w:val="0"/>
      <w:marRight w:val="0"/>
      <w:marTop w:val="0"/>
      <w:marBottom w:val="0"/>
      <w:divBdr>
        <w:top w:val="none" w:sz="0" w:space="0" w:color="auto"/>
        <w:left w:val="none" w:sz="0" w:space="0" w:color="auto"/>
        <w:bottom w:val="none" w:sz="0" w:space="0" w:color="auto"/>
        <w:right w:val="none" w:sz="0" w:space="0" w:color="auto"/>
      </w:divBdr>
    </w:div>
    <w:div w:id="453796717">
      <w:bodyDiv w:val="1"/>
      <w:marLeft w:val="0"/>
      <w:marRight w:val="0"/>
      <w:marTop w:val="0"/>
      <w:marBottom w:val="0"/>
      <w:divBdr>
        <w:top w:val="none" w:sz="0" w:space="0" w:color="auto"/>
        <w:left w:val="none" w:sz="0" w:space="0" w:color="auto"/>
        <w:bottom w:val="none" w:sz="0" w:space="0" w:color="auto"/>
        <w:right w:val="none" w:sz="0" w:space="0" w:color="auto"/>
      </w:divBdr>
      <w:divsChild>
        <w:div w:id="1914049001">
          <w:marLeft w:val="0"/>
          <w:marRight w:val="0"/>
          <w:marTop w:val="0"/>
          <w:marBottom w:val="0"/>
          <w:divBdr>
            <w:top w:val="none" w:sz="0" w:space="0" w:color="auto"/>
            <w:left w:val="none" w:sz="0" w:space="0" w:color="auto"/>
            <w:bottom w:val="none" w:sz="0" w:space="0" w:color="auto"/>
            <w:right w:val="none" w:sz="0" w:space="0" w:color="auto"/>
          </w:divBdr>
          <w:divsChild>
            <w:div w:id="418716253">
              <w:marLeft w:val="0"/>
              <w:marRight w:val="0"/>
              <w:marTop w:val="0"/>
              <w:marBottom w:val="0"/>
              <w:divBdr>
                <w:top w:val="none" w:sz="0" w:space="0" w:color="auto"/>
                <w:left w:val="none" w:sz="0" w:space="0" w:color="auto"/>
                <w:bottom w:val="none" w:sz="0" w:space="0" w:color="auto"/>
                <w:right w:val="none" w:sz="0" w:space="0" w:color="auto"/>
              </w:divBdr>
              <w:divsChild>
                <w:div w:id="12881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6427">
      <w:bodyDiv w:val="1"/>
      <w:marLeft w:val="0"/>
      <w:marRight w:val="0"/>
      <w:marTop w:val="0"/>
      <w:marBottom w:val="0"/>
      <w:divBdr>
        <w:top w:val="none" w:sz="0" w:space="0" w:color="auto"/>
        <w:left w:val="none" w:sz="0" w:space="0" w:color="auto"/>
        <w:bottom w:val="none" w:sz="0" w:space="0" w:color="auto"/>
        <w:right w:val="none" w:sz="0" w:space="0" w:color="auto"/>
      </w:divBdr>
      <w:divsChild>
        <w:div w:id="1053310487">
          <w:marLeft w:val="0"/>
          <w:marRight w:val="0"/>
          <w:marTop w:val="0"/>
          <w:marBottom w:val="0"/>
          <w:divBdr>
            <w:top w:val="none" w:sz="0" w:space="0" w:color="auto"/>
            <w:left w:val="none" w:sz="0" w:space="0" w:color="auto"/>
            <w:bottom w:val="none" w:sz="0" w:space="0" w:color="auto"/>
            <w:right w:val="none" w:sz="0" w:space="0" w:color="auto"/>
          </w:divBdr>
          <w:divsChild>
            <w:div w:id="377514343">
              <w:marLeft w:val="0"/>
              <w:marRight w:val="0"/>
              <w:marTop w:val="0"/>
              <w:marBottom w:val="0"/>
              <w:divBdr>
                <w:top w:val="none" w:sz="0" w:space="0" w:color="auto"/>
                <w:left w:val="none" w:sz="0" w:space="0" w:color="auto"/>
                <w:bottom w:val="none" w:sz="0" w:space="0" w:color="auto"/>
                <w:right w:val="none" w:sz="0" w:space="0" w:color="auto"/>
              </w:divBdr>
              <w:divsChild>
                <w:div w:id="6791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242334">
      <w:bodyDiv w:val="1"/>
      <w:marLeft w:val="0"/>
      <w:marRight w:val="0"/>
      <w:marTop w:val="0"/>
      <w:marBottom w:val="0"/>
      <w:divBdr>
        <w:top w:val="none" w:sz="0" w:space="0" w:color="auto"/>
        <w:left w:val="none" w:sz="0" w:space="0" w:color="auto"/>
        <w:bottom w:val="none" w:sz="0" w:space="0" w:color="auto"/>
        <w:right w:val="none" w:sz="0" w:space="0" w:color="auto"/>
      </w:divBdr>
      <w:divsChild>
        <w:div w:id="367220326">
          <w:marLeft w:val="0"/>
          <w:marRight w:val="0"/>
          <w:marTop w:val="0"/>
          <w:marBottom w:val="0"/>
          <w:divBdr>
            <w:top w:val="none" w:sz="0" w:space="0" w:color="auto"/>
            <w:left w:val="none" w:sz="0" w:space="0" w:color="auto"/>
            <w:bottom w:val="none" w:sz="0" w:space="0" w:color="auto"/>
            <w:right w:val="none" w:sz="0" w:space="0" w:color="auto"/>
          </w:divBdr>
          <w:divsChild>
            <w:div w:id="548542233">
              <w:marLeft w:val="0"/>
              <w:marRight w:val="0"/>
              <w:marTop w:val="0"/>
              <w:marBottom w:val="0"/>
              <w:divBdr>
                <w:top w:val="none" w:sz="0" w:space="0" w:color="auto"/>
                <w:left w:val="none" w:sz="0" w:space="0" w:color="auto"/>
                <w:bottom w:val="none" w:sz="0" w:space="0" w:color="auto"/>
                <w:right w:val="none" w:sz="0" w:space="0" w:color="auto"/>
              </w:divBdr>
              <w:divsChild>
                <w:div w:id="5464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40674">
      <w:bodyDiv w:val="1"/>
      <w:marLeft w:val="0"/>
      <w:marRight w:val="0"/>
      <w:marTop w:val="0"/>
      <w:marBottom w:val="0"/>
      <w:divBdr>
        <w:top w:val="none" w:sz="0" w:space="0" w:color="auto"/>
        <w:left w:val="none" w:sz="0" w:space="0" w:color="auto"/>
        <w:bottom w:val="none" w:sz="0" w:space="0" w:color="auto"/>
        <w:right w:val="none" w:sz="0" w:space="0" w:color="auto"/>
      </w:divBdr>
      <w:divsChild>
        <w:div w:id="980109828">
          <w:marLeft w:val="0"/>
          <w:marRight w:val="0"/>
          <w:marTop w:val="0"/>
          <w:marBottom w:val="0"/>
          <w:divBdr>
            <w:top w:val="none" w:sz="0" w:space="0" w:color="auto"/>
            <w:left w:val="none" w:sz="0" w:space="0" w:color="auto"/>
            <w:bottom w:val="none" w:sz="0" w:space="0" w:color="auto"/>
            <w:right w:val="none" w:sz="0" w:space="0" w:color="auto"/>
          </w:divBdr>
          <w:divsChild>
            <w:div w:id="1144738887">
              <w:marLeft w:val="0"/>
              <w:marRight w:val="0"/>
              <w:marTop w:val="0"/>
              <w:marBottom w:val="0"/>
              <w:divBdr>
                <w:top w:val="none" w:sz="0" w:space="0" w:color="auto"/>
                <w:left w:val="none" w:sz="0" w:space="0" w:color="auto"/>
                <w:bottom w:val="none" w:sz="0" w:space="0" w:color="auto"/>
                <w:right w:val="none" w:sz="0" w:space="0" w:color="auto"/>
              </w:divBdr>
              <w:divsChild>
                <w:div w:id="15247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42350">
      <w:bodyDiv w:val="1"/>
      <w:marLeft w:val="0"/>
      <w:marRight w:val="0"/>
      <w:marTop w:val="0"/>
      <w:marBottom w:val="0"/>
      <w:divBdr>
        <w:top w:val="none" w:sz="0" w:space="0" w:color="auto"/>
        <w:left w:val="none" w:sz="0" w:space="0" w:color="auto"/>
        <w:bottom w:val="none" w:sz="0" w:space="0" w:color="auto"/>
        <w:right w:val="none" w:sz="0" w:space="0" w:color="auto"/>
      </w:divBdr>
    </w:div>
    <w:div w:id="566499400">
      <w:bodyDiv w:val="1"/>
      <w:marLeft w:val="0"/>
      <w:marRight w:val="0"/>
      <w:marTop w:val="0"/>
      <w:marBottom w:val="0"/>
      <w:divBdr>
        <w:top w:val="none" w:sz="0" w:space="0" w:color="auto"/>
        <w:left w:val="none" w:sz="0" w:space="0" w:color="auto"/>
        <w:bottom w:val="none" w:sz="0" w:space="0" w:color="auto"/>
        <w:right w:val="none" w:sz="0" w:space="0" w:color="auto"/>
      </w:divBdr>
    </w:div>
    <w:div w:id="575557864">
      <w:bodyDiv w:val="1"/>
      <w:marLeft w:val="0"/>
      <w:marRight w:val="0"/>
      <w:marTop w:val="0"/>
      <w:marBottom w:val="0"/>
      <w:divBdr>
        <w:top w:val="none" w:sz="0" w:space="0" w:color="auto"/>
        <w:left w:val="none" w:sz="0" w:space="0" w:color="auto"/>
        <w:bottom w:val="none" w:sz="0" w:space="0" w:color="auto"/>
        <w:right w:val="none" w:sz="0" w:space="0" w:color="auto"/>
      </w:divBdr>
    </w:div>
    <w:div w:id="609627269">
      <w:bodyDiv w:val="1"/>
      <w:marLeft w:val="0"/>
      <w:marRight w:val="0"/>
      <w:marTop w:val="0"/>
      <w:marBottom w:val="0"/>
      <w:divBdr>
        <w:top w:val="none" w:sz="0" w:space="0" w:color="auto"/>
        <w:left w:val="none" w:sz="0" w:space="0" w:color="auto"/>
        <w:bottom w:val="none" w:sz="0" w:space="0" w:color="auto"/>
        <w:right w:val="none" w:sz="0" w:space="0" w:color="auto"/>
      </w:divBdr>
      <w:divsChild>
        <w:div w:id="2140492770">
          <w:marLeft w:val="0"/>
          <w:marRight w:val="0"/>
          <w:marTop w:val="0"/>
          <w:marBottom w:val="0"/>
          <w:divBdr>
            <w:top w:val="none" w:sz="0" w:space="0" w:color="auto"/>
            <w:left w:val="none" w:sz="0" w:space="0" w:color="auto"/>
            <w:bottom w:val="none" w:sz="0" w:space="0" w:color="auto"/>
            <w:right w:val="none" w:sz="0" w:space="0" w:color="auto"/>
          </w:divBdr>
          <w:divsChild>
            <w:div w:id="1651131797">
              <w:marLeft w:val="0"/>
              <w:marRight w:val="0"/>
              <w:marTop w:val="0"/>
              <w:marBottom w:val="0"/>
              <w:divBdr>
                <w:top w:val="none" w:sz="0" w:space="0" w:color="auto"/>
                <w:left w:val="none" w:sz="0" w:space="0" w:color="auto"/>
                <w:bottom w:val="none" w:sz="0" w:space="0" w:color="auto"/>
                <w:right w:val="none" w:sz="0" w:space="0" w:color="auto"/>
              </w:divBdr>
              <w:divsChild>
                <w:div w:id="1954053732">
                  <w:marLeft w:val="0"/>
                  <w:marRight w:val="0"/>
                  <w:marTop w:val="0"/>
                  <w:marBottom w:val="0"/>
                  <w:divBdr>
                    <w:top w:val="none" w:sz="0" w:space="0" w:color="auto"/>
                    <w:left w:val="none" w:sz="0" w:space="0" w:color="auto"/>
                    <w:bottom w:val="none" w:sz="0" w:space="0" w:color="auto"/>
                    <w:right w:val="none" w:sz="0" w:space="0" w:color="auto"/>
                  </w:divBdr>
                  <w:divsChild>
                    <w:div w:id="8235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723700">
      <w:bodyDiv w:val="1"/>
      <w:marLeft w:val="0"/>
      <w:marRight w:val="0"/>
      <w:marTop w:val="0"/>
      <w:marBottom w:val="0"/>
      <w:divBdr>
        <w:top w:val="none" w:sz="0" w:space="0" w:color="auto"/>
        <w:left w:val="none" w:sz="0" w:space="0" w:color="auto"/>
        <w:bottom w:val="none" w:sz="0" w:space="0" w:color="auto"/>
        <w:right w:val="none" w:sz="0" w:space="0" w:color="auto"/>
      </w:divBdr>
      <w:divsChild>
        <w:div w:id="182863264">
          <w:marLeft w:val="0"/>
          <w:marRight w:val="0"/>
          <w:marTop w:val="0"/>
          <w:marBottom w:val="0"/>
          <w:divBdr>
            <w:top w:val="none" w:sz="0" w:space="0" w:color="auto"/>
            <w:left w:val="none" w:sz="0" w:space="0" w:color="auto"/>
            <w:bottom w:val="none" w:sz="0" w:space="0" w:color="auto"/>
            <w:right w:val="none" w:sz="0" w:space="0" w:color="auto"/>
          </w:divBdr>
          <w:divsChild>
            <w:div w:id="1358314417">
              <w:marLeft w:val="0"/>
              <w:marRight w:val="0"/>
              <w:marTop w:val="0"/>
              <w:marBottom w:val="0"/>
              <w:divBdr>
                <w:top w:val="none" w:sz="0" w:space="0" w:color="auto"/>
                <w:left w:val="none" w:sz="0" w:space="0" w:color="auto"/>
                <w:bottom w:val="none" w:sz="0" w:space="0" w:color="auto"/>
                <w:right w:val="none" w:sz="0" w:space="0" w:color="auto"/>
              </w:divBdr>
              <w:divsChild>
                <w:div w:id="389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2618">
      <w:bodyDiv w:val="1"/>
      <w:marLeft w:val="0"/>
      <w:marRight w:val="0"/>
      <w:marTop w:val="0"/>
      <w:marBottom w:val="0"/>
      <w:divBdr>
        <w:top w:val="none" w:sz="0" w:space="0" w:color="auto"/>
        <w:left w:val="none" w:sz="0" w:space="0" w:color="auto"/>
        <w:bottom w:val="none" w:sz="0" w:space="0" w:color="auto"/>
        <w:right w:val="none" w:sz="0" w:space="0" w:color="auto"/>
      </w:divBdr>
    </w:div>
    <w:div w:id="744647306">
      <w:bodyDiv w:val="1"/>
      <w:marLeft w:val="0"/>
      <w:marRight w:val="0"/>
      <w:marTop w:val="0"/>
      <w:marBottom w:val="0"/>
      <w:divBdr>
        <w:top w:val="none" w:sz="0" w:space="0" w:color="auto"/>
        <w:left w:val="none" w:sz="0" w:space="0" w:color="auto"/>
        <w:bottom w:val="none" w:sz="0" w:space="0" w:color="auto"/>
        <w:right w:val="none" w:sz="0" w:space="0" w:color="auto"/>
      </w:divBdr>
      <w:divsChild>
        <w:div w:id="265578458">
          <w:marLeft w:val="0"/>
          <w:marRight w:val="0"/>
          <w:marTop w:val="0"/>
          <w:marBottom w:val="0"/>
          <w:divBdr>
            <w:top w:val="none" w:sz="0" w:space="0" w:color="auto"/>
            <w:left w:val="none" w:sz="0" w:space="0" w:color="auto"/>
            <w:bottom w:val="none" w:sz="0" w:space="0" w:color="auto"/>
            <w:right w:val="none" w:sz="0" w:space="0" w:color="auto"/>
          </w:divBdr>
          <w:divsChild>
            <w:div w:id="1897203339">
              <w:marLeft w:val="0"/>
              <w:marRight w:val="0"/>
              <w:marTop w:val="0"/>
              <w:marBottom w:val="0"/>
              <w:divBdr>
                <w:top w:val="none" w:sz="0" w:space="0" w:color="auto"/>
                <w:left w:val="none" w:sz="0" w:space="0" w:color="auto"/>
                <w:bottom w:val="none" w:sz="0" w:space="0" w:color="auto"/>
                <w:right w:val="none" w:sz="0" w:space="0" w:color="auto"/>
              </w:divBdr>
              <w:divsChild>
                <w:div w:id="2596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4225">
      <w:bodyDiv w:val="1"/>
      <w:marLeft w:val="0"/>
      <w:marRight w:val="0"/>
      <w:marTop w:val="0"/>
      <w:marBottom w:val="0"/>
      <w:divBdr>
        <w:top w:val="none" w:sz="0" w:space="0" w:color="auto"/>
        <w:left w:val="none" w:sz="0" w:space="0" w:color="auto"/>
        <w:bottom w:val="none" w:sz="0" w:space="0" w:color="auto"/>
        <w:right w:val="none" w:sz="0" w:space="0" w:color="auto"/>
      </w:divBdr>
      <w:divsChild>
        <w:div w:id="338193510">
          <w:marLeft w:val="0"/>
          <w:marRight w:val="0"/>
          <w:marTop w:val="0"/>
          <w:marBottom w:val="0"/>
          <w:divBdr>
            <w:top w:val="none" w:sz="0" w:space="0" w:color="auto"/>
            <w:left w:val="none" w:sz="0" w:space="0" w:color="auto"/>
            <w:bottom w:val="none" w:sz="0" w:space="0" w:color="auto"/>
            <w:right w:val="none" w:sz="0" w:space="0" w:color="auto"/>
          </w:divBdr>
          <w:divsChild>
            <w:div w:id="535892907">
              <w:marLeft w:val="0"/>
              <w:marRight w:val="0"/>
              <w:marTop w:val="0"/>
              <w:marBottom w:val="0"/>
              <w:divBdr>
                <w:top w:val="none" w:sz="0" w:space="0" w:color="auto"/>
                <w:left w:val="none" w:sz="0" w:space="0" w:color="auto"/>
                <w:bottom w:val="none" w:sz="0" w:space="0" w:color="auto"/>
                <w:right w:val="none" w:sz="0" w:space="0" w:color="auto"/>
              </w:divBdr>
              <w:divsChild>
                <w:div w:id="11445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5456">
      <w:bodyDiv w:val="1"/>
      <w:marLeft w:val="0"/>
      <w:marRight w:val="0"/>
      <w:marTop w:val="0"/>
      <w:marBottom w:val="0"/>
      <w:divBdr>
        <w:top w:val="none" w:sz="0" w:space="0" w:color="auto"/>
        <w:left w:val="none" w:sz="0" w:space="0" w:color="auto"/>
        <w:bottom w:val="none" w:sz="0" w:space="0" w:color="auto"/>
        <w:right w:val="none" w:sz="0" w:space="0" w:color="auto"/>
      </w:divBdr>
    </w:div>
    <w:div w:id="995262294">
      <w:bodyDiv w:val="1"/>
      <w:marLeft w:val="0"/>
      <w:marRight w:val="0"/>
      <w:marTop w:val="0"/>
      <w:marBottom w:val="0"/>
      <w:divBdr>
        <w:top w:val="none" w:sz="0" w:space="0" w:color="auto"/>
        <w:left w:val="none" w:sz="0" w:space="0" w:color="auto"/>
        <w:bottom w:val="none" w:sz="0" w:space="0" w:color="auto"/>
        <w:right w:val="none" w:sz="0" w:space="0" w:color="auto"/>
      </w:divBdr>
    </w:div>
    <w:div w:id="1044863871">
      <w:bodyDiv w:val="1"/>
      <w:marLeft w:val="0"/>
      <w:marRight w:val="0"/>
      <w:marTop w:val="0"/>
      <w:marBottom w:val="0"/>
      <w:divBdr>
        <w:top w:val="none" w:sz="0" w:space="0" w:color="auto"/>
        <w:left w:val="none" w:sz="0" w:space="0" w:color="auto"/>
        <w:bottom w:val="none" w:sz="0" w:space="0" w:color="auto"/>
        <w:right w:val="none" w:sz="0" w:space="0" w:color="auto"/>
      </w:divBdr>
      <w:divsChild>
        <w:div w:id="1995865722">
          <w:marLeft w:val="0"/>
          <w:marRight w:val="0"/>
          <w:marTop w:val="0"/>
          <w:marBottom w:val="0"/>
          <w:divBdr>
            <w:top w:val="none" w:sz="0" w:space="0" w:color="auto"/>
            <w:left w:val="none" w:sz="0" w:space="0" w:color="auto"/>
            <w:bottom w:val="none" w:sz="0" w:space="0" w:color="auto"/>
            <w:right w:val="none" w:sz="0" w:space="0" w:color="auto"/>
          </w:divBdr>
          <w:divsChild>
            <w:div w:id="271009837">
              <w:marLeft w:val="0"/>
              <w:marRight w:val="0"/>
              <w:marTop w:val="0"/>
              <w:marBottom w:val="0"/>
              <w:divBdr>
                <w:top w:val="none" w:sz="0" w:space="0" w:color="auto"/>
                <w:left w:val="none" w:sz="0" w:space="0" w:color="auto"/>
                <w:bottom w:val="none" w:sz="0" w:space="0" w:color="auto"/>
                <w:right w:val="none" w:sz="0" w:space="0" w:color="auto"/>
              </w:divBdr>
              <w:divsChild>
                <w:div w:id="7939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3705">
      <w:bodyDiv w:val="1"/>
      <w:marLeft w:val="0"/>
      <w:marRight w:val="0"/>
      <w:marTop w:val="0"/>
      <w:marBottom w:val="0"/>
      <w:divBdr>
        <w:top w:val="none" w:sz="0" w:space="0" w:color="auto"/>
        <w:left w:val="none" w:sz="0" w:space="0" w:color="auto"/>
        <w:bottom w:val="none" w:sz="0" w:space="0" w:color="auto"/>
        <w:right w:val="none" w:sz="0" w:space="0" w:color="auto"/>
      </w:divBdr>
    </w:div>
    <w:div w:id="1103111927">
      <w:bodyDiv w:val="1"/>
      <w:marLeft w:val="0"/>
      <w:marRight w:val="0"/>
      <w:marTop w:val="0"/>
      <w:marBottom w:val="0"/>
      <w:divBdr>
        <w:top w:val="none" w:sz="0" w:space="0" w:color="auto"/>
        <w:left w:val="none" w:sz="0" w:space="0" w:color="auto"/>
        <w:bottom w:val="none" w:sz="0" w:space="0" w:color="auto"/>
        <w:right w:val="none" w:sz="0" w:space="0" w:color="auto"/>
      </w:divBdr>
      <w:divsChild>
        <w:div w:id="1937709139">
          <w:marLeft w:val="0"/>
          <w:marRight w:val="0"/>
          <w:marTop w:val="0"/>
          <w:marBottom w:val="0"/>
          <w:divBdr>
            <w:top w:val="none" w:sz="0" w:space="0" w:color="auto"/>
            <w:left w:val="none" w:sz="0" w:space="0" w:color="auto"/>
            <w:bottom w:val="none" w:sz="0" w:space="0" w:color="auto"/>
            <w:right w:val="none" w:sz="0" w:space="0" w:color="auto"/>
          </w:divBdr>
          <w:divsChild>
            <w:div w:id="1969966822">
              <w:marLeft w:val="0"/>
              <w:marRight w:val="0"/>
              <w:marTop w:val="0"/>
              <w:marBottom w:val="0"/>
              <w:divBdr>
                <w:top w:val="none" w:sz="0" w:space="0" w:color="auto"/>
                <w:left w:val="none" w:sz="0" w:space="0" w:color="auto"/>
                <w:bottom w:val="none" w:sz="0" w:space="0" w:color="auto"/>
                <w:right w:val="none" w:sz="0" w:space="0" w:color="auto"/>
              </w:divBdr>
              <w:divsChild>
                <w:div w:id="17456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30887">
      <w:bodyDiv w:val="1"/>
      <w:marLeft w:val="0"/>
      <w:marRight w:val="0"/>
      <w:marTop w:val="0"/>
      <w:marBottom w:val="0"/>
      <w:divBdr>
        <w:top w:val="none" w:sz="0" w:space="0" w:color="auto"/>
        <w:left w:val="none" w:sz="0" w:space="0" w:color="auto"/>
        <w:bottom w:val="none" w:sz="0" w:space="0" w:color="auto"/>
        <w:right w:val="none" w:sz="0" w:space="0" w:color="auto"/>
      </w:divBdr>
      <w:divsChild>
        <w:div w:id="964232944">
          <w:marLeft w:val="0"/>
          <w:marRight w:val="0"/>
          <w:marTop w:val="0"/>
          <w:marBottom w:val="0"/>
          <w:divBdr>
            <w:top w:val="none" w:sz="0" w:space="0" w:color="auto"/>
            <w:left w:val="none" w:sz="0" w:space="0" w:color="auto"/>
            <w:bottom w:val="none" w:sz="0" w:space="0" w:color="auto"/>
            <w:right w:val="none" w:sz="0" w:space="0" w:color="auto"/>
          </w:divBdr>
          <w:divsChild>
            <w:div w:id="1815440857">
              <w:marLeft w:val="0"/>
              <w:marRight w:val="0"/>
              <w:marTop w:val="0"/>
              <w:marBottom w:val="0"/>
              <w:divBdr>
                <w:top w:val="none" w:sz="0" w:space="0" w:color="auto"/>
                <w:left w:val="none" w:sz="0" w:space="0" w:color="auto"/>
                <w:bottom w:val="none" w:sz="0" w:space="0" w:color="auto"/>
                <w:right w:val="none" w:sz="0" w:space="0" w:color="auto"/>
              </w:divBdr>
              <w:divsChild>
                <w:div w:id="166890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69558">
      <w:bodyDiv w:val="1"/>
      <w:marLeft w:val="0"/>
      <w:marRight w:val="0"/>
      <w:marTop w:val="0"/>
      <w:marBottom w:val="0"/>
      <w:divBdr>
        <w:top w:val="none" w:sz="0" w:space="0" w:color="auto"/>
        <w:left w:val="none" w:sz="0" w:space="0" w:color="auto"/>
        <w:bottom w:val="none" w:sz="0" w:space="0" w:color="auto"/>
        <w:right w:val="none" w:sz="0" w:space="0" w:color="auto"/>
      </w:divBdr>
    </w:div>
    <w:div w:id="1120413738">
      <w:bodyDiv w:val="1"/>
      <w:marLeft w:val="0"/>
      <w:marRight w:val="0"/>
      <w:marTop w:val="0"/>
      <w:marBottom w:val="0"/>
      <w:divBdr>
        <w:top w:val="none" w:sz="0" w:space="0" w:color="auto"/>
        <w:left w:val="none" w:sz="0" w:space="0" w:color="auto"/>
        <w:bottom w:val="none" w:sz="0" w:space="0" w:color="auto"/>
        <w:right w:val="none" w:sz="0" w:space="0" w:color="auto"/>
      </w:divBdr>
      <w:divsChild>
        <w:div w:id="342169433">
          <w:marLeft w:val="0"/>
          <w:marRight w:val="0"/>
          <w:marTop w:val="0"/>
          <w:marBottom w:val="0"/>
          <w:divBdr>
            <w:top w:val="none" w:sz="0" w:space="0" w:color="auto"/>
            <w:left w:val="none" w:sz="0" w:space="0" w:color="auto"/>
            <w:bottom w:val="none" w:sz="0" w:space="0" w:color="auto"/>
            <w:right w:val="none" w:sz="0" w:space="0" w:color="auto"/>
          </w:divBdr>
          <w:divsChild>
            <w:div w:id="232394950">
              <w:marLeft w:val="0"/>
              <w:marRight w:val="0"/>
              <w:marTop w:val="0"/>
              <w:marBottom w:val="0"/>
              <w:divBdr>
                <w:top w:val="none" w:sz="0" w:space="0" w:color="auto"/>
                <w:left w:val="none" w:sz="0" w:space="0" w:color="auto"/>
                <w:bottom w:val="none" w:sz="0" w:space="0" w:color="auto"/>
                <w:right w:val="none" w:sz="0" w:space="0" w:color="auto"/>
              </w:divBdr>
              <w:divsChild>
                <w:div w:id="9856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563502">
      <w:bodyDiv w:val="1"/>
      <w:marLeft w:val="0"/>
      <w:marRight w:val="0"/>
      <w:marTop w:val="0"/>
      <w:marBottom w:val="0"/>
      <w:divBdr>
        <w:top w:val="none" w:sz="0" w:space="0" w:color="auto"/>
        <w:left w:val="none" w:sz="0" w:space="0" w:color="auto"/>
        <w:bottom w:val="none" w:sz="0" w:space="0" w:color="auto"/>
        <w:right w:val="none" w:sz="0" w:space="0" w:color="auto"/>
      </w:divBdr>
    </w:div>
    <w:div w:id="1159420257">
      <w:bodyDiv w:val="1"/>
      <w:marLeft w:val="0"/>
      <w:marRight w:val="0"/>
      <w:marTop w:val="0"/>
      <w:marBottom w:val="0"/>
      <w:divBdr>
        <w:top w:val="none" w:sz="0" w:space="0" w:color="auto"/>
        <w:left w:val="none" w:sz="0" w:space="0" w:color="auto"/>
        <w:bottom w:val="none" w:sz="0" w:space="0" w:color="auto"/>
        <w:right w:val="none" w:sz="0" w:space="0" w:color="auto"/>
      </w:divBdr>
      <w:divsChild>
        <w:div w:id="356395903">
          <w:marLeft w:val="0"/>
          <w:marRight w:val="0"/>
          <w:marTop w:val="0"/>
          <w:marBottom w:val="0"/>
          <w:divBdr>
            <w:top w:val="none" w:sz="0" w:space="0" w:color="auto"/>
            <w:left w:val="none" w:sz="0" w:space="0" w:color="auto"/>
            <w:bottom w:val="none" w:sz="0" w:space="0" w:color="auto"/>
            <w:right w:val="none" w:sz="0" w:space="0" w:color="auto"/>
          </w:divBdr>
          <w:divsChild>
            <w:div w:id="548608246">
              <w:marLeft w:val="0"/>
              <w:marRight w:val="0"/>
              <w:marTop w:val="0"/>
              <w:marBottom w:val="0"/>
              <w:divBdr>
                <w:top w:val="none" w:sz="0" w:space="0" w:color="auto"/>
                <w:left w:val="none" w:sz="0" w:space="0" w:color="auto"/>
                <w:bottom w:val="none" w:sz="0" w:space="0" w:color="auto"/>
                <w:right w:val="none" w:sz="0" w:space="0" w:color="auto"/>
              </w:divBdr>
              <w:divsChild>
                <w:div w:id="17120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22673">
      <w:bodyDiv w:val="1"/>
      <w:marLeft w:val="0"/>
      <w:marRight w:val="0"/>
      <w:marTop w:val="0"/>
      <w:marBottom w:val="0"/>
      <w:divBdr>
        <w:top w:val="none" w:sz="0" w:space="0" w:color="auto"/>
        <w:left w:val="none" w:sz="0" w:space="0" w:color="auto"/>
        <w:bottom w:val="none" w:sz="0" w:space="0" w:color="auto"/>
        <w:right w:val="none" w:sz="0" w:space="0" w:color="auto"/>
      </w:divBdr>
      <w:divsChild>
        <w:div w:id="1752656909">
          <w:marLeft w:val="0"/>
          <w:marRight w:val="0"/>
          <w:marTop w:val="0"/>
          <w:marBottom w:val="0"/>
          <w:divBdr>
            <w:top w:val="none" w:sz="0" w:space="0" w:color="auto"/>
            <w:left w:val="none" w:sz="0" w:space="0" w:color="auto"/>
            <w:bottom w:val="none" w:sz="0" w:space="0" w:color="auto"/>
            <w:right w:val="none" w:sz="0" w:space="0" w:color="auto"/>
          </w:divBdr>
          <w:divsChild>
            <w:div w:id="363094376">
              <w:marLeft w:val="0"/>
              <w:marRight w:val="0"/>
              <w:marTop w:val="0"/>
              <w:marBottom w:val="0"/>
              <w:divBdr>
                <w:top w:val="none" w:sz="0" w:space="0" w:color="auto"/>
                <w:left w:val="none" w:sz="0" w:space="0" w:color="auto"/>
                <w:bottom w:val="none" w:sz="0" w:space="0" w:color="auto"/>
                <w:right w:val="none" w:sz="0" w:space="0" w:color="auto"/>
              </w:divBdr>
              <w:divsChild>
                <w:div w:id="96419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13958">
      <w:bodyDiv w:val="1"/>
      <w:marLeft w:val="0"/>
      <w:marRight w:val="0"/>
      <w:marTop w:val="0"/>
      <w:marBottom w:val="0"/>
      <w:divBdr>
        <w:top w:val="none" w:sz="0" w:space="0" w:color="auto"/>
        <w:left w:val="none" w:sz="0" w:space="0" w:color="auto"/>
        <w:bottom w:val="none" w:sz="0" w:space="0" w:color="auto"/>
        <w:right w:val="none" w:sz="0" w:space="0" w:color="auto"/>
      </w:divBdr>
      <w:divsChild>
        <w:div w:id="963535367">
          <w:marLeft w:val="0"/>
          <w:marRight w:val="0"/>
          <w:marTop w:val="0"/>
          <w:marBottom w:val="0"/>
          <w:divBdr>
            <w:top w:val="none" w:sz="0" w:space="0" w:color="auto"/>
            <w:left w:val="none" w:sz="0" w:space="0" w:color="auto"/>
            <w:bottom w:val="none" w:sz="0" w:space="0" w:color="auto"/>
            <w:right w:val="none" w:sz="0" w:space="0" w:color="auto"/>
          </w:divBdr>
          <w:divsChild>
            <w:div w:id="122770913">
              <w:marLeft w:val="0"/>
              <w:marRight w:val="0"/>
              <w:marTop w:val="0"/>
              <w:marBottom w:val="0"/>
              <w:divBdr>
                <w:top w:val="none" w:sz="0" w:space="0" w:color="auto"/>
                <w:left w:val="none" w:sz="0" w:space="0" w:color="auto"/>
                <w:bottom w:val="none" w:sz="0" w:space="0" w:color="auto"/>
                <w:right w:val="none" w:sz="0" w:space="0" w:color="auto"/>
              </w:divBdr>
              <w:divsChild>
                <w:div w:id="12578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4257">
      <w:bodyDiv w:val="1"/>
      <w:marLeft w:val="0"/>
      <w:marRight w:val="0"/>
      <w:marTop w:val="0"/>
      <w:marBottom w:val="0"/>
      <w:divBdr>
        <w:top w:val="none" w:sz="0" w:space="0" w:color="auto"/>
        <w:left w:val="none" w:sz="0" w:space="0" w:color="auto"/>
        <w:bottom w:val="none" w:sz="0" w:space="0" w:color="auto"/>
        <w:right w:val="none" w:sz="0" w:space="0" w:color="auto"/>
      </w:divBdr>
      <w:divsChild>
        <w:div w:id="1362973230">
          <w:marLeft w:val="0"/>
          <w:marRight w:val="0"/>
          <w:marTop w:val="0"/>
          <w:marBottom w:val="0"/>
          <w:divBdr>
            <w:top w:val="none" w:sz="0" w:space="0" w:color="auto"/>
            <w:left w:val="none" w:sz="0" w:space="0" w:color="auto"/>
            <w:bottom w:val="none" w:sz="0" w:space="0" w:color="auto"/>
            <w:right w:val="none" w:sz="0" w:space="0" w:color="auto"/>
          </w:divBdr>
          <w:divsChild>
            <w:div w:id="1106267587">
              <w:marLeft w:val="0"/>
              <w:marRight w:val="0"/>
              <w:marTop w:val="0"/>
              <w:marBottom w:val="0"/>
              <w:divBdr>
                <w:top w:val="none" w:sz="0" w:space="0" w:color="auto"/>
                <w:left w:val="none" w:sz="0" w:space="0" w:color="auto"/>
                <w:bottom w:val="none" w:sz="0" w:space="0" w:color="auto"/>
                <w:right w:val="none" w:sz="0" w:space="0" w:color="auto"/>
              </w:divBdr>
              <w:divsChild>
                <w:div w:id="3501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80624">
      <w:bodyDiv w:val="1"/>
      <w:marLeft w:val="0"/>
      <w:marRight w:val="0"/>
      <w:marTop w:val="0"/>
      <w:marBottom w:val="0"/>
      <w:divBdr>
        <w:top w:val="none" w:sz="0" w:space="0" w:color="auto"/>
        <w:left w:val="none" w:sz="0" w:space="0" w:color="auto"/>
        <w:bottom w:val="none" w:sz="0" w:space="0" w:color="auto"/>
        <w:right w:val="none" w:sz="0" w:space="0" w:color="auto"/>
      </w:divBdr>
      <w:divsChild>
        <w:div w:id="1603685490">
          <w:marLeft w:val="0"/>
          <w:marRight w:val="0"/>
          <w:marTop w:val="0"/>
          <w:marBottom w:val="0"/>
          <w:divBdr>
            <w:top w:val="none" w:sz="0" w:space="0" w:color="auto"/>
            <w:left w:val="none" w:sz="0" w:space="0" w:color="auto"/>
            <w:bottom w:val="none" w:sz="0" w:space="0" w:color="auto"/>
            <w:right w:val="none" w:sz="0" w:space="0" w:color="auto"/>
          </w:divBdr>
          <w:divsChild>
            <w:div w:id="743718802">
              <w:marLeft w:val="0"/>
              <w:marRight w:val="0"/>
              <w:marTop w:val="0"/>
              <w:marBottom w:val="0"/>
              <w:divBdr>
                <w:top w:val="none" w:sz="0" w:space="0" w:color="auto"/>
                <w:left w:val="none" w:sz="0" w:space="0" w:color="auto"/>
                <w:bottom w:val="none" w:sz="0" w:space="0" w:color="auto"/>
                <w:right w:val="none" w:sz="0" w:space="0" w:color="auto"/>
              </w:divBdr>
              <w:divsChild>
                <w:div w:id="1394696930">
                  <w:marLeft w:val="0"/>
                  <w:marRight w:val="0"/>
                  <w:marTop w:val="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968732">
      <w:bodyDiv w:val="1"/>
      <w:marLeft w:val="0"/>
      <w:marRight w:val="0"/>
      <w:marTop w:val="0"/>
      <w:marBottom w:val="0"/>
      <w:divBdr>
        <w:top w:val="none" w:sz="0" w:space="0" w:color="auto"/>
        <w:left w:val="none" w:sz="0" w:space="0" w:color="auto"/>
        <w:bottom w:val="none" w:sz="0" w:space="0" w:color="auto"/>
        <w:right w:val="none" w:sz="0" w:space="0" w:color="auto"/>
      </w:divBdr>
      <w:divsChild>
        <w:div w:id="334042609">
          <w:marLeft w:val="0"/>
          <w:marRight w:val="0"/>
          <w:marTop w:val="0"/>
          <w:marBottom w:val="0"/>
          <w:divBdr>
            <w:top w:val="none" w:sz="0" w:space="0" w:color="auto"/>
            <w:left w:val="none" w:sz="0" w:space="0" w:color="auto"/>
            <w:bottom w:val="none" w:sz="0" w:space="0" w:color="auto"/>
            <w:right w:val="none" w:sz="0" w:space="0" w:color="auto"/>
          </w:divBdr>
          <w:divsChild>
            <w:div w:id="1953398710">
              <w:marLeft w:val="0"/>
              <w:marRight w:val="0"/>
              <w:marTop w:val="0"/>
              <w:marBottom w:val="0"/>
              <w:divBdr>
                <w:top w:val="none" w:sz="0" w:space="0" w:color="auto"/>
                <w:left w:val="none" w:sz="0" w:space="0" w:color="auto"/>
                <w:bottom w:val="none" w:sz="0" w:space="0" w:color="auto"/>
                <w:right w:val="none" w:sz="0" w:space="0" w:color="auto"/>
              </w:divBdr>
              <w:divsChild>
                <w:div w:id="16592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68748">
      <w:bodyDiv w:val="1"/>
      <w:marLeft w:val="0"/>
      <w:marRight w:val="0"/>
      <w:marTop w:val="0"/>
      <w:marBottom w:val="0"/>
      <w:divBdr>
        <w:top w:val="none" w:sz="0" w:space="0" w:color="auto"/>
        <w:left w:val="none" w:sz="0" w:space="0" w:color="auto"/>
        <w:bottom w:val="none" w:sz="0" w:space="0" w:color="auto"/>
        <w:right w:val="none" w:sz="0" w:space="0" w:color="auto"/>
      </w:divBdr>
    </w:div>
    <w:div w:id="1391229681">
      <w:bodyDiv w:val="1"/>
      <w:marLeft w:val="0"/>
      <w:marRight w:val="0"/>
      <w:marTop w:val="0"/>
      <w:marBottom w:val="0"/>
      <w:divBdr>
        <w:top w:val="none" w:sz="0" w:space="0" w:color="auto"/>
        <w:left w:val="none" w:sz="0" w:space="0" w:color="auto"/>
        <w:bottom w:val="none" w:sz="0" w:space="0" w:color="auto"/>
        <w:right w:val="none" w:sz="0" w:space="0" w:color="auto"/>
      </w:divBdr>
    </w:div>
    <w:div w:id="1406299114">
      <w:bodyDiv w:val="1"/>
      <w:marLeft w:val="0"/>
      <w:marRight w:val="0"/>
      <w:marTop w:val="0"/>
      <w:marBottom w:val="0"/>
      <w:divBdr>
        <w:top w:val="none" w:sz="0" w:space="0" w:color="auto"/>
        <w:left w:val="none" w:sz="0" w:space="0" w:color="auto"/>
        <w:bottom w:val="none" w:sz="0" w:space="0" w:color="auto"/>
        <w:right w:val="none" w:sz="0" w:space="0" w:color="auto"/>
      </w:divBdr>
      <w:divsChild>
        <w:div w:id="747993232">
          <w:marLeft w:val="0"/>
          <w:marRight w:val="0"/>
          <w:marTop w:val="0"/>
          <w:marBottom w:val="0"/>
          <w:divBdr>
            <w:top w:val="none" w:sz="0" w:space="0" w:color="auto"/>
            <w:left w:val="none" w:sz="0" w:space="0" w:color="auto"/>
            <w:bottom w:val="none" w:sz="0" w:space="0" w:color="auto"/>
            <w:right w:val="none" w:sz="0" w:space="0" w:color="auto"/>
          </w:divBdr>
          <w:divsChild>
            <w:div w:id="1090737339">
              <w:marLeft w:val="0"/>
              <w:marRight w:val="0"/>
              <w:marTop w:val="0"/>
              <w:marBottom w:val="0"/>
              <w:divBdr>
                <w:top w:val="none" w:sz="0" w:space="0" w:color="auto"/>
                <w:left w:val="none" w:sz="0" w:space="0" w:color="auto"/>
                <w:bottom w:val="none" w:sz="0" w:space="0" w:color="auto"/>
                <w:right w:val="none" w:sz="0" w:space="0" w:color="auto"/>
              </w:divBdr>
              <w:divsChild>
                <w:div w:id="69704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992681">
      <w:bodyDiv w:val="1"/>
      <w:marLeft w:val="0"/>
      <w:marRight w:val="0"/>
      <w:marTop w:val="0"/>
      <w:marBottom w:val="0"/>
      <w:divBdr>
        <w:top w:val="none" w:sz="0" w:space="0" w:color="auto"/>
        <w:left w:val="none" w:sz="0" w:space="0" w:color="auto"/>
        <w:bottom w:val="none" w:sz="0" w:space="0" w:color="auto"/>
        <w:right w:val="none" w:sz="0" w:space="0" w:color="auto"/>
      </w:divBdr>
      <w:divsChild>
        <w:div w:id="1108040189">
          <w:marLeft w:val="0"/>
          <w:marRight w:val="0"/>
          <w:marTop w:val="0"/>
          <w:marBottom w:val="0"/>
          <w:divBdr>
            <w:top w:val="none" w:sz="0" w:space="0" w:color="auto"/>
            <w:left w:val="none" w:sz="0" w:space="0" w:color="auto"/>
            <w:bottom w:val="none" w:sz="0" w:space="0" w:color="auto"/>
            <w:right w:val="none" w:sz="0" w:space="0" w:color="auto"/>
          </w:divBdr>
          <w:divsChild>
            <w:div w:id="423379834">
              <w:marLeft w:val="0"/>
              <w:marRight w:val="0"/>
              <w:marTop w:val="0"/>
              <w:marBottom w:val="0"/>
              <w:divBdr>
                <w:top w:val="none" w:sz="0" w:space="0" w:color="auto"/>
                <w:left w:val="none" w:sz="0" w:space="0" w:color="auto"/>
                <w:bottom w:val="none" w:sz="0" w:space="0" w:color="auto"/>
                <w:right w:val="none" w:sz="0" w:space="0" w:color="auto"/>
              </w:divBdr>
              <w:divsChild>
                <w:div w:id="3615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01443">
      <w:bodyDiv w:val="1"/>
      <w:marLeft w:val="0"/>
      <w:marRight w:val="0"/>
      <w:marTop w:val="0"/>
      <w:marBottom w:val="0"/>
      <w:divBdr>
        <w:top w:val="none" w:sz="0" w:space="0" w:color="auto"/>
        <w:left w:val="none" w:sz="0" w:space="0" w:color="auto"/>
        <w:bottom w:val="none" w:sz="0" w:space="0" w:color="auto"/>
        <w:right w:val="none" w:sz="0" w:space="0" w:color="auto"/>
      </w:divBdr>
    </w:div>
    <w:div w:id="1471751475">
      <w:bodyDiv w:val="1"/>
      <w:marLeft w:val="0"/>
      <w:marRight w:val="0"/>
      <w:marTop w:val="0"/>
      <w:marBottom w:val="0"/>
      <w:divBdr>
        <w:top w:val="none" w:sz="0" w:space="0" w:color="auto"/>
        <w:left w:val="none" w:sz="0" w:space="0" w:color="auto"/>
        <w:bottom w:val="none" w:sz="0" w:space="0" w:color="auto"/>
        <w:right w:val="none" w:sz="0" w:space="0" w:color="auto"/>
      </w:divBdr>
    </w:div>
    <w:div w:id="1473019759">
      <w:bodyDiv w:val="1"/>
      <w:marLeft w:val="0"/>
      <w:marRight w:val="0"/>
      <w:marTop w:val="0"/>
      <w:marBottom w:val="0"/>
      <w:divBdr>
        <w:top w:val="none" w:sz="0" w:space="0" w:color="auto"/>
        <w:left w:val="none" w:sz="0" w:space="0" w:color="auto"/>
        <w:bottom w:val="none" w:sz="0" w:space="0" w:color="auto"/>
        <w:right w:val="none" w:sz="0" w:space="0" w:color="auto"/>
      </w:divBdr>
    </w:div>
    <w:div w:id="1497722217">
      <w:bodyDiv w:val="1"/>
      <w:marLeft w:val="0"/>
      <w:marRight w:val="0"/>
      <w:marTop w:val="0"/>
      <w:marBottom w:val="0"/>
      <w:divBdr>
        <w:top w:val="none" w:sz="0" w:space="0" w:color="auto"/>
        <w:left w:val="none" w:sz="0" w:space="0" w:color="auto"/>
        <w:bottom w:val="none" w:sz="0" w:space="0" w:color="auto"/>
        <w:right w:val="none" w:sz="0" w:space="0" w:color="auto"/>
      </w:divBdr>
      <w:divsChild>
        <w:div w:id="802699063">
          <w:marLeft w:val="0"/>
          <w:marRight w:val="0"/>
          <w:marTop w:val="0"/>
          <w:marBottom w:val="0"/>
          <w:divBdr>
            <w:top w:val="none" w:sz="0" w:space="0" w:color="auto"/>
            <w:left w:val="none" w:sz="0" w:space="0" w:color="auto"/>
            <w:bottom w:val="none" w:sz="0" w:space="0" w:color="auto"/>
            <w:right w:val="none" w:sz="0" w:space="0" w:color="auto"/>
          </w:divBdr>
          <w:divsChild>
            <w:div w:id="1121415250">
              <w:marLeft w:val="0"/>
              <w:marRight w:val="0"/>
              <w:marTop w:val="0"/>
              <w:marBottom w:val="0"/>
              <w:divBdr>
                <w:top w:val="none" w:sz="0" w:space="0" w:color="auto"/>
                <w:left w:val="none" w:sz="0" w:space="0" w:color="auto"/>
                <w:bottom w:val="none" w:sz="0" w:space="0" w:color="auto"/>
                <w:right w:val="none" w:sz="0" w:space="0" w:color="auto"/>
              </w:divBdr>
              <w:divsChild>
                <w:div w:id="11574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30154">
      <w:bodyDiv w:val="1"/>
      <w:marLeft w:val="0"/>
      <w:marRight w:val="0"/>
      <w:marTop w:val="0"/>
      <w:marBottom w:val="0"/>
      <w:divBdr>
        <w:top w:val="none" w:sz="0" w:space="0" w:color="auto"/>
        <w:left w:val="none" w:sz="0" w:space="0" w:color="auto"/>
        <w:bottom w:val="none" w:sz="0" w:space="0" w:color="auto"/>
        <w:right w:val="none" w:sz="0" w:space="0" w:color="auto"/>
      </w:divBdr>
      <w:divsChild>
        <w:div w:id="1208032030">
          <w:marLeft w:val="0"/>
          <w:marRight w:val="0"/>
          <w:marTop w:val="0"/>
          <w:marBottom w:val="0"/>
          <w:divBdr>
            <w:top w:val="none" w:sz="0" w:space="0" w:color="auto"/>
            <w:left w:val="none" w:sz="0" w:space="0" w:color="auto"/>
            <w:bottom w:val="none" w:sz="0" w:space="0" w:color="auto"/>
            <w:right w:val="none" w:sz="0" w:space="0" w:color="auto"/>
          </w:divBdr>
          <w:divsChild>
            <w:div w:id="1324703802">
              <w:marLeft w:val="0"/>
              <w:marRight w:val="0"/>
              <w:marTop w:val="0"/>
              <w:marBottom w:val="0"/>
              <w:divBdr>
                <w:top w:val="none" w:sz="0" w:space="0" w:color="auto"/>
                <w:left w:val="none" w:sz="0" w:space="0" w:color="auto"/>
                <w:bottom w:val="none" w:sz="0" w:space="0" w:color="auto"/>
                <w:right w:val="none" w:sz="0" w:space="0" w:color="auto"/>
              </w:divBdr>
              <w:divsChild>
                <w:div w:id="3735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22632">
      <w:bodyDiv w:val="1"/>
      <w:marLeft w:val="0"/>
      <w:marRight w:val="0"/>
      <w:marTop w:val="0"/>
      <w:marBottom w:val="0"/>
      <w:divBdr>
        <w:top w:val="none" w:sz="0" w:space="0" w:color="auto"/>
        <w:left w:val="none" w:sz="0" w:space="0" w:color="auto"/>
        <w:bottom w:val="none" w:sz="0" w:space="0" w:color="auto"/>
        <w:right w:val="none" w:sz="0" w:space="0" w:color="auto"/>
      </w:divBdr>
      <w:divsChild>
        <w:div w:id="221447674">
          <w:marLeft w:val="1080"/>
          <w:marRight w:val="0"/>
          <w:marTop w:val="100"/>
          <w:marBottom w:val="0"/>
          <w:divBdr>
            <w:top w:val="none" w:sz="0" w:space="0" w:color="auto"/>
            <w:left w:val="none" w:sz="0" w:space="0" w:color="auto"/>
            <w:bottom w:val="none" w:sz="0" w:space="0" w:color="auto"/>
            <w:right w:val="none" w:sz="0" w:space="0" w:color="auto"/>
          </w:divBdr>
        </w:div>
      </w:divsChild>
    </w:div>
    <w:div w:id="1546478776">
      <w:bodyDiv w:val="1"/>
      <w:marLeft w:val="0"/>
      <w:marRight w:val="0"/>
      <w:marTop w:val="0"/>
      <w:marBottom w:val="0"/>
      <w:divBdr>
        <w:top w:val="none" w:sz="0" w:space="0" w:color="auto"/>
        <w:left w:val="none" w:sz="0" w:space="0" w:color="auto"/>
        <w:bottom w:val="none" w:sz="0" w:space="0" w:color="auto"/>
        <w:right w:val="none" w:sz="0" w:space="0" w:color="auto"/>
      </w:divBdr>
      <w:divsChild>
        <w:div w:id="1906211390">
          <w:marLeft w:val="0"/>
          <w:marRight w:val="0"/>
          <w:marTop w:val="0"/>
          <w:marBottom w:val="0"/>
          <w:divBdr>
            <w:top w:val="none" w:sz="0" w:space="0" w:color="auto"/>
            <w:left w:val="none" w:sz="0" w:space="0" w:color="auto"/>
            <w:bottom w:val="none" w:sz="0" w:space="0" w:color="auto"/>
            <w:right w:val="none" w:sz="0" w:space="0" w:color="auto"/>
          </w:divBdr>
          <w:divsChild>
            <w:div w:id="865142921">
              <w:marLeft w:val="0"/>
              <w:marRight w:val="0"/>
              <w:marTop w:val="0"/>
              <w:marBottom w:val="0"/>
              <w:divBdr>
                <w:top w:val="none" w:sz="0" w:space="0" w:color="auto"/>
                <w:left w:val="none" w:sz="0" w:space="0" w:color="auto"/>
                <w:bottom w:val="none" w:sz="0" w:space="0" w:color="auto"/>
                <w:right w:val="none" w:sz="0" w:space="0" w:color="auto"/>
              </w:divBdr>
              <w:divsChild>
                <w:div w:id="13638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2506">
      <w:bodyDiv w:val="1"/>
      <w:marLeft w:val="0"/>
      <w:marRight w:val="0"/>
      <w:marTop w:val="0"/>
      <w:marBottom w:val="0"/>
      <w:divBdr>
        <w:top w:val="none" w:sz="0" w:space="0" w:color="auto"/>
        <w:left w:val="none" w:sz="0" w:space="0" w:color="auto"/>
        <w:bottom w:val="none" w:sz="0" w:space="0" w:color="auto"/>
        <w:right w:val="none" w:sz="0" w:space="0" w:color="auto"/>
      </w:divBdr>
      <w:divsChild>
        <w:div w:id="1228301825">
          <w:marLeft w:val="0"/>
          <w:marRight w:val="0"/>
          <w:marTop w:val="0"/>
          <w:marBottom w:val="0"/>
          <w:divBdr>
            <w:top w:val="none" w:sz="0" w:space="0" w:color="auto"/>
            <w:left w:val="none" w:sz="0" w:space="0" w:color="auto"/>
            <w:bottom w:val="none" w:sz="0" w:space="0" w:color="auto"/>
            <w:right w:val="none" w:sz="0" w:space="0" w:color="auto"/>
          </w:divBdr>
          <w:divsChild>
            <w:div w:id="1832987623">
              <w:marLeft w:val="0"/>
              <w:marRight w:val="0"/>
              <w:marTop w:val="0"/>
              <w:marBottom w:val="0"/>
              <w:divBdr>
                <w:top w:val="none" w:sz="0" w:space="0" w:color="auto"/>
                <w:left w:val="none" w:sz="0" w:space="0" w:color="auto"/>
                <w:bottom w:val="none" w:sz="0" w:space="0" w:color="auto"/>
                <w:right w:val="none" w:sz="0" w:space="0" w:color="auto"/>
              </w:divBdr>
              <w:divsChild>
                <w:div w:id="8898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91539">
      <w:bodyDiv w:val="1"/>
      <w:marLeft w:val="0"/>
      <w:marRight w:val="0"/>
      <w:marTop w:val="0"/>
      <w:marBottom w:val="0"/>
      <w:divBdr>
        <w:top w:val="none" w:sz="0" w:space="0" w:color="auto"/>
        <w:left w:val="none" w:sz="0" w:space="0" w:color="auto"/>
        <w:bottom w:val="none" w:sz="0" w:space="0" w:color="auto"/>
        <w:right w:val="none" w:sz="0" w:space="0" w:color="auto"/>
      </w:divBdr>
      <w:divsChild>
        <w:div w:id="1496460864">
          <w:marLeft w:val="0"/>
          <w:marRight w:val="0"/>
          <w:marTop w:val="0"/>
          <w:marBottom w:val="0"/>
          <w:divBdr>
            <w:top w:val="none" w:sz="0" w:space="0" w:color="auto"/>
            <w:left w:val="none" w:sz="0" w:space="0" w:color="auto"/>
            <w:bottom w:val="none" w:sz="0" w:space="0" w:color="auto"/>
            <w:right w:val="none" w:sz="0" w:space="0" w:color="auto"/>
          </w:divBdr>
          <w:divsChild>
            <w:div w:id="1471898039">
              <w:marLeft w:val="0"/>
              <w:marRight w:val="0"/>
              <w:marTop w:val="0"/>
              <w:marBottom w:val="0"/>
              <w:divBdr>
                <w:top w:val="none" w:sz="0" w:space="0" w:color="auto"/>
                <w:left w:val="none" w:sz="0" w:space="0" w:color="auto"/>
                <w:bottom w:val="none" w:sz="0" w:space="0" w:color="auto"/>
                <w:right w:val="none" w:sz="0" w:space="0" w:color="auto"/>
              </w:divBdr>
              <w:divsChild>
                <w:div w:id="20375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85856">
      <w:bodyDiv w:val="1"/>
      <w:marLeft w:val="0"/>
      <w:marRight w:val="0"/>
      <w:marTop w:val="0"/>
      <w:marBottom w:val="0"/>
      <w:divBdr>
        <w:top w:val="none" w:sz="0" w:space="0" w:color="auto"/>
        <w:left w:val="none" w:sz="0" w:space="0" w:color="auto"/>
        <w:bottom w:val="none" w:sz="0" w:space="0" w:color="auto"/>
        <w:right w:val="none" w:sz="0" w:space="0" w:color="auto"/>
      </w:divBdr>
      <w:divsChild>
        <w:div w:id="432097244">
          <w:marLeft w:val="0"/>
          <w:marRight w:val="0"/>
          <w:marTop w:val="0"/>
          <w:marBottom w:val="0"/>
          <w:divBdr>
            <w:top w:val="none" w:sz="0" w:space="0" w:color="auto"/>
            <w:left w:val="none" w:sz="0" w:space="0" w:color="auto"/>
            <w:bottom w:val="none" w:sz="0" w:space="0" w:color="auto"/>
            <w:right w:val="none" w:sz="0" w:space="0" w:color="auto"/>
          </w:divBdr>
          <w:divsChild>
            <w:div w:id="2104955285">
              <w:marLeft w:val="0"/>
              <w:marRight w:val="0"/>
              <w:marTop w:val="0"/>
              <w:marBottom w:val="0"/>
              <w:divBdr>
                <w:top w:val="none" w:sz="0" w:space="0" w:color="auto"/>
                <w:left w:val="none" w:sz="0" w:space="0" w:color="auto"/>
                <w:bottom w:val="none" w:sz="0" w:space="0" w:color="auto"/>
                <w:right w:val="none" w:sz="0" w:space="0" w:color="auto"/>
              </w:divBdr>
              <w:divsChild>
                <w:div w:id="232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2960">
      <w:bodyDiv w:val="1"/>
      <w:marLeft w:val="0"/>
      <w:marRight w:val="0"/>
      <w:marTop w:val="0"/>
      <w:marBottom w:val="0"/>
      <w:divBdr>
        <w:top w:val="none" w:sz="0" w:space="0" w:color="auto"/>
        <w:left w:val="none" w:sz="0" w:space="0" w:color="auto"/>
        <w:bottom w:val="none" w:sz="0" w:space="0" w:color="auto"/>
        <w:right w:val="none" w:sz="0" w:space="0" w:color="auto"/>
      </w:divBdr>
      <w:divsChild>
        <w:div w:id="1289430431">
          <w:marLeft w:val="0"/>
          <w:marRight w:val="0"/>
          <w:marTop w:val="0"/>
          <w:marBottom w:val="0"/>
          <w:divBdr>
            <w:top w:val="none" w:sz="0" w:space="0" w:color="auto"/>
            <w:left w:val="none" w:sz="0" w:space="0" w:color="auto"/>
            <w:bottom w:val="none" w:sz="0" w:space="0" w:color="auto"/>
            <w:right w:val="none" w:sz="0" w:space="0" w:color="auto"/>
          </w:divBdr>
          <w:divsChild>
            <w:div w:id="1655599047">
              <w:marLeft w:val="0"/>
              <w:marRight w:val="0"/>
              <w:marTop w:val="0"/>
              <w:marBottom w:val="0"/>
              <w:divBdr>
                <w:top w:val="none" w:sz="0" w:space="0" w:color="auto"/>
                <w:left w:val="none" w:sz="0" w:space="0" w:color="auto"/>
                <w:bottom w:val="none" w:sz="0" w:space="0" w:color="auto"/>
                <w:right w:val="none" w:sz="0" w:space="0" w:color="auto"/>
              </w:divBdr>
              <w:divsChild>
                <w:div w:id="1722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53351">
      <w:bodyDiv w:val="1"/>
      <w:marLeft w:val="0"/>
      <w:marRight w:val="0"/>
      <w:marTop w:val="0"/>
      <w:marBottom w:val="0"/>
      <w:divBdr>
        <w:top w:val="none" w:sz="0" w:space="0" w:color="auto"/>
        <w:left w:val="none" w:sz="0" w:space="0" w:color="auto"/>
        <w:bottom w:val="none" w:sz="0" w:space="0" w:color="auto"/>
        <w:right w:val="none" w:sz="0" w:space="0" w:color="auto"/>
      </w:divBdr>
    </w:div>
    <w:div w:id="1700812734">
      <w:bodyDiv w:val="1"/>
      <w:marLeft w:val="0"/>
      <w:marRight w:val="0"/>
      <w:marTop w:val="0"/>
      <w:marBottom w:val="0"/>
      <w:divBdr>
        <w:top w:val="none" w:sz="0" w:space="0" w:color="auto"/>
        <w:left w:val="none" w:sz="0" w:space="0" w:color="auto"/>
        <w:bottom w:val="none" w:sz="0" w:space="0" w:color="auto"/>
        <w:right w:val="none" w:sz="0" w:space="0" w:color="auto"/>
      </w:divBdr>
      <w:divsChild>
        <w:div w:id="1846556792">
          <w:marLeft w:val="0"/>
          <w:marRight w:val="0"/>
          <w:marTop w:val="0"/>
          <w:marBottom w:val="0"/>
          <w:divBdr>
            <w:top w:val="none" w:sz="0" w:space="0" w:color="auto"/>
            <w:left w:val="none" w:sz="0" w:space="0" w:color="auto"/>
            <w:bottom w:val="none" w:sz="0" w:space="0" w:color="auto"/>
            <w:right w:val="none" w:sz="0" w:space="0" w:color="auto"/>
          </w:divBdr>
          <w:divsChild>
            <w:div w:id="1958290244">
              <w:marLeft w:val="0"/>
              <w:marRight w:val="0"/>
              <w:marTop w:val="0"/>
              <w:marBottom w:val="0"/>
              <w:divBdr>
                <w:top w:val="none" w:sz="0" w:space="0" w:color="auto"/>
                <w:left w:val="none" w:sz="0" w:space="0" w:color="auto"/>
                <w:bottom w:val="none" w:sz="0" w:space="0" w:color="auto"/>
                <w:right w:val="none" w:sz="0" w:space="0" w:color="auto"/>
              </w:divBdr>
              <w:divsChild>
                <w:div w:id="18042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330900">
      <w:bodyDiv w:val="1"/>
      <w:marLeft w:val="0"/>
      <w:marRight w:val="0"/>
      <w:marTop w:val="0"/>
      <w:marBottom w:val="0"/>
      <w:divBdr>
        <w:top w:val="none" w:sz="0" w:space="0" w:color="auto"/>
        <w:left w:val="none" w:sz="0" w:space="0" w:color="auto"/>
        <w:bottom w:val="none" w:sz="0" w:space="0" w:color="auto"/>
        <w:right w:val="none" w:sz="0" w:space="0" w:color="auto"/>
      </w:divBdr>
    </w:div>
    <w:div w:id="1855149602">
      <w:bodyDiv w:val="1"/>
      <w:marLeft w:val="0"/>
      <w:marRight w:val="0"/>
      <w:marTop w:val="0"/>
      <w:marBottom w:val="0"/>
      <w:divBdr>
        <w:top w:val="none" w:sz="0" w:space="0" w:color="auto"/>
        <w:left w:val="none" w:sz="0" w:space="0" w:color="auto"/>
        <w:bottom w:val="none" w:sz="0" w:space="0" w:color="auto"/>
        <w:right w:val="none" w:sz="0" w:space="0" w:color="auto"/>
      </w:divBdr>
    </w:div>
    <w:div w:id="1898785792">
      <w:bodyDiv w:val="1"/>
      <w:marLeft w:val="0"/>
      <w:marRight w:val="0"/>
      <w:marTop w:val="0"/>
      <w:marBottom w:val="0"/>
      <w:divBdr>
        <w:top w:val="none" w:sz="0" w:space="0" w:color="auto"/>
        <w:left w:val="none" w:sz="0" w:space="0" w:color="auto"/>
        <w:bottom w:val="none" w:sz="0" w:space="0" w:color="auto"/>
        <w:right w:val="none" w:sz="0" w:space="0" w:color="auto"/>
      </w:divBdr>
      <w:divsChild>
        <w:div w:id="1745757012">
          <w:marLeft w:val="0"/>
          <w:marRight w:val="0"/>
          <w:marTop w:val="0"/>
          <w:marBottom w:val="0"/>
          <w:divBdr>
            <w:top w:val="none" w:sz="0" w:space="0" w:color="auto"/>
            <w:left w:val="none" w:sz="0" w:space="0" w:color="auto"/>
            <w:bottom w:val="none" w:sz="0" w:space="0" w:color="auto"/>
            <w:right w:val="none" w:sz="0" w:space="0" w:color="auto"/>
          </w:divBdr>
          <w:divsChild>
            <w:div w:id="756370477">
              <w:marLeft w:val="0"/>
              <w:marRight w:val="0"/>
              <w:marTop w:val="0"/>
              <w:marBottom w:val="0"/>
              <w:divBdr>
                <w:top w:val="none" w:sz="0" w:space="0" w:color="auto"/>
                <w:left w:val="none" w:sz="0" w:space="0" w:color="auto"/>
                <w:bottom w:val="none" w:sz="0" w:space="0" w:color="auto"/>
                <w:right w:val="none" w:sz="0" w:space="0" w:color="auto"/>
              </w:divBdr>
              <w:divsChild>
                <w:div w:id="1956016994">
                  <w:marLeft w:val="0"/>
                  <w:marRight w:val="0"/>
                  <w:marTop w:val="0"/>
                  <w:marBottom w:val="0"/>
                  <w:divBdr>
                    <w:top w:val="none" w:sz="0" w:space="0" w:color="auto"/>
                    <w:left w:val="none" w:sz="0" w:space="0" w:color="auto"/>
                    <w:bottom w:val="none" w:sz="0" w:space="0" w:color="auto"/>
                    <w:right w:val="none" w:sz="0" w:space="0" w:color="auto"/>
                  </w:divBdr>
                  <w:divsChild>
                    <w:div w:id="15471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69130">
      <w:bodyDiv w:val="1"/>
      <w:marLeft w:val="0"/>
      <w:marRight w:val="0"/>
      <w:marTop w:val="0"/>
      <w:marBottom w:val="0"/>
      <w:divBdr>
        <w:top w:val="none" w:sz="0" w:space="0" w:color="auto"/>
        <w:left w:val="none" w:sz="0" w:space="0" w:color="auto"/>
        <w:bottom w:val="none" w:sz="0" w:space="0" w:color="auto"/>
        <w:right w:val="none" w:sz="0" w:space="0" w:color="auto"/>
      </w:divBdr>
      <w:divsChild>
        <w:div w:id="542639180">
          <w:marLeft w:val="0"/>
          <w:marRight w:val="0"/>
          <w:marTop w:val="0"/>
          <w:marBottom w:val="0"/>
          <w:divBdr>
            <w:top w:val="none" w:sz="0" w:space="0" w:color="auto"/>
            <w:left w:val="none" w:sz="0" w:space="0" w:color="auto"/>
            <w:bottom w:val="none" w:sz="0" w:space="0" w:color="auto"/>
            <w:right w:val="none" w:sz="0" w:space="0" w:color="auto"/>
          </w:divBdr>
          <w:divsChild>
            <w:div w:id="1307513805">
              <w:marLeft w:val="0"/>
              <w:marRight w:val="0"/>
              <w:marTop w:val="0"/>
              <w:marBottom w:val="0"/>
              <w:divBdr>
                <w:top w:val="none" w:sz="0" w:space="0" w:color="auto"/>
                <w:left w:val="none" w:sz="0" w:space="0" w:color="auto"/>
                <w:bottom w:val="none" w:sz="0" w:space="0" w:color="auto"/>
                <w:right w:val="none" w:sz="0" w:space="0" w:color="auto"/>
              </w:divBdr>
              <w:divsChild>
                <w:div w:id="3156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41501">
      <w:bodyDiv w:val="1"/>
      <w:marLeft w:val="0"/>
      <w:marRight w:val="0"/>
      <w:marTop w:val="0"/>
      <w:marBottom w:val="0"/>
      <w:divBdr>
        <w:top w:val="none" w:sz="0" w:space="0" w:color="auto"/>
        <w:left w:val="none" w:sz="0" w:space="0" w:color="auto"/>
        <w:bottom w:val="none" w:sz="0" w:space="0" w:color="auto"/>
        <w:right w:val="none" w:sz="0" w:space="0" w:color="auto"/>
      </w:divBdr>
      <w:divsChild>
        <w:div w:id="513492976">
          <w:marLeft w:val="0"/>
          <w:marRight w:val="0"/>
          <w:marTop w:val="0"/>
          <w:marBottom w:val="0"/>
          <w:divBdr>
            <w:top w:val="none" w:sz="0" w:space="0" w:color="auto"/>
            <w:left w:val="none" w:sz="0" w:space="0" w:color="auto"/>
            <w:bottom w:val="none" w:sz="0" w:space="0" w:color="auto"/>
            <w:right w:val="none" w:sz="0" w:space="0" w:color="auto"/>
          </w:divBdr>
          <w:divsChild>
            <w:div w:id="2124036384">
              <w:marLeft w:val="0"/>
              <w:marRight w:val="0"/>
              <w:marTop w:val="0"/>
              <w:marBottom w:val="0"/>
              <w:divBdr>
                <w:top w:val="none" w:sz="0" w:space="0" w:color="auto"/>
                <w:left w:val="none" w:sz="0" w:space="0" w:color="auto"/>
                <w:bottom w:val="none" w:sz="0" w:space="0" w:color="auto"/>
                <w:right w:val="none" w:sz="0" w:space="0" w:color="auto"/>
              </w:divBdr>
              <w:divsChild>
                <w:div w:id="2795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72994">
      <w:bodyDiv w:val="1"/>
      <w:marLeft w:val="0"/>
      <w:marRight w:val="0"/>
      <w:marTop w:val="0"/>
      <w:marBottom w:val="0"/>
      <w:divBdr>
        <w:top w:val="none" w:sz="0" w:space="0" w:color="auto"/>
        <w:left w:val="none" w:sz="0" w:space="0" w:color="auto"/>
        <w:bottom w:val="none" w:sz="0" w:space="0" w:color="auto"/>
        <w:right w:val="none" w:sz="0" w:space="0" w:color="auto"/>
      </w:divBdr>
      <w:divsChild>
        <w:div w:id="109395972">
          <w:marLeft w:val="0"/>
          <w:marRight w:val="0"/>
          <w:marTop w:val="0"/>
          <w:marBottom w:val="0"/>
          <w:divBdr>
            <w:top w:val="none" w:sz="0" w:space="0" w:color="auto"/>
            <w:left w:val="none" w:sz="0" w:space="0" w:color="auto"/>
            <w:bottom w:val="none" w:sz="0" w:space="0" w:color="auto"/>
            <w:right w:val="none" w:sz="0" w:space="0" w:color="auto"/>
          </w:divBdr>
          <w:divsChild>
            <w:div w:id="10439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79352">
      <w:bodyDiv w:val="1"/>
      <w:marLeft w:val="0"/>
      <w:marRight w:val="0"/>
      <w:marTop w:val="0"/>
      <w:marBottom w:val="0"/>
      <w:divBdr>
        <w:top w:val="none" w:sz="0" w:space="0" w:color="auto"/>
        <w:left w:val="none" w:sz="0" w:space="0" w:color="auto"/>
        <w:bottom w:val="none" w:sz="0" w:space="0" w:color="auto"/>
        <w:right w:val="none" w:sz="0" w:space="0" w:color="auto"/>
      </w:divBdr>
      <w:divsChild>
        <w:div w:id="1474251110">
          <w:marLeft w:val="0"/>
          <w:marRight w:val="0"/>
          <w:marTop w:val="0"/>
          <w:marBottom w:val="0"/>
          <w:divBdr>
            <w:top w:val="none" w:sz="0" w:space="0" w:color="auto"/>
            <w:left w:val="none" w:sz="0" w:space="0" w:color="auto"/>
            <w:bottom w:val="none" w:sz="0" w:space="0" w:color="auto"/>
            <w:right w:val="none" w:sz="0" w:space="0" w:color="auto"/>
          </w:divBdr>
          <w:divsChild>
            <w:div w:id="145901138">
              <w:marLeft w:val="0"/>
              <w:marRight w:val="0"/>
              <w:marTop w:val="0"/>
              <w:marBottom w:val="0"/>
              <w:divBdr>
                <w:top w:val="none" w:sz="0" w:space="0" w:color="auto"/>
                <w:left w:val="none" w:sz="0" w:space="0" w:color="auto"/>
                <w:bottom w:val="none" w:sz="0" w:space="0" w:color="auto"/>
                <w:right w:val="none" w:sz="0" w:space="0" w:color="auto"/>
              </w:divBdr>
              <w:divsChild>
                <w:div w:id="94739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4201">
      <w:bodyDiv w:val="1"/>
      <w:marLeft w:val="0"/>
      <w:marRight w:val="0"/>
      <w:marTop w:val="0"/>
      <w:marBottom w:val="0"/>
      <w:divBdr>
        <w:top w:val="none" w:sz="0" w:space="0" w:color="auto"/>
        <w:left w:val="none" w:sz="0" w:space="0" w:color="auto"/>
        <w:bottom w:val="none" w:sz="0" w:space="0" w:color="auto"/>
        <w:right w:val="none" w:sz="0" w:space="0" w:color="auto"/>
      </w:divBdr>
    </w:div>
    <w:div w:id="2022659372">
      <w:bodyDiv w:val="1"/>
      <w:marLeft w:val="0"/>
      <w:marRight w:val="0"/>
      <w:marTop w:val="0"/>
      <w:marBottom w:val="0"/>
      <w:divBdr>
        <w:top w:val="none" w:sz="0" w:space="0" w:color="auto"/>
        <w:left w:val="none" w:sz="0" w:space="0" w:color="auto"/>
        <w:bottom w:val="none" w:sz="0" w:space="0" w:color="auto"/>
        <w:right w:val="none" w:sz="0" w:space="0" w:color="auto"/>
      </w:divBdr>
      <w:divsChild>
        <w:div w:id="1784688596">
          <w:marLeft w:val="0"/>
          <w:marRight w:val="0"/>
          <w:marTop w:val="0"/>
          <w:marBottom w:val="0"/>
          <w:divBdr>
            <w:top w:val="none" w:sz="0" w:space="0" w:color="auto"/>
            <w:left w:val="none" w:sz="0" w:space="0" w:color="auto"/>
            <w:bottom w:val="none" w:sz="0" w:space="0" w:color="auto"/>
            <w:right w:val="none" w:sz="0" w:space="0" w:color="auto"/>
          </w:divBdr>
          <w:divsChild>
            <w:div w:id="1979798483">
              <w:marLeft w:val="0"/>
              <w:marRight w:val="0"/>
              <w:marTop w:val="0"/>
              <w:marBottom w:val="0"/>
              <w:divBdr>
                <w:top w:val="none" w:sz="0" w:space="0" w:color="auto"/>
                <w:left w:val="none" w:sz="0" w:space="0" w:color="auto"/>
                <w:bottom w:val="none" w:sz="0" w:space="0" w:color="auto"/>
                <w:right w:val="none" w:sz="0" w:space="0" w:color="auto"/>
              </w:divBdr>
              <w:divsChild>
                <w:div w:id="764615168">
                  <w:marLeft w:val="0"/>
                  <w:marRight w:val="0"/>
                  <w:marTop w:val="0"/>
                  <w:marBottom w:val="0"/>
                  <w:divBdr>
                    <w:top w:val="none" w:sz="0" w:space="0" w:color="auto"/>
                    <w:left w:val="none" w:sz="0" w:space="0" w:color="auto"/>
                    <w:bottom w:val="none" w:sz="0" w:space="0" w:color="auto"/>
                    <w:right w:val="none" w:sz="0" w:space="0" w:color="auto"/>
                  </w:divBdr>
                  <w:divsChild>
                    <w:div w:id="120856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534276">
      <w:bodyDiv w:val="1"/>
      <w:marLeft w:val="0"/>
      <w:marRight w:val="0"/>
      <w:marTop w:val="0"/>
      <w:marBottom w:val="0"/>
      <w:divBdr>
        <w:top w:val="none" w:sz="0" w:space="0" w:color="auto"/>
        <w:left w:val="none" w:sz="0" w:space="0" w:color="auto"/>
        <w:bottom w:val="none" w:sz="0" w:space="0" w:color="auto"/>
        <w:right w:val="none" w:sz="0" w:space="0" w:color="auto"/>
      </w:divBdr>
      <w:divsChild>
        <w:div w:id="779684401">
          <w:marLeft w:val="0"/>
          <w:marRight w:val="0"/>
          <w:marTop w:val="0"/>
          <w:marBottom w:val="0"/>
          <w:divBdr>
            <w:top w:val="none" w:sz="0" w:space="0" w:color="auto"/>
            <w:left w:val="none" w:sz="0" w:space="0" w:color="auto"/>
            <w:bottom w:val="none" w:sz="0" w:space="0" w:color="auto"/>
            <w:right w:val="none" w:sz="0" w:space="0" w:color="auto"/>
          </w:divBdr>
          <w:divsChild>
            <w:div w:id="53704977">
              <w:marLeft w:val="0"/>
              <w:marRight w:val="0"/>
              <w:marTop w:val="0"/>
              <w:marBottom w:val="0"/>
              <w:divBdr>
                <w:top w:val="none" w:sz="0" w:space="0" w:color="auto"/>
                <w:left w:val="none" w:sz="0" w:space="0" w:color="auto"/>
                <w:bottom w:val="none" w:sz="0" w:space="0" w:color="auto"/>
                <w:right w:val="none" w:sz="0" w:space="0" w:color="auto"/>
              </w:divBdr>
              <w:divsChild>
                <w:div w:id="138707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249974">
      <w:bodyDiv w:val="1"/>
      <w:marLeft w:val="0"/>
      <w:marRight w:val="0"/>
      <w:marTop w:val="0"/>
      <w:marBottom w:val="0"/>
      <w:divBdr>
        <w:top w:val="none" w:sz="0" w:space="0" w:color="auto"/>
        <w:left w:val="none" w:sz="0" w:space="0" w:color="auto"/>
        <w:bottom w:val="none" w:sz="0" w:space="0" w:color="auto"/>
        <w:right w:val="none" w:sz="0" w:space="0" w:color="auto"/>
      </w:divBdr>
    </w:div>
    <w:div w:id="2126072817">
      <w:bodyDiv w:val="1"/>
      <w:marLeft w:val="0"/>
      <w:marRight w:val="0"/>
      <w:marTop w:val="0"/>
      <w:marBottom w:val="0"/>
      <w:divBdr>
        <w:top w:val="none" w:sz="0" w:space="0" w:color="auto"/>
        <w:left w:val="none" w:sz="0" w:space="0" w:color="auto"/>
        <w:bottom w:val="none" w:sz="0" w:space="0" w:color="auto"/>
        <w:right w:val="none" w:sz="0" w:space="0" w:color="auto"/>
      </w:divBdr>
      <w:divsChild>
        <w:div w:id="1399861098">
          <w:marLeft w:val="0"/>
          <w:marRight w:val="0"/>
          <w:marTop w:val="0"/>
          <w:marBottom w:val="0"/>
          <w:divBdr>
            <w:top w:val="none" w:sz="0" w:space="0" w:color="auto"/>
            <w:left w:val="none" w:sz="0" w:space="0" w:color="auto"/>
            <w:bottom w:val="none" w:sz="0" w:space="0" w:color="auto"/>
            <w:right w:val="none" w:sz="0" w:space="0" w:color="auto"/>
          </w:divBdr>
          <w:divsChild>
            <w:div w:id="1197934524">
              <w:marLeft w:val="0"/>
              <w:marRight w:val="0"/>
              <w:marTop w:val="0"/>
              <w:marBottom w:val="0"/>
              <w:divBdr>
                <w:top w:val="none" w:sz="0" w:space="0" w:color="auto"/>
                <w:left w:val="none" w:sz="0" w:space="0" w:color="auto"/>
                <w:bottom w:val="none" w:sz="0" w:space="0" w:color="auto"/>
                <w:right w:val="none" w:sz="0" w:space="0" w:color="auto"/>
              </w:divBdr>
              <w:divsChild>
                <w:div w:id="17299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2F39A-6429-46E4-B811-C1128CB2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9395</Words>
  <Characters>55693</Characters>
  <Application>Microsoft Office Word</Application>
  <DocSecurity>0</DocSecurity>
  <Lines>464</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Author</cp:lastModifiedBy>
  <cp:revision>2</cp:revision>
  <dcterms:created xsi:type="dcterms:W3CDTF">2019-10-16T06:50:00Z</dcterms:created>
  <dcterms:modified xsi:type="dcterms:W3CDTF">2019-10-25T01:02:00Z</dcterms:modified>
</cp:coreProperties>
</file>