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1E2E03" w:rsidRDefault="00DC564D" w:rsidP="001E2E03">
      <w:pPr>
        <w:pStyle w:val="Title"/>
        <w:ind w:left="720" w:hanging="720"/>
        <w:jc w:val="left"/>
      </w:pPr>
      <w:bookmarkStart w:id="0" w:name="_GoBack"/>
      <w:bookmarkEnd w:id="0"/>
      <w:r w:rsidRPr="001E2E03">
        <w:t>7.03</w:t>
      </w:r>
      <w:r w:rsidR="00B60939" w:rsidRPr="001E2E03">
        <w:tab/>
      </w:r>
      <w:r w:rsidR="00CA35A1" w:rsidRPr="001E2E03">
        <w:t>CLOSTRIDIUM BOTULINUM TYPE A TOXIN</w:t>
      </w:r>
      <w:r w:rsidR="00013F1B" w:rsidRPr="001E2E03">
        <w:t xml:space="preserve"> – HAEMAGGLUTININ COMPLEX</w:t>
      </w:r>
      <w:r w:rsidR="00CA35A1" w:rsidRPr="001E2E03">
        <w:t xml:space="preserve">, </w:t>
      </w:r>
      <w:r w:rsidR="001E2E03">
        <w:br/>
      </w:r>
      <w:r w:rsidR="00013F1B" w:rsidRPr="001E2E03">
        <w:t xml:space="preserve">Lyophilised powder for I.M. injection </w:t>
      </w:r>
      <w:r w:rsidR="00CA35A1" w:rsidRPr="001E2E03">
        <w:t>300</w:t>
      </w:r>
      <w:r w:rsidR="00013F1B" w:rsidRPr="001E2E03">
        <w:t xml:space="preserve"> units, </w:t>
      </w:r>
      <w:r w:rsidR="00CA35A1" w:rsidRPr="001E2E03">
        <w:t>500</w:t>
      </w:r>
      <w:r w:rsidR="00013F1B" w:rsidRPr="001E2E03">
        <w:t xml:space="preserve"> units</w:t>
      </w:r>
      <w:r w:rsidR="00CA35A1" w:rsidRPr="001E2E03">
        <w:t>,</w:t>
      </w:r>
      <w:r w:rsidR="001E2E03">
        <w:br/>
      </w:r>
      <w:r w:rsidR="00CA35A1" w:rsidRPr="001E2E03">
        <w:t xml:space="preserve">Dysport®, </w:t>
      </w:r>
      <w:r w:rsidR="001E2E03">
        <w:br/>
      </w:r>
      <w:r w:rsidR="00CA35A1" w:rsidRPr="001E2E03">
        <w:t>Ipsen</w:t>
      </w:r>
      <w:r w:rsidR="00013F1B" w:rsidRPr="001E2E03">
        <w:t xml:space="preserve"> Pty Ltd</w:t>
      </w:r>
    </w:p>
    <w:p w:rsidR="00867AC2" w:rsidRDefault="00867AC2" w:rsidP="00FC0970">
      <w:pPr>
        <w:ind w:left="720" w:hanging="720"/>
        <w:jc w:val="left"/>
        <w:rPr>
          <w:b/>
          <w:sz w:val="36"/>
          <w:szCs w:val="36"/>
        </w:rPr>
      </w:pPr>
    </w:p>
    <w:p w:rsidR="00151F61" w:rsidRPr="005D0E1C" w:rsidRDefault="00B50DB8" w:rsidP="005D0E1C">
      <w:pPr>
        <w:pStyle w:val="PBACHeading1"/>
        <w:keepNext/>
        <w:keepLines/>
        <w:numPr>
          <w:ilvl w:val="0"/>
          <w:numId w:val="1"/>
        </w:numPr>
        <w:spacing w:after="120"/>
        <w:rPr>
          <w:rFonts w:asciiTheme="minorHAnsi" w:hAnsiTheme="minorHAnsi" w:cstheme="minorHAnsi"/>
          <w:szCs w:val="28"/>
        </w:rPr>
      </w:pPr>
      <w:bookmarkStart w:id="1" w:name="_Toc9247878"/>
      <w:r w:rsidRPr="005D0E1C">
        <w:rPr>
          <w:rFonts w:asciiTheme="minorHAnsi" w:hAnsiTheme="minorHAnsi" w:cstheme="minorHAnsi"/>
          <w:szCs w:val="28"/>
        </w:rPr>
        <w:t>Purpose of Application</w:t>
      </w:r>
      <w:bookmarkEnd w:id="1"/>
    </w:p>
    <w:p w:rsidR="00C47F9B" w:rsidRPr="002207D4" w:rsidRDefault="00151F61" w:rsidP="0036686A">
      <w:pPr>
        <w:pStyle w:val="ListParagraph"/>
        <w:widowControl/>
        <w:numPr>
          <w:ilvl w:val="1"/>
          <w:numId w:val="1"/>
        </w:numPr>
        <w:ind w:left="720"/>
      </w:pPr>
      <w:r w:rsidRPr="00867AC2">
        <w:t>The resubmission requested a Section 100 (Botulinum Toxin Program), Authority Required (STREAMLINED) listing for Clostridium botulinum type A toxin</w:t>
      </w:r>
      <w:r w:rsidR="00D93C4D" w:rsidRPr="00867AC2">
        <w:t xml:space="preserve"> </w:t>
      </w:r>
      <w:r w:rsidRPr="00867AC2">
        <w:t xml:space="preserve">-haemagglutinin complex (herein known as Dysport®), for treatment of adult patients with moderate to severe spasticity of the lower limb following stroke. </w:t>
      </w:r>
      <w:r w:rsidR="00DA53D4" w:rsidRPr="002207D4">
        <w:t xml:space="preserve">The requested population was amended in the </w:t>
      </w:r>
      <w:r w:rsidR="00F62FF8">
        <w:t>P</w:t>
      </w:r>
      <w:r w:rsidR="00DA53D4" w:rsidRPr="002207D4">
        <w:t>re-Sub-Committee response (PSCR) to include patients with lower limb focal spasticity following an acute neurological event.</w:t>
      </w:r>
    </w:p>
    <w:p w:rsidR="006C35B9" w:rsidRPr="00867AC2" w:rsidRDefault="006C35B9" w:rsidP="0036686A">
      <w:pPr>
        <w:pStyle w:val="ListParagraph"/>
        <w:widowControl/>
        <w:numPr>
          <w:ilvl w:val="1"/>
          <w:numId w:val="1"/>
        </w:numPr>
        <w:ind w:left="720"/>
      </w:pPr>
      <w:r w:rsidRPr="00867AC2">
        <w:t xml:space="preserve">Dysport® is PBS listed for </w:t>
      </w:r>
      <w:r w:rsidR="00A234CB" w:rsidRPr="00867AC2">
        <w:t xml:space="preserve">the treatment of upper limb spasticity </w:t>
      </w:r>
      <w:r w:rsidR="00185F10" w:rsidRPr="00867AC2">
        <w:t xml:space="preserve">following </w:t>
      </w:r>
      <w:r w:rsidR="00A234CB" w:rsidRPr="00867AC2">
        <w:t>stroke</w:t>
      </w:r>
      <w:r w:rsidRPr="00867AC2">
        <w:t xml:space="preserve"> and several other indications</w:t>
      </w:r>
      <w:r w:rsidR="00A234CB" w:rsidRPr="00867AC2">
        <w:t>.</w:t>
      </w:r>
      <w:r w:rsidR="00D93C4D" w:rsidRPr="00867AC2">
        <w:t xml:space="preserve"> At the March 2019 PBAC meeting the Dysport</w:t>
      </w:r>
      <w:r w:rsidR="00C47F9B" w:rsidRPr="00867AC2">
        <w:rPr>
          <w:rFonts w:cs="Calibri"/>
        </w:rPr>
        <w:t>®</w:t>
      </w:r>
      <w:r w:rsidR="00D93C4D" w:rsidRPr="00867AC2">
        <w:t xml:space="preserve"> listing for upper limb spasticity following a stroke was extended to include spasticity following an acute event (</w:t>
      </w:r>
      <w:r w:rsidR="00C47F9B" w:rsidRPr="00867AC2">
        <w:t>web outcome, Dysport</w:t>
      </w:r>
      <w:r w:rsidR="00C47F9B" w:rsidRPr="00867AC2">
        <w:rPr>
          <w:rFonts w:cs="Calibri"/>
        </w:rPr>
        <w:t>®</w:t>
      </w:r>
      <w:r w:rsidR="00C47F9B" w:rsidRPr="00867AC2">
        <w:t>, March 2019)</w:t>
      </w:r>
      <w:r w:rsidR="00D93C4D" w:rsidRPr="00867AC2">
        <w:t>.</w:t>
      </w:r>
    </w:p>
    <w:p w:rsidR="00151F61" w:rsidRPr="00867AC2" w:rsidRDefault="00151F61" w:rsidP="0036686A">
      <w:pPr>
        <w:pStyle w:val="ListParagraph"/>
        <w:widowControl/>
        <w:numPr>
          <w:ilvl w:val="1"/>
          <w:numId w:val="1"/>
        </w:numPr>
        <w:ind w:left="720"/>
      </w:pPr>
      <w:r w:rsidRPr="00867AC2">
        <w:rPr>
          <w:iCs/>
        </w:rPr>
        <w:t xml:space="preserve">This </w:t>
      </w:r>
      <w:r w:rsidR="006C35B9" w:rsidRPr="00867AC2">
        <w:rPr>
          <w:iCs/>
        </w:rPr>
        <w:t>wa</w:t>
      </w:r>
      <w:r w:rsidRPr="00867AC2">
        <w:rPr>
          <w:iCs/>
        </w:rPr>
        <w:t xml:space="preserve">s </w:t>
      </w:r>
      <w:r w:rsidR="0062684E">
        <w:rPr>
          <w:iCs/>
        </w:rPr>
        <w:t>the</w:t>
      </w:r>
      <w:r w:rsidRPr="00867AC2">
        <w:rPr>
          <w:iCs/>
        </w:rPr>
        <w:t xml:space="preserve"> second submission for Dysport® for </w:t>
      </w:r>
      <w:r w:rsidR="00DF29DB" w:rsidRPr="00867AC2">
        <w:rPr>
          <w:iCs/>
        </w:rPr>
        <w:t xml:space="preserve">the treatment of </w:t>
      </w:r>
      <w:r w:rsidRPr="00867AC2">
        <w:rPr>
          <w:iCs/>
        </w:rPr>
        <w:t>lower limb focal spasticity (LLFS)</w:t>
      </w:r>
      <w:r w:rsidR="00C47F9B" w:rsidRPr="00867AC2">
        <w:rPr>
          <w:iCs/>
        </w:rPr>
        <w:t xml:space="preserve">. The </w:t>
      </w:r>
      <w:r w:rsidR="0037355B" w:rsidRPr="00867AC2">
        <w:rPr>
          <w:iCs/>
        </w:rPr>
        <w:t>previous</w:t>
      </w:r>
      <w:r w:rsidR="00C47F9B" w:rsidRPr="00867AC2">
        <w:rPr>
          <w:iCs/>
        </w:rPr>
        <w:t xml:space="preserve"> submission (November 2018) was</w:t>
      </w:r>
      <w:r w:rsidR="0037355B" w:rsidRPr="00867AC2">
        <w:rPr>
          <w:iCs/>
        </w:rPr>
        <w:t xml:space="preserve"> </w:t>
      </w:r>
      <w:r w:rsidR="006C35B9" w:rsidRPr="00867AC2">
        <w:rPr>
          <w:iCs/>
        </w:rPr>
        <w:t xml:space="preserve">for patients </w:t>
      </w:r>
      <w:r w:rsidR="0037355B" w:rsidRPr="00867AC2">
        <w:rPr>
          <w:iCs/>
        </w:rPr>
        <w:t>following any acute event including stroke and other aetiologies</w:t>
      </w:r>
      <w:r w:rsidRPr="00867AC2">
        <w:rPr>
          <w:iCs/>
        </w:rPr>
        <w:t xml:space="preserve">. </w:t>
      </w:r>
      <w:r w:rsidRPr="00867AC2">
        <w:t xml:space="preserve">The PBAC rejected </w:t>
      </w:r>
      <w:r w:rsidR="00C47F9B" w:rsidRPr="00867AC2">
        <w:t xml:space="preserve">the original submission </w:t>
      </w:r>
      <w:r w:rsidR="006C35B9" w:rsidRPr="00867AC2">
        <w:t xml:space="preserve">at the </w:t>
      </w:r>
      <w:r w:rsidRPr="00867AC2">
        <w:t xml:space="preserve">November 2018 </w:t>
      </w:r>
      <w:r w:rsidR="006C35B9" w:rsidRPr="00867AC2">
        <w:t xml:space="preserve">meeting </w:t>
      </w:r>
      <w:r w:rsidR="00C47F9B" w:rsidRPr="00867AC2">
        <w:t>based on</w:t>
      </w:r>
      <w:r w:rsidRPr="00867AC2">
        <w:t xml:space="preserve"> uncertain clinical effectiveness, high and uncertain incremental cost-effectiveness ratio (ICER) which was based on flawed economic evaluation and uncertain financial estimates.</w:t>
      </w:r>
    </w:p>
    <w:p w:rsidR="00401CB0" w:rsidRPr="002207D4" w:rsidRDefault="00151F61" w:rsidP="0036686A">
      <w:pPr>
        <w:pStyle w:val="ListParagraph"/>
        <w:numPr>
          <w:ilvl w:val="1"/>
          <w:numId w:val="1"/>
        </w:numPr>
        <w:ind w:left="720"/>
      </w:pPr>
      <w:r w:rsidRPr="00867AC2">
        <w:t xml:space="preserve">As with the previous submission, </w:t>
      </w:r>
      <w:r w:rsidR="00881F51" w:rsidRPr="00867AC2">
        <w:t>t</w:t>
      </w:r>
      <w:r w:rsidRPr="00867AC2">
        <w:t xml:space="preserve">he requested listing </w:t>
      </w:r>
      <w:r w:rsidR="00881F51" w:rsidRPr="00867AC2">
        <w:t xml:space="preserve">was intended to </w:t>
      </w:r>
      <w:r w:rsidRPr="00867AC2">
        <w:t>address inconsistencies in available treatment for spasticity as outlined by the Rehabilitation Medicine Society of Australia and New Zealand (RMSANZ</w:t>
      </w:r>
      <w:r w:rsidR="00C47F9B" w:rsidRPr="00867AC2">
        <w:t>)</w:t>
      </w:r>
      <w:r w:rsidR="00B3384B" w:rsidRPr="00867AC2">
        <w:t xml:space="preserve"> position statement, </w:t>
      </w:r>
      <w:r w:rsidR="00DE2119" w:rsidRPr="00867AC2">
        <w:t>2017</w:t>
      </w:r>
      <w:r w:rsidRPr="00867AC2">
        <w:t xml:space="preserve">. </w:t>
      </w:r>
      <w:r w:rsidR="00881F51" w:rsidRPr="00867AC2">
        <w:rPr>
          <w:iCs/>
        </w:rPr>
        <w:t>I</w:t>
      </w:r>
      <w:r w:rsidRPr="00867AC2">
        <w:rPr>
          <w:iCs/>
        </w:rPr>
        <w:t>n March 2019</w:t>
      </w:r>
      <w:r w:rsidR="00881F51" w:rsidRPr="00867AC2">
        <w:rPr>
          <w:iCs/>
        </w:rPr>
        <w:t>,</w:t>
      </w:r>
      <w:r w:rsidRPr="00867AC2">
        <w:rPr>
          <w:iCs/>
        </w:rPr>
        <w:t xml:space="preserve"> the PBAC recommended Botox® </w:t>
      </w:r>
      <w:r w:rsidR="00881F51" w:rsidRPr="00867AC2">
        <w:rPr>
          <w:iCs/>
        </w:rPr>
        <w:t>form</w:t>
      </w:r>
      <w:r w:rsidR="00292A38" w:rsidRPr="00867AC2">
        <w:rPr>
          <w:iCs/>
        </w:rPr>
        <w:t>ulation</w:t>
      </w:r>
      <w:r w:rsidR="00881F51" w:rsidRPr="00867AC2">
        <w:rPr>
          <w:iCs/>
        </w:rPr>
        <w:t xml:space="preserve"> of </w:t>
      </w:r>
      <w:r w:rsidR="000534B5" w:rsidRPr="00867AC2">
        <w:rPr>
          <w:iCs/>
        </w:rPr>
        <w:t>botulinum toxin type A (</w:t>
      </w:r>
      <w:r w:rsidR="00881F51" w:rsidRPr="00867AC2">
        <w:rPr>
          <w:iCs/>
        </w:rPr>
        <w:t>BoNT</w:t>
      </w:r>
      <w:r w:rsidR="000534B5" w:rsidRPr="00867AC2">
        <w:rPr>
          <w:iCs/>
        </w:rPr>
        <w:t>)</w:t>
      </w:r>
      <w:r w:rsidR="00881F51" w:rsidRPr="00867AC2">
        <w:rPr>
          <w:iCs/>
        </w:rPr>
        <w:t xml:space="preserve"> for the </w:t>
      </w:r>
      <w:r w:rsidRPr="00867AC2">
        <w:rPr>
          <w:iCs/>
        </w:rPr>
        <w:t>treatment of moderate to severe LLFS following stroke or other acute events (web outcome, Botox®</w:t>
      </w:r>
      <w:r w:rsidR="00C47F9B" w:rsidRPr="00867AC2">
        <w:rPr>
          <w:iCs/>
        </w:rPr>
        <w:t>,</w:t>
      </w:r>
      <w:r w:rsidRPr="00867AC2">
        <w:rPr>
          <w:iCs/>
        </w:rPr>
        <w:t xml:space="preserve"> March 2019).</w:t>
      </w:r>
      <w:r w:rsidRPr="00867AC2">
        <w:t xml:space="preserve"> </w:t>
      </w:r>
      <w:r w:rsidR="00401CB0" w:rsidRPr="00401CB0">
        <w:t xml:space="preserve"> </w:t>
      </w:r>
      <w:r w:rsidR="00DA53D4" w:rsidRPr="002207D4">
        <w:t>The requested restriction</w:t>
      </w:r>
      <w:r w:rsidR="00FC6A7C" w:rsidRPr="002207D4">
        <w:t xml:space="preserve"> for Dysport</w:t>
      </w:r>
      <w:r w:rsidR="00FC6A7C" w:rsidRPr="002207D4">
        <w:rPr>
          <w:rFonts w:cs="Calibri"/>
        </w:rPr>
        <w:t>®</w:t>
      </w:r>
      <w:r w:rsidR="00DA53D4" w:rsidRPr="002207D4">
        <w:t xml:space="preserve"> was</w:t>
      </w:r>
      <w:r w:rsidR="00401CB0" w:rsidRPr="002207D4">
        <w:t xml:space="preserve"> broaden</w:t>
      </w:r>
      <w:r w:rsidR="00DA53D4" w:rsidRPr="002207D4">
        <w:t xml:space="preserve">ed in the PSCR </w:t>
      </w:r>
      <w:r w:rsidR="00401CB0" w:rsidRPr="002207D4">
        <w:t xml:space="preserve">to include patients with focal spasticity of the lower limb following </w:t>
      </w:r>
      <w:r w:rsidR="000754B6" w:rsidRPr="002207D4">
        <w:t>an acute neurological event,</w:t>
      </w:r>
      <w:r w:rsidR="00401CB0" w:rsidRPr="002207D4">
        <w:t xml:space="preserve"> given the resubmission claimed clinical non-inferiority </w:t>
      </w:r>
      <w:r w:rsidR="00DA53D4" w:rsidRPr="002207D4">
        <w:t>to</w:t>
      </w:r>
      <w:r w:rsidR="00401CB0" w:rsidRPr="002207D4">
        <w:t xml:space="preserve"> Botox®</w:t>
      </w:r>
      <w:r w:rsidR="009A46DB" w:rsidRPr="002207D4">
        <w:t xml:space="preserve"> and based on the totality of evidence presented across the original submission (acute LLFS following an acute event) and this resubmission (acute LLFS following a stroke)</w:t>
      </w:r>
      <w:r w:rsidR="00401CB0" w:rsidRPr="002207D4">
        <w:t xml:space="preserve">. </w:t>
      </w:r>
    </w:p>
    <w:p w:rsidR="00151F61" w:rsidRPr="00867AC2" w:rsidRDefault="00151F61" w:rsidP="0036686A">
      <w:pPr>
        <w:pStyle w:val="ListParagraph"/>
        <w:numPr>
          <w:ilvl w:val="1"/>
          <w:numId w:val="1"/>
        </w:numPr>
        <w:ind w:left="720"/>
      </w:pPr>
      <w:r w:rsidRPr="00867AC2">
        <w:t xml:space="preserve">The basis of the requested listing was </w:t>
      </w:r>
      <w:r w:rsidR="00303219" w:rsidRPr="00867AC2">
        <w:t xml:space="preserve">a </w:t>
      </w:r>
      <w:r w:rsidRPr="00867AC2">
        <w:t xml:space="preserve">cost-minimisation of Dysport® to the nominated comparator, Botox®. </w:t>
      </w:r>
      <w:r w:rsidR="00185F10" w:rsidRPr="00867AC2">
        <w:rPr>
          <w:iCs/>
        </w:rPr>
        <w:t xml:space="preserve">The resubmission presented an indirect comparison </w:t>
      </w:r>
      <w:r w:rsidR="00185F10" w:rsidRPr="00867AC2">
        <w:rPr>
          <w:iCs/>
        </w:rPr>
        <w:lastRenderedPageBreak/>
        <w:t xml:space="preserve">between Dysport® </w:t>
      </w:r>
      <w:r w:rsidR="00BA587A" w:rsidRPr="00867AC2">
        <w:rPr>
          <w:iCs/>
        </w:rPr>
        <w:t xml:space="preserve">1500U </w:t>
      </w:r>
      <w:r w:rsidR="00185F10" w:rsidRPr="00867AC2">
        <w:rPr>
          <w:iCs/>
        </w:rPr>
        <w:t xml:space="preserve">and Botox® </w:t>
      </w:r>
      <w:r w:rsidR="00BA587A" w:rsidRPr="00867AC2">
        <w:rPr>
          <w:iCs/>
        </w:rPr>
        <w:t xml:space="preserve">300-400U </w:t>
      </w:r>
      <w:r w:rsidR="00185F10" w:rsidRPr="00867AC2">
        <w:rPr>
          <w:iCs/>
        </w:rPr>
        <w:t xml:space="preserve">in terms of the reduction </w:t>
      </w:r>
      <w:r w:rsidR="000D1AC6" w:rsidRPr="00867AC2">
        <w:rPr>
          <w:iCs/>
        </w:rPr>
        <w:t>of spasticity</w:t>
      </w:r>
      <w:r w:rsidR="00185F10" w:rsidRPr="00867AC2">
        <w:rPr>
          <w:iCs/>
        </w:rPr>
        <w:t xml:space="preserve"> as measured by the Modified Ashworth Scale (MAS).</w:t>
      </w:r>
      <w:r w:rsidR="00F15424" w:rsidRPr="00867AC2">
        <w:rPr>
          <w:iCs/>
        </w:rPr>
        <w:t xml:space="preserve"> MAS measures the level of resistance to passive movement, and evaluates a combination of soft tissue contracture and spastic dystonia, in addition to spasticity itself.</w:t>
      </w:r>
      <w:r w:rsidR="00F15424" w:rsidRPr="00867AC2">
        <w:t xml:space="preserve"> </w:t>
      </w:r>
      <w:r w:rsidRPr="00867AC2">
        <w:rPr>
          <w:iCs/>
        </w:rPr>
        <w:t xml:space="preserve">Functional outcomes reported in the previous submission </w:t>
      </w:r>
      <w:r w:rsidR="00185F10" w:rsidRPr="00867AC2">
        <w:rPr>
          <w:iCs/>
        </w:rPr>
        <w:t xml:space="preserve">were </w:t>
      </w:r>
      <w:r w:rsidRPr="00867AC2">
        <w:rPr>
          <w:iCs/>
        </w:rPr>
        <w:t>not included in this resubmission</w:t>
      </w:r>
      <w:r w:rsidR="00185F10" w:rsidRPr="00867AC2">
        <w:rPr>
          <w:iCs/>
        </w:rPr>
        <w:t>.</w:t>
      </w:r>
    </w:p>
    <w:p w:rsidR="00FD3D25" w:rsidRDefault="00FD3D25" w:rsidP="00FD3D25">
      <w:pPr>
        <w:pStyle w:val="TableHeading0"/>
      </w:pPr>
      <w:r>
        <w:t xml:space="preserve">Table </w:t>
      </w:r>
      <w:r w:rsidR="008C0876">
        <w:fldChar w:fldCharType="begin"/>
      </w:r>
      <w:r w:rsidR="008C0876">
        <w:instrText xml:space="preserve"> SEQ Table \* ARABIC </w:instrText>
      </w:r>
      <w:r w:rsidR="008C0876">
        <w:fldChar w:fldCharType="separate"/>
      </w:r>
      <w:r w:rsidR="00915F21">
        <w:rPr>
          <w:noProof/>
        </w:rPr>
        <w:t>1</w:t>
      </w:r>
      <w:r w:rsidR="008C0876">
        <w:rPr>
          <w:noProof/>
        </w:rPr>
        <w:fldChar w:fldCharType="end"/>
      </w:r>
      <w:r w:rsidRPr="00504202">
        <w:t>: Key components of the clinical issue addressed by the resubmission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resubmission"/>
      </w:tblPr>
      <w:tblGrid>
        <w:gridCol w:w="1129"/>
        <w:gridCol w:w="7938"/>
      </w:tblGrid>
      <w:tr w:rsidR="00151F61" w:rsidRPr="00A518F3" w:rsidTr="00083561">
        <w:tc>
          <w:tcPr>
            <w:tcW w:w="1129" w:type="dxa"/>
            <w:vAlign w:val="center"/>
          </w:tcPr>
          <w:p w:rsidR="00151F61" w:rsidRPr="00A518F3" w:rsidRDefault="00151F61" w:rsidP="00DF29DB">
            <w:pPr>
              <w:pStyle w:val="Tabletext"/>
              <w:rPr>
                <w:b/>
              </w:rPr>
            </w:pPr>
            <w:r w:rsidRPr="00A518F3">
              <w:rPr>
                <w:b/>
              </w:rPr>
              <w:t>Component</w:t>
            </w:r>
          </w:p>
        </w:tc>
        <w:tc>
          <w:tcPr>
            <w:tcW w:w="7938" w:type="dxa"/>
            <w:vAlign w:val="center"/>
          </w:tcPr>
          <w:p w:rsidR="00151F61" w:rsidRPr="00A518F3" w:rsidRDefault="00151F61" w:rsidP="00DF29DB">
            <w:pPr>
              <w:pStyle w:val="Tabletext"/>
              <w:jc w:val="center"/>
              <w:rPr>
                <w:b/>
              </w:rPr>
            </w:pPr>
            <w:r w:rsidRPr="00A518F3">
              <w:rPr>
                <w:b/>
              </w:rPr>
              <w:t>Description</w:t>
            </w:r>
          </w:p>
        </w:tc>
      </w:tr>
      <w:tr w:rsidR="00151F61" w:rsidTr="00083561">
        <w:tc>
          <w:tcPr>
            <w:tcW w:w="1129" w:type="dxa"/>
            <w:vAlign w:val="center"/>
          </w:tcPr>
          <w:p w:rsidR="00151F61" w:rsidRDefault="00151F61" w:rsidP="00DF29DB">
            <w:pPr>
              <w:pStyle w:val="Tabletext"/>
            </w:pPr>
            <w:r>
              <w:t>Population</w:t>
            </w:r>
          </w:p>
        </w:tc>
        <w:tc>
          <w:tcPr>
            <w:tcW w:w="7938" w:type="dxa"/>
          </w:tcPr>
          <w:p w:rsidR="00151F61" w:rsidRDefault="00151F61" w:rsidP="00DF29DB">
            <w:pPr>
              <w:pStyle w:val="Tabletext"/>
            </w:pPr>
            <w:r w:rsidRPr="008446A9">
              <w:t>Patients who have moderate to severe lower limb spasticity</w:t>
            </w:r>
            <w:r>
              <w:t>,</w:t>
            </w:r>
            <w:r w:rsidRPr="008446A9">
              <w:t xml:space="preserve"> </w:t>
            </w:r>
            <w:r>
              <w:t xml:space="preserve">defined as </w:t>
            </w:r>
            <w:r w:rsidRPr="007F18AE">
              <w:rPr>
                <w:iCs/>
              </w:rPr>
              <w:t>MAS</w:t>
            </w:r>
            <w:r w:rsidR="00C47F9B" w:rsidRPr="007F18AE">
              <w:rPr>
                <w:iCs/>
              </w:rPr>
              <w:t xml:space="preserve"> </w:t>
            </w:r>
            <w:r w:rsidRPr="007F18AE">
              <w:rPr>
                <w:iCs/>
              </w:rPr>
              <w:t>≥</w:t>
            </w:r>
            <w:r w:rsidR="00C47F9B">
              <w:rPr>
                <w:i/>
                <w:iCs/>
              </w:rPr>
              <w:t xml:space="preserve"> </w:t>
            </w:r>
            <w:r w:rsidRPr="002C0F12">
              <w:rPr>
                <w:i/>
                <w:iCs/>
              </w:rPr>
              <w:t>3</w:t>
            </w:r>
            <w:r>
              <w:rPr>
                <w:i/>
                <w:iCs/>
              </w:rPr>
              <w:t xml:space="preserve">, </w:t>
            </w:r>
            <w:r w:rsidRPr="008446A9">
              <w:t>following stroke</w:t>
            </w:r>
            <w:r>
              <w:t>.</w:t>
            </w:r>
            <w:r w:rsidR="00DA53D4">
              <w:t xml:space="preserve"> </w:t>
            </w:r>
            <w:r w:rsidR="00DA53D4" w:rsidRPr="002207D4">
              <w:t>The patient population was extended in the PSCR to include patients who have moderate to severe lower limb spasticity, defined as MAS ≥ 3, following an acute neurological event.</w:t>
            </w:r>
          </w:p>
        </w:tc>
      </w:tr>
      <w:tr w:rsidR="00151F61" w:rsidTr="00083561">
        <w:tc>
          <w:tcPr>
            <w:tcW w:w="1129" w:type="dxa"/>
            <w:vAlign w:val="center"/>
          </w:tcPr>
          <w:p w:rsidR="00151F61" w:rsidRDefault="00151F61" w:rsidP="00DF29DB">
            <w:pPr>
              <w:pStyle w:val="Tabletext"/>
            </w:pPr>
            <w:r>
              <w:t>Intervention</w:t>
            </w:r>
          </w:p>
        </w:tc>
        <w:tc>
          <w:tcPr>
            <w:tcW w:w="7938" w:type="dxa"/>
          </w:tcPr>
          <w:p w:rsidR="00151F61" w:rsidRDefault="00151F61" w:rsidP="004D7FBA">
            <w:pPr>
              <w:pStyle w:val="Tabletext"/>
            </w:pPr>
            <w:r>
              <w:t>Dysport</w:t>
            </w:r>
            <w:r w:rsidR="00057611" w:rsidRPr="00FA6E19">
              <w:rPr>
                <w:vertAlign w:val="superscript"/>
              </w:rPr>
              <w:t>®</w:t>
            </w:r>
            <w:r>
              <w:t xml:space="preserve"> (</w:t>
            </w:r>
            <w:r w:rsidRPr="008446A9">
              <w:t>AbobotulinumtoxinA, Clostridium botulinum type A toxin-haemagglutinin complex)</w:t>
            </w:r>
            <w:r>
              <w:t xml:space="preserve">. The dose </w:t>
            </w:r>
            <w:r w:rsidRPr="00917A37">
              <w:t>should not exceed 1500U</w:t>
            </w:r>
            <w:r>
              <w:t xml:space="preserve"> every 12 weeks into the lower limbs. If treatment is required for both upper and lower limbs, the total dose also must not exceed 1500U.</w:t>
            </w:r>
          </w:p>
        </w:tc>
      </w:tr>
      <w:tr w:rsidR="00151F61" w:rsidTr="00083561">
        <w:tc>
          <w:tcPr>
            <w:tcW w:w="1129" w:type="dxa"/>
            <w:vAlign w:val="center"/>
          </w:tcPr>
          <w:p w:rsidR="00151F61" w:rsidRDefault="00151F61" w:rsidP="00DF29DB">
            <w:pPr>
              <w:pStyle w:val="Tabletext"/>
            </w:pPr>
            <w:r>
              <w:t>Comparator</w:t>
            </w:r>
          </w:p>
        </w:tc>
        <w:tc>
          <w:tcPr>
            <w:tcW w:w="7938" w:type="dxa"/>
          </w:tcPr>
          <w:p w:rsidR="00151F61" w:rsidRDefault="00057611" w:rsidP="00255197">
            <w:pPr>
              <w:pStyle w:val="Tabletext"/>
            </w:pPr>
            <w:r>
              <w:t>Botox</w:t>
            </w:r>
            <w:r w:rsidR="00255197" w:rsidRPr="00FA6E19">
              <w:rPr>
                <w:vertAlign w:val="superscript"/>
              </w:rPr>
              <w:t>®</w:t>
            </w:r>
            <w:r w:rsidR="00255197" w:rsidRPr="008446A9">
              <w:t xml:space="preserve"> </w:t>
            </w:r>
            <w:r w:rsidR="00151F61" w:rsidRPr="008446A9">
              <w:t>(onabotulinumtoxin A)</w:t>
            </w:r>
            <w:r w:rsidR="00151F61">
              <w:t xml:space="preserve">. </w:t>
            </w:r>
            <w:r w:rsidR="00151F61" w:rsidRPr="00867AC2">
              <w:rPr>
                <w:iCs/>
              </w:rPr>
              <w:t>The dose should not exceed 400U in a single injection session. If treatment is required for both upper and lower limbs, the total dose also must not exceed 400U. This maximum dose w</w:t>
            </w:r>
            <w:r w:rsidR="00255197">
              <w:rPr>
                <w:iCs/>
              </w:rPr>
              <w:t xml:space="preserve">as not reported in the approved </w:t>
            </w:r>
            <w:r>
              <w:rPr>
                <w:iCs/>
              </w:rPr>
              <w:t>Botox</w:t>
            </w:r>
            <w:r w:rsidR="00255197" w:rsidRPr="00FA6E19">
              <w:rPr>
                <w:vertAlign w:val="superscript"/>
              </w:rPr>
              <w:t>®</w:t>
            </w:r>
            <w:r w:rsidR="00255197">
              <w:rPr>
                <w:vertAlign w:val="superscript"/>
              </w:rPr>
              <w:t xml:space="preserve"> </w:t>
            </w:r>
            <w:r w:rsidR="00151F61" w:rsidRPr="00867AC2">
              <w:rPr>
                <w:iCs/>
              </w:rPr>
              <w:t xml:space="preserve">Product Information (paragraph 4.3, </w:t>
            </w:r>
            <w:r>
              <w:rPr>
                <w:iCs/>
              </w:rPr>
              <w:t>Botox</w:t>
            </w:r>
            <w:r w:rsidR="00255197" w:rsidRPr="00FA6E19">
              <w:rPr>
                <w:vertAlign w:val="superscript"/>
              </w:rPr>
              <w:t>®</w:t>
            </w:r>
            <w:r w:rsidR="00255197">
              <w:rPr>
                <w:vertAlign w:val="superscript"/>
              </w:rPr>
              <w:t xml:space="preserve"> </w:t>
            </w:r>
            <w:r w:rsidR="00683251" w:rsidRPr="00867AC2">
              <w:rPr>
                <w:iCs/>
              </w:rPr>
              <w:t>PSD</w:t>
            </w:r>
            <w:r w:rsidR="00C47F9B" w:rsidRPr="00867AC2">
              <w:rPr>
                <w:iCs/>
              </w:rPr>
              <w:t>,</w:t>
            </w:r>
            <w:r w:rsidR="00151F61" w:rsidRPr="00867AC2">
              <w:rPr>
                <w:iCs/>
              </w:rPr>
              <w:t xml:space="preserve"> November 2018</w:t>
            </w:r>
            <w:r w:rsidR="00151F61" w:rsidRPr="00867AC2">
              <w:t>)*.</w:t>
            </w:r>
          </w:p>
        </w:tc>
      </w:tr>
      <w:tr w:rsidR="00151F61" w:rsidTr="00083561">
        <w:tc>
          <w:tcPr>
            <w:tcW w:w="1129" w:type="dxa"/>
            <w:vAlign w:val="center"/>
          </w:tcPr>
          <w:p w:rsidR="00151F61" w:rsidRDefault="00151F61" w:rsidP="00DF29DB">
            <w:pPr>
              <w:pStyle w:val="Tabletext"/>
            </w:pPr>
            <w:r>
              <w:t>Outcomes</w:t>
            </w:r>
          </w:p>
        </w:tc>
        <w:tc>
          <w:tcPr>
            <w:tcW w:w="7938" w:type="dxa"/>
          </w:tcPr>
          <w:p w:rsidR="00151F61" w:rsidRDefault="00151F61" w:rsidP="00DF29DB">
            <w:pPr>
              <w:pStyle w:val="Tabletext"/>
            </w:pPr>
            <w:r w:rsidRPr="008446A9">
              <w:t>Spasticity</w:t>
            </w:r>
            <w:r>
              <w:t>,</w:t>
            </w:r>
            <w:r w:rsidRPr="008446A9">
              <w:t xml:space="preserve"> as measured by the </w:t>
            </w:r>
            <w:r>
              <w:t>MAS. Specifically, mean change in MAS at Week 4 and proportion of MAS responders (≥</w:t>
            </w:r>
            <w:r w:rsidR="00C47F9B">
              <w:t xml:space="preserve"> </w:t>
            </w:r>
            <w:r>
              <w:t>1 reduction in MAS) at Week 4.</w:t>
            </w:r>
          </w:p>
        </w:tc>
      </w:tr>
      <w:tr w:rsidR="00151F61" w:rsidTr="00083561">
        <w:tc>
          <w:tcPr>
            <w:tcW w:w="1129" w:type="dxa"/>
            <w:vAlign w:val="center"/>
          </w:tcPr>
          <w:p w:rsidR="00151F61" w:rsidRDefault="00151F61" w:rsidP="00DF29DB">
            <w:pPr>
              <w:pStyle w:val="Tabletext"/>
            </w:pPr>
            <w:r>
              <w:t>Clinical claim</w:t>
            </w:r>
          </w:p>
        </w:tc>
        <w:tc>
          <w:tcPr>
            <w:tcW w:w="7938" w:type="dxa"/>
          </w:tcPr>
          <w:p w:rsidR="00151F61" w:rsidRDefault="00151F61" w:rsidP="00255197">
            <w:pPr>
              <w:pStyle w:val="Tabletext"/>
            </w:pPr>
            <w:r w:rsidRPr="008446A9">
              <w:t>In patients with moderate to severe focal spasticity of the lower limb following a stroke, Dysport</w:t>
            </w:r>
            <w:r w:rsidR="00255197" w:rsidRPr="00FA6E19">
              <w:rPr>
                <w:vertAlign w:val="superscript"/>
              </w:rPr>
              <w:t>®</w:t>
            </w:r>
            <w:r w:rsidRPr="008446A9">
              <w:t xml:space="preserve"> is non-inferior to </w:t>
            </w:r>
            <w:r w:rsidR="00057611">
              <w:t>Botox</w:t>
            </w:r>
            <w:r w:rsidR="00255197" w:rsidRPr="00FA6E19">
              <w:rPr>
                <w:vertAlign w:val="superscript"/>
              </w:rPr>
              <w:t>®</w:t>
            </w:r>
            <w:r w:rsidR="00255197">
              <w:rPr>
                <w:vertAlign w:val="superscript"/>
              </w:rPr>
              <w:t xml:space="preserve"> </w:t>
            </w:r>
            <w:r w:rsidRPr="008446A9">
              <w:t>at reducing muscle spasticity with a similar</w:t>
            </w:r>
            <w:r>
              <w:t xml:space="preserve"> safety/</w:t>
            </w:r>
            <w:r w:rsidRPr="008446A9">
              <w:t>tolerability profile.</w:t>
            </w:r>
          </w:p>
        </w:tc>
      </w:tr>
    </w:tbl>
    <w:p w:rsidR="00151F61" w:rsidRDefault="00151F61" w:rsidP="00151F61">
      <w:pPr>
        <w:pStyle w:val="TableFooter"/>
      </w:pPr>
      <w:r>
        <w:t>MAS</w:t>
      </w:r>
      <w:r w:rsidR="00914A4E">
        <w:t xml:space="preserve"> </w:t>
      </w:r>
      <w:r>
        <w:t>=</w:t>
      </w:r>
      <w:r w:rsidR="00914A4E">
        <w:t xml:space="preserve"> </w:t>
      </w:r>
      <w:r w:rsidRPr="008446A9">
        <w:t>Modified Ashworth Scale</w:t>
      </w:r>
      <w:r w:rsidR="003E44E7">
        <w:t>; PSCR = pre-Sub-Committee response</w:t>
      </w:r>
      <w:r w:rsidR="007F18AE">
        <w:t>; PSD = Public Summary Document</w:t>
      </w:r>
    </w:p>
    <w:p w:rsidR="00151F61" w:rsidRDefault="00151F61" w:rsidP="004D7FBA">
      <w:pPr>
        <w:pStyle w:val="TableFooter"/>
      </w:pPr>
      <w:r>
        <w:t xml:space="preserve">* The </w:t>
      </w:r>
      <w:r w:rsidR="00057611">
        <w:t>Botox</w:t>
      </w:r>
      <w:r w:rsidR="00255197" w:rsidRPr="00FA6E19">
        <w:rPr>
          <w:vertAlign w:val="superscript"/>
        </w:rPr>
        <w:t>®</w:t>
      </w:r>
      <w:r w:rsidR="00255197">
        <w:t xml:space="preserve"> </w:t>
      </w:r>
      <w:r>
        <w:t xml:space="preserve">PI (p44) stated that in clinical trials, the doses did not exceed 360U divided among selected muscles at any treatment session. </w:t>
      </w:r>
    </w:p>
    <w:p w:rsidR="00151F61" w:rsidRDefault="00151F61" w:rsidP="00151F61">
      <w:pPr>
        <w:pStyle w:val="TableFooter"/>
      </w:pPr>
      <w:r>
        <w:t xml:space="preserve">Source: Table 1.2, p17 </w:t>
      </w:r>
      <w:r w:rsidRPr="00D13A3E">
        <w:t xml:space="preserve">of the </w:t>
      </w:r>
      <w:r>
        <w:t>resubmission</w:t>
      </w:r>
    </w:p>
    <w:p w:rsidR="00255197" w:rsidRDefault="00255197">
      <w:pPr>
        <w:widowControl/>
        <w:jc w:val="left"/>
      </w:pPr>
    </w:p>
    <w:p w:rsidR="00151F61" w:rsidRPr="005D0E1C" w:rsidRDefault="00151F61" w:rsidP="005D0E1C">
      <w:pPr>
        <w:pStyle w:val="PBACHeading1"/>
        <w:keepNext/>
        <w:keepLines/>
        <w:numPr>
          <w:ilvl w:val="0"/>
          <w:numId w:val="1"/>
        </w:numPr>
        <w:spacing w:after="120"/>
        <w:rPr>
          <w:rFonts w:asciiTheme="minorHAnsi" w:hAnsiTheme="minorHAnsi" w:cstheme="minorHAnsi"/>
          <w:szCs w:val="28"/>
        </w:rPr>
      </w:pPr>
      <w:bookmarkStart w:id="2" w:name="_Toc9247879"/>
      <w:r w:rsidRPr="005D0E1C">
        <w:rPr>
          <w:rFonts w:asciiTheme="minorHAnsi" w:hAnsiTheme="minorHAnsi" w:cstheme="minorHAnsi"/>
          <w:szCs w:val="28"/>
        </w:rPr>
        <w:t>Requested listing</w:t>
      </w:r>
      <w:bookmarkEnd w:id="2"/>
    </w:p>
    <w:tbl>
      <w:tblPr>
        <w:tblW w:w="4977" w:type="pct"/>
        <w:tblInd w:w="27" w:type="dxa"/>
        <w:tblCellMar>
          <w:left w:w="28" w:type="dxa"/>
          <w:right w:w="28" w:type="dxa"/>
        </w:tblCellMar>
        <w:tblLook w:val="0000" w:firstRow="0" w:lastRow="0" w:firstColumn="0" w:lastColumn="0" w:noHBand="0" w:noVBand="0"/>
      </w:tblPr>
      <w:tblGrid>
        <w:gridCol w:w="1673"/>
        <w:gridCol w:w="1714"/>
        <w:gridCol w:w="1089"/>
        <w:gridCol w:w="845"/>
        <w:gridCol w:w="1518"/>
        <w:gridCol w:w="2146"/>
      </w:tblGrid>
      <w:tr w:rsidR="00151F61" w:rsidRPr="00413860" w:rsidTr="00836E6C">
        <w:trPr>
          <w:cantSplit/>
          <w:trHeight w:val="463"/>
        </w:trPr>
        <w:tc>
          <w:tcPr>
            <w:tcW w:w="1885" w:type="pct"/>
            <w:gridSpan w:val="2"/>
            <w:tcBorders>
              <w:top w:val="single" w:sz="4" w:space="0" w:color="auto"/>
              <w:bottom w:val="single" w:sz="4" w:space="0" w:color="auto"/>
            </w:tcBorders>
            <w:vAlign w:val="center"/>
          </w:tcPr>
          <w:p w:rsidR="00151F61" w:rsidRPr="00C7151A" w:rsidRDefault="00151F61" w:rsidP="00DF29DB">
            <w:pPr>
              <w:keepNext/>
              <w:jc w:val="left"/>
              <w:rPr>
                <w:rFonts w:ascii="Arial Narrow" w:hAnsi="Arial Narrow"/>
                <w:b/>
                <w:sz w:val="20"/>
              </w:rPr>
            </w:pPr>
            <w:r w:rsidRPr="00C7151A">
              <w:rPr>
                <w:rFonts w:ascii="Arial Narrow" w:hAnsi="Arial Narrow"/>
                <w:b/>
                <w:sz w:val="20"/>
              </w:rPr>
              <w:t>Name, Restriction,</w:t>
            </w:r>
          </w:p>
          <w:p w:rsidR="00151F61" w:rsidRPr="00C7151A" w:rsidRDefault="00151F61" w:rsidP="00DF29DB">
            <w:pPr>
              <w:keepNext/>
              <w:jc w:val="left"/>
              <w:rPr>
                <w:rFonts w:ascii="Arial Narrow" w:hAnsi="Arial Narrow"/>
                <w:b/>
                <w:sz w:val="20"/>
              </w:rPr>
            </w:pPr>
            <w:r w:rsidRPr="00C7151A">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151F61" w:rsidRPr="00C7151A" w:rsidRDefault="00151F61" w:rsidP="00DF29DB">
            <w:pPr>
              <w:keepNext/>
              <w:jc w:val="center"/>
              <w:rPr>
                <w:rFonts w:ascii="Arial Narrow" w:hAnsi="Arial Narrow"/>
                <w:b/>
                <w:sz w:val="20"/>
              </w:rPr>
            </w:pPr>
            <w:r w:rsidRPr="00C7151A">
              <w:rPr>
                <w:rFonts w:ascii="Arial Narrow" w:hAnsi="Arial Narrow"/>
                <w:b/>
                <w:sz w:val="20"/>
              </w:rPr>
              <w:t>Max.</w:t>
            </w:r>
          </w:p>
          <w:p w:rsidR="00151F61" w:rsidRPr="00C7151A" w:rsidRDefault="00151F61" w:rsidP="00DF29DB">
            <w:pPr>
              <w:keepNext/>
              <w:jc w:val="center"/>
              <w:rPr>
                <w:rFonts w:ascii="Arial Narrow" w:hAnsi="Arial Narrow"/>
                <w:b/>
                <w:sz w:val="20"/>
              </w:rPr>
            </w:pPr>
            <w:r w:rsidRPr="00C7151A">
              <w:rPr>
                <w:rFonts w:ascii="Arial Narrow" w:hAnsi="Arial Narrow"/>
                <w:b/>
                <w:sz w:val="20"/>
              </w:rPr>
              <w:t>Qty</w:t>
            </w:r>
            <w:r>
              <w:rPr>
                <w:rFonts w:ascii="Arial Narrow" w:hAnsi="Arial Narrow"/>
                <w:b/>
                <w:sz w:val="20"/>
              </w:rPr>
              <w:t xml:space="preserve"> (packs)</w:t>
            </w:r>
          </w:p>
        </w:tc>
        <w:tc>
          <w:tcPr>
            <w:tcW w:w="470" w:type="pct"/>
            <w:tcBorders>
              <w:top w:val="single" w:sz="4" w:space="0" w:color="auto"/>
              <w:bottom w:val="single" w:sz="4" w:space="0" w:color="auto"/>
            </w:tcBorders>
            <w:vAlign w:val="center"/>
          </w:tcPr>
          <w:p w:rsidR="00151F61" w:rsidRPr="00C7151A" w:rsidRDefault="00151F61" w:rsidP="00DF29DB">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151F61" w:rsidRPr="00C7151A" w:rsidRDefault="00151F61" w:rsidP="00DF29DB">
            <w:pPr>
              <w:keepNext/>
              <w:jc w:val="center"/>
              <w:rPr>
                <w:rFonts w:ascii="Arial Narrow" w:hAnsi="Arial Narrow"/>
                <w:b/>
                <w:sz w:val="20"/>
              </w:rPr>
            </w:pPr>
            <w:r w:rsidRPr="00C7151A">
              <w:rPr>
                <w:rFonts w:ascii="Arial Narrow" w:hAnsi="Arial Narrow"/>
                <w:b/>
                <w:sz w:val="20"/>
              </w:rPr>
              <w:t>Rpts</w:t>
            </w:r>
          </w:p>
        </w:tc>
        <w:tc>
          <w:tcPr>
            <w:tcW w:w="845" w:type="pct"/>
            <w:tcBorders>
              <w:top w:val="single" w:sz="4" w:space="0" w:color="auto"/>
              <w:bottom w:val="single" w:sz="4" w:space="0" w:color="auto"/>
            </w:tcBorders>
            <w:vAlign w:val="center"/>
          </w:tcPr>
          <w:p w:rsidR="00151F61" w:rsidRPr="00C7151A" w:rsidRDefault="00151F61" w:rsidP="00DF29DB">
            <w:pPr>
              <w:keepNext/>
              <w:jc w:val="center"/>
              <w:rPr>
                <w:rFonts w:ascii="Arial Narrow" w:hAnsi="Arial Narrow"/>
                <w:b/>
                <w:sz w:val="20"/>
              </w:rPr>
            </w:pPr>
            <w:r w:rsidRPr="00C7151A">
              <w:rPr>
                <w:rFonts w:ascii="Arial Narrow" w:hAnsi="Arial Narrow"/>
                <w:b/>
                <w:sz w:val="20"/>
              </w:rPr>
              <w:t>Dispensed Price for Max. Qty</w:t>
            </w:r>
          </w:p>
        </w:tc>
        <w:tc>
          <w:tcPr>
            <w:tcW w:w="1194" w:type="pct"/>
            <w:tcBorders>
              <w:top w:val="single" w:sz="4" w:space="0" w:color="auto"/>
              <w:bottom w:val="single" w:sz="4" w:space="0" w:color="auto"/>
            </w:tcBorders>
            <w:vAlign w:val="center"/>
          </w:tcPr>
          <w:p w:rsidR="00151F61" w:rsidRPr="00C7151A" w:rsidRDefault="00151F61" w:rsidP="00DF29DB">
            <w:pPr>
              <w:keepNext/>
              <w:jc w:val="center"/>
              <w:rPr>
                <w:rFonts w:ascii="Arial Narrow" w:hAnsi="Arial Narrow"/>
                <w:b/>
                <w:sz w:val="20"/>
                <w:lang w:val="fr-FR"/>
              </w:rPr>
            </w:pPr>
            <w:r w:rsidRPr="00C7151A">
              <w:rPr>
                <w:rFonts w:ascii="Arial Narrow" w:hAnsi="Arial Narrow"/>
                <w:b/>
                <w:sz w:val="20"/>
              </w:rPr>
              <w:t>Proprietary Name and Manufacturer</w:t>
            </w:r>
          </w:p>
        </w:tc>
      </w:tr>
      <w:tr w:rsidR="00151F61" w:rsidRPr="00413860" w:rsidTr="00836E6C">
        <w:trPr>
          <w:cantSplit/>
          <w:trHeight w:val="567"/>
        </w:trPr>
        <w:tc>
          <w:tcPr>
            <w:tcW w:w="1885" w:type="pct"/>
            <w:gridSpan w:val="2"/>
            <w:tcBorders>
              <w:bottom w:val="single" w:sz="4" w:space="0" w:color="auto"/>
            </w:tcBorders>
            <w:vAlign w:val="center"/>
          </w:tcPr>
          <w:p w:rsidR="00151F61" w:rsidRPr="00591957" w:rsidRDefault="00151F61" w:rsidP="00DF29DB">
            <w:pPr>
              <w:keepNext/>
              <w:jc w:val="left"/>
              <w:rPr>
                <w:rFonts w:ascii="Arial Narrow" w:hAnsi="Arial Narrow"/>
                <w:sz w:val="20"/>
              </w:rPr>
            </w:pPr>
            <w:r w:rsidRPr="001A1689">
              <w:rPr>
                <w:rFonts w:ascii="Arial Narrow" w:hAnsi="Arial Narrow"/>
                <w:smallCaps/>
                <w:sz w:val="20"/>
              </w:rPr>
              <w:t>Clostridium botulinum type A toxin-haemagglutinin complex, 300 unit</w:t>
            </w:r>
            <w:r w:rsidR="008C1848">
              <w:rPr>
                <w:rFonts w:ascii="Arial Narrow" w:hAnsi="Arial Narrow"/>
                <w:smallCaps/>
                <w:sz w:val="20"/>
              </w:rPr>
              <w:t>s</w:t>
            </w:r>
            <w:r w:rsidRPr="001A1689">
              <w:rPr>
                <w:rFonts w:ascii="Arial Narrow" w:hAnsi="Arial Narrow"/>
                <w:smallCaps/>
                <w:sz w:val="20"/>
              </w:rPr>
              <w:t xml:space="preserve"> injection, 1 vial</w:t>
            </w:r>
          </w:p>
        </w:tc>
        <w:tc>
          <w:tcPr>
            <w:tcW w:w="606" w:type="pct"/>
            <w:tcBorders>
              <w:bottom w:val="single" w:sz="4" w:space="0" w:color="auto"/>
            </w:tcBorders>
            <w:vAlign w:val="center"/>
          </w:tcPr>
          <w:p w:rsidR="00151F61" w:rsidRPr="00591957" w:rsidRDefault="00151F61" w:rsidP="00DF29DB">
            <w:pPr>
              <w:keepNext/>
              <w:jc w:val="center"/>
              <w:rPr>
                <w:rFonts w:ascii="Arial Narrow" w:hAnsi="Arial Narrow"/>
                <w:sz w:val="20"/>
              </w:rPr>
            </w:pPr>
            <w:r>
              <w:rPr>
                <w:rFonts w:ascii="Arial Narrow" w:hAnsi="Arial Narrow"/>
                <w:sz w:val="20"/>
              </w:rPr>
              <w:t>5</w:t>
            </w:r>
          </w:p>
        </w:tc>
        <w:tc>
          <w:tcPr>
            <w:tcW w:w="470" w:type="pct"/>
            <w:tcBorders>
              <w:bottom w:val="single" w:sz="4" w:space="0" w:color="auto"/>
            </w:tcBorders>
            <w:vAlign w:val="center"/>
          </w:tcPr>
          <w:p w:rsidR="00151F61" w:rsidRPr="00591957" w:rsidRDefault="00151F61" w:rsidP="00DF29DB">
            <w:pPr>
              <w:keepNext/>
              <w:jc w:val="center"/>
              <w:rPr>
                <w:rFonts w:ascii="Arial Narrow" w:hAnsi="Arial Narrow"/>
                <w:sz w:val="20"/>
              </w:rPr>
            </w:pPr>
            <w:r>
              <w:rPr>
                <w:rFonts w:ascii="Arial Narrow" w:hAnsi="Arial Narrow"/>
                <w:sz w:val="20"/>
              </w:rPr>
              <w:t>0</w:t>
            </w:r>
          </w:p>
        </w:tc>
        <w:tc>
          <w:tcPr>
            <w:tcW w:w="845" w:type="pct"/>
            <w:tcBorders>
              <w:bottom w:val="single" w:sz="4" w:space="0" w:color="auto"/>
            </w:tcBorders>
            <w:vAlign w:val="center"/>
          </w:tcPr>
          <w:p w:rsidR="00151F61" w:rsidRPr="00591957" w:rsidRDefault="00151F61" w:rsidP="00DF29DB">
            <w:pPr>
              <w:keepNext/>
              <w:jc w:val="center"/>
              <w:rPr>
                <w:rFonts w:ascii="Arial Narrow" w:hAnsi="Arial Narrow"/>
                <w:sz w:val="20"/>
              </w:rPr>
            </w:pPr>
            <w:r w:rsidRPr="00591957">
              <w:rPr>
                <w:rFonts w:ascii="Arial Narrow" w:hAnsi="Arial Narrow"/>
                <w:sz w:val="20"/>
              </w:rPr>
              <w:t>$</w:t>
            </w:r>
            <w:r w:rsidR="00D73CF2">
              <w:rPr>
                <w:rFonts w:ascii="Arial Narrow" w:hAnsi="Arial Narrow"/>
                <w:noProof/>
                <w:color w:val="000000"/>
                <w:sz w:val="20"/>
                <w:highlight w:val="black"/>
              </w:rPr>
              <w:t>'''''''''''''''''''</w:t>
            </w:r>
            <w:r w:rsidR="0063246F">
              <w:rPr>
                <w:rFonts w:ascii="Arial Narrow" w:hAnsi="Arial Narrow"/>
                <w:sz w:val="20"/>
              </w:rPr>
              <w:t>*</w:t>
            </w:r>
          </w:p>
        </w:tc>
        <w:tc>
          <w:tcPr>
            <w:tcW w:w="1194" w:type="pct"/>
            <w:tcBorders>
              <w:bottom w:val="single" w:sz="4" w:space="0" w:color="auto"/>
            </w:tcBorders>
            <w:vAlign w:val="center"/>
          </w:tcPr>
          <w:p w:rsidR="00151F61" w:rsidRPr="00591957" w:rsidRDefault="00151F61" w:rsidP="00DF29DB">
            <w:pPr>
              <w:keepNext/>
              <w:jc w:val="center"/>
              <w:rPr>
                <w:rFonts w:ascii="Arial Narrow" w:hAnsi="Arial Narrow"/>
                <w:sz w:val="20"/>
              </w:rPr>
            </w:pPr>
            <w:r>
              <w:rPr>
                <w:rFonts w:ascii="Arial Narrow" w:hAnsi="Arial Narrow"/>
                <w:sz w:val="20"/>
              </w:rPr>
              <w:t>Dysport®</w:t>
            </w:r>
          </w:p>
          <w:p w:rsidR="00151F61" w:rsidRPr="00591957" w:rsidRDefault="00151F61" w:rsidP="00BD127F">
            <w:pPr>
              <w:keepNext/>
              <w:jc w:val="center"/>
              <w:rPr>
                <w:rFonts w:ascii="Arial Narrow" w:hAnsi="Arial Narrow"/>
                <w:sz w:val="20"/>
              </w:rPr>
            </w:pPr>
            <w:r>
              <w:rPr>
                <w:rFonts w:ascii="Arial Narrow" w:hAnsi="Arial Narrow"/>
                <w:sz w:val="20"/>
              </w:rPr>
              <w:t>Ipsen Pty Ltd</w:t>
            </w:r>
          </w:p>
        </w:tc>
      </w:tr>
      <w:tr w:rsidR="00151F61" w:rsidRPr="00413860" w:rsidTr="00836E6C">
        <w:trPr>
          <w:cantSplit/>
          <w:trHeight w:val="567"/>
        </w:trPr>
        <w:tc>
          <w:tcPr>
            <w:tcW w:w="1885" w:type="pct"/>
            <w:gridSpan w:val="2"/>
            <w:tcBorders>
              <w:top w:val="single" w:sz="4" w:space="0" w:color="auto"/>
            </w:tcBorders>
            <w:vAlign w:val="center"/>
          </w:tcPr>
          <w:p w:rsidR="00151F61" w:rsidRDefault="00151F61" w:rsidP="00DF29DB">
            <w:pPr>
              <w:keepNext/>
              <w:jc w:val="left"/>
              <w:rPr>
                <w:rFonts w:ascii="Arial Narrow" w:hAnsi="Arial Narrow"/>
                <w:smallCaps/>
                <w:sz w:val="20"/>
              </w:rPr>
            </w:pPr>
            <w:r w:rsidRPr="001A1689">
              <w:rPr>
                <w:rFonts w:ascii="Arial Narrow" w:hAnsi="Arial Narrow"/>
                <w:smallCaps/>
                <w:sz w:val="20"/>
              </w:rPr>
              <w:t>Clostridium botulinum type A toxin-haemagglutinin complex, 500 unit</w:t>
            </w:r>
            <w:r w:rsidR="008C1848">
              <w:rPr>
                <w:rFonts w:ascii="Arial Narrow" w:hAnsi="Arial Narrow"/>
                <w:smallCaps/>
                <w:sz w:val="20"/>
              </w:rPr>
              <w:t>s</w:t>
            </w:r>
            <w:r w:rsidRPr="001A1689">
              <w:rPr>
                <w:rFonts w:ascii="Arial Narrow" w:hAnsi="Arial Narrow"/>
                <w:smallCaps/>
                <w:sz w:val="20"/>
              </w:rPr>
              <w:t xml:space="preserve"> injection, 1 vial</w:t>
            </w:r>
          </w:p>
          <w:p w:rsidR="00FC6A7C" w:rsidRPr="001A1689" w:rsidRDefault="00FC6A7C" w:rsidP="00DF29DB">
            <w:pPr>
              <w:keepNext/>
              <w:jc w:val="left"/>
              <w:rPr>
                <w:rFonts w:ascii="Arial Narrow" w:hAnsi="Arial Narrow"/>
                <w:smallCaps/>
                <w:sz w:val="20"/>
              </w:rPr>
            </w:pPr>
          </w:p>
        </w:tc>
        <w:tc>
          <w:tcPr>
            <w:tcW w:w="606" w:type="pct"/>
            <w:tcBorders>
              <w:top w:val="single" w:sz="4" w:space="0" w:color="auto"/>
            </w:tcBorders>
            <w:vAlign w:val="center"/>
          </w:tcPr>
          <w:p w:rsidR="00151F61" w:rsidRDefault="00151F61" w:rsidP="00DF29DB">
            <w:pPr>
              <w:keepNext/>
              <w:jc w:val="center"/>
              <w:rPr>
                <w:rFonts w:ascii="Arial Narrow" w:hAnsi="Arial Narrow"/>
                <w:sz w:val="20"/>
              </w:rPr>
            </w:pPr>
            <w:r>
              <w:rPr>
                <w:rFonts w:ascii="Arial Narrow" w:hAnsi="Arial Narrow"/>
                <w:sz w:val="20"/>
              </w:rPr>
              <w:t>3</w:t>
            </w:r>
          </w:p>
        </w:tc>
        <w:tc>
          <w:tcPr>
            <w:tcW w:w="470" w:type="pct"/>
            <w:tcBorders>
              <w:top w:val="single" w:sz="4" w:space="0" w:color="auto"/>
            </w:tcBorders>
            <w:vAlign w:val="center"/>
          </w:tcPr>
          <w:p w:rsidR="00151F61" w:rsidRDefault="00151F61" w:rsidP="00DF29DB">
            <w:pPr>
              <w:keepNext/>
              <w:jc w:val="center"/>
              <w:rPr>
                <w:rFonts w:ascii="Arial Narrow" w:hAnsi="Arial Narrow"/>
                <w:sz w:val="20"/>
              </w:rPr>
            </w:pPr>
            <w:r>
              <w:rPr>
                <w:rFonts w:ascii="Arial Narrow" w:hAnsi="Arial Narrow"/>
                <w:sz w:val="20"/>
              </w:rPr>
              <w:t>0</w:t>
            </w:r>
          </w:p>
        </w:tc>
        <w:tc>
          <w:tcPr>
            <w:tcW w:w="845" w:type="pct"/>
            <w:tcBorders>
              <w:top w:val="single" w:sz="4" w:space="0" w:color="auto"/>
            </w:tcBorders>
            <w:vAlign w:val="center"/>
          </w:tcPr>
          <w:p w:rsidR="00151F61" w:rsidRPr="00591957" w:rsidRDefault="00151F61" w:rsidP="00DF29DB">
            <w:pPr>
              <w:keepNext/>
              <w:jc w:val="center"/>
              <w:rPr>
                <w:rFonts w:ascii="Arial Narrow" w:hAnsi="Arial Narrow"/>
                <w:sz w:val="20"/>
              </w:rPr>
            </w:pPr>
            <w:r>
              <w:rPr>
                <w:rFonts w:ascii="Arial Narrow" w:hAnsi="Arial Narrow"/>
                <w:sz w:val="20"/>
              </w:rPr>
              <w:t>$</w:t>
            </w:r>
            <w:r w:rsidR="00D73CF2">
              <w:rPr>
                <w:rFonts w:ascii="Arial Narrow" w:hAnsi="Arial Narrow"/>
                <w:noProof/>
                <w:color w:val="000000"/>
                <w:sz w:val="20"/>
                <w:highlight w:val="black"/>
              </w:rPr>
              <w:t>'''''''''''''''''''''''</w:t>
            </w:r>
            <w:r w:rsidR="0063246F">
              <w:rPr>
                <w:rFonts w:ascii="Arial Narrow" w:hAnsi="Arial Narrow"/>
                <w:sz w:val="20"/>
              </w:rPr>
              <w:t>*</w:t>
            </w:r>
          </w:p>
        </w:tc>
        <w:tc>
          <w:tcPr>
            <w:tcW w:w="1194" w:type="pct"/>
            <w:tcBorders>
              <w:top w:val="single" w:sz="4" w:space="0" w:color="auto"/>
            </w:tcBorders>
            <w:vAlign w:val="center"/>
          </w:tcPr>
          <w:p w:rsidR="00151F61" w:rsidRPr="001A1689" w:rsidRDefault="00151F61" w:rsidP="00DF29DB">
            <w:pPr>
              <w:keepNext/>
              <w:jc w:val="center"/>
              <w:rPr>
                <w:rFonts w:ascii="Arial Narrow" w:hAnsi="Arial Narrow"/>
                <w:sz w:val="20"/>
              </w:rPr>
            </w:pPr>
            <w:r w:rsidRPr="001A1689">
              <w:rPr>
                <w:rFonts w:ascii="Arial Narrow" w:hAnsi="Arial Narrow"/>
                <w:sz w:val="20"/>
              </w:rPr>
              <w:t>Dysport®</w:t>
            </w:r>
          </w:p>
          <w:p w:rsidR="00151F61" w:rsidRDefault="00151F61" w:rsidP="00DF29DB">
            <w:pPr>
              <w:keepNext/>
              <w:jc w:val="center"/>
              <w:rPr>
                <w:rFonts w:ascii="Arial Narrow" w:hAnsi="Arial Narrow"/>
                <w:sz w:val="20"/>
              </w:rPr>
            </w:pPr>
            <w:r w:rsidRPr="001A1689">
              <w:rPr>
                <w:rFonts w:ascii="Arial Narrow" w:hAnsi="Arial Narrow"/>
                <w:sz w:val="20"/>
              </w:rPr>
              <w:t>Ipsen Pty Ltd</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151F61" w:rsidRPr="000751F1" w:rsidRDefault="00151F61" w:rsidP="00DF29DB">
            <w:pPr>
              <w:pStyle w:val="Tabletext"/>
              <w:rPr>
                <w:b/>
                <w:bCs/>
                <w:lang w:eastAsia="en-AU"/>
              </w:rPr>
            </w:pPr>
            <w:r w:rsidRPr="000751F1">
              <w:rPr>
                <w:b/>
                <w:bCs/>
                <w:lang w:eastAsia="en-AU"/>
              </w:rPr>
              <w:t>Category/Program:</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A30A33" w:rsidRDefault="00151F61" w:rsidP="00DF29DB">
            <w:pPr>
              <w:pStyle w:val="Tabletext"/>
              <w:rPr>
                <w:lang w:eastAsia="en-AU"/>
              </w:rPr>
            </w:pPr>
            <w:r w:rsidRPr="001A1689">
              <w:rPr>
                <w:lang w:eastAsia="en-AU"/>
              </w:rPr>
              <w:t>Section 100 (Botulinum Toxin Program)</w:t>
            </w:r>
          </w:p>
        </w:tc>
      </w:tr>
      <w:tr w:rsidR="00836E6C" w:rsidRPr="00C254D9" w:rsidTr="00836E6C">
        <w:tblPrEx>
          <w:tblCellMar>
            <w:left w:w="108" w:type="dxa"/>
            <w:right w:w="108" w:type="dxa"/>
          </w:tblCellMar>
        </w:tblPrEx>
        <w:trPr>
          <w:cantSplit/>
          <w:trHeight w:val="167"/>
        </w:trPr>
        <w:tc>
          <w:tcPr>
            <w:tcW w:w="931" w:type="pct"/>
            <w:tcBorders>
              <w:top w:val="single" w:sz="4" w:space="0" w:color="auto"/>
              <w:left w:val="single" w:sz="4" w:space="0" w:color="auto"/>
              <w:bottom w:val="single" w:sz="4" w:space="0" w:color="auto"/>
              <w:right w:val="single" w:sz="4" w:space="0" w:color="auto"/>
            </w:tcBorders>
            <w:tcMar>
              <w:left w:w="28" w:type="dxa"/>
              <w:right w:w="28" w:type="dxa"/>
            </w:tcMar>
          </w:tcPr>
          <w:p w:rsidR="00836E6C" w:rsidRPr="00C254D9" w:rsidRDefault="00836E6C" w:rsidP="008A5EEA">
            <w:pPr>
              <w:rPr>
                <w:rFonts w:ascii="Arial Narrow" w:hAnsi="Arial Narrow"/>
                <w:b/>
                <w:sz w:val="20"/>
                <w:szCs w:val="20"/>
              </w:rPr>
            </w:pPr>
            <w:r w:rsidRPr="00C254D9">
              <w:rPr>
                <w:rFonts w:ascii="Arial Narrow" w:hAnsi="Arial Narrow"/>
                <w:b/>
                <w:sz w:val="20"/>
                <w:szCs w:val="20"/>
              </w:rPr>
              <w:t>Prescriber type:</w:t>
            </w:r>
          </w:p>
        </w:tc>
        <w:tc>
          <w:tcPr>
            <w:tcW w:w="406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836E6C" w:rsidRPr="00C254D9" w:rsidRDefault="00836E6C" w:rsidP="008A5EEA">
            <w:pPr>
              <w:rPr>
                <w:rFonts w:ascii="Arial Narrow" w:hAnsi="Arial Narrow"/>
                <w:sz w:val="20"/>
                <w:szCs w:val="20"/>
              </w:rPr>
            </w:pPr>
            <w:r w:rsidRPr="00C254D9">
              <w:rPr>
                <w:rFonts w:ascii="Arial Narrow" w:hAnsi="Arial Narrow"/>
                <w:sz w:val="20"/>
                <w:szCs w:val="20"/>
              </w:rPr>
              <w:fldChar w:fldCharType="begin">
                <w:ffData>
                  <w:name w:val="Check1"/>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Pr>
                <w:rFonts w:ascii="Arial Narrow" w:hAnsi="Arial Narrow"/>
                <w:sz w:val="20"/>
                <w:szCs w:val="20"/>
              </w:rPr>
              <w:fldChar w:fldCharType="end"/>
            </w:r>
            <w:r w:rsidRPr="00C254D9">
              <w:rPr>
                <w:rFonts w:ascii="Arial Narrow" w:hAnsi="Arial Narrow"/>
                <w:sz w:val="20"/>
                <w:szCs w:val="20"/>
              </w:rPr>
              <w:t xml:space="preserve">Medical Practitioners  </w:t>
            </w:r>
            <w:r w:rsidRPr="00C254D9">
              <w:rPr>
                <w:rFonts w:ascii="Arial Narrow" w:hAnsi="Arial Narrow"/>
                <w:sz w:val="20"/>
                <w:szCs w:val="20"/>
              </w:rPr>
              <w:fldChar w:fldCharType="begin">
                <w:ffData>
                  <w:name w:val="Check3"/>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 xml:space="preserve">Nurse practitioners  </w:t>
            </w:r>
            <w:r w:rsidRPr="00C254D9">
              <w:rPr>
                <w:rFonts w:ascii="Arial Narrow" w:hAnsi="Arial Narrow"/>
                <w:sz w:val="20"/>
                <w:szCs w:val="20"/>
              </w:rPr>
              <w:fldChar w:fldCharType="begin">
                <w:ffData>
                  <w:name w:val=""/>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Optometrists</w:t>
            </w:r>
            <w:r>
              <w:rPr>
                <w:rFonts w:ascii="Arial Narrow" w:hAnsi="Arial Narrow"/>
                <w:sz w:val="20"/>
                <w:szCs w:val="20"/>
              </w:rPr>
              <w:t xml:space="preserve">  </w:t>
            </w:r>
            <w:r w:rsidRPr="00C254D9">
              <w:rPr>
                <w:rFonts w:ascii="Arial Narrow" w:hAnsi="Arial Narrow"/>
                <w:sz w:val="20"/>
                <w:szCs w:val="20"/>
              </w:rPr>
              <w:fldChar w:fldCharType="begin">
                <w:ffData>
                  <w:name w:val="Check5"/>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Midwives</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151F61" w:rsidRPr="000751F1" w:rsidRDefault="00151F61" w:rsidP="00DF29DB">
            <w:pPr>
              <w:pStyle w:val="Tabletext"/>
              <w:rPr>
                <w:b/>
                <w:bCs/>
                <w:lang w:eastAsia="en-AU"/>
              </w:rPr>
            </w:pPr>
            <w:r w:rsidRPr="000751F1">
              <w:rPr>
                <w:b/>
                <w:bCs/>
                <w:lang w:eastAsia="en-AU"/>
              </w:rPr>
              <w:t>Severity</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1A1689" w:rsidRDefault="00151F61" w:rsidP="00DF29DB">
            <w:pPr>
              <w:pStyle w:val="Tabletext"/>
              <w:rPr>
                <w:lang w:eastAsia="en-AU"/>
              </w:rPr>
            </w:pPr>
            <w:r>
              <w:rPr>
                <w:lang w:eastAsia="en-AU"/>
              </w:rPr>
              <w:t>Moderate to severe spasticity</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151F61" w:rsidRPr="000751F1" w:rsidRDefault="00151F61" w:rsidP="00DF29DB">
            <w:pPr>
              <w:pStyle w:val="Tabletext"/>
              <w:rPr>
                <w:b/>
                <w:bCs/>
                <w:lang w:eastAsia="en-AU"/>
              </w:rPr>
            </w:pPr>
            <w:r w:rsidRPr="000751F1">
              <w:rPr>
                <w:b/>
                <w:bCs/>
                <w:lang w:eastAsia="en-AU"/>
              </w:rPr>
              <w:t>Condition</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836E6C" w:rsidRDefault="00151F61" w:rsidP="00DF29DB">
            <w:pPr>
              <w:pStyle w:val="Tabletext"/>
              <w:rPr>
                <w:lang w:eastAsia="en-AU"/>
              </w:rPr>
            </w:pPr>
            <w:r w:rsidRPr="00836E6C">
              <w:rPr>
                <w:strike/>
                <w:lang w:eastAsia="en-AU"/>
              </w:rPr>
              <w:t>Lower limb spasticity following stroke</w:t>
            </w:r>
            <w:r w:rsidR="00836E6C">
              <w:rPr>
                <w:lang w:eastAsia="en-AU"/>
              </w:rPr>
              <w:t xml:space="preserve"> </w:t>
            </w:r>
            <w:r w:rsidR="00836E6C" w:rsidRPr="00836E6C">
              <w:rPr>
                <w:i/>
                <w:lang w:eastAsia="en-AU"/>
              </w:rPr>
              <w:t>Spasticity of the lower limb following an acute event</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151F61" w:rsidRPr="000751F1" w:rsidRDefault="00151F61" w:rsidP="00DF29DB">
            <w:pPr>
              <w:pStyle w:val="Tabletext"/>
              <w:rPr>
                <w:b/>
                <w:bCs/>
                <w:lang w:eastAsia="en-AU"/>
              </w:rPr>
            </w:pPr>
            <w:r w:rsidRPr="000751F1">
              <w:rPr>
                <w:b/>
                <w:bCs/>
                <w:lang w:eastAsia="en-AU"/>
              </w:rPr>
              <w:t>PBS indication:</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A30A33" w:rsidRDefault="00151F61" w:rsidP="00DF29DB">
            <w:pPr>
              <w:pStyle w:val="Tabletext"/>
              <w:rPr>
                <w:lang w:eastAsia="en-AU"/>
              </w:rPr>
            </w:pPr>
            <w:r w:rsidRPr="001A1689">
              <w:rPr>
                <w:lang w:eastAsia="en-AU"/>
              </w:rPr>
              <w:t xml:space="preserve">Moderate to severe spasticity of the lower limb following </w:t>
            </w:r>
            <w:r w:rsidRPr="00836E6C">
              <w:rPr>
                <w:strike/>
                <w:lang w:eastAsia="en-AU"/>
              </w:rPr>
              <w:t>stroke</w:t>
            </w:r>
            <w:r w:rsidR="00836E6C">
              <w:rPr>
                <w:lang w:eastAsia="en-AU"/>
              </w:rPr>
              <w:t xml:space="preserve"> </w:t>
            </w:r>
            <w:r w:rsidR="00836E6C" w:rsidRPr="00836E6C">
              <w:rPr>
                <w:i/>
                <w:lang w:eastAsia="en-AU"/>
              </w:rPr>
              <w:t>an acute event</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151F61" w:rsidRPr="000751F1" w:rsidRDefault="00151F61" w:rsidP="00DF29DB">
            <w:pPr>
              <w:pStyle w:val="Tabletext"/>
              <w:rPr>
                <w:b/>
                <w:bCs/>
                <w:lang w:eastAsia="en-AU"/>
              </w:rPr>
            </w:pPr>
            <w:r w:rsidRPr="000751F1">
              <w:rPr>
                <w:b/>
                <w:bCs/>
                <w:lang w:eastAsia="en-AU"/>
              </w:rPr>
              <w:t>Treatment phase:</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A30A33" w:rsidRDefault="00151F61" w:rsidP="00DF29DB">
            <w:pPr>
              <w:pStyle w:val="Tabletext"/>
              <w:rPr>
                <w:lang w:eastAsia="en-AU"/>
              </w:rPr>
            </w:pPr>
            <w:r w:rsidRPr="001A1689">
              <w:rPr>
                <w:lang w:eastAsia="en-AU"/>
              </w:rPr>
              <w:t>Initial and continuing</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151F61" w:rsidRPr="000751F1" w:rsidRDefault="00151F61" w:rsidP="00DF29DB">
            <w:pPr>
              <w:pStyle w:val="Tabletext"/>
              <w:rPr>
                <w:b/>
                <w:bCs/>
                <w:lang w:eastAsia="en-AU"/>
              </w:rPr>
            </w:pPr>
            <w:r w:rsidRPr="000751F1">
              <w:rPr>
                <w:b/>
                <w:bCs/>
                <w:lang w:eastAsia="en-AU"/>
              </w:rPr>
              <w:t>Restriction:</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A30A33" w:rsidRDefault="00151F61" w:rsidP="00DF29DB">
            <w:pPr>
              <w:pStyle w:val="Tabletext"/>
              <w:rPr>
                <w:lang w:eastAsia="en-AU"/>
              </w:rPr>
            </w:pPr>
            <w:r>
              <w:fldChar w:fldCharType="begin">
                <w:ffData>
                  <w:name w:val="Check5"/>
                  <w:enabled/>
                  <w:calcOnExit w:val="0"/>
                  <w:checkBox>
                    <w:sizeAuto/>
                    <w:default w:val="1"/>
                  </w:checkBox>
                </w:ffData>
              </w:fldChar>
            </w:r>
            <w:r>
              <w:instrText xml:space="preserve"> FORMCHECKBOX </w:instrText>
            </w:r>
            <w:r w:rsidR="008C0876">
              <w:fldChar w:fldCharType="separate"/>
            </w:r>
            <w:r>
              <w:fldChar w:fldCharType="end"/>
            </w:r>
            <w:r w:rsidRPr="00B43577">
              <w:t>Streamlined</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151F61" w:rsidRPr="000751F1" w:rsidRDefault="00151F61" w:rsidP="00DF29DB">
            <w:pPr>
              <w:pStyle w:val="Tabletext"/>
              <w:rPr>
                <w:b/>
                <w:bCs/>
                <w:lang w:eastAsia="en-AU"/>
              </w:rPr>
            </w:pPr>
            <w:r w:rsidRPr="000751F1">
              <w:rPr>
                <w:b/>
                <w:bCs/>
                <w:lang w:eastAsia="en-AU"/>
              </w:rPr>
              <w:t>Clinical criteria:</w:t>
            </w:r>
          </w:p>
        </w:tc>
        <w:tc>
          <w:tcPr>
            <w:tcW w:w="4069" w:type="pct"/>
            <w:gridSpan w:val="5"/>
            <w:tcBorders>
              <w:top w:val="single" w:sz="4" w:space="0" w:color="auto"/>
              <w:left w:val="single" w:sz="4" w:space="0" w:color="auto"/>
              <w:bottom w:val="single" w:sz="4" w:space="0" w:color="auto"/>
              <w:right w:val="single" w:sz="4" w:space="0" w:color="auto"/>
            </w:tcBorders>
          </w:tcPr>
          <w:p w:rsidR="00151F61" w:rsidRDefault="00151F61" w:rsidP="00DF29DB">
            <w:pPr>
              <w:pStyle w:val="Tabletext"/>
              <w:rPr>
                <w:lang w:eastAsia="en-AU"/>
              </w:rPr>
            </w:pPr>
            <w:r>
              <w:rPr>
                <w:lang w:eastAsia="en-AU"/>
              </w:rPr>
              <w:t xml:space="preserve">The condition must </w:t>
            </w:r>
            <w:r w:rsidR="00836E6C">
              <w:rPr>
                <w:lang w:eastAsia="en-AU"/>
              </w:rPr>
              <w:t>b</w:t>
            </w:r>
            <w:r>
              <w:rPr>
                <w:lang w:eastAsia="en-AU"/>
              </w:rPr>
              <w:t>e moderate to severe spasticity of the lower limb</w:t>
            </w:r>
            <w:r w:rsidR="00836E6C">
              <w:rPr>
                <w:lang w:eastAsia="en-AU"/>
              </w:rPr>
              <w:t>/</w:t>
            </w:r>
            <w:r>
              <w:rPr>
                <w:lang w:eastAsia="en-AU"/>
              </w:rPr>
              <w:t xml:space="preserve">s following stroke, </w:t>
            </w:r>
            <w:r w:rsidR="00836E6C" w:rsidRPr="00836E6C">
              <w:rPr>
                <w:i/>
                <w:lang w:eastAsia="en-AU"/>
              </w:rPr>
              <w:t>or other acute neurological event</w:t>
            </w:r>
            <w:r w:rsidR="00836E6C">
              <w:rPr>
                <w:lang w:eastAsia="en-AU"/>
              </w:rPr>
              <w:t xml:space="preserve">, </w:t>
            </w:r>
            <w:r>
              <w:rPr>
                <w:lang w:eastAsia="en-AU"/>
              </w:rPr>
              <w:t>defined as a Modified Ashworth Scale rating of 3 or more.</w:t>
            </w:r>
          </w:p>
          <w:p w:rsidR="00151F61" w:rsidRDefault="00151F61" w:rsidP="00DF29DB">
            <w:pPr>
              <w:pStyle w:val="Tabletext"/>
              <w:rPr>
                <w:lang w:eastAsia="en-AU"/>
              </w:rPr>
            </w:pPr>
            <w:r>
              <w:rPr>
                <w:lang w:eastAsia="en-AU"/>
              </w:rPr>
              <w:t>AND</w:t>
            </w:r>
          </w:p>
          <w:p w:rsidR="00151F61" w:rsidRDefault="00151F61" w:rsidP="00DF29DB">
            <w:pPr>
              <w:pStyle w:val="Tabletext"/>
              <w:rPr>
                <w:lang w:eastAsia="en-AU"/>
              </w:rPr>
            </w:pPr>
            <w:r>
              <w:rPr>
                <w:lang w:eastAsia="en-AU"/>
              </w:rPr>
              <w:t>The treatment must only be used as second line therapy when standard management has failed OR</w:t>
            </w:r>
          </w:p>
          <w:p w:rsidR="00151F61" w:rsidRDefault="00151F61" w:rsidP="00DF29DB">
            <w:pPr>
              <w:pStyle w:val="Tabletext"/>
              <w:rPr>
                <w:lang w:eastAsia="en-AU"/>
              </w:rPr>
            </w:pPr>
            <w:r>
              <w:rPr>
                <w:lang w:eastAsia="en-AU"/>
              </w:rPr>
              <w:t>The treatment must only be used as an adjunct to physical therapy</w:t>
            </w:r>
          </w:p>
          <w:p w:rsidR="00151F61" w:rsidRDefault="00151F61" w:rsidP="00DF29DB">
            <w:pPr>
              <w:pStyle w:val="Tabletext"/>
              <w:rPr>
                <w:lang w:eastAsia="en-AU"/>
              </w:rPr>
            </w:pPr>
            <w:r>
              <w:rPr>
                <w:lang w:eastAsia="en-AU"/>
              </w:rPr>
              <w:t xml:space="preserve">AND </w:t>
            </w:r>
          </w:p>
          <w:p w:rsidR="00151F61" w:rsidRDefault="00151F61" w:rsidP="00DF29DB">
            <w:pPr>
              <w:pStyle w:val="Tabletext"/>
              <w:rPr>
                <w:lang w:eastAsia="en-AU"/>
              </w:rPr>
            </w:pPr>
            <w:r>
              <w:rPr>
                <w:lang w:eastAsia="en-AU"/>
              </w:rPr>
              <w:t>The treatment must not continue of the patient does not respond (defined as not having had a decrease in spasticity rating of at least 1, using the Modified Ashworth Scale, in at least one joint) after two treatment periods (with any botulinum toxin type A)</w:t>
            </w:r>
          </w:p>
          <w:p w:rsidR="00151F61" w:rsidRDefault="00151F61" w:rsidP="00DF29DB">
            <w:pPr>
              <w:pStyle w:val="Tabletext"/>
              <w:rPr>
                <w:lang w:eastAsia="en-AU"/>
              </w:rPr>
            </w:pPr>
            <w:r>
              <w:rPr>
                <w:lang w:eastAsia="en-AU"/>
              </w:rPr>
              <w:t>AND</w:t>
            </w:r>
          </w:p>
          <w:p w:rsidR="00151F61" w:rsidRDefault="00151F61" w:rsidP="00DF29DB">
            <w:pPr>
              <w:pStyle w:val="Tabletext"/>
              <w:rPr>
                <w:lang w:eastAsia="en-AU"/>
              </w:rPr>
            </w:pPr>
            <w:r>
              <w:rPr>
                <w:lang w:eastAsia="en-AU"/>
              </w:rPr>
              <w:lastRenderedPageBreak/>
              <w:t>Patient must not have established severe contractu</w:t>
            </w:r>
            <w:r w:rsidR="00836E6C">
              <w:rPr>
                <w:lang w:eastAsia="en-AU"/>
              </w:rPr>
              <w:t>re in the limb to be treated</w:t>
            </w:r>
          </w:p>
          <w:p w:rsidR="00836E6C" w:rsidRPr="00836E6C" w:rsidRDefault="00836E6C" w:rsidP="00DF29DB">
            <w:pPr>
              <w:pStyle w:val="Tabletext"/>
              <w:rPr>
                <w:i/>
                <w:lang w:eastAsia="en-AU"/>
              </w:rPr>
            </w:pPr>
            <w:r w:rsidRPr="00836E6C">
              <w:rPr>
                <w:i/>
                <w:lang w:eastAsia="en-AU"/>
              </w:rPr>
              <w:t xml:space="preserve">AND </w:t>
            </w:r>
          </w:p>
          <w:p w:rsidR="00836E6C" w:rsidRPr="00A30A33" w:rsidRDefault="00836E6C" w:rsidP="00DF29DB">
            <w:pPr>
              <w:pStyle w:val="Tabletext"/>
              <w:rPr>
                <w:lang w:eastAsia="en-AU"/>
              </w:rPr>
            </w:pPr>
            <w:r w:rsidRPr="00836E6C">
              <w:rPr>
                <w:i/>
                <w:szCs w:val="20"/>
              </w:rPr>
              <w:t>The treatment must not exceed a maximum of 4 treatment periods (with any botulinum toxin type A) per lower limb in the first year of treatment, and 2 treatment periods (with any botulinum toxin type A) per lower limb each year thereafter.</w:t>
            </w:r>
          </w:p>
        </w:tc>
      </w:tr>
      <w:tr w:rsidR="00836E6C"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836E6C" w:rsidRPr="000751F1" w:rsidRDefault="00836E6C" w:rsidP="008A5EEA">
            <w:pPr>
              <w:pStyle w:val="Tabletext"/>
              <w:rPr>
                <w:b/>
                <w:bCs/>
                <w:lang w:eastAsia="en-AU"/>
              </w:rPr>
            </w:pPr>
            <w:r w:rsidRPr="000751F1">
              <w:rPr>
                <w:b/>
                <w:bCs/>
                <w:lang w:eastAsia="en-AU"/>
              </w:rPr>
              <w:lastRenderedPageBreak/>
              <w:t>Population criteria:</w:t>
            </w:r>
          </w:p>
        </w:tc>
        <w:tc>
          <w:tcPr>
            <w:tcW w:w="4069" w:type="pct"/>
            <w:gridSpan w:val="5"/>
            <w:tcBorders>
              <w:top w:val="single" w:sz="4" w:space="0" w:color="auto"/>
              <w:left w:val="single" w:sz="4" w:space="0" w:color="auto"/>
              <w:bottom w:val="single" w:sz="4" w:space="0" w:color="auto"/>
              <w:right w:val="single" w:sz="4" w:space="0" w:color="auto"/>
            </w:tcBorders>
            <w:vAlign w:val="center"/>
          </w:tcPr>
          <w:p w:rsidR="00836E6C" w:rsidRPr="00A30A33" w:rsidRDefault="00836E6C" w:rsidP="008A5EEA">
            <w:pPr>
              <w:pStyle w:val="Tabletext"/>
              <w:rPr>
                <w:color w:val="000000"/>
                <w:szCs w:val="24"/>
                <w:lang w:eastAsia="en-AU"/>
              </w:rPr>
            </w:pPr>
            <w:r w:rsidRPr="00F03C8E">
              <w:rPr>
                <w:lang w:eastAsia="en-AU"/>
              </w:rPr>
              <w:t>Patient</w:t>
            </w:r>
            <w:r w:rsidRPr="00F03C8E">
              <w:t xml:space="preserve"> must be aged 18 years or older</w:t>
            </w:r>
          </w:p>
        </w:tc>
      </w:tr>
      <w:tr w:rsidR="00836E6C"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836E6C" w:rsidRPr="000751F1" w:rsidRDefault="00836E6C" w:rsidP="008A5EEA">
            <w:pPr>
              <w:pStyle w:val="Tabletext"/>
              <w:rPr>
                <w:b/>
                <w:bCs/>
                <w:lang w:eastAsia="en-AU"/>
              </w:rPr>
            </w:pPr>
            <w:r w:rsidRPr="000751F1">
              <w:rPr>
                <w:b/>
                <w:bCs/>
                <w:lang w:eastAsia="en-AU"/>
              </w:rPr>
              <w:t>Treatment criteria:</w:t>
            </w:r>
          </w:p>
        </w:tc>
        <w:tc>
          <w:tcPr>
            <w:tcW w:w="4069" w:type="pct"/>
            <w:gridSpan w:val="5"/>
            <w:tcBorders>
              <w:top w:val="single" w:sz="4" w:space="0" w:color="auto"/>
              <w:left w:val="single" w:sz="4" w:space="0" w:color="auto"/>
              <w:bottom w:val="single" w:sz="4" w:space="0" w:color="auto"/>
              <w:right w:val="single" w:sz="4" w:space="0" w:color="auto"/>
            </w:tcBorders>
          </w:tcPr>
          <w:p w:rsidR="00836E6C" w:rsidRDefault="00836E6C" w:rsidP="008A5EEA">
            <w:pPr>
              <w:pStyle w:val="Tabletext"/>
            </w:pPr>
            <w:r>
              <w:t>Must be treated by a neurologist; OR</w:t>
            </w:r>
          </w:p>
          <w:p w:rsidR="00836E6C" w:rsidRDefault="00836E6C" w:rsidP="008A5EEA">
            <w:pPr>
              <w:pStyle w:val="Tabletext"/>
            </w:pPr>
            <w:r>
              <w:t>Must be treated by an orthopaedic surgeon; OR</w:t>
            </w:r>
          </w:p>
          <w:p w:rsidR="00836E6C" w:rsidRDefault="00836E6C" w:rsidP="008A5EEA">
            <w:pPr>
              <w:pStyle w:val="Tabletext"/>
            </w:pPr>
            <w:r>
              <w:t>Must be treated by a rehabilitation specialist; OR</w:t>
            </w:r>
          </w:p>
          <w:p w:rsidR="00836E6C" w:rsidRDefault="00836E6C" w:rsidP="008A5EEA">
            <w:pPr>
              <w:pStyle w:val="Tabletext"/>
            </w:pPr>
            <w:r>
              <w:t>Must be treated by a plastic surgeon; OR</w:t>
            </w:r>
          </w:p>
          <w:p w:rsidR="00836E6C" w:rsidRDefault="00836E6C" w:rsidP="008A5EEA">
            <w:pPr>
              <w:pStyle w:val="Tabletext"/>
            </w:pPr>
            <w:r>
              <w:t>Must be treated by a geriatrician</w:t>
            </w:r>
          </w:p>
          <w:p w:rsidR="00836E6C" w:rsidRPr="00A30A33" w:rsidRDefault="00836E6C" w:rsidP="008A5EEA">
            <w:pPr>
              <w:pStyle w:val="Tabletext"/>
              <w:rPr>
                <w:lang w:eastAsia="en-AU"/>
              </w:rPr>
            </w:pPr>
            <w:r>
              <w:t>Standard management includes physiotherapy and/or oral spasticity agents.</w:t>
            </w:r>
          </w:p>
        </w:tc>
      </w:tr>
      <w:tr w:rsidR="00836E6C" w:rsidRPr="00C254D9" w:rsidTr="00836E6C">
        <w:tblPrEx>
          <w:tblCellMar>
            <w:left w:w="108" w:type="dxa"/>
            <w:right w:w="108" w:type="dxa"/>
          </w:tblCellMar>
        </w:tblPrEx>
        <w:trPr>
          <w:cantSplit/>
          <w:trHeight w:val="56"/>
        </w:trPr>
        <w:tc>
          <w:tcPr>
            <w:tcW w:w="931" w:type="pct"/>
            <w:tcBorders>
              <w:top w:val="single" w:sz="4" w:space="0" w:color="auto"/>
              <w:left w:val="single" w:sz="4" w:space="0" w:color="auto"/>
              <w:bottom w:val="single" w:sz="4" w:space="0" w:color="auto"/>
              <w:right w:val="single" w:sz="4" w:space="0" w:color="auto"/>
            </w:tcBorders>
            <w:tcMar>
              <w:left w:w="28" w:type="dxa"/>
              <w:right w:w="28" w:type="dxa"/>
            </w:tcMar>
          </w:tcPr>
          <w:p w:rsidR="00836E6C" w:rsidRPr="00836E6C" w:rsidRDefault="00836E6C" w:rsidP="008A5EEA">
            <w:pPr>
              <w:rPr>
                <w:rFonts w:ascii="Arial Narrow" w:hAnsi="Arial Narrow"/>
                <w:b/>
                <w:i/>
                <w:sz w:val="20"/>
                <w:szCs w:val="20"/>
              </w:rPr>
            </w:pPr>
            <w:r w:rsidRPr="00836E6C">
              <w:rPr>
                <w:rFonts w:ascii="Arial Narrow" w:hAnsi="Arial Narrow"/>
                <w:b/>
                <w:i/>
                <w:sz w:val="20"/>
                <w:szCs w:val="20"/>
              </w:rPr>
              <w:t>Prescriber Instructions:</w:t>
            </w:r>
          </w:p>
        </w:tc>
        <w:tc>
          <w:tcPr>
            <w:tcW w:w="406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836E6C" w:rsidRPr="00836E6C" w:rsidRDefault="00836E6C" w:rsidP="008A5EEA">
            <w:pPr>
              <w:rPr>
                <w:rFonts w:ascii="Arial Narrow" w:hAnsi="Arial Narrow"/>
                <w:i/>
                <w:sz w:val="20"/>
                <w:szCs w:val="20"/>
              </w:rPr>
            </w:pPr>
            <w:r w:rsidRPr="00836E6C">
              <w:rPr>
                <w:rFonts w:ascii="Arial Narrow" w:hAnsi="Arial Narrow"/>
                <w:i/>
                <w:sz w:val="20"/>
                <w:szCs w:val="20"/>
              </w:rPr>
              <w:t>Standard management includes physiotherapy and/or oral spasticity agents.</w:t>
            </w:r>
          </w:p>
        </w:tc>
      </w:tr>
      <w:tr w:rsidR="00836E6C" w:rsidRPr="00836E6C" w:rsidTr="00836E6C">
        <w:tblPrEx>
          <w:tblCellMar>
            <w:left w:w="108" w:type="dxa"/>
            <w:right w:w="108" w:type="dxa"/>
          </w:tblCellMar>
        </w:tblPrEx>
        <w:trPr>
          <w:cantSplit/>
          <w:trHeight w:val="360"/>
        </w:trPr>
        <w:tc>
          <w:tcPr>
            <w:tcW w:w="931" w:type="pct"/>
            <w:tcBorders>
              <w:top w:val="single" w:sz="4" w:space="0" w:color="auto"/>
              <w:left w:val="single" w:sz="4" w:space="0" w:color="auto"/>
              <w:bottom w:val="single" w:sz="4" w:space="0" w:color="auto"/>
              <w:right w:val="single" w:sz="4" w:space="0" w:color="auto"/>
            </w:tcBorders>
            <w:tcMar>
              <w:left w:w="28" w:type="dxa"/>
              <w:right w:w="28" w:type="dxa"/>
            </w:tcMar>
          </w:tcPr>
          <w:p w:rsidR="00836E6C" w:rsidRPr="00836E6C" w:rsidRDefault="00836E6C" w:rsidP="008A5EEA">
            <w:pPr>
              <w:rPr>
                <w:rFonts w:ascii="Arial Narrow" w:hAnsi="Arial Narrow"/>
                <w:b/>
                <w:i/>
                <w:sz w:val="20"/>
                <w:szCs w:val="20"/>
              </w:rPr>
            </w:pPr>
            <w:r w:rsidRPr="00836E6C">
              <w:rPr>
                <w:rFonts w:ascii="Arial Narrow" w:hAnsi="Arial Narrow"/>
                <w:b/>
                <w:i/>
                <w:sz w:val="20"/>
                <w:szCs w:val="20"/>
              </w:rPr>
              <w:t>Administrative Note:</w:t>
            </w:r>
          </w:p>
          <w:p w:rsidR="00836E6C" w:rsidRPr="00836E6C" w:rsidRDefault="00836E6C" w:rsidP="008A5EEA">
            <w:pPr>
              <w:rPr>
                <w:rFonts w:ascii="Arial Narrow" w:hAnsi="Arial Narrow"/>
                <w:i/>
                <w:sz w:val="20"/>
                <w:szCs w:val="20"/>
              </w:rPr>
            </w:pPr>
          </w:p>
        </w:tc>
        <w:tc>
          <w:tcPr>
            <w:tcW w:w="406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836E6C" w:rsidRPr="00836E6C" w:rsidRDefault="00836E6C" w:rsidP="008A5EEA">
            <w:pPr>
              <w:rPr>
                <w:rFonts w:ascii="Arial Narrow" w:hAnsi="Arial Narrow"/>
                <w:i/>
                <w:color w:val="222222"/>
                <w:sz w:val="20"/>
                <w:szCs w:val="20"/>
                <w:shd w:val="clear" w:color="auto" w:fill="FFFFFF"/>
              </w:rPr>
            </w:pPr>
            <w:r w:rsidRPr="00836E6C">
              <w:rPr>
                <w:rFonts w:ascii="Arial Narrow" w:hAnsi="Arial Narrow"/>
                <w:i/>
                <w:color w:val="222222"/>
                <w:sz w:val="20"/>
                <w:szCs w:val="20"/>
                <w:shd w:val="clear" w:color="auto" w:fill="FFFFFF"/>
              </w:rPr>
              <w:t>The units used to express the potency of botulinum toxin preparations currently available for PBS subsidy are not equivalent.</w:t>
            </w:r>
          </w:p>
          <w:p w:rsidR="00836E6C" w:rsidRPr="00836E6C" w:rsidRDefault="00836E6C" w:rsidP="008A5EEA">
            <w:pPr>
              <w:rPr>
                <w:rFonts w:ascii="Arial Narrow" w:hAnsi="Arial Narrow"/>
                <w:i/>
                <w:sz w:val="20"/>
                <w:szCs w:val="20"/>
              </w:rPr>
            </w:pPr>
            <w:r w:rsidRPr="00836E6C">
              <w:rPr>
                <w:rFonts w:ascii="Arial Narrow" w:hAnsi="Arial Narrow"/>
                <w:i/>
                <w:color w:val="222222"/>
                <w:sz w:val="20"/>
                <w:szCs w:val="20"/>
                <w:shd w:val="clear" w:color="auto" w:fill="FFFFFF"/>
              </w:rPr>
              <w:t>Special Pricing Arrangement apply.</w:t>
            </w:r>
          </w:p>
        </w:tc>
      </w:tr>
      <w:tr w:rsidR="00836E6C" w:rsidRPr="00836E6C" w:rsidTr="00836E6C">
        <w:tblPrEx>
          <w:tblCellMar>
            <w:left w:w="108" w:type="dxa"/>
            <w:right w:w="108" w:type="dxa"/>
          </w:tblCellMar>
        </w:tblPrEx>
        <w:trPr>
          <w:cantSplit/>
          <w:trHeight w:val="360"/>
        </w:trPr>
        <w:tc>
          <w:tcPr>
            <w:tcW w:w="931" w:type="pct"/>
            <w:tcBorders>
              <w:top w:val="single" w:sz="4" w:space="0" w:color="auto"/>
              <w:left w:val="single" w:sz="4" w:space="0" w:color="auto"/>
              <w:bottom w:val="single" w:sz="4" w:space="0" w:color="auto"/>
              <w:right w:val="single" w:sz="4" w:space="0" w:color="auto"/>
            </w:tcBorders>
            <w:tcMar>
              <w:left w:w="28" w:type="dxa"/>
              <w:right w:w="28" w:type="dxa"/>
            </w:tcMar>
          </w:tcPr>
          <w:p w:rsidR="00836E6C" w:rsidRPr="00836E6C" w:rsidRDefault="00836E6C" w:rsidP="008A5EEA">
            <w:pPr>
              <w:rPr>
                <w:rFonts w:ascii="Arial Narrow" w:hAnsi="Arial Narrow"/>
                <w:b/>
                <w:i/>
                <w:sz w:val="20"/>
                <w:szCs w:val="20"/>
              </w:rPr>
            </w:pPr>
            <w:r w:rsidRPr="00836E6C">
              <w:rPr>
                <w:rFonts w:ascii="Arial Narrow" w:hAnsi="Arial Narrow"/>
                <w:b/>
                <w:i/>
                <w:sz w:val="20"/>
                <w:szCs w:val="20"/>
              </w:rPr>
              <w:t>Administrative Advice:</w:t>
            </w:r>
          </w:p>
        </w:tc>
        <w:tc>
          <w:tcPr>
            <w:tcW w:w="406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836E6C" w:rsidRPr="00836E6C" w:rsidRDefault="00836E6C" w:rsidP="008A5EEA">
            <w:pPr>
              <w:rPr>
                <w:rFonts w:ascii="Arial Narrow" w:hAnsi="Arial Narrow"/>
                <w:i/>
                <w:color w:val="222222"/>
                <w:sz w:val="20"/>
                <w:szCs w:val="20"/>
                <w:shd w:val="clear" w:color="auto" w:fill="FFFFFF"/>
              </w:rPr>
            </w:pPr>
            <w:r w:rsidRPr="00836E6C">
              <w:rPr>
                <w:rFonts w:ascii="Arial Narrow" w:hAnsi="Arial Narrow" w:cs="Calibri"/>
                <w:i/>
                <w:sz w:val="20"/>
                <w:szCs w:val="20"/>
                <w:lang w:val="en"/>
              </w:rPr>
              <w:t>An acute event may be a clinical or external event that leads to upper motor neuron lesions resulting in spasticity for example, these may be stroke, traumatic brain injury, spinal cord injury, infection or hypoxia.</w:t>
            </w:r>
          </w:p>
        </w:tc>
      </w:tr>
      <w:tr w:rsidR="00151F61" w:rsidRPr="00A30A33" w:rsidTr="00836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151F61" w:rsidRPr="000751F1" w:rsidRDefault="00151F61" w:rsidP="00DF29DB">
            <w:pPr>
              <w:pStyle w:val="Tabletext"/>
              <w:rPr>
                <w:b/>
                <w:bCs/>
                <w:lang w:eastAsia="en-AU"/>
              </w:rPr>
            </w:pPr>
            <w:r w:rsidRPr="000751F1">
              <w:rPr>
                <w:b/>
                <w:bCs/>
                <w:lang w:eastAsia="en-AU"/>
              </w:rPr>
              <w:t>Caution</w:t>
            </w:r>
            <w:r w:rsidR="00836E6C">
              <w:rPr>
                <w:b/>
                <w:bCs/>
                <w:lang w:eastAsia="en-AU"/>
              </w:rPr>
              <w:t>s</w:t>
            </w:r>
            <w:r w:rsidRPr="000751F1">
              <w:rPr>
                <w:b/>
                <w:bCs/>
                <w:lang w:eastAsia="en-AU"/>
              </w:rPr>
              <w:t>:</w:t>
            </w:r>
          </w:p>
        </w:tc>
        <w:tc>
          <w:tcPr>
            <w:tcW w:w="4069" w:type="pct"/>
            <w:gridSpan w:val="5"/>
            <w:tcBorders>
              <w:top w:val="single" w:sz="4" w:space="0" w:color="auto"/>
              <w:left w:val="single" w:sz="4" w:space="0" w:color="auto"/>
              <w:bottom w:val="single" w:sz="4" w:space="0" w:color="auto"/>
              <w:right w:val="single" w:sz="4" w:space="0" w:color="auto"/>
            </w:tcBorders>
          </w:tcPr>
          <w:p w:rsidR="00151F61" w:rsidRPr="00A30A33" w:rsidRDefault="00151F61" w:rsidP="00DF29DB">
            <w:pPr>
              <w:pStyle w:val="Tabletext"/>
              <w:rPr>
                <w:color w:val="000000"/>
                <w:szCs w:val="24"/>
                <w:lang w:eastAsia="en-AU"/>
              </w:rPr>
            </w:pPr>
            <w:r>
              <w:t>Contraindications to treatment include known sensitivity to botulinum toxin</w:t>
            </w:r>
          </w:p>
        </w:tc>
      </w:tr>
    </w:tbl>
    <w:p w:rsidR="00083561" w:rsidRDefault="0063246F" w:rsidP="00151F61">
      <w:pPr>
        <w:pStyle w:val="TableFooter"/>
      </w:pPr>
      <w:r>
        <w:t xml:space="preserve">* DPMQ based on published price of </w:t>
      </w:r>
      <w:r w:rsidR="00083561">
        <w:t>Botox</w:t>
      </w:r>
      <w:r w:rsidR="00083561" w:rsidRPr="0063246F">
        <w:rPr>
          <w:vertAlign w:val="superscript"/>
        </w:rPr>
        <w:t>®</w:t>
      </w:r>
    </w:p>
    <w:p w:rsidR="0063246F" w:rsidRDefault="00083561" w:rsidP="00151F61">
      <w:pPr>
        <w:pStyle w:val="TableFooter"/>
      </w:pPr>
      <w:r>
        <w:t xml:space="preserve">Source: Table 1.4.2.1, pp34-35 </w:t>
      </w:r>
      <w:r w:rsidRPr="00D13A3E">
        <w:t xml:space="preserve">of the </w:t>
      </w:r>
      <w:r>
        <w:t xml:space="preserve">resubmission. </w:t>
      </w:r>
    </w:p>
    <w:p w:rsidR="00151F61" w:rsidRPr="00882085" w:rsidRDefault="00151F61" w:rsidP="00151F61"/>
    <w:p w:rsidR="00151F61" w:rsidRPr="00867AC2" w:rsidRDefault="00151F61" w:rsidP="0036686A">
      <w:pPr>
        <w:pStyle w:val="ListParagraph"/>
        <w:numPr>
          <w:ilvl w:val="1"/>
          <w:numId w:val="1"/>
        </w:numPr>
        <w:ind w:left="720"/>
      </w:pPr>
      <w:r w:rsidRPr="00867AC2">
        <w:rPr>
          <w:iCs/>
        </w:rPr>
        <w:t xml:space="preserve">The </w:t>
      </w:r>
      <w:r w:rsidR="00372A21" w:rsidRPr="00867AC2">
        <w:rPr>
          <w:iCs/>
        </w:rPr>
        <w:t>sponsor</w:t>
      </w:r>
      <w:r w:rsidRPr="00867AC2">
        <w:rPr>
          <w:iCs/>
        </w:rPr>
        <w:t xml:space="preserve"> again requested PBS listing for Dysport® 300U or 500U vials, with a maximum quantity to provide the maximum recommended dose of 1500U per treatment session and no repeats (treatment sessions are no sooner than every 12 weeks).</w:t>
      </w:r>
      <w:r w:rsidR="007D35A2">
        <w:rPr>
          <w:iCs/>
        </w:rPr>
        <w:t xml:space="preserve"> </w:t>
      </w:r>
    </w:p>
    <w:p w:rsidR="00151F61" w:rsidRPr="00867AC2" w:rsidRDefault="00151F61" w:rsidP="0036686A">
      <w:pPr>
        <w:pStyle w:val="ListParagraph"/>
        <w:numPr>
          <w:ilvl w:val="1"/>
          <w:numId w:val="1"/>
        </w:numPr>
        <w:ind w:left="720"/>
      </w:pPr>
      <w:r w:rsidRPr="00867AC2">
        <w:t>The requested price for 1500U of Dysport® (</w:t>
      </w:r>
      <w:r w:rsidR="00FF1017" w:rsidRPr="00867AC2">
        <w:t>d</w:t>
      </w:r>
      <w:r w:rsidR="00525908" w:rsidRPr="00867AC2">
        <w:t xml:space="preserve">ispensed </w:t>
      </w:r>
      <w:r w:rsidR="00FF1017" w:rsidRPr="00867AC2">
        <w:t>p</w:t>
      </w:r>
      <w:r w:rsidR="00525908" w:rsidRPr="00867AC2">
        <w:t xml:space="preserve">rice for </w:t>
      </w:r>
      <w:r w:rsidR="00FF1017" w:rsidRPr="00867AC2">
        <w:t>m</w:t>
      </w:r>
      <w:r w:rsidR="00525908" w:rsidRPr="00867AC2">
        <w:t xml:space="preserve">aximum </w:t>
      </w:r>
      <w:r w:rsidR="00FF1017" w:rsidRPr="00867AC2">
        <w:t>q</w:t>
      </w:r>
      <w:r w:rsidR="00525908" w:rsidRPr="00867AC2">
        <w:t>uantity,</w:t>
      </w:r>
      <w:r w:rsidR="00DF5926" w:rsidRPr="00867AC2">
        <w:t xml:space="preserve"> </w:t>
      </w:r>
      <w:r w:rsidRPr="00867AC2">
        <w:t>DPMQ) increased to $</w:t>
      </w:r>
      <w:r w:rsidR="00D73CF2">
        <w:rPr>
          <w:noProof/>
          <w:color w:val="000000"/>
          <w:highlight w:val="black"/>
        </w:rPr>
        <w:t>''''''''''''''''</w:t>
      </w:r>
      <w:r w:rsidR="00A35B1E" w:rsidRPr="00867AC2">
        <w:t xml:space="preserve"> </w:t>
      </w:r>
      <w:r w:rsidR="00E725D2" w:rsidRPr="00867AC2">
        <w:t xml:space="preserve">for 300U vials </w:t>
      </w:r>
      <w:r w:rsidR="00A35B1E" w:rsidRPr="00867AC2">
        <w:t>(</w:t>
      </w:r>
      <w:r w:rsidR="00FF1017" w:rsidRPr="00867AC2">
        <w:t>approved ex-manufacturer price (</w:t>
      </w:r>
      <w:r w:rsidR="00A35B1E" w:rsidRPr="00867AC2">
        <w:t>AEMP</w:t>
      </w:r>
      <w:r w:rsidR="00FF1017" w:rsidRPr="00867AC2">
        <w:t>)</w:t>
      </w:r>
      <w:r w:rsidR="00A35B1E" w:rsidRPr="00867AC2">
        <w:t xml:space="preserve"> </w:t>
      </w:r>
      <w:r w:rsidR="00E725D2" w:rsidRPr="00867AC2">
        <w:t xml:space="preserve">per </w:t>
      </w:r>
      <w:r w:rsidR="00A35B1E" w:rsidRPr="00867AC2">
        <w:t>300U</w:t>
      </w:r>
      <w:r w:rsidR="00E725D2" w:rsidRPr="00867AC2">
        <w:t xml:space="preserve"> vial</w:t>
      </w:r>
      <w:r w:rsidR="00FF1017" w:rsidRPr="00867AC2">
        <w:t xml:space="preserve"> </w:t>
      </w:r>
      <w:r w:rsidR="00A35B1E" w:rsidRPr="00867AC2">
        <w:t>=</w:t>
      </w:r>
      <w:r w:rsidR="00FF1017" w:rsidRPr="00867AC2">
        <w:t xml:space="preserve"> </w:t>
      </w:r>
      <w:r w:rsidR="00A35B1E" w:rsidRPr="00867AC2">
        <w:t>$</w:t>
      </w:r>
      <w:r w:rsidR="00D73CF2">
        <w:rPr>
          <w:noProof/>
          <w:color w:val="000000"/>
          <w:highlight w:val="black"/>
        </w:rPr>
        <w:t>''''''''''''</w:t>
      </w:r>
      <w:r w:rsidR="00E725D2" w:rsidRPr="00867AC2">
        <w:t>) and $</w:t>
      </w:r>
      <w:r w:rsidR="00D73CF2">
        <w:rPr>
          <w:noProof/>
          <w:color w:val="000000"/>
          <w:highlight w:val="black"/>
        </w:rPr>
        <w:t>'''''''''''''''''</w:t>
      </w:r>
      <w:r w:rsidR="00E725D2" w:rsidRPr="00867AC2">
        <w:t xml:space="preserve"> for 500U vials (AEMP per</w:t>
      </w:r>
      <w:r w:rsidR="00A35B1E" w:rsidRPr="00867AC2">
        <w:t xml:space="preserve"> 500U</w:t>
      </w:r>
      <w:r w:rsidR="00E725D2" w:rsidRPr="00867AC2">
        <w:t xml:space="preserve"> vial</w:t>
      </w:r>
      <w:r w:rsidR="00FF1017" w:rsidRPr="00867AC2">
        <w:t xml:space="preserve"> </w:t>
      </w:r>
      <w:r w:rsidR="00A35B1E" w:rsidRPr="00867AC2">
        <w:t>=</w:t>
      </w:r>
      <w:r w:rsidR="00FF1017" w:rsidRPr="00867AC2">
        <w:t xml:space="preserve"> </w:t>
      </w:r>
      <w:r w:rsidR="00A35B1E" w:rsidRPr="00867AC2">
        <w:t>$</w:t>
      </w:r>
      <w:r w:rsidR="00D73CF2">
        <w:rPr>
          <w:noProof/>
          <w:color w:val="000000"/>
          <w:highlight w:val="black"/>
        </w:rPr>
        <w:t>'''''''''''''</w:t>
      </w:r>
      <w:r w:rsidR="00A35B1E" w:rsidRPr="00867AC2">
        <w:t>)</w:t>
      </w:r>
      <w:r w:rsidRPr="00867AC2">
        <w:t>, from $</w:t>
      </w:r>
      <w:r w:rsidR="00D73CF2">
        <w:rPr>
          <w:noProof/>
          <w:color w:val="000000"/>
          <w:highlight w:val="black"/>
        </w:rPr>
        <w:t>''''''''''''''''</w:t>
      </w:r>
      <w:r w:rsidR="00E725D2" w:rsidRPr="00867AC2">
        <w:t xml:space="preserve"> for 300U vials</w:t>
      </w:r>
      <w:r w:rsidR="00A35B1E" w:rsidRPr="00867AC2">
        <w:t xml:space="preserve"> (AEMP</w:t>
      </w:r>
      <w:r w:rsidR="00E725D2" w:rsidRPr="00867AC2">
        <w:t xml:space="preserve"> per </w:t>
      </w:r>
      <w:r w:rsidR="00A35B1E" w:rsidRPr="00867AC2">
        <w:t>300U</w:t>
      </w:r>
      <w:r w:rsidR="00E725D2" w:rsidRPr="00867AC2">
        <w:t xml:space="preserve"> vial</w:t>
      </w:r>
      <w:r w:rsidR="00FF1017" w:rsidRPr="00867AC2">
        <w:t xml:space="preserve"> </w:t>
      </w:r>
      <w:r w:rsidR="00A35B1E" w:rsidRPr="00867AC2">
        <w:t>=</w:t>
      </w:r>
      <w:r w:rsidR="00FF1017" w:rsidRPr="00867AC2">
        <w:t xml:space="preserve"> </w:t>
      </w:r>
      <w:r w:rsidR="00A35B1E" w:rsidRPr="00867AC2">
        <w:t>$</w:t>
      </w:r>
      <w:r w:rsidR="00D73CF2">
        <w:rPr>
          <w:noProof/>
          <w:color w:val="000000"/>
          <w:highlight w:val="black"/>
        </w:rPr>
        <w:t>'''''''''''''</w:t>
      </w:r>
      <w:r w:rsidR="00E725D2" w:rsidRPr="00867AC2">
        <w:t>) and $</w:t>
      </w:r>
      <w:r w:rsidR="00D73CF2">
        <w:rPr>
          <w:noProof/>
          <w:color w:val="000000"/>
          <w:highlight w:val="black"/>
        </w:rPr>
        <w:t>''''''''''''''''</w:t>
      </w:r>
      <w:r w:rsidR="00E725D2" w:rsidRPr="00867AC2">
        <w:t xml:space="preserve"> for 500U vials (AEMP per</w:t>
      </w:r>
      <w:r w:rsidR="00A35B1E" w:rsidRPr="00867AC2">
        <w:t xml:space="preserve"> 500U</w:t>
      </w:r>
      <w:r w:rsidR="00E725D2" w:rsidRPr="00867AC2">
        <w:t xml:space="preserve"> vial</w:t>
      </w:r>
      <w:r w:rsidR="00FF1017" w:rsidRPr="00867AC2">
        <w:t xml:space="preserve"> </w:t>
      </w:r>
      <w:r w:rsidR="00A35B1E" w:rsidRPr="00867AC2">
        <w:t>=</w:t>
      </w:r>
      <w:r w:rsidR="00FF1017" w:rsidRPr="00867AC2">
        <w:t xml:space="preserve"> </w:t>
      </w:r>
      <w:r w:rsidR="00A35B1E" w:rsidRPr="00867AC2">
        <w:t>$</w:t>
      </w:r>
      <w:r w:rsidR="00D73CF2">
        <w:rPr>
          <w:noProof/>
          <w:color w:val="000000"/>
          <w:highlight w:val="black"/>
        </w:rPr>
        <w:t>'''''''''''''</w:t>
      </w:r>
      <w:r w:rsidR="00A35B1E" w:rsidRPr="00867AC2">
        <w:t>)</w:t>
      </w:r>
      <w:r w:rsidRPr="00867AC2">
        <w:t xml:space="preserve"> in the previous submission.</w:t>
      </w:r>
      <w:r w:rsidRPr="00867AC2">
        <w:rPr>
          <w:iCs/>
        </w:rPr>
        <w:t xml:space="preserve"> </w:t>
      </w:r>
      <w:r w:rsidR="000762FA" w:rsidRPr="00867AC2">
        <w:rPr>
          <w:iCs/>
        </w:rPr>
        <w:t xml:space="preserve">The increase in price was based on assumed dose relativities, which were not supported by the evidence. </w:t>
      </w:r>
      <w:r w:rsidRPr="00867AC2">
        <w:rPr>
          <w:iCs/>
        </w:rPr>
        <w:t>The resubmission stated that the requested price was a “placeholder price” because the recommended price of Botox® for LLFS was unknown.</w:t>
      </w:r>
    </w:p>
    <w:p w:rsidR="00091912" w:rsidRPr="00867AC2" w:rsidRDefault="00091912" w:rsidP="0036686A">
      <w:pPr>
        <w:pStyle w:val="ListParagraph"/>
        <w:numPr>
          <w:ilvl w:val="1"/>
          <w:numId w:val="1"/>
        </w:numPr>
        <w:ind w:left="720"/>
      </w:pPr>
      <w:r w:rsidRPr="00867AC2">
        <w:rPr>
          <w:iCs/>
        </w:rPr>
        <w:t>The requested AEMP</w:t>
      </w:r>
      <w:r w:rsidR="00E725D2" w:rsidRPr="00867AC2">
        <w:rPr>
          <w:iCs/>
        </w:rPr>
        <w:t>s</w:t>
      </w:r>
      <w:r w:rsidRPr="00867AC2">
        <w:rPr>
          <w:iCs/>
        </w:rPr>
        <w:t xml:space="preserve"> for Dysport® 300U and 500U vials presented in the resubmission were not consistent with the requested price presented in the PB11 form, which were based on the current AEMP</w:t>
      </w:r>
      <w:r w:rsidR="00E725D2" w:rsidRPr="00867AC2">
        <w:rPr>
          <w:iCs/>
        </w:rPr>
        <w:t>s</w:t>
      </w:r>
      <w:r w:rsidRPr="00867AC2">
        <w:rPr>
          <w:iCs/>
        </w:rPr>
        <w:t xml:space="preserve"> </w:t>
      </w:r>
      <w:r w:rsidR="00E725D2" w:rsidRPr="00867AC2">
        <w:rPr>
          <w:iCs/>
        </w:rPr>
        <w:t>(</w:t>
      </w:r>
      <w:r w:rsidRPr="00867AC2">
        <w:rPr>
          <w:iCs/>
        </w:rPr>
        <w:t>per vial</w:t>
      </w:r>
      <w:r w:rsidR="00E725D2" w:rsidRPr="00867AC2">
        <w:rPr>
          <w:iCs/>
        </w:rPr>
        <w:t>)</w:t>
      </w:r>
      <w:r w:rsidRPr="00867AC2">
        <w:rPr>
          <w:iCs/>
        </w:rPr>
        <w:t xml:space="preserve"> for upper limb spasticity and were unchanged from the previous submission. </w:t>
      </w:r>
    </w:p>
    <w:p w:rsidR="00151F61" w:rsidRPr="00867AC2" w:rsidRDefault="00151F61" w:rsidP="0036686A">
      <w:pPr>
        <w:pStyle w:val="ListParagraph"/>
        <w:numPr>
          <w:ilvl w:val="1"/>
          <w:numId w:val="1"/>
        </w:numPr>
        <w:ind w:left="720"/>
      </w:pPr>
      <w:r w:rsidRPr="00867AC2">
        <w:t xml:space="preserve">The resubmission </w:t>
      </w:r>
      <w:r w:rsidR="00BD127F" w:rsidRPr="00867AC2">
        <w:t xml:space="preserve">presented a revised </w:t>
      </w:r>
      <w:r w:rsidRPr="00867AC2">
        <w:t xml:space="preserve">requested </w:t>
      </w:r>
      <w:r w:rsidR="00BD127F" w:rsidRPr="00867AC2">
        <w:t>restriction</w:t>
      </w:r>
      <w:r w:rsidRPr="00867AC2">
        <w:t xml:space="preserve"> for Dysport® 300U and 500U vials, based on the suggested changes by the PBAC. The amendments included the follow</w:t>
      </w:r>
      <w:r w:rsidR="009A5D57" w:rsidRPr="00867AC2">
        <w:t>ing</w:t>
      </w:r>
      <w:r w:rsidRPr="00867AC2">
        <w:t>:</w:t>
      </w:r>
    </w:p>
    <w:p w:rsidR="00151F61" w:rsidRPr="00867AC2" w:rsidRDefault="00151F61" w:rsidP="003642BB">
      <w:pPr>
        <w:pStyle w:val="ListParagraph"/>
        <w:numPr>
          <w:ilvl w:val="0"/>
          <w:numId w:val="11"/>
        </w:numPr>
        <w:ind w:left="993" w:hanging="284"/>
        <w:rPr>
          <w:iCs/>
        </w:rPr>
      </w:pPr>
      <w:r w:rsidRPr="00867AC2">
        <w:t xml:space="preserve">The </w:t>
      </w:r>
      <w:r w:rsidR="000534B5" w:rsidRPr="00867AC2">
        <w:t xml:space="preserve">eligible </w:t>
      </w:r>
      <w:r w:rsidRPr="00867AC2">
        <w:t>population only include</w:t>
      </w:r>
      <w:r w:rsidR="000534B5" w:rsidRPr="00867AC2">
        <w:t>d</w:t>
      </w:r>
      <w:r w:rsidRPr="00867AC2">
        <w:t xml:space="preserve"> patients with moderate to severe spasticity of the lower limbs following “stroke”, instead of following “an acute event” in the previous submission.</w:t>
      </w:r>
      <w:r w:rsidR="000754B6">
        <w:t xml:space="preserve"> </w:t>
      </w:r>
    </w:p>
    <w:p w:rsidR="00151F61" w:rsidRPr="00867AC2" w:rsidRDefault="00151F61" w:rsidP="003642BB">
      <w:pPr>
        <w:pStyle w:val="ListParagraph"/>
        <w:numPr>
          <w:ilvl w:val="0"/>
          <w:numId w:val="11"/>
        </w:numPr>
        <w:ind w:left="993" w:hanging="284"/>
      </w:pPr>
      <w:r w:rsidRPr="00867AC2">
        <w:lastRenderedPageBreak/>
        <w:t xml:space="preserve">The </w:t>
      </w:r>
      <w:r w:rsidR="004E4792" w:rsidRPr="00867AC2">
        <w:t xml:space="preserve">restriction did not include </w:t>
      </w:r>
      <w:r w:rsidRPr="00867AC2">
        <w:t xml:space="preserve">the criteria </w:t>
      </w:r>
      <w:r w:rsidR="004E4792" w:rsidRPr="00867AC2">
        <w:t xml:space="preserve">requiring treatment to commence </w:t>
      </w:r>
      <w:r w:rsidRPr="00867AC2">
        <w:t xml:space="preserve">between 3 months and 2 years following the acute event. </w:t>
      </w:r>
      <w:r w:rsidR="000B11A6" w:rsidRPr="00867AC2">
        <w:rPr>
          <w:iCs/>
        </w:rPr>
        <w:t>However, t</w:t>
      </w:r>
      <w:r w:rsidRPr="00867AC2">
        <w:rPr>
          <w:iCs/>
        </w:rPr>
        <w:t>he financial estimates presented in the resubmission assumed patients only initiate treatment within the first 2 years following stroke.</w:t>
      </w:r>
    </w:p>
    <w:p w:rsidR="00151F61" w:rsidRPr="00D45DF6" w:rsidRDefault="00151F61" w:rsidP="003642BB">
      <w:pPr>
        <w:pStyle w:val="ListParagraph"/>
        <w:numPr>
          <w:ilvl w:val="0"/>
          <w:numId w:val="11"/>
        </w:numPr>
        <w:ind w:left="993" w:hanging="284"/>
      </w:pPr>
      <w:r>
        <w:t xml:space="preserve">The </w:t>
      </w:r>
      <w:r w:rsidR="004E4792">
        <w:t xml:space="preserve">restriction </w:t>
      </w:r>
      <w:r>
        <w:t>defined moderate to severe spasticity as MAS</w:t>
      </w:r>
      <w:r w:rsidR="00C47F9B">
        <w:t xml:space="preserve"> </w:t>
      </w:r>
      <w:r>
        <w:rPr>
          <w:rFonts w:cs="Calibri"/>
        </w:rPr>
        <w:t>≥</w:t>
      </w:r>
      <w:r w:rsidR="00C47F9B">
        <w:rPr>
          <w:rFonts w:cs="Calibri"/>
        </w:rPr>
        <w:t xml:space="preserve"> </w:t>
      </w:r>
      <w:r>
        <w:t>3 at baseline</w:t>
      </w:r>
      <w:r w:rsidR="004E4792">
        <w:t>,</w:t>
      </w:r>
      <w:r>
        <w:t xml:space="preserve"> </w:t>
      </w:r>
      <w:r w:rsidR="004E4792">
        <w:t>instead of</w:t>
      </w:r>
      <w:r>
        <w:t xml:space="preserve"> MAS</w:t>
      </w:r>
      <w:r w:rsidR="00C47F9B">
        <w:t xml:space="preserve"> </w:t>
      </w:r>
      <w:r>
        <w:rPr>
          <w:rFonts w:cs="Calibri"/>
        </w:rPr>
        <w:t>≥</w:t>
      </w:r>
      <w:r w:rsidR="00C47F9B">
        <w:rPr>
          <w:rFonts w:cs="Calibri"/>
        </w:rPr>
        <w:t xml:space="preserve"> </w:t>
      </w:r>
      <w:r>
        <w:t>2 in the previous submission.</w:t>
      </w:r>
    </w:p>
    <w:p w:rsidR="00151F61" w:rsidRPr="00985909" w:rsidRDefault="00151F61" w:rsidP="003642BB">
      <w:pPr>
        <w:pStyle w:val="ListParagraph"/>
        <w:numPr>
          <w:ilvl w:val="0"/>
          <w:numId w:val="11"/>
        </w:numPr>
        <w:ind w:left="993" w:hanging="284"/>
        <w:rPr>
          <w:i/>
          <w:iCs/>
        </w:rPr>
      </w:pPr>
      <w:r>
        <w:t xml:space="preserve">The </w:t>
      </w:r>
      <w:r w:rsidR="002115C1">
        <w:t xml:space="preserve">restriction </w:t>
      </w:r>
      <w:r>
        <w:t>defined the continuation criteria as a reduction in MAS of at least 1 after two treatment periods, compared to an improvement in walking speed of at least 0.13 m/s after four treatment cycles in the previous submission.</w:t>
      </w:r>
    </w:p>
    <w:p w:rsidR="003A288B" w:rsidRPr="002207D4" w:rsidRDefault="003A288B" w:rsidP="0036686A">
      <w:pPr>
        <w:pStyle w:val="ListParagraph"/>
        <w:numPr>
          <w:ilvl w:val="1"/>
          <w:numId w:val="1"/>
        </w:numPr>
        <w:ind w:left="720"/>
        <w:rPr>
          <w:iCs/>
        </w:rPr>
      </w:pPr>
      <w:r w:rsidRPr="00867AC2">
        <w:t xml:space="preserve">The </w:t>
      </w:r>
      <w:r w:rsidR="00FB7816" w:rsidRPr="00867AC2">
        <w:t xml:space="preserve">revised restriction excluded patients with spasticity </w:t>
      </w:r>
      <w:r w:rsidR="00683251" w:rsidRPr="00867AC2">
        <w:t>due to</w:t>
      </w:r>
      <w:r w:rsidR="00FB7816" w:rsidRPr="00867AC2">
        <w:t xml:space="preserve"> other aetiologies (e.g. traumatic brain injury, </w:t>
      </w:r>
      <w:r w:rsidR="00A53321" w:rsidRPr="00867AC2">
        <w:t>infection, hypoxia</w:t>
      </w:r>
      <w:r w:rsidR="00FB7816" w:rsidRPr="00867AC2">
        <w:t xml:space="preserve">) because the PBAC had previously noted there was limited data and, accordingly, a high-level of uncertainty surrounding the effect </w:t>
      </w:r>
      <w:r w:rsidR="00683251" w:rsidRPr="00867AC2">
        <w:t xml:space="preserve">of </w:t>
      </w:r>
      <w:r w:rsidR="00FB7816" w:rsidRPr="00867AC2">
        <w:t xml:space="preserve">BoNT for the treatment of spasticity resulting from events other than stroke (paragraph 7.3, Dysport® </w:t>
      </w:r>
      <w:r w:rsidR="004D7FBA" w:rsidRPr="00867AC2">
        <w:t>PSD</w:t>
      </w:r>
      <w:r w:rsidR="00B35ADC" w:rsidRPr="00867AC2">
        <w:t>,</w:t>
      </w:r>
      <w:r w:rsidR="004D7FBA" w:rsidRPr="00867AC2">
        <w:t xml:space="preserve"> </w:t>
      </w:r>
      <w:r w:rsidR="00FB7816" w:rsidRPr="00867AC2">
        <w:t xml:space="preserve">November 2018). </w:t>
      </w:r>
      <w:r w:rsidR="00FB7816" w:rsidRPr="00867AC2">
        <w:rPr>
          <w:iCs/>
        </w:rPr>
        <w:t>However, the PBAC recommended Botox® for LLFS following “an acute neurological event” as requested by RMSANZ. The</w:t>
      </w:r>
      <w:r w:rsidR="000B24E9" w:rsidRPr="00867AC2">
        <w:rPr>
          <w:iCs/>
        </w:rPr>
        <w:t> </w:t>
      </w:r>
      <w:r w:rsidR="00FB7816" w:rsidRPr="00867AC2">
        <w:rPr>
          <w:iCs/>
        </w:rPr>
        <w:t>PBAC considered that despite the lack of clinical trials in these populations, the request was reasonable and biologically plausible (web outcome, Botox®</w:t>
      </w:r>
      <w:r w:rsidR="00C47F9B" w:rsidRPr="00867AC2">
        <w:rPr>
          <w:iCs/>
        </w:rPr>
        <w:t>,</w:t>
      </w:r>
      <w:r w:rsidR="00FB7816" w:rsidRPr="00867AC2">
        <w:rPr>
          <w:iCs/>
        </w:rPr>
        <w:t xml:space="preserve"> March 2019).</w:t>
      </w:r>
      <w:r w:rsidR="008F3421">
        <w:rPr>
          <w:iCs/>
        </w:rPr>
        <w:t xml:space="preserve"> </w:t>
      </w:r>
      <w:r w:rsidR="00BC233A" w:rsidRPr="002207D4">
        <w:rPr>
          <w:iCs/>
        </w:rPr>
        <w:t xml:space="preserve">As noted above, the PSCR requested to broaden the proposed PBS population to include patients with lower limb spasticity following an acute neurological event. </w:t>
      </w:r>
    </w:p>
    <w:p w:rsidR="00FF7EB9" w:rsidRDefault="004326E6" w:rsidP="00FF7EB9">
      <w:pPr>
        <w:pStyle w:val="ListParagraph"/>
        <w:numPr>
          <w:ilvl w:val="1"/>
          <w:numId w:val="1"/>
        </w:numPr>
        <w:ind w:left="720"/>
        <w:rPr>
          <w:iCs/>
        </w:rPr>
      </w:pPr>
      <w:r>
        <w:t>The</w:t>
      </w:r>
      <w:r w:rsidR="00151F61" w:rsidRPr="00867AC2">
        <w:t xml:space="preserve"> </w:t>
      </w:r>
      <w:r w:rsidR="00BC233A">
        <w:t>proposed</w:t>
      </w:r>
      <w:r w:rsidR="00BC233A" w:rsidRPr="00867AC2">
        <w:t xml:space="preserve"> </w:t>
      </w:r>
      <w:r w:rsidR="002115C1" w:rsidRPr="00867AC2">
        <w:t xml:space="preserve">restriction </w:t>
      </w:r>
      <w:r w:rsidR="00151F61" w:rsidRPr="00867AC2">
        <w:t xml:space="preserve">did not limit use </w:t>
      </w:r>
      <w:r w:rsidR="00985909" w:rsidRPr="00867AC2">
        <w:t xml:space="preserve">of Dysport® </w:t>
      </w:r>
      <w:r w:rsidR="00151F61" w:rsidRPr="00867AC2">
        <w:t xml:space="preserve">to four treatment cycles in the first year and two treatment cycles from the second year onwards. </w:t>
      </w:r>
      <w:r w:rsidR="00151F61" w:rsidRPr="00867AC2">
        <w:rPr>
          <w:iCs/>
        </w:rPr>
        <w:t>The PBAC noted expert opinion which indicated that re-injection intervals tended to increase with continued treatment and considered that a limit of four treatment periods per lower limb in the first year and two treatment periods per lower limb per year from Year 2 onwards might be reasonable” (</w:t>
      </w:r>
      <w:r w:rsidR="002C2BFA" w:rsidRPr="00867AC2">
        <w:rPr>
          <w:iCs/>
        </w:rPr>
        <w:t>p</w:t>
      </w:r>
      <w:r w:rsidR="00151F61" w:rsidRPr="00867AC2">
        <w:rPr>
          <w:iCs/>
        </w:rPr>
        <w:t xml:space="preserve">aragraph 2.4 and 7.13, Dysport® </w:t>
      </w:r>
      <w:r w:rsidR="004D7FBA" w:rsidRPr="00867AC2">
        <w:rPr>
          <w:iCs/>
        </w:rPr>
        <w:t>PSD</w:t>
      </w:r>
      <w:r w:rsidR="00C47F9B" w:rsidRPr="00867AC2">
        <w:rPr>
          <w:iCs/>
        </w:rPr>
        <w:t>,</w:t>
      </w:r>
      <w:r w:rsidR="004D7FBA" w:rsidRPr="00867AC2">
        <w:rPr>
          <w:iCs/>
        </w:rPr>
        <w:t xml:space="preserve"> </w:t>
      </w:r>
      <w:r w:rsidR="00151F61" w:rsidRPr="00867AC2">
        <w:rPr>
          <w:iCs/>
        </w:rPr>
        <w:t>November 2018).</w:t>
      </w:r>
      <w:r w:rsidR="00FF7EB9" w:rsidRPr="00FF7EB9">
        <w:rPr>
          <w:iCs/>
        </w:rPr>
        <w:t xml:space="preserve"> </w:t>
      </w:r>
    </w:p>
    <w:p w:rsidR="00FF7EB9" w:rsidRPr="00FF7EB9" w:rsidRDefault="00FF7EB9" w:rsidP="00FF7EB9">
      <w:pPr>
        <w:pStyle w:val="ListParagraph"/>
        <w:numPr>
          <w:ilvl w:val="1"/>
          <w:numId w:val="1"/>
        </w:numPr>
        <w:ind w:left="720"/>
        <w:rPr>
          <w:iCs/>
        </w:rPr>
      </w:pPr>
      <w:r>
        <w:rPr>
          <w:iCs/>
        </w:rPr>
        <w:t xml:space="preserve">The PBAC noted that the resubmission accepted the majority of the comments and suggestions </w:t>
      </w:r>
      <w:r w:rsidR="007F18AE">
        <w:rPr>
          <w:iCs/>
        </w:rPr>
        <w:t xml:space="preserve">relating to the proposed restriction </w:t>
      </w:r>
      <w:r>
        <w:rPr>
          <w:iCs/>
        </w:rPr>
        <w:t>made during the evaluation of the November 2018 submission.</w:t>
      </w:r>
      <w:r w:rsidR="00381BB8">
        <w:rPr>
          <w:iCs/>
        </w:rPr>
        <w:t xml:space="preserve"> </w:t>
      </w:r>
    </w:p>
    <w:p w:rsidR="002207D4" w:rsidRPr="002207D4" w:rsidRDefault="002207D4" w:rsidP="002207D4">
      <w:pPr>
        <w:pStyle w:val="ListParagraph"/>
        <w:rPr>
          <w:i/>
        </w:rPr>
      </w:pPr>
      <w:r w:rsidRPr="002207D4">
        <w:rPr>
          <w:i/>
          <w:iCs/>
        </w:rPr>
        <w:t>For more detail on PBAC’s view, see Section 7 PBAC outcome.</w:t>
      </w:r>
    </w:p>
    <w:p w:rsidR="00151F61" w:rsidRPr="005D0E1C" w:rsidRDefault="00151F61" w:rsidP="005D0E1C">
      <w:pPr>
        <w:pStyle w:val="PBACHeading1"/>
        <w:keepNext/>
        <w:keepLines/>
        <w:numPr>
          <w:ilvl w:val="0"/>
          <w:numId w:val="1"/>
        </w:numPr>
        <w:spacing w:after="120"/>
        <w:rPr>
          <w:rFonts w:asciiTheme="minorHAnsi" w:hAnsiTheme="minorHAnsi" w:cstheme="minorHAnsi"/>
          <w:szCs w:val="28"/>
        </w:rPr>
      </w:pPr>
      <w:bookmarkStart w:id="3" w:name="_Toc9247880"/>
      <w:r w:rsidRPr="005D0E1C">
        <w:rPr>
          <w:rFonts w:asciiTheme="minorHAnsi" w:hAnsiTheme="minorHAnsi" w:cstheme="minorHAnsi"/>
          <w:szCs w:val="28"/>
        </w:rPr>
        <w:t>Background</w:t>
      </w:r>
      <w:bookmarkEnd w:id="3"/>
    </w:p>
    <w:p w:rsidR="00151F61" w:rsidRPr="006C7919" w:rsidRDefault="00151F61" w:rsidP="006C7919">
      <w:pPr>
        <w:keepLines/>
        <w:spacing w:after="120"/>
        <w:jc w:val="left"/>
        <w:outlineLvl w:val="1"/>
        <w:rPr>
          <w:rFonts w:asciiTheme="minorHAnsi" w:hAnsiTheme="minorHAnsi" w:cs="Times New Roman"/>
          <w:b/>
          <w:i/>
          <w:snapToGrid/>
          <w:sz w:val="28"/>
          <w:szCs w:val="28"/>
          <w:lang w:eastAsia="en-AU"/>
        </w:rPr>
      </w:pPr>
      <w:r w:rsidRPr="006C7919">
        <w:rPr>
          <w:rFonts w:asciiTheme="minorHAnsi" w:hAnsiTheme="minorHAnsi" w:cs="Times New Roman"/>
          <w:b/>
          <w:i/>
          <w:snapToGrid/>
          <w:sz w:val="28"/>
          <w:szCs w:val="28"/>
          <w:lang w:eastAsia="en-AU"/>
        </w:rPr>
        <w:t>Registration status</w:t>
      </w:r>
    </w:p>
    <w:p w:rsidR="00151F61" w:rsidRPr="0073287B" w:rsidRDefault="00151F61" w:rsidP="0036686A">
      <w:pPr>
        <w:pStyle w:val="ListParagraph"/>
        <w:widowControl/>
        <w:numPr>
          <w:ilvl w:val="1"/>
          <w:numId w:val="1"/>
        </w:numPr>
        <w:ind w:left="720"/>
      </w:pPr>
      <w:r w:rsidRPr="00867AC2">
        <w:t>Dysport® was TGA registered on 16 March 2018 for “symptomatic treatment of focal spasticity affecting the lower limbs in adults”.</w:t>
      </w:r>
      <w:r w:rsidR="00D505C6" w:rsidRPr="00867AC2">
        <w:t xml:space="preserve"> </w:t>
      </w:r>
      <w:r w:rsidRPr="00867AC2">
        <w:t>Other approved indications include focal spasticity of the lower limbs in children, focal spasticity of the upper limbs, spasmodic torticollis, blepharospasm, hemifacial spasm and glabellar lines.</w:t>
      </w:r>
      <w:r w:rsidR="00D505C6" w:rsidRPr="00867AC2">
        <w:t xml:space="preserve"> </w:t>
      </w:r>
      <w:r w:rsidR="00D505C6" w:rsidRPr="00867AC2">
        <w:rPr>
          <w:iCs/>
        </w:rPr>
        <w:t>The approved indications were unchanged from the previous submission.</w:t>
      </w:r>
    </w:p>
    <w:p w:rsidR="00151F61" w:rsidRPr="006C7919" w:rsidRDefault="00151F61" w:rsidP="006C7919">
      <w:pPr>
        <w:keepLines/>
        <w:spacing w:after="120"/>
        <w:jc w:val="left"/>
        <w:outlineLvl w:val="1"/>
        <w:rPr>
          <w:rFonts w:asciiTheme="minorHAnsi" w:hAnsiTheme="minorHAnsi" w:cs="Times New Roman"/>
          <w:b/>
          <w:i/>
          <w:snapToGrid/>
          <w:sz w:val="28"/>
          <w:szCs w:val="28"/>
          <w:lang w:eastAsia="en-AU"/>
        </w:rPr>
      </w:pPr>
      <w:r w:rsidRPr="006C7919">
        <w:rPr>
          <w:rFonts w:asciiTheme="minorHAnsi" w:hAnsiTheme="minorHAnsi" w:cs="Times New Roman"/>
          <w:b/>
          <w:i/>
          <w:snapToGrid/>
          <w:sz w:val="28"/>
          <w:szCs w:val="28"/>
          <w:lang w:eastAsia="en-AU"/>
        </w:rPr>
        <w:lastRenderedPageBreak/>
        <w:t>Previous PBAC consideration</w:t>
      </w:r>
      <w:r w:rsidR="00C47F9B" w:rsidRPr="006C7919">
        <w:rPr>
          <w:rFonts w:asciiTheme="minorHAnsi" w:hAnsiTheme="minorHAnsi" w:cs="Times New Roman"/>
          <w:b/>
          <w:i/>
          <w:snapToGrid/>
          <w:sz w:val="28"/>
          <w:szCs w:val="28"/>
          <w:lang w:eastAsia="en-AU"/>
        </w:rPr>
        <w:t>s</w:t>
      </w:r>
    </w:p>
    <w:p w:rsidR="00305EAF" w:rsidRDefault="00305EAF" w:rsidP="00FC6A7C">
      <w:pPr>
        <w:pStyle w:val="ListParagraph"/>
        <w:keepNext/>
        <w:widowControl/>
        <w:numPr>
          <w:ilvl w:val="1"/>
          <w:numId w:val="1"/>
        </w:numPr>
        <w:ind w:left="720"/>
      </w:pPr>
      <w:r>
        <w:t xml:space="preserve">In November 2018, the PBAC considered two major submissions (Dysport® and Botox®) to list BoNT for </w:t>
      </w:r>
      <w:r w:rsidR="001A136D">
        <w:t>treatment of moderate to severe spasticity of the lower limb following stroke or an acute event</w:t>
      </w:r>
      <w:r>
        <w:t xml:space="preserve">. The PBAC did not recommend Dysport® </w:t>
      </w:r>
      <w:r w:rsidR="009010A3">
        <w:t xml:space="preserve">(see below) </w:t>
      </w:r>
      <w:r>
        <w:t xml:space="preserve">and deferred the decision for Botox®. In March 2019, the PBAC considered a minor submission for Botox® and recommended listing for the treatment of LLFS following </w:t>
      </w:r>
      <w:r w:rsidR="001A136D">
        <w:t>“</w:t>
      </w:r>
      <w:r>
        <w:t xml:space="preserve">an acute </w:t>
      </w:r>
      <w:r w:rsidR="001A136D">
        <w:t xml:space="preserve">neurological </w:t>
      </w:r>
      <w:r>
        <w:t>event</w:t>
      </w:r>
      <w:r w:rsidR="001A136D">
        <w:t>”</w:t>
      </w:r>
      <w:r w:rsidR="009010A3">
        <w:t>.</w:t>
      </w:r>
    </w:p>
    <w:p w:rsidR="009010A3" w:rsidRPr="00867AC2" w:rsidRDefault="002A3DEF" w:rsidP="0036686A">
      <w:pPr>
        <w:pStyle w:val="ListParagraph"/>
        <w:widowControl/>
        <w:numPr>
          <w:ilvl w:val="1"/>
          <w:numId w:val="1"/>
        </w:numPr>
        <w:ind w:left="720"/>
      </w:pPr>
      <w:r>
        <w:t>The PBAC did not recommend the PBS listing of Dysport® on the basis</w:t>
      </w:r>
      <w:r w:rsidR="009010A3">
        <w:t xml:space="preserve"> of uncertain clinical effectiveness, a high and uncertain incremental cost-effectiveness ratio (ICER) which was based on a flawed economic evaluation and uncertain financial estimates </w:t>
      </w:r>
      <w:r w:rsidR="009010A3" w:rsidRPr="00DE19B3">
        <w:t xml:space="preserve">(paragraph 7.1, </w:t>
      </w:r>
      <w:r w:rsidR="004D7FBA" w:rsidRPr="00DE19B3">
        <w:t xml:space="preserve">Dysport® </w:t>
      </w:r>
      <w:r w:rsidR="009010A3" w:rsidRPr="00DE19B3">
        <w:t>PSD</w:t>
      </w:r>
      <w:r w:rsidR="00024203">
        <w:t>,</w:t>
      </w:r>
      <w:r w:rsidR="004D7FBA">
        <w:t xml:space="preserve"> November 2018</w:t>
      </w:r>
      <w:r w:rsidR="009010A3">
        <w:t xml:space="preserve">). </w:t>
      </w:r>
      <w:r w:rsidR="009010A3" w:rsidRPr="00867AC2">
        <w:rPr>
          <w:iCs/>
        </w:rPr>
        <w:t xml:space="preserve">The previous submission modelled an improvement in walking speed and </w:t>
      </w:r>
      <w:r w:rsidR="002049C7" w:rsidRPr="00867AC2">
        <w:rPr>
          <w:iCs/>
        </w:rPr>
        <w:t>corresponding</w:t>
      </w:r>
      <w:r w:rsidR="009010A3" w:rsidRPr="00867AC2">
        <w:rPr>
          <w:iCs/>
        </w:rPr>
        <w:t xml:space="preserve"> improvement in quality of life; however, the clinical evidence did not demonstrate any improvement in walking speed </w:t>
      </w:r>
      <w:r w:rsidR="002C2BFA" w:rsidRPr="00867AC2">
        <w:rPr>
          <w:iCs/>
        </w:rPr>
        <w:t>n</w:t>
      </w:r>
      <w:r w:rsidR="009010A3" w:rsidRPr="00867AC2">
        <w:rPr>
          <w:iCs/>
        </w:rPr>
        <w:t>or quality of life.</w:t>
      </w:r>
    </w:p>
    <w:p w:rsidR="002B6EC1" w:rsidRPr="00867AC2" w:rsidRDefault="00786240" w:rsidP="0036686A">
      <w:pPr>
        <w:pStyle w:val="ListParagraph"/>
        <w:widowControl/>
        <w:numPr>
          <w:ilvl w:val="1"/>
          <w:numId w:val="1"/>
        </w:numPr>
        <w:ind w:left="720"/>
        <w:rPr>
          <w:iCs/>
        </w:rPr>
      </w:pPr>
      <w:r w:rsidRPr="00867AC2">
        <w:rPr>
          <w:iCs/>
        </w:rPr>
        <w:t xml:space="preserve">The resubmission </w:t>
      </w:r>
      <w:r w:rsidR="002B6EC1" w:rsidRPr="00867AC2">
        <w:rPr>
          <w:iCs/>
        </w:rPr>
        <w:t>did not address concerns regarding uncertain clinical effectiveness or cost-effectiveness given no new data was available and the resubmission did not present a modelled economic evaluation</w:t>
      </w:r>
      <w:r w:rsidR="002B6EC1" w:rsidRPr="007C35FA">
        <w:rPr>
          <w:iCs/>
        </w:rPr>
        <w:t xml:space="preserve">. </w:t>
      </w:r>
      <w:r w:rsidRPr="007C35FA">
        <w:rPr>
          <w:iCs/>
        </w:rPr>
        <w:t>The PBAC acknowledged that uncertainty surrounding the treatment effect was unlikely to be reduced by future high quality data and such data were not likely to become available</w:t>
      </w:r>
      <w:r w:rsidR="002B6EC1" w:rsidRPr="007C35FA">
        <w:rPr>
          <w:iCs/>
        </w:rPr>
        <w:t xml:space="preserve"> (</w:t>
      </w:r>
      <w:r w:rsidR="00F64ACE" w:rsidRPr="00867AC2">
        <w:rPr>
          <w:iCs/>
        </w:rPr>
        <w:t>paragraph 7.12, Dysport® PSD</w:t>
      </w:r>
      <w:r w:rsidR="00024203" w:rsidRPr="00867AC2">
        <w:rPr>
          <w:iCs/>
        </w:rPr>
        <w:t>,</w:t>
      </w:r>
      <w:r w:rsidR="00F64ACE" w:rsidRPr="00867AC2">
        <w:rPr>
          <w:iCs/>
        </w:rPr>
        <w:t xml:space="preserve"> November 2018</w:t>
      </w:r>
      <w:r w:rsidR="002B6EC1" w:rsidRPr="00867AC2">
        <w:rPr>
          <w:iCs/>
        </w:rPr>
        <w:t>)</w:t>
      </w:r>
      <w:r w:rsidRPr="00867AC2">
        <w:rPr>
          <w:iCs/>
        </w:rPr>
        <w:t>.</w:t>
      </w:r>
      <w:r w:rsidR="002B6EC1" w:rsidRPr="00867AC2">
        <w:rPr>
          <w:iCs/>
        </w:rPr>
        <w:t xml:space="preserve"> </w:t>
      </w:r>
    </w:p>
    <w:p w:rsidR="00A344FB" w:rsidRDefault="00024203" w:rsidP="00FC6A7C">
      <w:pPr>
        <w:pStyle w:val="ListParagraph"/>
        <w:widowControl/>
        <w:numPr>
          <w:ilvl w:val="1"/>
          <w:numId w:val="1"/>
        </w:numPr>
        <w:ind w:left="720"/>
      </w:pPr>
      <w:r w:rsidRPr="00867AC2">
        <w:t xml:space="preserve">In May 2019, the MSAC Executive considered that MBS item 18360 was appropriate to administer BoNT to patients with lower limb spasticity. </w:t>
      </w:r>
    </w:p>
    <w:p w:rsidR="0073287B" w:rsidRPr="0073287B" w:rsidRDefault="0073287B" w:rsidP="0073287B">
      <w:pPr>
        <w:pStyle w:val="ListParagraph"/>
        <w:widowControl/>
        <w:rPr>
          <w:i/>
        </w:rPr>
      </w:pPr>
      <w:r w:rsidRPr="0073287B">
        <w:rPr>
          <w:i/>
        </w:rPr>
        <w:t>For more detail on PBAC’s view, see Section 7 PBAC outcome.</w:t>
      </w:r>
    </w:p>
    <w:p w:rsidR="00151F61" w:rsidRPr="005D0E1C" w:rsidRDefault="00151F61" w:rsidP="005D0E1C">
      <w:pPr>
        <w:pStyle w:val="PBACHeading1"/>
        <w:keepNext/>
        <w:keepLines/>
        <w:numPr>
          <w:ilvl w:val="0"/>
          <w:numId w:val="1"/>
        </w:numPr>
        <w:spacing w:after="120"/>
        <w:rPr>
          <w:rFonts w:asciiTheme="minorHAnsi" w:hAnsiTheme="minorHAnsi" w:cstheme="minorHAnsi"/>
          <w:szCs w:val="28"/>
        </w:rPr>
      </w:pPr>
      <w:bookmarkStart w:id="4" w:name="_Toc9247881"/>
      <w:r w:rsidRPr="005D0E1C">
        <w:rPr>
          <w:rFonts w:asciiTheme="minorHAnsi" w:hAnsiTheme="minorHAnsi" w:cstheme="minorHAnsi"/>
          <w:szCs w:val="28"/>
        </w:rPr>
        <w:t>Population and disease</w:t>
      </w:r>
      <w:bookmarkEnd w:id="4"/>
    </w:p>
    <w:p w:rsidR="0014172A" w:rsidRDefault="0014172A" w:rsidP="0036686A">
      <w:pPr>
        <w:pStyle w:val="ListParagraph"/>
        <w:widowControl/>
        <w:numPr>
          <w:ilvl w:val="1"/>
          <w:numId w:val="1"/>
        </w:numPr>
        <w:spacing w:after="120"/>
        <w:ind w:left="720"/>
      </w:pPr>
      <w:r>
        <w:t xml:space="preserve">Spasticity of the lower limb (adults) typically affects </w:t>
      </w:r>
      <w:r w:rsidR="009624AA">
        <w:t xml:space="preserve">the hip, knee, ankle and foot. </w:t>
      </w:r>
      <w:r>
        <w:t>Focal spasticity affects a concentrated muscle area; examples in the lower limb include</w:t>
      </w:r>
      <w:r w:rsidRPr="00907EC5">
        <w:t xml:space="preserve"> the equinovarus foot, valgus foot, striatal toe, stiff knee, flexed knee, adducted thighs, and flexed hip</w:t>
      </w:r>
      <w:r>
        <w:t>.</w:t>
      </w:r>
      <w:r w:rsidRPr="00FF6AF0">
        <w:t xml:space="preserve"> These deformities may impede bed positioning, sitting balance, chair-level activities, transfers and standing up</w:t>
      </w:r>
      <w:r>
        <w:t xml:space="preserve"> which limits mobility, pain and contractures, and impact on activities of daily living</w:t>
      </w:r>
      <w:r w:rsidRPr="00FF6AF0">
        <w:t>.</w:t>
      </w:r>
    </w:p>
    <w:p w:rsidR="0014172A" w:rsidRDefault="0014172A" w:rsidP="0036686A">
      <w:pPr>
        <w:pStyle w:val="ListParagraph"/>
        <w:widowControl/>
        <w:numPr>
          <w:ilvl w:val="1"/>
          <w:numId w:val="1"/>
        </w:numPr>
        <w:spacing w:after="120"/>
        <w:ind w:left="720"/>
      </w:pPr>
      <w:r>
        <w:t>Dysport® is a muscle relaxant that acts on the junctions between the nerves and muscles, preventing the release of one of the chemical messengers called acetylcholine from the nerve endings that would normall</w:t>
      </w:r>
      <w:r w:rsidR="00EF7FB9">
        <w:t>y cause the muscle to contract.</w:t>
      </w:r>
      <w:r>
        <w:t xml:space="preserve"> This results in a weakened muscle and helps to reduce some of the abnormal muscle contractions.</w:t>
      </w:r>
    </w:p>
    <w:p w:rsidR="009624AA" w:rsidRPr="002C2775" w:rsidRDefault="009624AA" w:rsidP="0036686A">
      <w:pPr>
        <w:pStyle w:val="ListParagraph"/>
        <w:widowControl/>
        <w:numPr>
          <w:ilvl w:val="1"/>
          <w:numId w:val="1"/>
        </w:numPr>
        <w:ind w:left="720"/>
      </w:pPr>
      <w:r>
        <w:t xml:space="preserve">Local and international guidelines recommend treatment </w:t>
      </w:r>
      <w:r w:rsidR="00FB0781">
        <w:t xml:space="preserve">with BoNT </w:t>
      </w:r>
      <w:r>
        <w:t xml:space="preserve">as adjuvant therapy to physical therapy (including postural management, physiotherapy, splints) and/or muscle blocking drugs. </w:t>
      </w:r>
      <w:r w:rsidRPr="00AF7939">
        <w:t>The proposed PBS listing for Dysport</w:t>
      </w:r>
      <w:r w:rsidRPr="00AF7939">
        <w:rPr>
          <w:rFonts w:cs="Calibri"/>
        </w:rPr>
        <w:t>®</w:t>
      </w:r>
      <w:r w:rsidRPr="00AF7939">
        <w:t xml:space="preserve"> is for use as an </w:t>
      </w:r>
      <w:r w:rsidRPr="00AF7939">
        <w:lastRenderedPageBreak/>
        <w:t>adjunct to physical therapy, or as second line therapy when s</w:t>
      </w:r>
      <w:r w:rsidR="00DE19B3">
        <w:t xml:space="preserve">tandard management has failed. </w:t>
      </w:r>
      <w:r w:rsidRPr="00AF7939">
        <w:t xml:space="preserve">Standard management includes physiotherapy </w:t>
      </w:r>
      <w:r w:rsidR="00EF7FB9">
        <w:t>and/or oral spasticity agents.</w:t>
      </w:r>
    </w:p>
    <w:p w:rsidR="009624AA" w:rsidRPr="009624AA" w:rsidRDefault="00151F61" w:rsidP="0036686A">
      <w:pPr>
        <w:pStyle w:val="ListParagraph"/>
        <w:widowControl/>
        <w:numPr>
          <w:ilvl w:val="1"/>
          <w:numId w:val="1"/>
        </w:numPr>
        <w:ind w:left="720"/>
      </w:pPr>
      <w:r>
        <w:rPr>
          <w:lang w:val="en-US"/>
        </w:rPr>
        <w:t xml:space="preserve">Dysport® is administered by </w:t>
      </w:r>
      <w:r w:rsidRPr="002E0D30">
        <w:rPr>
          <w:lang w:val="en-US"/>
        </w:rPr>
        <w:t>intramuscular injection</w:t>
      </w:r>
      <w:r>
        <w:rPr>
          <w:lang w:val="en-US"/>
        </w:rPr>
        <w:t xml:space="preserve"> with the dose</w:t>
      </w:r>
      <w:r w:rsidRPr="002E0D30">
        <w:rPr>
          <w:lang w:val="en-US"/>
        </w:rPr>
        <w:t xml:space="preserve"> divided between affected muscles depending on the size, number and location of muscles involved, how severe the spasticity is, and taking into account any local muscle weakness and previous response to treatment. Injections are given approximately every 12 to 16 weeks, or as required to maintain the response</w:t>
      </w:r>
      <w:r w:rsidRPr="002E0D30" w:rsidDel="0070134A">
        <w:rPr>
          <w:lang w:val="en-US"/>
        </w:rPr>
        <w:t xml:space="preserve"> </w:t>
      </w:r>
      <w:r w:rsidRPr="002E0D30">
        <w:rPr>
          <w:lang w:val="en-US"/>
        </w:rPr>
        <w:t>but no more frequently than every 12 weeks.</w:t>
      </w:r>
    </w:p>
    <w:p w:rsidR="00151F61" w:rsidRPr="0073287B" w:rsidRDefault="009624AA" w:rsidP="0036686A">
      <w:pPr>
        <w:pStyle w:val="ListParagraph"/>
        <w:widowControl/>
        <w:numPr>
          <w:ilvl w:val="1"/>
          <w:numId w:val="1"/>
        </w:numPr>
        <w:ind w:left="720"/>
      </w:pPr>
      <w:r>
        <w:t>The maximum dose must not exceed 1500U</w:t>
      </w:r>
      <w:r w:rsidR="00EF7FB9">
        <w:t xml:space="preserve"> in the lower limbs.</w:t>
      </w:r>
      <w:r>
        <w:t xml:space="preserve"> If </w:t>
      </w:r>
      <w:r w:rsidRPr="00037C99">
        <w:t xml:space="preserve">treatment is required </w:t>
      </w:r>
      <w:r>
        <w:t xml:space="preserve">for both upper and lower limbs, the total dose also must not exceed 1500U. </w:t>
      </w:r>
      <w:r w:rsidR="0036686A">
        <w:rPr>
          <w:iCs/>
        </w:rPr>
        <w:t>T</w:t>
      </w:r>
      <w:r w:rsidR="00151F61" w:rsidRPr="00867AC2">
        <w:rPr>
          <w:iCs/>
        </w:rPr>
        <w:t xml:space="preserve">he resubmission relied on the clinical evidence for patients treated with Dysport® 1500U </w:t>
      </w:r>
      <w:r w:rsidR="0036686A">
        <w:rPr>
          <w:iCs/>
        </w:rPr>
        <w:t xml:space="preserve">only from Study 140. Patients treated with the lower 1000U dose did </w:t>
      </w:r>
      <w:r w:rsidR="00151F61" w:rsidRPr="00867AC2">
        <w:rPr>
          <w:iCs/>
        </w:rPr>
        <w:t xml:space="preserve">not demonstrate </w:t>
      </w:r>
      <w:r w:rsidR="0036686A">
        <w:rPr>
          <w:iCs/>
        </w:rPr>
        <w:t xml:space="preserve">a </w:t>
      </w:r>
      <w:r w:rsidR="00151F61" w:rsidRPr="00867AC2">
        <w:rPr>
          <w:iCs/>
        </w:rPr>
        <w:t xml:space="preserve">benefit. </w:t>
      </w:r>
    </w:p>
    <w:p w:rsidR="0073287B" w:rsidRPr="0073287B" w:rsidRDefault="0073287B" w:rsidP="0073287B">
      <w:pPr>
        <w:pStyle w:val="ListParagraph"/>
        <w:widowControl/>
        <w:rPr>
          <w:i/>
        </w:rPr>
      </w:pPr>
      <w:r w:rsidRPr="0073287B">
        <w:rPr>
          <w:i/>
          <w:iCs/>
        </w:rPr>
        <w:t>For more detail on PBAC’s view, see Section 7 PBAC outcome.</w:t>
      </w:r>
    </w:p>
    <w:p w:rsidR="00151F61" w:rsidRPr="005D0E1C" w:rsidRDefault="00151F61" w:rsidP="005D0E1C">
      <w:pPr>
        <w:pStyle w:val="PBACHeading1"/>
        <w:keepNext/>
        <w:keepLines/>
        <w:numPr>
          <w:ilvl w:val="0"/>
          <w:numId w:val="1"/>
        </w:numPr>
        <w:spacing w:after="120"/>
        <w:rPr>
          <w:rFonts w:asciiTheme="minorHAnsi" w:hAnsiTheme="minorHAnsi" w:cstheme="minorHAnsi"/>
          <w:szCs w:val="28"/>
        </w:rPr>
      </w:pPr>
      <w:bookmarkStart w:id="5" w:name="_Toc9247882"/>
      <w:r w:rsidRPr="005D0E1C">
        <w:rPr>
          <w:rFonts w:asciiTheme="minorHAnsi" w:hAnsiTheme="minorHAnsi" w:cstheme="minorHAnsi"/>
          <w:szCs w:val="28"/>
        </w:rPr>
        <w:t>Comparator</w:t>
      </w:r>
      <w:bookmarkEnd w:id="5"/>
    </w:p>
    <w:p w:rsidR="00661FA5" w:rsidRPr="002207D4" w:rsidRDefault="00151F61" w:rsidP="007F18AE">
      <w:pPr>
        <w:pStyle w:val="ListParagraph"/>
        <w:keepNext/>
        <w:widowControl/>
        <w:numPr>
          <w:ilvl w:val="1"/>
          <w:numId w:val="1"/>
        </w:numPr>
        <w:ind w:left="720"/>
        <w:rPr>
          <w:iCs/>
        </w:rPr>
      </w:pPr>
      <w:r w:rsidRPr="00867AC2">
        <w:t xml:space="preserve">The resubmission nominated Botox® as the main comparator. </w:t>
      </w:r>
      <w:r w:rsidR="00661FA5" w:rsidRPr="002207D4">
        <w:rPr>
          <w:iCs/>
        </w:rPr>
        <w:t>Th</w:t>
      </w:r>
      <w:r w:rsidR="00BC233A" w:rsidRPr="002207D4">
        <w:rPr>
          <w:iCs/>
        </w:rPr>
        <w:t>e ESC</w:t>
      </w:r>
      <w:r w:rsidR="00A14B44">
        <w:rPr>
          <w:iCs/>
        </w:rPr>
        <w:t xml:space="preserve"> </w:t>
      </w:r>
      <w:r w:rsidR="00BC233A" w:rsidRPr="002207D4">
        <w:rPr>
          <w:iCs/>
        </w:rPr>
        <w:t>considered that Botox</w:t>
      </w:r>
      <w:r w:rsidR="00FC6A7C" w:rsidRPr="002207D4">
        <w:rPr>
          <w:rFonts w:cs="Calibri"/>
          <w:iCs/>
        </w:rPr>
        <w:t>®</w:t>
      </w:r>
      <w:r w:rsidR="00BC233A" w:rsidRPr="002207D4">
        <w:rPr>
          <w:iCs/>
        </w:rPr>
        <w:t xml:space="preserve"> was the appropriate comparator. </w:t>
      </w:r>
    </w:p>
    <w:p w:rsidR="007C3777" w:rsidRDefault="00661FA5" w:rsidP="004326E6">
      <w:pPr>
        <w:pStyle w:val="ListParagraph"/>
        <w:widowControl/>
        <w:numPr>
          <w:ilvl w:val="1"/>
          <w:numId w:val="1"/>
        </w:numPr>
        <w:ind w:left="720"/>
        <w:rPr>
          <w:iCs/>
        </w:rPr>
      </w:pPr>
      <w:r w:rsidRPr="00867AC2">
        <w:rPr>
          <w:iCs/>
        </w:rPr>
        <w:t xml:space="preserve">One unit of Dysport® is not equivalent to one unit of Botox®. </w:t>
      </w:r>
      <w:r w:rsidR="00151F61" w:rsidRPr="00867AC2">
        <w:rPr>
          <w:iCs/>
        </w:rPr>
        <w:t>The maximum dose of Botox®</w:t>
      </w:r>
      <w:r w:rsidR="00190957" w:rsidRPr="00867AC2">
        <w:rPr>
          <w:iCs/>
        </w:rPr>
        <w:t xml:space="preserve"> in the lower limbs</w:t>
      </w:r>
      <w:r w:rsidR="00151F61" w:rsidRPr="00867AC2">
        <w:rPr>
          <w:iCs/>
        </w:rPr>
        <w:t xml:space="preserve"> is 400U</w:t>
      </w:r>
      <w:r w:rsidR="00190957" w:rsidRPr="00867AC2">
        <w:rPr>
          <w:iCs/>
        </w:rPr>
        <w:t>, given</w:t>
      </w:r>
      <w:r w:rsidR="00151F61" w:rsidRPr="00867AC2">
        <w:rPr>
          <w:iCs/>
        </w:rPr>
        <w:t xml:space="preserve"> </w:t>
      </w:r>
      <w:r w:rsidR="00190957" w:rsidRPr="00867AC2">
        <w:rPr>
          <w:iCs/>
        </w:rPr>
        <w:t>no more frequently than every 12 weeks</w:t>
      </w:r>
      <w:r w:rsidR="00151F61" w:rsidRPr="00867AC2">
        <w:rPr>
          <w:iCs/>
        </w:rPr>
        <w:t>.</w:t>
      </w:r>
      <w:r w:rsidR="00190957" w:rsidRPr="00867AC2">
        <w:rPr>
          <w:iCs/>
        </w:rPr>
        <w:t xml:space="preserve"> If treatment is required for both upper and lower limbs, the total dose also must not exceed 400U.</w:t>
      </w:r>
    </w:p>
    <w:p w:rsidR="0073287B" w:rsidRPr="0073287B" w:rsidRDefault="0073287B" w:rsidP="0073287B">
      <w:pPr>
        <w:pStyle w:val="ListParagraph"/>
        <w:widowControl/>
        <w:rPr>
          <w:i/>
          <w:iCs/>
        </w:rPr>
      </w:pPr>
      <w:r w:rsidRPr="0073287B">
        <w:rPr>
          <w:i/>
          <w:iCs/>
        </w:rPr>
        <w:t>For more detail on PBAC’s view, see Section 7 PBAC outcome.</w:t>
      </w:r>
    </w:p>
    <w:p w:rsidR="00B60939" w:rsidRPr="005D0E1C" w:rsidRDefault="00BD6CF3" w:rsidP="005D0E1C">
      <w:pPr>
        <w:pStyle w:val="PBACHeading1"/>
        <w:keepNext/>
        <w:keepLines/>
        <w:numPr>
          <w:ilvl w:val="0"/>
          <w:numId w:val="1"/>
        </w:numPr>
        <w:spacing w:after="120"/>
        <w:rPr>
          <w:rFonts w:asciiTheme="minorHAnsi" w:hAnsiTheme="minorHAnsi" w:cstheme="minorHAnsi"/>
          <w:szCs w:val="28"/>
        </w:rPr>
      </w:pPr>
      <w:bookmarkStart w:id="6" w:name="_Toc9247883"/>
      <w:r w:rsidRPr="005D0E1C">
        <w:rPr>
          <w:rFonts w:asciiTheme="minorHAnsi" w:hAnsiTheme="minorHAnsi" w:cstheme="minorHAnsi"/>
          <w:szCs w:val="28"/>
        </w:rPr>
        <w:t>C</w:t>
      </w:r>
      <w:r w:rsidR="00B50DB8" w:rsidRPr="005D0E1C">
        <w:rPr>
          <w:rFonts w:asciiTheme="minorHAnsi" w:hAnsiTheme="minorHAnsi" w:cstheme="minorHAnsi"/>
          <w:szCs w:val="28"/>
        </w:rPr>
        <w:t>onsideration of the evidence</w:t>
      </w:r>
      <w:bookmarkEnd w:id="6"/>
    </w:p>
    <w:p w:rsidR="0073287B" w:rsidRPr="006C7919" w:rsidRDefault="0073287B" w:rsidP="006C7919">
      <w:pPr>
        <w:keepLines/>
        <w:spacing w:after="120"/>
        <w:jc w:val="left"/>
        <w:outlineLvl w:val="1"/>
        <w:rPr>
          <w:rFonts w:asciiTheme="minorHAnsi" w:hAnsiTheme="minorHAnsi" w:cs="Times New Roman"/>
          <w:b/>
          <w:i/>
          <w:snapToGrid/>
          <w:sz w:val="28"/>
          <w:szCs w:val="28"/>
          <w:lang w:eastAsia="en-AU"/>
        </w:rPr>
      </w:pPr>
      <w:bookmarkStart w:id="7" w:name="_Toc9247884"/>
      <w:r w:rsidRPr="006C7919">
        <w:rPr>
          <w:rFonts w:asciiTheme="minorHAnsi" w:hAnsiTheme="minorHAnsi" w:cs="Times New Roman"/>
          <w:b/>
          <w:i/>
          <w:snapToGrid/>
          <w:sz w:val="28"/>
          <w:szCs w:val="28"/>
          <w:lang w:eastAsia="en-AU"/>
        </w:rPr>
        <w:t>Sponsor hearing</w:t>
      </w:r>
    </w:p>
    <w:p w:rsidR="0073287B" w:rsidRPr="00BF313D" w:rsidRDefault="0073287B" w:rsidP="0073287B">
      <w:pPr>
        <w:numPr>
          <w:ilvl w:val="1"/>
          <w:numId w:val="1"/>
        </w:numPr>
        <w:spacing w:after="120"/>
        <w:ind w:left="720"/>
        <w:rPr>
          <w:rFonts w:asciiTheme="minorHAnsi" w:hAnsiTheme="minorHAnsi"/>
          <w:bCs/>
        </w:rPr>
      </w:pPr>
      <w:r w:rsidRPr="00BF313D">
        <w:rPr>
          <w:rFonts w:asciiTheme="minorHAnsi" w:hAnsiTheme="minorHAnsi"/>
          <w:bCs/>
        </w:rPr>
        <w:t>There was no hearing for this item.</w:t>
      </w:r>
    </w:p>
    <w:p w:rsidR="0073287B" w:rsidRPr="006C7919" w:rsidRDefault="0073287B" w:rsidP="006C7919">
      <w:pPr>
        <w:keepLines/>
        <w:spacing w:after="120"/>
        <w:jc w:val="left"/>
        <w:outlineLvl w:val="1"/>
        <w:rPr>
          <w:rFonts w:asciiTheme="minorHAnsi" w:hAnsiTheme="minorHAnsi" w:cs="Times New Roman"/>
          <w:b/>
          <w:i/>
          <w:snapToGrid/>
          <w:sz w:val="28"/>
          <w:szCs w:val="28"/>
          <w:lang w:eastAsia="en-AU"/>
        </w:rPr>
      </w:pPr>
      <w:r w:rsidRPr="006C7919">
        <w:rPr>
          <w:rFonts w:asciiTheme="minorHAnsi" w:hAnsiTheme="minorHAnsi" w:cs="Times New Roman"/>
          <w:b/>
          <w:i/>
          <w:snapToGrid/>
          <w:sz w:val="28"/>
          <w:szCs w:val="28"/>
          <w:lang w:eastAsia="en-AU"/>
        </w:rPr>
        <w:t>Consumer comments</w:t>
      </w:r>
    </w:p>
    <w:p w:rsidR="0073287B" w:rsidRDefault="0073287B" w:rsidP="00DC5EA1">
      <w:pPr>
        <w:numPr>
          <w:ilvl w:val="1"/>
          <w:numId w:val="1"/>
        </w:numPr>
        <w:spacing w:after="120"/>
        <w:ind w:left="720"/>
        <w:rPr>
          <w:rFonts w:asciiTheme="minorHAnsi" w:hAnsiTheme="minorHAnsi"/>
          <w:bCs/>
        </w:rPr>
      </w:pPr>
      <w:r w:rsidRPr="00836F75">
        <w:rPr>
          <w:rFonts w:asciiTheme="minorHAnsi" w:hAnsiTheme="minorHAnsi"/>
          <w:bCs/>
        </w:rPr>
        <w:t>The PBAC noted that no consumer comments were received for this item.</w:t>
      </w:r>
      <w:r w:rsidR="001739D0">
        <w:rPr>
          <w:rFonts w:asciiTheme="minorHAnsi" w:hAnsiTheme="minorHAnsi"/>
          <w:bCs/>
        </w:rPr>
        <w:t xml:space="preserve"> However, the PBAC noted</w:t>
      </w:r>
      <w:r w:rsidR="00F90827">
        <w:rPr>
          <w:rFonts w:asciiTheme="minorHAnsi" w:hAnsiTheme="minorHAnsi"/>
          <w:bCs/>
        </w:rPr>
        <w:t xml:space="preserve"> that</w:t>
      </w:r>
      <w:r w:rsidR="001739D0">
        <w:rPr>
          <w:rFonts w:asciiTheme="minorHAnsi" w:hAnsiTheme="minorHAnsi"/>
          <w:bCs/>
        </w:rPr>
        <w:t xml:space="preserve"> the consumer comments</w:t>
      </w:r>
      <w:r w:rsidR="000035F3">
        <w:rPr>
          <w:rFonts w:asciiTheme="minorHAnsi" w:hAnsiTheme="minorHAnsi"/>
          <w:bCs/>
        </w:rPr>
        <w:t xml:space="preserve"> from </w:t>
      </w:r>
      <w:r w:rsidR="00D7051A">
        <w:rPr>
          <w:rFonts w:asciiTheme="minorHAnsi" w:hAnsiTheme="minorHAnsi"/>
          <w:bCs/>
        </w:rPr>
        <w:t>the November 2018</w:t>
      </w:r>
      <w:r w:rsidR="000035F3">
        <w:rPr>
          <w:rFonts w:asciiTheme="minorHAnsi" w:hAnsiTheme="minorHAnsi"/>
          <w:bCs/>
        </w:rPr>
        <w:t xml:space="preserve"> submission</w:t>
      </w:r>
      <w:r w:rsidR="00DC5EA1">
        <w:rPr>
          <w:rFonts w:asciiTheme="minorHAnsi" w:hAnsiTheme="minorHAnsi"/>
          <w:bCs/>
        </w:rPr>
        <w:t xml:space="preserve"> were </w:t>
      </w:r>
      <w:r w:rsidR="00132497">
        <w:rPr>
          <w:rFonts w:asciiTheme="minorHAnsi" w:hAnsiTheme="minorHAnsi"/>
          <w:bCs/>
        </w:rPr>
        <w:t xml:space="preserve">supportive of the listing, </w:t>
      </w:r>
      <w:r w:rsidR="00D7051A">
        <w:rPr>
          <w:rFonts w:asciiTheme="minorHAnsi" w:hAnsiTheme="minorHAnsi"/>
          <w:bCs/>
        </w:rPr>
        <w:t>and</w:t>
      </w:r>
      <w:r w:rsidR="00F90827">
        <w:rPr>
          <w:rFonts w:asciiTheme="minorHAnsi" w:hAnsiTheme="minorHAnsi"/>
          <w:bCs/>
        </w:rPr>
        <w:t xml:space="preserve"> outlined </w:t>
      </w:r>
      <w:r w:rsidR="00DC5EA1">
        <w:rPr>
          <w:rFonts w:asciiTheme="minorHAnsi" w:hAnsiTheme="minorHAnsi"/>
          <w:bCs/>
        </w:rPr>
        <w:t>a range</w:t>
      </w:r>
      <w:r w:rsidR="00F90827">
        <w:rPr>
          <w:rFonts w:asciiTheme="minorHAnsi" w:hAnsiTheme="minorHAnsi"/>
          <w:bCs/>
        </w:rPr>
        <w:t xml:space="preserve"> of benefits of treatment with </w:t>
      </w:r>
      <w:r w:rsidR="00D7051A">
        <w:rPr>
          <w:rFonts w:asciiTheme="minorHAnsi" w:hAnsiTheme="minorHAnsi"/>
          <w:bCs/>
        </w:rPr>
        <w:t>Dysport</w:t>
      </w:r>
      <w:r w:rsidR="00D7051A">
        <w:rPr>
          <w:rFonts w:asciiTheme="minorHAnsi" w:hAnsiTheme="minorHAnsi" w:cstheme="minorHAnsi"/>
          <w:bCs/>
        </w:rPr>
        <w:t>®</w:t>
      </w:r>
      <w:r w:rsidR="00DC5EA1">
        <w:rPr>
          <w:rFonts w:asciiTheme="minorHAnsi" w:hAnsiTheme="minorHAnsi"/>
          <w:bCs/>
        </w:rPr>
        <w:t xml:space="preserve"> including improv</w:t>
      </w:r>
      <w:r w:rsidR="00D7051A">
        <w:rPr>
          <w:rFonts w:asciiTheme="minorHAnsi" w:hAnsiTheme="minorHAnsi"/>
          <w:bCs/>
        </w:rPr>
        <w:t>ed</w:t>
      </w:r>
      <w:r w:rsidR="00DC5EA1">
        <w:rPr>
          <w:rFonts w:asciiTheme="minorHAnsi" w:hAnsiTheme="minorHAnsi"/>
          <w:bCs/>
        </w:rPr>
        <w:t xml:space="preserve"> mobility, improv</w:t>
      </w:r>
      <w:r w:rsidR="00D7051A">
        <w:rPr>
          <w:rFonts w:asciiTheme="minorHAnsi" w:hAnsiTheme="minorHAnsi"/>
          <w:bCs/>
        </w:rPr>
        <w:t>ed</w:t>
      </w:r>
      <w:r w:rsidR="00DC5EA1">
        <w:rPr>
          <w:rFonts w:asciiTheme="minorHAnsi" w:hAnsiTheme="minorHAnsi"/>
          <w:bCs/>
        </w:rPr>
        <w:t xml:space="preserve"> quality of life, reduc</w:t>
      </w:r>
      <w:r w:rsidR="00D7051A">
        <w:rPr>
          <w:rFonts w:asciiTheme="minorHAnsi" w:hAnsiTheme="minorHAnsi"/>
          <w:bCs/>
        </w:rPr>
        <w:t>ed</w:t>
      </w:r>
      <w:r w:rsidR="00DC5EA1">
        <w:rPr>
          <w:rFonts w:asciiTheme="minorHAnsi" w:hAnsiTheme="minorHAnsi"/>
          <w:bCs/>
        </w:rPr>
        <w:t xml:space="preserve"> pain and </w:t>
      </w:r>
      <w:r w:rsidR="00D7051A">
        <w:rPr>
          <w:rFonts w:asciiTheme="minorHAnsi" w:hAnsiTheme="minorHAnsi"/>
          <w:bCs/>
        </w:rPr>
        <w:t xml:space="preserve">a reduced </w:t>
      </w:r>
      <w:r w:rsidR="00DC5EA1">
        <w:rPr>
          <w:rFonts w:asciiTheme="minorHAnsi" w:hAnsiTheme="minorHAnsi"/>
          <w:bCs/>
        </w:rPr>
        <w:t>burden of care for carers and family.</w:t>
      </w:r>
    </w:p>
    <w:p w:rsidR="00B60939" w:rsidRPr="006C7919" w:rsidRDefault="00B60939" w:rsidP="006C7919">
      <w:pPr>
        <w:keepLines/>
        <w:spacing w:after="120"/>
        <w:jc w:val="left"/>
        <w:outlineLvl w:val="1"/>
        <w:rPr>
          <w:rFonts w:asciiTheme="minorHAnsi" w:hAnsiTheme="minorHAnsi" w:cs="Times New Roman"/>
          <w:b/>
          <w:i/>
          <w:snapToGrid/>
          <w:sz w:val="28"/>
          <w:szCs w:val="28"/>
          <w:lang w:eastAsia="en-AU"/>
        </w:rPr>
      </w:pPr>
      <w:r w:rsidRPr="006C7919">
        <w:rPr>
          <w:rFonts w:asciiTheme="minorHAnsi" w:hAnsiTheme="minorHAnsi" w:cs="Times New Roman"/>
          <w:b/>
          <w:i/>
          <w:snapToGrid/>
          <w:sz w:val="28"/>
          <w:szCs w:val="28"/>
          <w:lang w:eastAsia="en-AU"/>
        </w:rPr>
        <w:t>Clinical tri</w:t>
      </w:r>
      <w:bookmarkEnd w:id="7"/>
      <w:r w:rsidR="006C7919">
        <w:rPr>
          <w:rFonts w:asciiTheme="minorHAnsi" w:hAnsiTheme="minorHAnsi" w:cs="Times New Roman"/>
          <w:b/>
          <w:i/>
          <w:snapToGrid/>
          <w:sz w:val="28"/>
          <w:szCs w:val="28"/>
          <w:lang w:eastAsia="en-AU"/>
        </w:rPr>
        <w:t>als</w:t>
      </w:r>
    </w:p>
    <w:p w:rsidR="00565ED1" w:rsidRDefault="00EE0CC8" w:rsidP="0036686A">
      <w:pPr>
        <w:pStyle w:val="ListParagraph"/>
        <w:widowControl/>
        <w:numPr>
          <w:ilvl w:val="1"/>
          <w:numId w:val="1"/>
        </w:numPr>
        <w:ind w:left="720"/>
      </w:pPr>
      <w:r>
        <w:t>The resubmission</w:t>
      </w:r>
      <w:r w:rsidR="00724CAB">
        <w:t xml:space="preserve"> presented an indirect </w:t>
      </w:r>
      <w:r>
        <w:t xml:space="preserve">comparison of Dysport® versus Botox® using placebo as common reference. </w:t>
      </w:r>
      <w:r w:rsidRPr="00EE0CC8">
        <w:t>The clinical evidence included data from three single-</w:t>
      </w:r>
      <w:r w:rsidRPr="00EE0CC8">
        <w:lastRenderedPageBreak/>
        <w:t>dose double blind randomised controlled trials</w:t>
      </w:r>
      <w:r w:rsidR="007D1CAB">
        <w:t>, comparing Dysport® 1500U (Study 140)</w:t>
      </w:r>
      <w:r w:rsidR="009B4A36">
        <w:t>,</w:t>
      </w:r>
      <w:r w:rsidR="007D1CAB">
        <w:t xml:space="preserve"> Botox® 300</w:t>
      </w:r>
      <w:r w:rsidR="006921D6">
        <w:t>U</w:t>
      </w:r>
      <w:r w:rsidR="00FB0781">
        <w:t xml:space="preserve"> (Trial 512) or Botox® </w:t>
      </w:r>
      <w:r w:rsidR="009B4A36">
        <w:t>300</w:t>
      </w:r>
      <w:r w:rsidR="008C1848">
        <w:t>U</w:t>
      </w:r>
      <w:r w:rsidR="009B4A36">
        <w:t xml:space="preserve"> to </w:t>
      </w:r>
      <w:r w:rsidR="007D1CAB">
        <w:t>400U (REFLEX</w:t>
      </w:r>
      <w:r w:rsidR="00FB0781">
        <w:t>)</w:t>
      </w:r>
      <w:r w:rsidR="007D1CAB">
        <w:t xml:space="preserve"> to </w:t>
      </w:r>
      <w:r w:rsidR="00BC233A">
        <w:t>placebo</w:t>
      </w:r>
      <w:r w:rsidR="007D1CAB">
        <w:t>.</w:t>
      </w:r>
    </w:p>
    <w:p w:rsidR="00565ED1" w:rsidRPr="00565ED1" w:rsidRDefault="00A73134" w:rsidP="0036686A">
      <w:pPr>
        <w:pStyle w:val="ListParagraph"/>
        <w:widowControl/>
        <w:numPr>
          <w:ilvl w:val="1"/>
          <w:numId w:val="1"/>
        </w:numPr>
        <w:ind w:left="720"/>
      </w:pPr>
      <w:r w:rsidRPr="00565ED1">
        <w:rPr>
          <w:rFonts w:cs="Calibri"/>
          <w:snapToGrid/>
          <w:szCs w:val="24"/>
          <w:lang w:val="en-US" w:eastAsia="en-AU"/>
        </w:rPr>
        <w:t xml:space="preserve">Details of the trials presented in the </w:t>
      </w:r>
      <w:r w:rsidR="00E917B7" w:rsidRPr="00565ED1">
        <w:rPr>
          <w:rFonts w:cs="Calibri"/>
          <w:snapToGrid/>
          <w:szCs w:val="24"/>
          <w:lang w:val="en-US" w:eastAsia="en-AU"/>
        </w:rPr>
        <w:t>resubmission</w:t>
      </w:r>
      <w:r w:rsidRPr="00565ED1">
        <w:rPr>
          <w:rFonts w:cs="Calibri"/>
          <w:snapToGrid/>
          <w:szCs w:val="24"/>
          <w:lang w:val="en-US" w:eastAsia="en-AU"/>
        </w:rPr>
        <w:t xml:space="preserve"> are provided in </w:t>
      </w:r>
      <w:r w:rsidR="00074D59" w:rsidRPr="00074D59">
        <w:t xml:space="preserve">Table </w:t>
      </w:r>
      <w:r w:rsidR="00074D59" w:rsidRPr="00074D59">
        <w:rPr>
          <w:noProof/>
        </w:rPr>
        <w:t>2</w:t>
      </w:r>
      <w:r w:rsidR="00855D2B" w:rsidRPr="00855D2B">
        <w:rPr>
          <w:rFonts w:cs="Calibri"/>
          <w:snapToGrid/>
          <w:szCs w:val="24"/>
          <w:lang w:val="en-US" w:eastAsia="en-AU"/>
        </w:rPr>
        <w:t>.</w:t>
      </w:r>
    </w:p>
    <w:p w:rsidR="00FD3D25" w:rsidRDefault="00FD3D25" w:rsidP="00FD3D25">
      <w:pPr>
        <w:pStyle w:val="TableHeading0"/>
      </w:pPr>
      <w:r>
        <w:t xml:space="preserve">Table </w:t>
      </w:r>
      <w:r w:rsidR="008C0876">
        <w:fldChar w:fldCharType="begin"/>
      </w:r>
      <w:r w:rsidR="008C0876">
        <w:instrText xml:space="preserve"> SEQ Table \* ARABIC </w:instrText>
      </w:r>
      <w:r w:rsidR="008C0876">
        <w:fldChar w:fldCharType="separate"/>
      </w:r>
      <w:r w:rsidR="00915F21">
        <w:rPr>
          <w:noProof/>
        </w:rPr>
        <w:t>2</w:t>
      </w:r>
      <w:r w:rsidR="008C0876">
        <w:rPr>
          <w:noProof/>
        </w:rPr>
        <w:fldChar w:fldCharType="end"/>
      </w:r>
      <w:r w:rsidRPr="00B71C0B">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resubmission"/>
      </w:tblPr>
      <w:tblGrid>
        <w:gridCol w:w="1414"/>
        <w:gridCol w:w="5955"/>
        <w:gridCol w:w="1648"/>
      </w:tblGrid>
      <w:tr w:rsidR="00565ED1" w:rsidRPr="00B41614" w:rsidTr="00FD3D25">
        <w:trPr>
          <w:tblHeader/>
        </w:trPr>
        <w:tc>
          <w:tcPr>
            <w:tcW w:w="784" w:type="pct"/>
            <w:vAlign w:val="center"/>
          </w:tcPr>
          <w:p w:rsidR="00565ED1" w:rsidRPr="00B41614" w:rsidRDefault="00565ED1" w:rsidP="00B8348C">
            <w:pPr>
              <w:pStyle w:val="Tabletext"/>
              <w:keepNext/>
              <w:rPr>
                <w:b/>
              </w:rPr>
            </w:pPr>
            <w:r w:rsidRPr="00B41614">
              <w:rPr>
                <w:b/>
              </w:rPr>
              <w:t>Trial ID</w:t>
            </w:r>
          </w:p>
        </w:tc>
        <w:tc>
          <w:tcPr>
            <w:tcW w:w="3302" w:type="pct"/>
            <w:vAlign w:val="center"/>
          </w:tcPr>
          <w:p w:rsidR="00565ED1" w:rsidRPr="00B41614" w:rsidRDefault="00565ED1" w:rsidP="00B8348C">
            <w:pPr>
              <w:pStyle w:val="Tabletext"/>
              <w:keepNext/>
              <w:jc w:val="center"/>
              <w:rPr>
                <w:b/>
              </w:rPr>
            </w:pPr>
            <w:r w:rsidRPr="00B41614">
              <w:rPr>
                <w:b/>
              </w:rPr>
              <w:t>Protocol title/ Publication title</w:t>
            </w:r>
          </w:p>
        </w:tc>
        <w:tc>
          <w:tcPr>
            <w:tcW w:w="914" w:type="pct"/>
            <w:vAlign w:val="center"/>
          </w:tcPr>
          <w:p w:rsidR="00565ED1" w:rsidRPr="00B41614" w:rsidRDefault="00565ED1" w:rsidP="00B8348C">
            <w:pPr>
              <w:pStyle w:val="Tabletext"/>
              <w:keepNext/>
              <w:jc w:val="center"/>
              <w:rPr>
                <w:b/>
              </w:rPr>
            </w:pPr>
            <w:r w:rsidRPr="00B41614">
              <w:rPr>
                <w:b/>
              </w:rPr>
              <w:t>Publication citation</w:t>
            </w:r>
          </w:p>
        </w:tc>
      </w:tr>
      <w:tr w:rsidR="00565ED1" w:rsidRPr="00CB38A8" w:rsidTr="00FD3D25">
        <w:tc>
          <w:tcPr>
            <w:tcW w:w="784" w:type="pct"/>
            <w:tcBorders>
              <w:bottom w:val="nil"/>
            </w:tcBorders>
          </w:tcPr>
          <w:p w:rsidR="00565ED1" w:rsidRPr="00E47B69" w:rsidRDefault="00565ED1" w:rsidP="00B8348C">
            <w:pPr>
              <w:pStyle w:val="Tabletext"/>
              <w:keepNext/>
            </w:pPr>
            <w:r>
              <w:t>Study</w:t>
            </w:r>
            <w:r w:rsidRPr="00E47B69">
              <w:t xml:space="preserve"> 140</w:t>
            </w:r>
          </w:p>
        </w:tc>
        <w:tc>
          <w:tcPr>
            <w:tcW w:w="3302" w:type="pct"/>
            <w:tcBorders>
              <w:bottom w:val="nil"/>
            </w:tcBorders>
          </w:tcPr>
          <w:p w:rsidR="00565ED1" w:rsidRPr="00AB6248" w:rsidRDefault="00565ED1" w:rsidP="00B8348C">
            <w:pPr>
              <w:pStyle w:val="Tabletext"/>
              <w:keepNext/>
              <w:rPr>
                <w:szCs w:val="18"/>
              </w:rPr>
            </w:pPr>
            <w:r w:rsidRPr="00571BD3">
              <w:t xml:space="preserve">Clinical study report (CSR) - A Phase III, Multicentre, Double Blind, Prospective, Randomised, Placebo Controlled </w:t>
            </w:r>
            <w:r>
              <w:t>Trial</w:t>
            </w:r>
            <w:r w:rsidRPr="00571BD3">
              <w:t xml:space="preserve">, Assessing the Efficacy and Safety of </w:t>
            </w:r>
            <w:r w:rsidR="00057611" w:rsidRPr="00867AC2">
              <w:t>Dysport</w:t>
            </w:r>
            <w:r w:rsidR="00255197" w:rsidRPr="00FA6E19">
              <w:rPr>
                <w:vertAlign w:val="superscript"/>
              </w:rPr>
              <w:t>®</w:t>
            </w:r>
            <w:r w:rsidRPr="00571BD3">
              <w:t xml:space="preserve"> Used for the treatment of lower limb spasticity in adult subjects with hemiparesis due to stroke or traumatic bra</w:t>
            </w:r>
            <w:r>
              <w:t>in injury.</w:t>
            </w:r>
          </w:p>
        </w:tc>
        <w:tc>
          <w:tcPr>
            <w:tcW w:w="914" w:type="pct"/>
            <w:tcBorders>
              <w:bottom w:val="nil"/>
            </w:tcBorders>
          </w:tcPr>
          <w:p w:rsidR="00565ED1" w:rsidRPr="00CB38A8" w:rsidRDefault="00565ED1" w:rsidP="00B8348C">
            <w:pPr>
              <w:pStyle w:val="Tabletext"/>
              <w:keepNext/>
              <w:rPr>
                <w:rFonts w:ascii="Times" w:hAnsi="Times"/>
              </w:rPr>
            </w:pPr>
            <w:r>
              <w:t>CSR Study 140, 2015</w:t>
            </w:r>
          </w:p>
        </w:tc>
      </w:tr>
      <w:tr w:rsidR="00565ED1" w:rsidRPr="00CB38A8" w:rsidTr="00FD3D25">
        <w:tc>
          <w:tcPr>
            <w:tcW w:w="784" w:type="pct"/>
            <w:tcBorders>
              <w:top w:val="nil"/>
              <w:bottom w:val="nil"/>
            </w:tcBorders>
          </w:tcPr>
          <w:p w:rsidR="00565ED1" w:rsidRPr="00CB38A8" w:rsidRDefault="00565ED1" w:rsidP="00B8348C">
            <w:pPr>
              <w:pStyle w:val="Tabletext"/>
              <w:keepNext/>
            </w:pPr>
            <w:r>
              <w:t>Study 142 (extension study)</w:t>
            </w:r>
          </w:p>
        </w:tc>
        <w:tc>
          <w:tcPr>
            <w:tcW w:w="3302" w:type="pct"/>
            <w:tcBorders>
              <w:top w:val="nil"/>
              <w:bottom w:val="nil"/>
            </w:tcBorders>
          </w:tcPr>
          <w:p w:rsidR="00565ED1" w:rsidRPr="00E34A35" w:rsidRDefault="00565ED1" w:rsidP="00B8348C">
            <w:pPr>
              <w:pStyle w:val="Tabletext"/>
              <w:keepNext/>
              <w:rPr>
                <w:szCs w:val="18"/>
                <w:lang w:eastAsia="en-AU"/>
              </w:rPr>
            </w:pPr>
            <w:r w:rsidRPr="00571BD3">
              <w:t xml:space="preserve">Clinical study report (CSR) – A Phase III, Multicentre, Open Label, Extension </w:t>
            </w:r>
            <w:r>
              <w:t>Trial</w:t>
            </w:r>
            <w:r w:rsidRPr="00571BD3">
              <w:t xml:space="preserve"> to Assess the Long Term Safety and Efficacy of Repeated Treatment of </w:t>
            </w:r>
            <w:r w:rsidR="00057611" w:rsidRPr="00867AC2">
              <w:t>Dysport</w:t>
            </w:r>
            <w:r w:rsidR="00255197" w:rsidRPr="00FA6E19">
              <w:rPr>
                <w:vertAlign w:val="superscript"/>
              </w:rPr>
              <w:t>®</w:t>
            </w:r>
            <w:r w:rsidR="00057611" w:rsidRPr="00867AC2">
              <w:t xml:space="preserve"> </w:t>
            </w:r>
            <w:r w:rsidR="00255197">
              <w:t>I</w:t>
            </w:r>
            <w:r w:rsidRPr="00571BD3">
              <w:t>ntramuscular Injection in the Treatment of Lower Limb Spasticity in Adult Subjects with Spastic Hemiparesis Due to S</w:t>
            </w:r>
            <w:r>
              <w:t>troke or Traumatic Brain Injury.</w:t>
            </w:r>
          </w:p>
        </w:tc>
        <w:tc>
          <w:tcPr>
            <w:tcW w:w="914" w:type="pct"/>
            <w:tcBorders>
              <w:top w:val="nil"/>
              <w:bottom w:val="nil"/>
            </w:tcBorders>
          </w:tcPr>
          <w:p w:rsidR="00565ED1" w:rsidRPr="00F4290F" w:rsidRDefault="00565ED1" w:rsidP="00B8348C">
            <w:pPr>
              <w:pStyle w:val="Tabletext"/>
              <w:keepNext/>
              <w:rPr>
                <w:iCs/>
                <w:szCs w:val="18"/>
                <w:lang w:eastAsia="en-AU"/>
              </w:rPr>
            </w:pPr>
            <w:r w:rsidRPr="00F4290F">
              <w:rPr>
                <w:iCs/>
                <w:szCs w:val="18"/>
                <w:lang w:eastAsia="en-AU"/>
              </w:rPr>
              <w:t>CSR Study 142, 2016</w:t>
            </w:r>
          </w:p>
        </w:tc>
      </w:tr>
      <w:tr w:rsidR="00565ED1" w:rsidRPr="00CB38A8" w:rsidTr="00FD3D25">
        <w:tc>
          <w:tcPr>
            <w:tcW w:w="784" w:type="pct"/>
            <w:tcBorders>
              <w:top w:val="nil"/>
              <w:bottom w:val="single" w:sz="4" w:space="0" w:color="auto"/>
            </w:tcBorders>
          </w:tcPr>
          <w:p w:rsidR="00565ED1" w:rsidRPr="00CB38A8" w:rsidRDefault="00565ED1" w:rsidP="00B8348C">
            <w:pPr>
              <w:pStyle w:val="Tabletext"/>
              <w:keepNext/>
            </w:pPr>
          </w:p>
        </w:tc>
        <w:tc>
          <w:tcPr>
            <w:tcW w:w="3302" w:type="pct"/>
            <w:tcBorders>
              <w:top w:val="nil"/>
              <w:bottom w:val="single" w:sz="4" w:space="0" w:color="auto"/>
            </w:tcBorders>
          </w:tcPr>
          <w:p w:rsidR="00565ED1" w:rsidRPr="00AB6248" w:rsidRDefault="00565ED1" w:rsidP="00B8348C">
            <w:pPr>
              <w:pStyle w:val="Tabletext"/>
              <w:keepNext/>
              <w:rPr>
                <w:szCs w:val="18"/>
                <w:lang w:val="en-US" w:eastAsia="en-AU"/>
              </w:rPr>
            </w:pPr>
            <w:r w:rsidRPr="00571BD3">
              <w:t xml:space="preserve">Gracies JM, Esquenazi A, Brashear A, </w:t>
            </w:r>
            <w:r w:rsidR="00B8348C">
              <w:t>et al.</w:t>
            </w:r>
            <w:r w:rsidRPr="00571BD3">
              <w:t xml:space="preserve"> Efficacy and safety of abobotulinumtoxinA in spastic lower limb, R</w:t>
            </w:r>
            <w:r>
              <w:t>andomised trial and extension.</w:t>
            </w:r>
          </w:p>
        </w:tc>
        <w:tc>
          <w:tcPr>
            <w:tcW w:w="914" w:type="pct"/>
            <w:tcBorders>
              <w:top w:val="nil"/>
              <w:bottom w:val="single" w:sz="4" w:space="0" w:color="auto"/>
            </w:tcBorders>
          </w:tcPr>
          <w:p w:rsidR="00565ED1" w:rsidRPr="00F4290F" w:rsidRDefault="00565ED1" w:rsidP="00B8348C">
            <w:pPr>
              <w:pStyle w:val="Tabletext"/>
              <w:keepNext/>
              <w:rPr>
                <w:iCs/>
                <w:szCs w:val="18"/>
                <w:lang w:val="en-US" w:eastAsia="en-AU"/>
              </w:rPr>
            </w:pPr>
            <w:r w:rsidRPr="00571BD3">
              <w:t>Neurology</w:t>
            </w:r>
            <w:r>
              <w:t>,</w:t>
            </w:r>
            <w:r w:rsidRPr="00571BD3">
              <w:t xml:space="preserve"> </w:t>
            </w:r>
            <w:r>
              <w:t xml:space="preserve">2017; </w:t>
            </w:r>
            <w:r w:rsidRPr="00571BD3">
              <w:t>86:2245-2253</w:t>
            </w:r>
          </w:p>
        </w:tc>
      </w:tr>
      <w:tr w:rsidR="00565ED1" w:rsidRPr="001A57E6" w:rsidTr="00FD3D25">
        <w:tc>
          <w:tcPr>
            <w:tcW w:w="784" w:type="pct"/>
            <w:tcBorders>
              <w:top w:val="nil"/>
              <w:left w:val="single" w:sz="4" w:space="0" w:color="auto"/>
              <w:bottom w:val="single" w:sz="4" w:space="0" w:color="auto"/>
              <w:right w:val="single" w:sz="4" w:space="0" w:color="auto"/>
            </w:tcBorders>
          </w:tcPr>
          <w:p w:rsidR="00565ED1" w:rsidRPr="001A57E6" w:rsidRDefault="00565ED1" w:rsidP="00B8348C">
            <w:pPr>
              <w:pStyle w:val="Tabletext"/>
              <w:keepNext/>
            </w:pPr>
            <w:r>
              <w:t>REFLEX</w:t>
            </w:r>
          </w:p>
        </w:tc>
        <w:tc>
          <w:tcPr>
            <w:tcW w:w="3302" w:type="pct"/>
            <w:tcBorders>
              <w:top w:val="nil"/>
              <w:left w:val="single" w:sz="4" w:space="0" w:color="auto"/>
              <w:bottom w:val="single" w:sz="4" w:space="0" w:color="auto"/>
              <w:right w:val="single" w:sz="4" w:space="0" w:color="auto"/>
            </w:tcBorders>
          </w:tcPr>
          <w:p w:rsidR="00565ED1" w:rsidRPr="00717B66" w:rsidRDefault="00565ED1" w:rsidP="00B8348C">
            <w:pPr>
              <w:pStyle w:val="Tabletext"/>
              <w:keepNext/>
            </w:pPr>
            <w:r w:rsidRPr="00717B66">
              <w:t xml:space="preserve">Wein T, Esquenazi A, Jost WH, </w:t>
            </w:r>
            <w:r w:rsidR="00B8348C">
              <w:t xml:space="preserve">et al. </w:t>
            </w:r>
            <w:r w:rsidRPr="00717B66">
              <w:t>OnabotulinumtoxinA for the treatment of post-stroke distal lower-limb spasticity: a randomized trial.</w:t>
            </w:r>
          </w:p>
        </w:tc>
        <w:tc>
          <w:tcPr>
            <w:tcW w:w="914" w:type="pct"/>
            <w:tcBorders>
              <w:top w:val="nil"/>
              <w:left w:val="single" w:sz="4" w:space="0" w:color="auto"/>
              <w:bottom w:val="single" w:sz="4" w:space="0" w:color="auto"/>
              <w:right w:val="single" w:sz="4" w:space="0" w:color="auto"/>
            </w:tcBorders>
          </w:tcPr>
          <w:p w:rsidR="00565ED1" w:rsidRPr="00717B66" w:rsidRDefault="00565ED1" w:rsidP="00B8348C">
            <w:pPr>
              <w:pStyle w:val="Tabletext"/>
              <w:keepNext/>
            </w:pPr>
            <w:r w:rsidRPr="00717B66">
              <w:t>PM R. 2018 Jul</w:t>
            </w:r>
            <w:r w:rsidR="00D77567">
              <w:t xml:space="preserve"> </w:t>
            </w:r>
            <w:r w:rsidRPr="00717B66">
              <w:t>10(7):693-703.</w:t>
            </w:r>
          </w:p>
        </w:tc>
      </w:tr>
      <w:tr w:rsidR="00565ED1" w:rsidRPr="001A57E6" w:rsidTr="00FD3D25">
        <w:tc>
          <w:tcPr>
            <w:tcW w:w="784" w:type="pct"/>
            <w:tcBorders>
              <w:top w:val="nil"/>
              <w:left w:val="single" w:sz="4" w:space="0" w:color="auto"/>
              <w:bottom w:val="single" w:sz="4" w:space="0" w:color="auto"/>
              <w:right w:val="single" w:sz="4" w:space="0" w:color="auto"/>
            </w:tcBorders>
          </w:tcPr>
          <w:p w:rsidR="00565ED1" w:rsidRPr="001A57E6" w:rsidRDefault="00565ED1" w:rsidP="00B8348C">
            <w:pPr>
              <w:pStyle w:val="Tabletext"/>
              <w:keepNext/>
            </w:pPr>
            <w:r w:rsidRPr="001A57E6">
              <w:t>Trial 512</w:t>
            </w:r>
          </w:p>
        </w:tc>
        <w:tc>
          <w:tcPr>
            <w:tcW w:w="3302" w:type="pct"/>
            <w:tcBorders>
              <w:top w:val="nil"/>
              <w:left w:val="single" w:sz="4" w:space="0" w:color="auto"/>
              <w:bottom w:val="single" w:sz="4" w:space="0" w:color="auto"/>
              <w:right w:val="single" w:sz="4" w:space="0" w:color="auto"/>
            </w:tcBorders>
          </w:tcPr>
          <w:p w:rsidR="00565ED1" w:rsidRPr="00717B66" w:rsidRDefault="00565ED1" w:rsidP="00B8348C">
            <w:pPr>
              <w:pStyle w:val="Tabletext"/>
              <w:keepNext/>
            </w:pPr>
            <w:r w:rsidRPr="00717B66">
              <w:rPr>
                <w:lang w:val="es-MX"/>
              </w:rPr>
              <w:t xml:space="preserve">Kaji R, Osako Y, Suyama K, et al. 2010. </w:t>
            </w:r>
            <w:r w:rsidRPr="00717B66">
              <w:t xml:space="preserve">Botulinum toxin type A in post-stroke lower limb spasticity: a multicenter, double-blind, placebo-controlled trial. </w:t>
            </w:r>
          </w:p>
        </w:tc>
        <w:tc>
          <w:tcPr>
            <w:tcW w:w="914" w:type="pct"/>
            <w:tcBorders>
              <w:top w:val="nil"/>
              <w:left w:val="single" w:sz="4" w:space="0" w:color="auto"/>
              <w:bottom w:val="single" w:sz="4" w:space="0" w:color="auto"/>
              <w:right w:val="single" w:sz="4" w:space="0" w:color="auto"/>
            </w:tcBorders>
          </w:tcPr>
          <w:p w:rsidR="00565ED1" w:rsidRPr="00717B66" w:rsidRDefault="00565ED1" w:rsidP="00B8348C">
            <w:pPr>
              <w:pStyle w:val="Tabletext"/>
              <w:keepNext/>
            </w:pPr>
            <w:r w:rsidRPr="00717B66">
              <w:t>J Neurol. 257(8):</w:t>
            </w:r>
            <w:r w:rsidR="00B8348C">
              <w:t xml:space="preserve"> </w:t>
            </w:r>
            <w:r w:rsidRPr="00717B66">
              <w:t>1330-1337.</w:t>
            </w:r>
          </w:p>
        </w:tc>
      </w:tr>
    </w:tbl>
    <w:p w:rsidR="00323AA6" w:rsidRDefault="00323AA6" w:rsidP="00D77567">
      <w:pPr>
        <w:pStyle w:val="TableFooter"/>
      </w:pPr>
      <w:r>
        <w:t>Source: Table 2.5, p.43</w:t>
      </w:r>
      <w:r w:rsidR="005459CD">
        <w:t xml:space="preserve"> of the resubmission</w:t>
      </w:r>
      <w:r w:rsidR="00D77567">
        <w:t>;</w:t>
      </w:r>
      <w:r>
        <w:t xml:space="preserve"> </w:t>
      </w:r>
      <w:r w:rsidR="00057611">
        <w:t>Botox</w:t>
      </w:r>
      <w:r w:rsidR="00255197" w:rsidRPr="00FA6E19">
        <w:rPr>
          <w:vertAlign w:val="superscript"/>
        </w:rPr>
        <w:t>®</w:t>
      </w:r>
      <w:r w:rsidR="00255197">
        <w:t xml:space="preserve"> </w:t>
      </w:r>
      <w:r>
        <w:t>publications</w:t>
      </w:r>
    </w:p>
    <w:p w:rsidR="00323AA6" w:rsidRDefault="00323AA6" w:rsidP="00323AA6">
      <w:pPr>
        <w:pStyle w:val="TableFooter"/>
      </w:pPr>
    </w:p>
    <w:p w:rsidR="000B1F2B" w:rsidRDefault="000B1F2B" w:rsidP="0036686A">
      <w:pPr>
        <w:pStyle w:val="ListParagraph"/>
        <w:widowControl/>
        <w:numPr>
          <w:ilvl w:val="1"/>
          <w:numId w:val="1"/>
        </w:numPr>
        <w:ind w:left="720"/>
      </w:pPr>
      <w:r>
        <w:t xml:space="preserve">The </w:t>
      </w:r>
      <w:r w:rsidR="00C86E9F">
        <w:t xml:space="preserve">PBAC </w:t>
      </w:r>
      <w:r w:rsidR="00D7051A">
        <w:t xml:space="preserve">had previously </w:t>
      </w:r>
      <w:r w:rsidR="00C86E9F">
        <w:t xml:space="preserve">considered </w:t>
      </w:r>
      <w:r w:rsidR="00D7051A">
        <w:t xml:space="preserve">the clinical </w:t>
      </w:r>
      <w:r w:rsidR="00C86E9F">
        <w:t xml:space="preserve">evidence from the three included trials </w:t>
      </w:r>
      <w:r>
        <w:t xml:space="preserve">in the November 2018 submissions of Dysport® and Botox®. </w:t>
      </w:r>
      <w:r w:rsidR="00C86E9F">
        <w:t>No new trials were identified.</w:t>
      </w:r>
      <w:r w:rsidR="009D4604">
        <w:t xml:space="preserve"> Based on these trials, t</w:t>
      </w:r>
      <w:r w:rsidR="00AD31C3">
        <w:t xml:space="preserve">he resubmission </w:t>
      </w:r>
      <w:r w:rsidR="00B81A79">
        <w:t>presented an indirect comparison</w:t>
      </w:r>
      <w:r w:rsidR="009D4604" w:rsidRPr="00272005">
        <w:t xml:space="preserve"> </w:t>
      </w:r>
      <w:r w:rsidR="00CE615A">
        <w:t xml:space="preserve">for the improvement in MAS </w:t>
      </w:r>
      <w:r w:rsidR="00FB0781">
        <w:t xml:space="preserve">from baseline to </w:t>
      </w:r>
      <w:r w:rsidR="00CE615A">
        <w:t>Week 4.</w:t>
      </w:r>
    </w:p>
    <w:p w:rsidR="0088088D" w:rsidRPr="002207D4" w:rsidRDefault="000B1F2B" w:rsidP="0036686A">
      <w:pPr>
        <w:pStyle w:val="ListParagraph"/>
        <w:widowControl/>
        <w:numPr>
          <w:ilvl w:val="1"/>
          <w:numId w:val="1"/>
        </w:numPr>
        <w:ind w:left="720"/>
      </w:pPr>
      <w:r w:rsidRPr="00867AC2">
        <w:t>The resubmission excluded all</w:t>
      </w:r>
      <w:r w:rsidR="008F2B5E" w:rsidRPr="00867AC2">
        <w:t xml:space="preserve"> other trials of Dy</w:t>
      </w:r>
      <w:r w:rsidR="00FB0781" w:rsidRPr="00867AC2">
        <w:t>s</w:t>
      </w:r>
      <w:r w:rsidR="008F2B5E" w:rsidRPr="00867AC2">
        <w:t>port® and Botox®</w:t>
      </w:r>
      <w:r w:rsidR="00C86E9F" w:rsidRPr="00867AC2">
        <w:t xml:space="preserve"> presented</w:t>
      </w:r>
      <w:r w:rsidR="008F2B5E" w:rsidRPr="00867AC2">
        <w:t xml:space="preserve"> in the November 2018 submissions</w:t>
      </w:r>
      <w:r w:rsidR="00C86E9F" w:rsidRPr="00867AC2">
        <w:t xml:space="preserve">. </w:t>
      </w:r>
      <w:r w:rsidR="0088088D" w:rsidRPr="00867AC2">
        <w:rPr>
          <w:iCs/>
        </w:rPr>
        <w:t xml:space="preserve">The </w:t>
      </w:r>
      <w:r w:rsidR="00C65A76" w:rsidRPr="00867AC2">
        <w:rPr>
          <w:iCs/>
        </w:rPr>
        <w:t xml:space="preserve">updated </w:t>
      </w:r>
      <w:r w:rsidR="0088088D" w:rsidRPr="00867AC2">
        <w:rPr>
          <w:iCs/>
        </w:rPr>
        <w:t xml:space="preserve">literature search </w:t>
      </w:r>
      <w:r w:rsidR="00CC2F48" w:rsidRPr="00867AC2">
        <w:rPr>
          <w:iCs/>
        </w:rPr>
        <w:t xml:space="preserve">and exclusion </w:t>
      </w:r>
      <w:r w:rsidR="00AD31C3" w:rsidRPr="00867AC2">
        <w:rPr>
          <w:iCs/>
        </w:rPr>
        <w:t>of trials</w:t>
      </w:r>
      <w:r w:rsidR="00CC2F48" w:rsidRPr="00867AC2">
        <w:rPr>
          <w:iCs/>
        </w:rPr>
        <w:t xml:space="preserve"> </w:t>
      </w:r>
      <w:r w:rsidR="0088088D" w:rsidRPr="00867AC2">
        <w:rPr>
          <w:iCs/>
        </w:rPr>
        <w:t>was poorly described</w:t>
      </w:r>
      <w:r w:rsidR="00AD31C3" w:rsidRPr="00867AC2">
        <w:rPr>
          <w:iCs/>
        </w:rPr>
        <w:t xml:space="preserve"> and justified</w:t>
      </w:r>
      <w:r w:rsidR="0088088D" w:rsidRPr="00867AC2">
        <w:rPr>
          <w:iCs/>
        </w:rPr>
        <w:t xml:space="preserve">. </w:t>
      </w:r>
      <w:r w:rsidR="00024203" w:rsidRPr="00867AC2">
        <w:rPr>
          <w:iCs/>
        </w:rPr>
        <w:t>T</w:t>
      </w:r>
      <w:r w:rsidR="00CC2F48" w:rsidRPr="00867AC2">
        <w:rPr>
          <w:iCs/>
        </w:rPr>
        <w:t xml:space="preserve">he resubmission excluded trials </w:t>
      </w:r>
      <w:r w:rsidR="006921D6" w:rsidRPr="00867AC2">
        <w:rPr>
          <w:iCs/>
        </w:rPr>
        <w:t xml:space="preserve">that </w:t>
      </w:r>
      <w:r w:rsidR="0088088D" w:rsidRPr="00867AC2">
        <w:rPr>
          <w:iCs/>
        </w:rPr>
        <w:t>did not measure MAS</w:t>
      </w:r>
      <w:r w:rsidR="00CC2F48" w:rsidRPr="00867AC2">
        <w:rPr>
          <w:iCs/>
        </w:rPr>
        <w:t xml:space="preserve">, </w:t>
      </w:r>
      <w:r w:rsidR="006921D6" w:rsidRPr="00867AC2">
        <w:rPr>
          <w:iCs/>
        </w:rPr>
        <w:t>but</w:t>
      </w:r>
      <w:r w:rsidR="00CC2F48" w:rsidRPr="00867AC2">
        <w:rPr>
          <w:iCs/>
        </w:rPr>
        <w:t xml:space="preserve"> MAS is only </w:t>
      </w:r>
      <w:r w:rsidR="0088088D" w:rsidRPr="00867AC2">
        <w:rPr>
          <w:iCs/>
        </w:rPr>
        <w:t xml:space="preserve">one of several important outcomes. </w:t>
      </w:r>
      <w:r w:rsidR="00024203" w:rsidRPr="00867AC2">
        <w:rPr>
          <w:iCs/>
        </w:rPr>
        <w:t xml:space="preserve">In addition, </w:t>
      </w:r>
      <w:r w:rsidR="00CC2F48" w:rsidRPr="00867AC2">
        <w:rPr>
          <w:iCs/>
        </w:rPr>
        <w:t xml:space="preserve">the resubmission excluded two trials </w:t>
      </w:r>
      <w:r w:rsidR="00AD31C3" w:rsidRPr="00867AC2">
        <w:rPr>
          <w:iCs/>
        </w:rPr>
        <w:t xml:space="preserve">(Study 044 and Study 700) </w:t>
      </w:r>
      <w:r w:rsidR="006921D6" w:rsidRPr="00867AC2">
        <w:rPr>
          <w:iCs/>
        </w:rPr>
        <w:t xml:space="preserve">that </w:t>
      </w:r>
      <w:r w:rsidR="00CC2F48" w:rsidRPr="00867AC2">
        <w:rPr>
          <w:iCs/>
        </w:rPr>
        <w:t xml:space="preserve">reported MAS and compared the Dysport® </w:t>
      </w:r>
      <w:r w:rsidR="00AD31C3" w:rsidRPr="00867AC2">
        <w:rPr>
          <w:iCs/>
        </w:rPr>
        <w:t xml:space="preserve">1500U </w:t>
      </w:r>
      <w:r w:rsidR="00CC2F48" w:rsidRPr="00867AC2">
        <w:rPr>
          <w:iCs/>
        </w:rPr>
        <w:t xml:space="preserve">to </w:t>
      </w:r>
      <w:r w:rsidR="00BC233A">
        <w:rPr>
          <w:iCs/>
        </w:rPr>
        <w:t>placebo</w:t>
      </w:r>
      <w:r w:rsidR="00BC233A" w:rsidRPr="00867AC2">
        <w:rPr>
          <w:iCs/>
        </w:rPr>
        <w:t xml:space="preserve"> </w:t>
      </w:r>
      <w:r w:rsidR="00CC2F48" w:rsidRPr="00867AC2">
        <w:rPr>
          <w:iCs/>
        </w:rPr>
        <w:t>in the relevant population (</w:t>
      </w:r>
      <w:r w:rsidR="002810CF" w:rsidRPr="00867AC2">
        <w:rPr>
          <w:iCs/>
        </w:rPr>
        <w:t xml:space="preserve">i.e. </w:t>
      </w:r>
      <w:r w:rsidR="00CC2F48" w:rsidRPr="00867AC2">
        <w:rPr>
          <w:iCs/>
        </w:rPr>
        <w:t>LLFS following stroke</w:t>
      </w:r>
      <w:r w:rsidR="00AD31C3" w:rsidRPr="00867AC2">
        <w:rPr>
          <w:iCs/>
        </w:rPr>
        <w:t>)</w:t>
      </w:r>
      <w:r w:rsidR="00024203" w:rsidRPr="00867AC2">
        <w:rPr>
          <w:iCs/>
        </w:rPr>
        <w:t xml:space="preserve"> without adequate justification</w:t>
      </w:r>
      <w:r w:rsidR="00CC2F48" w:rsidRPr="00867AC2">
        <w:rPr>
          <w:iCs/>
        </w:rPr>
        <w:t>.</w:t>
      </w:r>
      <w:r w:rsidR="00522C8E">
        <w:rPr>
          <w:iCs/>
        </w:rPr>
        <w:t xml:space="preserve"> </w:t>
      </w:r>
      <w:r w:rsidR="00E30D38" w:rsidRPr="002207D4">
        <w:rPr>
          <w:iCs/>
        </w:rPr>
        <w:t>The PSCR stated that Study 044 and Study 700 were presented in detail as an appendix to the original submission in November 2018 and were determined by the evaluation then to be “less applicable to the proposed listing than the main trial (Study 140) due to differences in reported outcomes, data analysis and/or administration of lower doses of Dysport</w:t>
      </w:r>
      <w:r w:rsidR="00981037" w:rsidRPr="002207D4">
        <w:rPr>
          <w:rFonts w:cs="Calibri"/>
          <w:iCs/>
        </w:rPr>
        <w:t>®</w:t>
      </w:r>
      <w:r w:rsidR="00E30D38" w:rsidRPr="002207D4">
        <w:rPr>
          <w:iCs/>
        </w:rPr>
        <w:t>”.</w:t>
      </w:r>
      <w:r w:rsidR="00296510">
        <w:rPr>
          <w:iCs/>
        </w:rPr>
        <w:t xml:space="preserve"> </w:t>
      </w:r>
    </w:p>
    <w:p w:rsidR="0033404C" w:rsidRPr="0033404C" w:rsidRDefault="008F120A" w:rsidP="0036686A">
      <w:pPr>
        <w:pStyle w:val="ListParagraph"/>
        <w:widowControl/>
        <w:numPr>
          <w:ilvl w:val="1"/>
          <w:numId w:val="1"/>
        </w:numPr>
        <w:ind w:left="720"/>
      </w:pPr>
      <w:r w:rsidRPr="00B50DB8">
        <w:t xml:space="preserve">The key features of the </w:t>
      </w:r>
      <w:r w:rsidR="0033404C">
        <w:t xml:space="preserve">included </w:t>
      </w:r>
      <w:r w:rsidR="00BC233A">
        <w:t>randomised trials</w:t>
      </w:r>
      <w:r w:rsidR="00BC233A" w:rsidRPr="00B50DB8">
        <w:t xml:space="preserve"> </w:t>
      </w:r>
      <w:r w:rsidRPr="00B50DB8">
        <w:t xml:space="preserve">are </w:t>
      </w:r>
      <w:r w:rsidRPr="00855D2B">
        <w:t xml:space="preserve">summarised in </w:t>
      </w:r>
      <w:r w:rsidR="00074D59" w:rsidRPr="00074D59">
        <w:t xml:space="preserve">Table </w:t>
      </w:r>
      <w:r w:rsidR="00074D59" w:rsidRPr="00074D59">
        <w:rPr>
          <w:noProof/>
        </w:rPr>
        <w:t>3</w:t>
      </w:r>
      <w:r w:rsidR="00855D2B" w:rsidRPr="00855D2B">
        <w:t>.</w:t>
      </w:r>
    </w:p>
    <w:p w:rsidR="00FD3D25" w:rsidRDefault="00FD3D25" w:rsidP="00FD3D25">
      <w:pPr>
        <w:pStyle w:val="TableHeading0"/>
      </w:pPr>
      <w:r>
        <w:lastRenderedPageBreak/>
        <w:t xml:space="preserve">Table </w:t>
      </w:r>
      <w:r w:rsidR="008C0876">
        <w:fldChar w:fldCharType="begin"/>
      </w:r>
      <w:r w:rsidR="008C0876">
        <w:instrText xml:space="preserve"> SEQ Table \* ARABIC </w:instrText>
      </w:r>
      <w:r w:rsidR="008C0876">
        <w:fldChar w:fldCharType="separate"/>
      </w:r>
      <w:r w:rsidR="00915F21">
        <w:rPr>
          <w:noProof/>
        </w:rPr>
        <w:t>3</w:t>
      </w:r>
      <w:r w:rsidR="008C0876">
        <w:rPr>
          <w:noProof/>
        </w:rPr>
        <w:fldChar w:fldCharType="end"/>
      </w:r>
      <w:r w:rsidRPr="0057268D">
        <w:t>: Key features of the included evidence</w:t>
      </w:r>
    </w:p>
    <w:tbl>
      <w:tblPr>
        <w:tblStyle w:val="TableGrid"/>
        <w:tblW w:w="5000" w:type="pct"/>
        <w:tblCellMar>
          <w:left w:w="28" w:type="dxa"/>
          <w:right w:w="28" w:type="dxa"/>
        </w:tblCellMar>
        <w:tblLook w:val="04A0" w:firstRow="1" w:lastRow="0" w:firstColumn="1" w:lastColumn="0" w:noHBand="0" w:noVBand="1"/>
        <w:tblCaption w:val="Table 3: Key features of the included evidence"/>
      </w:tblPr>
      <w:tblGrid>
        <w:gridCol w:w="846"/>
        <w:gridCol w:w="568"/>
        <w:gridCol w:w="1558"/>
        <w:gridCol w:w="1048"/>
        <w:gridCol w:w="3205"/>
        <w:gridCol w:w="1338"/>
        <w:gridCol w:w="454"/>
      </w:tblGrid>
      <w:tr w:rsidR="0033404C" w:rsidRPr="0027346A" w:rsidTr="00FF1017">
        <w:trPr>
          <w:tblHeader/>
        </w:trPr>
        <w:tc>
          <w:tcPr>
            <w:tcW w:w="469" w:type="pct"/>
            <w:vAlign w:val="center"/>
          </w:tcPr>
          <w:p w:rsidR="0033404C" w:rsidRPr="0027346A" w:rsidRDefault="0033404C" w:rsidP="00FC6A7C">
            <w:pPr>
              <w:pStyle w:val="Tabletext"/>
              <w:keepNext/>
              <w:jc w:val="center"/>
              <w:rPr>
                <w:rStyle w:val="CommentReference"/>
              </w:rPr>
            </w:pPr>
            <w:r w:rsidRPr="0027346A">
              <w:rPr>
                <w:b/>
              </w:rPr>
              <w:t>Trial</w:t>
            </w:r>
          </w:p>
        </w:tc>
        <w:tc>
          <w:tcPr>
            <w:tcW w:w="315" w:type="pct"/>
            <w:vAlign w:val="center"/>
          </w:tcPr>
          <w:p w:rsidR="0033404C" w:rsidRPr="0027346A" w:rsidRDefault="0033404C" w:rsidP="00FC6A7C">
            <w:pPr>
              <w:pStyle w:val="Tabletext"/>
              <w:keepNext/>
              <w:jc w:val="center"/>
              <w:rPr>
                <w:rStyle w:val="CommentReference"/>
              </w:rPr>
            </w:pPr>
            <w:r w:rsidRPr="0027346A">
              <w:rPr>
                <w:b/>
              </w:rPr>
              <w:t>N</w:t>
            </w:r>
          </w:p>
        </w:tc>
        <w:tc>
          <w:tcPr>
            <w:tcW w:w="864" w:type="pct"/>
            <w:vAlign w:val="center"/>
          </w:tcPr>
          <w:p w:rsidR="0033404C" w:rsidRPr="0027346A" w:rsidRDefault="0033404C" w:rsidP="00FC6A7C">
            <w:pPr>
              <w:pStyle w:val="Tabletext"/>
              <w:keepNext/>
              <w:jc w:val="center"/>
              <w:rPr>
                <w:b/>
              </w:rPr>
            </w:pPr>
            <w:r w:rsidRPr="0027346A">
              <w:rPr>
                <w:b/>
              </w:rPr>
              <w:t>Population</w:t>
            </w:r>
          </w:p>
        </w:tc>
        <w:tc>
          <w:tcPr>
            <w:tcW w:w="581" w:type="pct"/>
            <w:vAlign w:val="center"/>
          </w:tcPr>
          <w:p w:rsidR="0033404C" w:rsidRPr="0027346A" w:rsidRDefault="0033404C" w:rsidP="00FC6A7C">
            <w:pPr>
              <w:pStyle w:val="Tabletext"/>
              <w:keepNext/>
              <w:jc w:val="center"/>
              <w:rPr>
                <w:rStyle w:val="CommentReference"/>
              </w:rPr>
            </w:pPr>
            <w:r w:rsidRPr="0027346A">
              <w:rPr>
                <w:b/>
              </w:rPr>
              <w:t>Design</w:t>
            </w:r>
            <w:r w:rsidR="00FF1017">
              <w:rPr>
                <w:b/>
              </w:rPr>
              <w:t>/ duration</w:t>
            </w:r>
          </w:p>
        </w:tc>
        <w:tc>
          <w:tcPr>
            <w:tcW w:w="1777" w:type="pct"/>
            <w:vAlign w:val="center"/>
          </w:tcPr>
          <w:p w:rsidR="0033404C" w:rsidRPr="0027346A" w:rsidRDefault="0033404C" w:rsidP="00FC6A7C">
            <w:pPr>
              <w:pStyle w:val="Tabletext"/>
              <w:keepNext/>
              <w:jc w:val="center"/>
              <w:rPr>
                <w:b/>
              </w:rPr>
            </w:pPr>
            <w:r w:rsidRPr="0027346A">
              <w:rPr>
                <w:b/>
              </w:rPr>
              <w:t>Interventions</w:t>
            </w:r>
          </w:p>
        </w:tc>
        <w:tc>
          <w:tcPr>
            <w:tcW w:w="742" w:type="pct"/>
            <w:vAlign w:val="center"/>
          </w:tcPr>
          <w:p w:rsidR="0033404C" w:rsidRPr="0027346A" w:rsidRDefault="0033404C" w:rsidP="00FC6A7C">
            <w:pPr>
              <w:pStyle w:val="Tabletext"/>
              <w:keepNext/>
              <w:jc w:val="center"/>
              <w:rPr>
                <w:rStyle w:val="CommentReference"/>
              </w:rPr>
            </w:pPr>
            <w:r w:rsidRPr="0027346A">
              <w:rPr>
                <w:b/>
              </w:rPr>
              <w:t>Key Outcomes</w:t>
            </w:r>
          </w:p>
        </w:tc>
        <w:tc>
          <w:tcPr>
            <w:tcW w:w="252" w:type="pct"/>
            <w:vAlign w:val="center"/>
          </w:tcPr>
          <w:p w:rsidR="0033404C" w:rsidRPr="0027346A" w:rsidRDefault="0033404C" w:rsidP="00FC6A7C">
            <w:pPr>
              <w:pStyle w:val="Tabletext"/>
              <w:keepNext/>
              <w:jc w:val="center"/>
              <w:rPr>
                <w:b/>
              </w:rPr>
            </w:pPr>
            <w:r w:rsidRPr="0027346A">
              <w:rPr>
                <w:b/>
              </w:rPr>
              <w:t>Bias</w:t>
            </w:r>
          </w:p>
        </w:tc>
      </w:tr>
      <w:tr w:rsidR="0033404C" w:rsidRPr="000233E5" w:rsidTr="00C01CB8">
        <w:tc>
          <w:tcPr>
            <w:tcW w:w="5000" w:type="pct"/>
            <w:gridSpan w:val="7"/>
            <w:shd w:val="clear" w:color="auto" w:fill="auto"/>
            <w:vAlign w:val="center"/>
          </w:tcPr>
          <w:p w:rsidR="0033404C" w:rsidRPr="000233E5" w:rsidRDefault="0033404C" w:rsidP="00255197">
            <w:pPr>
              <w:pStyle w:val="Tabletext"/>
              <w:keepNext/>
              <w:rPr>
                <w:rStyle w:val="CommentReference"/>
                <w:iCs/>
              </w:rPr>
            </w:pPr>
            <w:r w:rsidRPr="000233E5">
              <w:rPr>
                <w:rStyle w:val="CommentReference"/>
                <w:iCs/>
              </w:rPr>
              <w:t>Dysport</w:t>
            </w:r>
            <w:r w:rsidR="00255197" w:rsidRPr="00FA6E19">
              <w:rPr>
                <w:vertAlign w:val="superscript"/>
              </w:rPr>
              <w:t>®</w:t>
            </w:r>
            <w:r w:rsidRPr="000233E5">
              <w:rPr>
                <w:rStyle w:val="CommentReference"/>
                <w:iCs/>
              </w:rPr>
              <w:t xml:space="preserve"> vs. PBO</w:t>
            </w:r>
          </w:p>
        </w:tc>
      </w:tr>
      <w:tr w:rsidR="0033404C" w:rsidRPr="0027346A" w:rsidTr="00B8348C">
        <w:tc>
          <w:tcPr>
            <w:tcW w:w="469" w:type="pct"/>
            <w:shd w:val="clear" w:color="auto" w:fill="auto"/>
          </w:tcPr>
          <w:p w:rsidR="0033404C" w:rsidRPr="0027346A" w:rsidRDefault="0033404C" w:rsidP="00B8348C">
            <w:pPr>
              <w:pStyle w:val="TableText0"/>
              <w:spacing w:before="0" w:after="0"/>
            </w:pPr>
            <w:r w:rsidRPr="0027346A">
              <w:t>Study 140</w:t>
            </w:r>
          </w:p>
          <w:p w:rsidR="0033404C" w:rsidRPr="0027346A" w:rsidRDefault="0033404C" w:rsidP="00B8348C">
            <w:pPr>
              <w:pStyle w:val="TableText0"/>
              <w:spacing w:before="0" w:after="0"/>
            </w:pPr>
          </w:p>
          <w:p w:rsidR="0033404C" w:rsidRPr="0027346A" w:rsidRDefault="0033404C" w:rsidP="00B8348C">
            <w:pPr>
              <w:pStyle w:val="TableText0"/>
              <w:spacing w:before="0" w:after="0"/>
              <w:rPr>
                <w:rStyle w:val="CommentReference"/>
                <w:b w:val="0"/>
                <w:szCs w:val="22"/>
              </w:rPr>
            </w:pPr>
            <w:r>
              <w:t>[</w:t>
            </w:r>
            <w:r w:rsidRPr="0027346A">
              <w:t>Multi-country</w:t>
            </w:r>
            <w:r>
              <w:t>]</w:t>
            </w:r>
          </w:p>
        </w:tc>
        <w:tc>
          <w:tcPr>
            <w:tcW w:w="315" w:type="pct"/>
            <w:shd w:val="clear" w:color="auto" w:fill="auto"/>
          </w:tcPr>
          <w:p w:rsidR="0033404C" w:rsidRPr="0027346A" w:rsidRDefault="0033404C" w:rsidP="00B8348C">
            <w:pPr>
              <w:pStyle w:val="Tabletext"/>
              <w:keepNext/>
              <w:jc w:val="center"/>
            </w:pPr>
            <w:r w:rsidRPr="0027346A">
              <w:t>ITT:</w:t>
            </w:r>
          </w:p>
          <w:p w:rsidR="0033404C" w:rsidRPr="002316A0" w:rsidRDefault="0033404C" w:rsidP="00B8348C">
            <w:pPr>
              <w:pStyle w:val="Tabletext"/>
              <w:keepNext/>
              <w:jc w:val="center"/>
            </w:pPr>
            <w:r w:rsidRPr="002316A0">
              <w:t>388</w:t>
            </w:r>
          </w:p>
          <w:p w:rsidR="0033404C" w:rsidRPr="0027346A" w:rsidRDefault="0033404C" w:rsidP="00B8348C">
            <w:pPr>
              <w:pStyle w:val="Tabletext"/>
              <w:keepNext/>
              <w:jc w:val="center"/>
            </w:pPr>
          </w:p>
          <w:p w:rsidR="0033404C" w:rsidRPr="0027346A" w:rsidRDefault="0033404C" w:rsidP="00B8348C">
            <w:pPr>
              <w:pStyle w:val="Tabletext"/>
              <w:keepNext/>
              <w:jc w:val="center"/>
              <w:rPr>
                <w:i/>
                <w:iCs/>
              </w:rPr>
            </w:pPr>
            <w:r w:rsidRPr="0027346A">
              <w:rPr>
                <w:i/>
                <w:iCs/>
              </w:rPr>
              <w:t>PBS:</w:t>
            </w:r>
          </w:p>
          <w:p w:rsidR="0033404C" w:rsidRPr="0027346A" w:rsidRDefault="0033404C" w:rsidP="00B8348C">
            <w:pPr>
              <w:pStyle w:val="Tabletext"/>
              <w:keepNext/>
              <w:jc w:val="center"/>
              <w:rPr>
                <w:rStyle w:val="CommentReference"/>
                <w:b w:val="0"/>
                <w:szCs w:val="22"/>
              </w:rPr>
            </w:pPr>
            <w:r w:rsidRPr="002316A0">
              <w:rPr>
                <w:i/>
                <w:iCs/>
              </w:rPr>
              <w:t>249</w:t>
            </w:r>
          </w:p>
        </w:tc>
        <w:tc>
          <w:tcPr>
            <w:tcW w:w="864" w:type="pct"/>
            <w:vMerge w:val="restart"/>
          </w:tcPr>
          <w:p w:rsidR="0033404C" w:rsidRPr="00867AC2" w:rsidRDefault="0033404C" w:rsidP="00B8348C">
            <w:pPr>
              <w:pStyle w:val="Tabletext"/>
              <w:keepNext/>
              <w:rPr>
                <w:iCs/>
                <w:snapToGrid w:val="0"/>
                <w:szCs w:val="20"/>
                <w:u w:val="single"/>
              </w:rPr>
            </w:pPr>
            <w:r w:rsidRPr="00867AC2">
              <w:rPr>
                <w:snapToGrid w:val="0"/>
                <w:szCs w:val="20"/>
                <w:u w:val="single"/>
              </w:rPr>
              <w:t>ITT:</w:t>
            </w:r>
            <w:r w:rsidRPr="00867AC2">
              <w:rPr>
                <w:snapToGrid w:val="0"/>
                <w:szCs w:val="20"/>
              </w:rPr>
              <w:t xml:space="preserve"> Spastic hemiparesis causing gait dysfunction post-stroke or TBI (≥</w:t>
            </w:r>
            <w:r w:rsidR="00B8348C">
              <w:rPr>
                <w:snapToGrid w:val="0"/>
                <w:szCs w:val="20"/>
              </w:rPr>
              <w:t xml:space="preserve"> </w:t>
            </w:r>
            <w:r w:rsidRPr="00867AC2">
              <w:rPr>
                <w:snapToGrid w:val="0"/>
                <w:szCs w:val="20"/>
              </w:rPr>
              <w:t>6</w:t>
            </w:r>
            <w:r w:rsidR="00B8348C">
              <w:rPr>
                <w:snapToGrid w:val="0"/>
                <w:szCs w:val="20"/>
              </w:rPr>
              <w:t xml:space="preserve"> </w:t>
            </w:r>
            <w:r w:rsidRPr="00867AC2">
              <w:rPr>
                <w:snapToGrid w:val="0"/>
                <w:szCs w:val="20"/>
              </w:rPr>
              <w:t>m</w:t>
            </w:r>
            <w:r w:rsidR="00B8348C">
              <w:rPr>
                <w:snapToGrid w:val="0"/>
                <w:szCs w:val="20"/>
              </w:rPr>
              <w:t>on</w:t>
            </w:r>
            <w:r w:rsidRPr="00867AC2">
              <w:rPr>
                <w:snapToGrid w:val="0"/>
                <w:szCs w:val="20"/>
              </w:rPr>
              <w:t>th</w:t>
            </w:r>
            <w:r w:rsidR="00B8348C">
              <w:rPr>
                <w:snapToGrid w:val="0"/>
                <w:szCs w:val="20"/>
              </w:rPr>
              <w:t>s</w:t>
            </w:r>
            <w:r w:rsidRPr="00867AC2">
              <w:rPr>
                <w:snapToGrid w:val="0"/>
                <w:szCs w:val="20"/>
              </w:rPr>
              <w:t xml:space="preserve"> prior), GSC MAS</w:t>
            </w:r>
            <w:r w:rsidR="000233E5" w:rsidRPr="00867AC2">
              <w:rPr>
                <w:snapToGrid w:val="0"/>
                <w:szCs w:val="20"/>
              </w:rPr>
              <w:t xml:space="preserve"> </w:t>
            </w:r>
            <w:r w:rsidRPr="00867AC2">
              <w:rPr>
                <w:snapToGrid w:val="0"/>
                <w:szCs w:val="20"/>
              </w:rPr>
              <w:t>≥</w:t>
            </w:r>
            <w:r w:rsidR="000233E5" w:rsidRPr="00867AC2">
              <w:rPr>
                <w:snapToGrid w:val="0"/>
                <w:szCs w:val="20"/>
              </w:rPr>
              <w:t xml:space="preserve"> </w:t>
            </w:r>
            <w:r w:rsidRPr="00867AC2">
              <w:rPr>
                <w:snapToGrid w:val="0"/>
                <w:szCs w:val="20"/>
              </w:rPr>
              <w:t xml:space="preserve">2 </w:t>
            </w:r>
            <w:r w:rsidR="002F424E" w:rsidRPr="00867AC2">
              <w:rPr>
                <w:snapToGrid w:val="0"/>
                <w:szCs w:val="20"/>
              </w:rPr>
              <w:t xml:space="preserve">in </w:t>
            </w:r>
            <w:r w:rsidRPr="00867AC2">
              <w:rPr>
                <w:snapToGrid w:val="0"/>
                <w:szCs w:val="20"/>
              </w:rPr>
              <w:t>toxin</w:t>
            </w:r>
            <w:r w:rsidR="002F424E" w:rsidRPr="00867AC2">
              <w:rPr>
                <w:snapToGrid w:val="0"/>
                <w:szCs w:val="20"/>
              </w:rPr>
              <w:t>-</w:t>
            </w:r>
            <w:r w:rsidRPr="00867AC2">
              <w:rPr>
                <w:snapToGrid w:val="0"/>
                <w:szCs w:val="20"/>
              </w:rPr>
              <w:t>naïve or MAS</w:t>
            </w:r>
            <w:r w:rsidR="000233E5" w:rsidRPr="00867AC2">
              <w:rPr>
                <w:snapToGrid w:val="0"/>
                <w:szCs w:val="20"/>
              </w:rPr>
              <w:t xml:space="preserve"> </w:t>
            </w:r>
            <w:r w:rsidRPr="00867AC2">
              <w:rPr>
                <w:snapToGrid w:val="0"/>
                <w:szCs w:val="20"/>
              </w:rPr>
              <w:t>≥</w:t>
            </w:r>
            <w:r w:rsidR="000233E5" w:rsidRPr="00867AC2">
              <w:rPr>
                <w:snapToGrid w:val="0"/>
                <w:szCs w:val="20"/>
              </w:rPr>
              <w:t xml:space="preserve"> </w:t>
            </w:r>
            <w:r w:rsidRPr="00867AC2">
              <w:rPr>
                <w:snapToGrid w:val="0"/>
                <w:szCs w:val="20"/>
              </w:rPr>
              <w:t xml:space="preserve">3 </w:t>
            </w:r>
            <w:r w:rsidR="002F424E" w:rsidRPr="00867AC2">
              <w:rPr>
                <w:snapToGrid w:val="0"/>
                <w:szCs w:val="20"/>
              </w:rPr>
              <w:t>in toxin-experienced</w:t>
            </w:r>
          </w:p>
          <w:p w:rsidR="0033404C" w:rsidRPr="00867AC2" w:rsidRDefault="0033404C" w:rsidP="00B8348C">
            <w:pPr>
              <w:pStyle w:val="Tabletext"/>
              <w:keepNext/>
              <w:rPr>
                <w:iCs/>
              </w:rPr>
            </w:pPr>
            <w:r w:rsidRPr="00867AC2">
              <w:rPr>
                <w:iCs/>
                <w:snapToGrid w:val="0"/>
                <w:szCs w:val="20"/>
                <w:u w:val="single"/>
              </w:rPr>
              <w:t xml:space="preserve">PBS population: </w:t>
            </w:r>
            <w:r w:rsidRPr="00867AC2">
              <w:rPr>
                <w:iCs/>
                <w:snapToGrid w:val="0"/>
                <w:szCs w:val="20"/>
              </w:rPr>
              <w:t>Subgroup post-stroke with MAS</w:t>
            </w:r>
            <w:r w:rsidR="000233E5" w:rsidRPr="00867AC2">
              <w:rPr>
                <w:iCs/>
                <w:snapToGrid w:val="0"/>
                <w:szCs w:val="20"/>
              </w:rPr>
              <w:t xml:space="preserve"> </w:t>
            </w:r>
            <w:r w:rsidRPr="00867AC2">
              <w:rPr>
                <w:iCs/>
                <w:snapToGrid w:val="0"/>
                <w:szCs w:val="20"/>
              </w:rPr>
              <w:t>≥</w:t>
            </w:r>
            <w:r w:rsidR="000233E5" w:rsidRPr="00867AC2">
              <w:rPr>
                <w:iCs/>
                <w:snapToGrid w:val="0"/>
                <w:szCs w:val="20"/>
              </w:rPr>
              <w:t xml:space="preserve"> </w:t>
            </w:r>
            <w:r w:rsidRPr="00867AC2">
              <w:rPr>
                <w:iCs/>
                <w:snapToGrid w:val="0"/>
                <w:szCs w:val="20"/>
              </w:rPr>
              <w:t>3</w:t>
            </w:r>
          </w:p>
        </w:tc>
        <w:tc>
          <w:tcPr>
            <w:tcW w:w="581" w:type="pct"/>
            <w:shd w:val="clear" w:color="auto" w:fill="auto"/>
          </w:tcPr>
          <w:p w:rsidR="0033404C" w:rsidRPr="00867AC2" w:rsidRDefault="0033404C" w:rsidP="00B8348C">
            <w:pPr>
              <w:pStyle w:val="Tabletext"/>
              <w:keepNext/>
              <w:jc w:val="center"/>
              <w:rPr>
                <w:rStyle w:val="CommentReference"/>
              </w:rPr>
            </w:pPr>
            <w:r w:rsidRPr="00867AC2">
              <w:t>P3, R, DB</w:t>
            </w:r>
            <w:r w:rsidR="00B8348C">
              <w:t>;</w:t>
            </w:r>
            <w:r w:rsidRPr="00867AC2">
              <w:t xml:space="preserve"> </w:t>
            </w:r>
            <w:r w:rsidR="00FF1017" w:rsidRPr="00867AC2">
              <w:br/>
            </w:r>
            <w:r w:rsidRPr="00867AC2">
              <w:t>12-24</w:t>
            </w:r>
            <w:r w:rsidR="00B8348C">
              <w:t xml:space="preserve"> </w:t>
            </w:r>
            <w:r w:rsidRPr="00867AC2">
              <w:t>w</w:t>
            </w:r>
            <w:r w:rsidR="00B8348C">
              <w:t>ee</w:t>
            </w:r>
            <w:r w:rsidRPr="00867AC2">
              <w:t>k follow-up</w:t>
            </w:r>
          </w:p>
        </w:tc>
        <w:tc>
          <w:tcPr>
            <w:tcW w:w="1777" w:type="pct"/>
            <w:vMerge w:val="restart"/>
          </w:tcPr>
          <w:p w:rsidR="0033404C" w:rsidRPr="0027346A" w:rsidRDefault="0033404C" w:rsidP="00B8348C">
            <w:pPr>
              <w:pStyle w:val="Tabletext"/>
              <w:keepNext/>
              <w:rPr>
                <w:b/>
                <w:bCs/>
                <w:snapToGrid w:val="0"/>
                <w:szCs w:val="20"/>
                <w:u w:val="single"/>
              </w:rPr>
            </w:pPr>
            <w:r w:rsidRPr="0027346A">
              <w:rPr>
                <w:b/>
                <w:bCs/>
                <w:snapToGrid w:val="0"/>
                <w:szCs w:val="20"/>
                <w:u w:val="single"/>
              </w:rPr>
              <w:t>Interventions:</w:t>
            </w:r>
          </w:p>
          <w:p w:rsidR="0033404C" w:rsidRPr="0027346A" w:rsidRDefault="0033404C" w:rsidP="00B8348C">
            <w:pPr>
              <w:pStyle w:val="TableText0"/>
              <w:numPr>
                <w:ilvl w:val="0"/>
                <w:numId w:val="13"/>
              </w:numPr>
              <w:spacing w:before="0" w:after="0"/>
              <w:ind w:left="176" w:hanging="119"/>
              <w:rPr>
                <w:rFonts w:eastAsia="Times New Roman" w:cs="Times New Roman"/>
              </w:rPr>
            </w:pPr>
            <w:r w:rsidRPr="0027346A">
              <w:rPr>
                <w:rFonts w:eastAsia="Times New Roman" w:cs="Times New Roman"/>
                <w:snapToGrid w:val="0"/>
                <w:szCs w:val="20"/>
                <w:u w:val="single"/>
              </w:rPr>
              <w:t>DB</w:t>
            </w:r>
            <w:r w:rsidRPr="0027346A">
              <w:rPr>
                <w:snapToGrid w:val="0"/>
                <w:szCs w:val="20"/>
                <w:u w:val="single"/>
              </w:rPr>
              <w:t xml:space="preserve"> phase:</w:t>
            </w:r>
            <w:r w:rsidRPr="0027346A">
              <w:rPr>
                <w:snapToGrid w:val="0"/>
                <w:szCs w:val="20"/>
              </w:rPr>
              <w:t xml:space="preserve"> </w:t>
            </w:r>
            <w:r w:rsidRPr="0027346A">
              <w:rPr>
                <w:rFonts w:eastAsia="Times New Roman" w:cs="Times New Roman"/>
              </w:rPr>
              <w:t xml:space="preserve">single injection </w:t>
            </w:r>
            <w:r w:rsidR="00057611">
              <w:rPr>
                <w:rFonts w:eastAsia="Times New Roman" w:cs="Times New Roman"/>
              </w:rPr>
              <w:t>Dysport</w:t>
            </w:r>
            <w:r w:rsidR="00255197" w:rsidRPr="00FA6E19">
              <w:rPr>
                <w:vertAlign w:val="superscript"/>
              </w:rPr>
              <w:t>®</w:t>
            </w:r>
            <w:r w:rsidR="00255197">
              <w:rPr>
                <w:rFonts w:eastAsia="Times New Roman" w:cs="Times New Roman"/>
              </w:rPr>
              <w:t xml:space="preserve"> </w:t>
            </w:r>
            <w:r w:rsidRPr="0027346A">
              <w:rPr>
                <w:rFonts w:eastAsia="Times New Roman" w:cs="Times New Roman"/>
              </w:rPr>
              <w:t>(1000U or 1500U) vs. PBO.</w:t>
            </w:r>
          </w:p>
          <w:p w:rsidR="0033404C" w:rsidRPr="0027346A" w:rsidRDefault="0033404C" w:rsidP="00B8348C">
            <w:pPr>
              <w:pStyle w:val="TableText0"/>
              <w:numPr>
                <w:ilvl w:val="0"/>
                <w:numId w:val="13"/>
              </w:numPr>
              <w:spacing w:before="0" w:after="0"/>
              <w:ind w:left="175" w:hanging="119"/>
            </w:pPr>
            <w:r w:rsidRPr="0027346A">
              <w:rPr>
                <w:snapToGrid w:val="0"/>
                <w:szCs w:val="20"/>
                <w:u w:val="single"/>
              </w:rPr>
              <w:t>OL phase:</w:t>
            </w:r>
            <w:r w:rsidRPr="0027346A">
              <w:t xml:space="preserve"> four injections every 12-24</w:t>
            </w:r>
            <w:r w:rsidR="00B8348C">
              <w:t xml:space="preserve"> </w:t>
            </w:r>
            <w:r w:rsidRPr="0027346A">
              <w:t>w</w:t>
            </w:r>
            <w:r w:rsidR="00B8348C">
              <w:t>eeks</w:t>
            </w:r>
            <w:r w:rsidRPr="0027346A">
              <w:t xml:space="preserve"> </w:t>
            </w:r>
            <w:r w:rsidR="00057611">
              <w:rPr>
                <w:rFonts w:eastAsia="Times New Roman" w:cs="Times New Roman"/>
              </w:rPr>
              <w:t>Dysport</w:t>
            </w:r>
            <w:r w:rsidR="00255197" w:rsidRPr="00FA6E19">
              <w:rPr>
                <w:vertAlign w:val="superscript"/>
              </w:rPr>
              <w:t>®</w:t>
            </w:r>
            <w:r w:rsidR="00255197">
              <w:rPr>
                <w:vertAlign w:val="superscript"/>
              </w:rPr>
              <w:t xml:space="preserve"> </w:t>
            </w:r>
            <w:r w:rsidRPr="0027346A">
              <w:rPr>
                <w:rFonts w:eastAsia="Times New Roman" w:cs="Times New Roman"/>
              </w:rPr>
              <w:t>1500U (or 1000U if AEs).</w:t>
            </w:r>
          </w:p>
          <w:p w:rsidR="0033404C" w:rsidRPr="0027346A" w:rsidRDefault="0033404C" w:rsidP="00B8348C">
            <w:pPr>
              <w:pStyle w:val="Tabletext"/>
              <w:keepNext/>
              <w:rPr>
                <w:snapToGrid w:val="0"/>
                <w:szCs w:val="20"/>
              </w:rPr>
            </w:pPr>
            <w:r w:rsidRPr="0027346A">
              <w:rPr>
                <w:b/>
                <w:bCs/>
                <w:snapToGrid w:val="0"/>
                <w:szCs w:val="20"/>
                <w:u w:val="single"/>
              </w:rPr>
              <w:t>Muscles injected</w:t>
            </w:r>
            <w:r w:rsidRPr="009E5A70">
              <w:rPr>
                <w:snapToGrid w:val="0"/>
                <w:szCs w:val="20"/>
              </w:rPr>
              <w:t xml:space="preserve"> </w:t>
            </w:r>
            <w:r w:rsidRPr="0027346A">
              <w:rPr>
                <w:snapToGrid w:val="0"/>
                <w:szCs w:val="20"/>
                <w:u w:val="single"/>
              </w:rPr>
              <w:t>(</w:t>
            </w:r>
            <w:r w:rsidRPr="0027346A">
              <w:rPr>
                <w:snapToGrid w:val="0"/>
                <w:szCs w:val="20"/>
              </w:rPr>
              <w:t>ES-guided):</w:t>
            </w:r>
          </w:p>
          <w:p w:rsidR="0033404C" w:rsidRPr="0027346A" w:rsidRDefault="0033404C" w:rsidP="00B8348C">
            <w:pPr>
              <w:pStyle w:val="TableText0"/>
              <w:numPr>
                <w:ilvl w:val="0"/>
                <w:numId w:val="13"/>
              </w:numPr>
              <w:spacing w:before="0" w:after="0"/>
              <w:ind w:left="175" w:hanging="119"/>
              <w:rPr>
                <w:rFonts w:eastAsia="Times New Roman" w:cs="Times New Roman"/>
                <w:snapToGrid w:val="0"/>
                <w:szCs w:val="20"/>
              </w:rPr>
            </w:pPr>
            <w:r w:rsidRPr="0027346A">
              <w:rPr>
                <w:rFonts w:eastAsia="Times New Roman" w:cs="Times New Roman"/>
                <w:snapToGrid w:val="0"/>
                <w:szCs w:val="20"/>
                <w:u w:val="single"/>
              </w:rPr>
              <w:t>Mandatory:</w:t>
            </w:r>
            <w:r w:rsidRPr="0027346A">
              <w:rPr>
                <w:rFonts w:eastAsia="Times New Roman" w:cs="Times New Roman"/>
                <w:snapToGrid w:val="0"/>
                <w:szCs w:val="20"/>
              </w:rPr>
              <w:t xml:space="preserve"> Gastrocnemius, soleus</w:t>
            </w:r>
          </w:p>
          <w:p w:rsidR="0033404C" w:rsidRPr="0027346A" w:rsidRDefault="0033404C" w:rsidP="00B8348C">
            <w:pPr>
              <w:pStyle w:val="TableText0"/>
              <w:numPr>
                <w:ilvl w:val="0"/>
                <w:numId w:val="13"/>
              </w:numPr>
              <w:spacing w:before="0" w:after="0"/>
              <w:ind w:left="175" w:hanging="119"/>
              <w:rPr>
                <w:i/>
                <w:iCs/>
                <w:snapToGrid w:val="0"/>
                <w:szCs w:val="20"/>
              </w:rPr>
            </w:pPr>
            <w:r w:rsidRPr="0027346A">
              <w:rPr>
                <w:rFonts w:eastAsia="Times New Roman" w:cs="Times New Roman"/>
                <w:snapToGrid w:val="0"/>
                <w:szCs w:val="20"/>
                <w:u w:val="single"/>
              </w:rPr>
              <w:t>Optional</w:t>
            </w:r>
            <w:r w:rsidRPr="0027346A">
              <w:rPr>
                <w:i/>
                <w:iCs/>
                <w:snapToGrid w:val="0"/>
                <w:szCs w:val="20"/>
                <w:u w:val="single"/>
              </w:rPr>
              <w:t>:</w:t>
            </w:r>
            <w:r w:rsidRPr="0027346A">
              <w:rPr>
                <w:i/>
                <w:iCs/>
                <w:snapToGrid w:val="0"/>
                <w:szCs w:val="20"/>
              </w:rPr>
              <w:t xml:space="preserve"> </w:t>
            </w:r>
            <w:r w:rsidRPr="0027346A">
              <w:rPr>
                <w:snapToGrid w:val="0"/>
                <w:szCs w:val="20"/>
              </w:rPr>
              <w:t>≥</w:t>
            </w:r>
            <w:r w:rsidR="00B8348C">
              <w:rPr>
                <w:snapToGrid w:val="0"/>
                <w:szCs w:val="20"/>
              </w:rPr>
              <w:t xml:space="preserve"> </w:t>
            </w:r>
            <w:r w:rsidRPr="0027346A">
              <w:rPr>
                <w:snapToGrid w:val="0"/>
                <w:szCs w:val="20"/>
              </w:rPr>
              <w:t>1 other LL muscle</w:t>
            </w:r>
            <w:r w:rsidRPr="006817E1">
              <w:rPr>
                <w:snapToGrid w:val="0"/>
                <w:szCs w:val="20"/>
                <w:vertAlign w:val="superscript"/>
              </w:rPr>
              <w:t>a</w:t>
            </w:r>
          </w:p>
          <w:p w:rsidR="0033404C" w:rsidRPr="0027346A" w:rsidRDefault="0033404C" w:rsidP="00B8348C">
            <w:pPr>
              <w:pStyle w:val="TableText0"/>
              <w:spacing w:before="0" w:after="0"/>
              <w:ind w:left="114" w:hanging="114"/>
              <w:rPr>
                <w:b/>
                <w:bCs/>
                <w:snapToGrid w:val="0"/>
                <w:szCs w:val="20"/>
                <w:u w:val="single"/>
              </w:rPr>
            </w:pPr>
            <w:r w:rsidRPr="0027346A">
              <w:rPr>
                <w:b/>
                <w:bCs/>
                <w:snapToGrid w:val="0"/>
                <w:szCs w:val="20"/>
                <w:u w:val="single"/>
              </w:rPr>
              <w:t>Concomitant physical therapy:</w:t>
            </w:r>
          </w:p>
          <w:p w:rsidR="0033404C" w:rsidRPr="0027346A" w:rsidRDefault="0033404C" w:rsidP="00B8348C">
            <w:pPr>
              <w:pStyle w:val="TableText0"/>
              <w:numPr>
                <w:ilvl w:val="0"/>
                <w:numId w:val="13"/>
              </w:numPr>
              <w:spacing w:before="0" w:after="0"/>
              <w:ind w:left="175" w:hanging="119"/>
              <w:rPr>
                <w:rFonts w:eastAsia="Times New Roman" w:cs="Times New Roman"/>
              </w:rPr>
            </w:pPr>
            <w:r>
              <w:rPr>
                <w:rFonts w:eastAsia="Times New Roman" w:cs="Times New Roman"/>
              </w:rPr>
              <w:t>DB</w:t>
            </w:r>
            <w:r w:rsidRPr="0027346A">
              <w:rPr>
                <w:rFonts w:eastAsia="Times New Roman" w:cs="Times New Roman"/>
              </w:rPr>
              <w:t xml:space="preserve"> phase physiotherapy: </w:t>
            </w:r>
            <w:r w:rsidR="00057611">
              <w:rPr>
                <w:rFonts w:eastAsia="Times New Roman" w:cs="Times New Roman"/>
              </w:rPr>
              <w:t>Dysport</w:t>
            </w:r>
            <w:r w:rsidR="00255197" w:rsidRPr="00FA6E19">
              <w:rPr>
                <w:vertAlign w:val="superscript"/>
              </w:rPr>
              <w:t>®</w:t>
            </w:r>
            <w:r w:rsidR="00255197">
              <w:rPr>
                <w:vertAlign w:val="superscript"/>
              </w:rPr>
              <w:t xml:space="preserve"> </w:t>
            </w:r>
            <w:r w:rsidRPr="0027346A">
              <w:rPr>
                <w:rFonts w:eastAsia="Times New Roman" w:cs="Times New Roman"/>
              </w:rPr>
              <w:t>1500U: 58.5%; PBO: 60.2%.</w:t>
            </w:r>
          </w:p>
        </w:tc>
        <w:tc>
          <w:tcPr>
            <w:tcW w:w="742" w:type="pct"/>
          </w:tcPr>
          <w:p w:rsidR="0033404C" w:rsidRPr="00ED35EB" w:rsidRDefault="0033404C" w:rsidP="00B8348C">
            <w:pPr>
              <w:pStyle w:val="Tabletext"/>
              <w:keepNext/>
              <w:rPr>
                <w:u w:val="single"/>
              </w:rPr>
            </w:pPr>
            <w:r w:rsidRPr="00ED35EB">
              <w:rPr>
                <w:u w:val="single"/>
              </w:rPr>
              <w:t>Primary:</w:t>
            </w:r>
          </w:p>
          <w:p w:rsidR="0033404C" w:rsidRDefault="0033404C" w:rsidP="00B8348C">
            <w:pPr>
              <w:pStyle w:val="Tabletext"/>
              <w:keepNext/>
            </w:pPr>
            <w:r>
              <w:t>Δ</w:t>
            </w:r>
            <w:r w:rsidRPr="0027346A">
              <w:t>MAS GSC</w:t>
            </w:r>
            <w:r w:rsidR="00B8348C">
              <w:t xml:space="preserve"> at</w:t>
            </w:r>
            <w:r w:rsidRPr="0027346A">
              <w:t xml:space="preserve"> w</w:t>
            </w:r>
            <w:r w:rsidR="00B8348C">
              <w:t>ee</w:t>
            </w:r>
            <w:r w:rsidRPr="0027346A">
              <w:t>k</w:t>
            </w:r>
            <w:r w:rsidR="00B8348C">
              <w:t xml:space="preserve"> </w:t>
            </w:r>
            <w:r w:rsidRPr="0027346A">
              <w:t>4</w:t>
            </w:r>
          </w:p>
          <w:p w:rsidR="0033404C" w:rsidRPr="00D450C9" w:rsidRDefault="0033404C" w:rsidP="00B8348C">
            <w:pPr>
              <w:pStyle w:val="Tabletext"/>
              <w:keepNext/>
              <w:rPr>
                <w:u w:val="single"/>
              </w:rPr>
            </w:pPr>
            <w:r>
              <w:rPr>
                <w:u w:val="single"/>
              </w:rPr>
              <w:t>Other</w:t>
            </w:r>
            <w:r w:rsidRPr="00D450C9">
              <w:rPr>
                <w:u w:val="single"/>
              </w:rPr>
              <w:t>:</w:t>
            </w:r>
          </w:p>
          <w:p w:rsidR="0033404C" w:rsidRPr="0027346A" w:rsidRDefault="0033404C" w:rsidP="00B8348C">
            <w:pPr>
              <w:pStyle w:val="Tabletext"/>
              <w:keepNext/>
            </w:pPr>
            <w:r>
              <w:t>ΔMAS GSC ≥</w:t>
            </w:r>
            <w:r w:rsidR="00B8348C">
              <w:t xml:space="preserve"> </w:t>
            </w:r>
            <w:r>
              <w:t xml:space="preserve">1 </w:t>
            </w:r>
            <w:r w:rsidR="0079458C">
              <w:t xml:space="preserve">at </w:t>
            </w:r>
            <w:r>
              <w:t>w</w:t>
            </w:r>
            <w:r w:rsidR="00B8348C">
              <w:t>ee</w:t>
            </w:r>
            <w:r>
              <w:t>k</w:t>
            </w:r>
            <w:r w:rsidR="00B8348C">
              <w:t xml:space="preserve"> </w:t>
            </w:r>
            <w:r>
              <w:t>4</w:t>
            </w:r>
          </w:p>
        </w:tc>
        <w:tc>
          <w:tcPr>
            <w:tcW w:w="252" w:type="pct"/>
          </w:tcPr>
          <w:p w:rsidR="0033404C" w:rsidRPr="00867AC2" w:rsidRDefault="0033404C" w:rsidP="00B8348C">
            <w:pPr>
              <w:pStyle w:val="Tabletext"/>
              <w:keepNext/>
              <w:jc w:val="center"/>
              <w:rPr>
                <w:rStyle w:val="CommentReference"/>
                <w:b w:val="0"/>
                <w:bCs/>
                <w:iCs/>
              </w:rPr>
            </w:pPr>
            <w:r w:rsidRPr="00867AC2">
              <w:rPr>
                <w:rStyle w:val="CommentReference"/>
                <w:b w:val="0"/>
                <w:bCs/>
                <w:iCs/>
              </w:rPr>
              <w:t>Low</w:t>
            </w:r>
          </w:p>
        </w:tc>
      </w:tr>
      <w:tr w:rsidR="0033404C" w:rsidRPr="0027346A" w:rsidTr="00B8348C">
        <w:tc>
          <w:tcPr>
            <w:tcW w:w="469" w:type="pct"/>
            <w:shd w:val="clear" w:color="auto" w:fill="auto"/>
          </w:tcPr>
          <w:p w:rsidR="0033404C" w:rsidRPr="0027346A" w:rsidRDefault="0033404C" w:rsidP="00B8348C">
            <w:pPr>
              <w:pStyle w:val="TableText0"/>
              <w:spacing w:before="0" w:after="0"/>
            </w:pPr>
            <w:r w:rsidRPr="0027346A">
              <w:t>Study 142</w:t>
            </w:r>
          </w:p>
          <w:p w:rsidR="0033404C" w:rsidRPr="0027346A" w:rsidRDefault="0033404C" w:rsidP="00B8348C">
            <w:pPr>
              <w:pStyle w:val="TableText0"/>
              <w:spacing w:before="0" w:after="0"/>
              <w:rPr>
                <w:rStyle w:val="CommentReference"/>
                <w:b w:val="0"/>
                <w:szCs w:val="22"/>
              </w:rPr>
            </w:pPr>
            <w:r w:rsidRPr="0027346A">
              <w:t>(140 OL-extension)</w:t>
            </w:r>
          </w:p>
        </w:tc>
        <w:tc>
          <w:tcPr>
            <w:tcW w:w="315" w:type="pct"/>
            <w:shd w:val="clear" w:color="auto" w:fill="auto"/>
          </w:tcPr>
          <w:p w:rsidR="0033404C" w:rsidRPr="0027346A" w:rsidRDefault="0033404C" w:rsidP="00B8348C">
            <w:pPr>
              <w:pStyle w:val="Tabletext"/>
              <w:jc w:val="center"/>
              <w:rPr>
                <w:rStyle w:val="CommentReference"/>
              </w:rPr>
            </w:pPr>
            <w:r w:rsidRPr="0027346A">
              <w:t>345</w:t>
            </w:r>
          </w:p>
        </w:tc>
        <w:tc>
          <w:tcPr>
            <w:tcW w:w="864" w:type="pct"/>
            <w:vMerge/>
          </w:tcPr>
          <w:p w:rsidR="0033404C" w:rsidRPr="00867AC2" w:rsidRDefault="0033404C" w:rsidP="00C01CB8">
            <w:pPr>
              <w:pStyle w:val="Tabletext"/>
            </w:pPr>
          </w:p>
        </w:tc>
        <w:tc>
          <w:tcPr>
            <w:tcW w:w="581" w:type="pct"/>
            <w:shd w:val="clear" w:color="auto" w:fill="auto"/>
          </w:tcPr>
          <w:p w:rsidR="0033404C" w:rsidRPr="00867AC2" w:rsidRDefault="0033404C" w:rsidP="0079458C">
            <w:pPr>
              <w:pStyle w:val="Tabletext"/>
              <w:jc w:val="center"/>
              <w:rPr>
                <w:rStyle w:val="CommentReference"/>
              </w:rPr>
            </w:pPr>
            <w:r w:rsidRPr="00867AC2">
              <w:t>OL</w:t>
            </w:r>
            <w:r w:rsidR="00B8348C">
              <w:t>;</w:t>
            </w:r>
            <w:r w:rsidRPr="00867AC2">
              <w:t xml:space="preserve"> </w:t>
            </w:r>
            <w:r w:rsidR="00FF1017" w:rsidRPr="00867AC2">
              <w:br/>
            </w:r>
            <w:r w:rsidRPr="00867AC2">
              <w:t>6-18</w:t>
            </w:r>
            <w:r w:rsidR="00B8348C">
              <w:t xml:space="preserve"> </w:t>
            </w:r>
            <w:r w:rsidRPr="00867AC2">
              <w:t>m</w:t>
            </w:r>
            <w:r w:rsidR="00B8348C">
              <w:t>on</w:t>
            </w:r>
            <w:r w:rsidRPr="00867AC2">
              <w:t>th follow-up</w:t>
            </w:r>
          </w:p>
        </w:tc>
        <w:tc>
          <w:tcPr>
            <w:tcW w:w="1777" w:type="pct"/>
            <w:vMerge/>
            <w:vAlign w:val="center"/>
          </w:tcPr>
          <w:p w:rsidR="0033404C" w:rsidRPr="0027346A" w:rsidRDefault="0033404C" w:rsidP="00C01CB8">
            <w:pPr>
              <w:pStyle w:val="TableText0"/>
              <w:spacing w:before="0" w:after="0"/>
              <w:rPr>
                <w:rFonts w:eastAsia="Times New Roman" w:cs="Times New Roman"/>
              </w:rPr>
            </w:pPr>
          </w:p>
        </w:tc>
        <w:tc>
          <w:tcPr>
            <w:tcW w:w="742" w:type="pct"/>
          </w:tcPr>
          <w:p w:rsidR="0033404C" w:rsidRPr="0027346A" w:rsidRDefault="0033404C" w:rsidP="00B8348C">
            <w:pPr>
              <w:pStyle w:val="Tabletext"/>
            </w:pPr>
            <w:r w:rsidRPr="0027346A">
              <w:t>Long term safety</w:t>
            </w:r>
            <w:r w:rsidR="00B8348C">
              <w:t xml:space="preserve"> and</w:t>
            </w:r>
            <w:r w:rsidRPr="0027346A">
              <w:t xml:space="preserve"> efficacy</w:t>
            </w:r>
          </w:p>
        </w:tc>
        <w:tc>
          <w:tcPr>
            <w:tcW w:w="252" w:type="pct"/>
            <w:shd w:val="clear" w:color="auto" w:fill="auto"/>
          </w:tcPr>
          <w:p w:rsidR="0033404C" w:rsidRPr="00867AC2" w:rsidRDefault="0033404C" w:rsidP="00B8348C">
            <w:pPr>
              <w:pStyle w:val="Tabletext"/>
              <w:jc w:val="center"/>
              <w:rPr>
                <w:rStyle w:val="CommentReference"/>
                <w:b w:val="0"/>
                <w:bCs/>
                <w:iCs/>
              </w:rPr>
            </w:pPr>
            <w:r w:rsidRPr="00867AC2">
              <w:rPr>
                <w:rStyle w:val="CommentReference"/>
                <w:b w:val="0"/>
                <w:bCs/>
                <w:iCs/>
              </w:rPr>
              <w:t>High</w:t>
            </w:r>
          </w:p>
        </w:tc>
      </w:tr>
      <w:tr w:rsidR="0033404C" w:rsidRPr="000233E5" w:rsidTr="00C01CB8">
        <w:tc>
          <w:tcPr>
            <w:tcW w:w="5000" w:type="pct"/>
            <w:gridSpan w:val="7"/>
            <w:shd w:val="clear" w:color="auto" w:fill="auto"/>
            <w:vAlign w:val="center"/>
          </w:tcPr>
          <w:p w:rsidR="0033404C" w:rsidRPr="000233E5" w:rsidRDefault="00057611" w:rsidP="00255197">
            <w:pPr>
              <w:pStyle w:val="Tabletext"/>
              <w:rPr>
                <w:rStyle w:val="CommentReference"/>
                <w:iCs/>
              </w:rPr>
            </w:pPr>
            <w:r>
              <w:rPr>
                <w:rStyle w:val="CommentReference"/>
                <w:iCs/>
              </w:rPr>
              <w:t>Botox</w:t>
            </w:r>
            <w:r w:rsidR="00255197" w:rsidRPr="00FA6E19">
              <w:rPr>
                <w:vertAlign w:val="superscript"/>
              </w:rPr>
              <w:t>®</w:t>
            </w:r>
            <w:r w:rsidR="00255197">
              <w:rPr>
                <w:vertAlign w:val="superscript"/>
              </w:rPr>
              <w:t xml:space="preserve"> </w:t>
            </w:r>
            <w:r w:rsidR="0033404C" w:rsidRPr="000233E5">
              <w:rPr>
                <w:rStyle w:val="CommentReference"/>
                <w:iCs/>
              </w:rPr>
              <w:t>vs. PBO</w:t>
            </w:r>
          </w:p>
        </w:tc>
      </w:tr>
      <w:tr w:rsidR="0033404C" w:rsidRPr="0027346A" w:rsidTr="00B8348C">
        <w:tc>
          <w:tcPr>
            <w:tcW w:w="469" w:type="pct"/>
            <w:shd w:val="clear" w:color="auto" w:fill="auto"/>
          </w:tcPr>
          <w:p w:rsidR="0033404C" w:rsidRPr="0027346A" w:rsidRDefault="0033404C" w:rsidP="00B8348C">
            <w:pPr>
              <w:pStyle w:val="Tabletext"/>
              <w:rPr>
                <w:szCs w:val="20"/>
              </w:rPr>
            </w:pPr>
            <w:r w:rsidRPr="0027346A">
              <w:rPr>
                <w:szCs w:val="20"/>
              </w:rPr>
              <w:t>REFLEX</w:t>
            </w:r>
          </w:p>
          <w:p w:rsidR="0033404C" w:rsidRPr="0027346A" w:rsidRDefault="0033404C" w:rsidP="00B8348C">
            <w:pPr>
              <w:pStyle w:val="Tabletext"/>
              <w:rPr>
                <w:szCs w:val="20"/>
              </w:rPr>
            </w:pPr>
            <w:r w:rsidRPr="0027346A">
              <w:rPr>
                <w:szCs w:val="20"/>
              </w:rPr>
              <w:t>(Wein 2018)</w:t>
            </w:r>
          </w:p>
          <w:p w:rsidR="0033404C" w:rsidRPr="0027346A" w:rsidRDefault="0033404C" w:rsidP="00B8348C">
            <w:pPr>
              <w:pStyle w:val="Tabletext"/>
              <w:rPr>
                <w:szCs w:val="20"/>
              </w:rPr>
            </w:pPr>
          </w:p>
          <w:p w:rsidR="0033404C" w:rsidRPr="0027346A" w:rsidRDefault="0033404C" w:rsidP="00B8348C">
            <w:pPr>
              <w:pStyle w:val="TableText0"/>
              <w:spacing w:before="0" w:after="0"/>
            </w:pPr>
            <w:r>
              <w:rPr>
                <w:szCs w:val="20"/>
              </w:rPr>
              <w:t>[</w:t>
            </w:r>
            <w:r w:rsidRPr="0027346A">
              <w:rPr>
                <w:szCs w:val="20"/>
              </w:rPr>
              <w:t>Multi-country</w:t>
            </w:r>
            <w:r>
              <w:rPr>
                <w:szCs w:val="20"/>
              </w:rPr>
              <w:t>]</w:t>
            </w:r>
          </w:p>
        </w:tc>
        <w:tc>
          <w:tcPr>
            <w:tcW w:w="315" w:type="pct"/>
            <w:shd w:val="clear" w:color="auto" w:fill="auto"/>
          </w:tcPr>
          <w:p w:rsidR="0033404C" w:rsidRPr="0027346A" w:rsidRDefault="0033404C" w:rsidP="00B8348C">
            <w:pPr>
              <w:pStyle w:val="Tabletext"/>
              <w:jc w:val="center"/>
            </w:pPr>
            <w:r w:rsidRPr="002316A0">
              <w:rPr>
                <w:szCs w:val="20"/>
              </w:rPr>
              <w:t>468</w:t>
            </w:r>
          </w:p>
        </w:tc>
        <w:tc>
          <w:tcPr>
            <w:tcW w:w="864" w:type="pct"/>
          </w:tcPr>
          <w:p w:rsidR="0033404C" w:rsidRPr="0027346A" w:rsidRDefault="0033404C" w:rsidP="00B8348C">
            <w:pPr>
              <w:pStyle w:val="Tabletext"/>
            </w:pPr>
            <w:r w:rsidRPr="0027346A">
              <w:rPr>
                <w:szCs w:val="20"/>
                <w:u w:val="single"/>
              </w:rPr>
              <w:t>ITT:</w:t>
            </w:r>
            <w:r w:rsidRPr="0027346A">
              <w:rPr>
                <w:szCs w:val="20"/>
              </w:rPr>
              <w:t xml:space="preserve"> Spastic equinus or equinovarus post</w:t>
            </w:r>
            <w:r>
              <w:rPr>
                <w:szCs w:val="20"/>
              </w:rPr>
              <w:t>-</w:t>
            </w:r>
            <w:r w:rsidRPr="0027346A">
              <w:rPr>
                <w:szCs w:val="20"/>
              </w:rPr>
              <w:t>stroke (≥</w:t>
            </w:r>
            <w:r w:rsidR="00B8348C">
              <w:rPr>
                <w:szCs w:val="20"/>
              </w:rPr>
              <w:t xml:space="preserve"> </w:t>
            </w:r>
            <w:r>
              <w:rPr>
                <w:szCs w:val="20"/>
              </w:rPr>
              <w:t>3</w:t>
            </w:r>
            <w:r w:rsidR="00B8348C">
              <w:rPr>
                <w:szCs w:val="20"/>
              </w:rPr>
              <w:t xml:space="preserve"> </w:t>
            </w:r>
            <w:r w:rsidRPr="0027346A">
              <w:rPr>
                <w:szCs w:val="20"/>
              </w:rPr>
              <w:t>m</w:t>
            </w:r>
            <w:r w:rsidR="00B8348C">
              <w:rPr>
                <w:szCs w:val="20"/>
              </w:rPr>
              <w:t>on</w:t>
            </w:r>
            <w:r w:rsidRPr="0027346A">
              <w:rPr>
                <w:szCs w:val="20"/>
              </w:rPr>
              <w:t>th</w:t>
            </w:r>
            <w:r w:rsidR="00B8348C">
              <w:rPr>
                <w:szCs w:val="20"/>
              </w:rPr>
              <w:t>s</w:t>
            </w:r>
            <w:r w:rsidRPr="0027346A">
              <w:rPr>
                <w:szCs w:val="20"/>
              </w:rPr>
              <w:t xml:space="preserve"> prior)</w:t>
            </w:r>
            <w:r>
              <w:rPr>
                <w:szCs w:val="20"/>
              </w:rPr>
              <w:t>, a</w:t>
            </w:r>
            <w:r w:rsidRPr="0027346A">
              <w:rPr>
                <w:szCs w:val="20"/>
              </w:rPr>
              <w:t>nkle MAS ≥</w:t>
            </w:r>
            <w:r w:rsidR="00B8348C">
              <w:rPr>
                <w:szCs w:val="20"/>
              </w:rPr>
              <w:t xml:space="preserve"> </w:t>
            </w:r>
            <w:r w:rsidRPr="0027346A">
              <w:rPr>
                <w:szCs w:val="20"/>
              </w:rPr>
              <w:t>3.</w:t>
            </w:r>
          </w:p>
        </w:tc>
        <w:tc>
          <w:tcPr>
            <w:tcW w:w="581" w:type="pct"/>
            <w:shd w:val="clear" w:color="auto" w:fill="auto"/>
          </w:tcPr>
          <w:p w:rsidR="0033404C" w:rsidRPr="002005EA" w:rsidRDefault="0033404C" w:rsidP="00B8348C">
            <w:pPr>
              <w:pStyle w:val="Tabletext"/>
              <w:jc w:val="center"/>
              <w:rPr>
                <w:szCs w:val="20"/>
              </w:rPr>
            </w:pPr>
            <w:r w:rsidRPr="002005EA">
              <w:rPr>
                <w:szCs w:val="20"/>
                <w:u w:val="single"/>
              </w:rPr>
              <w:t>DB phase:</w:t>
            </w:r>
            <w:r w:rsidRPr="002005EA">
              <w:rPr>
                <w:szCs w:val="20"/>
              </w:rPr>
              <w:t xml:space="preserve"> P3,</w:t>
            </w:r>
            <w:r w:rsidR="00B8348C">
              <w:rPr>
                <w:szCs w:val="20"/>
              </w:rPr>
              <w:t xml:space="preserve"> </w:t>
            </w:r>
            <w:r w:rsidRPr="002005EA">
              <w:rPr>
                <w:szCs w:val="20"/>
              </w:rPr>
              <w:t>R</w:t>
            </w:r>
            <w:r w:rsidR="00B8348C">
              <w:rPr>
                <w:szCs w:val="20"/>
              </w:rPr>
              <w:t>;</w:t>
            </w:r>
            <w:r w:rsidRPr="002005EA">
              <w:rPr>
                <w:szCs w:val="20"/>
              </w:rPr>
              <w:t xml:space="preserve"> </w:t>
            </w:r>
            <w:r w:rsidR="00FF1017">
              <w:rPr>
                <w:szCs w:val="20"/>
              </w:rPr>
              <w:br/>
            </w:r>
            <w:r w:rsidRPr="002005EA">
              <w:rPr>
                <w:szCs w:val="20"/>
              </w:rPr>
              <w:t>12</w:t>
            </w:r>
            <w:r w:rsidR="00B8348C">
              <w:rPr>
                <w:szCs w:val="20"/>
              </w:rPr>
              <w:t xml:space="preserve"> </w:t>
            </w:r>
            <w:r w:rsidRPr="002005EA">
              <w:rPr>
                <w:szCs w:val="20"/>
              </w:rPr>
              <w:t>w</w:t>
            </w:r>
            <w:r w:rsidR="00B8348C">
              <w:rPr>
                <w:szCs w:val="20"/>
              </w:rPr>
              <w:t>ee</w:t>
            </w:r>
            <w:r w:rsidRPr="002005EA">
              <w:rPr>
                <w:szCs w:val="20"/>
              </w:rPr>
              <w:t>k follow-up</w:t>
            </w:r>
          </w:p>
          <w:p w:rsidR="0033404C" w:rsidRPr="002005EA" w:rsidRDefault="0033404C" w:rsidP="00B8348C">
            <w:pPr>
              <w:pStyle w:val="Tabletext"/>
              <w:jc w:val="center"/>
              <w:rPr>
                <w:szCs w:val="20"/>
              </w:rPr>
            </w:pPr>
          </w:p>
          <w:p w:rsidR="0033404C" w:rsidRPr="002005EA" w:rsidRDefault="0033404C" w:rsidP="00B8348C">
            <w:pPr>
              <w:pStyle w:val="Tabletext"/>
              <w:jc w:val="center"/>
            </w:pPr>
            <w:r w:rsidRPr="002005EA">
              <w:rPr>
                <w:szCs w:val="20"/>
                <w:u w:val="single"/>
              </w:rPr>
              <w:t>OL phase:</w:t>
            </w:r>
            <w:r w:rsidRPr="002005EA">
              <w:rPr>
                <w:szCs w:val="20"/>
              </w:rPr>
              <w:t xml:space="preserve"> </w:t>
            </w:r>
            <w:r w:rsidR="00B8348C">
              <w:rPr>
                <w:szCs w:val="20"/>
              </w:rPr>
              <w:br/>
            </w:r>
            <w:r w:rsidRPr="002005EA">
              <w:rPr>
                <w:szCs w:val="20"/>
              </w:rPr>
              <w:t>60</w:t>
            </w:r>
            <w:r w:rsidR="00B8348C">
              <w:rPr>
                <w:szCs w:val="20"/>
              </w:rPr>
              <w:t xml:space="preserve"> </w:t>
            </w:r>
            <w:r w:rsidRPr="002005EA">
              <w:rPr>
                <w:szCs w:val="20"/>
              </w:rPr>
              <w:t>w</w:t>
            </w:r>
            <w:r w:rsidR="00B8348C">
              <w:rPr>
                <w:szCs w:val="20"/>
              </w:rPr>
              <w:t>ee</w:t>
            </w:r>
            <w:r w:rsidRPr="002005EA">
              <w:rPr>
                <w:szCs w:val="20"/>
              </w:rPr>
              <w:t>k follow-up</w:t>
            </w:r>
          </w:p>
        </w:tc>
        <w:tc>
          <w:tcPr>
            <w:tcW w:w="1777" w:type="pct"/>
          </w:tcPr>
          <w:p w:rsidR="0033404C" w:rsidRPr="009E5A70" w:rsidRDefault="0033404C" w:rsidP="00C01CB8">
            <w:pPr>
              <w:pStyle w:val="TableText0"/>
              <w:spacing w:before="0" w:after="0"/>
              <w:rPr>
                <w:rFonts w:eastAsia="Times New Roman" w:cs="Times New Roman"/>
                <w:b/>
                <w:bCs/>
                <w:snapToGrid w:val="0"/>
                <w:szCs w:val="20"/>
                <w:u w:val="single"/>
              </w:rPr>
            </w:pPr>
            <w:r w:rsidRPr="009E5A70">
              <w:rPr>
                <w:rFonts w:eastAsia="Times New Roman" w:cs="Times New Roman"/>
                <w:b/>
                <w:bCs/>
                <w:snapToGrid w:val="0"/>
                <w:szCs w:val="20"/>
                <w:u w:val="single"/>
              </w:rPr>
              <w:t>Interventions:</w:t>
            </w:r>
          </w:p>
          <w:p w:rsidR="0033404C" w:rsidRDefault="0033404C" w:rsidP="003642BB">
            <w:pPr>
              <w:pStyle w:val="TableText0"/>
              <w:numPr>
                <w:ilvl w:val="0"/>
                <w:numId w:val="13"/>
              </w:numPr>
              <w:spacing w:before="0" w:after="0"/>
              <w:ind w:left="176" w:hanging="119"/>
              <w:rPr>
                <w:szCs w:val="20"/>
              </w:rPr>
            </w:pPr>
            <w:r>
              <w:rPr>
                <w:rFonts w:eastAsia="Times New Roman" w:cs="Times New Roman"/>
                <w:snapToGrid w:val="0"/>
                <w:szCs w:val="20"/>
                <w:u w:val="single"/>
              </w:rPr>
              <w:t>DB</w:t>
            </w:r>
            <w:r w:rsidRPr="009E5A70">
              <w:rPr>
                <w:rFonts w:eastAsia="Times New Roman" w:cs="Times New Roman"/>
                <w:snapToGrid w:val="0"/>
                <w:szCs w:val="20"/>
                <w:u w:val="single"/>
              </w:rPr>
              <w:t xml:space="preserve"> phase:</w:t>
            </w:r>
            <w:r w:rsidRPr="0027346A">
              <w:rPr>
                <w:rFonts w:eastAsia="Times New Roman" w:cs="Times New Roman"/>
                <w:snapToGrid w:val="0"/>
                <w:szCs w:val="20"/>
              </w:rPr>
              <w:t xml:space="preserve"> single injection </w:t>
            </w:r>
            <w:r w:rsidR="00057611">
              <w:rPr>
                <w:szCs w:val="20"/>
              </w:rPr>
              <w:t>Botox</w:t>
            </w:r>
            <w:r w:rsidR="00255197" w:rsidRPr="00FA6E19">
              <w:rPr>
                <w:vertAlign w:val="superscript"/>
              </w:rPr>
              <w:t>®</w:t>
            </w:r>
            <w:r w:rsidR="00255197">
              <w:rPr>
                <w:vertAlign w:val="superscript"/>
              </w:rPr>
              <w:t xml:space="preserve"> </w:t>
            </w:r>
            <w:r w:rsidRPr="0027346A">
              <w:rPr>
                <w:szCs w:val="20"/>
              </w:rPr>
              <w:t>400U (</w:t>
            </w:r>
            <w:r>
              <w:rPr>
                <w:szCs w:val="20"/>
              </w:rPr>
              <w:t>300U mandatory +</w:t>
            </w:r>
            <w:r w:rsidRPr="0027346A">
              <w:rPr>
                <w:szCs w:val="20"/>
              </w:rPr>
              <w:t xml:space="preserve"> ≤</w:t>
            </w:r>
            <w:r w:rsidR="00B8348C">
              <w:rPr>
                <w:szCs w:val="20"/>
              </w:rPr>
              <w:t xml:space="preserve"> </w:t>
            </w:r>
            <w:r w:rsidRPr="0027346A">
              <w:rPr>
                <w:szCs w:val="20"/>
              </w:rPr>
              <w:t>100U optional muscles) vs PBO</w:t>
            </w:r>
          </w:p>
          <w:p w:rsidR="0033404C" w:rsidRPr="0027346A" w:rsidRDefault="0033404C" w:rsidP="003642BB">
            <w:pPr>
              <w:pStyle w:val="TableText0"/>
              <w:numPr>
                <w:ilvl w:val="0"/>
                <w:numId w:val="13"/>
              </w:numPr>
              <w:spacing w:before="0" w:after="0"/>
              <w:ind w:left="176" w:hanging="119"/>
              <w:rPr>
                <w:szCs w:val="20"/>
              </w:rPr>
            </w:pPr>
            <w:r>
              <w:rPr>
                <w:rFonts w:eastAsia="Times New Roman" w:cs="Times New Roman"/>
                <w:snapToGrid w:val="0"/>
                <w:szCs w:val="20"/>
                <w:u w:val="single"/>
              </w:rPr>
              <w:t>OL phase:</w:t>
            </w:r>
            <w:r w:rsidRPr="00235F20">
              <w:rPr>
                <w:rFonts w:eastAsia="Times New Roman" w:cs="Times New Roman"/>
                <w:snapToGrid w:val="0"/>
                <w:szCs w:val="20"/>
              </w:rPr>
              <w:t xml:space="preserve"> three </w:t>
            </w:r>
            <w:r>
              <w:rPr>
                <w:rFonts w:eastAsia="Times New Roman" w:cs="Times New Roman"/>
                <w:snapToGrid w:val="0"/>
                <w:szCs w:val="20"/>
              </w:rPr>
              <w:t>injections</w:t>
            </w:r>
            <w:r w:rsidRPr="00235F20">
              <w:rPr>
                <w:rFonts w:eastAsia="Times New Roman" w:cs="Times New Roman"/>
                <w:snapToGrid w:val="0"/>
                <w:szCs w:val="20"/>
              </w:rPr>
              <w:t xml:space="preserve"> </w:t>
            </w:r>
            <w:r w:rsidR="00057611">
              <w:rPr>
                <w:rFonts w:eastAsia="Times New Roman" w:cs="Times New Roman"/>
                <w:snapToGrid w:val="0"/>
                <w:szCs w:val="20"/>
              </w:rPr>
              <w:t>Botox</w:t>
            </w:r>
            <w:r w:rsidR="00255197" w:rsidRPr="00FA6E19">
              <w:rPr>
                <w:vertAlign w:val="superscript"/>
              </w:rPr>
              <w:t>®</w:t>
            </w:r>
            <w:r w:rsidR="00255197">
              <w:rPr>
                <w:vertAlign w:val="superscript"/>
              </w:rPr>
              <w:t xml:space="preserve"> </w:t>
            </w:r>
            <w:r w:rsidRPr="00235F20">
              <w:rPr>
                <w:szCs w:val="20"/>
              </w:rPr>
              <w:t>400U</w:t>
            </w:r>
            <w:r>
              <w:rPr>
                <w:szCs w:val="20"/>
              </w:rPr>
              <w:t xml:space="preserve"> </w:t>
            </w:r>
            <w:r w:rsidRPr="002005EA">
              <w:rPr>
                <w:szCs w:val="20"/>
              </w:rPr>
              <w:t>every ≥</w:t>
            </w:r>
            <w:r w:rsidR="00B8348C">
              <w:rPr>
                <w:szCs w:val="20"/>
              </w:rPr>
              <w:t xml:space="preserve"> </w:t>
            </w:r>
            <w:r w:rsidRPr="002005EA">
              <w:rPr>
                <w:szCs w:val="20"/>
              </w:rPr>
              <w:t>12 weeks</w:t>
            </w:r>
          </w:p>
          <w:p w:rsidR="0033404C" w:rsidRPr="0027346A" w:rsidRDefault="0033404C" w:rsidP="00C01CB8">
            <w:pPr>
              <w:pStyle w:val="TableText0"/>
              <w:spacing w:before="0" w:after="0"/>
              <w:rPr>
                <w:rFonts w:eastAsia="Times New Roman" w:cs="Times New Roman"/>
                <w:snapToGrid w:val="0"/>
                <w:szCs w:val="20"/>
              </w:rPr>
            </w:pPr>
            <w:r w:rsidRPr="009E5A70">
              <w:rPr>
                <w:rFonts w:eastAsia="Times New Roman" w:cs="Times New Roman"/>
                <w:b/>
                <w:bCs/>
                <w:snapToGrid w:val="0"/>
                <w:szCs w:val="20"/>
                <w:u w:val="single"/>
              </w:rPr>
              <w:t>Muscles injection</w:t>
            </w:r>
            <w:r>
              <w:rPr>
                <w:rFonts w:eastAsia="Times New Roman" w:cs="Times New Roman"/>
                <w:snapToGrid w:val="0"/>
                <w:szCs w:val="20"/>
              </w:rPr>
              <w:t xml:space="preserve"> (</w:t>
            </w:r>
            <w:r w:rsidRPr="0027346A">
              <w:rPr>
                <w:rFonts w:eastAsia="Times New Roman" w:cs="Times New Roman"/>
                <w:snapToGrid w:val="0"/>
                <w:szCs w:val="20"/>
              </w:rPr>
              <w:t>EMG/ES-guided</w:t>
            </w:r>
            <w:r>
              <w:rPr>
                <w:rFonts w:eastAsia="Times New Roman" w:cs="Times New Roman"/>
                <w:snapToGrid w:val="0"/>
                <w:szCs w:val="20"/>
              </w:rPr>
              <w:t>):</w:t>
            </w:r>
          </w:p>
          <w:p w:rsidR="0033404C" w:rsidRPr="0027346A" w:rsidRDefault="0033404C" w:rsidP="003642BB">
            <w:pPr>
              <w:pStyle w:val="TableText0"/>
              <w:numPr>
                <w:ilvl w:val="0"/>
                <w:numId w:val="13"/>
              </w:numPr>
              <w:spacing w:before="0" w:after="0"/>
              <w:ind w:left="175" w:hanging="119"/>
              <w:rPr>
                <w:rFonts w:eastAsia="Times New Roman" w:cs="Times New Roman"/>
                <w:snapToGrid w:val="0"/>
                <w:szCs w:val="20"/>
              </w:rPr>
            </w:pPr>
            <w:r w:rsidRPr="0027346A">
              <w:rPr>
                <w:rFonts w:eastAsia="Times New Roman" w:cs="Times New Roman"/>
                <w:snapToGrid w:val="0"/>
                <w:szCs w:val="20"/>
                <w:u w:val="single"/>
              </w:rPr>
              <w:t>Mandatory:</w:t>
            </w:r>
            <w:r w:rsidRPr="0027346A">
              <w:rPr>
                <w:rFonts w:eastAsia="Times New Roman" w:cs="Times New Roman"/>
                <w:snapToGrid w:val="0"/>
                <w:szCs w:val="20"/>
              </w:rPr>
              <w:t xml:space="preserve"> Ankle plantar flexors −  Gastrocnemius (medial and lateral), soleus, </w:t>
            </w:r>
            <w:r>
              <w:rPr>
                <w:rFonts w:eastAsia="Times New Roman" w:cs="Times New Roman"/>
                <w:snapToGrid w:val="0"/>
                <w:szCs w:val="20"/>
              </w:rPr>
              <w:t xml:space="preserve">and </w:t>
            </w:r>
            <w:r w:rsidRPr="0027346A">
              <w:rPr>
                <w:rFonts w:eastAsia="Times New Roman" w:cs="Times New Roman"/>
                <w:snapToGrid w:val="0"/>
                <w:szCs w:val="20"/>
              </w:rPr>
              <w:t>tibialis posterior</w:t>
            </w:r>
          </w:p>
          <w:p w:rsidR="0033404C" w:rsidRPr="0027346A" w:rsidRDefault="0033404C" w:rsidP="003642BB">
            <w:pPr>
              <w:pStyle w:val="TableText0"/>
              <w:numPr>
                <w:ilvl w:val="0"/>
                <w:numId w:val="13"/>
              </w:numPr>
              <w:spacing w:before="0" w:after="0"/>
              <w:ind w:left="175" w:hanging="119"/>
              <w:rPr>
                <w:rFonts w:eastAsia="Times New Roman" w:cs="Times New Roman"/>
                <w:b/>
                <w:snapToGrid w:val="0"/>
                <w:szCs w:val="20"/>
              </w:rPr>
            </w:pPr>
            <w:r w:rsidRPr="0027346A">
              <w:rPr>
                <w:rFonts w:eastAsia="Times New Roman" w:cs="Times New Roman"/>
                <w:snapToGrid w:val="0"/>
                <w:szCs w:val="20"/>
                <w:u w:val="single"/>
              </w:rPr>
              <w:t>Optional:</w:t>
            </w:r>
            <w:r w:rsidRPr="0027346A">
              <w:rPr>
                <w:rFonts w:eastAsia="Times New Roman" w:cs="Times New Roman"/>
                <w:snapToGrid w:val="0"/>
                <w:szCs w:val="20"/>
              </w:rPr>
              <w:t xml:space="preserve"> </w:t>
            </w:r>
            <w:r w:rsidRPr="0027346A">
              <w:rPr>
                <w:snapToGrid w:val="0"/>
                <w:szCs w:val="20"/>
              </w:rPr>
              <w:t>≥</w:t>
            </w:r>
            <w:r w:rsidR="00B8348C">
              <w:rPr>
                <w:snapToGrid w:val="0"/>
                <w:szCs w:val="20"/>
              </w:rPr>
              <w:t xml:space="preserve"> </w:t>
            </w:r>
            <w:r w:rsidRPr="0027346A">
              <w:rPr>
                <w:snapToGrid w:val="0"/>
                <w:szCs w:val="20"/>
              </w:rPr>
              <w:t>1 other LL muscle</w:t>
            </w:r>
            <w:r w:rsidRPr="002005EA">
              <w:rPr>
                <w:snapToGrid w:val="0"/>
                <w:szCs w:val="20"/>
                <w:vertAlign w:val="superscript"/>
              </w:rPr>
              <w:t>b</w:t>
            </w:r>
          </w:p>
          <w:p w:rsidR="0033404C" w:rsidRPr="0027346A" w:rsidRDefault="0033404C" w:rsidP="00C01CB8">
            <w:pPr>
              <w:pStyle w:val="TableText0"/>
              <w:spacing w:before="0" w:after="0"/>
              <w:ind w:left="114" w:hanging="114"/>
              <w:rPr>
                <w:b/>
                <w:bCs/>
                <w:snapToGrid w:val="0"/>
                <w:szCs w:val="20"/>
                <w:u w:val="single"/>
              </w:rPr>
            </w:pPr>
            <w:r w:rsidRPr="0027346A">
              <w:rPr>
                <w:b/>
                <w:bCs/>
                <w:snapToGrid w:val="0"/>
                <w:szCs w:val="20"/>
                <w:u w:val="single"/>
              </w:rPr>
              <w:t>Concomitant physical therapy:</w:t>
            </w:r>
          </w:p>
          <w:p w:rsidR="0033404C" w:rsidRPr="0027346A" w:rsidRDefault="0033404C" w:rsidP="003642BB">
            <w:pPr>
              <w:pStyle w:val="TableText0"/>
              <w:numPr>
                <w:ilvl w:val="0"/>
                <w:numId w:val="13"/>
              </w:numPr>
              <w:spacing w:before="0" w:after="0"/>
              <w:ind w:left="175" w:hanging="119"/>
              <w:rPr>
                <w:rFonts w:eastAsia="Times New Roman" w:cs="Times New Roman"/>
              </w:rPr>
            </w:pPr>
            <w:r>
              <w:rPr>
                <w:rFonts w:eastAsia="Times New Roman" w:cs="Times New Roman"/>
              </w:rPr>
              <w:t>DB phase p</w:t>
            </w:r>
            <w:r w:rsidRPr="009E5A70">
              <w:rPr>
                <w:rFonts w:eastAsia="Times New Roman" w:cs="Times New Roman"/>
              </w:rPr>
              <w:t>hysiotherapy</w:t>
            </w:r>
            <w:r w:rsidRPr="0027346A">
              <w:rPr>
                <w:szCs w:val="20"/>
              </w:rPr>
              <w:t>: NR</w:t>
            </w:r>
          </w:p>
        </w:tc>
        <w:tc>
          <w:tcPr>
            <w:tcW w:w="742" w:type="pct"/>
          </w:tcPr>
          <w:p w:rsidR="0033404C" w:rsidRPr="00ED35EB" w:rsidRDefault="0033404C" w:rsidP="00B8348C">
            <w:pPr>
              <w:pStyle w:val="Tabletext"/>
              <w:rPr>
                <w:u w:val="single"/>
              </w:rPr>
            </w:pPr>
            <w:r w:rsidRPr="00ED35EB">
              <w:rPr>
                <w:u w:val="single"/>
              </w:rPr>
              <w:t>Primary:</w:t>
            </w:r>
          </w:p>
          <w:p w:rsidR="0033404C" w:rsidRDefault="0033404C" w:rsidP="00B8348C">
            <w:pPr>
              <w:pStyle w:val="TableText0"/>
              <w:spacing w:before="0" w:after="0"/>
            </w:pPr>
            <w:r>
              <w:t>Δ</w:t>
            </w:r>
            <w:r w:rsidRPr="009E5A70">
              <w:t xml:space="preserve">MAS-B (ankle </w:t>
            </w:r>
            <w:r>
              <w:t xml:space="preserve">plantar flexors) </w:t>
            </w:r>
            <w:r w:rsidR="00B8348C">
              <w:t xml:space="preserve">at </w:t>
            </w:r>
            <w:r>
              <w:t xml:space="preserve">average </w:t>
            </w:r>
            <w:r w:rsidR="00B8348C">
              <w:t xml:space="preserve">of </w:t>
            </w:r>
            <w:r>
              <w:t>w</w:t>
            </w:r>
            <w:r w:rsidR="00B8348C">
              <w:t>ee</w:t>
            </w:r>
            <w:r>
              <w:t>k</w:t>
            </w:r>
            <w:r w:rsidR="00B8348C">
              <w:t xml:space="preserve">s </w:t>
            </w:r>
            <w:r>
              <w:t>4/6</w:t>
            </w:r>
          </w:p>
          <w:p w:rsidR="0033404C" w:rsidRPr="00ED35EB" w:rsidRDefault="0033404C" w:rsidP="00B8348C">
            <w:pPr>
              <w:pStyle w:val="Tabletext"/>
              <w:rPr>
                <w:u w:val="single"/>
              </w:rPr>
            </w:pPr>
            <w:r>
              <w:rPr>
                <w:u w:val="single"/>
              </w:rPr>
              <w:t>Other</w:t>
            </w:r>
            <w:r w:rsidRPr="00ED35EB">
              <w:rPr>
                <w:u w:val="single"/>
              </w:rPr>
              <w:t>:</w:t>
            </w:r>
          </w:p>
          <w:p w:rsidR="0033404C" w:rsidRDefault="0033404C" w:rsidP="00B8348C">
            <w:pPr>
              <w:pStyle w:val="Tabletext"/>
            </w:pPr>
            <w:r>
              <w:t>Δ</w:t>
            </w:r>
            <w:r w:rsidRPr="009E5A70">
              <w:t xml:space="preserve">MAS-B (ankle </w:t>
            </w:r>
            <w:r>
              <w:t xml:space="preserve">plantar flexors) </w:t>
            </w:r>
            <w:r w:rsidR="0079458C">
              <w:t xml:space="preserve">at </w:t>
            </w:r>
            <w:r>
              <w:t>w</w:t>
            </w:r>
            <w:r w:rsidR="0079458C">
              <w:t>ee</w:t>
            </w:r>
            <w:r>
              <w:t>k</w:t>
            </w:r>
            <w:r w:rsidR="0079458C">
              <w:t xml:space="preserve"> </w:t>
            </w:r>
            <w:r>
              <w:t>4</w:t>
            </w:r>
          </w:p>
          <w:p w:rsidR="0033404C" w:rsidRPr="00053396" w:rsidRDefault="0033404C" w:rsidP="00B8348C">
            <w:pPr>
              <w:pStyle w:val="Tabletext"/>
            </w:pPr>
            <w:r>
              <w:t>Δ</w:t>
            </w:r>
            <w:r w:rsidRPr="00053396">
              <w:t xml:space="preserve">MAS-B (ankle plantar flexors) </w:t>
            </w:r>
            <w:r w:rsidR="0079458C">
              <w:br/>
            </w:r>
            <w:r w:rsidRPr="00053396">
              <w:t>≥</w:t>
            </w:r>
            <w:r w:rsidR="0079458C">
              <w:t xml:space="preserve"> </w:t>
            </w:r>
            <w:r w:rsidRPr="00053396">
              <w:t>1 reduction at w</w:t>
            </w:r>
            <w:r w:rsidR="0079458C">
              <w:t>ee</w:t>
            </w:r>
            <w:r w:rsidRPr="00053396">
              <w:t>k</w:t>
            </w:r>
            <w:r w:rsidR="0079458C">
              <w:t xml:space="preserve"> </w:t>
            </w:r>
            <w:r w:rsidRPr="00053396">
              <w:t>4</w:t>
            </w:r>
          </w:p>
        </w:tc>
        <w:tc>
          <w:tcPr>
            <w:tcW w:w="252" w:type="pct"/>
            <w:shd w:val="clear" w:color="auto" w:fill="auto"/>
          </w:tcPr>
          <w:p w:rsidR="0033404C" w:rsidRPr="0027346A" w:rsidRDefault="0033404C" w:rsidP="00B8348C">
            <w:pPr>
              <w:pStyle w:val="Tabletext"/>
              <w:jc w:val="center"/>
              <w:rPr>
                <w:rStyle w:val="CommentReference"/>
                <w:b w:val="0"/>
                <w:bCs/>
                <w:i/>
                <w:iCs/>
              </w:rPr>
            </w:pPr>
            <w:r w:rsidRPr="0027346A">
              <w:rPr>
                <w:szCs w:val="20"/>
              </w:rPr>
              <w:t>Low</w:t>
            </w:r>
          </w:p>
        </w:tc>
      </w:tr>
      <w:tr w:rsidR="0033404C" w:rsidRPr="0027346A" w:rsidTr="00B8348C">
        <w:tc>
          <w:tcPr>
            <w:tcW w:w="469" w:type="pct"/>
            <w:shd w:val="clear" w:color="auto" w:fill="auto"/>
          </w:tcPr>
          <w:p w:rsidR="0033404C" w:rsidRPr="0027346A" w:rsidRDefault="0033404C" w:rsidP="00B8348C">
            <w:pPr>
              <w:pStyle w:val="Tabletext"/>
              <w:rPr>
                <w:szCs w:val="20"/>
                <w:vertAlign w:val="superscript"/>
              </w:rPr>
            </w:pPr>
            <w:r w:rsidRPr="0027346A">
              <w:rPr>
                <w:szCs w:val="20"/>
              </w:rPr>
              <w:t>Trial 512 (Kaji 2010)</w:t>
            </w:r>
          </w:p>
          <w:p w:rsidR="0033404C" w:rsidRPr="0027346A" w:rsidRDefault="0033404C" w:rsidP="00B8348C">
            <w:pPr>
              <w:pStyle w:val="Tabletext"/>
              <w:rPr>
                <w:szCs w:val="20"/>
              </w:rPr>
            </w:pPr>
          </w:p>
          <w:p w:rsidR="0033404C" w:rsidRPr="0027346A" w:rsidRDefault="0033404C" w:rsidP="00B8348C">
            <w:pPr>
              <w:pStyle w:val="TableText0"/>
              <w:spacing w:before="0" w:after="0"/>
            </w:pPr>
            <w:r>
              <w:rPr>
                <w:szCs w:val="20"/>
              </w:rPr>
              <w:t>[</w:t>
            </w:r>
            <w:r w:rsidRPr="0027346A">
              <w:rPr>
                <w:szCs w:val="20"/>
              </w:rPr>
              <w:t>Japan</w:t>
            </w:r>
            <w:r>
              <w:rPr>
                <w:szCs w:val="20"/>
              </w:rPr>
              <w:t>]</w:t>
            </w:r>
          </w:p>
        </w:tc>
        <w:tc>
          <w:tcPr>
            <w:tcW w:w="315" w:type="pct"/>
            <w:shd w:val="clear" w:color="auto" w:fill="auto"/>
          </w:tcPr>
          <w:p w:rsidR="0033404C" w:rsidRPr="0027346A" w:rsidRDefault="0033404C" w:rsidP="00B8348C">
            <w:pPr>
              <w:pStyle w:val="Tabletext"/>
              <w:jc w:val="center"/>
            </w:pPr>
            <w:r w:rsidRPr="002316A0">
              <w:rPr>
                <w:szCs w:val="20"/>
              </w:rPr>
              <w:t>120</w:t>
            </w:r>
          </w:p>
        </w:tc>
        <w:tc>
          <w:tcPr>
            <w:tcW w:w="864" w:type="pct"/>
          </w:tcPr>
          <w:p w:rsidR="0033404C" w:rsidRPr="002005EA" w:rsidRDefault="0033404C" w:rsidP="00B8348C">
            <w:pPr>
              <w:pStyle w:val="Tabletext"/>
            </w:pPr>
            <w:r w:rsidRPr="002005EA">
              <w:rPr>
                <w:szCs w:val="20"/>
                <w:u w:val="single"/>
              </w:rPr>
              <w:t>ITT:</w:t>
            </w:r>
            <w:r w:rsidRPr="002005EA">
              <w:rPr>
                <w:szCs w:val="20"/>
              </w:rPr>
              <w:t xml:space="preserve"> Spastic equinus post-stroke (≥</w:t>
            </w:r>
            <w:r w:rsidR="0079458C">
              <w:rPr>
                <w:szCs w:val="20"/>
              </w:rPr>
              <w:t xml:space="preserve"> </w:t>
            </w:r>
            <w:r w:rsidRPr="002005EA">
              <w:rPr>
                <w:szCs w:val="20"/>
              </w:rPr>
              <w:t>6</w:t>
            </w:r>
            <w:r w:rsidR="0079458C">
              <w:rPr>
                <w:szCs w:val="20"/>
              </w:rPr>
              <w:t xml:space="preserve"> </w:t>
            </w:r>
            <w:r w:rsidRPr="002005EA">
              <w:rPr>
                <w:szCs w:val="20"/>
              </w:rPr>
              <w:t>m</w:t>
            </w:r>
            <w:r w:rsidR="0079458C">
              <w:rPr>
                <w:szCs w:val="20"/>
              </w:rPr>
              <w:t>on</w:t>
            </w:r>
            <w:r w:rsidRPr="002005EA">
              <w:rPr>
                <w:szCs w:val="20"/>
              </w:rPr>
              <w:t>th</w:t>
            </w:r>
            <w:r w:rsidR="0079458C">
              <w:rPr>
                <w:szCs w:val="20"/>
              </w:rPr>
              <w:t>s</w:t>
            </w:r>
            <w:r w:rsidRPr="002005EA">
              <w:rPr>
                <w:szCs w:val="20"/>
              </w:rPr>
              <w:t xml:space="preserve"> prior), ankle MAS ≥</w:t>
            </w:r>
            <w:r w:rsidR="0079458C">
              <w:rPr>
                <w:szCs w:val="20"/>
              </w:rPr>
              <w:t xml:space="preserve"> </w:t>
            </w:r>
            <w:r w:rsidRPr="002005EA">
              <w:rPr>
                <w:szCs w:val="20"/>
              </w:rPr>
              <w:t>3</w:t>
            </w:r>
          </w:p>
        </w:tc>
        <w:tc>
          <w:tcPr>
            <w:tcW w:w="581" w:type="pct"/>
            <w:shd w:val="clear" w:color="auto" w:fill="auto"/>
          </w:tcPr>
          <w:p w:rsidR="0033404C" w:rsidRPr="002005EA" w:rsidRDefault="0033404C" w:rsidP="00B8348C">
            <w:pPr>
              <w:pStyle w:val="Tabletext"/>
              <w:jc w:val="center"/>
              <w:rPr>
                <w:szCs w:val="20"/>
              </w:rPr>
            </w:pPr>
            <w:r w:rsidRPr="002005EA">
              <w:rPr>
                <w:szCs w:val="20"/>
                <w:u w:val="single"/>
              </w:rPr>
              <w:t>DB phase:</w:t>
            </w:r>
            <w:r w:rsidRPr="002005EA">
              <w:rPr>
                <w:szCs w:val="20"/>
              </w:rPr>
              <w:t xml:space="preserve"> P3,</w:t>
            </w:r>
            <w:r w:rsidR="0079458C">
              <w:rPr>
                <w:szCs w:val="20"/>
              </w:rPr>
              <w:t xml:space="preserve"> </w:t>
            </w:r>
            <w:r w:rsidRPr="002005EA">
              <w:rPr>
                <w:szCs w:val="20"/>
              </w:rPr>
              <w:t>R</w:t>
            </w:r>
            <w:r w:rsidR="0079458C">
              <w:rPr>
                <w:szCs w:val="20"/>
              </w:rPr>
              <w:t>;</w:t>
            </w:r>
            <w:r w:rsidRPr="002005EA">
              <w:rPr>
                <w:szCs w:val="20"/>
              </w:rPr>
              <w:t xml:space="preserve"> </w:t>
            </w:r>
            <w:r w:rsidR="00FF1017">
              <w:rPr>
                <w:szCs w:val="20"/>
              </w:rPr>
              <w:br/>
            </w:r>
            <w:r w:rsidRPr="002005EA">
              <w:rPr>
                <w:szCs w:val="20"/>
              </w:rPr>
              <w:t>12</w:t>
            </w:r>
            <w:r w:rsidR="0079458C">
              <w:rPr>
                <w:szCs w:val="20"/>
              </w:rPr>
              <w:t xml:space="preserve"> </w:t>
            </w:r>
            <w:r w:rsidRPr="002005EA">
              <w:rPr>
                <w:szCs w:val="20"/>
              </w:rPr>
              <w:t>w</w:t>
            </w:r>
            <w:r w:rsidR="0079458C">
              <w:rPr>
                <w:szCs w:val="20"/>
              </w:rPr>
              <w:t>ee</w:t>
            </w:r>
            <w:r w:rsidRPr="002005EA">
              <w:rPr>
                <w:szCs w:val="20"/>
              </w:rPr>
              <w:t>k follow-up</w:t>
            </w:r>
          </w:p>
          <w:p w:rsidR="0033404C" w:rsidRPr="002005EA" w:rsidRDefault="0033404C" w:rsidP="00B8348C">
            <w:pPr>
              <w:pStyle w:val="Tabletext"/>
              <w:jc w:val="center"/>
              <w:rPr>
                <w:szCs w:val="20"/>
              </w:rPr>
            </w:pPr>
          </w:p>
          <w:p w:rsidR="0033404C" w:rsidRPr="002207D4" w:rsidRDefault="0033404C" w:rsidP="00B8348C">
            <w:pPr>
              <w:pStyle w:val="Tabletext"/>
              <w:jc w:val="center"/>
              <w:rPr>
                <w:iCs/>
                <w:szCs w:val="20"/>
                <w:u w:val="single"/>
              </w:rPr>
            </w:pPr>
            <w:r w:rsidRPr="002207D4">
              <w:rPr>
                <w:iCs/>
                <w:szCs w:val="20"/>
                <w:u w:val="single"/>
              </w:rPr>
              <w:t>OL phase:</w:t>
            </w:r>
          </w:p>
          <w:p w:rsidR="0033404C" w:rsidRPr="002005EA" w:rsidRDefault="0033404C" w:rsidP="00B8348C">
            <w:pPr>
              <w:pStyle w:val="Tabletext"/>
              <w:jc w:val="center"/>
            </w:pPr>
            <w:r w:rsidRPr="002207D4">
              <w:rPr>
                <w:iCs/>
                <w:szCs w:val="20"/>
              </w:rPr>
              <w:t>48</w:t>
            </w:r>
            <w:r w:rsidR="0079458C">
              <w:rPr>
                <w:iCs/>
                <w:szCs w:val="20"/>
              </w:rPr>
              <w:t xml:space="preserve"> </w:t>
            </w:r>
            <w:r w:rsidRPr="002207D4">
              <w:rPr>
                <w:iCs/>
                <w:szCs w:val="20"/>
              </w:rPr>
              <w:t>w</w:t>
            </w:r>
            <w:r w:rsidR="0079458C">
              <w:rPr>
                <w:iCs/>
                <w:szCs w:val="20"/>
              </w:rPr>
              <w:t>ee</w:t>
            </w:r>
            <w:r w:rsidRPr="002207D4">
              <w:rPr>
                <w:iCs/>
                <w:szCs w:val="20"/>
              </w:rPr>
              <w:t>k follow-up, results NR</w:t>
            </w:r>
          </w:p>
        </w:tc>
        <w:tc>
          <w:tcPr>
            <w:tcW w:w="1777" w:type="pct"/>
          </w:tcPr>
          <w:p w:rsidR="0033404C" w:rsidRPr="002005EA" w:rsidRDefault="0033404C" w:rsidP="00C01CB8">
            <w:pPr>
              <w:pStyle w:val="TableText0"/>
              <w:spacing w:before="0" w:after="0"/>
              <w:rPr>
                <w:rFonts w:eastAsia="Times New Roman" w:cs="Times New Roman"/>
                <w:b/>
                <w:bCs/>
                <w:snapToGrid w:val="0"/>
                <w:szCs w:val="20"/>
                <w:u w:val="single"/>
              </w:rPr>
            </w:pPr>
            <w:r w:rsidRPr="002005EA">
              <w:rPr>
                <w:rFonts w:eastAsia="Times New Roman" w:cs="Times New Roman"/>
                <w:b/>
                <w:bCs/>
                <w:snapToGrid w:val="0"/>
                <w:szCs w:val="20"/>
                <w:u w:val="single"/>
              </w:rPr>
              <w:t>Interventions:</w:t>
            </w:r>
          </w:p>
          <w:p w:rsidR="0033404C" w:rsidRPr="002005EA" w:rsidRDefault="0033404C" w:rsidP="003642BB">
            <w:pPr>
              <w:pStyle w:val="TableText0"/>
              <w:numPr>
                <w:ilvl w:val="0"/>
                <w:numId w:val="13"/>
              </w:numPr>
              <w:spacing w:before="0" w:after="0"/>
              <w:ind w:left="176" w:hanging="119"/>
              <w:rPr>
                <w:rFonts w:eastAsia="Times New Roman" w:cs="Times New Roman"/>
                <w:snapToGrid w:val="0"/>
                <w:szCs w:val="20"/>
              </w:rPr>
            </w:pPr>
            <w:r w:rsidRPr="002005EA">
              <w:rPr>
                <w:rFonts w:eastAsia="Times New Roman" w:cs="Times New Roman"/>
                <w:snapToGrid w:val="0"/>
                <w:szCs w:val="20"/>
                <w:u w:val="single"/>
              </w:rPr>
              <w:t>DB</w:t>
            </w:r>
            <w:r w:rsidRPr="002005EA">
              <w:rPr>
                <w:szCs w:val="20"/>
                <w:u w:val="single"/>
              </w:rPr>
              <w:t xml:space="preserve"> phase:</w:t>
            </w:r>
            <w:r w:rsidRPr="002005EA">
              <w:rPr>
                <w:szCs w:val="20"/>
              </w:rPr>
              <w:t xml:space="preserve"> single injection </w:t>
            </w:r>
            <w:r w:rsidR="00057611">
              <w:rPr>
                <w:szCs w:val="20"/>
              </w:rPr>
              <w:t>Botox</w:t>
            </w:r>
            <w:r w:rsidR="00255197" w:rsidRPr="00FA6E19">
              <w:rPr>
                <w:vertAlign w:val="superscript"/>
              </w:rPr>
              <w:t>®</w:t>
            </w:r>
            <w:r w:rsidRPr="002005EA">
              <w:rPr>
                <w:szCs w:val="20"/>
              </w:rPr>
              <w:t xml:space="preserve"> 300U vs PBO</w:t>
            </w:r>
          </w:p>
          <w:p w:rsidR="0033404C" w:rsidRPr="002005EA" w:rsidRDefault="0033404C" w:rsidP="00C01CB8">
            <w:pPr>
              <w:pStyle w:val="TableText0"/>
              <w:spacing w:before="0" w:after="0"/>
              <w:rPr>
                <w:rFonts w:eastAsia="Times New Roman" w:cs="Times New Roman"/>
                <w:snapToGrid w:val="0"/>
                <w:szCs w:val="20"/>
              </w:rPr>
            </w:pPr>
            <w:r w:rsidRPr="002005EA">
              <w:rPr>
                <w:rFonts w:eastAsia="Times New Roman" w:cs="Times New Roman"/>
                <w:b/>
                <w:bCs/>
                <w:snapToGrid w:val="0"/>
                <w:szCs w:val="20"/>
                <w:u w:val="single"/>
              </w:rPr>
              <w:t>Muscles injection</w:t>
            </w:r>
            <w:r w:rsidRPr="002005EA">
              <w:rPr>
                <w:rFonts w:eastAsia="Times New Roman" w:cs="Times New Roman"/>
                <w:snapToGrid w:val="0"/>
                <w:szCs w:val="20"/>
              </w:rPr>
              <w:t xml:space="preserve"> (EMG-guided):</w:t>
            </w:r>
          </w:p>
          <w:p w:rsidR="0033404C" w:rsidRPr="002005EA" w:rsidRDefault="0033404C" w:rsidP="003642BB">
            <w:pPr>
              <w:pStyle w:val="TableText0"/>
              <w:numPr>
                <w:ilvl w:val="0"/>
                <w:numId w:val="13"/>
              </w:numPr>
              <w:spacing w:before="0" w:after="0"/>
              <w:ind w:left="175" w:hanging="119"/>
              <w:rPr>
                <w:rFonts w:eastAsia="Times New Roman" w:cs="Times New Roman"/>
                <w:b/>
                <w:snapToGrid w:val="0"/>
                <w:szCs w:val="20"/>
              </w:rPr>
            </w:pPr>
            <w:r w:rsidRPr="002005EA">
              <w:rPr>
                <w:rFonts w:eastAsia="Times New Roman" w:cs="Times New Roman"/>
                <w:snapToGrid w:val="0"/>
                <w:szCs w:val="20"/>
                <w:u w:val="single"/>
              </w:rPr>
              <w:t>Mandatory:</w:t>
            </w:r>
            <w:r w:rsidRPr="002005EA">
              <w:rPr>
                <w:rFonts w:eastAsia="Times New Roman" w:cs="Times New Roman"/>
                <w:snapToGrid w:val="0"/>
                <w:szCs w:val="20"/>
              </w:rPr>
              <w:t xml:space="preserve"> Ankle plantar flexors − Gastrocnemius (medial and lateral), soleus, tibialis posterior</w:t>
            </w:r>
          </w:p>
          <w:p w:rsidR="0033404C" w:rsidRPr="002005EA" w:rsidRDefault="0033404C" w:rsidP="00C01CB8">
            <w:pPr>
              <w:pStyle w:val="TableText0"/>
              <w:spacing w:before="0" w:after="0"/>
              <w:ind w:left="114" w:hanging="114"/>
              <w:rPr>
                <w:b/>
                <w:bCs/>
                <w:snapToGrid w:val="0"/>
                <w:szCs w:val="20"/>
                <w:u w:val="single"/>
              </w:rPr>
            </w:pPr>
            <w:r w:rsidRPr="002005EA">
              <w:rPr>
                <w:b/>
                <w:bCs/>
                <w:snapToGrid w:val="0"/>
                <w:szCs w:val="20"/>
                <w:u w:val="single"/>
              </w:rPr>
              <w:t>Concomitant physical therapy:</w:t>
            </w:r>
          </w:p>
          <w:p w:rsidR="0033404C" w:rsidRPr="002005EA" w:rsidRDefault="0033404C" w:rsidP="003642BB">
            <w:pPr>
              <w:pStyle w:val="TableText0"/>
              <w:numPr>
                <w:ilvl w:val="0"/>
                <w:numId w:val="13"/>
              </w:numPr>
              <w:spacing w:before="0" w:after="0"/>
              <w:ind w:left="175" w:hanging="119"/>
              <w:rPr>
                <w:rFonts w:eastAsia="Times New Roman" w:cs="Times New Roman"/>
              </w:rPr>
            </w:pPr>
            <w:r w:rsidRPr="002005EA">
              <w:rPr>
                <w:szCs w:val="20"/>
              </w:rPr>
              <w:t>DB phase: any rehabilitation</w:t>
            </w:r>
            <w:r w:rsidR="00C71505">
              <w:rPr>
                <w:szCs w:val="20"/>
              </w:rPr>
              <w:t xml:space="preserve"> in</w:t>
            </w:r>
            <w:r w:rsidRPr="002005EA">
              <w:rPr>
                <w:szCs w:val="20"/>
              </w:rPr>
              <w:t xml:space="preserve"> 58.6% Botox, 53.2% PBO</w:t>
            </w:r>
          </w:p>
        </w:tc>
        <w:tc>
          <w:tcPr>
            <w:tcW w:w="742" w:type="pct"/>
          </w:tcPr>
          <w:p w:rsidR="0033404C" w:rsidRPr="00ED35EB" w:rsidRDefault="0033404C" w:rsidP="00B8348C">
            <w:pPr>
              <w:pStyle w:val="TableText0"/>
              <w:spacing w:before="0" w:after="0"/>
              <w:rPr>
                <w:u w:val="single"/>
              </w:rPr>
            </w:pPr>
            <w:r w:rsidRPr="00ED35EB">
              <w:rPr>
                <w:u w:val="single"/>
              </w:rPr>
              <w:t>Primary:</w:t>
            </w:r>
          </w:p>
          <w:p w:rsidR="0033404C" w:rsidRDefault="0033404C" w:rsidP="00B8348C">
            <w:pPr>
              <w:pStyle w:val="TableText0"/>
              <w:spacing w:before="0" w:after="0"/>
            </w:pPr>
            <w:r>
              <w:t>Δ</w:t>
            </w:r>
            <w:r w:rsidRPr="00ED35EB">
              <w:t xml:space="preserve">MAS (ankle) AUC </w:t>
            </w:r>
            <w:r w:rsidR="0079458C">
              <w:t>at</w:t>
            </w:r>
            <w:r w:rsidRPr="00ED35EB">
              <w:t xml:space="preserve"> w</w:t>
            </w:r>
            <w:r w:rsidR="0079458C">
              <w:t>ee</w:t>
            </w:r>
            <w:r w:rsidRPr="00ED35EB">
              <w:t>k</w:t>
            </w:r>
            <w:r w:rsidR="0079458C">
              <w:t xml:space="preserve"> </w:t>
            </w:r>
            <w:r w:rsidRPr="00ED35EB">
              <w:t>12</w:t>
            </w:r>
          </w:p>
          <w:p w:rsidR="0033404C" w:rsidRPr="00ED35EB" w:rsidRDefault="0033404C" w:rsidP="00B8348C">
            <w:pPr>
              <w:pStyle w:val="TableText0"/>
              <w:spacing w:before="0" w:after="0"/>
              <w:rPr>
                <w:u w:val="single"/>
              </w:rPr>
            </w:pPr>
            <w:r w:rsidRPr="00ED35EB">
              <w:rPr>
                <w:u w:val="single"/>
              </w:rPr>
              <w:t>Secondary:</w:t>
            </w:r>
          </w:p>
          <w:p w:rsidR="0033404C" w:rsidRPr="0027346A" w:rsidRDefault="0033404C" w:rsidP="00B8348C">
            <w:pPr>
              <w:pStyle w:val="Tabletext"/>
            </w:pPr>
            <w:r>
              <w:t xml:space="preserve">ΔMAS </w:t>
            </w:r>
            <w:r w:rsidRPr="009E5A70">
              <w:t xml:space="preserve">(ankle </w:t>
            </w:r>
            <w:r>
              <w:t>plantar flexors)</w:t>
            </w:r>
            <w:r w:rsidR="0079458C">
              <w:t xml:space="preserve"> at </w:t>
            </w:r>
            <w:r>
              <w:t xml:space="preserve"> w</w:t>
            </w:r>
            <w:r w:rsidR="0079458C">
              <w:t>ee</w:t>
            </w:r>
            <w:r>
              <w:t>k</w:t>
            </w:r>
            <w:r w:rsidR="0079458C">
              <w:t xml:space="preserve"> </w:t>
            </w:r>
            <w:r>
              <w:t>4</w:t>
            </w:r>
          </w:p>
        </w:tc>
        <w:tc>
          <w:tcPr>
            <w:tcW w:w="252" w:type="pct"/>
            <w:shd w:val="clear" w:color="auto" w:fill="auto"/>
          </w:tcPr>
          <w:p w:rsidR="0033404C" w:rsidRPr="0027346A" w:rsidRDefault="0033404C" w:rsidP="00B8348C">
            <w:pPr>
              <w:pStyle w:val="Tabletext"/>
              <w:jc w:val="center"/>
              <w:rPr>
                <w:rStyle w:val="CommentReference"/>
                <w:b w:val="0"/>
                <w:bCs/>
                <w:i/>
                <w:iCs/>
              </w:rPr>
            </w:pPr>
            <w:r w:rsidRPr="0027346A">
              <w:rPr>
                <w:szCs w:val="20"/>
              </w:rPr>
              <w:t>Low</w:t>
            </w:r>
          </w:p>
        </w:tc>
      </w:tr>
    </w:tbl>
    <w:p w:rsidR="0033404C" w:rsidRPr="00914A4E" w:rsidRDefault="0033404C" w:rsidP="0033404C">
      <w:pPr>
        <w:rPr>
          <w:rFonts w:ascii="Arial Narrow" w:hAnsi="Arial Narrow"/>
          <w:sz w:val="18"/>
          <w:szCs w:val="18"/>
        </w:rPr>
      </w:pPr>
      <w:r w:rsidRPr="00914A4E">
        <w:rPr>
          <w:rFonts w:ascii="Arial Narrow" w:hAnsi="Arial Narrow"/>
          <w:sz w:val="18"/>
          <w:szCs w:val="18"/>
        </w:rPr>
        <w:t>AE</w:t>
      </w:r>
      <w:r w:rsidR="00914A4E" w:rsidRPr="00914A4E">
        <w:rPr>
          <w:rFonts w:ascii="Arial Narrow" w:hAnsi="Arial Narrow"/>
          <w:sz w:val="18"/>
          <w:szCs w:val="18"/>
        </w:rPr>
        <w:t xml:space="preserve"> </w:t>
      </w:r>
      <w:r w:rsidRPr="00914A4E">
        <w:rPr>
          <w:rFonts w:ascii="Arial Narrow" w:hAnsi="Arial Narrow"/>
          <w:sz w:val="18"/>
          <w:szCs w:val="18"/>
        </w:rPr>
        <w:t>=</w:t>
      </w:r>
      <w:r w:rsidR="00914A4E" w:rsidRPr="00914A4E">
        <w:rPr>
          <w:rFonts w:ascii="Arial Narrow" w:hAnsi="Arial Narrow"/>
          <w:sz w:val="18"/>
          <w:szCs w:val="18"/>
        </w:rPr>
        <w:t xml:space="preserve"> </w:t>
      </w:r>
      <w:r w:rsidRPr="00914A4E">
        <w:rPr>
          <w:rFonts w:ascii="Arial Narrow" w:hAnsi="Arial Narrow"/>
          <w:sz w:val="18"/>
          <w:szCs w:val="18"/>
        </w:rPr>
        <w:t>adverse event; AUC</w:t>
      </w:r>
      <w:r w:rsidR="00914A4E" w:rsidRPr="00914A4E">
        <w:rPr>
          <w:rFonts w:ascii="Arial Narrow" w:hAnsi="Arial Narrow"/>
          <w:sz w:val="18"/>
          <w:szCs w:val="18"/>
        </w:rPr>
        <w:t xml:space="preserve"> </w:t>
      </w:r>
      <w:r w:rsidRPr="00914A4E">
        <w:rPr>
          <w:rFonts w:ascii="Arial Narrow" w:hAnsi="Arial Narrow"/>
          <w:sz w:val="18"/>
          <w:szCs w:val="18"/>
        </w:rPr>
        <w:t>=</w:t>
      </w:r>
      <w:r w:rsidR="00914A4E" w:rsidRPr="00914A4E">
        <w:rPr>
          <w:rFonts w:ascii="Arial Narrow" w:hAnsi="Arial Narrow"/>
          <w:sz w:val="18"/>
          <w:szCs w:val="18"/>
        </w:rPr>
        <w:t xml:space="preserve"> </w:t>
      </w:r>
      <w:r w:rsidRPr="00914A4E">
        <w:rPr>
          <w:rFonts w:ascii="Arial Narrow" w:hAnsi="Arial Narrow"/>
          <w:sz w:val="18"/>
          <w:szCs w:val="18"/>
        </w:rPr>
        <w:t>area under the curve; DB</w:t>
      </w:r>
      <w:r w:rsidR="00914A4E" w:rsidRPr="00914A4E">
        <w:rPr>
          <w:rFonts w:ascii="Arial Narrow" w:hAnsi="Arial Narrow"/>
          <w:sz w:val="18"/>
          <w:szCs w:val="18"/>
        </w:rPr>
        <w:t xml:space="preserve"> </w:t>
      </w:r>
      <w:r w:rsidRPr="00914A4E">
        <w:rPr>
          <w:rFonts w:ascii="Arial Narrow" w:hAnsi="Arial Narrow"/>
          <w:sz w:val="18"/>
          <w:szCs w:val="18"/>
        </w:rPr>
        <w:t>=</w:t>
      </w:r>
      <w:r w:rsidR="00914A4E" w:rsidRPr="00914A4E">
        <w:rPr>
          <w:rFonts w:ascii="Arial Narrow" w:hAnsi="Arial Narrow"/>
          <w:sz w:val="18"/>
          <w:szCs w:val="18"/>
        </w:rPr>
        <w:t xml:space="preserve"> </w:t>
      </w:r>
      <w:r w:rsidRPr="00914A4E">
        <w:rPr>
          <w:rFonts w:ascii="Arial Narrow" w:hAnsi="Arial Narrow"/>
          <w:sz w:val="18"/>
          <w:szCs w:val="18"/>
        </w:rPr>
        <w:t>double blind; EMG</w:t>
      </w:r>
      <w:r w:rsidR="00914A4E" w:rsidRPr="00914A4E">
        <w:rPr>
          <w:rFonts w:ascii="Arial Narrow" w:hAnsi="Arial Narrow"/>
          <w:sz w:val="18"/>
          <w:szCs w:val="18"/>
        </w:rPr>
        <w:t xml:space="preserve"> </w:t>
      </w:r>
      <w:r w:rsidRPr="00914A4E">
        <w:rPr>
          <w:rFonts w:ascii="Arial Narrow" w:hAnsi="Arial Narrow"/>
          <w:sz w:val="18"/>
          <w:szCs w:val="18"/>
        </w:rPr>
        <w:t>=</w:t>
      </w:r>
      <w:r w:rsidR="00914A4E" w:rsidRPr="00914A4E">
        <w:rPr>
          <w:rFonts w:ascii="Arial Narrow" w:hAnsi="Arial Narrow"/>
          <w:sz w:val="18"/>
          <w:szCs w:val="18"/>
        </w:rPr>
        <w:t xml:space="preserve"> </w:t>
      </w:r>
      <w:r w:rsidRPr="00914A4E">
        <w:rPr>
          <w:rFonts w:ascii="Arial Narrow" w:hAnsi="Arial Narrow"/>
          <w:sz w:val="18"/>
          <w:szCs w:val="18"/>
        </w:rPr>
        <w:t>electromyography; ES</w:t>
      </w:r>
      <w:r w:rsidR="00914A4E" w:rsidRPr="00914A4E">
        <w:rPr>
          <w:rFonts w:ascii="Arial Narrow" w:hAnsi="Arial Narrow"/>
          <w:sz w:val="18"/>
          <w:szCs w:val="18"/>
        </w:rPr>
        <w:t xml:space="preserve"> </w:t>
      </w:r>
      <w:r w:rsidRPr="00914A4E">
        <w:rPr>
          <w:rFonts w:ascii="Arial Narrow" w:hAnsi="Arial Narrow"/>
          <w:sz w:val="18"/>
          <w:szCs w:val="18"/>
        </w:rPr>
        <w:t>=</w:t>
      </w:r>
      <w:r w:rsidR="00914A4E" w:rsidRPr="00914A4E">
        <w:rPr>
          <w:rFonts w:ascii="Arial Narrow" w:hAnsi="Arial Narrow"/>
          <w:sz w:val="18"/>
          <w:szCs w:val="18"/>
        </w:rPr>
        <w:t xml:space="preserve"> </w:t>
      </w:r>
      <w:r w:rsidRPr="00914A4E">
        <w:rPr>
          <w:rFonts w:ascii="Arial Narrow" w:hAnsi="Arial Narrow"/>
          <w:sz w:val="18"/>
          <w:szCs w:val="18"/>
        </w:rPr>
        <w:t>electrical stimulation; GSC</w:t>
      </w:r>
      <w:r w:rsidR="00914A4E" w:rsidRPr="00914A4E">
        <w:rPr>
          <w:rFonts w:ascii="Arial Narrow" w:hAnsi="Arial Narrow"/>
          <w:sz w:val="18"/>
          <w:szCs w:val="18"/>
        </w:rPr>
        <w:t xml:space="preserve"> </w:t>
      </w:r>
      <w:r w:rsidRPr="00914A4E">
        <w:rPr>
          <w:rFonts w:ascii="Arial Narrow" w:hAnsi="Arial Narrow"/>
          <w:sz w:val="18"/>
          <w:szCs w:val="18"/>
        </w:rPr>
        <w:t>=</w:t>
      </w:r>
      <w:r w:rsidR="00914A4E" w:rsidRPr="00914A4E">
        <w:rPr>
          <w:rFonts w:ascii="Arial Narrow" w:hAnsi="Arial Narrow"/>
          <w:sz w:val="18"/>
          <w:szCs w:val="18"/>
        </w:rPr>
        <w:t xml:space="preserve"> </w:t>
      </w:r>
      <w:r w:rsidRPr="00914A4E">
        <w:rPr>
          <w:rFonts w:ascii="Arial Narrow" w:hAnsi="Arial Narrow"/>
          <w:sz w:val="18"/>
          <w:szCs w:val="18"/>
        </w:rPr>
        <w:t>gastrocnemius soleus complex;</w:t>
      </w:r>
      <w:r w:rsidR="00B8348C">
        <w:rPr>
          <w:rFonts w:ascii="Arial Narrow" w:hAnsi="Arial Narrow"/>
          <w:sz w:val="18"/>
          <w:szCs w:val="18"/>
        </w:rPr>
        <w:t xml:space="preserve"> ITT = intention to treat;</w:t>
      </w:r>
      <w:r w:rsidRPr="00914A4E">
        <w:rPr>
          <w:rFonts w:ascii="Arial Narrow" w:hAnsi="Arial Narrow"/>
          <w:sz w:val="18"/>
          <w:szCs w:val="18"/>
        </w:rPr>
        <w:t xml:space="preserve"> LL</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lower limb; MAS</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M</w:t>
      </w:r>
      <w:r w:rsidRPr="00914A4E">
        <w:rPr>
          <w:rFonts w:ascii="Arial Narrow" w:hAnsi="Arial Narrow"/>
          <w:sz w:val="18"/>
          <w:szCs w:val="18"/>
        </w:rPr>
        <w:t xml:space="preserve">odified Ashworth </w:t>
      </w:r>
      <w:r w:rsidR="00914A4E">
        <w:rPr>
          <w:rFonts w:ascii="Arial Narrow" w:hAnsi="Arial Narrow"/>
          <w:sz w:val="18"/>
          <w:szCs w:val="18"/>
        </w:rPr>
        <w:t>Scale</w:t>
      </w:r>
      <w:r w:rsidRPr="00914A4E">
        <w:rPr>
          <w:rFonts w:ascii="Arial Narrow" w:hAnsi="Arial Narrow"/>
          <w:sz w:val="18"/>
          <w:szCs w:val="18"/>
        </w:rPr>
        <w:t>; MAS-B</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Modified Ashworth Scale – Bohannon; NR</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not reported; OL</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 xml:space="preserve">open label; </w:t>
      </w:r>
      <w:r w:rsidR="00B8348C">
        <w:rPr>
          <w:rFonts w:ascii="Arial Narrow" w:hAnsi="Arial Narrow"/>
          <w:sz w:val="18"/>
          <w:szCs w:val="18"/>
        </w:rPr>
        <w:t xml:space="preserve">PBS = Pharmaceutical Benefits Scheme; </w:t>
      </w:r>
      <w:r w:rsidRPr="00914A4E">
        <w:rPr>
          <w:rFonts w:ascii="Arial Narrow" w:hAnsi="Arial Narrow"/>
          <w:sz w:val="18"/>
          <w:szCs w:val="18"/>
        </w:rPr>
        <w:t>PBO</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placebo; P2</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P</w:t>
      </w:r>
      <w:r w:rsidRPr="00914A4E">
        <w:rPr>
          <w:rFonts w:ascii="Arial Narrow" w:hAnsi="Arial Narrow"/>
          <w:sz w:val="18"/>
          <w:szCs w:val="18"/>
        </w:rPr>
        <w:t>hase 2; P3</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Phase 3; P4</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P</w:t>
      </w:r>
      <w:r w:rsidRPr="00914A4E">
        <w:rPr>
          <w:rFonts w:ascii="Arial Narrow" w:hAnsi="Arial Narrow"/>
          <w:sz w:val="18"/>
          <w:szCs w:val="18"/>
        </w:rPr>
        <w:t>hase 4; R</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Pr="00914A4E">
        <w:rPr>
          <w:rFonts w:ascii="Arial Narrow" w:hAnsi="Arial Narrow"/>
          <w:sz w:val="18"/>
          <w:szCs w:val="18"/>
        </w:rPr>
        <w:t>randomised; TBI</w:t>
      </w:r>
      <w:r w:rsidR="00914A4E">
        <w:rPr>
          <w:rFonts w:ascii="Arial Narrow" w:hAnsi="Arial Narrow"/>
          <w:sz w:val="18"/>
          <w:szCs w:val="18"/>
        </w:rPr>
        <w:t xml:space="preserve"> </w:t>
      </w:r>
      <w:r w:rsidRPr="00914A4E">
        <w:rPr>
          <w:rFonts w:ascii="Arial Narrow" w:hAnsi="Arial Narrow"/>
          <w:sz w:val="18"/>
          <w:szCs w:val="18"/>
        </w:rPr>
        <w:t>=</w:t>
      </w:r>
      <w:r w:rsidR="00914A4E">
        <w:rPr>
          <w:rFonts w:ascii="Arial Narrow" w:hAnsi="Arial Narrow"/>
          <w:sz w:val="18"/>
          <w:szCs w:val="18"/>
        </w:rPr>
        <w:t xml:space="preserve"> </w:t>
      </w:r>
      <w:r w:rsidR="0079458C">
        <w:rPr>
          <w:rFonts w:ascii="Arial Narrow" w:hAnsi="Arial Narrow"/>
          <w:sz w:val="18"/>
          <w:szCs w:val="18"/>
        </w:rPr>
        <w:t>traumatic brain injury</w:t>
      </w:r>
    </w:p>
    <w:p w:rsidR="0033404C" w:rsidRPr="006817E1" w:rsidRDefault="0033404C" w:rsidP="0033404C">
      <w:pPr>
        <w:tabs>
          <w:tab w:val="left" w:pos="142"/>
        </w:tabs>
        <w:rPr>
          <w:rFonts w:ascii="Arial Narrow" w:hAnsi="Arial Narrow"/>
          <w:sz w:val="18"/>
          <w:szCs w:val="18"/>
        </w:rPr>
      </w:pPr>
      <w:r w:rsidRPr="006817E1">
        <w:rPr>
          <w:rFonts w:ascii="Arial Narrow" w:hAnsi="Arial Narrow"/>
          <w:sz w:val="18"/>
          <w:szCs w:val="18"/>
          <w:vertAlign w:val="superscript"/>
        </w:rPr>
        <w:t>a</w:t>
      </w:r>
      <w:r w:rsidRPr="006817E1">
        <w:rPr>
          <w:rFonts w:ascii="Arial Narrow" w:hAnsi="Arial Narrow"/>
          <w:sz w:val="18"/>
          <w:szCs w:val="18"/>
        </w:rPr>
        <w:tab/>
        <w:t>Toe flexors, rectus femoris, hamstrings, other hip muscles. Tibialis posterior was injected in 73% of patients.</w:t>
      </w:r>
    </w:p>
    <w:p w:rsidR="00B8348C" w:rsidRDefault="0033404C" w:rsidP="00B77D0E">
      <w:pPr>
        <w:tabs>
          <w:tab w:val="left" w:pos="142"/>
        </w:tabs>
        <w:rPr>
          <w:rFonts w:ascii="Arial Narrow" w:hAnsi="Arial Narrow"/>
          <w:sz w:val="18"/>
          <w:szCs w:val="18"/>
        </w:rPr>
      </w:pPr>
      <w:r w:rsidRPr="006817E1">
        <w:rPr>
          <w:rFonts w:ascii="Arial Narrow" w:hAnsi="Arial Narrow"/>
          <w:sz w:val="18"/>
          <w:szCs w:val="18"/>
          <w:vertAlign w:val="superscript"/>
        </w:rPr>
        <w:t>b</w:t>
      </w:r>
      <w:r w:rsidRPr="006817E1">
        <w:rPr>
          <w:rFonts w:ascii="Arial Narrow" w:hAnsi="Arial Narrow"/>
          <w:sz w:val="18"/>
          <w:szCs w:val="18"/>
        </w:rPr>
        <w:tab/>
        <w:t>Toe flexors, rectus femoris, hamstrings</w:t>
      </w:r>
      <w:r>
        <w:rPr>
          <w:rFonts w:ascii="Arial Narrow" w:hAnsi="Arial Narrow"/>
          <w:sz w:val="18"/>
          <w:szCs w:val="18"/>
        </w:rPr>
        <w:t>.</w:t>
      </w:r>
      <w:r w:rsidR="00483939">
        <w:rPr>
          <w:rFonts w:ascii="Arial Narrow" w:hAnsi="Arial Narrow"/>
          <w:sz w:val="18"/>
          <w:szCs w:val="18"/>
        </w:rPr>
        <w:t xml:space="preserve"> </w:t>
      </w:r>
    </w:p>
    <w:p w:rsidR="0033404C" w:rsidRPr="00053396" w:rsidRDefault="0033404C" w:rsidP="00B77D0E">
      <w:pPr>
        <w:tabs>
          <w:tab w:val="left" w:pos="142"/>
        </w:tabs>
        <w:rPr>
          <w:rFonts w:ascii="Arial Narrow" w:hAnsi="Arial Narrow"/>
          <w:sz w:val="18"/>
          <w:szCs w:val="18"/>
        </w:rPr>
      </w:pPr>
      <w:r w:rsidRPr="00053396">
        <w:rPr>
          <w:rFonts w:ascii="Arial Narrow" w:hAnsi="Arial Narrow"/>
          <w:sz w:val="18"/>
          <w:szCs w:val="18"/>
        </w:rPr>
        <w:t>Source: Table 2.9-2.11, pp49-52</w:t>
      </w:r>
      <w:r>
        <w:rPr>
          <w:rFonts w:ascii="Arial Narrow" w:hAnsi="Arial Narrow"/>
          <w:sz w:val="18"/>
          <w:szCs w:val="18"/>
        </w:rPr>
        <w:t xml:space="preserve"> of the resubmission</w:t>
      </w:r>
      <w:r w:rsidRPr="00053396">
        <w:rPr>
          <w:rFonts w:ascii="Arial Narrow" w:hAnsi="Arial Narrow"/>
          <w:sz w:val="18"/>
          <w:szCs w:val="18"/>
        </w:rPr>
        <w:t>; Gracies 2017</w:t>
      </w:r>
      <w:r>
        <w:rPr>
          <w:rFonts w:ascii="Arial Narrow" w:hAnsi="Arial Narrow"/>
          <w:sz w:val="18"/>
          <w:szCs w:val="18"/>
        </w:rPr>
        <w:t>;</w:t>
      </w:r>
      <w:r w:rsidRPr="00053396">
        <w:rPr>
          <w:rFonts w:ascii="Arial Narrow" w:hAnsi="Arial Narrow"/>
          <w:sz w:val="18"/>
          <w:szCs w:val="18"/>
        </w:rPr>
        <w:t xml:space="preserve"> </w:t>
      </w:r>
      <w:r w:rsidR="00057611">
        <w:rPr>
          <w:rFonts w:ascii="Arial Narrow" w:hAnsi="Arial Narrow"/>
          <w:sz w:val="18"/>
          <w:szCs w:val="18"/>
        </w:rPr>
        <w:t>Botox</w:t>
      </w:r>
      <w:r w:rsidR="00255197" w:rsidRPr="00255197">
        <w:rPr>
          <w:rFonts w:ascii="Arial Narrow" w:hAnsi="Arial Narrow"/>
          <w:sz w:val="20"/>
          <w:szCs w:val="20"/>
          <w:vertAlign w:val="superscript"/>
        </w:rPr>
        <w:t>®</w:t>
      </w:r>
      <w:r w:rsidR="00255197" w:rsidRPr="00255197">
        <w:rPr>
          <w:rFonts w:ascii="Arial Narrow" w:hAnsi="Arial Narrow"/>
          <w:sz w:val="20"/>
          <w:szCs w:val="20"/>
        </w:rPr>
        <w:t xml:space="preserve"> </w:t>
      </w:r>
      <w:r w:rsidR="00B77D0E" w:rsidRPr="00053396">
        <w:rPr>
          <w:rFonts w:ascii="Arial Narrow" w:hAnsi="Arial Narrow"/>
          <w:sz w:val="18"/>
          <w:szCs w:val="18"/>
        </w:rPr>
        <w:t xml:space="preserve">PSD </w:t>
      </w:r>
      <w:r w:rsidRPr="00053396">
        <w:rPr>
          <w:rFonts w:ascii="Arial Narrow" w:hAnsi="Arial Narrow"/>
          <w:sz w:val="18"/>
          <w:szCs w:val="18"/>
        </w:rPr>
        <w:t xml:space="preserve">November 2018 </w:t>
      </w:r>
    </w:p>
    <w:p w:rsidR="007F1017" w:rsidRDefault="007F1017" w:rsidP="007F1017"/>
    <w:p w:rsidR="00BB4EB7" w:rsidRPr="00867AC2" w:rsidRDefault="00BB4EB7" w:rsidP="0036686A">
      <w:pPr>
        <w:pStyle w:val="ListParagraph"/>
        <w:widowControl/>
        <w:numPr>
          <w:ilvl w:val="1"/>
          <w:numId w:val="1"/>
        </w:numPr>
        <w:ind w:left="720"/>
      </w:pPr>
      <w:r w:rsidRPr="002207D4">
        <w:t xml:space="preserve">The resubmission presented results for a post-hoc subgroup in Study 140 with LLFS following stroke and MAS </w:t>
      </w:r>
      <w:r w:rsidRPr="002207D4">
        <w:rPr>
          <w:rFonts w:cs="Calibri"/>
        </w:rPr>
        <w:t>≥</w:t>
      </w:r>
      <w:r w:rsidR="00DD0995" w:rsidRPr="002207D4">
        <w:rPr>
          <w:rFonts w:cs="Calibri"/>
        </w:rPr>
        <w:t xml:space="preserve"> </w:t>
      </w:r>
      <w:r w:rsidRPr="002207D4">
        <w:t>3</w:t>
      </w:r>
      <w:r w:rsidR="00B81A79" w:rsidRPr="002207D4">
        <w:t xml:space="preserve"> (which included 64% of the trial participants)</w:t>
      </w:r>
      <w:r w:rsidRPr="002207D4">
        <w:t xml:space="preserve">, to align with the requested restriction. </w:t>
      </w:r>
      <w:r w:rsidR="008F348E" w:rsidRPr="002207D4">
        <w:t>Baseline characteristics and muscles</w:t>
      </w:r>
      <w:r w:rsidR="00FC6A7C" w:rsidRPr="002207D4">
        <w:t xml:space="preserve"> and </w:t>
      </w:r>
      <w:r w:rsidR="008F348E" w:rsidRPr="002207D4">
        <w:t xml:space="preserve">doses injected were provided in the PSCR. </w:t>
      </w:r>
      <w:r w:rsidRPr="002207D4">
        <w:t xml:space="preserve">All patients enrolled in the Botox® trials met the PBS criteria. </w:t>
      </w:r>
      <w:r w:rsidRPr="002207D4">
        <w:rPr>
          <w:iCs/>
        </w:rPr>
        <w:t>All of the trials enrolled patients with LLFS</w:t>
      </w:r>
      <w:r w:rsidRPr="00867AC2">
        <w:rPr>
          <w:iCs/>
        </w:rPr>
        <w:t xml:space="preserve"> related to the foot/ankle </w:t>
      </w:r>
      <w:r w:rsidRPr="00867AC2">
        <w:rPr>
          <w:iCs/>
        </w:rPr>
        <w:lastRenderedPageBreak/>
        <w:t xml:space="preserve">(gastrocnemius soleus complex, GSC), whereas the requested restriction </w:t>
      </w:r>
      <w:r w:rsidR="00946E94" w:rsidRPr="00867AC2">
        <w:rPr>
          <w:iCs/>
        </w:rPr>
        <w:t>permits treatment of other lower limb areas including toes, knees, thighs and hips</w:t>
      </w:r>
      <w:r w:rsidRPr="00867AC2">
        <w:rPr>
          <w:iCs/>
        </w:rPr>
        <w:t xml:space="preserve">. </w:t>
      </w:r>
      <w:r w:rsidR="001629AF">
        <w:rPr>
          <w:iCs/>
        </w:rPr>
        <w:t>The P</w:t>
      </w:r>
      <w:r w:rsidRPr="00867AC2">
        <w:rPr>
          <w:iCs/>
        </w:rPr>
        <w:t>BAC</w:t>
      </w:r>
      <w:r w:rsidR="00946E94" w:rsidRPr="00867AC2">
        <w:rPr>
          <w:iCs/>
        </w:rPr>
        <w:t xml:space="preserve"> </w:t>
      </w:r>
      <w:r w:rsidR="001629AF">
        <w:rPr>
          <w:iCs/>
        </w:rPr>
        <w:t xml:space="preserve">recalled that it </w:t>
      </w:r>
      <w:r w:rsidR="00946E94" w:rsidRPr="00867AC2">
        <w:rPr>
          <w:iCs/>
        </w:rPr>
        <w:t>had previously</w:t>
      </w:r>
      <w:r w:rsidRPr="00867AC2">
        <w:rPr>
          <w:iCs/>
        </w:rPr>
        <w:t xml:space="preserve"> considered that based on biological plausibility, the effect of Dysport® could be extrap</w:t>
      </w:r>
      <w:r w:rsidR="00D77567" w:rsidRPr="00867AC2">
        <w:rPr>
          <w:iCs/>
        </w:rPr>
        <w:t>olated to other muscle groups (p</w:t>
      </w:r>
      <w:r w:rsidRPr="00867AC2">
        <w:rPr>
          <w:iCs/>
        </w:rPr>
        <w:t>aragraph 7.3, Dysport® PSD</w:t>
      </w:r>
      <w:r w:rsidR="00B35ADC" w:rsidRPr="00867AC2">
        <w:rPr>
          <w:iCs/>
        </w:rPr>
        <w:t>,</w:t>
      </w:r>
      <w:r w:rsidRPr="00867AC2">
        <w:rPr>
          <w:iCs/>
        </w:rPr>
        <w:t xml:space="preserve"> November 2018).</w:t>
      </w:r>
    </w:p>
    <w:p w:rsidR="00D50465" w:rsidRPr="00867AC2" w:rsidRDefault="006579A0" w:rsidP="0036686A">
      <w:pPr>
        <w:pStyle w:val="ListParagraph"/>
        <w:widowControl/>
        <w:numPr>
          <w:ilvl w:val="1"/>
          <w:numId w:val="1"/>
        </w:numPr>
        <w:ind w:left="720"/>
      </w:pPr>
      <w:r w:rsidRPr="00867AC2">
        <w:t xml:space="preserve">Study 140 randomised patients to two doses of </w:t>
      </w:r>
      <w:r w:rsidR="00D50465" w:rsidRPr="00867AC2">
        <w:t>Dysport® (1000U or 1500U)</w:t>
      </w:r>
      <w:r w:rsidRPr="00867AC2">
        <w:t xml:space="preserve">. The resubmission only presented an indirect comparison between Dysport® 1500U and Botox® because the PBAC had previously considered that </w:t>
      </w:r>
      <w:r w:rsidR="00D50465" w:rsidRPr="00867AC2">
        <w:t xml:space="preserve">Dysport® 1000U was not superior to </w:t>
      </w:r>
      <w:r w:rsidR="00BC233A">
        <w:t>placebo</w:t>
      </w:r>
      <w:r w:rsidR="00BC233A" w:rsidRPr="00867AC2">
        <w:t xml:space="preserve"> </w:t>
      </w:r>
      <w:r w:rsidR="00D50465" w:rsidRPr="00867AC2">
        <w:t>in terms of effectiveness (paragraph 6.33, Dysport® PSD</w:t>
      </w:r>
      <w:r w:rsidR="00DD0995" w:rsidRPr="00867AC2">
        <w:t>,</w:t>
      </w:r>
      <w:r w:rsidR="00D50465" w:rsidRPr="00867AC2">
        <w:t xml:space="preserve"> November 2018).</w:t>
      </w:r>
    </w:p>
    <w:p w:rsidR="0033404C" w:rsidRPr="002207D4" w:rsidRDefault="009F1AA4" w:rsidP="0036686A">
      <w:pPr>
        <w:pStyle w:val="ListParagraph"/>
        <w:widowControl/>
        <w:numPr>
          <w:ilvl w:val="1"/>
          <w:numId w:val="1"/>
        </w:numPr>
        <w:ind w:left="720"/>
      </w:pPr>
      <w:r w:rsidRPr="002207D4">
        <w:t xml:space="preserve">The Botox® trials and PBS subgroup of Study 140 </w:t>
      </w:r>
      <w:r w:rsidR="00477999" w:rsidRPr="002207D4">
        <w:t xml:space="preserve">assessed the efficacy at Week </w:t>
      </w:r>
      <w:r w:rsidR="00A0013D">
        <w:t>4</w:t>
      </w:r>
      <w:r w:rsidR="00A0013D" w:rsidRPr="002207D4">
        <w:t xml:space="preserve"> </w:t>
      </w:r>
      <w:r w:rsidR="00477999" w:rsidRPr="002207D4">
        <w:t xml:space="preserve">after a single-dose of BoNT (Dysport® or Botox®) versus </w:t>
      </w:r>
      <w:r w:rsidR="00BC233A" w:rsidRPr="002207D4">
        <w:t xml:space="preserve">placebo </w:t>
      </w:r>
      <w:r w:rsidR="005B7406" w:rsidRPr="002207D4">
        <w:t>for the treatment of</w:t>
      </w:r>
      <w:r w:rsidR="00477999" w:rsidRPr="002207D4">
        <w:t xml:space="preserve"> LLFS in adults after </w:t>
      </w:r>
      <w:r w:rsidR="006A6EEB" w:rsidRPr="002207D4">
        <w:t>stroke</w:t>
      </w:r>
      <w:r w:rsidR="00477999" w:rsidRPr="002207D4">
        <w:t xml:space="preserve">. </w:t>
      </w:r>
      <w:r w:rsidR="00004017">
        <w:t xml:space="preserve"> </w:t>
      </w:r>
      <w:r w:rsidR="0074521E" w:rsidRPr="002207D4">
        <w:rPr>
          <w:iCs/>
        </w:rPr>
        <w:t>T</w:t>
      </w:r>
      <w:r w:rsidR="00EA3676" w:rsidRPr="002207D4">
        <w:rPr>
          <w:iCs/>
        </w:rPr>
        <w:t xml:space="preserve">he </w:t>
      </w:r>
      <w:r w:rsidR="0023203D" w:rsidRPr="002207D4">
        <w:rPr>
          <w:iCs/>
        </w:rPr>
        <w:t xml:space="preserve">ESC </w:t>
      </w:r>
      <w:r w:rsidR="00EA3676" w:rsidRPr="002207D4">
        <w:rPr>
          <w:iCs/>
        </w:rPr>
        <w:t>considered</w:t>
      </w:r>
      <w:r w:rsidR="0023203D" w:rsidRPr="002207D4">
        <w:rPr>
          <w:iCs/>
        </w:rPr>
        <w:t xml:space="preserve"> that</w:t>
      </w:r>
      <w:r w:rsidR="00477999" w:rsidRPr="002207D4">
        <w:rPr>
          <w:iCs/>
        </w:rPr>
        <w:t xml:space="preserve"> t</w:t>
      </w:r>
      <w:r w:rsidR="0033404C" w:rsidRPr="002207D4">
        <w:rPr>
          <w:iCs/>
        </w:rPr>
        <w:t xml:space="preserve">here </w:t>
      </w:r>
      <w:r w:rsidR="003A6A8C" w:rsidRPr="002207D4">
        <w:rPr>
          <w:iCs/>
        </w:rPr>
        <w:t xml:space="preserve">were </w:t>
      </w:r>
      <w:r w:rsidR="0033404C" w:rsidRPr="002207D4">
        <w:rPr>
          <w:iCs/>
        </w:rPr>
        <w:t xml:space="preserve">a number of important differences </w:t>
      </w:r>
      <w:r w:rsidR="006A6EEB" w:rsidRPr="002207D4">
        <w:rPr>
          <w:iCs/>
        </w:rPr>
        <w:t xml:space="preserve">across the trials </w:t>
      </w:r>
      <w:r w:rsidR="00865681" w:rsidRPr="002207D4">
        <w:rPr>
          <w:iCs/>
        </w:rPr>
        <w:t xml:space="preserve">that </w:t>
      </w:r>
      <w:r w:rsidR="0033404C" w:rsidRPr="002207D4">
        <w:rPr>
          <w:iCs/>
        </w:rPr>
        <w:t>m</w:t>
      </w:r>
      <w:r w:rsidR="0074521E" w:rsidRPr="002207D4">
        <w:rPr>
          <w:iCs/>
        </w:rPr>
        <w:t>ight have</w:t>
      </w:r>
      <w:r w:rsidR="0033404C" w:rsidRPr="002207D4">
        <w:rPr>
          <w:iCs/>
        </w:rPr>
        <w:t xml:space="preserve"> bias</w:t>
      </w:r>
      <w:r w:rsidR="0074521E" w:rsidRPr="002207D4">
        <w:rPr>
          <w:iCs/>
        </w:rPr>
        <w:t>ed</w:t>
      </w:r>
      <w:r w:rsidR="0033404C" w:rsidRPr="002207D4">
        <w:rPr>
          <w:iCs/>
        </w:rPr>
        <w:t xml:space="preserve"> the meta-analysis</w:t>
      </w:r>
      <w:r w:rsidR="006A6EEB" w:rsidRPr="002207D4">
        <w:rPr>
          <w:iCs/>
        </w:rPr>
        <w:t xml:space="preserve"> of the</w:t>
      </w:r>
      <w:r w:rsidR="0033404C" w:rsidRPr="002207D4">
        <w:rPr>
          <w:iCs/>
        </w:rPr>
        <w:t xml:space="preserve"> Botox® trials and limit</w:t>
      </w:r>
      <w:r w:rsidR="0074521E" w:rsidRPr="002207D4">
        <w:rPr>
          <w:iCs/>
        </w:rPr>
        <w:t>ed the</w:t>
      </w:r>
      <w:r w:rsidR="0033404C" w:rsidRPr="002207D4">
        <w:rPr>
          <w:iCs/>
        </w:rPr>
        <w:t xml:space="preserve"> exchangeability of the </w:t>
      </w:r>
      <w:r w:rsidR="0074521E" w:rsidRPr="002207D4">
        <w:rPr>
          <w:iCs/>
        </w:rPr>
        <w:t xml:space="preserve">three </w:t>
      </w:r>
      <w:r w:rsidR="0033404C" w:rsidRPr="002207D4">
        <w:rPr>
          <w:iCs/>
        </w:rPr>
        <w:t xml:space="preserve">trials </w:t>
      </w:r>
      <w:r w:rsidR="0074521E" w:rsidRPr="002207D4">
        <w:rPr>
          <w:iCs/>
        </w:rPr>
        <w:t>in</w:t>
      </w:r>
      <w:r w:rsidR="0033404C" w:rsidRPr="002207D4">
        <w:rPr>
          <w:iCs/>
        </w:rPr>
        <w:t xml:space="preserve"> the indirect comparison:</w:t>
      </w:r>
    </w:p>
    <w:p w:rsidR="0033404C" w:rsidRPr="00867AC2" w:rsidRDefault="0033404C" w:rsidP="003642BB">
      <w:pPr>
        <w:pStyle w:val="ListParagraph"/>
        <w:numPr>
          <w:ilvl w:val="0"/>
          <w:numId w:val="14"/>
        </w:numPr>
        <w:ind w:left="1134"/>
        <w:rPr>
          <w:iCs/>
        </w:rPr>
      </w:pPr>
      <w:r w:rsidRPr="00867AC2">
        <w:rPr>
          <w:iCs/>
        </w:rPr>
        <w:t xml:space="preserve">Study 140 and REFLEX were multi-centre multi-country </w:t>
      </w:r>
      <w:r w:rsidR="0074521E">
        <w:rPr>
          <w:iCs/>
        </w:rPr>
        <w:t>trials</w:t>
      </w:r>
      <w:r w:rsidRPr="00867AC2">
        <w:rPr>
          <w:iCs/>
        </w:rPr>
        <w:t>, whereas Trial 512 only enrolled Japanese patients.</w:t>
      </w:r>
    </w:p>
    <w:p w:rsidR="0033404C" w:rsidRPr="00C823C9" w:rsidRDefault="0033404C" w:rsidP="003642BB">
      <w:pPr>
        <w:pStyle w:val="ListParagraph"/>
        <w:numPr>
          <w:ilvl w:val="0"/>
          <w:numId w:val="14"/>
        </w:numPr>
        <w:ind w:left="1134"/>
      </w:pPr>
      <w:r w:rsidRPr="00867AC2">
        <w:rPr>
          <w:iCs/>
        </w:rPr>
        <w:t>Across the trials, there w</w:t>
      </w:r>
      <w:r w:rsidR="0074521E">
        <w:rPr>
          <w:iCs/>
        </w:rPr>
        <w:t>ere</w:t>
      </w:r>
      <w:r w:rsidRPr="00867AC2">
        <w:rPr>
          <w:iCs/>
        </w:rPr>
        <w:t xml:space="preserve"> limited data about concomitant medications. Muscle relaxants and oral anti-spasticity agents were permitted in Study 140 (if initiated </w:t>
      </w:r>
      <w:r w:rsidRPr="00867AC2">
        <w:rPr>
          <w:rFonts w:cs="Calibri"/>
          <w:iCs/>
        </w:rPr>
        <w:t>≥</w:t>
      </w:r>
      <w:r w:rsidR="00DD0995" w:rsidRPr="00867AC2">
        <w:rPr>
          <w:rFonts w:cs="Calibri"/>
          <w:iCs/>
        </w:rPr>
        <w:t xml:space="preserve"> </w:t>
      </w:r>
      <w:r w:rsidRPr="00867AC2">
        <w:rPr>
          <w:iCs/>
        </w:rPr>
        <w:t>4 weeks</w:t>
      </w:r>
      <w:r w:rsidR="0074521E">
        <w:rPr>
          <w:iCs/>
        </w:rPr>
        <w:t xml:space="preserve"> previously</w:t>
      </w:r>
      <w:r w:rsidRPr="00867AC2">
        <w:rPr>
          <w:iCs/>
        </w:rPr>
        <w:t xml:space="preserve">) and REFLEX (on a stable dose </w:t>
      </w:r>
      <w:r w:rsidRPr="00867AC2">
        <w:rPr>
          <w:rFonts w:cs="Calibri"/>
          <w:iCs/>
        </w:rPr>
        <w:t>≥</w:t>
      </w:r>
      <w:r w:rsidR="00DD0995" w:rsidRPr="00867AC2">
        <w:rPr>
          <w:rFonts w:cs="Calibri"/>
          <w:iCs/>
        </w:rPr>
        <w:t xml:space="preserve"> </w:t>
      </w:r>
      <w:r w:rsidRPr="00867AC2">
        <w:rPr>
          <w:iCs/>
        </w:rPr>
        <w:t>2 months before day 1), whereas the use peripheral muscle relaxants was an exclusion criterion in Trial 512.</w:t>
      </w:r>
      <w:r>
        <w:rPr>
          <w:i/>
          <w:iCs/>
        </w:rPr>
        <w:t xml:space="preserve"> </w:t>
      </w:r>
    </w:p>
    <w:p w:rsidR="0033404C" w:rsidRPr="00867AC2" w:rsidRDefault="003A6A8C" w:rsidP="00865681">
      <w:pPr>
        <w:pStyle w:val="ListParagraph"/>
        <w:numPr>
          <w:ilvl w:val="0"/>
          <w:numId w:val="14"/>
        </w:numPr>
        <w:ind w:left="1134"/>
      </w:pPr>
      <w:r w:rsidRPr="00867AC2">
        <w:rPr>
          <w:iCs/>
        </w:rPr>
        <w:t>The RMSANZ and international guidelines recommend BoNT treatment alongside p</w:t>
      </w:r>
      <w:r w:rsidR="0033404C" w:rsidRPr="00867AC2">
        <w:rPr>
          <w:iCs/>
        </w:rPr>
        <w:t xml:space="preserve">hysical therapy. </w:t>
      </w:r>
      <w:r w:rsidR="00865681" w:rsidRPr="00867AC2">
        <w:rPr>
          <w:iCs/>
        </w:rPr>
        <w:t>However</w:t>
      </w:r>
      <w:r w:rsidR="0033404C" w:rsidRPr="00867AC2">
        <w:rPr>
          <w:iCs/>
        </w:rPr>
        <w:t>, the proportion of patients receiving concomitant physical therapy/physiotherapy in the trials was low (&lt;</w:t>
      </w:r>
      <w:r w:rsidR="00DD0995" w:rsidRPr="00867AC2">
        <w:rPr>
          <w:iCs/>
        </w:rPr>
        <w:t xml:space="preserve"> </w:t>
      </w:r>
      <w:r w:rsidR="0033404C" w:rsidRPr="00867AC2">
        <w:rPr>
          <w:iCs/>
        </w:rPr>
        <w:t>60%), and physiotherapy use was not reported in the REFLEX trial publication (Wein 2018).</w:t>
      </w:r>
    </w:p>
    <w:p w:rsidR="0033404C" w:rsidRPr="00867AC2" w:rsidRDefault="00FA0323" w:rsidP="00B35ADC">
      <w:pPr>
        <w:pStyle w:val="ListParagraph"/>
        <w:numPr>
          <w:ilvl w:val="0"/>
          <w:numId w:val="14"/>
        </w:numPr>
        <w:ind w:left="1134"/>
        <w:rPr>
          <w:iCs/>
        </w:rPr>
      </w:pPr>
      <w:r w:rsidRPr="00867AC2">
        <w:rPr>
          <w:iCs/>
        </w:rPr>
        <w:t xml:space="preserve">Beside </w:t>
      </w:r>
      <w:r w:rsidR="00816E71" w:rsidRPr="00867AC2">
        <w:rPr>
          <w:iCs/>
        </w:rPr>
        <w:t>differences in aetiology and baseline MAS (see above), t</w:t>
      </w:r>
      <w:r w:rsidR="0033404C" w:rsidRPr="00867AC2">
        <w:rPr>
          <w:iCs/>
        </w:rPr>
        <w:t xml:space="preserve">he </w:t>
      </w:r>
      <w:r w:rsidR="00816E71" w:rsidRPr="00867AC2">
        <w:rPr>
          <w:iCs/>
        </w:rPr>
        <w:t xml:space="preserve">inclusion criteria also differed in terms of the location of spasticity. </w:t>
      </w:r>
      <w:r w:rsidR="0033404C" w:rsidRPr="00867AC2">
        <w:rPr>
          <w:iCs/>
        </w:rPr>
        <w:t>Study 140 enro</w:t>
      </w:r>
      <w:r w:rsidR="00816E71" w:rsidRPr="00867AC2">
        <w:rPr>
          <w:iCs/>
        </w:rPr>
        <w:t>l</w:t>
      </w:r>
      <w:r w:rsidR="0033404C" w:rsidRPr="00867AC2">
        <w:rPr>
          <w:iCs/>
        </w:rPr>
        <w:t>l</w:t>
      </w:r>
      <w:r w:rsidR="00816E71" w:rsidRPr="00867AC2">
        <w:rPr>
          <w:iCs/>
        </w:rPr>
        <w:t>ed</w:t>
      </w:r>
      <w:r w:rsidR="0033404C" w:rsidRPr="00867AC2">
        <w:rPr>
          <w:iCs/>
        </w:rPr>
        <w:t xml:space="preserve"> patients with any hemiparesis with gait dysfunction </w:t>
      </w:r>
      <w:r w:rsidR="003A6A8C" w:rsidRPr="00867AC2">
        <w:rPr>
          <w:iCs/>
        </w:rPr>
        <w:t>(including hyperextended toe, equinovarus</w:t>
      </w:r>
      <w:r w:rsidR="00816E71" w:rsidRPr="00867AC2">
        <w:rPr>
          <w:iCs/>
        </w:rPr>
        <w:t xml:space="preserve"> foot</w:t>
      </w:r>
      <w:r w:rsidR="003A6A8C" w:rsidRPr="00867AC2">
        <w:rPr>
          <w:iCs/>
        </w:rPr>
        <w:t>, flexed or extended knee and flexed hip)</w:t>
      </w:r>
      <w:r w:rsidR="00816E71" w:rsidRPr="00867AC2">
        <w:rPr>
          <w:iCs/>
        </w:rPr>
        <w:t xml:space="preserve">, </w:t>
      </w:r>
      <w:r w:rsidRPr="00867AC2">
        <w:rPr>
          <w:iCs/>
        </w:rPr>
        <w:t xml:space="preserve">whereas </w:t>
      </w:r>
      <w:r w:rsidR="00816E71" w:rsidRPr="00867AC2">
        <w:rPr>
          <w:iCs/>
        </w:rPr>
        <w:t xml:space="preserve">the Botox® trials </w:t>
      </w:r>
      <w:r w:rsidRPr="00867AC2">
        <w:rPr>
          <w:iCs/>
        </w:rPr>
        <w:t xml:space="preserve">only included patients with </w:t>
      </w:r>
      <w:r w:rsidR="0033404C" w:rsidRPr="00867AC2">
        <w:rPr>
          <w:iCs/>
        </w:rPr>
        <w:t>equinus or equinovarus foot deformity.</w:t>
      </w:r>
    </w:p>
    <w:p w:rsidR="004F261A" w:rsidRPr="00867AC2" w:rsidRDefault="004F261A" w:rsidP="003642BB">
      <w:pPr>
        <w:pStyle w:val="ListParagraph"/>
        <w:numPr>
          <w:ilvl w:val="0"/>
          <w:numId w:val="14"/>
        </w:numPr>
        <w:ind w:left="1134"/>
      </w:pPr>
      <w:r w:rsidRPr="00867AC2">
        <w:rPr>
          <w:iCs/>
        </w:rPr>
        <w:t>There</w:t>
      </w:r>
      <w:r w:rsidRPr="00867AC2">
        <w:t xml:space="preserve"> were differences in important baseline characteristics across the trials. Approximately half of the patients in the PBS subgroup of Study 140 were BoNT-naïve, compared to all patients in Trial 512. Baseline MAS was also higher in the PBS subgroup of Study 140 (</w:t>
      </w:r>
      <w:r w:rsidRPr="00867AC2">
        <w:rPr>
          <w:iCs/>
        </w:rPr>
        <w:t>4.0 to 4.1) compared to the Botox® trials (3.1 to 3.3).</w:t>
      </w:r>
    </w:p>
    <w:p w:rsidR="006073F8" w:rsidRPr="00867AC2" w:rsidRDefault="006073F8" w:rsidP="009F1AA4">
      <w:pPr>
        <w:pStyle w:val="ListParagraph"/>
        <w:numPr>
          <w:ilvl w:val="0"/>
          <w:numId w:val="14"/>
        </w:numPr>
        <w:ind w:left="1134"/>
      </w:pPr>
      <w:r w:rsidRPr="00867AC2">
        <w:t xml:space="preserve">There were </w:t>
      </w:r>
      <w:r w:rsidR="00FA0323" w:rsidRPr="00867AC2">
        <w:t xml:space="preserve">also </w:t>
      </w:r>
      <w:r w:rsidRPr="00867AC2">
        <w:t xml:space="preserve">imbalances in </w:t>
      </w:r>
      <w:r w:rsidR="00FA0323" w:rsidRPr="00867AC2">
        <w:t xml:space="preserve">prior BoNT treatment </w:t>
      </w:r>
      <w:r w:rsidRPr="00867AC2">
        <w:t xml:space="preserve">between the active and control arms </w:t>
      </w:r>
      <w:r w:rsidR="00FA0323" w:rsidRPr="00867AC2">
        <w:t xml:space="preserve">of </w:t>
      </w:r>
      <w:r w:rsidRPr="00867AC2">
        <w:t xml:space="preserve">the post-hoc PBS subgroup </w:t>
      </w:r>
      <w:r w:rsidR="00FA0323" w:rsidRPr="00867AC2">
        <w:t xml:space="preserve">in </w:t>
      </w:r>
      <w:r w:rsidRPr="00867AC2">
        <w:t>Study 140</w:t>
      </w:r>
      <w:r w:rsidR="00FA0323" w:rsidRPr="00867AC2">
        <w:t>; a</w:t>
      </w:r>
      <w:r w:rsidRPr="00867AC2">
        <w:t xml:space="preserve">pproximately 47% of patients treated with Dysport® 1500U were BoNT-naïve compared to 54% treated with </w:t>
      </w:r>
      <w:r w:rsidR="00BC233A">
        <w:t>placebo</w:t>
      </w:r>
      <w:r w:rsidRPr="00867AC2">
        <w:t>.</w:t>
      </w:r>
    </w:p>
    <w:p w:rsidR="0033404C" w:rsidRPr="00867AC2" w:rsidRDefault="0033404C" w:rsidP="003642BB">
      <w:pPr>
        <w:pStyle w:val="ListParagraph"/>
        <w:numPr>
          <w:ilvl w:val="0"/>
          <w:numId w:val="14"/>
        </w:numPr>
        <w:ind w:left="1134"/>
      </w:pPr>
      <w:r w:rsidRPr="00867AC2">
        <w:rPr>
          <w:iCs/>
        </w:rPr>
        <w:lastRenderedPageBreak/>
        <w:t>There</w:t>
      </w:r>
      <w:r w:rsidRPr="00867AC2">
        <w:t xml:space="preserve"> were differences in the mandatory muscles injected across the trials, </w:t>
      </w:r>
      <w:r w:rsidR="00895492" w:rsidRPr="00867AC2">
        <w:t>likely</w:t>
      </w:r>
      <w:r w:rsidRPr="00867AC2">
        <w:t xml:space="preserve"> due to the slightly different populations enrolled. In the Botox® trials, mandatory muscles included the gastrocnemius (medial and lateral heads), soleus and tibialis posterior, which are key target muscles for </w:t>
      </w:r>
      <w:r w:rsidR="009C4CF3" w:rsidRPr="00867AC2">
        <w:t>equinus or equinovarus foot deformity.</w:t>
      </w:r>
      <w:r w:rsidRPr="00867AC2">
        <w:t xml:space="preserve"> In Study 140, which enrolled</w:t>
      </w:r>
      <w:r w:rsidR="00FA0323" w:rsidRPr="00867AC2">
        <w:t xml:space="preserve"> patients with</w:t>
      </w:r>
      <w:r w:rsidRPr="00867AC2">
        <w:t xml:space="preserve"> </w:t>
      </w:r>
      <w:r w:rsidR="00895492" w:rsidRPr="00867AC2">
        <w:t>spasticity</w:t>
      </w:r>
      <w:r w:rsidR="00FA0323" w:rsidRPr="00867AC2">
        <w:t xml:space="preserve"> at other locations</w:t>
      </w:r>
      <w:r w:rsidR="00895492" w:rsidRPr="00867AC2">
        <w:t xml:space="preserve">, </w:t>
      </w:r>
      <w:r w:rsidRPr="00867AC2">
        <w:t>mandatory muscles included the gastrocnemius (medial or lateral heads), soleus</w:t>
      </w:r>
      <w:r w:rsidR="00F15424" w:rsidRPr="00867AC2">
        <w:t>,</w:t>
      </w:r>
      <w:r w:rsidRPr="00867AC2">
        <w:t xml:space="preserve"> and at least one additional muscle</w:t>
      </w:r>
      <w:r w:rsidR="00FA0323" w:rsidRPr="00867AC2">
        <w:t xml:space="preserve"> </w:t>
      </w:r>
      <w:r w:rsidR="00F15424" w:rsidRPr="00867AC2">
        <w:t xml:space="preserve">injected </w:t>
      </w:r>
      <w:r w:rsidR="00FA0323" w:rsidRPr="00867AC2">
        <w:t>at the physician’s discretion.</w:t>
      </w:r>
    </w:p>
    <w:p w:rsidR="00717ED4" w:rsidRDefault="0033404C" w:rsidP="00FC6A7C">
      <w:pPr>
        <w:pStyle w:val="ListParagraph"/>
        <w:numPr>
          <w:ilvl w:val="0"/>
          <w:numId w:val="14"/>
        </w:numPr>
        <w:ind w:left="1134"/>
        <w:rPr>
          <w:iCs/>
        </w:rPr>
      </w:pPr>
      <w:r w:rsidRPr="00867AC2">
        <w:rPr>
          <w:iCs/>
        </w:rPr>
        <w:t>All trials measured the improvement in MAS at the ankle flexor muscles at Week 4; however, there were differences in the coding of MAS during the analysis across the trials. Study 140 and REFLEX used the ‘derived’ coding system whereas Trial 512 used the ‘historical’ code. These differences affected the exchangeability of estimates for the mean change in MAS from baseline.</w:t>
      </w:r>
    </w:p>
    <w:p w:rsidR="00B60939" w:rsidRPr="006C7919" w:rsidRDefault="00B60939" w:rsidP="006C7919">
      <w:pPr>
        <w:keepLines/>
        <w:spacing w:after="120"/>
        <w:jc w:val="left"/>
        <w:outlineLvl w:val="1"/>
        <w:rPr>
          <w:rFonts w:asciiTheme="minorHAnsi" w:hAnsiTheme="minorHAnsi" w:cs="Times New Roman"/>
          <w:b/>
          <w:i/>
          <w:snapToGrid/>
          <w:sz w:val="28"/>
          <w:szCs w:val="28"/>
          <w:lang w:eastAsia="en-AU"/>
        </w:rPr>
      </w:pPr>
      <w:bookmarkStart w:id="8" w:name="_Toc9247885"/>
      <w:r w:rsidRPr="006C7919">
        <w:rPr>
          <w:rFonts w:asciiTheme="minorHAnsi" w:hAnsiTheme="minorHAnsi" w:cs="Times New Roman"/>
          <w:b/>
          <w:i/>
          <w:snapToGrid/>
          <w:sz w:val="28"/>
          <w:szCs w:val="28"/>
          <w:lang w:eastAsia="en-AU"/>
        </w:rPr>
        <w:t>Comparative effectiveness</w:t>
      </w:r>
      <w:bookmarkEnd w:id="8"/>
    </w:p>
    <w:p w:rsidR="00616504" w:rsidRPr="00616504" w:rsidRDefault="00CE615A" w:rsidP="0036686A">
      <w:pPr>
        <w:pStyle w:val="ListParagraph"/>
        <w:widowControl/>
        <w:numPr>
          <w:ilvl w:val="1"/>
          <w:numId w:val="1"/>
        </w:numPr>
        <w:ind w:left="720"/>
        <w:rPr>
          <w:i/>
          <w:iCs/>
        </w:rPr>
      </w:pPr>
      <w:r>
        <w:t xml:space="preserve">The resubmission presented an indirect comparison between Dysport® 1500U and Botox® 300-400U </w:t>
      </w:r>
      <w:r w:rsidR="00F15424">
        <w:t>for the outcomes of</w:t>
      </w:r>
      <w:r>
        <w:t xml:space="preserve"> </w:t>
      </w:r>
      <w:r w:rsidR="00AC5234">
        <w:t>mean change in MAS</w:t>
      </w:r>
      <w:r w:rsidR="00F15424">
        <w:t xml:space="preserve"> from baseline </w:t>
      </w:r>
      <w:r w:rsidR="00AC5234" w:rsidRPr="00272005">
        <w:t>and proportion of responders</w:t>
      </w:r>
      <w:r w:rsidR="00AC5234">
        <w:t xml:space="preserve"> (reduction in MAS ≥</w:t>
      </w:r>
      <w:r w:rsidR="00DD0995">
        <w:t xml:space="preserve"> </w:t>
      </w:r>
      <w:r w:rsidR="00AC5234">
        <w:t>1</w:t>
      </w:r>
      <w:r w:rsidR="00AC5234" w:rsidRPr="00272005">
        <w:t>)</w:t>
      </w:r>
      <w:r w:rsidR="00865681">
        <w:t xml:space="preserve"> at Week 4</w:t>
      </w:r>
      <w:r w:rsidR="00AC5234" w:rsidRPr="00272005">
        <w:t>.</w:t>
      </w:r>
      <w:r w:rsidR="00BE0FF8">
        <w:t xml:space="preserve"> The PBAC noted that due to the limited exchangeability between Dysport</w:t>
      </w:r>
      <w:r w:rsidR="00ED749B">
        <w:rPr>
          <w:rFonts w:cs="Calibri"/>
        </w:rPr>
        <w:t>®</w:t>
      </w:r>
      <w:r w:rsidR="00BE0FF8">
        <w:t xml:space="preserve"> and Botox</w:t>
      </w:r>
      <w:r w:rsidR="00ED749B">
        <w:rPr>
          <w:rFonts w:cs="Calibri"/>
        </w:rPr>
        <w:t>®</w:t>
      </w:r>
      <w:r w:rsidR="00BE0FF8">
        <w:t xml:space="preserve"> trials, week 4 was the only common time point. </w:t>
      </w:r>
    </w:p>
    <w:p w:rsidR="00CE615A" w:rsidRPr="00867AC2" w:rsidRDefault="00CE615A" w:rsidP="0036686A">
      <w:pPr>
        <w:pStyle w:val="ListParagraph"/>
        <w:widowControl/>
        <w:numPr>
          <w:ilvl w:val="1"/>
          <w:numId w:val="1"/>
        </w:numPr>
        <w:ind w:left="720"/>
        <w:rPr>
          <w:iCs/>
        </w:rPr>
      </w:pPr>
      <w:r w:rsidRPr="00867AC2">
        <w:t xml:space="preserve">The resubmission </w:t>
      </w:r>
      <w:r w:rsidR="00AC5234" w:rsidRPr="00867AC2">
        <w:t xml:space="preserve">also </w:t>
      </w:r>
      <w:r w:rsidRPr="00867AC2">
        <w:t xml:space="preserve">presented functional outcomes </w:t>
      </w:r>
      <w:r w:rsidR="00AC5234" w:rsidRPr="00867AC2">
        <w:t xml:space="preserve">in Study 140 </w:t>
      </w:r>
      <w:r w:rsidRPr="00867AC2">
        <w:t>(e.g. physician global assessment, comfortable barefoot walking speed), which were unchanged from the original submission.</w:t>
      </w:r>
      <w:r w:rsidRPr="00867AC2">
        <w:rPr>
          <w:iCs/>
        </w:rPr>
        <w:t xml:space="preserve"> The Botox® trials reported similar outcomes (e.g. clinical impression scale, goal assessment scale, gait analysis); however, the resubmission did not report the</w:t>
      </w:r>
      <w:r w:rsidR="00DD0995" w:rsidRPr="00867AC2">
        <w:rPr>
          <w:iCs/>
        </w:rPr>
        <w:t>se</w:t>
      </w:r>
      <w:r w:rsidRPr="00867AC2">
        <w:rPr>
          <w:iCs/>
        </w:rPr>
        <w:t xml:space="preserve"> results or present any comparison</w:t>
      </w:r>
      <w:r w:rsidR="00DD0995" w:rsidRPr="00867AC2">
        <w:rPr>
          <w:iCs/>
        </w:rPr>
        <w:t>s</w:t>
      </w:r>
      <w:r w:rsidRPr="00867AC2">
        <w:rPr>
          <w:iCs/>
        </w:rPr>
        <w:t xml:space="preserve"> with Dysport®.</w:t>
      </w:r>
    </w:p>
    <w:p w:rsidR="003844CC" w:rsidRDefault="00D55285" w:rsidP="0036686A">
      <w:pPr>
        <w:pStyle w:val="ListParagraph"/>
        <w:widowControl/>
        <w:numPr>
          <w:ilvl w:val="1"/>
          <w:numId w:val="1"/>
        </w:numPr>
        <w:ind w:left="720"/>
        <w:rPr>
          <w:i/>
          <w:iCs/>
        </w:rPr>
      </w:pPr>
      <w:r w:rsidRPr="002207D4">
        <w:rPr>
          <w:iCs/>
        </w:rPr>
        <w:t>The ESC recalled that t</w:t>
      </w:r>
      <w:r w:rsidR="00616504" w:rsidRPr="002207D4">
        <w:rPr>
          <w:iCs/>
        </w:rPr>
        <w:t xml:space="preserve">he PBAC had </w:t>
      </w:r>
      <w:r w:rsidR="003844CC" w:rsidRPr="002207D4">
        <w:rPr>
          <w:iCs/>
        </w:rPr>
        <w:t xml:space="preserve">previously </w:t>
      </w:r>
      <w:r w:rsidR="00616504" w:rsidRPr="002207D4">
        <w:rPr>
          <w:iCs/>
        </w:rPr>
        <w:t xml:space="preserve">considered that MAS changes should be supported by functional improvements. </w:t>
      </w:r>
      <w:r w:rsidR="003844CC" w:rsidRPr="002207D4">
        <w:rPr>
          <w:iCs/>
        </w:rPr>
        <w:t>I</w:t>
      </w:r>
      <w:r w:rsidR="00616504" w:rsidRPr="002207D4">
        <w:rPr>
          <w:iCs/>
        </w:rPr>
        <w:t>n c</w:t>
      </w:r>
      <w:r w:rsidR="00616504" w:rsidRPr="00867AC2">
        <w:rPr>
          <w:iCs/>
        </w:rPr>
        <w:t xml:space="preserve">onsidering Botox® for LLFS, the PBAC “considered that an improvement of </w:t>
      </w:r>
      <w:r w:rsidR="00616504" w:rsidRPr="0079458C">
        <w:rPr>
          <w:iCs/>
        </w:rPr>
        <w:t>at least 1 MAS point, when accompanied with other functional improvements, was reflective of the trial-defined response outcome and likely to reflect a patient relevant response in some patients” (paragraph 2.4, Botox® PSD</w:t>
      </w:r>
      <w:r w:rsidR="00DD0995" w:rsidRPr="0079458C">
        <w:rPr>
          <w:iCs/>
        </w:rPr>
        <w:t>,</w:t>
      </w:r>
      <w:r w:rsidR="00616504" w:rsidRPr="0079458C">
        <w:rPr>
          <w:iCs/>
        </w:rPr>
        <w:t xml:space="preserve"> November 2018). However, in considering Dysport® for LLFS, the PBAC “considered that a change in MAS of at least two using the ‘derived MAS’ convention</w:t>
      </w:r>
      <w:r w:rsidR="00616504" w:rsidRPr="00867AC2">
        <w:rPr>
          <w:iCs/>
        </w:rPr>
        <w:t>, when accompanied by other functional outcomes such as goal attainment, would likely represent a clinically meaningful response.</w:t>
      </w:r>
      <w:r w:rsidR="00481547">
        <w:rPr>
          <w:iCs/>
        </w:rPr>
        <w:t xml:space="preserve"> </w:t>
      </w:r>
    </w:p>
    <w:p w:rsidR="00C9185A" w:rsidRPr="00867AC2" w:rsidRDefault="00074D59" w:rsidP="0036686A">
      <w:pPr>
        <w:pStyle w:val="ListParagraph"/>
        <w:widowControl/>
        <w:numPr>
          <w:ilvl w:val="1"/>
          <w:numId w:val="1"/>
        </w:numPr>
        <w:ind w:left="720"/>
        <w:rPr>
          <w:rFonts w:ascii="Arial Narrow" w:hAnsi="Arial Narrow"/>
          <w:b/>
          <w:sz w:val="20"/>
          <w:szCs w:val="16"/>
        </w:rPr>
      </w:pPr>
      <w:r w:rsidRPr="00867AC2">
        <w:t xml:space="preserve">Table </w:t>
      </w:r>
      <w:r w:rsidRPr="00867AC2">
        <w:rPr>
          <w:noProof/>
        </w:rPr>
        <w:t>4</w:t>
      </w:r>
      <w:r w:rsidR="007C050D" w:rsidRPr="00867AC2">
        <w:t xml:space="preserve"> presents the </w:t>
      </w:r>
      <w:r w:rsidR="000A7290" w:rsidRPr="00867AC2">
        <w:t xml:space="preserve">results of the </w:t>
      </w:r>
      <w:r w:rsidR="007C050D" w:rsidRPr="00867AC2">
        <w:t xml:space="preserve">indirect comparison </w:t>
      </w:r>
      <w:r w:rsidR="00853B1F" w:rsidRPr="00867AC2">
        <w:t xml:space="preserve">between </w:t>
      </w:r>
      <w:r w:rsidR="007C050D" w:rsidRPr="00867AC2">
        <w:t xml:space="preserve">Dysport® </w:t>
      </w:r>
      <w:r w:rsidR="000A7290" w:rsidRPr="00867AC2">
        <w:t xml:space="preserve">and </w:t>
      </w:r>
      <w:r w:rsidR="007C050D" w:rsidRPr="00867AC2">
        <w:t>Botox®</w:t>
      </w:r>
      <w:r w:rsidR="005C3083" w:rsidRPr="00867AC2">
        <w:t>.</w:t>
      </w:r>
      <w:r w:rsidR="00C9185A" w:rsidRPr="00867AC2">
        <w:t xml:space="preserve"> </w:t>
      </w:r>
      <w:r w:rsidR="00C9185A" w:rsidRPr="00867AC2">
        <w:rPr>
          <w:iCs/>
        </w:rPr>
        <w:t>Results were updated during the evaluation to correct errors identified in the resubmission and include the proportion of MAS responders in Trial 512 (reported in the Botox® PSD</w:t>
      </w:r>
      <w:r w:rsidR="00DD0995" w:rsidRPr="00867AC2">
        <w:rPr>
          <w:iCs/>
        </w:rPr>
        <w:t>,</w:t>
      </w:r>
      <w:r w:rsidR="00C9185A" w:rsidRPr="00867AC2">
        <w:rPr>
          <w:iCs/>
        </w:rPr>
        <w:t xml:space="preserve"> November 2018</w:t>
      </w:r>
      <w:r w:rsidR="00DD0995" w:rsidRPr="00867AC2">
        <w:rPr>
          <w:iCs/>
        </w:rPr>
        <w:t>,</w:t>
      </w:r>
      <w:r w:rsidR="00C9185A" w:rsidRPr="00867AC2">
        <w:rPr>
          <w:iCs/>
        </w:rPr>
        <w:t xml:space="preserve"> and extracted during the evaluation).</w:t>
      </w:r>
    </w:p>
    <w:p w:rsidR="007C050D" w:rsidRPr="002207D4" w:rsidRDefault="000A7290" w:rsidP="0036686A">
      <w:pPr>
        <w:pStyle w:val="ListParagraph"/>
        <w:widowControl/>
        <w:numPr>
          <w:ilvl w:val="1"/>
          <w:numId w:val="1"/>
        </w:numPr>
        <w:ind w:left="720"/>
        <w:rPr>
          <w:rStyle w:val="CommentReference"/>
          <w:rFonts w:asciiTheme="minorHAnsi" w:hAnsiTheme="minorHAnsi" w:cstheme="minorHAnsi"/>
          <w:b w:val="0"/>
          <w:sz w:val="24"/>
          <w:szCs w:val="24"/>
        </w:rPr>
      </w:pPr>
      <w:r w:rsidRPr="00867AC2">
        <w:rPr>
          <w:iCs/>
        </w:rPr>
        <w:t xml:space="preserve">The Statistical Analysis Plan for Study 140 and REFLEX specified adjustment of MAS </w:t>
      </w:r>
      <w:r w:rsidR="000F73D6" w:rsidRPr="00867AC2">
        <w:rPr>
          <w:iCs/>
        </w:rPr>
        <w:t>change from baseline</w:t>
      </w:r>
      <w:r w:rsidRPr="00867AC2">
        <w:rPr>
          <w:iCs/>
        </w:rPr>
        <w:t xml:space="preserve"> for differences in baseline covariates. The table below includes unadjusted results for the ITT population in Study 140, extracted from a STATA log file </w:t>
      </w:r>
      <w:r w:rsidRPr="00867AC2">
        <w:rPr>
          <w:iCs/>
        </w:rPr>
        <w:lastRenderedPageBreak/>
        <w:t xml:space="preserve">during the evaluation. </w:t>
      </w:r>
      <w:r w:rsidR="000A4FF4" w:rsidRPr="00867AC2">
        <w:rPr>
          <w:iCs/>
        </w:rPr>
        <w:t>T</w:t>
      </w:r>
      <w:r w:rsidRPr="00867AC2">
        <w:rPr>
          <w:iCs/>
        </w:rPr>
        <w:t>he resubmission only presented unadjusted results</w:t>
      </w:r>
      <w:r w:rsidR="000A4FF4" w:rsidRPr="00867AC2">
        <w:rPr>
          <w:iCs/>
        </w:rPr>
        <w:t xml:space="preserve"> for the PBS subgroup in Study 140</w:t>
      </w:r>
      <w:r w:rsidR="000A4FF4" w:rsidRPr="003E44E7">
        <w:rPr>
          <w:rStyle w:val="CommentReference"/>
          <w:rFonts w:asciiTheme="minorHAnsi" w:hAnsiTheme="minorHAnsi" w:cstheme="minorHAnsi"/>
          <w:b w:val="0"/>
          <w:sz w:val="24"/>
          <w:szCs w:val="24"/>
        </w:rPr>
        <w:t>.</w:t>
      </w:r>
      <w:r w:rsidR="003E44E7" w:rsidRPr="003E44E7">
        <w:rPr>
          <w:rStyle w:val="CommentReference"/>
          <w:rFonts w:asciiTheme="minorHAnsi" w:hAnsiTheme="minorHAnsi" w:cstheme="minorHAnsi"/>
          <w:b w:val="0"/>
          <w:sz w:val="24"/>
          <w:szCs w:val="24"/>
        </w:rPr>
        <w:t xml:space="preserve"> </w:t>
      </w:r>
      <w:r w:rsidR="003E44E7" w:rsidRPr="002207D4">
        <w:rPr>
          <w:rStyle w:val="CommentReference"/>
          <w:rFonts w:asciiTheme="minorHAnsi" w:hAnsiTheme="minorHAnsi" w:cstheme="minorHAnsi"/>
          <w:b w:val="0"/>
          <w:sz w:val="24"/>
          <w:szCs w:val="24"/>
        </w:rPr>
        <w:t>Adjusted results for the PBS subgroup in Study 140 were presented in t</w:t>
      </w:r>
      <w:r w:rsidR="0062684E">
        <w:rPr>
          <w:rStyle w:val="CommentReference"/>
          <w:rFonts w:asciiTheme="minorHAnsi" w:hAnsiTheme="minorHAnsi" w:cstheme="minorHAnsi"/>
          <w:b w:val="0"/>
          <w:sz w:val="24"/>
          <w:szCs w:val="24"/>
        </w:rPr>
        <w:t>he PSCR</w:t>
      </w:r>
      <w:r w:rsidR="003E44E7" w:rsidRPr="002207D4">
        <w:rPr>
          <w:rStyle w:val="CommentReference"/>
          <w:rFonts w:asciiTheme="minorHAnsi" w:hAnsiTheme="minorHAnsi" w:cstheme="minorHAnsi"/>
          <w:b w:val="0"/>
          <w:sz w:val="24"/>
          <w:szCs w:val="24"/>
        </w:rPr>
        <w:t>.</w:t>
      </w:r>
    </w:p>
    <w:p w:rsidR="00FD3D25" w:rsidRDefault="00FD3D25" w:rsidP="00FD3D25">
      <w:pPr>
        <w:pStyle w:val="TableHeading0"/>
      </w:pPr>
      <w:r>
        <w:t xml:space="preserve">Table </w:t>
      </w:r>
      <w:r w:rsidR="008C0876">
        <w:fldChar w:fldCharType="begin"/>
      </w:r>
      <w:r w:rsidR="008C0876">
        <w:instrText xml:space="preserve"> SEQ Table \* ARABIC </w:instrText>
      </w:r>
      <w:r w:rsidR="008C0876">
        <w:fldChar w:fldCharType="separate"/>
      </w:r>
      <w:r w:rsidR="00915F21">
        <w:rPr>
          <w:noProof/>
        </w:rPr>
        <w:t>4</w:t>
      </w:r>
      <w:r w:rsidR="008C0876">
        <w:rPr>
          <w:noProof/>
        </w:rPr>
        <w:fldChar w:fldCharType="end"/>
      </w:r>
      <w:r w:rsidRPr="00F80AF9">
        <w:t>: Indirect comparison Dysport® vs. Botox® - MAS change and responders</w:t>
      </w:r>
    </w:p>
    <w:tbl>
      <w:tblPr>
        <w:tblStyle w:val="TableGrid"/>
        <w:tblW w:w="5000" w:type="pct"/>
        <w:tblCellMar>
          <w:left w:w="28" w:type="dxa"/>
          <w:right w:w="28" w:type="dxa"/>
        </w:tblCellMar>
        <w:tblLook w:val="04A0" w:firstRow="1" w:lastRow="0" w:firstColumn="1" w:lastColumn="0" w:noHBand="0" w:noVBand="1"/>
        <w:tblCaption w:val="Table 4: Indirect comparison Dysport® vs. Botox® - MAS change and responders"/>
      </w:tblPr>
      <w:tblGrid>
        <w:gridCol w:w="1795"/>
        <w:gridCol w:w="1381"/>
        <w:gridCol w:w="1381"/>
        <w:gridCol w:w="1389"/>
        <w:gridCol w:w="1536"/>
        <w:gridCol w:w="1535"/>
      </w:tblGrid>
      <w:tr w:rsidR="007C050D" w:rsidRPr="0034662A" w:rsidTr="00C01CB8">
        <w:trPr>
          <w:trHeight w:val="145"/>
        </w:trPr>
        <w:tc>
          <w:tcPr>
            <w:tcW w:w="995" w:type="pct"/>
          </w:tcPr>
          <w:p w:rsidR="007C050D" w:rsidRPr="0034662A" w:rsidRDefault="007C050D" w:rsidP="0062684E">
            <w:pPr>
              <w:pStyle w:val="Tabletext"/>
              <w:keepNext/>
              <w:rPr>
                <w:b/>
              </w:rPr>
            </w:pPr>
            <w:r w:rsidRPr="0034662A">
              <w:rPr>
                <w:b/>
              </w:rPr>
              <w:t>Trial ID</w:t>
            </w:r>
          </w:p>
        </w:tc>
        <w:tc>
          <w:tcPr>
            <w:tcW w:w="766" w:type="pct"/>
            <w:vAlign w:val="center"/>
          </w:tcPr>
          <w:p w:rsidR="007C050D" w:rsidRPr="0034662A" w:rsidRDefault="00057611" w:rsidP="0062684E">
            <w:pPr>
              <w:pStyle w:val="Tabletext"/>
              <w:keepNext/>
              <w:jc w:val="center"/>
              <w:rPr>
                <w:b/>
              </w:rPr>
            </w:pPr>
            <w:r>
              <w:rPr>
                <w:b/>
              </w:rPr>
              <w:t>Dysport</w:t>
            </w:r>
            <w:r w:rsidR="00255197" w:rsidRPr="00FA6E19">
              <w:rPr>
                <w:vertAlign w:val="superscript"/>
              </w:rPr>
              <w:t>®</w:t>
            </w:r>
            <w:r w:rsidR="00255197">
              <w:rPr>
                <w:b/>
              </w:rPr>
              <w:t xml:space="preserve"> </w:t>
            </w:r>
            <w:r w:rsidR="007C050D" w:rsidRPr="0034662A">
              <w:rPr>
                <w:b/>
              </w:rPr>
              <w:t>1500 U</w:t>
            </w:r>
          </w:p>
        </w:tc>
        <w:tc>
          <w:tcPr>
            <w:tcW w:w="766" w:type="pct"/>
            <w:vAlign w:val="center"/>
          </w:tcPr>
          <w:p w:rsidR="007C050D" w:rsidRPr="0034662A" w:rsidRDefault="007C050D" w:rsidP="0062684E">
            <w:pPr>
              <w:pStyle w:val="Tabletext"/>
              <w:keepNext/>
              <w:jc w:val="center"/>
              <w:rPr>
                <w:b/>
              </w:rPr>
            </w:pPr>
            <w:r w:rsidRPr="0034662A">
              <w:rPr>
                <w:b/>
              </w:rPr>
              <w:t>Placebo</w:t>
            </w:r>
          </w:p>
        </w:tc>
        <w:tc>
          <w:tcPr>
            <w:tcW w:w="770" w:type="pct"/>
            <w:vAlign w:val="center"/>
          </w:tcPr>
          <w:p w:rsidR="007C050D" w:rsidRPr="0034662A" w:rsidRDefault="00057611" w:rsidP="0062684E">
            <w:pPr>
              <w:pStyle w:val="Tabletext"/>
              <w:keepNext/>
              <w:jc w:val="center"/>
              <w:rPr>
                <w:b/>
              </w:rPr>
            </w:pPr>
            <w:r>
              <w:rPr>
                <w:b/>
              </w:rPr>
              <w:t>Botox</w:t>
            </w:r>
            <w:r w:rsidR="00255197" w:rsidRPr="00FA6E19">
              <w:rPr>
                <w:vertAlign w:val="superscript"/>
              </w:rPr>
              <w:t>®</w:t>
            </w:r>
            <w:r w:rsidR="00255197">
              <w:rPr>
                <w:vertAlign w:val="superscript"/>
              </w:rPr>
              <w:t xml:space="preserve"> </w:t>
            </w:r>
            <w:r w:rsidR="007C050D" w:rsidRPr="0034662A">
              <w:rPr>
                <w:b/>
              </w:rPr>
              <w:t>≤ 400 U</w:t>
            </w:r>
          </w:p>
        </w:tc>
        <w:tc>
          <w:tcPr>
            <w:tcW w:w="1703" w:type="pct"/>
            <w:gridSpan w:val="2"/>
            <w:vAlign w:val="center"/>
          </w:tcPr>
          <w:p w:rsidR="007C050D" w:rsidRPr="0034662A" w:rsidRDefault="007C050D" w:rsidP="0062684E">
            <w:pPr>
              <w:pStyle w:val="Tabletext"/>
              <w:keepNext/>
              <w:jc w:val="center"/>
              <w:rPr>
                <w:b/>
              </w:rPr>
            </w:pPr>
          </w:p>
        </w:tc>
      </w:tr>
      <w:tr w:rsidR="007C050D" w:rsidRPr="0034662A" w:rsidTr="00C01CB8">
        <w:trPr>
          <w:trHeight w:val="56"/>
        </w:trPr>
        <w:tc>
          <w:tcPr>
            <w:tcW w:w="3297" w:type="pct"/>
            <w:gridSpan w:val="4"/>
          </w:tcPr>
          <w:p w:rsidR="007C050D" w:rsidRPr="0034662A" w:rsidRDefault="007C050D" w:rsidP="0062684E">
            <w:pPr>
              <w:pStyle w:val="Tabletext"/>
              <w:keepNext/>
              <w:rPr>
                <w:b/>
              </w:rPr>
            </w:pPr>
            <w:r w:rsidRPr="0034662A">
              <w:rPr>
                <w:b/>
              </w:rPr>
              <w:t xml:space="preserve">MAS mean change </w:t>
            </w:r>
            <w:r>
              <w:rPr>
                <w:b/>
              </w:rPr>
              <w:t xml:space="preserve">(SD) </w:t>
            </w:r>
            <w:r w:rsidRPr="0034662A">
              <w:rPr>
                <w:b/>
              </w:rPr>
              <w:t xml:space="preserve">from baseline to Week 4 </w:t>
            </w:r>
          </w:p>
        </w:tc>
        <w:tc>
          <w:tcPr>
            <w:tcW w:w="1703" w:type="pct"/>
            <w:gridSpan w:val="2"/>
            <w:vAlign w:val="center"/>
          </w:tcPr>
          <w:p w:rsidR="007C050D" w:rsidRPr="0034662A" w:rsidRDefault="007C050D" w:rsidP="0062684E">
            <w:pPr>
              <w:pStyle w:val="Tabletext"/>
              <w:keepNext/>
              <w:jc w:val="center"/>
              <w:rPr>
                <w:b/>
              </w:rPr>
            </w:pPr>
            <w:r>
              <w:rPr>
                <w:b/>
                <w:bCs/>
                <w:szCs w:val="20"/>
              </w:rPr>
              <w:t>Mean Difference (95%</w:t>
            </w:r>
            <w:r w:rsidR="0079458C">
              <w:rPr>
                <w:b/>
                <w:bCs/>
                <w:szCs w:val="20"/>
              </w:rPr>
              <w:t xml:space="preserve"> </w:t>
            </w:r>
            <w:r>
              <w:rPr>
                <w:b/>
                <w:bCs/>
                <w:szCs w:val="20"/>
              </w:rPr>
              <w:t>CI)</w:t>
            </w:r>
          </w:p>
        </w:tc>
      </w:tr>
      <w:tr w:rsidR="003E44E7" w:rsidRPr="003E44E7" w:rsidTr="004478D4">
        <w:trPr>
          <w:trHeight w:val="56"/>
        </w:trPr>
        <w:tc>
          <w:tcPr>
            <w:tcW w:w="995" w:type="pct"/>
          </w:tcPr>
          <w:p w:rsidR="003E44E7" w:rsidRPr="003E44E7" w:rsidRDefault="003E44E7" w:rsidP="0062684E">
            <w:pPr>
              <w:pStyle w:val="Tabletext"/>
              <w:keepNext/>
              <w:rPr>
                <w:iCs/>
              </w:rPr>
            </w:pPr>
            <w:r w:rsidRPr="003E44E7">
              <w:rPr>
                <w:iCs/>
              </w:rPr>
              <w:t>Study 140 (ITT unadj)</w:t>
            </w:r>
          </w:p>
        </w:tc>
        <w:tc>
          <w:tcPr>
            <w:tcW w:w="766" w:type="pct"/>
            <w:vAlign w:val="center"/>
          </w:tcPr>
          <w:p w:rsidR="003E44E7" w:rsidRPr="003E44E7" w:rsidRDefault="003E44E7" w:rsidP="0062684E">
            <w:pPr>
              <w:pStyle w:val="Tabletext"/>
              <w:keepNext/>
              <w:jc w:val="center"/>
            </w:pPr>
            <w:r w:rsidRPr="003E44E7">
              <w:rPr>
                <w:iCs/>
                <w:szCs w:val="20"/>
              </w:rPr>
              <w:t>-0.7 (0.9)</w:t>
            </w:r>
          </w:p>
        </w:tc>
        <w:tc>
          <w:tcPr>
            <w:tcW w:w="766" w:type="pct"/>
            <w:vAlign w:val="center"/>
          </w:tcPr>
          <w:p w:rsidR="003E44E7" w:rsidRPr="003E44E7" w:rsidRDefault="003E44E7" w:rsidP="0062684E">
            <w:pPr>
              <w:pStyle w:val="Tabletext"/>
              <w:keepNext/>
              <w:jc w:val="center"/>
            </w:pPr>
            <w:r w:rsidRPr="003E44E7">
              <w:rPr>
                <w:iCs/>
                <w:szCs w:val="20"/>
              </w:rPr>
              <w:t>-0.5 (0.7)</w:t>
            </w:r>
          </w:p>
        </w:tc>
        <w:tc>
          <w:tcPr>
            <w:tcW w:w="770" w:type="pct"/>
            <w:vAlign w:val="center"/>
          </w:tcPr>
          <w:p w:rsidR="003E44E7" w:rsidRPr="003E44E7" w:rsidRDefault="003E44E7" w:rsidP="0062684E">
            <w:pPr>
              <w:pStyle w:val="Tabletext"/>
              <w:keepNext/>
              <w:jc w:val="center"/>
            </w:pPr>
          </w:p>
        </w:tc>
        <w:tc>
          <w:tcPr>
            <w:tcW w:w="1703" w:type="pct"/>
            <w:gridSpan w:val="2"/>
            <w:vAlign w:val="center"/>
          </w:tcPr>
          <w:p w:rsidR="003E44E7" w:rsidRPr="003E44E7" w:rsidRDefault="003E44E7" w:rsidP="0062684E">
            <w:pPr>
              <w:pStyle w:val="Tabletext"/>
              <w:keepNext/>
              <w:jc w:val="center"/>
              <w:rPr>
                <w:bCs/>
                <w:iCs/>
                <w:szCs w:val="20"/>
              </w:rPr>
            </w:pPr>
            <w:r w:rsidRPr="003E44E7">
              <w:rPr>
                <w:bCs/>
                <w:iCs/>
                <w:szCs w:val="20"/>
              </w:rPr>
              <w:t>-0.2 (-0.41, 0.01)</w:t>
            </w:r>
          </w:p>
        </w:tc>
      </w:tr>
      <w:tr w:rsidR="007C050D" w:rsidRPr="00C965C4" w:rsidTr="00C01CB8">
        <w:trPr>
          <w:trHeight w:val="56"/>
        </w:trPr>
        <w:tc>
          <w:tcPr>
            <w:tcW w:w="995" w:type="pct"/>
            <w:hideMark/>
          </w:tcPr>
          <w:p w:rsidR="007C050D" w:rsidRPr="00740483" w:rsidRDefault="007C050D" w:rsidP="0062684E">
            <w:pPr>
              <w:pStyle w:val="Tabletext"/>
              <w:keepNext/>
            </w:pPr>
            <w:r>
              <w:t>Study</w:t>
            </w:r>
            <w:r w:rsidRPr="00740483">
              <w:t xml:space="preserve"> 140 (ITT</w:t>
            </w:r>
            <w:r>
              <w:t xml:space="preserve"> adj</w:t>
            </w:r>
            <w:r w:rsidRPr="00740483">
              <w:t>)</w:t>
            </w:r>
          </w:p>
        </w:tc>
        <w:tc>
          <w:tcPr>
            <w:tcW w:w="766" w:type="pct"/>
            <w:vAlign w:val="center"/>
          </w:tcPr>
          <w:p w:rsidR="007C050D" w:rsidRPr="00740483" w:rsidRDefault="007C050D" w:rsidP="0062684E">
            <w:pPr>
              <w:pStyle w:val="Tabletext"/>
              <w:keepNext/>
              <w:jc w:val="center"/>
            </w:pPr>
            <w:r w:rsidRPr="00740483">
              <w:t>-0.7 (0.9)</w:t>
            </w:r>
          </w:p>
        </w:tc>
        <w:tc>
          <w:tcPr>
            <w:tcW w:w="766" w:type="pct"/>
            <w:vAlign w:val="center"/>
          </w:tcPr>
          <w:p w:rsidR="007C050D" w:rsidRPr="00740483" w:rsidRDefault="007C050D" w:rsidP="0062684E">
            <w:pPr>
              <w:pStyle w:val="Tabletext"/>
              <w:keepNext/>
              <w:jc w:val="center"/>
            </w:pPr>
            <w:r w:rsidRPr="00740483">
              <w:t>-0.5 (0.8)</w:t>
            </w:r>
          </w:p>
        </w:tc>
        <w:tc>
          <w:tcPr>
            <w:tcW w:w="770" w:type="pct"/>
            <w:vAlign w:val="center"/>
          </w:tcPr>
          <w:p w:rsidR="007C050D" w:rsidRPr="00740483" w:rsidRDefault="007C050D" w:rsidP="0062684E">
            <w:pPr>
              <w:pStyle w:val="Tabletext"/>
              <w:keepNext/>
              <w:jc w:val="center"/>
            </w:pPr>
          </w:p>
        </w:tc>
        <w:tc>
          <w:tcPr>
            <w:tcW w:w="1703" w:type="pct"/>
            <w:gridSpan w:val="2"/>
            <w:vAlign w:val="center"/>
          </w:tcPr>
          <w:p w:rsidR="007C050D" w:rsidRPr="00802EFF" w:rsidRDefault="007C050D" w:rsidP="0062684E">
            <w:pPr>
              <w:pStyle w:val="Tabletext"/>
              <w:keepNext/>
              <w:jc w:val="center"/>
              <w:rPr>
                <w:b/>
                <w:bCs/>
              </w:rPr>
            </w:pPr>
            <w:r w:rsidRPr="00802EFF">
              <w:rPr>
                <w:b/>
                <w:bCs/>
              </w:rPr>
              <w:t>-0.3 (-0.5, -0.1)</w:t>
            </w:r>
          </w:p>
        </w:tc>
      </w:tr>
      <w:tr w:rsidR="007C050D" w:rsidRPr="00C965C4" w:rsidTr="00C01CB8">
        <w:trPr>
          <w:trHeight w:val="56"/>
        </w:trPr>
        <w:tc>
          <w:tcPr>
            <w:tcW w:w="995" w:type="pct"/>
          </w:tcPr>
          <w:p w:rsidR="007C050D" w:rsidRPr="00740483" w:rsidRDefault="007C050D" w:rsidP="0062684E">
            <w:pPr>
              <w:pStyle w:val="Tabletext"/>
              <w:keepNext/>
            </w:pPr>
            <w:r>
              <w:t>Study</w:t>
            </w:r>
            <w:r w:rsidRPr="00740483">
              <w:t xml:space="preserve"> 140 (PBS</w:t>
            </w:r>
            <w:r>
              <w:t xml:space="preserve"> unadj</w:t>
            </w:r>
            <w:r w:rsidRPr="00740483">
              <w:t>)</w:t>
            </w:r>
          </w:p>
        </w:tc>
        <w:tc>
          <w:tcPr>
            <w:tcW w:w="766" w:type="pct"/>
            <w:vAlign w:val="center"/>
          </w:tcPr>
          <w:p w:rsidR="007C050D" w:rsidRPr="00740483" w:rsidRDefault="007C050D" w:rsidP="0062684E">
            <w:pPr>
              <w:pStyle w:val="Tabletext"/>
              <w:keepNext/>
              <w:jc w:val="center"/>
            </w:pPr>
            <w:r w:rsidRPr="00740483">
              <w:t>-0.8 (1.0)</w:t>
            </w:r>
          </w:p>
        </w:tc>
        <w:tc>
          <w:tcPr>
            <w:tcW w:w="766" w:type="pct"/>
            <w:vAlign w:val="center"/>
          </w:tcPr>
          <w:p w:rsidR="007C050D" w:rsidRPr="00740483" w:rsidRDefault="007C050D" w:rsidP="0062684E">
            <w:pPr>
              <w:pStyle w:val="Tabletext"/>
              <w:keepNext/>
              <w:jc w:val="center"/>
            </w:pPr>
            <w:r w:rsidRPr="00740483">
              <w:t>-0.5 (0.7)</w:t>
            </w:r>
          </w:p>
        </w:tc>
        <w:tc>
          <w:tcPr>
            <w:tcW w:w="770" w:type="pct"/>
            <w:vAlign w:val="center"/>
          </w:tcPr>
          <w:p w:rsidR="007C050D" w:rsidRPr="00740483" w:rsidRDefault="007C050D" w:rsidP="0062684E">
            <w:pPr>
              <w:pStyle w:val="Tabletext"/>
              <w:keepNext/>
              <w:jc w:val="center"/>
            </w:pPr>
          </w:p>
        </w:tc>
        <w:tc>
          <w:tcPr>
            <w:tcW w:w="1703" w:type="pct"/>
            <w:gridSpan w:val="2"/>
            <w:vAlign w:val="center"/>
          </w:tcPr>
          <w:p w:rsidR="007C050D" w:rsidRPr="00802EFF" w:rsidRDefault="007C050D" w:rsidP="0062684E">
            <w:pPr>
              <w:pStyle w:val="Tabletext"/>
              <w:keepNext/>
              <w:jc w:val="center"/>
              <w:rPr>
                <w:b/>
                <w:bCs/>
              </w:rPr>
            </w:pPr>
            <w:r w:rsidRPr="00802EFF">
              <w:rPr>
                <w:b/>
                <w:bCs/>
              </w:rPr>
              <w:t>-0.29 (-0.56, -0.02)</w:t>
            </w:r>
          </w:p>
        </w:tc>
      </w:tr>
      <w:tr w:rsidR="003E44E7" w:rsidRPr="002207D4" w:rsidTr="00C01CB8">
        <w:trPr>
          <w:trHeight w:val="56"/>
        </w:trPr>
        <w:tc>
          <w:tcPr>
            <w:tcW w:w="995" w:type="pct"/>
          </w:tcPr>
          <w:p w:rsidR="003E44E7" w:rsidRPr="002207D4" w:rsidRDefault="003E44E7" w:rsidP="0062684E">
            <w:pPr>
              <w:pStyle w:val="Tabletext"/>
              <w:keepNext/>
            </w:pPr>
            <w:r w:rsidRPr="002207D4">
              <w:t>Study 140 (PBS adj)</w:t>
            </w:r>
          </w:p>
        </w:tc>
        <w:tc>
          <w:tcPr>
            <w:tcW w:w="766" w:type="pct"/>
            <w:vAlign w:val="center"/>
          </w:tcPr>
          <w:p w:rsidR="003E44E7" w:rsidRPr="002207D4" w:rsidRDefault="003E44E7" w:rsidP="0062684E">
            <w:pPr>
              <w:pStyle w:val="Tabletext"/>
              <w:keepNext/>
              <w:jc w:val="center"/>
            </w:pPr>
            <w:r w:rsidRPr="002207D4">
              <w:t>-0.81 (1.0)</w:t>
            </w:r>
          </w:p>
        </w:tc>
        <w:tc>
          <w:tcPr>
            <w:tcW w:w="766" w:type="pct"/>
            <w:vAlign w:val="center"/>
          </w:tcPr>
          <w:p w:rsidR="003E44E7" w:rsidRPr="002207D4" w:rsidRDefault="003E44E7" w:rsidP="0062684E">
            <w:pPr>
              <w:pStyle w:val="Tabletext"/>
              <w:keepNext/>
              <w:jc w:val="center"/>
            </w:pPr>
            <w:r w:rsidRPr="002207D4">
              <w:t>-0.51 (0.7)</w:t>
            </w:r>
          </w:p>
        </w:tc>
        <w:tc>
          <w:tcPr>
            <w:tcW w:w="770" w:type="pct"/>
            <w:vAlign w:val="center"/>
          </w:tcPr>
          <w:p w:rsidR="003E44E7" w:rsidRPr="002207D4" w:rsidRDefault="003E44E7" w:rsidP="0062684E">
            <w:pPr>
              <w:pStyle w:val="Tabletext"/>
              <w:keepNext/>
              <w:jc w:val="center"/>
            </w:pPr>
          </w:p>
        </w:tc>
        <w:tc>
          <w:tcPr>
            <w:tcW w:w="1703" w:type="pct"/>
            <w:gridSpan w:val="2"/>
            <w:vAlign w:val="center"/>
          </w:tcPr>
          <w:p w:rsidR="003E44E7" w:rsidRPr="002207D4" w:rsidRDefault="003E44E7" w:rsidP="0062684E">
            <w:pPr>
              <w:pStyle w:val="Tabletext"/>
              <w:keepNext/>
              <w:jc w:val="center"/>
              <w:rPr>
                <w:b/>
                <w:bCs/>
              </w:rPr>
            </w:pPr>
            <w:r w:rsidRPr="002207D4">
              <w:rPr>
                <w:b/>
                <w:bCs/>
              </w:rPr>
              <w:t>-0.30 (-0.57, -0.03)</w:t>
            </w:r>
          </w:p>
        </w:tc>
      </w:tr>
      <w:tr w:rsidR="007C050D" w:rsidRPr="00C965C4" w:rsidTr="00C01CB8">
        <w:trPr>
          <w:trHeight w:val="56"/>
        </w:trPr>
        <w:tc>
          <w:tcPr>
            <w:tcW w:w="995" w:type="pct"/>
          </w:tcPr>
          <w:p w:rsidR="007C050D" w:rsidRPr="00740483" w:rsidRDefault="007C050D" w:rsidP="0062684E">
            <w:pPr>
              <w:pStyle w:val="Tabletext"/>
              <w:keepNext/>
            </w:pPr>
            <w:r w:rsidRPr="00740483">
              <w:t>REFLEX</w:t>
            </w:r>
          </w:p>
        </w:tc>
        <w:tc>
          <w:tcPr>
            <w:tcW w:w="766" w:type="pct"/>
            <w:vAlign w:val="center"/>
          </w:tcPr>
          <w:p w:rsidR="007C050D" w:rsidRPr="00740483" w:rsidRDefault="007C050D" w:rsidP="0062684E">
            <w:pPr>
              <w:pStyle w:val="Tabletext"/>
              <w:keepNext/>
              <w:jc w:val="center"/>
            </w:pPr>
          </w:p>
        </w:tc>
        <w:tc>
          <w:tcPr>
            <w:tcW w:w="766" w:type="pct"/>
            <w:vAlign w:val="center"/>
          </w:tcPr>
          <w:p w:rsidR="007C050D" w:rsidRPr="00740483" w:rsidRDefault="007C050D" w:rsidP="0062684E">
            <w:pPr>
              <w:pStyle w:val="Tabletext"/>
              <w:keepNext/>
              <w:jc w:val="center"/>
            </w:pPr>
            <w:r w:rsidRPr="00740483">
              <w:t>-0.61 (0.86)</w:t>
            </w:r>
          </w:p>
        </w:tc>
        <w:tc>
          <w:tcPr>
            <w:tcW w:w="770" w:type="pct"/>
            <w:vAlign w:val="center"/>
          </w:tcPr>
          <w:p w:rsidR="007C050D" w:rsidRPr="00740483" w:rsidRDefault="007C050D" w:rsidP="0062684E">
            <w:pPr>
              <w:pStyle w:val="Tabletext"/>
              <w:keepNext/>
              <w:jc w:val="center"/>
            </w:pPr>
            <w:r w:rsidRPr="00740483">
              <w:t>- 0.81 (0.93)</w:t>
            </w:r>
          </w:p>
        </w:tc>
        <w:tc>
          <w:tcPr>
            <w:tcW w:w="1703" w:type="pct"/>
            <w:gridSpan w:val="2"/>
            <w:vAlign w:val="center"/>
          </w:tcPr>
          <w:p w:rsidR="007C050D" w:rsidRPr="00802EFF" w:rsidRDefault="007C050D" w:rsidP="0062684E">
            <w:pPr>
              <w:pStyle w:val="Tabletext"/>
              <w:keepNext/>
              <w:jc w:val="center"/>
              <w:rPr>
                <w:b/>
                <w:bCs/>
              </w:rPr>
            </w:pPr>
            <w:r w:rsidRPr="00802EFF">
              <w:rPr>
                <w:b/>
                <w:bCs/>
              </w:rPr>
              <w:t>-0.20 (-0.36, -0.04)</w:t>
            </w:r>
          </w:p>
        </w:tc>
      </w:tr>
      <w:tr w:rsidR="007C050D" w:rsidRPr="00C965C4" w:rsidTr="00C01CB8">
        <w:trPr>
          <w:trHeight w:val="217"/>
        </w:trPr>
        <w:tc>
          <w:tcPr>
            <w:tcW w:w="995" w:type="pct"/>
          </w:tcPr>
          <w:p w:rsidR="007C050D" w:rsidRPr="00740483" w:rsidRDefault="007C050D" w:rsidP="0062684E">
            <w:pPr>
              <w:pStyle w:val="Tabletext"/>
              <w:keepNext/>
            </w:pPr>
            <w:r w:rsidRPr="00740483">
              <w:t>Trial 512</w:t>
            </w:r>
          </w:p>
        </w:tc>
        <w:tc>
          <w:tcPr>
            <w:tcW w:w="766" w:type="pct"/>
            <w:vAlign w:val="center"/>
          </w:tcPr>
          <w:p w:rsidR="007C050D" w:rsidRPr="00740483" w:rsidRDefault="007C050D" w:rsidP="0062684E">
            <w:pPr>
              <w:pStyle w:val="Tabletext"/>
              <w:keepNext/>
              <w:jc w:val="center"/>
            </w:pPr>
          </w:p>
        </w:tc>
        <w:tc>
          <w:tcPr>
            <w:tcW w:w="766" w:type="pct"/>
            <w:vAlign w:val="center"/>
          </w:tcPr>
          <w:p w:rsidR="007C050D" w:rsidRPr="00740483" w:rsidRDefault="007C050D" w:rsidP="0062684E">
            <w:pPr>
              <w:pStyle w:val="Tabletext"/>
              <w:keepNext/>
              <w:jc w:val="center"/>
            </w:pPr>
            <w:r w:rsidRPr="00740483">
              <w:t>-0.43 (0.72)</w:t>
            </w:r>
          </w:p>
        </w:tc>
        <w:tc>
          <w:tcPr>
            <w:tcW w:w="770" w:type="pct"/>
            <w:vAlign w:val="center"/>
          </w:tcPr>
          <w:p w:rsidR="007C050D" w:rsidRPr="00740483" w:rsidRDefault="007C050D" w:rsidP="0062684E">
            <w:pPr>
              <w:pStyle w:val="Tabletext"/>
              <w:keepNext/>
              <w:jc w:val="center"/>
            </w:pPr>
            <w:r w:rsidRPr="00740483">
              <w:t>-0.88 (0.69)</w:t>
            </w:r>
          </w:p>
        </w:tc>
        <w:tc>
          <w:tcPr>
            <w:tcW w:w="1703" w:type="pct"/>
            <w:gridSpan w:val="2"/>
            <w:vAlign w:val="center"/>
          </w:tcPr>
          <w:p w:rsidR="007C050D" w:rsidRPr="00802EFF" w:rsidRDefault="007C050D" w:rsidP="0062684E">
            <w:pPr>
              <w:pStyle w:val="Tabletext"/>
              <w:keepNext/>
              <w:jc w:val="center"/>
              <w:rPr>
                <w:b/>
                <w:bCs/>
              </w:rPr>
            </w:pPr>
            <w:r w:rsidRPr="00802EFF">
              <w:rPr>
                <w:b/>
                <w:bCs/>
              </w:rPr>
              <w:t>-0.45 (-0.70, -0.20)</w:t>
            </w:r>
          </w:p>
        </w:tc>
      </w:tr>
      <w:tr w:rsidR="007C050D" w:rsidRPr="00C965C4" w:rsidTr="00C01CB8">
        <w:trPr>
          <w:trHeight w:val="169"/>
        </w:trPr>
        <w:tc>
          <w:tcPr>
            <w:tcW w:w="3297" w:type="pct"/>
            <w:gridSpan w:val="4"/>
          </w:tcPr>
          <w:p w:rsidR="007C050D" w:rsidRPr="00740483" w:rsidRDefault="007C050D" w:rsidP="0062684E">
            <w:pPr>
              <w:pStyle w:val="Tabletext"/>
              <w:keepNext/>
              <w:jc w:val="right"/>
            </w:pPr>
            <w:r w:rsidRPr="00740483">
              <w:t xml:space="preserve">MA </w:t>
            </w:r>
            <w:r w:rsidR="00057611">
              <w:t>Botox</w:t>
            </w:r>
            <w:r w:rsidR="00255197" w:rsidRPr="00FA6E19">
              <w:rPr>
                <w:vertAlign w:val="superscript"/>
              </w:rPr>
              <w:t>®</w:t>
            </w:r>
            <w:r w:rsidR="00255197">
              <w:rPr>
                <w:vertAlign w:val="superscript"/>
              </w:rPr>
              <w:t xml:space="preserve"> </w:t>
            </w:r>
            <w:r w:rsidRPr="00740483">
              <w:t>vs. PBO</w:t>
            </w:r>
          </w:p>
        </w:tc>
        <w:tc>
          <w:tcPr>
            <w:tcW w:w="1703" w:type="pct"/>
            <w:gridSpan w:val="2"/>
            <w:vAlign w:val="center"/>
          </w:tcPr>
          <w:p w:rsidR="007C050D" w:rsidRPr="00802EFF" w:rsidRDefault="007C050D" w:rsidP="0062684E">
            <w:pPr>
              <w:pStyle w:val="Tabletext"/>
              <w:keepNext/>
              <w:jc w:val="center"/>
              <w:rPr>
                <w:b/>
                <w:bCs/>
              </w:rPr>
            </w:pPr>
            <w:r w:rsidRPr="00802EFF">
              <w:rPr>
                <w:b/>
                <w:bCs/>
              </w:rPr>
              <w:t>-0.27 (-0.41, -0.14)</w:t>
            </w:r>
          </w:p>
        </w:tc>
      </w:tr>
      <w:tr w:rsidR="003E44E7" w:rsidRPr="00C965C4" w:rsidTr="004478D4">
        <w:trPr>
          <w:trHeight w:val="159"/>
        </w:trPr>
        <w:tc>
          <w:tcPr>
            <w:tcW w:w="3297" w:type="pct"/>
            <w:gridSpan w:val="4"/>
          </w:tcPr>
          <w:p w:rsidR="003E44E7" w:rsidRPr="00740483" w:rsidRDefault="003E44E7" w:rsidP="0062684E">
            <w:pPr>
              <w:pStyle w:val="Tabletext"/>
              <w:keepNext/>
              <w:jc w:val="right"/>
            </w:pPr>
            <w:r w:rsidRPr="00740483">
              <w:t>Indirect compariso</w:t>
            </w:r>
            <w:r>
              <w:t xml:space="preserve">n of </w:t>
            </w:r>
            <w:r w:rsidR="00057611">
              <w:t>Dysport</w:t>
            </w:r>
            <w:r w:rsidR="00255197" w:rsidRPr="00FA6E19">
              <w:rPr>
                <w:vertAlign w:val="superscript"/>
              </w:rPr>
              <w:t>®</w:t>
            </w:r>
            <w:r w:rsidR="00255197">
              <w:t xml:space="preserve"> </w:t>
            </w:r>
            <w:r>
              <w:t>(ITT unadj</w:t>
            </w:r>
            <w:r w:rsidRPr="00740483">
              <w:t xml:space="preserve">) vs </w:t>
            </w:r>
            <w:r w:rsidR="00057611">
              <w:t>Botox</w:t>
            </w:r>
            <w:r w:rsidR="00255197" w:rsidRPr="00FA6E19">
              <w:rPr>
                <w:vertAlign w:val="superscript"/>
              </w:rPr>
              <w:t>®</w:t>
            </w:r>
            <w:r w:rsidR="00255197">
              <w:rPr>
                <w:vertAlign w:val="superscript"/>
              </w:rPr>
              <w:t xml:space="preserve"> </w:t>
            </w:r>
            <w:r>
              <w:t>MA</w:t>
            </w:r>
          </w:p>
        </w:tc>
        <w:tc>
          <w:tcPr>
            <w:tcW w:w="1703" w:type="pct"/>
            <w:gridSpan w:val="2"/>
            <w:vAlign w:val="center"/>
          </w:tcPr>
          <w:p w:rsidR="003E44E7" w:rsidRDefault="003E44E7" w:rsidP="0062684E">
            <w:pPr>
              <w:pStyle w:val="Tabletext"/>
              <w:keepNext/>
              <w:jc w:val="center"/>
            </w:pPr>
            <w:r w:rsidRPr="00740483">
              <w:t>0.07 (-0.14, 0.28)</w:t>
            </w:r>
          </w:p>
        </w:tc>
      </w:tr>
      <w:tr w:rsidR="007C050D" w:rsidRPr="00C965C4" w:rsidTr="00C01CB8">
        <w:trPr>
          <w:trHeight w:val="114"/>
        </w:trPr>
        <w:tc>
          <w:tcPr>
            <w:tcW w:w="3297" w:type="pct"/>
            <w:gridSpan w:val="4"/>
          </w:tcPr>
          <w:p w:rsidR="007C050D" w:rsidRPr="00740483" w:rsidRDefault="007C050D" w:rsidP="0062684E">
            <w:pPr>
              <w:pStyle w:val="Tabletext"/>
              <w:keepNext/>
              <w:jc w:val="right"/>
            </w:pPr>
            <w:r w:rsidRPr="00740483">
              <w:t>Indirect co</w:t>
            </w:r>
            <w:r>
              <w:t xml:space="preserve">mparison of </w:t>
            </w:r>
            <w:r w:rsidR="00255197">
              <w:t>Dysport</w:t>
            </w:r>
            <w:r w:rsidR="00255197" w:rsidRPr="00FA6E19">
              <w:rPr>
                <w:vertAlign w:val="superscript"/>
              </w:rPr>
              <w:t>®</w:t>
            </w:r>
            <w:r w:rsidR="00255197">
              <w:t xml:space="preserve"> </w:t>
            </w:r>
            <w:r>
              <w:t>(ITT</w:t>
            </w:r>
            <w:r w:rsidR="00DC7FC3">
              <w:t xml:space="preserve"> </w:t>
            </w:r>
            <w:r>
              <w:t>a</w:t>
            </w:r>
            <w:r w:rsidRPr="00740483">
              <w:t>d</w:t>
            </w:r>
            <w:r>
              <w:t>j</w:t>
            </w:r>
            <w:r w:rsidRPr="00740483">
              <w:t xml:space="preserve">) vs </w:t>
            </w:r>
            <w:r w:rsidR="00057611">
              <w:t>Botox</w:t>
            </w:r>
            <w:r w:rsidR="00255197" w:rsidRPr="00FA6E19">
              <w:rPr>
                <w:vertAlign w:val="superscript"/>
              </w:rPr>
              <w:t>®</w:t>
            </w:r>
            <w:r w:rsidR="00255197">
              <w:rPr>
                <w:vertAlign w:val="superscript"/>
              </w:rPr>
              <w:t xml:space="preserve"> </w:t>
            </w:r>
            <w:r>
              <w:t>MA</w:t>
            </w:r>
          </w:p>
        </w:tc>
        <w:tc>
          <w:tcPr>
            <w:tcW w:w="1703" w:type="pct"/>
            <w:gridSpan w:val="2"/>
            <w:vAlign w:val="center"/>
          </w:tcPr>
          <w:p w:rsidR="007C050D" w:rsidRPr="00740483" w:rsidRDefault="007C050D" w:rsidP="0062684E">
            <w:pPr>
              <w:pStyle w:val="Tabletext"/>
              <w:keepNext/>
              <w:jc w:val="center"/>
            </w:pPr>
            <w:r w:rsidRPr="00740483">
              <w:t>-0.03 (-0.23, 0.17)</w:t>
            </w:r>
          </w:p>
        </w:tc>
      </w:tr>
      <w:tr w:rsidR="007C050D" w:rsidRPr="00C965C4" w:rsidTr="00C01CB8">
        <w:trPr>
          <w:trHeight w:val="206"/>
        </w:trPr>
        <w:tc>
          <w:tcPr>
            <w:tcW w:w="3297" w:type="pct"/>
            <w:gridSpan w:val="4"/>
          </w:tcPr>
          <w:p w:rsidR="007C050D" w:rsidRPr="00740483" w:rsidRDefault="007C050D" w:rsidP="0062684E">
            <w:pPr>
              <w:pStyle w:val="Tabletext"/>
              <w:keepNext/>
              <w:jc w:val="right"/>
            </w:pPr>
            <w:r w:rsidRPr="00740483">
              <w:t xml:space="preserve">Indirect comparison of </w:t>
            </w:r>
            <w:r w:rsidR="00057611">
              <w:t>Dysport</w:t>
            </w:r>
            <w:r w:rsidR="00255197" w:rsidRPr="00FA6E19">
              <w:rPr>
                <w:vertAlign w:val="superscript"/>
              </w:rPr>
              <w:t>®</w:t>
            </w:r>
            <w:r w:rsidR="00255197" w:rsidRPr="00740483">
              <w:t xml:space="preserve"> </w:t>
            </w:r>
            <w:r w:rsidRPr="00740483">
              <w:t>(PBS</w:t>
            </w:r>
            <w:r w:rsidR="00DC7FC3">
              <w:t xml:space="preserve"> </w:t>
            </w:r>
            <w:r>
              <w:t>unadj</w:t>
            </w:r>
            <w:r w:rsidRPr="00740483">
              <w:t xml:space="preserve">) vs </w:t>
            </w:r>
            <w:r w:rsidR="00255197">
              <w:t>Botox</w:t>
            </w:r>
            <w:r w:rsidR="00255197" w:rsidRPr="00FA6E19">
              <w:rPr>
                <w:vertAlign w:val="superscript"/>
              </w:rPr>
              <w:t>®</w:t>
            </w:r>
            <w:r w:rsidR="00255197">
              <w:rPr>
                <w:vertAlign w:val="superscript"/>
              </w:rPr>
              <w:t xml:space="preserve"> </w:t>
            </w:r>
            <w:r>
              <w:t>MA</w:t>
            </w:r>
          </w:p>
        </w:tc>
        <w:tc>
          <w:tcPr>
            <w:tcW w:w="1703" w:type="pct"/>
            <w:gridSpan w:val="2"/>
            <w:vAlign w:val="center"/>
          </w:tcPr>
          <w:p w:rsidR="007C050D" w:rsidRPr="00740483" w:rsidRDefault="007C050D" w:rsidP="0062684E">
            <w:pPr>
              <w:pStyle w:val="Tabletext"/>
              <w:keepNext/>
              <w:jc w:val="center"/>
            </w:pPr>
            <w:r w:rsidRPr="00740483">
              <w:t>-0.02 (-0.29, 0.25)</w:t>
            </w:r>
          </w:p>
        </w:tc>
      </w:tr>
      <w:tr w:rsidR="007C050D" w:rsidRPr="00C965C4" w:rsidTr="00C01CB8">
        <w:trPr>
          <w:trHeight w:val="206"/>
        </w:trPr>
        <w:tc>
          <w:tcPr>
            <w:tcW w:w="3297" w:type="pct"/>
            <w:gridSpan w:val="4"/>
          </w:tcPr>
          <w:p w:rsidR="007C050D" w:rsidRPr="00740483" w:rsidRDefault="007C050D" w:rsidP="0062684E">
            <w:pPr>
              <w:pStyle w:val="Tabletext"/>
              <w:keepNext/>
              <w:ind w:right="200"/>
            </w:pPr>
            <w:r w:rsidRPr="0034662A">
              <w:rPr>
                <w:b/>
              </w:rPr>
              <w:t>MAS mean</w:t>
            </w:r>
            <w:r>
              <w:rPr>
                <w:b/>
              </w:rPr>
              <w:t xml:space="preserve"> change (SD) from baseline to Week 12</w:t>
            </w:r>
          </w:p>
        </w:tc>
        <w:tc>
          <w:tcPr>
            <w:tcW w:w="1703" w:type="pct"/>
            <w:gridSpan w:val="2"/>
            <w:vAlign w:val="center"/>
          </w:tcPr>
          <w:p w:rsidR="007C050D" w:rsidRPr="00740483" w:rsidRDefault="007C050D" w:rsidP="0062684E">
            <w:pPr>
              <w:pStyle w:val="Tabletext"/>
              <w:keepNext/>
              <w:jc w:val="center"/>
            </w:pPr>
            <w:r>
              <w:rPr>
                <w:b/>
                <w:bCs/>
                <w:szCs w:val="20"/>
              </w:rPr>
              <w:t>Mean Difference (95%</w:t>
            </w:r>
            <w:r w:rsidR="0079458C">
              <w:rPr>
                <w:b/>
                <w:bCs/>
                <w:szCs w:val="20"/>
              </w:rPr>
              <w:t xml:space="preserve"> </w:t>
            </w:r>
            <w:r>
              <w:rPr>
                <w:b/>
                <w:bCs/>
                <w:szCs w:val="20"/>
              </w:rPr>
              <w:t>CI)</w:t>
            </w:r>
          </w:p>
        </w:tc>
      </w:tr>
      <w:tr w:rsidR="00AE46CE" w:rsidRPr="00C965C4" w:rsidTr="00230DA2">
        <w:trPr>
          <w:trHeight w:val="206"/>
        </w:trPr>
        <w:tc>
          <w:tcPr>
            <w:tcW w:w="995" w:type="pct"/>
          </w:tcPr>
          <w:p w:rsidR="00AE46CE" w:rsidRPr="003E44E7" w:rsidRDefault="00AE46CE" w:rsidP="0062684E">
            <w:pPr>
              <w:pStyle w:val="Tabletext"/>
              <w:keepNext/>
            </w:pPr>
            <w:r w:rsidRPr="003E44E7">
              <w:rPr>
                <w:iCs/>
              </w:rPr>
              <w:t>Study 140 (ITT unadj)</w:t>
            </w:r>
          </w:p>
        </w:tc>
        <w:tc>
          <w:tcPr>
            <w:tcW w:w="766" w:type="pct"/>
            <w:vAlign w:val="center"/>
          </w:tcPr>
          <w:p w:rsidR="00AE46CE" w:rsidRPr="003E44E7" w:rsidRDefault="00AE46CE" w:rsidP="0062684E">
            <w:pPr>
              <w:pStyle w:val="Tabletext"/>
              <w:keepNext/>
              <w:jc w:val="center"/>
              <w:rPr>
                <w:iCs/>
              </w:rPr>
            </w:pPr>
            <w:r w:rsidRPr="003E44E7">
              <w:rPr>
                <w:iCs/>
              </w:rPr>
              <w:t>-0.5 (0.9)</w:t>
            </w:r>
          </w:p>
        </w:tc>
        <w:tc>
          <w:tcPr>
            <w:tcW w:w="766" w:type="pct"/>
            <w:vAlign w:val="center"/>
          </w:tcPr>
          <w:p w:rsidR="00AE46CE" w:rsidRPr="003E44E7" w:rsidRDefault="00AE46CE" w:rsidP="0062684E">
            <w:pPr>
              <w:pStyle w:val="Tabletext"/>
              <w:keepNext/>
              <w:jc w:val="center"/>
              <w:rPr>
                <w:iCs/>
              </w:rPr>
            </w:pPr>
            <w:r w:rsidRPr="003E44E7">
              <w:rPr>
                <w:iCs/>
              </w:rPr>
              <w:t>-0.4 (0.7)</w:t>
            </w:r>
          </w:p>
        </w:tc>
        <w:tc>
          <w:tcPr>
            <w:tcW w:w="770" w:type="pct"/>
            <w:vAlign w:val="center"/>
          </w:tcPr>
          <w:p w:rsidR="00AE46CE" w:rsidRPr="003E44E7" w:rsidRDefault="00AE46CE" w:rsidP="0062684E">
            <w:pPr>
              <w:pStyle w:val="Tabletext"/>
              <w:keepNext/>
              <w:jc w:val="center"/>
              <w:rPr>
                <w:iCs/>
              </w:rPr>
            </w:pPr>
          </w:p>
        </w:tc>
        <w:tc>
          <w:tcPr>
            <w:tcW w:w="1703" w:type="pct"/>
            <w:gridSpan w:val="2"/>
            <w:vAlign w:val="center"/>
          </w:tcPr>
          <w:p w:rsidR="00AE46CE" w:rsidRPr="003E44E7" w:rsidRDefault="00AE46CE" w:rsidP="0062684E">
            <w:pPr>
              <w:pStyle w:val="Tabletext"/>
              <w:keepNext/>
              <w:jc w:val="center"/>
              <w:rPr>
                <w:iCs/>
              </w:rPr>
            </w:pPr>
            <w:r w:rsidRPr="003E44E7">
              <w:rPr>
                <w:iCs/>
              </w:rPr>
              <w:t>-0.13 (-0.32, 0.06)</w:t>
            </w:r>
          </w:p>
        </w:tc>
      </w:tr>
      <w:tr w:rsidR="007C050D" w:rsidRPr="00C965C4" w:rsidTr="00C01CB8">
        <w:trPr>
          <w:trHeight w:val="206"/>
        </w:trPr>
        <w:tc>
          <w:tcPr>
            <w:tcW w:w="995" w:type="pct"/>
          </w:tcPr>
          <w:p w:rsidR="007C050D" w:rsidRPr="00740483" w:rsidRDefault="007C050D" w:rsidP="0062684E">
            <w:pPr>
              <w:pStyle w:val="Tabletext"/>
              <w:keepNext/>
            </w:pPr>
            <w:r>
              <w:t>Study</w:t>
            </w:r>
            <w:r w:rsidRPr="00740483">
              <w:t xml:space="preserve"> 140 (ITT</w:t>
            </w:r>
            <w:r w:rsidR="00DC7FC3">
              <w:t xml:space="preserve"> </w:t>
            </w:r>
            <w:r>
              <w:t>adj</w:t>
            </w:r>
            <w:r w:rsidRPr="00740483">
              <w:t>)</w:t>
            </w:r>
          </w:p>
        </w:tc>
        <w:tc>
          <w:tcPr>
            <w:tcW w:w="766" w:type="pct"/>
            <w:vAlign w:val="center"/>
          </w:tcPr>
          <w:p w:rsidR="007C050D" w:rsidRPr="003E44E7" w:rsidRDefault="007C050D" w:rsidP="0062684E">
            <w:pPr>
              <w:pStyle w:val="Tabletext"/>
              <w:keepNext/>
              <w:jc w:val="center"/>
              <w:rPr>
                <w:iCs/>
              </w:rPr>
            </w:pPr>
            <w:r w:rsidRPr="003E44E7">
              <w:rPr>
                <w:iCs/>
              </w:rPr>
              <w:t>-0.5 (0.9)</w:t>
            </w:r>
          </w:p>
        </w:tc>
        <w:tc>
          <w:tcPr>
            <w:tcW w:w="766" w:type="pct"/>
            <w:vAlign w:val="center"/>
          </w:tcPr>
          <w:p w:rsidR="007C050D" w:rsidRPr="003E44E7" w:rsidRDefault="007C050D" w:rsidP="0062684E">
            <w:pPr>
              <w:pStyle w:val="Tabletext"/>
              <w:keepNext/>
              <w:jc w:val="center"/>
              <w:rPr>
                <w:iCs/>
              </w:rPr>
            </w:pPr>
            <w:r w:rsidRPr="003E44E7">
              <w:rPr>
                <w:iCs/>
              </w:rPr>
              <w:t>-0.4 (0.6)</w:t>
            </w:r>
          </w:p>
        </w:tc>
        <w:tc>
          <w:tcPr>
            <w:tcW w:w="770" w:type="pct"/>
            <w:vAlign w:val="center"/>
          </w:tcPr>
          <w:p w:rsidR="007C050D" w:rsidRPr="003E44E7" w:rsidRDefault="007C050D" w:rsidP="0062684E">
            <w:pPr>
              <w:pStyle w:val="Tabletext"/>
              <w:keepNext/>
              <w:jc w:val="center"/>
              <w:rPr>
                <w:iCs/>
              </w:rPr>
            </w:pPr>
          </w:p>
        </w:tc>
        <w:tc>
          <w:tcPr>
            <w:tcW w:w="1703" w:type="pct"/>
            <w:gridSpan w:val="2"/>
            <w:vAlign w:val="center"/>
          </w:tcPr>
          <w:p w:rsidR="007C050D" w:rsidRPr="003E44E7" w:rsidRDefault="007C050D" w:rsidP="0062684E">
            <w:pPr>
              <w:pStyle w:val="Tabletext"/>
              <w:keepNext/>
              <w:jc w:val="center"/>
              <w:rPr>
                <w:b/>
                <w:bCs/>
                <w:iCs/>
              </w:rPr>
            </w:pPr>
            <w:r w:rsidRPr="003E44E7">
              <w:rPr>
                <w:b/>
                <w:bCs/>
                <w:iCs/>
              </w:rPr>
              <w:t>-0.2 (-0.4, 0.0)</w:t>
            </w:r>
          </w:p>
        </w:tc>
      </w:tr>
      <w:tr w:rsidR="007C050D" w:rsidRPr="00C965C4" w:rsidTr="00C01CB8">
        <w:trPr>
          <w:trHeight w:val="206"/>
        </w:trPr>
        <w:tc>
          <w:tcPr>
            <w:tcW w:w="995" w:type="pct"/>
          </w:tcPr>
          <w:p w:rsidR="007C050D" w:rsidRPr="003E44E7" w:rsidRDefault="007C050D" w:rsidP="0062684E">
            <w:pPr>
              <w:pStyle w:val="Tabletext"/>
              <w:keepNext/>
            </w:pPr>
            <w:r w:rsidRPr="003E44E7">
              <w:t>Study 140 (PBS</w:t>
            </w:r>
            <w:r w:rsidR="00DC7FC3" w:rsidRPr="003E44E7">
              <w:t xml:space="preserve"> </w:t>
            </w:r>
            <w:r w:rsidRPr="003E44E7">
              <w:t>unadj)</w:t>
            </w:r>
          </w:p>
        </w:tc>
        <w:tc>
          <w:tcPr>
            <w:tcW w:w="766" w:type="pct"/>
            <w:vAlign w:val="center"/>
          </w:tcPr>
          <w:p w:rsidR="007C050D" w:rsidRPr="003E44E7" w:rsidRDefault="007C050D" w:rsidP="0062684E">
            <w:pPr>
              <w:pStyle w:val="Tabletext"/>
              <w:keepNext/>
              <w:jc w:val="center"/>
            </w:pPr>
            <w:r w:rsidRPr="003E44E7">
              <w:t>-0.7 (1.0)</w:t>
            </w:r>
          </w:p>
        </w:tc>
        <w:tc>
          <w:tcPr>
            <w:tcW w:w="766" w:type="pct"/>
            <w:vAlign w:val="center"/>
          </w:tcPr>
          <w:p w:rsidR="007C050D" w:rsidRPr="003E44E7" w:rsidRDefault="007C050D" w:rsidP="0062684E">
            <w:pPr>
              <w:pStyle w:val="Tabletext"/>
              <w:keepNext/>
              <w:jc w:val="center"/>
            </w:pPr>
            <w:r w:rsidRPr="003E44E7">
              <w:t>-0.4 (0.7)</w:t>
            </w:r>
          </w:p>
        </w:tc>
        <w:tc>
          <w:tcPr>
            <w:tcW w:w="770" w:type="pct"/>
            <w:vAlign w:val="center"/>
          </w:tcPr>
          <w:p w:rsidR="007C050D" w:rsidRPr="003E44E7" w:rsidRDefault="007C050D" w:rsidP="0062684E">
            <w:pPr>
              <w:pStyle w:val="Tabletext"/>
              <w:keepNext/>
              <w:jc w:val="center"/>
            </w:pPr>
          </w:p>
        </w:tc>
        <w:tc>
          <w:tcPr>
            <w:tcW w:w="1703" w:type="pct"/>
            <w:gridSpan w:val="2"/>
            <w:vAlign w:val="center"/>
          </w:tcPr>
          <w:p w:rsidR="007C050D" w:rsidRPr="003E44E7" w:rsidRDefault="007C050D" w:rsidP="0062684E">
            <w:pPr>
              <w:pStyle w:val="Tabletext"/>
              <w:keepNext/>
              <w:jc w:val="center"/>
              <w:rPr>
                <w:b/>
                <w:bCs/>
              </w:rPr>
            </w:pPr>
            <w:r w:rsidRPr="003E44E7">
              <w:rPr>
                <w:b/>
                <w:bCs/>
              </w:rPr>
              <w:t>-0.3 (-0.55, -0.04)</w:t>
            </w:r>
          </w:p>
        </w:tc>
      </w:tr>
      <w:tr w:rsidR="007C050D" w:rsidRPr="00C965C4" w:rsidTr="00C01CB8">
        <w:trPr>
          <w:trHeight w:val="206"/>
        </w:trPr>
        <w:tc>
          <w:tcPr>
            <w:tcW w:w="995" w:type="pct"/>
          </w:tcPr>
          <w:p w:rsidR="007C050D" w:rsidRPr="003E44E7" w:rsidRDefault="007C050D" w:rsidP="0062684E">
            <w:pPr>
              <w:pStyle w:val="Tabletext"/>
              <w:keepNext/>
            </w:pPr>
            <w:r w:rsidRPr="003E44E7">
              <w:t>REFLEX</w:t>
            </w:r>
          </w:p>
        </w:tc>
        <w:tc>
          <w:tcPr>
            <w:tcW w:w="766" w:type="pct"/>
            <w:vAlign w:val="center"/>
          </w:tcPr>
          <w:p w:rsidR="007C050D" w:rsidRPr="003E44E7" w:rsidRDefault="007C050D" w:rsidP="0062684E">
            <w:pPr>
              <w:pStyle w:val="Tabletext"/>
              <w:keepNext/>
              <w:jc w:val="center"/>
            </w:pPr>
          </w:p>
        </w:tc>
        <w:tc>
          <w:tcPr>
            <w:tcW w:w="766" w:type="pct"/>
            <w:vAlign w:val="center"/>
          </w:tcPr>
          <w:p w:rsidR="007C050D" w:rsidRPr="003E44E7" w:rsidRDefault="007C050D" w:rsidP="0062684E">
            <w:pPr>
              <w:pStyle w:val="Tabletext"/>
              <w:keepNext/>
              <w:jc w:val="center"/>
            </w:pPr>
            <w:r w:rsidRPr="003E44E7">
              <w:t>NR</w:t>
            </w:r>
          </w:p>
        </w:tc>
        <w:tc>
          <w:tcPr>
            <w:tcW w:w="770" w:type="pct"/>
            <w:vAlign w:val="center"/>
          </w:tcPr>
          <w:p w:rsidR="007C050D" w:rsidRPr="003E44E7" w:rsidRDefault="007C050D" w:rsidP="0062684E">
            <w:pPr>
              <w:pStyle w:val="Tabletext"/>
              <w:keepNext/>
              <w:jc w:val="center"/>
            </w:pPr>
            <w:r w:rsidRPr="003E44E7">
              <w:t>NR</w:t>
            </w:r>
          </w:p>
        </w:tc>
        <w:tc>
          <w:tcPr>
            <w:tcW w:w="1703" w:type="pct"/>
            <w:gridSpan w:val="2"/>
            <w:vAlign w:val="center"/>
          </w:tcPr>
          <w:p w:rsidR="007C050D" w:rsidRPr="003E44E7" w:rsidRDefault="007C050D" w:rsidP="0062684E">
            <w:pPr>
              <w:pStyle w:val="Tabletext"/>
              <w:keepNext/>
              <w:jc w:val="center"/>
            </w:pPr>
            <w:r w:rsidRPr="003E44E7">
              <w:t>NR</w:t>
            </w:r>
          </w:p>
        </w:tc>
      </w:tr>
      <w:tr w:rsidR="007C050D" w:rsidRPr="00C965C4" w:rsidTr="00C01CB8">
        <w:trPr>
          <w:trHeight w:val="206"/>
        </w:trPr>
        <w:tc>
          <w:tcPr>
            <w:tcW w:w="995" w:type="pct"/>
          </w:tcPr>
          <w:p w:rsidR="007C050D" w:rsidRPr="003E44E7" w:rsidRDefault="007C050D" w:rsidP="0062684E">
            <w:pPr>
              <w:pStyle w:val="Tabletext"/>
              <w:keepNext/>
            </w:pPr>
            <w:r w:rsidRPr="003E44E7">
              <w:t>Trial 512</w:t>
            </w:r>
          </w:p>
        </w:tc>
        <w:tc>
          <w:tcPr>
            <w:tcW w:w="766" w:type="pct"/>
            <w:vAlign w:val="center"/>
          </w:tcPr>
          <w:p w:rsidR="007C050D" w:rsidRPr="003E44E7" w:rsidRDefault="007C050D" w:rsidP="0062684E">
            <w:pPr>
              <w:pStyle w:val="Tabletext"/>
              <w:keepNext/>
              <w:jc w:val="center"/>
            </w:pPr>
          </w:p>
        </w:tc>
        <w:tc>
          <w:tcPr>
            <w:tcW w:w="766" w:type="pct"/>
            <w:vAlign w:val="center"/>
          </w:tcPr>
          <w:p w:rsidR="007C050D" w:rsidRPr="003E44E7" w:rsidRDefault="007C050D" w:rsidP="0062684E">
            <w:pPr>
              <w:pStyle w:val="Tabletext"/>
              <w:keepNext/>
              <w:jc w:val="center"/>
              <w:rPr>
                <w:iCs/>
              </w:rPr>
            </w:pPr>
            <w:r w:rsidRPr="003E44E7">
              <w:rPr>
                <w:iCs/>
                <w:szCs w:val="20"/>
              </w:rPr>
              <w:t>-0.40 (0.58)</w:t>
            </w:r>
          </w:p>
        </w:tc>
        <w:tc>
          <w:tcPr>
            <w:tcW w:w="770" w:type="pct"/>
            <w:vAlign w:val="center"/>
          </w:tcPr>
          <w:p w:rsidR="007C050D" w:rsidRPr="003E44E7" w:rsidRDefault="007C050D" w:rsidP="0062684E">
            <w:pPr>
              <w:pStyle w:val="Tabletext"/>
              <w:keepNext/>
              <w:jc w:val="center"/>
              <w:rPr>
                <w:iCs/>
              </w:rPr>
            </w:pPr>
            <w:r w:rsidRPr="003E44E7">
              <w:rPr>
                <w:iCs/>
                <w:szCs w:val="20"/>
              </w:rPr>
              <w:t>−0.56 (0.69)</w:t>
            </w:r>
          </w:p>
        </w:tc>
        <w:tc>
          <w:tcPr>
            <w:tcW w:w="1703" w:type="pct"/>
            <w:gridSpan w:val="2"/>
            <w:vAlign w:val="center"/>
          </w:tcPr>
          <w:p w:rsidR="007C050D" w:rsidRPr="003E44E7" w:rsidRDefault="007C050D" w:rsidP="0062684E">
            <w:pPr>
              <w:pStyle w:val="Tabletext"/>
              <w:keepNext/>
              <w:jc w:val="center"/>
              <w:rPr>
                <w:iCs/>
              </w:rPr>
            </w:pPr>
            <w:r w:rsidRPr="003E44E7">
              <w:rPr>
                <w:iCs/>
              </w:rPr>
              <w:t>-0.16 (-0.39, 0.07)</w:t>
            </w:r>
          </w:p>
        </w:tc>
      </w:tr>
      <w:tr w:rsidR="007C050D" w:rsidRPr="00C965C4" w:rsidTr="00C01CB8">
        <w:trPr>
          <w:trHeight w:val="206"/>
        </w:trPr>
        <w:tc>
          <w:tcPr>
            <w:tcW w:w="3297" w:type="pct"/>
            <w:gridSpan w:val="4"/>
          </w:tcPr>
          <w:p w:rsidR="007C050D" w:rsidRPr="003E44E7" w:rsidRDefault="007C050D" w:rsidP="0062684E">
            <w:pPr>
              <w:pStyle w:val="Tabletext"/>
              <w:keepNext/>
              <w:jc w:val="right"/>
            </w:pPr>
            <w:r w:rsidRPr="003E44E7">
              <w:t xml:space="preserve">Indirect comparison of </w:t>
            </w:r>
            <w:r w:rsidR="00057611">
              <w:t>Dysport</w:t>
            </w:r>
            <w:r w:rsidR="00255197" w:rsidRPr="00FA6E19">
              <w:rPr>
                <w:vertAlign w:val="superscript"/>
              </w:rPr>
              <w:t>®</w:t>
            </w:r>
            <w:r w:rsidR="00255197" w:rsidRPr="003E44E7">
              <w:t xml:space="preserve"> </w:t>
            </w:r>
            <w:r w:rsidRPr="003E44E7">
              <w:t>(ITT</w:t>
            </w:r>
            <w:r w:rsidR="00DC7FC3" w:rsidRPr="003E44E7">
              <w:t xml:space="preserve"> </w:t>
            </w:r>
            <w:r w:rsidRPr="003E44E7">
              <w:t xml:space="preserve">adj) vs </w:t>
            </w:r>
            <w:r w:rsidR="00057611">
              <w:t>Botox</w:t>
            </w:r>
            <w:r w:rsidR="00255197" w:rsidRPr="00FA6E19">
              <w:rPr>
                <w:vertAlign w:val="superscript"/>
              </w:rPr>
              <w:t>®</w:t>
            </w:r>
            <w:r w:rsidR="00255197">
              <w:rPr>
                <w:vertAlign w:val="superscript"/>
              </w:rPr>
              <w:t xml:space="preserve"> </w:t>
            </w:r>
            <w:r w:rsidRPr="003E44E7">
              <w:t>Trial 512</w:t>
            </w:r>
          </w:p>
        </w:tc>
        <w:tc>
          <w:tcPr>
            <w:tcW w:w="1703" w:type="pct"/>
            <w:gridSpan w:val="2"/>
            <w:vAlign w:val="center"/>
          </w:tcPr>
          <w:p w:rsidR="007C050D" w:rsidRPr="003E44E7" w:rsidRDefault="007C050D" w:rsidP="0062684E">
            <w:pPr>
              <w:pStyle w:val="Tabletext"/>
              <w:keepNext/>
              <w:jc w:val="center"/>
              <w:rPr>
                <w:iCs/>
              </w:rPr>
            </w:pPr>
            <w:r w:rsidRPr="003E44E7">
              <w:rPr>
                <w:iCs/>
              </w:rPr>
              <w:t>-0.04 (-0.24, 0.16)</w:t>
            </w:r>
          </w:p>
        </w:tc>
      </w:tr>
      <w:tr w:rsidR="007C050D" w:rsidRPr="00C965C4" w:rsidTr="00C01CB8">
        <w:trPr>
          <w:trHeight w:val="206"/>
        </w:trPr>
        <w:tc>
          <w:tcPr>
            <w:tcW w:w="3297" w:type="pct"/>
            <w:gridSpan w:val="4"/>
          </w:tcPr>
          <w:p w:rsidR="007C050D" w:rsidRPr="003E44E7" w:rsidRDefault="007C050D" w:rsidP="0062684E">
            <w:pPr>
              <w:pStyle w:val="Tabletext"/>
              <w:keepNext/>
              <w:jc w:val="right"/>
            </w:pPr>
            <w:r w:rsidRPr="003E44E7">
              <w:t>Indirect compariso</w:t>
            </w:r>
            <w:r w:rsidR="00DC7FC3" w:rsidRPr="003E44E7">
              <w:t xml:space="preserve">n of </w:t>
            </w:r>
            <w:r w:rsidR="00057611">
              <w:t>Dysport</w:t>
            </w:r>
            <w:r w:rsidR="00255197" w:rsidRPr="00FA6E19">
              <w:rPr>
                <w:vertAlign w:val="superscript"/>
              </w:rPr>
              <w:t>®</w:t>
            </w:r>
            <w:r w:rsidR="00255197" w:rsidRPr="003E44E7">
              <w:t xml:space="preserve"> </w:t>
            </w:r>
            <w:r w:rsidR="00DC7FC3" w:rsidRPr="003E44E7">
              <w:t xml:space="preserve">(ITT </w:t>
            </w:r>
            <w:r w:rsidRPr="003E44E7">
              <w:t xml:space="preserve">unadj) vs </w:t>
            </w:r>
            <w:r w:rsidR="00057611">
              <w:t>Botox</w:t>
            </w:r>
            <w:r w:rsidR="00255197" w:rsidRPr="00FA6E19">
              <w:rPr>
                <w:vertAlign w:val="superscript"/>
              </w:rPr>
              <w:t>®</w:t>
            </w:r>
            <w:r w:rsidR="00255197">
              <w:t xml:space="preserve"> </w:t>
            </w:r>
            <w:r w:rsidRPr="003E44E7">
              <w:t>Trial 512</w:t>
            </w:r>
          </w:p>
        </w:tc>
        <w:tc>
          <w:tcPr>
            <w:tcW w:w="1703" w:type="pct"/>
            <w:gridSpan w:val="2"/>
            <w:vAlign w:val="center"/>
          </w:tcPr>
          <w:p w:rsidR="007C050D" w:rsidRPr="003E44E7" w:rsidRDefault="007C050D" w:rsidP="0062684E">
            <w:pPr>
              <w:pStyle w:val="Tabletext"/>
              <w:keepNext/>
              <w:jc w:val="center"/>
              <w:rPr>
                <w:iCs/>
              </w:rPr>
            </w:pPr>
            <w:r w:rsidRPr="003E44E7">
              <w:rPr>
                <w:iCs/>
              </w:rPr>
              <w:t>0.03 (-0.16, 0.22)</w:t>
            </w:r>
          </w:p>
        </w:tc>
      </w:tr>
      <w:tr w:rsidR="007C050D" w:rsidRPr="00C965C4" w:rsidTr="00C01CB8">
        <w:trPr>
          <w:trHeight w:val="206"/>
        </w:trPr>
        <w:tc>
          <w:tcPr>
            <w:tcW w:w="3297" w:type="pct"/>
            <w:gridSpan w:val="4"/>
          </w:tcPr>
          <w:p w:rsidR="007C050D" w:rsidRPr="003E44E7" w:rsidRDefault="007C050D" w:rsidP="00255197">
            <w:pPr>
              <w:pStyle w:val="Tabletext"/>
              <w:jc w:val="right"/>
            </w:pPr>
            <w:r w:rsidRPr="003E44E7">
              <w:t xml:space="preserve">Indirect comparison of </w:t>
            </w:r>
            <w:r w:rsidR="00057611">
              <w:t>Dysport</w:t>
            </w:r>
            <w:r w:rsidR="00255197" w:rsidRPr="00FA6E19">
              <w:rPr>
                <w:vertAlign w:val="superscript"/>
              </w:rPr>
              <w:t>®</w:t>
            </w:r>
            <w:r w:rsidR="00255197" w:rsidRPr="003E44E7">
              <w:t xml:space="preserve"> </w:t>
            </w:r>
            <w:r w:rsidRPr="003E44E7">
              <w:t>(PBS</w:t>
            </w:r>
            <w:r w:rsidR="00DC7FC3" w:rsidRPr="003E44E7">
              <w:t xml:space="preserve"> </w:t>
            </w:r>
            <w:r w:rsidRPr="003E44E7">
              <w:t xml:space="preserve">unadj) vs </w:t>
            </w:r>
            <w:r w:rsidR="00057611">
              <w:t>Botox</w:t>
            </w:r>
            <w:r w:rsidR="00255197" w:rsidRPr="00FA6E19">
              <w:rPr>
                <w:vertAlign w:val="superscript"/>
              </w:rPr>
              <w:t>®</w:t>
            </w:r>
            <w:r w:rsidR="00255197">
              <w:rPr>
                <w:vertAlign w:val="superscript"/>
              </w:rPr>
              <w:t xml:space="preserve"> </w:t>
            </w:r>
            <w:r w:rsidRPr="003E44E7">
              <w:t>Trial 512</w:t>
            </w:r>
          </w:p>
        </w:tc>
        <w:tc>
          <w:tcPr>
            <w:tcW w:w="1703" w:type="pct"/>
            <w:gridSpan w:val="2"/>
            <w:vAlign w:val="center"/>
          </w:tcPr>
          <w:p w:rsidR="007C050D" w:rsidRPr="003E44E7" w:rsidRDefault="007C050D" w:rsidP="00C01CB8">
            <w:pPr>
              <w:pStyle w:val="Tabletext"/>
              <w:jc w:val="center"/>
              <w:rPr>
                <w:iCs/>
              </w:rPr>
            </w:pPr>
            <w:r w:rsidRPr="003E44E7">
              <w:rPr>
                <w:iCs/>
              </w:rPr>
              <w:t>-0.14 (-0.40, 0.12)</w:t>
            </w:r>
          </w:p>
        </w:tc>
      </w:tr>
      <w:tr w:rsidR="007C050D" w:rsidRPr="0034662A" w:rsidTr="00C01CB8">
        <w:trPr>
          <w:trHeight w:val="109"/>
        </w:trPr>
        <w:tc>
          <w:tcPr>
            <w:tcW w:w="3297" w:type="pct"/>
            <w:gridSpan w:val="4"/>
          </w:tcPr>
          <w:p w:rsidR="007C050D" w:rsidRPr="0034662A" w:rsidRDefault="007C050D" w:rsidP="00C01CB8">
            <w:pPr>
              <w:pStyle w:val="Tabletext"/>
              <w:rPr>
                <w:b/>
              </w:rPr>
            </w:pPr>
            <w:r w:rsidRPr="0034662A">
              <w:rPr>
                <w:b/>
              </w:rPr>
              <w:t xml:space="preserve">MAS responder analysis at Week 4 </w:t>
            </w:r>
          </w:p>
        </w:tc>
        <w:tc>
          <w:tcPr>
            <w:tcW w:w="852" w:type="pct"/>
            <w:vAlign w:val="center"/>
          </w:tcPr>
          <w:p w:rsidR="007C050D" w:rsidRPr="0034662A" w:rsidRDefault="007C050D" w:rsidP="00C01CB8">
            <w:pPr>
              <w:pStyle w:val="Tabletext"/>
              <w:jc w:val="center"/>
              <w:rPr>
                <w:b/>
              </w:rPr>
            </w:pPr>
            <w:r w:rsidRPr="0034662A">
              <w:rPr>
                <w:b/>
              </w:rPr>
              <w:t>RR (95% CI)</w:t>
            </w:r>
          </w:p>
        </w:tc>
        <w:tc>
          <w:tcPr>
            <w:tcW w:w="851" w:type="pct"/>
            <w:vAlign w:val="center"/>
          </w:tcPr>
          <w:p w:rsidR="007C050D" w:rsidRPr="0034662A" w:rsidRDefault="007C050D" w:rsidP="00C01CB8">
            <w:pPr>
              <w:pStyle w:val="Tabletext"/>
              <w:jc w:val="center"/>
              <w:rPr>
                <w:b/>
              </w:rPr>
            </w:pPr>
            <w:r>
              <w:rPr>
                <w:b/>
              </w:rPr>
              <w:t>RD (95% CI)</w:t>
            </w:r>
          </w:p>
        </w:tc>
      </w:tr>
      <w:tr w:rsidR="007C050D" w:rsidRPr="00C965C4" w:rsidTr="00C01CB8">
        <w:trPr>
          <w:trHeight w:val="56"/>
        </w:trPr>
        <w:tc>
          <w:tcPr>
            <w:tcW w:w="995" w:type="pct"/>
          </w:tcPr>
          <w:p w:rsidR="007C050D" w:rsidRPr="00740483" w:rsidRDefault="007C050D" w:rsidP="00C01CB8">
            <w:pPr>
              <w:pStyle w:val="Tabletext"/>
              <w:rPr>
                <w:rFonts w:eastAsiaTheme="majorEastAsia"/>
              </w:rPr>
            </w:pPr>
            <w:r>
              <w:t>Study</w:t>
            </w:r>
            <w:r w:rsidRPr="00740483">
              <w:t xml:space="preserve"> 140 (ITT)</w:t>
            </w:r>
          </w:p>
        </w:tc>
        <w:tc>
          <w:tcPr>
            <w:tcW w:w="766" w:type="pct"/>
            <w:vAlign w:val="center"/>
          </w:tcPr>
          <w:p w:rsidR="007C050D" w:rsidRPr="003E44E7" w:rsidRDefault="007C050D" w:rsidP="00C01CB8">
            <w:pPr>
              <w:pStyle w:val="Tabletext"/>
              <w:jc w:val="center"/>
              <w:rPr>
                <w:rFonts w:eastAsiaTheme="majorEastAsia"/>
              </w:rPr>
            </w:pPr>
            <w:r w:rsidRPr="002316A0">
              <w:t>60</w:t>
            </w:r>
            <w:r w:rsidRPr="003E44E7">
              <w:t>/</w:t>
            </w:r>
            <w:r w:rsidRPr="002316A0">
              <w:t xml:space="preserve">128 </w:t>
            </w:r>
            <w:r w:rsidRPr="003E44E7">
              <w:t>(46.8%)</w:t>
            </w:r>
          </w:p>
        </w:tc>
        <w:tc>
          <w:tcPr>
            <w:tcW w:w="766" w:type="pct"/>
            <w:vAlign w:val="center"/>
          </w:tcPr>
          <w:p w:rsidR="007C050D" w:rsidRPr="003E44E7" w:rsidRDefault="007C050D" w:rsidP="00C01CB8">
            <w:pPr>
              <w:pStyle w:val="Tabletext"/>
              <w:jc w:val="center"/>
              <w:rPr>
                <w:rFonts w:eastAsiaTheme="majorEastAsia"/>
              </w:rPr>
            </w:pPr>
            <w:r w:rsidRPr="002316A0">
              <w:t>47</w:t>
            </w:r>
            <w:r w:rsidRPr="003E44E7">
              <w:t>/</w:t>
            </w:r>
            <w:r w:rsidRPr="002316A0">
              <w:t xml:space="preserve">128 </w:t>
            </w:r>
            <w:r w:rsidRPr="003E44E7">
              <w:t>(36.7%)</w:t>
            </w:r>
          </w:p>
        </w:tc>
        <w:tc>
          <w:tcPr>
            <w:tcW w:w="770" w:type="pct"/>
            <w:vAlign w:val="center"/>
          </w:tcPr>
          <w:p w:rsidR="007C050D" w:rsidRPr="003E44E7" w:rsidRDefault="007C050D" w:rsidP="00C01CB8">
            <w:pPr>
              <w:pStyle w:val="Tabletext"/>
              <w:jc w:val="center"/>
              <w:rPr>
                <w:rFonts w:eastAsiaTheme="majorEastAsia"/>
              </w:rPr>
            </w:pPr>
          </w:p>
        </w:tc>
        <w:tc>
          <w:tcPr>
            <w:tcW w:w="852" w:type="pct"/>
            <w:vAlign w:val="center"/>
          </w:tcPr>
          <w:p w:rsidR="007C050D" w:rsidRPr="003E44E7" w:rsidRDefault="007C050D" w:rsidP="00C01CB8">
            <w:pPr>
              <w:pStyle w:val="Tabletext"/>
              <w:jc w:val="center"/>
            </w:pPr>
            <w:r w:rsidRPr="003E44E7">
              <w:t>1.28 (0.95, 1.71)</w:t>
            </w:r>
          </w:p>
        </w:tc>
        <w:tc>
          <w:tcPr>
            <w:tcW w:w="851" w:type="pct"/>
            <w:vAlign w:val="center"/>
          </w:tcPr>
          <w:p w:rsidR="007C050D" w:rsidRPr="003E44E7" w:rsidRDefault="007C050D" w:rsidP="00C01CB8">
            <w:pPr>
              <w:pStyle w:val="Tabletext"/>
              <w:jc w:val="center"/>
              <w:rPr>
                <w:iCs/>
              </w:rPr>
            </w:pPr>
            <w:r w:rsidRPr="003E44E7">
              <w:rPr>
                <w:iCs/>
              </w:rPr>
              <w:t>0.10 (-0.02, 0.22)</w:t>
            </w:r>
          </w:p>
        </w:tc>
      </w:tr>
      <w:tr w:rsidR="007C050D" w:rsidRPr="00C965C4" w:rsidTr="00C01CB8">
        <w:trPr>
          <w:trHeight w:val="201"/>
        </w:trPr>
        <w:tc>
          <w:tcPr>
            <w:tcW w:w="995" w:type="pct"/>
          </w:tcPr>
          <w:p w:rsidR="007C050D" w:rsidRPr="00740483" w:rsidRDefault="007C050D" w:rsidP="00C01CB8">
            <w:pPr>
              <w:pStyle w:val="Tabletext"/>
              <w:rPr>
                <w:rFonts w:eastAsiaTheme="majorEastAsia"/>
              </w:rPr>
            </w:pPr>
            <w:r>
              <w:t>Study</w:t>
            </w:r>
            <w:r w:rsidRPr="00740483">
              <w:t xml:space="preserve"> 140 (PBS)</w:t>
            </w:r>
          </w:p>
        </w:tc>
        <w:tc>
          <w:tcPr>
            <w:tcW w:w="766" w:type="pct"/>
            <w:vAlign w:val="center"/>
          </w:tcPr>
          <w:p w:rsidR="007C050D" w:rsidRPr="003E44E7" w:rsidRDefault="007C050D" w:rsidP="00C01CB8">
            <w:pPr>
              <w:pStyle w:val="Tabletext"/>
              <w:jc w:val="center"/>
              <w:rPr>
                <w:rFonts w:eastAsiaTheme="majorEastAsia"/>
              </w:rPr>
            </w:pPr>
            <w:r w:rsidRPr="002316A0">
              <w:rPr>
                <w:rFonts w:eastAsiaTheme="majorEastAsia"/>
              </w:rPr>
              <w:t>43</w:t>
            </w:r>
            <w:r w:rsidRPr="003E44E7">
              <w:rPr>
                <w:rFonts w:eastAsiaTheme="majorEastAsia"/>
              </w:rPr>
              <w:t>/</w:t>
            </w:r>
            <w:r w:rsidRPr="002316A0">
              <w:rPr>
                <w:rFonts w:eastAsiaTheme="majorEastAsia"/>
              </w:rPr>
              <w:t xml:space="preserve">83 </w:t>
            </w:r>
            <w:r w:rsidRPr="003E44E7">
              <w:rPr>
                <w:rFonts w:eastAsiaTheme="majorEastAsia"/>
              </w:rPr>
              <w:t>(51.8%)</w:t>
            </w:r>
          </w:p>
        </w:tc>
        <w:tc>
          <w:tcPr>
            <w:tcW w:w="766" w:type="pct"/>
            <w:vAlign w:val="center"/>
          </w:tcPr>
          <w:p w:rsidR="007C050D" w:rsidRPr="003E44E7" w:rsidRDefault="007C050D" w:rsidP="00C01CB8">
            <w:pPr>
              <w:pStyle w:val="Tabletext"/>
              <w:jc w:val="center"/>
              <w:rPr>
                <w:rFonts w:eastAsiaTheme="majorEastAsia"/>
              </w:rPr>
            </w:pPr>
            <w:r w:rsidRPr="002316A0">
              <w:rPr>
                <w:rFonts w:eastAsiaTheme="majorEastAsia"/>
              </w:rPr>
              <w:t>34</w:t>
            </w:r>
            <w:r w:rsidRPr="003E44E7">
              <w:rPr>
                <w:rFonts w:eastAsiaTheme="majorEastAsia"/>
              </w:rPr>
              <w:t>/</w:t>
            </w:r>
            <w:r w:rsidRPr="002316A0">
              <w:rPr>
                <w:rFonts w:eastAsiaTheme="majorEastAsia"/>
              </w:rPr>
              <w:t xml:space="preserve">87 </w:t>
            </w:r>
            <w:r w:rsidRPr="003E44E7">
              <w:rPr>
                <w:rFonts w:eastAsiaTheme="majorEastAsia"/>
              </w:rPr>
              <w:t>(39.1%)</w:t>
            </w:r>
          </w:p>
        </w:tc>
        <w:tc>
          <w:tcPr>
            <w:tcW w:w="770" w:type="pct"/>
            <w:vAlign w:val="center"/>
          </w:tcPr>
          <w:p w:rsidR="007C050D" w:rsidRPr="003E44E7" w:rsidRDefault="007C050D" w:rsidP="00C01CB8">
            <w:pPr>
              <w:pStyle w:val="Tabletext"/>
              <w:jc w:val="center"/>
              <w:rPr>
                <w:rFonts w:eastAsiaTheme="majorEastAsia"/>
              </w:rPr>
            </w:pPr>
          </w:p>
        </w:tc>
        <w:tc>
          <w:tcPr>
            <w:tcW w:w="852" w:type="pct"/>
            <w:vAlign w:val="center"/>
          </w:tcPr>
          <w:p w:rsidR="007C050D" w:rsidRPr="003E44E7" w:rsidRDefault="007C050D" w:rsidP="00C01CB8">
            <w:pPr>
              <w:pStyle w:val="Tabletext"/>
              <w:jc w:val="center"/>
              <w:rPr>
                <w:iCs/>
              </w:rPr>
            </w:pPr>
            <w:r w:rsidRPr="003E44E7">
              <w:rPr>
                <w:iCs/>
              </w:rPr>
              <w:t>1.33 (0.95, 1.85)</w:t>
            </w:r>
          </w:p>
        </w:tc>
        <w:tc>
          <w:tcPr>
            <w:tcW w:w="851" w:type="pct"/>
            <w:vAlign w:val="center"/>
          </w:tcPr>
          <w:p w:rsidR="007C050D" w:rsidRPr="003E44E7" w:rsidRDefault="007C050D" w:rsidP="00C01CB8">
            <w:pPr>
              <w:pStyle w:val="Tabletext"/>
              <w:jc w:val="center"/>
              <w:rPr>
                <w:iCs/>
              </w:rPr>
            </w:pPr>
            <w:r w:rsidRPr="003E44E7">
              <w:rPr>
                <w:iCs/>
              </w:rPr>
              <w:t>0.13 (-0.02, 0.28)</w:t>
            </w:r>
          </w:p>
        </w:tc>
      </w:tr>
      <w:tr w:rsidR="007C050D" w:rsidRPr="00C965C4" w:rsidTr="00C01CB8">
        <w:trPr>
          <w:trHeight w:val="105"/>
        </w:trPr>
        <w:tc>
          <w:tcPr>
            <w:tcW w:w="995" w:type="pct"/>
          </w:tcPr>
          <w:p w:rsidR="007C050D" w:rsidRPr="00740483" w:rsidRDefault="007C050D" w:rsidP="00C01CB8">
            <w:pPr>
              <w:pStyle w:val="Tabletext"/>
              <w:rPr>
                <w:rFonts w:eastAsiaTheme="majorEastAsia"/>
              </w:rPr>
            </w:pPr>
            <w:r w:rsidRPr="00740483">
              <w:t>REFLEX</w:t>
            </w:r>
          </w:p>
        </w:tc>
        <w:tc>
          <w:tcPr>
            <w:tcW w:w="766" w:type="pct"/>
            <w:vAlign w:val="center"/>
          </w:tcPr>
          <w:p w:rsidR="007C050D" w:rsidRPr="003E44E7" w:rsidRDefault="007C050D" w:rsidP="00C01CB8">
            <w:pPr>
              <w:pStyle w:val="Tabletext"/>
              <w:jc w:val="center"/>
              <w:rPr>
                <w:rFonts w:eastAsiaTheme="majorEastAsia"/>
              </w:rPr>
            </w:pPr>
          </w:p>
        </w:tc>
        <w:tc>
          <w:tcPr>
            <w:tcW w:w="766" w:type="pct"/>
            <w:vAlign w:val="center"/>
          </w:tcPr>
          <w:p w:rsidR="007C050D" w:rsidRPr="003E44E7" w:rsidRDefault="007C050D" w:rsidP="00C01CB8">
            <w:pPr>
              <w:pStyle w:val="Tabletext"/>
              <w:jc w:val="center"/>
              <w:rPr>
                <w:rFonts w:eastAsiaTheme="majorEastAsia"/>
              </w:rPr>
            </w:pPr>
            <w:r w:rsidRPr="002316A0">
              <w:t>89</w:t>
            </w:r>
            <w:r w:rsidRPr="003E44E7">
              <w:t>/</w:t>
            </w:r>
            <w:r w:rsidRPr="002316A0">
              <w:t xml:space="preserve">229 </w:t>
            </w:r>
            <w:r w:rsidRPr="003E44E7">
              <w:t>(38.9%)</w:t>
            </w:r>
          </w:p>
        </w:tc>
        <w:tc>
          <w:tcPr>
            <w:tcW w:w="770" w:type="pct"/>
            <w:vAlign w:val="center"/>
          </w:tcPr>
          <w:p w:rsidR="007C050D" w:rsidRPr="003E44E7" w:rsidRDefault="007C050D" w:rsidP="00C01CB8">
            <w:pPr>
              <w:pStyle w:val="Tabletext"/>
              <w:jc w:val="center"/>
              <w:rPr>
                <w:rFonts w:eastAsiaTheme="majorEastAsia"/>
              </w:rPr>
            </w:pPr>
            <w:r w:rsidRPr="002316A0">
              <w:t>117</w:t>
            </w:r>
            <w:r w:rsidRPr="003E44E7">
              <w:t>/</w:t>
            </w:r>
            <w:r w:rsidRPr="002316A0">
              <w:t xml:space="preserve">225 </w:t>
            </w:r>
            <w:r w:rsidRPr="003E44E7">
              <w:t>(52%)</w:t>
            </w:r>
          </w:p>
        </w:tc>
        <w:tc>
          <w:tcPr>
            <w:tcW w:w="852" w:type="pct"/>
            <w:vAlign w:val="center"/>
          </w:tcPr>
          <w:p w:rsidR="007C050D" w:rsidRPr="003E44E7" w:rsidRDefault="007C050D" w:rsidP="00C01CB8">
            <w:pPr>
              <w:pStyle w:val="Tabletext"/>
              <w:jc w:val="center"/>
              <w:rPr>
                <w:b/>
                <w:bCs/>
              </w:rPr>
            </w:pPr>
            <w:r w:rsidRPr="003E44E7">
              <w:rPr>
                <w:b/>
                <w:bCs/>
              </w:rPr>
              <w:t>1.34 (1.09, 1.64)</w:t>
            </w:r>
          </w:p>
        </w:tc>
        <w:tc>
          <w:tcPr>
            <w:tcW w:w="851" w:type="pct"/>
            <w:vAlign w:val="center"/>
          </w:tcPr>
          <w:p w:rsidR="007C050D" w:rsidRPr="003E44E7" w:rsidRDefault="007C050D" w:rsidP="00255197">
            <w:pPr>
              <w:pStyle w:val="Tabletext"/>
              <w:jc w:val="center"/>
              <w:rPr>
                <w:b/>
                <w:bCs/>
                <w:iCs/>
              </w:rPr>
            </w:pPr>
            <w:r w:rsidRPr="003E44E7">
              <w:rPr>
                <w:b/>
                <w:bCs/>
                <w:iCs/>
              </w:rPr>
              <w:t>0.13 (0.04, 0.22</w:t>
            </w:r>
            <w:r w:rsidR="00255197">
              <w:rPr>
                <w:b/>
                <w:bCs/>
                <w:iCs/>
              </w:rPr>
              <w:t>)</w:t>
            </w:r>
          </w:p>
        </w:tc>
      </w:tr>
      <w:tr w:rsidR="007C050D" w:rsidRPr="00C965C4" w:rsidTr="00C01CB8">
        <w:trPr>
          <w:trHeight w:val="50"/>
        </w:trPr>
        <w:tc>
          <w:tcPr>
            <w:tcW w:w="995" w:type="pct"/>
          </w:tcPr>
          <w:p w:rsidR="007C050D" w:rsidRPr="00740483" w:rsidRDefault="007C050D" w:rsidP="00C01CB8">
            <w:pPr>
              <w:pStyle w:val="Tabletext"/>
              <w:rPr>
                <w:rFonts w:eastAsiaTheme="majorEastAsia"/>
              </w:rPr>
            </w:pPr>
            <w:r w:rsidRPr="00740483">
              <w:t>Trial 512</w:t>
            </w:r>
          </w:p>
        </w:tc>
        <w:tc>
          <w:tcPr>
            <w:tcW w:w="766" w:type="pct"/>
            <w:vAlign w:val="center"/>
          </w:tcPr>
          <w:p w:rsidR="007C050D" w:rsidRPr="003E44E7" w:rsidRDefault="007C050D" w:rsidP="00C01CB8">
            <w:pPr>
              <w:pStyle w:val="Tabletext"/>
              <w:jc w:val="center"/>
              <w:rPr>
                <w:rFonts w:eastAsiaTheme="majorEastAsia"/>
              </w:rPr>
            </w:pPr>
          </w:p>
        </w:tc>
        <w:tc>
          <w:tcPr>
            <w:tcW w:w="766" w:type="pct"/>
            <w:vAlign w:val="center"/>
          </w:tcPr>
          <w:p w:rsidR="007C050D" w:rsidRPr="003E44E7" w:rsidRDefault="007C050D" w:rsidP="00C01CB8">
            <w:pPr>
              <w:pStyle w:val="Tabletext"/>
              <w:jc w:val="center"/>
              <w:rPr>
                <w:rFonts w:eastAsiaTheme="majorEastAsia"/>
                <w:iCs/>
              </w:rPr>
            </w:pPr>
            <w:r w:rsidRPr="002316A0">
              <w:rPr>
                <w:iCs/>
              </w:rPr>
              <w:t>19</w:t>
            </w:r>
            <w:r w:rsidRPr="003E44E7">
              <w:rPr>
                <w:iCs/>
              </w:rPr>
              <w:t>/</w:t>
            </w:r>
            <w:r w:rsidRPr="002316A0">
              <w:rPr>
                <w:iCs/>
              </w:rPr>
              <w:t xml:space="preserve">62 </w:t>
            </w:r>
            <w:r w:rsidRPr="003E44E7">
              <w:rPr>
                <w:iCs/>
              </w:rPr>
              <w:t>(30.6%)</w:t>
            </w:r>
          </w:p>
        </w:tc>
        <w:tc>
          <w:tcPr>
            <w:tcW w:w="770" w:type="pct"/>
            <w:vAlign w:val="center"/>
          </w:tcPr>
          <w:p w:rsidR="007C050D" w:rsidRPr="003E44E7" w:rsidRDefault="007C050D" w:rsidP="00C01CB8">
            <w:pPr>
              <w:pStyle w:val="Tabletext"/>
              <w:jc w:val="center"/>
              <w:rPr>
                <w:rFonts w:eastAsiaTheme="majorEastAsia"/>
                <w:iCs/>
              </w:rPr>
            </w:pPr>
            <w:r w:rsidRPr="002316A0">
              <w:rPr>
                <w:iCs/>
              </w:rPr>
              <w:t>38</w:t>
            </w:r>
            <w:r w:rsidRPr="003E44E7">
              <w:rPr>
                <w:iCs/>
              </w:rPr>
              <w:t>/</w:t>
            </w:r>
            <w:r w:rsidRPr="002316A0">
              <w:rPr>
                <w:iCs/>
              </w:rPr>
              <w:t xml:space="preserve">58 </w:t>
            </w:r>
            <w:r w:rsidRPr="003E44E7">
              <w:rPr>
                <w:iCs/>
              </w:rPr>
              <w:t>(65.5%)</w:t>
            </w:r>
          </w:p>
        </w:tc>
        <w:tc>
          <w:tcPr>
            <w:tcW w:w="852" w:type="pct"/>
            <w:vAlign w:val="center"/>
          </w:tcPr>
          <w:p w:rsidR="007C050D" w:rsidRPr="003E44E7" w:rsidRDefault="007C050D" w:rsidP="00C01CB8">
            <w:pPr>
              <w:pStyle w:val="Tabletext"/>
              <w:jc w:val="center"/>
              <w:rPr>
                <w:b/>
                <w:bCs/>
                <w:iCs/>
              </w:rPr>
            </w:pPr>
            <w:r w:rsidRPr="003E44E7">
              <w:rPr>
                <w:b/>
                <w:bCs/>
                <w:iCs/>
              </w:rPr>
              <w:t>2.14 (1.41, 3.25)</w:t>
            </w:r>
          </w:p>
        </w:tc>
        <w:tc>
          <w:tcPr>
            <w:tcW w:w="851" w:type="pct"/>
            <w:vAlign w:val="center"/>
          </w:tcPr>
          <w:p w:rsidR="007C050D" w:rsidRPr="003E44E7" w:rsidRDefault="007C050D" w:rsidP="00C01CB8">
            <w:pPr>
              <w:pStyle w:val="Tabletext"/>
              <w:jc w:val="center"/>
              <w:rPr>
                <w:b/>
                <w:bCs/>
                <w:iCs/>
              </w:rPr>
            </w:pPr>
            <w:r w:rsidRPr="003E44E7">
              <w:rPr>
                <w:b/>
                <w:bCs/>
                <w:iCs/>
              </w:rPr>
              <w:t>0.35 (0.18, 0.52)</w:t>
            </w:r>
          </w:p>
        </w:tc>
      </w:tr>
      <w:tr w:rsidR="007C050D" w:rsidRPr="00C965C4" w:rsidTr="00C01CB8">
        <w:trPr>
          <w:trHeight w:val="183"/>
        </w:trPr>
        <w:tc>
          <w:tcPr>
            <w:tcW w:w="3297" w:type="pct"/>
            <w:gridSpan w:val="4"/>
          </w:tcPr>
          <w:p w:rsidR="007C050D" w:rsidRPr="003E44E7" w:rsidRDefault="007C050D" w:rsidP="00255197">
            <w:pPr>
              <w:pStyle w:val="Tabletext"/>
              <w:jc w:val="right"/>
            </w:pPr>
            <w:r w:rsidRPr="003E44E7">
              <w:t xml:space="preserve">MA </w:t>
            </w:r>
            <w:r w:rsidR="00057611">
              <w:t>Botox</w:t>
            </w:r>
            <w:r w:rsidR="00255197" w:rsidRPr="00FA6E19">
              <w:rPr>
                <w:vertAlign w:val="superscript"/>
              </w:rPr>
              <w:t>®</w:t>
            </w:r>
            <w:r w:rsidR="00255197">
              <w:rPr>
                <w:vertAlign w:val="superscript"/>
              </w:rPr>
              <w:t xml:space="preserve"> </w:t>
            </w:r>
            <w:r w:rsidRPr="003E44E7">
              <w:t>vs. PBO</w:t>
            </w:r>
          </w:p>
        </w:tc>
        <w:tc>
          <w:tcPr>
            <w:tcW w:w="852" w:type="pct"/>
            <w:vAlign w:val="center"/>
          </w:tcPr>
          <w:p w:rsidR="007C050D" w:rsidRPr="003E44E7" w:rsidRDefault="007C050D" w:rsidP="00C01CB8">
            <w:pPr>
              <w:pStyle w:val="Tabletext"/>
              <w:jc w:val="center"/>
              <w:rPr>
                <w:b/>
                <w:bCs/>
                <w:iCs/>
              </w:rPr>
            </w:pPr>
            <w:r w:rsidRPr="003E44E7">
              <w:rPr>
                <w:b/>
                <w:bCs/>
                <w:iCs/>
              </w:rPr>
              <w:t>1.48 (1.23, 1.77)</w:t>
            </w:r>
          </w:p>
        </w:tc>
        <w:tc>
          <w:tcPr>
            <w:tcW w:w="851" w:type="pct"/>
            <w:vAlign w:val="center"/>
          </w:tcPr>
          <w:p w:rsidR="007C050D" w:rsidRPr="003E44E7" w:rsidRDefault="007C050D" w:rsidP="00255197">
            <w:pPr>
              <w:pStyle w:val="Tabletext"/>
              <w:jc w:val="center"/>
              <w:rPr>
                <w:b/>
                <w:bCs/>
                <w:iCs/>
              </w:rPr>
            </w:pPr>
            <w:r w:rsidRPr="003E44E7">
              <w:rPr>
                <w:b/>
                <w:bCs/>
                <w:iCs/>
              </w:rPr>
              <w:t>0.18 (0.10, 0.26</w:t>
            </w:r>
            <w:r w:rsidR="00255197">
              <w:rPr>
                <w:b/>
                <w:bCs/>
                <w:iCs/>
              </w:rPr>
              <w:t>)</w:t>
            </w:r>
          </w:p>
        </w:tc>
      </w:tr>
      <w:tr w:rsidR="007C050D" w:rsidRPr="00C965C4" w:rsidTr="00C01CB8">
        <w:trPr>
          <w:trHeight w:val="88"/>
        </w:trPr>
        <w:tc>
          <w:tcPr>
            <w:tcW w:w="3297" w:type="pct"/>
            <w:gridSpan w:val="4"/>
          </w:tcPr>
          <w:p w:rsidR="007C050D" w:rsidRPr="003E44E7" w:rsidRDefault="007C050D" w:rsidP="00255197">
            <w:pPr>
              <w:pStyle w:val="Tabletext"/>
              <w:jc w:val="right"/>
            </w:pPr>
            <w:r w:rsidRPr="003E44E7">
              <w:t xml:space="preserve">Indirect comparison of </w:t>
            </w:r>
            <w:r w:rsidR="00057611">
              <w:t>Dysport</w:t>
            </w:r>
            <w:r w:rsidR="00255197" w:rsidRPr="00FA6E19">
              <w:rPr>
                <w:vertAlign w:val="superscript"/>
              </w:rPr>
              <w:t>®</w:t>
            </w:r>
            <w:r w:rsidR="00255197" w:rsidRPr="003E44E7">
              <w:t xml:space="preserve"> </w:t>
            </w:r>
            <w:r w:rsidRPr="003E44E7">
              <w:t xml:space="preserve">(ITT) vs </w:t>
            </w:r>
            <w:r w:rsidR="00057611">
              <w:t>Botox</w:t>
            </w:r>
            <w:r w:rsidR="00255197" w:rsidRPr="00FA6E19">
              <w:rPr>
                <w:vertAlign w:val="superscript"/>
              </w:rPr>
              <w:t>®</w:t>
            </w:r>
            <w:r w:rsidR="00255197">
              <w:rPr>
                <w:vertAlign w:val="superscript"/>
              </w:rPr>
              <w:t xml:space="preserve"> </w:t>
            </w:r>
            <w:r w:rsidRPr="003E44E7">
              <w:t>MA</w:t>
            </w:r>
          </w:p>
        </w:tc>
        <w:tc>
          <w:tcPr>
            <w:tcW w:w="852" w:type="pct"/>
            <w:vAlign w:val="center"/>
          </w:tcPr>
          <w:p w:rsidR="007C050D" w:rsidRPr="003E44E7" w:rsidRDefault="007C050D" w:rsidP="00C01CB8">
            <w:pPr>
              <w:pStyle w:val="Tabletext"/>
              <w:jc w:val="center"/>
            </w:pPr>
            <w:r w:rsidRPr="003E44E7">
              <w:t>0.86 (0.61, 1.22)</w:t>
            </w:r>
          </w:p>
        </w:tc>
        <w:tc>
          <w:tcPr>
            <w:tcW w:w="851" w:type="pct"/>
            <w:vAlign w:val="center"/>
          </w:tcPr>
          <w:p w:rsidR="007C050D" w:rsidRPr="003E44E7" w:rsidRDefault="007C050D" w:rsidP="00C01CB8">
            <w:pPr>
              <w:pStyle w:val="Tabletext"/>
              <w:jc w:val="center"/>
              <w:rPr>
                <w:iCs/>
              </w:rPr>
            </w:pPr>
            <w:r w:rsidRPr="003E44E7">
              <w:rPr>
                <w:iCs/>
              </w:rPr>
              <w:t>-0.08 (-0.20, 0.04)</w:t>
            </w:r>
          </w:p>
        </w:tc>
      </w:tr>
      <w:tr w:rsidR="007C050D" w:rsidRPr="00C965C4" w:rsidTr="00C01CB8">
        <w:trPr>
          <w:trHeight w:val="189"/>
        </w:trPr>
        <w:tc>
          <w:tcPr>
            <w:tcW w:w="3297" w:type="pct"/>
            <w:gridSpan w:val="4"/>
          </w:tcPr>
          <w:p w:rsidR="007C050D" w:rsidRPr="003E44E7" w:rsidRDefault="007C050D" w:rsidP="00255197">
            <w:pPr>
              <w:pStyle w:val="Tabletext"/>
              <w:jc w:val="right"/>
              <w:rPr>
                <w:szCs w:val="20"/>
              </w:rPr>
            </w:pPr>
            <w:r w:rsidRPr="003E44E7">
              <w:rPr>
                <w:szCs w:val="20"/>
              </w:rPr>
              <w:t xml:space="preserve">Indirect comparison of </w:t>
            </w:r>
            <w:r w:rsidR="00057611">
              <w:rPr>
                <w:szCs w:val="20"/>
              </w:rPr>
              <w:t>Dysport</w:t>
            </w:r>
            <w:r w:rsidR="00255197" w:rsidRPr="00FA6E19">
              <w:rPr>
                <w:vertAlign w:val="superscript"/>
              </w:rPr>
              <w:t>®</w:t>
            </w:r>
            <w:r w:rsidR="00255197" w:rsidRPr="003E44E7">
              <w:rPr>
                <w:szCs w:val="20"/>
              </w:rPr>
              <w:t xml:space="preserve"> </w:t>
            </w:r>
            <w:r w:rsidRPr="003E44E7">
              <w:rPr>
                <w:szCs w:val="20"/>
              </w:rPr>
              <w:t xml:space="preserve">(PBS) vs </w:t>
            </w:r>
            <w:r w:rsidR="00057611">
              <w:rPr>
                <w:szCs w:val="20"/>
              </w:rPr>
              <w:t>Botox</w:t>
            </w:r>
            <w:r w:rsidR="00255197" w:rsidRPr="00FA6E19">
              <w:rPr>
                <w:vertAlign w:val="superscript"/>
              </w:rPr>
              <w:t>®</w:t>
            </w:r>
            <w:r w:rsidR="00255197">
              <w:rPr>
                <w:vertAlign w:val="superscript"/>
              </w:rPr>
              <w:t xml:space="preserve"> </w:t>
            </w:r>
            <w:r w:rsidRPr="003E44E7">
              <w:rPr>
                <w:szCs w:val="20"/>
              </w:rPr>
              <w:t>MA</w:t>
            </w:r>
          </w:p>
        </w:tc>
        <w:tc>
          <w:tcPr>
            <w:tcW w:w="852" w:type="pct"/>
            <w:vAlign w:val="center"/>
          </w:tcPr>
          <w:p w:rsidR="007C050D" w:rsidRPr="003E44E7" w:rsidRDefault="007C050D" w:rsidP="00C01CB8">
            <w:pPr>
              <w:pStyle w:val="Tabletext"/>
              <w:jc w:val="center"/>
              <w:rPr>
                <w:szCs w:val="20"/>
              </w:rPr>
            </w:pPr>
            <w:r w:rsidRPr="003E44E7">
              <w:rPr>
                <w:szCs w:val="20"/>
              </w:rPr>
              <w:t>0.84 (0.57, 1.23)</w:t>
            </w:r>
          </w:p>
        </w:tc>
        <w:tc>
          <w:tcPr>
            <w:tcW w:w="851" w:type="pct"/>
            <w:vAlign w:val="center"/>
          </w:tcPr>
          <w:p w:rsidR="007C050D" w:rsidRPr="003E44E7" w:rsidRDefault="007C050D" w:rsidP="00C01CB8">
            <w:pPr>
              <w:pStyle w:val="Tabletext"/>
              <w:jc w:val="center"/>
              <w:rPr>
                <w:iCs/>
                <w:szCs w:val="20"/>
              </w:rPr>
            </w:pPr>
            <w:r w:rsidRPr="003E44E7">
              <w:rPr>
                <w:iCs/>
              </w:rPr>
              <w:t>-0.05 (-0.20, 0.10)</w:t>
            </w:r>
          </w:p>
        </w:tc>
      </w:tr>
    </w:tbl>
    <w:p w:rsidR="00DC7FC3" w:rsidRPr="009F0124" w:rsidRDefault="00914A4E" w:rsidP="00914A4E">
      <w:pPr>
        <w:pStyle w:val="TableFooter"/>
      </w:pPr>
      <w:r>
        <w:t>a</w:t>
      </w:r>
      <w:r w:rsidR="00DC7FC3" w:rsidRPr="009F0124">
        <w:t>dj</w:t>
      </w:r>
      <w:r>
        <w:t xml:space="preserve"> </w:t>
      </w:r>
      <w:r w:rsidR="00DC7FC3" w:rsidRPr="009F0124">
        <w:t>=</w:t>
      </w:r>
      <w:r>
        <w:t xml:space="preserve"> </w:t>
      </w:r>
      <w:r w:rsidR="00DC7FC3" w:rsidRPr="009F0124">
        <w:t>adjusted</w:t>
      </w:r>
      <w:r w:rsidR="0079458C">
        <w:t>;</w:t>
      </w:r>
      <w:r w:rsidR="00DC7FC3" w:rsidRPr="009F0124">
        <w:t xml:space="preserve"> CI</w:t>
      </w:r>
      <w:r>
        <w:t xml:space="preserve"> </w:t>
      </w:r>
      <w:r w:rsidR="00DC7FC3" w:rsidRPr="009F0124">
        <w:t>=</w:t>
      </w:r>
      <w:r>
        <w:t xml:space="preserve"> </w:t>
      </w:r>
      <w:r w:rsidR="00DC7FC3" w:rsidRPr="009F0124">
        <w:t>confidence interval</w:t>
      </w:r>
      <w:r w:rsidR="0079458C">
        <w:t>;</w:t>
      </w:r>
      <w:r w:rsidR="00DC7FC3" w:rsidRPr="009F0124">
        <w:t xml:space="preserve"> ITT</w:t>
      </w:r>
      <w:r>
        <w:t xml:space="preserve"> </w:t>
      </w:r>
      <w:r w:rsidR="00DC7FC3" w:rsidRPr="009F0124">
        <w:t>=</w:t>
      </w:r>
      <w:r>
        <w:t xml:space="preserve"> </w:t>
      </w:r>
      <w:r w:rsidR="00DC7FC3" w:rsidRPr="009F0124">
        <w:t>intention to treat</w:t>
      </w:r>
      <w:r w:rsidR="0079458C">
        <w:t>;</w:t>
      </w:r>
      <w:r w:rsidR="00DC7FC3" w:rsidRPr="009F0124">
        <w:t xml:space="preserve"> </w:t>
      </w:r>
      <w:r w:rsidR="00AE46CE">
        <w:t>MA = meta-analysis;</w:t>
      </w:r>
      <w:r w:rsidR="0079458C">
        <w:t xml:space="preserve"> MAS = Modified Ashworth Scale; NR = not reported; PBO = placebo; PBS = Pharmaceutical Benefit Scheme;</w:t>
      </w:r>
      <w:r w:rsidR="00DC7FC3" w:rsidRPr="009F0124">
        <w:t xml:space="preserve"> RD</w:t>
      </w:r>
      <w:r>
        <w:t xml:space="preserve"> </w:t>
      </w:r>
      <w:r w:rsidR="00DC7FC3" w:rsidRPr="009F0124">
        <w:t>=</w:t>
      </w:r>
      <w:r>
        <w:t xml:space="preserve"> </w:t>
      </w:r>
      <w:r w:rsidR="00DC7FC3" w:rsidRPr="009F0124">
        <w:t>risk difference</w:t>
      </w:r>
      <w:r w:rsidR="0079458C">
        <w:t>;</w:t>
      </w:r>
      <w:r w:rsidR="00DC7FC3" w:rsidRPr="009F0124">
        <w:t xml:space="preserve"> RR</w:t>
      </w:r>
      <w:r>
        <w:t xml:space="preserve"> </w:t>
      </w:r>
      <w:r w:rsidR="00DC7FC3" w:rsidRPr="009F0124">
        <w:t>=</w:t>
      </w:r>
      <w:r>
        <w:t xml:space="preserve"> </w:t>
      </w:r>
      <w:r w:rsidR="00DC7FC3" w:rsidRPr="009F0124">
        <w:t>risk ratio</w:t>
      </w:r>
      <w:r w:rsidR="0079458C">
        <w:t>;</w:t>
      </w:r>
      <w:r w:rsidR="00DC7FC3" w:rsidRPr="009F0124">
        <w:t xml:space="preserve"> </w:t>
      </w:r>
      <w:r w:rsidR="0079458C">
        <w:t xml:space="preserve">SD = standard deviation; </w:t>
      </w:r>
      <w:r w:rsidR="00DC7FC3" w:rsidRPr="009F0124">
        <w:t>unadj</w:t>
      </w:r>
      <w:r>
        <w:t xml:space="preserve"> </w:t>
      </w:r>
      <w:r w:rsidR="00DC7FC3" w:rsidRPr="009F0124">
        <w:t>=</w:t>
      </w:r>
      <w:r>
        <w:t xml:space="preserve"> </w:t>
      </w:r>
      <w:r w:rsidR="00DC7FC3" w:rsidRPr="009F0124">
        <w:t>unadjusted</w:t>
      </w:r>
    </w:p>
    <w:p w:rsidR="00CE5EA3" w:rsidRPr="003E44E7" w:rsidRDefault="003E44E7" w:rsidP="00914A4E">
      <w:pPr>
        <w:pStyle w:val="TableFooter"/>
        <w:rPr>
          <w:iCs/>
        </w:rPr>
      </w:pPr>
      <w:r>
        <w:rPr>
          <w:iCs/>
        </w:rPr>
        <w:t>Some</w:t>
      </w:r>
      <w:r w:rsidRPr="003E44E7">
        <w:rPr>
          <w:iCs/>
        </w:rPr>
        <w:t xml:space="preserve"> </w:t>
      </w:r>
      <w:r w:rsidR="00DC7FC3" w:rsidRPr="003E44E7">
        <w:rPr>
          <w:iCs/>
        </w:rPr>
        <w:t>figures were r</w:t>
      </w:r>
      <w:r w:rsidR="00CE5EA3" w:rsidRPr="003E44E7">
        <w:rPr>
          <w:iCs/>
        </w:rPr>
        <w:t>ecalculated during the evaluation using t</w:t>
      </w:r>
      <w:r w:rsidR="00DC7FC3" w:rsidRPr="003E44E7">
        <w:rPr>
          <w:iCs/>
        </w:rPr>
        <w:t xml:space="preserve">he </w:t>
      </w:r>
      <w:r w:rsidR="00372A21" w:rsidRPr="003E44E7">
        <w:rPr>
          <w:iCs/>
        </w:rPr>
        <w:t>sponsor</w:t>
      </w:r>
      <w:r w:rsidR="00DC7FC3" w:rsidRPr="003E44E7">
        <w:rPr>
          <w:iCs/>
        </w:rPr>
        <w:t>’s log file and Botox</w:t>
      </w:r>
      <w:r w:rsidR="00CE5EA3" w:rsidRPr="003E44E7">
        <w:rPr>
          <w:iCs/>
        </w:rPr>
        <w:t xml:space="preserve"> PSD, using RevManager 5.3. There were some errors in Table 2.48, page 98 of the resubmission: Week 4 results in Trial 512 were used instead of Week 12 results</w:t>
      </w:r>
      <w:r w:rsidR="00DC7FC3" w:rsidRPr="003E44E7">
        <w:rPr>
          <w:iCs/>
        </w:rPr>
        <w:t xml:space="preserve"> affecting</w:t>
      </w:r>
      <w:r w:rsidR="00CE5EA3" w:rsidRPr="003E44E7">
        <w:rPr>
          <w:iCs/>
        </w:rPr>
        <w:t xml:space="preserve"> the indirect comparison at Week 12; the resubmission also reported the unadjusted results in the ITT analysis of the mean change from baseline to Week 12 instead of the adjusted analysis included in the CSR.</w:t>
      </w:r>
    </w:p>
    <w:p w:rsidR="00CE5EA3" w:rsidRDefault="00CE5EA3" w:rsidP="00914A4E">
      <w:pPr>
        <w:pStyle w:val="TableFooter"/>
      </w:pPr>
      <w:r w:rsidRPr="009F0124">
        <w:t>Source: Table 2.52, p100; Tables 2.47, 2.48, 2.49, 2.50, pp98-99 of the resubmission. Table 16, Table 19 of Study 140 CSR</w:t>
      </w:r>
      <w:r w:rsidR="00E30D38">
        <w:t xml:space="preserve"> and Table 3, p6 of the PSCR</w:t>
      </w:r>
    </w:p>
    <w:p w:rsidR="00756FBA" w:rsidRDefault="00756FBA" w:rsidP="00CE5EA3">
      <w:pPr>
        <w:pStyle w:val="TableFooter"/>
        <w:jc w:val="left"/>
      </w:pPr>
    </w:p>
    <w:p w:rsidR="008576DE" w:rsidRPr="00867AC2" w:rsidRDefault="008576DE" w:rsidP="0079458C">
      <w:pPr>
        <w:pStyle w:val="ListParagraph"/>
        <w:keepNext/>
        <w:widowControl/>
        <w:numPr>
          <w:ilvl w:val="1"/>
          <w:numId w:val="1"/>
        </w:numPr>
        <w:ind w:left="720"/>
        <w:rPr>
          <w:bCs/>
        </w:rPr>
      </w:pPr>
      <w:r w:rsidRPr="00867AC2">
        <w:rPr>
          <w:bCs/>
        </w:rPr>
        <w:t>The results demonstrated:</w:t>
      </w:r>
    </w:p>
    <w:p w:rsidR="008576DE" w:rsidRPr="00867AC2" w:rsidRDefault="008576DE" w:rsidP="0079458C">
      <w:pPr>
        <w:pStyle w:val="ListParagraph"/>
        <w:keepNext/>
        <w:numPr>
          <w:ilvl w:val="0"/>
          <w:numId w:val="14"/>
        </w:numPr>
        <w:ind w:left="1134"/>
      </w:pPr>
      <w:r w:rsidRPr="002207D4">
        <w:t xml:space="preserve">Dysport® 1500U significantly reduced mean MAS compared to </w:t>
      </w:r>
      <w:r w:rsidR="00BC233A" w:rsidRPr="002207D4">
        <w:t>placebo</w:t>
      </w:r>
      <w:r w:rsidRPr="002207D4">
        <w:t xml:space="preserve"> at Week 4 and 12 in the ITT population (adjusted for study centre, baseline MAS, prior BoNT) and PBS subgroup (unadjusted</w:t>
      </w:r>
      <w:r w:rsidR="00164A01" w:rsidRPr="002207D4">
        <w:t xml:space="preserve"> and adjusted at Week 4 only</w:t>
      </w:r>
      <w:r w:rsidRPr="002207D4">
        <w:t xml:space="preserve">) of Study 140. </w:t>
      </w:r>
      <w:r w:rsidR="00B94F5D" w:rsidRPr="002207D4">
        <w:t xml:space="preserve">There </w:t>
      </w:r>
      <w:r w:rsidR="000F73D6" w:rsidRPr="002207D4">
        <w:t xml:space="preserve">were </w:t>
      </w:r>
      <w:r w:rsidR="00B94F5D" w:rsidRPr="002207D4">
        <w:t>no significant difference</w:t>
      </w:r>
      <w:r w:rsidR="000F73D6" w:rsidRPr="002207D4">
        <w:t>s</w:t>
      </w:r>
      <w:r w:rsidR="00B94F5D" w:rsidRPr="002207D4">
        <w:t xml:space="preserve"> between Dysport® and </w:t>
      </w:r>
      <w:r w:rsidR="00BC233A" w:rsidRPr="002207D4">
        <w:t>placebo</w:t>
      </w:r>
      <w:r w:rsidR="00B94F5D" w:rsidRPr="002207D4">
        <w:t xml:space="preserve"> in the unadjusted ITT analysis</w:t>
      </w:r>
      <w:r w:rsidR="000F73D6" w:rsidRPr="002207D4">
        <w:t xml:space="preserve"> at Week 4 and 12</w:t>
      </w:r>
      <w:r w:rsidR="00B94F5D" w:rsidRPr="002207D4">
        <w:t>, but the difference</w:t>
      </w:r>
      <w:r w:rsidR="000F73D6" w:rsidRPr="002207D4">
        <w:t>s</w:t>
      </w:r>
      <w:r w:rsidR="00B94F5D" w:rsidRPr="002207D4">
        <w:t xml:space="preserve"> became significant in the </w:t>
      </w:r>
      <w:r w:rsidR="00B94F5D" w:rsidRPr="002207D4">
        <w:lastRenderedPageBreak/>
        <w:t>adjusted analysis.</w:t>
      </w:r>
      <w:r w:rsidR="00970078" w:rsidRPr="002207D4">
        <w:t xml:space="preserve"> </w:t>
      </w:r>
    </w:p>
    <w:p w:rsidR="008576DE" w:rsidRPr="00867AC2" w:rsidRDefault="008576DE" w:rsidP="003642BB">
      <w:pPr>
        <w:pStyle w:val="ListParagraph"/>
        <w:numPr>
          <w:ilvl w:val="0"/>
          <w:numId w:val="14"/>
        </w:numPr>
        <w:ind w:left="1134"/>
      </w:pPr>
      <w:r w:rsidRPr="00867AC2">
        <w:t xml:space="preserve">Botox® 300-400U significantly reduced mean MAS compared to </w:t>
      </w:r>
      <w:r w:rsidR="00BC233A">
        <w:t>placebo</w:t>
      </w:r>
      <w:r w:rsidRPr="00867AC2">
        <w:t xml:space="preserve"> at Week 4 in REFLEX (adjusted for study centre, baseline MAS, optional muscles injected) and Trial 512 (</w:t>
      </w:r>
      <w:r w:rsidR="009326A1" w:rsidRPr="00867AC2">
        <w:t>un</w:t>
      </w:r>
      <w:r w:rsidRPr="00867AC2">
        <w:t>adjusted).</w:t>
      </w:r>
    </w:p>
    <w:p w:rsidR="008576DE" w:rsidRPr="00867AC2" w:rsidRDefault="008576DE" w:rsidP="003642BB">
      <w:pPr>
        <w:pStyle w:val="ListParagraph"/>
        <w:numPr>
          <w:ilvl w:val="0"/>
          <w:numId w:val="14"/>
        </w:numPr>
        <w:ind w:left="1134"/>
      </w:pPr>
      <w:r w:rsidRPr="00867AC2">
        <w:t>There</w:t>
      </w:r>
      <w:r w:rsidRPr="00867AC2">
        <w:rPr>
          <w:iCs/>
        </w:rPr>
        <w:t xml:space="preserve"> were no significant differences between Dysport® 1500U and </w:t>
      </w:r>
      <w:r w:rsidR="00BC233A">
        <w:rPr>
          <w:iCs/>
        </w:rPr>
        <w:t>placebo</w:t>
      </w:r>
      <w:r w:rsidRPr="00867AC2">
        <w:rPr>
          <w:iCs/>
        </w:rPr>
        <w:t xml:space="preserve"> in the proportion of MAS responders (reduction in </w:t>
      </w:r>
      <w:r w:rsidRPr="00867AC2">
        <w:t>MAS</w:t>
      </w:r>
      <w:r w:rsidR="00DD0995" w:rsidRPr="00867AC2">
        <w:t xml:space="preserve"> </w:t>
      </w:r>
      <w:r w:rsidRPr="00867AC2">
        <w:t>≥</w:t>
      </w:r>
      <w:r w:rsidR="00DD0995" w:rsidRPr="00867AC2">
        <w:t xml:space="preserve"> </w:t>
      </w:r>
      <w:r w:rsidRPr="00867AC2">
        <w:t>1) at</w:t>
      </w:r>
      <w:r w:rsidRPr="00867AC2">
        <w:rPr>
          <w:iCs/>
        </w:rPr>
        <w:t xml:space="preserve"> Week 4 for the ITT population and PBS subgroup.</w:t>
      </w:r>
    </w:p>
    <w:p w:rsidR="008576DE" w:rsidRPr="00867AC2" w:rsidRDefault="008576DE" w:rsidP="003642BB">
      <w:pPr>
        <w:pStyle w:val="ListParagraph"/>
        <w:numPr>
          <w:ilvl w:val="0"/>
          <w:numId w:val="14"/>
        </w:numPr>
        <w:ind w:left="1134"/>
      </w:pPr>
      <w:r w:rsidRPr="00867AC2">
        <w:rPr>
          <w:iCs/>
        </w:rPr>
        <w:t xml:space="preserve">The proportion of responders at Week 4 was significantly higher for Botox® compared to </w:t>
      </w:r>
      <w:r w:rsidR="00BC233A">
        <w:rPr>
          <w:iCs/>
        </w:rPr>
        <w:t>placebo</w:t>
      </w:r>
      <w:r w:rsidRPr="00867AC2">
        <w:rPr>
          <w:iCs/>
        </w:rPr>
        <w:t xml:space="preserve"> in REFLEX and Trial 512. </w:t>
      </w:r>
    </w:p>
    <w:p w:rsidR="008576DE" w:rsidRPr="00867AC2" w:rsidRDefault="008576DE" w:rsidP="00CD6965">
      <w:pPr>
        <w:pStyle w:val="ListParagraph"/>
        <w:numPr>
          <w:ilvl w:val="0"/>
          <w:numId w:val="14"/>
        </w:numPr>
        <w:ind w:left="1134"/>
      </w:pPr>
      <w:r w:rsidRPr="00867AC2">
        <w:t xml:space="preserve">There were no significant differences between Dysport® 1500U and Botox® 300-400U for </w:t>
      </w:r>
      <w:r w:rsidR="00CD6965" w:rsidRPr="00867AC2">
        <w:t xml:space="preserve">the outcomes of </w:t>
      </w:r>
      <w:r w:rsidRPr="00867AC2">
        <w:t xml:space="preserve">mean change in MAS at Week 4 </w:t>
      </w:r>
      <w:r w:rsidR="00CD6965" w:rsidRPr="00867AC2">
        <w:t xml:space="preserve">and </w:t>
      </w:r>
      <w:r w:rsidRPr="00867AC2">
        <w:t xml:space="preserve">12, or proportion of MAS responders at Week 4. </w:t>
      </w:r>
    </w:p>
    <w:p w:rsidR="008576DE" w:rsidRPr="00E01F71" w:rsidRDefault="008576DE" w:rsidP="0036686A">
      <w:pPr>
        <w:pStyle w:val="ListParagraph"/>
        <w:widowControl/>
        <w:numPr>
          <w:ilvl w:val="1"/>
          <w:numId w:val="1"/>
        </w:numPr>
        <w:ind w:left="720"/>
      </w:pPr>
      <w:r w:rsidRPr="00867AC2">
        <w:t xml:space="preserve">The resubmission </w:t>
      </w:r>
      <w:r w:rsidR="00145259" w:rsidRPr="00867AC2">
        <w:t>stated that</w:t>
      </w:r>
      <w:r w:rsidR="00936488" w:rsidRPr="00867AC2">
        <w:t xml:space="preserve"> the indirect comparison demonstrated non-inferiority between Dysport® and Botox® because </w:t>
      </w:r>
      <w:r w:rsidRPr="00867AC2">
        <w:t xml:space="preserve">the upper 95% confidence interval </w:t>
      </w:r>
      <w:r w:rsidR="00DD0995" w:rsidRPr="00867AC2">
        <w:t xml:space="preserve">(CI) </w:t>
      </w:r>
      <w:r w:rsidRPr="00867AC2">
        <w:t>was lower than the nominated non-inferiority margin (MAS difference &lt;</w:t>
      </w:r>
      <w:r w:rsidR="00DD0995" w:rsidRPr="00867AC2">
        <w:t xml:space="preserve"> </w:t>
      </w:r>
      <w:r w:rsidRPr="00867AC2">
        <w:t xml:space="preserve">1). </w:t>
      </w:r>
      <w:r w:rsidRPr="00867AC2">
        <w:rPr>
          <w:iCs/>
        </w:rPr>
        <w:t xml:space="preserve">The selection </w:t>
      </w:r>
      <w:r w:rsidR="00575A45" w:rsidRPr="00867AC2">
        <w:rPr>
          <w:iCs/>
        </w:rPr>
        <w:t xml:space="preserve">of this non-inferiority margin </w:t>
      </w:r>
      <w:r w:rsidR="00936488" w:rsidRPr="00867AC2">
        <w:rPr>
          <w:iCs/>
        </w:rPr>
        <w:t xml:space="preserve">and subsequent claim of non-inferiority </w:t>
      </w:r>
      <w:r w:rsidR="00575A45" w:rsidRPr="00867AC2">
        <w:rPr>
          <w:iCs/>
        </w:rPr>
        <w:t>wa</w:t>
      </w:r>
      <w:r w:rsidRPr="00867AC2">
        <w:rPr>
          <w:iCs/>
        </w:rPr>
        <w:t xml:space="preserve">s </w:t>
      </w:r>
      <w:r w:rsidR="00936488" w:rsidRPr="00867AC2">
        <w:rPr>
          <w:iCs/>
        </w:rPr>
        <w:t xml:space="preserve">unclear and </w:t>
      </w:r>
      <w:r w:rsidRPr="00867AC2">
        <w:rPr>
          <w:iCs/>
        </w:rPr>
        <w:t xml:space="preserve">not </w:t>
      </w:r>
      <w:r w:rsidR="00936488" w:rsidRPr="00867AC2">
        <w:rPr>
          <w:iCs/>
        </w:rPr>
        <w:t xml:space="preserve">adequately </w:t>
      </w:r>
      <w:r w:rsidRPr="00867AC2">
        <w:rPr>
          <w:iCs/>
        </w:rPr>
        <w:t>justified</w:t>
      </w:r>
      <w:r w:rsidR="00936488" w:rsidRPr="00867AC2">
        <w:rPr>
          <w:iCs/>
        </w:rPr>
        <w:t>.</w:t>
      </w:r>
      <w:r w:rsidRPr="00867AC2">
        <w:rPr>
          <w:iCs/>
        </w:rPr>
        <w:t xml:space="preserve"> </w:t>
      </w:r>
      <w:r w:rsidR="00C83275" w:rsidRPr="002207D4">
        <w:rPr>
          <w:iCs/>
        </w:rPr>
        <w:t>The ESC</w:t>
      </w:r>
      <w:r w:rsidR="0062684E">
        <w:rPr>
          <w:iCs/>
        </w:rPr>
        <w:t xml:space="preserve"> </w:t>
      </w:r>
      <w:r w:rsidR="00C83275" w:rsidRPr="002207D4">
        <w:rPr>
          <w:iCs/>
        </w:rPr>
        <w:t>noted that</w:t>
      </w:r>
      <w:r w:rsidR="00C83275">
        <w:rPr>
          <w:iCs/>
        </w:rPr>
        <w:t xml:space="preserve"> n</w:t>
      </w:r>
      <w:r w:rsidRPr="00867AC2">
        <w:rPr>
          <w:iCs/>
        </w:rPr>
        <w:t xml:space="preserve">one of the trials demonstrated a clinically meaningful improvement in mean reduction in MAS (i.e. MCID </w:t>
      </w:r>
      <w:r w:rsidRPr="00867AC2">
        <w:rPr>
          <w:rFonts w:cs="Calibri"/>
          <w:iCs/>
        </w:rPr>
        <w:t>≥</w:t>
      </w:r>
      <w:r w:rsidR="00DD0995" w:rsidRPr="00867AC2">
        <w:rPr>
          <w:rFonts w:cs="Calibri"/>
          <w:iCs/>
        </w:rPr>
        <w:t xml:space="preserve"> </w:t>
      </w:r>
      <w:r w:rsidRPr="00867AC2">
        <w:rPr>
          <w:iCs/>
        </w:rPr>
        <w:t xml:space="preserve">1) for BoNT versus </w:t>
      </w:r>
      <w:r w:rsidR="00BC233A">
        <w:rPr>
          <w:iCs/>
        </w:rPr>
        <w:t>placebo</w:t>
      </w:r>
      <w:r w:rsidRPr="00867AC2">
        <w:rPr>
          <w:iCs/>
        </w:rPr>
        <w:t xml:space="preserve"> at Week 4 or 12.</w:t>
      </w:r>
      <w:r w:rsidR="005F049F">
        <w:rPr>
          <w:iCs/>
        </w:rPr>
        <w:t xml:space="preserve"> </w:t>
      </w:r>
    </w:p>
    <w:p w:rsidR="00E01F71" w:rsidRPr="00867AC2" w:rsidRDefault="0079458C" w:rsidP="0036686A">
      <w:pPr>
        <w:pStyle w:val="ListParagraph"/>
        <w:widowControl/>
        <w:numPr>
          <w:ilvl w:val="1"/>
          <w:numId w:val="1"/>
        </w:numPr>
        <w:ind w:left="720"/>
      </w:pPr>
      <w:r>
        <w:rPr>
          <w:iCs/>
        </w:rPr>
        <w:t>The p</w:t>
      </w:r>
      <w:r w:rsidR="00E01F71">
        <w:rPr>
          <w:iCs/>
        </w:rPr>
        <w:t xml:space="preserve">re-PBAC response </w:t>
      </w:r>
      <w:r w:rsidR="009C710B">
        <w:rPr>
          <w:iCs/>
        </w:rPr>
        <w:t xml:space="preserve">stated that </w:t>
      </w:r>
      <w:r w:rsidR="00F661EE">
        <w:rPr>
          <w:iCs/>
        </w:rPr>
        <w:t>Study 142, which presented the extension study of Dysport</w:t>
      </w:r>
      <w:r w:rsidR="00ED749B">
        <w:rPr>
          <w:rFonts w:cs="Calibri"/>
          <w:iCs/>
        </w:rPr>
        <w:t>®</w:t>
      </w:r>
      <w:r w:rsidR="00ED749B">
        <w:rPr>
          <w:iCs/>
        </w:rPr>
        <w:t xml:space="preserve"> and which was</w:t>
      </w:r>
      <w:r w:rsidR="00F661EE">
        <w:rPr>
          <w:iCs/>
        </w:rPr>
        <w:t xml:space="preserve"> considered at the November 2018 PBAC meeting</w:t>
      </w:r>
      <w:r w:rsidR="00ED749B">
        <w:rPr>
          <w:iCs/>
        </w:rPr>
        <w:t>,</w:t>
      </w:r>
      <w:r w:rsidR="00F661EE">
        <w:rPr>
          <w:iCs/>
        </w:rPr>
        <w:t xml:space="preserve"> demonstrated </w:t>
      </w:r>
      <w:r w:rsidR="007648B8">
        <w:rPr>
          <w:iCs/>
        </w:rPr>
        <w:t xml:space="preserve"> increased </w:t>
      </w:r>
      <w:r w:rsidR="00ED749B">
        <w:rPr>
          <w:iCs/>
        </w:rPr>
        <w:t>improvements</w:t>
      </w:r>
      <w:r w:rsidR="00F661EE">
        <w:rPr>
          <w:iCs/>
        </w:rPr>
        <w:t xml:space="preserve"> </w:t>
      </w:r>
      <w:r w:rsidR="00ED749B">
        <w:rPr>
          <w:iCs/>
        </w:rPr>
        <w:t xml:space="preserve">with subsequent cycles of </w:t>
      </w:r>
      <w:r w:rsidR="00F661EE">
        <w:rPr>
          <w:iCs/>
        </w:rPr>
        <w:t xml:space="preserve"> Dysport</w:t>
      </w:r>
      <w:r w:rsidR="00ED749B">
        <w:rPr>
          <w:rFonts w:cs="Calibri"/>
          <w:iCs/>
        </w:rPr>
        <w:t>®</w:t>
      </w:r>
      <w:r w:rsidR="00F661EE">
        <w:rPr>
          <w:iCs/>
        </w:rPr>
        <w:t xml:space="preserve"> 1500U</w:t>
      </w:r>
      <w:r w:rsidR="00ED749B">
        <w:rPr>
          <w:iCs/>
        </w:rPr>
        <w:t xml:space="preserve"> (mean change in MAS of -1.0 (0.9) at Week 4 of Cycle 3)</w:t>
      </w:r>
      <w:r w:rsidR="00F661EE">
        <w:rPr>
          <w:iCs/>
        </w:rPr>
        <w:t xml:space="preserve">. </w:t>
      </w:r>
      <w:r w:rsidR="007648B8">
        <w:rPr>
          <w:iCs/>
        </w:rPr>
        <w:t>As</w:t>
      </w:r>
      <w:r w:rsidR="009C710B">
        <w:rPr>
          <w:iCs/>
        </w:rPr>
        <w:t xml:space="preserve"> </w:t>
      </w:r>
      <w:r w:rsidR="007648B8">
        <w:rPr>
          <w:iCs/>
        </w:rPr>
        <w:t xml:space="preserve">noted </w:t>
      </w:r>
      <w:r w:rsidR="009C710B">
        <w:rPr>
          <w:iCs/>
        </w:rPr>
        <w:t>previously</w:t>
      </w:r>
      <w:r w:rsidR="007648B8">
        <w:rPr>
          <w:iCs/>
        </w:rPr>
        <w:t xml:space="preserve">, </w:t>
      </w:r>
      <w:r w:rsidR="00F661EE">
        <w:rPr>
          <w:szCs w:val="20"/>
        </w:rPr>
        <w:t>t</w:t>
      </w:r>
      <w:r w:rsidR="00F661EE" w:rsidRPr="00F55E1C">
        <w:rPr>
          <w:iCs/>
          <w:szCs w:val="20"/>
        </w:rPr>
        <w:t xml:space="preserve">he evidence presented in </w:t>
      </w:r>
      <w:r w:rsidR="00F661EE" w:rsidRPr="00267462">
        <w:rPr>
          <w:iCs/>
          <w:szCs w:val="20"/>
        </w:rPr>
        <w:t>Study 142 did not provide comparative efficacy data versus placebo</w:t>
      </w:r>
      <w:r w:rsidR="007648B8">
        <w:rPr>
          <w:iCs/>
          <w:szCs w:val="20"/>
        </w:rPr>
        <w:t>,</w:t>
      </w:r>
      <w:r w:rsidR="00F661EE" w:rsidRPr="00267462">
        <w:rPr>
          <w:iCs/>
          <w:szCs w:val="20"/>
        </w:rPr>
        <w:t xml:space="preserve"> given </w:t>
      </w:r>
      <w:r w:rsidR="00F661EE" w:rsidRPr="00267462">
        <w:rPr>
          <w:iCs/>
        </w:rPr>
        <w:t>all patients in the open label extension phase received active treatment, and the number of patients decreased over time, suggesting that those remaining in the study were responders</w:t>
      </w:r>
      <w:r w:rsidR="009C710B">
        <w:rPr>
          <w:iCs/>
        </w:rPr>
        <w:t xml:space="preserve"> (paragraph 6.18, Dysport® PSD, November 2018)</w:t>
      </w:r>
      <w:r w:rsidR="00F661EE" w:rsidRPr="00267462">
        <w:rPr>
          <w:iCs/>
        </w:rPr>
        <w:t>.</w:t>
      </w:r>
    </w:p>
    <w:p w:rsidR="00B60939" w:rsidRPr="006C7919" w:rsidRDefault="00B60939" w:rsidP="006C7919">
      <w:pPr>
        <w:keepLines/>
        <w:spacing w:after="120"/>
        <w:jc w:val="left"/>
        <w:outlineLvl w:val="1"/>
        <w:rPr>
          <w:rFonts w:asciiTheme="minorHAnsi" w:hAnsiTheme="minorHAnsi" w:cs="Times New Roman"/>
          <w:b/>
          <w:i/>
          <w:snapToGrid/>
          <w:sz w:val="28"/>
          <w:szCs w:val="28"/>
          <w:lang w:eastAsia="en-AU"/>
        </w:rPr>
      </w:pPr>
      <w:bookmarkStart w:id="9" w:name="_Toc9247886"/>
      <w:r w:rsidRPr="006C7919">
        <w:rPr>
          <w:rFonts w:asciiTheme="minorHAnsi" w:hAnsiTheme="minorHAnsi" w:cs="Times New Roman"/>
          <w:b/>
          <w:i/>
          <w:snapToGrid/>
          <w:sz w:val="28"/>
          <w:szCs w:val="28"/>
          <w:lang w:eastAsia="en-AU"/>
        </w:rPr>
        <w:t>Comparative harms</w:t>
      </w:r>
      <w:bookmarkEnd w:id="9"/>
    </w:p>
    <w:p w:rsidR="009326A1" w:rsidRPr="00867AC2" w:rsidRDefault="00074D59" w:rsidP="00F064FB">
      <w:pPr>
        <w:pStyle w:val="ListParagraph"/>
        <w:keepNext/>
        <w:widowControl/>
        <w:numPr>
          <w:ilvl w:val="1"/>
          <w:numId w:val="1"/>
        </w:numPr>
        <w:ind w:left="720"/>
      </w:pPr>
      <w:r w:rsidRPr="00867AC2">
        <w:t xml:space="preserve">Table </w:t>
      </w:r>
      <w:r w:rsidRPr="00867AC2">
        <w:rPr>
          <w:noProof/>
        </w:rPr>
        <w:t>5</w:t>
      </w:r>
      <w:r w:rsidR="00D5176B" w:rsidRPr="00867AC2">
        <w:rPr>
          <w:iCs/>
        </w:rPr>
        <w:t xml:space="preserve"> </w:t>
      </w:r>
      <w:r w:rsidR="00282A19" w:rsidRPr="00867AC2">
        <w:rPr>
          <w:iCs/>
        </w:rPr>
        <w:t xml:space="preserve">summarises </w:t>
      </w:r>
      <w:r w:rsidR="009326A1" w:rsidRPr="00867AC2">
        <w:rPr>
          <w:iCs/>
        </w:rPr>
        <w:t>an</w:t>
      </w:r>
      <w:r w:rsidR="00282A19" w:rsidRPr="00867AC2">
        <w:rPr>
          <w:iCs/>
        </w:rPr>
        <w:t xml:space="preserve"> indirect comparison between Dysport® and Botox®</w:t>
      </w:r>
      <w:r w:rsidR="009326A1" w:rsidRPr="00867AC2">
        <w:rPr>
          <w:iCs/>
        </w:rPr>
        <w:t xml:space="preserve"> for </w:t>
      </w:r>
      <w:r w:rsidR="00F064FB">
        <w:rPr>
          <w:iCs/>
        </w:rPr>
        <w:t>safety outcomes after 12 w</w:t>
      </w:r>
      <w:r w:rsidR="009326A1" w:rsidRPr="00867AC2">
        <w:rPr>
          <w:iCs/>
        </w:rPr>
        <w:t xml:space="preserve">eeks of treatment (e.g. a single injection). </w:t>
      </w:r>
      <w:r w:rsidR="009326A1" w:rsidRPr="00867AC2">
        <w:t xml:space="preserve">The table does not </w:t>
      </w:r>
      <w:r w:rsidR="009326A1" w:rsidRPr="00867AC2">
        <w:lastRenderedPageBreak/>
        <w:t xml:space="preserve">include results from REFLEX because the trial publication only reported safety outcomes pooled over the </w:t>
      </w:r>
      <w:r w:rsidR="000054E1">
        <w:t>double blind</w:t>
      </w:r>
      <w:r w:rsidR="009326A1" w:rsidRPr="00867AC2">
        <w:t xml:space="preserve"> and </w:t>
      </w:r>
      <w:r w:rsidR="00CD0101" w:rsidRPr="00867AC2">
        <w:t xml:space="preserve">open label </w:t>
      </w:r>
      <w:r w:rsidR="009326A1" w:rsidRPr="00867AC2">
        <w:t>phases.</w:t>
      </w:r>
    </w:p>
    <w:p w:rsidR="00FD3D25" w:rsidRDefault="00FD3D25" w:rsidP="00FD3D25">
      <w:pPr>
        <w:pStyle w:val="TableHeading0"/>
      </w:pPr>
      <w:r>
        <w:t xml:space="preserve">Table </w:t>
      </w:r>
      <w:r w:rsidR="008C0876">
        <w:fldChar w:fldCharType="begin"/>
      </w:r>
      <w:r w:rsidR="008C0876">
        <w:instrText xml:space="preserve"> SEQ Table \* ARABIC </w:instrText>
      </w:r>
      <w:r w:rsidR="008C0876">
        <w:fldChar w:fldCharType="separate"/>
      </w:r>
      <w:r w:rsidR="00915F21">
        <w:rPr>
          <w:noProof/>
        </w:rPr>
        <w:t>5</w:t>
      </w:r>
      <w:r w:rsidR="008C0876">
        <w:rPr>
          <w:noProof/>
        </w:rPr>
        <w:fldChar w:fldCharType="end"/>
      </w:r>
      <w:r w:rsidRPr="003A5AF4">
        <w:t>: Indirect comparison Dysport® vs. Botox® - Safety outcomes at Week 12</w:t>
      </w:r>
    </w:p>
    <w:tbl>
      <w:tblPr>
        <w:tblStyle w:val="TableGrid"/>
        <w:tblW w:w="5000" w:type="pct"/>
        <w:tblCellMar>
          <w:left w:w="28" w:type="dxa"/>
          <w:right w:w="28" w:type="dxa"/>
        </w:tblCellMar>
        <w:tblLook w:val="04A0" w:firstRow="1" w:lastRow="0" w:firstColumn="1" w:lastColumn="0" w:noHBand="0" w:noVBand="1"/>
        <w:tblCaption w:val="Table 5: Indirect comparison Dysport® vs. Botox® - Safety outcomes at Week 12"/>
      </w:tblPr>
      <w:tblGrid>
        <w:gridCol w:w="2089"/>
        <w:gridCol w:w="1773"/>
        <w:gridCol w:w="1612"/>
        <w:gridCol w:w="1610"/>
        <w:gridCol w:w="1933"/>
      </w:tblGrid>
      <w:tr w:rsidR="00282A19" w:rsidRPr="00EC1749" w:rsidTr="00C01CB8">
        <w:trPr>
          <w:trHeight w:val="145"/>
        </w:trPr>
        <w:tc>
          <w:tcPr>
            <w:tcW w:w="1158" w:type="pct"/>
            <w:vAlign w:val="center"/>
          </w:tcPr>
          <w:p w:rsidR="00282A19" w:rsidRPr="00EC1749" w:rsidRDefault="00282A19" w:rsidP="000054E1">
            <w:pPr>
              <w:pStyle w:val="Tabletext"/>
              <w:keepNext/>
              <w:jc w:val="center"/>
              <w:rPr>
                <w:b/>
              </w:rPr>
            </w:pPr>
          </w:p>
        </w:tc>
        <w:tc>
          <w:tcPr>
            <w:tcW w:w="983" w:type="pct"/>
            <w:vAlign w:val="center"/>
          </w:tcPr>
          <w:p w:rsidR="00282A19" w:rsidRPr="00EC1749" w:rsidRDefault="00D63A87" w:rsidP="000054E1">
            <w:pPr>
              <w:pStyle w:val="Tabletext"/>
              <w:keepNext/>
              <w:jc w:val="center"/>
              <w:rPr>
                <w:b/>
              </w:rPr>
            </w:pPr>
            <w:r>
              <w:rPr>
                <w:b/>
              </w:rPr>
              <w:t>BoNT</w:t>
            </w:r>
            <w:r w:rsidR="00CD0101">
              <w:rPr>
                <w:b/>
              </w:rPr>
              <w:t xml:space="preserve"> (%)</w:t>
            </w:r>
          </w:p>
        </w:tc>
        <w:tc>
          <w:tcPr>
            <w:tcW w:w="894" w:type="pct"/>
            <w:vAlign w:val="center"/>
          </w:tcPr>
          <w:p w:rsidR="00282A19" w:rsidRPr="00EC1749" w:rsidRDefault="00282A19" w:rsidP="000054E1">
            <w:pPr>
              <w:pStyle w:val="Tabletext"/>
              <w:keepNext/>
              <w:jc w:val="center"/>
              <w:rPr>
                <w:b/>
              </w:rPr>
            </w:pPr>
            <w:r w:rsidRPr="00EC1749">
              <w:rPr>
                <w:b/>
              </w:rPr>
              <w:t>Placebo</w:t>
            </w:r>
            <w:r w:rsidR="00CD0101">
              <w:rPr>
                <w:b/>
              </w:rPr>
              <w:t xml:space="preserve"> (%)</w:t>
            </w:r>
          </w:p>
        </w:tc>
        <w:tc>
          <w:tcPr>
            <w:tcW w:w="893" w:type="pct"/>
            <w:vAlign w:val="center"/>
          </w:tcPr>
          <w:p w:rsidR="00282A19" w:rsidRPr="00EC1749" w:rsidRDefault="00282A19" w:rsidP="000054E1">
            <w:pPr>
              <w:pStyle w:val="Tabletext"/>
              <w:keepNext/>
              <w:jc w:val="center"/>
              <w:rPr>
                <w:b/>
              </w:rPr>
            </w:pPr>
            <w:r w:rsidRPr="00EC1749">
              <w:rPr>
                <w:b/>
              </w:rPr>
              <w:t>RR (95% CI)</w:t>
            </w:r>
          </w:p>
        </w:tc>
        <w:tc>
          <w:tcPr>
            <w:tcW w:w="1072" w:type="pct"/>
            <w:vAlign w:val="center"/>
          </w:tcPr>
          <w:p w:rsidR="00282A19" w:rsidRPr="00EC1749" w:rsidRDefault="00282A19" w:rsidP="000054E1">
            <w:pPr>
              <w:pStyle w:val="Tabletext"/>
              <w:keepNext/>
              <w:jc w:val="center"/>
              <w:rPr>
                <w:b/>
              </w:rPr>
            </w:pPr>
            <w:r w:rsidRPr="00EC1749">
              <w:rPr>
                <w:b/>
              </w:rPr>
              <w:t>RD (95% CI)</w:t>
            </w:r>
          </w:p>
        </w:tc>
      </w:tr>
      <w:tr w:rsidR="00282A19" w:rsidRPr="00EC1749" w:rsidTr="00C01CB8">
        <w:trPr>
          <w:trHeight w:val="56"/>
        </w:trPr>
        <w:tc>
          <w:tcPr>
            <w:tcW w:w="3928" w:type="pct"/>
            <w:gridSpan w:val="4"/>
            <w:vAlign w:val="center"/>
          </w:tcPr>
          <w:p w:rsidR="00282A19" w:rsidRPr="00EC1749" w:rsidRDefault="00282A19" w:rsidP="000054E1">
            <w:pPr>
              <w:pStyle w:val="Tabletext"/>
              <w:keepNext/>
              <w:rPr>
                <w:b/>
              </w:rPr>
            </w:pPr>
            <w:r w:rsidRPr="00EC1749">
              <w:rPr>
                <w:b/>
              </w:rPr>
              <w:t>Any AE</w:t>
            </w:r>
          </w:p>
        </w:tc>
        <w:tc>
          <w:tcPr>
            <w:tcW w:w="1072" w:type="pct"/>
            <w:vAlign w:val="center"/>
          </w:tcPr>
          <w:p w:rsidR="00282A19" w:rsidRPr="00EC1749" w:rsidRDefault="00282A19" w:rsidP="000054E1">
            <w:pPr>
              <w:pStyle w:val="Tabletext"/>
              <w:keepNext/>
              <w:jc w:val="center"/>
              <w:rPr>
                <w:b/>
              </w:rPr>
            </w:pPr>
          </w:p>
        </w:tc>
      </w:tr>
      <w:tr w:rsidR="00282A19" w:rsidRPr="00EC1749" w:rsidTr="00C01CB8">
        <w:trPr>
          <w:trHeight w:val="56"/>
        </w:trPr>
        <w:tc>
          <w:tcPr>
            <w:tcW w:w="1158" w:type="pct"/>
            <w:vAlign w:val="center"/>
            <w:hideMark/>
          </w:tcPr>
          <w:p w:rsidR="00282A19" w:rsidRPr="00EC1749" w:rsidRDefault="00282A19" w:rsidP="001A35D3">
            <w:pPr>
              <w:pStyle w:val="Tabletext"/>
              <w:keepNext/>
            </w:pPr>
            <w:r w:rsidRPr="00EC1749">
              <w:t xml:space="preserve">Study 140, </w:t>
            </w:r>
            <w:r w:rsidR="00057611">
              <w:t>Dysport</w:t>
            </w:r>
            <w:r w:rsidR="001A35D3" w:rsidRPr="00FA6E19">
              <w:rPr>
                <w:vertAlign w:val="superscript"/>
              </w:rPr>
              <w:t>®</w:t>
            </w:r>
            <w:r w:rsidR="001A35D3">
              <w:rPr>
                <w:vertAlign w:val="superscript"/>
              </w:rPr>
              <w:t xml:space="preserve"> </w:t>
            </w:r>
            <w:r w:rsidRPr="00EC1749">
              <w:t>1500U</w:t>
            </w:r>
          </w:p>
        </w:tc>
        <w:tc>
          <w:tcPr>
            <w:tcW w:w="983" w:type="pct"/>
            <w:vAlign w:val="center"/>
          </w:tcPr>
          <w:p w:rsidR="00282A19" w:rsidRPr="00EC1749" w:rsidRDefault="00282A19" w:rsidP="000054E1">
            <w:pPr>
              <w:pStyle w:val="Tabletext"/>
              <w:keepNext/>
              <w:jc w:val="center"/>
            </w:pPr>
            <w:r w:rsidRPr="002316A0">
              <w:t>52</w:t>
            </w:r>
            <w:r w:rsidRPr="00EC1749">
              <w:t>/</w:t>
            </w:r>
            <w:r w:rsidRPr="002316A0">
              <w:t xml:space="preserve">128 </w:t>
            </w:r>
            <w:r w:rsidRPr="00EC1749">
              <w:t>(40.6</w:t>
            </w:r>
            <w:r w:rsidR="00F064FB">
              <w:t>%</w:t>
            </w:r>
            <w:r w:rsidRPr="00EC1749">
              <w:t>)</w:t>
            </w:r>
          </w:p>
        </w:tc>
        <w:tc>
          <w:tcPr>
            <w:tcW w:w="894" w:type="pct"/>
            <w:vAlign w:val="center"/>
          </w:tcPr>
          <w:p w:rsidR="00282A19" w:rsidRPr="00EC1749" w:rsidRDefault="00282A19" w:rsidP="000054E1">
            <w:pPr>
              <w:pStyle w:val="Tabletext"/>
              <w:keepNext/>
              <w:jc w:val="center"/>
            </w:pPr>
            <w:r w:rsidRPr="002316A0">
              <w:t>41</w:t>
            </w:r>
            <w:r w:rsidRPr="00EC1749">
              <w:t>/</w:t>
            </w:r>
            <w:r w:rsidRPr="002316A0">
              <w:t xml:space="preserve">130 </w:t>
            </w:r>
            <w:r w:rsidRPr="00EC1749">
              <w:t>(31.5</w:t>
            </w:r>
            <w:r w:rsidR="00F064FB">
              <w:t>%</w:t>
            </w:r>
            <w:r w:rsidRPr="00EC1749">
              <w:t>)</w:t>
            </w:r>
          </w:p>
        </w:tc>
        <w:tc>
          <w:tcPr>
            <w:tcW w:w="893" w:type="pct"/>
            <w:vAlign w:val="center"/>
          </w:tcPr>
          <w:p w:rsidR="00282A19" w:rsidRPr="002207D4" w:rsidRDefault="00282A19" w:rsidP="000054E1">
            <w:pPr>
              <w:pStyle w:val="Tabletext"/>
              <w:keepNext/>
              <w:jc w:val="center"/>
            </w:pPr>
            <w:r w:rsidRPr="002207D4">
              <w:t>1.29 (0.93, 1.79)</w:t>
            </w:r>
          </w:p>
        </w:tc>
        <w:tc>
          <w:tcPr>
            <w:tcW w:w="1072" w:type="pct"/>
            <w:vAlign w:val="center"/>
          </w:tcPr>
          <w:p w:rsidR="00282A19" w:rsidRPr="002207D4" w:rsidRDefault="00282A19" w:rsidP="000054E1">
            <w:pPr>
              <w:pStyle w:val="Tabletext"/>
              <w:keepNext/>
              <w:jc w:val="center"/>
            </w:pPr>
            <w:r w:rsidRPr="002207D4">
              <w:t>0.09 (-0.03, 0.21)</w:t>
            </w:r>
          </w:p>
        </w:tc>
      </w:tr>
      <w:tr w:rsidR="00282A19" w:rsidRPr="00EC1749" w:rsidTr="00C01CB8">
        <w:trPr>
          <w:trHeight w:val="56"/>
        </w:trPr>
        <w:tc>
          <w:tcPr>
            <w:tcW w:w="1158" w:type="pct"/>
            <w:vAlign w:val="center"/>
          </w:tcPr>
          <w:p w:rsidR="00282A19" w:rsidRPr="00EC1749" w:rsidRDefault="00282A19" w:rsidP="001A35D3">
            <w:pPr>
              <w:pStyle w:val="Tabletext"/>
              <w:keepNext/>
            </w:pPr>
            <w:r w:rsidRPr="00EC1749">
              <w:t xml:space="preserve">Trial 512, </w:t>
            </w:r>
            <w:r w:rsidR="00057611">
              <w:t>Botox</w:t>
            </w:r>
            <w:r w:rsidR="001A35D3" w:rsidRPr="00FA6E19">
              <w:rPr>
                <w:vertAlign w:val="superscript"/>
              </w:rPr>
              <w:t>®</w:t>
            </w:r>
            <w:r w:rsidR="001A35D3">
              <w:rPr>
                <w:vertAlign w:val="superscript"/>
              </w:rPr>
              <w:t xml:space="preserve"> </w:t>
            </w:r>
            <w:r w:rsidRPr="00EC1749">
              <w:t>300U</w:t>
            </w:r>
          </w:p>
        </w:tc>
        <w:tc>
          <w:tcPr>
            <w:tcW w:w="983" w:type="pct"/>
            <w:vAlign w:val="center"/>
          </w:tcPr>
          <w:p w:rsidR="00282A19" w:rsidRPr="00EC1749" w:rsidRDefault="00282A19" w:rsidP="000054E1">
            <w:pPr>
              <w:pStyle w:val="Tabletext"/>
              <w:keepNext/>
              <w:jc w:val="center"/>
            </w:pPr>
            <w:r w:rsidRPr="002316A0">
              <w:t>2</w:t>
            </w:r>
            <w:r w:rsidR="00F064FB" w:rsidRPr="002316A0">
              <w:t>6</w:t>
            </w:r>
            <w:r w:rsidR="00F064FB">
              <w:t>/</w:t>
            </w:r>
            <w:r w:rsidR="00F064FB" w:rsidRPr="002316A0">
              <w:t xml:space="preserve">58 </w:t>
            </w:r>
            <w:r w:rsidR="00F064FB">
              <w:t>(44.8%</w:t>
            </w:r>
            <w:r w:rsidRPr="00EC1749">
              <w:t>)</w:t>
            </w:r>
          </w:p>
        </w:tc>
        <w:tc>
          <w:tcPr>
            <w:tcW w:w="894" w:type="pct"/>
            <w:vAlign w:val="center"/>
          </w:tcPr>
          <w:p w:rsidR="00282A19" w:rsidRPr="00EC1749" w:rsidRDefault="00F064FB" w:rsidP="000054E1">
            <w:pPr>
              <w:pStyle w:val="Tabletext"/>
              <w:keepNext/>
              <w:jc w:val="center"/>
            </w:pPr>
            <w:r w:rsidRPr="002316A0">
              <w:t>27</w:t>
            </w:r>
            <w:r>
              <w:t>/</w:t>
            </w:r>
            <w:r w:rsidRPr="002316A0">
              <w:t xml:space="preserve">62 </w:t>
            </w:r>
            <w:r>
              <w:t>(43.5%</w:t>
            </w:r>
            <w:r w:rsidR="00282A19" w:rsidRPr="00EC1749">
              <w:t>)</w:t>
            </w:r>
          </w:p>
        </w:tc>
        <w:tc>
          <w:tcPr>
            <w:tcW w:w="893" w:type="pct"/>
            <w:vAlign w:val="center"/>
          </w:tcPr>
          <w:p w:rsidR="00282A19" w:rsidRPr="002207D4" w:rsidRDefault="00282A19" w:rsidP="000054E1">
            <w:pPr>
              <w:pStyle w:val="Tabletext"/>
              <w:keepNext/>
              <w:jc w:val="center"/>
            </w:pPr>
            <w:r w:rsidRPr="002207D4">
              <w:t>1.03 (0.69, 1.54)</w:t>
            </w:r>
          </w:p>
        </w:tc>
        <w:tc>
          <w:tcPr>
            <w:tcW w:w="1072" w:type="pct"/>
            <w:vAlign w:val="center"/>
          </w:tcPr>
          <w:p w:rsidR="00282A19" w:rsidRPr="002207D4" w:rsidRDefault="00282A19" w:rsidP="000054E1">
            <w:pPr>
              <w:pStyle w:val="Tabletext"/>
              <w:keepNext/>
              <w:jc w:val="center"/>
            </w:pPr>
            <w:r w:rsidRPr="002207D4">
              <w:t>0.01 (-0.17, 0.19)</w:t>
            </w:r>
          </w:p>
        </w:tc>
      </w:tr>
      <w:tr w:rsidR="00282A19" w:rsidRPr="00EC1749" w:rsidTr="00C01CB8">
        <w:trPr>
          <w:trHeight w:val="56"/>
        </w:trPr>
        <w:tc>
          <w:tcPr>
            <w:tcW w:w="3035" w:type="pct"/>
            <w:gridSpan w:val="3"/>
            <w:vAlign w:val="center"/>
          </w:tcPr>
          <w:p w:rsidR="00282A19" w:rsidRPr="003642BB" w:rsidRDefault="00282A19" w:rsidP="001A35D3">
            <w:pPr>
              <w:pStyle w:val="Tabletext"/>
              <w:keepNext/>
              <w:jc w:val="right"/>
              <w:rPr>
                <w:lang w:val="fr-FR"/>
              </w:rPr>
            </w:pPr>
            <w:r w:rsidRPr="003642BB">
              <w:rPr>
                <w:lang w:val="fr-FR"/>
              </w:rPr>
              <w:t xml:space="preserve">Indirect comparison </w:t>
            </w:r>
            <w:r w:rsidR="00057611">
              <w:rPr>
                <w:lang w:val="fr-FR"/>
              </w:rPr>
              <w:t>Dysport</w:t>
            </w:r>
            <w:r w:rsidR="001A35D3" w:rsidRPr="00FA6E19">
              <w:rPr>
                <w:vertAlign w:val="superscript"/>
              </w:rPr>
              <w:t>®</w:t>
            </w:r>
            <w:r w:rsidR="001A35D3">
              <w:rPr>
                <w:vertAlign w:val="superscript"/>
              </w:rPr>
              <w:t xml:space="preserve"> </w:t>
            </w:r>
            <w:r w:rsidRPr="003642BB">
              <w:rPr>
                <w:lang w:val="fr-FR"/>
              </w:rPr>
              <w:t>vs. Botox</w:t>
            </w:r>
            <w:r w:rsidR="001A35D3" w:rsidRPr="00FA6E19">
              <w:rPr>
                <w:vertAlign w:val="superscript"/>
              </w:rPr>
              <w:t>®</w:t>
            </w:r>
          </w:p>
        </w:tc>
        <w:tc>
          <w:tcPr>
            <w:tcW w:w="893" w:type="pct"/>
            <w:vAlign w:val="center"/>
          </w:tcPr>
          <w:p w:rsidR="00282A19" w:rsidRPr="002207D4" w:rsidRDefault="00282A19" w:rsidP="000054E1">
            <w:pPr>
              <w:pStyle w:val="Tabletext"/>
              <w:keepNext/>
              <w:jc w:val="center"/>
            </w:pPr>
            <w:r w:rsidRPr="002207D4">
              <w:t>1.25 (0.75, 2.10)</w:t>
            </w:r>
          </w:p>
        </w:tc>
        <w:tc>
          <w:tcPr>
            <w:tcW w:w="1072" w:type="pct"/>
            <w:vAlign w:val="center"/>
          </w:tcPr>
          <w:p w:rsidR="00282A19" w:rsidRPr="002207D4" w:rsidRDefault="00282A19" w:rsidP="000054E1">
            <w:pPr>
              <w:pStyle w:val="Tabletext"/>
              <w:keepNext/>
              <w:jc w:val="center"/>
            </w:pPr>
            <w:r w:rsidRPr="002207D4">
              <w:t>0.08 (-0.04, 0.2</w:t>
            </w:r>
            <w:r w:rsidR="00F064FB">
              <w:t>0</w:t>
            </w:r>
            <w:r w:rsidRPr="002207D4">
              <w:t>)</w:t>
            </w:r>
          </w:p>
        </w:tc>
      </w:tr>
      <w:tr w:rsidR="00282A19" w:rsidRPr="00EC1749" w:rsidTr="00C01CB8">
        <w:trPr>
          <w:trHeight w:val="56"/>
        </w:trPr>
        <w:tc>
          <w:tcPr>
            <w:tcW w:w="5000" w:type="pct"/>
            <w:gridSpan w:val="5"/>
            <w:vAlign w:val="center"/>
          </w:tcPr>
          <w:p w:rsidR="00282A19" w:rsidRPr="002207D4" w:rsidRDefault="00282A19" w:rsidP="000054E1">
            <w:pPr>
              <w:pStyle w:val="Tabletext"/>
              <w:keepNext/>
              <w:rPr>
                <w:b/>
              </w:rPr>
            </w:pPr>
            <w:r w:rsidRPr="002207D4">
              <w:rPr>
                <w:b/>
              </w:rPr>
              <w:t>TEAE</w:t>
            </w:r>
          </w:p>
        </w:tc>
      </w:tr>
      <w:tr w:rsidR="00282A19" w:rsidRPr="00EC1749" w:rsidTr="00C01CB8">
        <w:trPr>
          <w:trHeight w:val="56"/>
        </w:trPr>
        <w:tc>
          <w:tcPr>
            <w:tcW w:w="1158" w:type="pct"/>
            <w:vAlign w:val="center"/>
          </w:tcPr>
          <w:p w:rsidR="00282A19" w:rsidRPr="00EC1749" w:rsidRDefault="00282A19" w:rsidP="001A35D3">
            <w:pPr>
              <w:pStyle w:val="Tabletext"/>
              <w:keepNext/>
            </w:pPr>
            <w:r w:rsidRPr="00EC1749">
              <w:t xml:space="preserve">Study 140, </w:t>
            </w:r>
            <w:r w:rsidR="00057611">
              <w:t>Dysport</w:t>
            </w:r>
            <w:r w:rsidR="001A35D3" w:rsidRPr="00FA6E19">
              <w:rPr>
                <w:vertAlign w:val="superscript"/>
              </w:rPr>
              <w:t>®</w:t>
            </w:r>
            <w:r w:rsidR="001A35D3">
              <w:rPr>
                <w:vertAlign w:val="superscript"/>
              </w:rPr>
              <w:t xml:space="preserve"> </w:t>
            </w:r>
            <w:r w:rsidRPr="00EC1749">
              <w:t>1500U</w:t>
            </w:r>
          </w:p>
        </w:tc>
        <w:tc>
          <w:tcPr>
            <w:tcW w:w="983" w:type="pct"/>
            <w:vAlign w:val="center"/>
          </w:tcPr>
          <w:p w:rsidR="00282A19" w:rsidRPr="00EC1749" w:rsidRDefault="00282A19" w:rsidP="000054E1">
            <w:pPr>
              <w:pStyle w:val="Tabletext"/>
              <w:keepNext/>
              <w:jc w:val="center"/>
            </w:pPr>
            <w:r w:rsidRPr="002316A0">
              <w:t>16</w:t>
            </w:r>
            <w:r w:rsidRPr="00EC1749">
              <w:t>/</w:t>
            </w:r>
            <w:r w:rsidRPr="002316A0">
              <w:t xml:space="preserve">128 </w:t>
            </w:r>
            <w:r w:rsidRPr="00EC1749">
              <w:t>(12.5</w:t>
            </w:r>
            <w:r w:rsidR="00F064FB">
              <w:t>%</w:t>
            </w:r>
            <w:r w:rsidRPr="00EC1749">
              <w:t>)</w:t>
            </w:r>
          </w:p>
        </w:tc>
        <w:tc>
          <w:tcPr>
            <w:tcW w:w="894" w:type="pct"/>
            <w:vAlign w:val="center"/>
          </w:tcPr>
          <w:p w:rsidR="00282A19" w:rsidRPr="00EC1749" w:rsidRDefault="00282A19" w:rsidP="000054E1">
            <w:pPr>
              <w:pStyle w:val="Tabletext"/>
              <w:keepNext/>
              <w:jc w:val="center"/>
            </w:pPr>
            <w:r w:rsidRPr="002316A0">
              <w:t>8</w:t>
            </w:r>
            <w:r w:rsidRPr="00EC1749">
              <w:t>/</w:t>
            </w:r>
            <w:r w:rsidRPr="002316A0">
              <w:t xml:space="preserve">130 </w:t>
            </w:r>
            <w:r w:rsidRPr="00EC1749">
              <w:t>(6.2</w:t>
            </w:r>
            <w:r w:rsidR="00F064FB">
              <w:t>%</w:t>
            </w:r>
            <w:r w:rsidRPr="00EC1749">
              <w:t>)</w:t>
            </w:r>
          </w:p>
        </w:tc>
        <w:tc>
          <w:tcPr>
            <w:tcW w:w="893" w:type="pct"/>
            <w:vAlign w:val="center"/>
          </w:tcPr>
          <w:p w:rsidR="00282A19" w:rsidRPr="002207D4" w:rsidRDefault="00282A19" w:rsidP="000054E1">
            <w:pPr>
              <w:pStyle w:val="Tabletext"/>
              <w:keepNext/>
              <w:jc w:val="center"/>
            </w:pPr>
            <w:r w:rsidRPr="002207D4">
              <w:t>2.03 (0.90, 4.58)</w:t>
            </w:r>
          </w:p>
        </w:tc>
        <w:tc>
          <w:tcPr>
            <w:tcW w:w="1072" w:type="pct"/>
            <w:vAlign w:val="center"/>
          </w:tcPr>
          <w:p w:rsidR="00282A19" w:rsidRPr="002207D4" w:rsidRDefault="00282A19" w:rsidP="000054E1">
            <w:pPr>
              <w:pStyle w:val="Tabletext"/>
              <w:keepNext/>
              <w:jc w:val="center"/>
            </w:pPr>
            <w:r w:rsidRPr="002207D4">
              <w:t>0.06 (-0.01, 0.13)</w:t>
            </w:r>
          </w:p>
        </w:tc>
      </w:tr>
      <w:tr w:rsidR="00282A19" w:rsidRPr="00EC1749" w:rsidTr="00C01CB8">
        <w:trPr>
          <w:trHeight w:val="217"/>
        </w:trPr>
        <w:tc>
          <w:tcPr>
            <w:tcW w:w="1158" w:type="pct"/>
            <w:vAlign w:val="center"/>
          </w:tcPr>
          <w:p w:rsidR="00282A19" w:rsidRPr="00EC1749" w:rsidRDefault="00282A19" w:rsidP="001A35D3">
            <w:pPr>
              <w:pStyle w:val="Tabletext"/>
              <w:keepNext/>
            </w:pPr>
            <w:r w:rsidRPr="00EC1749">
              <w:t xml:space="preserve">Trial 512, </w:t>
            </w:r>
            <w:r w:rsidR="00057611">
              <w:t>Botox</w:t>
            </w:r>
            <w:r w:rsidR="001A35D3" w:rsidRPr="00FA6E19">
              <w:rPr>
                <w:vertAlign w:val="superscript"/>
              </w:rPr>
              <w:t>®</w:t>
            </w:r>
            <w:r w:rsidR="001A35D3">
              <w:rPr>
                <w:vertAlign w:val="superscript"/>
              </w:rPr>
              <w:t xml:space="preserve"> </w:t>
            </w:r>
            <w:r w:rsidRPr="00EC1749">
              <w:t>300U</w:t>
            </w:r>
          </w:p>
        </w:tc>
        <w:tc>
          <w:tcPr>
            <w:tcW w:w="983" w:type="pct"/>
            <w:vAlign w:val="center"/>
          </w:tcPr>
          <w:p w:rsidR="00282A19" w:rsidRPr="00EC1749" w:rsidRDefault="00282A19" w:rsidP="000054E1">
            <w:pPr>
              <w:pStyle w:val="Tabletext"/>
              <w:keepNext/>
              <w:jc w:val="center"/>
            </w:pPr>
            <w:r w:rsidRPr="002316A0">
              <w:t>7</w:t>
            </w:r>
            <w:r w:rsidRPr="00EC1749">
              <w:t>/</w:t>
            </w:r>
            <w:r w:rsidRPr="002316A0">
              <w:t xml:space="preserve">58 </w:t>
            </w:r>
            <w:r w:rsidRPr="00EC1749">
              <w:t>(12</w:t>
            </w:r>
            <w:r w:rsidR="00F064FB">
              <w:t>.1%</w:t>
            </w:r>
            <w:r w:rsidRPr="00EC1749">
              <w:t>)</w:t>
            </w:r>
          </w:p>
        </w:tc>
        <w:tc>
          <w:tcPr>
            <w:tcW w:w="894" w:type="pct"/>
            <w:vAlign w:val="center"/>
          </w:tcPr>
          <w:p w:rsidR="00282A19" w:rsidRPr="00EC1749" w:rsidRDefault="00282A19" w:rsidP="000054E1">
            <w:pPr>
              <w:pStyle w:val="Tabletext"/>
              <w:keepNext/>
              <w:jc w:val="center"/>
            </w:pPr>
            <w:r w:rsidRPr="002316A0">
              <w:t>7</w:t>
            </w:r>
            <w:r w:rsidRPr="00EC1749">
              <w:t>/</w:t>
            </w:r>
            <w:r w:rsidRPr="002316A0">
              <w:t xml:space="preserve">62 </w:t>
            </w:r>
            <w:r w:rsidRPr="00EC1749">
              <w:t>(11</w:t>
            </w:r>
            <w:r w:rsidR="00F064FB">
              <w:t>.3%</w:t>
            </w:r>
            <w:r w:rsidRPr="00EC1749">
              <w:t>)</w:t>
            </w:r>
          </w:p>
        </w:tc>
        <w:tc>
          <w:tcPr>
            <w:tcW w:w="893" w:type="pct"/>
            <w:vAlign w:val="center"/>
          </w:tcPr>
          <w:p w:rsidR="00282A19" w:rsidRPr="002207D4" w:rsidRDefault="00282A19" w:rsidP="000054E1">
            <w:pPr>
              <w:pStyle w:val="Tabletext"/>
              <w:keepNext/>
              <w:jc w:val="center"/>
            </w:pPr>
            <w:r w:rsidRPr="002207D4">
              <w:t>1.07 (0.40, 2.86)</w:t>
            </w:r>
          </w:p>
        </w:tc>
        <w:tc>
          <w:tcPr>
            <w:tcW w:w="1072" w:type="pct"/>
            <w:vAlign w:val="center"/>
          </w:tcPr>
          <w:p w:rsidR="00282A19" w:rsidRPr="002207D4" w:rsidRDefault="00282A19" w:rsidP="000054E1">
            <w:pPr>
              <w:pStyle w:val="Tabletext"/>
              <w:keepNext/>
              <w:jc w:val="center"/>
            </w:pPr>
            <w:r w:rsidRPr="002207D4">
              <w:t>0.01 (-0.11, 0.12)</w:t>
            </w:r>
          </w:p>
        </w:tc>
      </w:tr>
      <w:tr w:rsidR="00282A19" w:rsidRPr="00EC1749" w:rsidTr="00C01CB8">
        <w:trPr>
          <w:trHeight w:val="169"/>
        </w:trPr>
        <w:tc>
          <w:tcPr>
            <w:tcW w:w="3035" w:type="pct"/>
            <w:gridSpan w:val="3"/>
            <w:vAlign w:val="center"/>
          </w:tcPr>
          <w:p w:rsidR="00282A19" w:rsidRPr="003642BB" w:rsidRDefault="00282A19" w:rsidP="001A35D3">
            <w:pPr>
              <w:pStyle w:val="Tabletext"/>
              <w:keepNext/>
              <w:jc w:val="right"/>
              <w:rPr>
                <w:lang w:val="fr-FR"/>
              </w:rPr>
            </w:pPr>
            <w:r w:rsidRPr="003642BB">
              <w:rPr>
                <w:lang w:val="fr-FR"/>
              </w:rPr>
              <w:t xml:space="preserve">Indirect comparison </w:t>
            </w:r>
            <w:r w:rsidR="00057611">
              <w:rPr>
                <w:lang w:val="fr-FR"/>
              </w:rPr>
              <w:t>Dysport</w:t>
            </w:r>
            <w:r w:rsidR="001A35D3" w:rsidRPr="00FA6E19">
              <w:rPr>
                <w:vertAlign w:val="superscript"/>
              </w:rPr>
              <w:t>®</w:t>
            </w:r>
            <w:r w:rsidR="001A35D3">
              <w:rPr>
                <w:vertAlign w:val="superscript"/>
              </w:rPr>
              <w:t xml:space="preserve"> </w:t>
            </w:r>
            <w:r w:rsidRPr="003642BB">
              <w:rPr>
                <w:lang w:val="fr-FR"/>
              </w:rPr>
              <w:t>vs. Botox</w:t>
            </w:r>
            <w:r w:rsidR="001A35D3" w:rsidRPr="00FA6E19">
              <w:rPr>
                <w:vertAlign w:val="superscript"/>
              </w:rPr>
              <w:t>®</w:t>
            </w:r>
          </w:p>
        </w:tc>
        <w:tc>
          <w:tcPr>
            <w:tcW w:w="893" w:type="pct"/>
            <w:vAlign w:val="center"/>
          </w:tcPr>
          <w:p w:rsidR="00282A19" w:rsidRPr="002207D4" w:rsidRDefault="00282A19" w:rsidP="000054E1">
            <w:pPr>
              <w:pStyle w:val="Tabletext"/>
              <w:keepNext/>
              <w:jc w:val="center"/>
            </w:pPr>
            <w:r w:rsidRPr="002207D4">
              <w:t>1.90 (0.53, 6.80)</w:t>
            </w:r>
          </w:p>
        </w:tc>
        <w:tc>
          <w:tcPr>
            <w:tcW w:w="1072" w:type="pct"/>
            <w:vAlign w:val="center"/>
          </w:tcPr>
          <w:p w:rsidR="00282A19" w:rsidRPr="002207D4" w:rsidRDefault="00282A19" w:rsidP="000054E1">
            <w:pPr>
              <w:pStyle w:val="Tabletext"/>
              <w:keepNext/>
              <w:jc w:val="center"/>
            </w:pPr>
            <w:r w:rsidRPr="002207D4">
              <w:t>0.05 (-0.02, 0.12)</w:t>
            </w:r>
          </w:p>
        </w:tc>
      </w:tr>
      <w:tr w:rsidR="00282A19" w:rsidRPr="00EC1749" w:rsidTr="00C01CB8">
        <w:trPr>
          <w:trHeight w:val="109"/>
        </w:trPr>
        <w:tc>
          <w:tcPr>
            <w:tcW w:w="3928" w:type="pct"/>
            <w:gridSpan w:val="4"/>
            <w:vAlign w:val="center"/>
          </w:tcPr>
          <w:p w:rsidR="00282A19" w:rsidRPr="002207D4" w:rsidRDefault="00282A19" w:rsidP="000054E1">
            <w:pPr>
              <w:pStyle w:val="Tabletext"/>
              <w:keepNext/>
              <w:rPr>
                <w:b/>
              </w:rPr>
            </w:pPr>
            <w:r w:rsidRPr="002207D4">
              <w:rPr>
                <w:b/>
              </w:rPr>
              <w:t>SAE</w:t>
            </w:r>
          </w:p>
        </w:tc>
        <w:tc>
          <w:tcPr>
            <w:tcW w:w="1072" w:type="pct"/>
            <w:vAlign w:val="center"/>
          </w:tcPr>
          <w:p w:rsidR="00282A19" w:rsidRPr="002207D4" w:rsidRDefault="00282A19" w:rsidP="000054E1">
            <w:pPr>
              <w:pStyle w:val="Tabletext"/>
              <w:keepNext/>
              <w:jc w:val="center"/>
              <w:rPr>
                <w:b/>
              </w:rPr>
            </w:pPr>
          </w:p>
        </w:tc>
      </w:tr>
      <w:tr w:rsidR="00282A19" w:rsidRPr="00EC1749" w:rsidTr="00C01CB8">
        <w:trPr>
          <w:trHeight w:val="56"/>
        </w:trPr>
        <w:tc>
          <w:tcPr>
            <w:tcW w:w="1158" w:type="pct"/>
            <w:vAlign w:val="center"/>
          </w:tcPr>
          <w:p w:rsidR="00282A19" w:rsidRPr="00EC1749" w:rsidRDefault="00282A19" w:rsidP="001A35D3">
            <w:pPr>
              <w:pStyle w:val="Tabletext"/>
              <w:keepNext/>
              <w:rPr>
                <w:rFonts w:eastAsiaTheme="majorEastAsia"/>
              </w:rPr>
            </w:pPr>
            <w:r w:rsidRPr="00EC1749">
              <w:t xml:space="preserve">Study 140, </w:t>
            </w:r>
            <w:r w:rsidR="00057611">
              <w:t>Dysport</w:t>
            </w:r>
            <w:r w:rsidR="001A35D3" w:rsidRPr="00FA6E19">
              <w:rPr>
                <w:vertAlign w:val="superscript"/>
              </w:rPr>
              <w:t>®</w:t>
            </w:r>
            <w:r w:rsidR="001A35D3">
              <w:rPr>
                <w:vertAlign w:val="superscript"/>
              </w:rPr>
              <w:t xml:space="preserve"> </w:t>
            </w:r>
            <w:r w:rsidRPr="00EC1749">
              <w:t>1500U</w:t>
            </w:r>
          </w:p>
        </w:tc>
        <w:tc>
          <w:tcPr>
            <w:tcW w:w="983" w:type="pct"/>
            <w:vAlign w:val="center"/>
          </w:tcPr>
          <w:p w:rsidR="00282A19" w:rsidRPr="00EC1749" w:rsidRDefault="00282A19" w:rsidP="000054E1">
            <w:pPr>
              <w:pStyle w:val="Tabletext"/>
              <w:keepNext/>
              <w:jc w:val="center"/>
              <w:rPr>
                <w:rFonts w:eastAsiaTheme="majorEastAsia"/>
              </w:rPr>
            </w:pPr>
            <w:r w:rsidRPr="002316A0">
              <w:t>5</w:t>
            </w:r>
            <w:r w:rsidRPr="00EC1749">
              <w:t>/</w:t>
            </w:r>
            <w:r w:rsidRPr="002316A0">
              <w:t xml:space="preserve">128 </w:t>
            </w:r>
            <w:r w:rsidRPr="00EC1749">
              <w:t>(3.9</w:t>
            </w:r>
            <w:r w:rsidR="00F064FB">
              <w:t>%</w:t>
            </w:r>
            <w:r w:rsidRPr="00EC1749">
              <w:t>)</w:t>
            </w:r>
          </w:p>
        </w:tc>
        <w:tc>
          <w:tcPr>
            <w:tcW w:w="894" w:type="pct"/>
            <w:vAlign w:val="center"/>
          </w:tcPr>
          <w:p w:rsidR="00282A19" w:rsidRPr="00EC1749" w:rsidRDefault="00282A19" w:rsidP="000054E1">
            <w:pPr>
              <w:pStyle w:val="Tabletext"/>
              <w:keepNext/>
              <w:jc w:val="center"/>
              <w:rPr>
                <w:rFonts w:eastAsiaTheme="majorEastAsia"/>
              </w:rPr>
            </w:pPr>
            <w:r w:rsidRPr="002316A0">
              <w:t>7</w:t>
            </w:r>
            <w:r w:rsidRPr="00EC1749">
              <w:t>/</w:t>
            </w:r>
            <w:r w:rsidRPr="002316A0">
              <w:t xml:space="preserve">130 </w:t>
            </w:r>
            <w:r w:rsidRPr="00EC1749">
              <w:t>(5.4</w:t>
            </w:r>
            <w:r w:rsidR="00F064FB">
              <w:t>%</w:t>
            </w:r>
            <w:r w:rsidRPr="00EC1749">
              <w:t>)</w:t>
            </w:r>
          </w:p>
        </w:tc>
        <w:tc>
          <w:tcPr>
            <w:tcW w:w="893" w:type="pct"/>
            <w:vAlign w:val="center"/>
          </w:tcPr>
          <w:p w:rsidR="00282A19" w:rsidRPr="002207D4" w:rsidRDefault="00282A19" w:rsidP="000054E1">
            <w:pPr>
              <w:pStyle w:val="Tabletext"/>
              <w:keepNext/>
              <w:jc w:val="center"/>
              <w:rPr>
                <w:rFonts w:eastAsiaTheme="majorEastAsia"/>
              </w:rPr>
            </w:pPr>
            <w:r w:rsidRPr="002207D4">
              <w:rPr>
                <w:rFonts w:eastAsiaTheme="majorEastAsia"/>
              </w:rPr>
              <w:t>0.73 (0.24, 2.23)</w:t>
            </w:r>
          </w:p>
        </w:tc>
        <w:tc>
          <w:tcPr>
            <w:tcW w:w="1072" w:type="pct"/>
            <w:vAlign w:val="center"/>
          </w:tcPr>
          <w:p w:rsidR="00282A19" w:rsidRPr="002207D4" w:rsidRDefault="00282A19" w:rsidP="000054E1">
            <w:pPr>
              <w:pStyle w:val="Tabletext"/>
              <w:keepNext/>
              <w:jc w:val="center"/>
            </w:pPr>
            <w:r w:rsidRPr="002207D4">
              <w:t>-0.01 (-0.07, 0.04)</w:t>
            </w:r>
          </w:p>
        </w:tc>
      </w:tr>
      <w:tr w:rsidR="00282A19" w:rsidRPr="00EC1749" w:rsidTr="00C01CB8">
        <w:trPr>
          <w:trHeight w:val="201"/>
        </w:trPr>
        <w:tc>
          <w:tcPr>
            <w:tcW w:w="1158" w:type="pct"/>
            <w:vAlign w:val="center"/>
          </w:tcPr>
          <w:p w:rsidR="00282A19" w:rsidRPr="00EC1749" w:rsidRDefault="00282A19" w:rsidP="001A35D3">
            <w:pPr>
              <w:pStyle w:val="Tabletext"/>
              <w:keepNext/>
              <w:rPr>
                <w:rFonts w:eastAsiaTheme="majorEastAsia"/>
              </w:rPr>
            </w:pPr>
            <w:r w:rsidRPr="00EC1749">
              <w:t xml:space="preserve">Trial 512, </w:t>
            </w:r>
            <w:r w:rsidR="00057611">
              <w:t>Botox</w:t>
            </w:r>
            <w:r w:rsidR="001A35D3" w:rsidRPr="00FA6E19">
              <w:rPr>
                <w:vertAlign w:val="superscript"/>
              </w:rPr>
              <w:t>®</w:t>
            </w:r>
            <w:r w:rsidR="001A35D3">
              <w:rPr>
                <w:vertAlign w:val="superscript"/>
              </w:rPr>
              <w:t xml:space="preserve"> </w:t>
            </w:r>
            <w:r w:rsidRPr="00EC1749">
              <w:t>300U</w:t>
            </w:r>
          </w:p>
        </w:tc>
        <w:tc>
          <w:tcPr>
            <w:tcW w:w="983" w:type="pct"/>
            <w:vAlign w:val="center"/>
          </w:tcPr>
          <w:p w:rsidR="00282A19" w:rsidRPr="00EC1749" w:rsidRDefault="00282A19" w:rsidP="000054E1">
            <w:pPr>
              <w:pStyle w:val="Tabletext"/>
              <w:keepNext/>
              <w:jc w:val="center"/>
              <w:rPr>
                <w:rFonts w:eastAsiaTheme="majorEastAsia"/>
                <w:b/>
                <w:i/>
              </w:rPr>
            </w:pPr>
            <w:r w:rsidRPr="002316A0">
              <w:rPr>
                <w:rStyle w:val="Emphasis"/>
                <w:b w:val="0"/>
                <w:i w:val="0"/>
              </w:rPr>
              <w:t>5</w:t>
            </w:r>
            <w:r w:rsidRPr="00EC1749">
              <w:rPr>
                <w:rStyle w:val="Emphasis"/>
                <w:b w:val="0"/>
                <w:i w:val="0"/>
              </w:rPr>
              <w:t>/</w:t>
            </w:r>
            <w:r w:rsidRPr="002316A0">
              <w:rPr>
                <w:rStyle w:val="Emphasis"/>
                <w:b w:val="0"/>
                <w:i w:val="0"/>
              </w:rPr>
              <w:t>5</w:t>
            </w:r>
            <w:r w:rsidR="00F064FB" w:rsidRPr="002316A0">
              <w:rPr>
                <w:rStyle w:val="Emphasis"/>
                <w:b w:val="0"/>
                <w:i w:val="0"/>
              </w:rPr>
              <w:t xml:space="preserve">8 </w:t>
            </w:r>
            <w:r w:rsidR="00F064FB">
              <w:rPr>
                <w:rStyle w:val="Emphasis"/>
                <w:b w:val="0"/>
                <w:i w:val="0"/>
              </w:rPr>
              <w:t>(8.6%</w:t>
            </w:r>
            <w:r w:rsidRPr="00EC1749">
              <w:rPr>
                <w:rStyle w:val="Emphasis"/>
                <w:b w:val="0"/>
                <w:i w:val="0"/>
              </w:rPr>
              <w:t>)</w:t>
            </w:r>
          </w:p>
        </w:tc>
        <w:tc>
          <w:tcPr>
            <w:tcW w:w="894" w:type="pct"/>
            <w:vAlign w:val="center"/>
          </w:tcPr>
          <w:p w:rsidR="00282A19" w:rsidRPr="00EC1749" w:rsidRDefault="00F064FB" w:rsidP="000054E1">
            <w:pPr>
              <w:pStyle w:val="Tabletext"/>
              <w:keepNext/>
              <w:jc w:val="center"/>
              <w:rPr>
                <w:rFonts w:eastAsiaTheme="majorEastAsia"/>
                <w:b/>
                <w:i/>
              </w:rPr>
            </w:pPr>
            <w:r w:rsidRPr="002316A0">
              <w:rPr>
                <w:rStyle w:val="Emphasis"/>
                <w:b w:val="0"/>
                <w:i w:val="0"/>
              </w:rPr>
              <w:t>1</w:t>
            </w:r>
            <w:r>
              <w:rPr>
                <w:rStyle w:val="Emphasis"/>
                <w:b w:val="0"/>
                <w:i w:val="0"/>
              </w:rPr>
              <w:t>/</w:t>
            </w:r>
            <w:r w:rsidRPr="002316A0">
              <w:rPr>
                <w:rStyle w:val="Emphasis"/>
                <w:b w:val="0"/>
                <w:i w:val="0"/>
              </w:rPr>
              <w:t xml:space="preserve">62 </w:t>
            </w:r>
            <w:r>
              <w:rPr>
                <w:rStyle w:val="Emphasis"/>
                <w:b w:val="0"/>
                <w:i w:val="0"/>
              </w:rPr>
              <w:t>(1.6%</w:t>
            </w:r>
            <w:r w:rsidR="00282A19" w:rsidRPr="00EC1749">
              <w:rPr>
                <w:rStyle w:val="Emphasis"/>
                <w:b w:val="0"/>
                <w:i w:val="0"/>
              </w:rPr>
              <w:t>)</w:t>
            </w:r>
          </w:p>
        </w:tc>
        <w:tc>
          <w:tcPr>
            <w:tcW w:w="893" w:type="pct"/>
            <w:vAlign w:val="center"/>
          </w:tcPr>
          <w:p w:rsidR="00282A19" w:rsidRPr="002207D4" w:rsidRDefault="00282A19" w:rsidP="000054E1">
            <w:pPr>
              <w:pStyle w:val="Tabletext"/>
              <w:keepNext/>
              <w:jc w:val="center"/>
              <w:rPr>
                <w:rFonts w:eastAsiaTheme="majorEastAsia"/>
              </w:rPr>
            </w:pPr>
            <w:r w:rsidRPr="002207D4">
              <w:rPr>
                <w:rFonts w:eastAsiaTheme="majorEastAsia"/>
              </w:rPr>
              <w:t>5.34 (0.64, 44.39)</w:t>
            </w:r>
          </w:p>
        </w:tc>
        <w:tc>
          <w:tcPr>
            <w:tcW w:w="1072" w:type="pct"/>
            <w:vAlign w:val="center"/>
          </w:tcPr>
          <w:p w:rsidR="00282A19" w:rsidRPr="002207D4" w:rsidRDefault="00282A19" w:rsidP="000054E1">
            <w:pPr>
              <w:pStyle w:val="Tabletext"/>
              <w:keepNext/>
              <w:jc w:val="center"/>
            </w:pPr>
            <w:r w:rsidRPr="002207D4">
              <w:t>0.07 (-0.01, 0.15)</w:t>
            </w:r>
          </w:p>
        </w:tc>
      </w:tr>
      <w:tr w:rsidR="00282A19" w:rsidRPr="002207D4" w:rsidTr="00C01CB8">
        <w:trPr>
          <w:trHeight w:val="105"/>
        </w:trPr>
        <w:tc>
          <w:tcPr>
            <w:tcW w:w="3035" w:type="pct"/>
            <w:gridSpan w:val="3"/>
            <w:vAlign w:val="center"/>
          </w:tcPr>
          <w:p w:rsidR="00282A19" w:rsidRPr="002207D4" w:rsidRDefault="00282A19" w:rsidP="001A35D3">
            <w:pPr>
              <w:pStyle w:val="Tabletext"/>
              <w:keepNext/>
              <w:jc w:val="right"/>
              <w:rPr>
                <w:rFonts w:eastAsiaTheme="majorEastAsia"/>
                <w:lang w:val="fr-FR"/>
              </w:rPr>
            </w:pPr>
            <w:r w:rsidRPr="002207D4">
              <w:rPr>
                <w:lang w:val="fr-FR"/>
              </w:rPr>
              <w:t xml:space="preserve">Indirect comparison </w:t>
            </w:r>
            <w:r w:rsidR="00057611">
              <w:rPr>
                <w:lang w:val="fr-FR"/>
              </w:rPr>
              <w:t>Dysport</w:t>
            </w:r>
            <w:r w:rsidR="001A35D3" w:rsidRPr="00FA6E19">
              <w:rPr>
                <w:vertAlign w:val="superscript"/>
              </w:rPr>
              <w:t>®</w:t>
            </w:r>
            <w:r w:rsidR="001A35D3">
              <w:rPr>
                <w:vertAlign w:val="superscript"/>
              </w:rPr>
              <w:t xml:space="preserve"> </w:t>
            </w:r>
            <w:r w:rsidRPr="002207D4">
              <w:rPr>
                <w:lang w:val="fr-FR"/>
              </w:rPr>
              <w:t>vs. Botox</w:t>
            </w:r>
            <w:r w:rsidR="001A35D3" w:rsidRPr="00FA6E19">
              <w:rPr>
                <w:vertAlign w:val="superscript"/>
              </w:rPr>
              <w:t>®</w:t>
            </w:r>
          </w:p>
        </w:tc>
        <w:tc>
          <w:tcPr>
            <w:tcW w:w="893" w:type="pct"/>
            <w:vAlign w:val="center"/>
          </w:tcPr>
          <w:p w:rsidR="00282A19" w:rsidRPr="002207D4" w:rsidRDefault="00282A19" w:rsidP="000054E1">
            <w:pPr>
              <w:pStyle w:val="Tabletext"/>
              <w:keepNext/>
              <w:jc w:val="center"/>
              <w:rPr>
                <w:rFonts w:eastAsiaTheme="majorEastAsia"/>
              </w:rPr>
            </w:pPr>
            <w:r w:rsidRPr="002207D4">
              <w:rPr>
                <w:rFonts w:eastAsiaTheme="majorEastAsia"/>
              </w:rPr>
              <w:t>0.14 (0.01, 1.50)</w:t>
            </w:r>
          </w:p>
        </w:tc>
        <w:tc>
          <w:tcPr>
            <w:tcW w:w="1072" w:type="pct"/>
            <w:vAlign w:val="center"/>
          </w:tcPr>
          <w:p w:rsidR="00282A19" w:rsidRPr="002207D4" w:rsidRDefault="00282A19" w:rsidP="000054E1">
            <w:pPr>
              <w:pStyle w:val="Tabletext"/>
              <w:keepNext/>
              <w:jc w:val="center"/>
              <w:rPr>
                <w:b/>
                <w:bCs/>
              </w:rPr>
            </w:pPr>
            <w:r w:rsidRPr="002207D4">
              <w:rPr>
                <w:b/>
                <w:bCs/>
              </w:rPr>
              <w:t>-0.08 (-0.14, -0.03)</w:t>
            </w:r>
          </w:p>
        </w:tc>
      </w:tr>
    </w:tbl>
    <w:p w:rsidR="00EC1749" w:rsidRPr="00EC1749" w:rsidRDefault="00EC1749" w:rsidP="00EC1749">
      <w:pPr>
        <w:pStyle w:val="TableFooter"/>
        <w:rPr>
          <w:szCs w:val="18"/>
        </w:rPr>
      </w:pPr>
      <w:r w:rsidRPr="00EC1749">
        <w:rPr>
          <w:szCs w:val="18"/>
        </w:rPr>
        <w:t>AE</w:t>
      </w:r>
      <w:r w:rsidR="00914A4E">
        <w:rPr>
          <w:szCs w:val="18"/>
        </w:rPr>
        <w:t xml:space="preserve"> </w:t>
      </w:r>
      <w:r w:rsidRPr="00EC1749">
        <w:rPr>
          <w:szCs w:val="18"/>
        </w:rPr>
        <w:t>=</w:t>
      </w:r>
      <w:r w:rsidR="00914A4E">
        <w:rPr>
          <w:szCs w:val="18"/>
        </w:rPr>
        <w:t xml:space="preserve"> </w:t>
      </w:r>
      <w:r w:rsidRPr="00EC1749">
        <w:rPr>
          <w:szCs w:val="18"/>
        </w:rPr>
        <w:t xml:space="preserve">adverse events; </w:t>
      </w:r>
      <w:r w:rsidR="00D63A87">
        <w:rPr>
          <w:szCs w:val="18"/>
        </w:rPr>
        <w:t>BoNT</w:t>
      </w:r>
      <w:r w:rsidR="00914A4E">
        <w:rPr>
          <w:szCs w:val="18"/>
        </w:rPr>
        <w:t xml:space="preserve"> </w:t>
      </w:r>
      <w:r w:rsidR="00D63A87">
        <w:rPr>
          <w:szCs w:val="18"/>
        </w:rPr>
        <w:t>=</w:t>
      </w:r>
      <w:r w:rsidR="00914A4E">
        <w:rPr>
          <w:szCs w:val="18"/>
        </w:rPr>
        <w:t xml:space="preserve"> </w:t>
      </w:r>
      <w:r w:rsidR="00D63A87">
        <w:rPr>
          <w:szCs w:val="18"/>
        </w:rPr>
        <w:t xml:space="preserve">botulinum toxin; </w:t>
      </w:r>
      <w:r w:rsidRPr="00EC1749">
        <w:rPr>
          <w:szCs w:val="18"/>
        </w:rPr>
        <w:t>CI</w:t>
      </w:r>
      <w:r w:rsidR="00914A4E">
        <w:rPr>
          <w:szCs w:val="18"/>
        </w:rPr>
        <w:t xml:space="preserve"> </w:t>
      </w:r>
      <w:r w:rsidRPr="00EC1749">
        <w:rPr>
          <w:szCs w:val="18"/>
        </w:rPr>
        <w:t>=</w:t>
      </w:r>
      <w:r w:rsidR="00914A4E">
        <w:rPr>
          <w:szCs w:val="18"/>
        </w:rPr>
        <w:t xml:space="preserve"> </w:t>
      </w:r>
      <w:r w:rsidRPr="00EC1749">
        <w:rPr>
          <w:szCs w:val="18"/>
        </w:rPr>
        <w:t>confidence interval; RD</w:t>
      </w:r>
      <w:r w:rsidR="00914A4E">
        <w:rPr>
          <w:szCs w:val="18"/>
        </w:rPr>
        <w:t xml:space="preserve"> </w:t>
      </w:r>
      <w:r w:rsidRPr="00EC1749">
        <w:rPr>
          <w:szCs w:val="18"/>
        </w:rPr>
        <w:t>=</w:t>
      </w:r>
      <w:r w:rsidR="00914A4E">
        <w:rPr>
          <w:szCs w:val="18"/>
        </w:rPr>
        <w:t xml:space="preserve"> </w:t>
      </w:r>
      <w:r w:rsidRPr="00EC1749">
        <w:rPr>
          <w:szCs w:val="18"/>
        </w:rPr>
        <w:t>risk difference; RR</w:t>
      </w:r>
      <w:r w:rsidR="00914A4E">
        <w:rPr>
          <w:szCs w:val="18"/>
        </w:rPr>
        <w:t xml:space="preserve"> </w:t>
      </w:r>
      <w:r w:rsidRPr="00EC1749">
        <w:rPr>
          <w:szCs w:val="18"/>
        </w:rPr>
        <w:t>=</w:t>
      </w:r>
      <w:r w:rsidR="00914A4E">
        <w:rPr>
          <w:szCs w:val="18"/>
        </w:rPr>
        <w:t xml:space="preserve"> </w:t>
      </w:r>
      <w:r w:rsidRPr="00EC1749">
        <w:rPr>
          <w:szCs w:val="18"/>
        </w:rPr>
        <w:t>risk ratio; SAE</w:t>
      </w:r>
      <w:r w:rsidR="00914A4E">
        <w:rPr>
          <w:szCs w:val="18"/>
        </w:rPr>
        <w:t xml:space="preserve"> </w:t>
      </w:r>
      <w:r w:rsidRPr="00EC1749">
        <w:rPr>
          <w:szCs w:val="18"/>
        </w:rPr>
        <w:t>=</w:t>
      </w:r>
      <w:r w:rsidR="00914A4E">
        <w:rPr>
          <w:szCs w:val="18"/>
        </w:rPr>
        <w:t xml:space="preserve"> </w:t>
      </w:r>
      <w:r w:rsidRPr="00EC1749">
        <w:rPr>
          <w:szCs w:val="18"/>
        </w:rPr>
        <w:t>serious adverse events; TEAE</w:t>
      </w:r>
      <w:r w:rsidR="00914A4E">
        <w:rPr>
          <w:szCs w:val="18"/>
        </w:rPr>
        <w:t xml:space="preserve"> </w:t>
      </w:r>
      <w:r w:rsidRPr="00EC1749">
        <w:rPr>
          <w:szCs w:val="18"/>
        </w:rPr>
        <w:t>=</w:t>
      </w:r>
      <w:r w:rsidR="00914A4E">
        <w:rPr>
          <w:szCs w:val="18"/>
        </w:rPr>
        <w:t xml:space="preserve"> </w:t>
      </w:r>
      <w:r w:rsidRPr="00EC1749">
        <w:rPr>
          <w:szCs w:val="18"/>
        </w:rPr>
        <w:t>treatment emergent adverse events</w:t>
      </w:r>
    </w:p>
    <w:p w:rsidR="00D5176B" w:rsidRPr="00EC1749" w:rsidRDefault="002207D4" w:rsidP="00EC1749">
      <w:pPr>
        <w:pStyle w:val="TableFooter"/>
        <w:rPr>
          <w:i/>
          <w:iCs/>
          <w:szCs w:val="18"/>
        </w:rPr>
      </w:pPr>
      <w:r w:rsidRPr="002207D4">
        <w:rPr>
          <w:iCs/>
          <w:szCs w:val="18"/>
        </w:rPr>
        <w:t xml:space="preserve">Indirect comparison </w:t>
      </w:r>
      <w:r w:rsidR="00EC1749" w:rsidRPr="002207D4">
        <w:rPr>
          <w:iCs/>
          <w:szCs w:val="18"/>
        </w:rPr>
        <w:t>figures were r</w:t>
      </w:r>
      <w:r w:rsidR="00D5176B" w:rsidRPr="002207D4">
        <w:rPr>
          <w:iCs/>
          <w:szCs w:val="18"/>
        </w:rPr>
        <w:t xml:space="preserve">ecalculated during the evaluation using the </w:t>
      </w:r>
      <w:r w:rsidR="00372A21" w:rsidRPr="002207D4">
        <w:rPr>
          <w:iCs/>
          <w:szCs w:val="18"/>
        </w:rPr>
        <w:t>sponsor</w:t>
      </w:r>
      <w:r w:rsidR="00D5176B" w:rsidRPr="002207D4">
        <w:rPr>
          <w:iCs/>
          <w:szCs w:val="18"/>
        </w:rPr>
        <w:t xml:space="preserve">’s log file and </w:t>
      </w:r>
      <w:r w:rsidR="00057611">
        <w:rPr>
          <w:iCs/>
          <w:szCs w:val="18"/>
        </w:rPr>
        <w:t>Botox</w:t>
      </w:r>
      <w:r w:rsidR="001A35D3" w:rsidRPr="00FA6E19">
        <w:rPr>
          <w:vertAlign w:val="superscript"/>
        </w:rPr>
        <w:t>®</w:t>
      </w:r>
      <w:r w:rsidR="001A35D3">
        <w:rPr>
          <w:vertAlign w:val="superscript"/>
        </w:rPr>
        <w:t xml:space="preserve"> </w:t>
      </w:r>
      <w:r w:rsidR="004434E6" w:rsidRPr="002207D4">
        <w:rPr>
          <w:iCs/>
          <w:szCs w:val="18"/>
        </w:rPr>
        <w:t xml:space="preserve">PSD </w:t>
      </w:r>
      <w:r w:rsidR="000E698E" w:rsidRPr="002207D4">
        <w:rPr>
          <w:iCs/>
          <w:szCs w:val="18"/>
        </w:rPr>
        <w:t>November 2018</w:t>
      </w:r>
      <w:r w:rsidR="004434E6" w:rsidRPr="002207D4">
        <w:rPr>
          <w:iCs/>
          <w:szCs w:val="18"/>
        </w:rPr>
        <w:t xml:space="preserve">, </w:t>
      </w:r>
      <w:r w:rsidR="00D5176B" w:rsidRPr="002207D4">
        <w:rPr>
          <w:iCs/>
          <w:szCs w:val="18"/>
        </w:rPr>
        <w:t>using RevManager 5.3</w:t>
      </w:r>
    </w:p>
    <w:p w:rsidR="00D5176B" w:rsidRDefault="00D5176B" w:rsidP="00D5176B">
      <w:pPr>
        <w:pStyle w:val="TableFooter"/>
        <w:rPr>
          <w:sz w:val="20"/>
          <w:szCs w:val="20"/>
        </w:rPr>
      </w:pPr>
      <w:r w:rsidRPr="00EC1749">
        <w:rPr>
          <w:szCs w:val="18"/>
        </w:rPr>
        <w:t>Source: Table 2.53, p101 of the resubmission</w:t>
      </w:r>
      <w:r>
        <w:rPr>
          <w:sz w:val="20"/>
          <w:szCs w:val="20"/>
        </w:rPr>
        <w:t>.</w:t>
      </w:r>
    </w:p>
    <w:p w:rsidR="00D5176B" w:rsidRDefault="00D5176B" w:rsidP="00D5176B">
      <w:pPr>
        <w:pStyle w:val="TableFooter"/>
        <w:rPr>
          <w:sz w:val="20"/>
          <w:szCs w:val="20"/>
        </w:rPr>
      </w:pPr>
    </w:p>
    <w:p w:rsidR="002E71EC" w:rsidRPr="00D03BE3" w:rsidRDefault="00EF382E" w:rsidP="0036686A">
      <w:pPr>
        <w:pStyle w:val="ListParagraph"/>
        <w:widowControl/>
        <w:numPr>
          <w:ilvl w:val="1"/>
          <w:numId w:val="1"/>
        </w:numPr>
        <w:ind w:left="720"/>
      </w:pPr>
      <w:r w:rsidRPr="002207D4">
        <w:rPr>
          <w:bCs/>
        </w:rPr>
        <w:t xml:space="preserve">The ESC considered that Dysport® and Botox® presented similar </w:t>
      </w:r>
      <w:r w:rsidR="000054E1" w:rsidRPr="002207D4">
        <w:rPr>
          <w:bCs/>
        </w:rPr>
        <w:t>adverse event</w:t>
      </w:r>
      <w:r w:rsidRPr="002207D4">
        <w:rPr>
          <w:bCs/>
        </w:rPr>
        <w:t xml:space="preserve"> profiles. </w:t>
      </w:r>
      <w:r w:rsidR="00282A19" w:rsidRPr="002207D4">
        <w:rPr>
          <w:bCs/>
        </w:rPr>
        <w:t>There were no significant differences</w:t>
      </w:r>
      <w:r w:rsidR="00282A19" w:rsidRPr="00D03BE3">
        <w:rPr>
          <w:bCs/>
        </w:rPr>
        <w:t xml:space="preserve"> between Dysport® and Botox® for any </w:t>
      </w:r>
      <w:r w:rsidR="000054E1">
        <w:rPr>
          <w:bCs/>
        </w:rPr>
        <w:t>adverse events</w:t>
      </w:r>
      <w:r w:rsidR="00282A19" w:rsidRPr="00D03BE3">
        <w:rPr>
          <w:bCs/>
        </w:rPr>
        <w:t xml:space="preserve"> and treatment-emergent adverse events. </w:t>
      </w:r>
      <w:r w:rsidR="00282A19" w:rsidRPr="00D03BE3">
        <w:rPr>
          <w:bCs/>
          <w:iCs/>
        </w:rPr>
        <w:t xml:space="preserve">There was a higher incidence of serious adverse events with Botox®; however, the number of </w:t>
      </w:r>
      <w:r w:rsidR="000054E1">
        <w:rPr>
          <w:bCs/>
          <w:iCs/>
        </w:rPr>
        <w:t>serious adverse events</w:t>
      </w:r>
      <w:r w:rsidR="00282A19" w:rsidRPr="00D03BE3">
        <w:rPr>
          <w:bCs/>
          <w:iCs/>
        </w:rPr>
        <w:t xml:space="preserve"> in Trial 512 was </w:t>
      </w:r>
      <w:r w:rsidR="000054E1">
        <w:rPr>
          <w:bCs/>
          <w:iCs/>
        </w:rPr>
        <w:t>low</w:t>
      </w:r>
      <w:r w:rsidR="00282A19" w:rsidRPr="00D03BE3">
        <w:rPr>
          <w:bCs/>
          <w:iCs/>
        </w:rPr>
        <w:t xml:space="preserve"> (5 in the Botox</w:t>
      </w:r>
      <w:r w:rsidR="0045372F" w:rsidRPr="00D03BE3">
        <w:rPr>
          <w:bCs/>
          <w:iCs/>
        </w:rPr>
        <w:t>®</w:t>
      </w:r>
      <w:r w:rsidR="00282A19" w:rsidRPr="00D03BE3">
        <w:rPr>
          <w:bCs/>
          <w:iCs/>
        </w:rPr>
        <w:t xml:space="preserve"> arm and 1 in the </w:t>
      </w:r>
      <w:r w:rsidR="00BC233A">
        <w:rPr>
          <w:bCs/>
          <w:iCs/>
        </w:rPr>
        <w:t>placebo</w:t>
      </w:r>
      <w:r w:rsidR="00282A19" w:rsidRPr="00D03BE3">
        <w:rPr>
          <w:bCs/>
          <w:iCs/>
        </w:rPr>
        <w:t xml:space="preserve"> arm) and the study authors stated that all of the </w:t>
      </w:r>
      <w:r w:rsidR="000054E1">
        <w:rPr>
          <w:bCs/>
          <w:iCs/>
        </w:rPr>
        <w:t>serious adverse events, with the exception of</w:t>
      </w:r>
      <w:r w:rsidR="00282A19" w:rsidRPr="00D03BE3">
        <w:rPr>
          <w:bCs/>
          <w:iCs/>
        </w:rPr>
        <w:t xml:space="preserve"> myalgia</w:t>
      </w:r>
      <w:r w:rsidR="000054E1">
        <w:rPr>
          <w:bCs/>
          <w:iCs/>
        </w:rPr>
        <w:t>,</w:t>
      </w:r>
      <w:r w:rsidR="00282A19" w:rsidRPr="00D03BE3">
        <w:rPr>
          <w:bCs/>
          <w:iCs/>
        </w:rPr>
        <w:t xml:space="preserve"> were considered to be unrelated to Botox®.</w:t>
      </w:r>
      <w:r w:rsidR="0089047B">
        <w:rPr>
          <w:bCs/>
          <w:iCs/>
        </w:rPr>
        <w:t xml:space="preserve"> </w:t>
      </w:r>
    </w:p>
    <w:p w:rsidR="002E71EC" w:rsidRPr="006C7919" w:rsidRDefault="002E71EC" w:rsidP="006C7919">
      <w:pPr>
        <w:keepLines/>
        <w:spacing w:after="120"/>
        <w:jc w:val="left"/>
        <w:outlineLvl w:val="1"/>
        <w:rPr>
          <w:rFonts w:asciiTheme="minorHAnsi" w:hAnsiTheme="minorHAnsi" w:cs="Times New Roman"/>
          <w:b/>
          <w:i/>
          <w:snapToGrid/>
          <w:sz w:val="28"/>
          <w:szCs w:val="28"/>
          <w:lang w:eastAsia="en-AU"/>
        </w:rPr>
      </w:pPr>
      <w:bookmarkStart w:id="10" w:name="_Toc8130375"/>
      <w:bookmarkStart w:id="11" w:name="_Toc9247887"/>
      <w:r w:rsidRPr="006C7919">
        <w:rPr>
          <w:rFonts w:asciiTheme="minorHAnsi" w:hAnsiTheme="minorHAnsi" w:cs="Times New Roman"/>
          <w:b/>
          <w:i/>
          <w:snapToGrid/>
          <w:sz w:val="28"/>
          <w:szCs w:val="28"/>
          <w:lang w:eastAsia="en-AU"/>
        </w:rPr>
        <w:t>Benefits/harms</w:t>
      </w:r>
      <w:bookmarkEnd w:id="10"/>
      <w:bookmarkEnd w:id="11"/>
    </w:p>
    <w:p w:rsidR="0089047B" w:rsidRPr="00D03BE3" w:rsidRDefault="009B732D" w:rsidP="00EF527A">
      <w:pPr>
        <w:pStyle w:val="ListParagraph"/>
        <w:widowControl/>
        <w:numPr>
          <w:ilvl w:val="1"/>
          <w:numId w:val="1"/>
        </w:numPr>
        <w:ind w:left="720"/>
      </w:pPr>
      <w:r w:rsidRPr="00C83275">
        <w:t xml:space="preserve">Based on the </w:t>
      </w:r>
      <w:r w:rsidR="00C83275">
        <w:t xml:space="preserve">non-inferiority </w:t>
      </w:r>
      <w:r w:rsidRPr="00C83275">
        <w:t>results presented in the resubmission</w:t>
      </w:r>
      <w:r w:rsidR="00C83275">
        <w:t>, and the indirect treatment comparison, no benefits and harms table was presented</w:t>
      </w:r>
      <w:r w:rsidR="00CD3678" w:rsidRPr="00D03BE3">
        <w:rPr>
          <w:iCs/>
        </w:rPr>
        <w:t>.</w:t>
      </w:r>
    </w:p>
    <w:p w:rsidR="002E71EC" w:rsidRPr="006C7919" w:rsidRDefault="002E71EC" w:rsidP="006C7919">
      <w:pPr>
        <w:keepLines/>
        <w:spacing w:after="120"/>
        <w:jc w:val="left"/>
        <w:outlineLvl w:val="1"/>
        <w:rPr>
          <w:rFonts w:asciiTheme="minorHAnsi" w:hAnsiTheme="minorHAnsi" w:cs="Times New Roman"/>
          <w:b/>
          <w:i/>
          <w:snapToGrid/>
          <w:sz w:val="28"/>
          <w:szCs w:val="28"/>
          <w:lang w:eastAsia="en-AU"/>
        </w:rPr>
      </w:pPr>
      <w:bookmarkStart w:id="12" w:name="_Toc8130376"/>
      <w:bookmarkStart w:id="13" w:name="_Toc9247888"/>
      <w:r w:rsidRPr="006C7919">
        <w:rPr>
          <w:rFonts w:asciiTheme="minorHAnsi" w:hAnsiTheme="minorHAnsi" w:cs="Times New Roman"/>
          <w:b/>
          <w:i/>
          <w:snapToGrid/>
          <w:sz w:val="28"/>
          <w:szCs w:val="28"/>
          <w:lang w:eastAsia="en-AU"/>
        </w:rPr>
        <w:t>Clinical claim</w:t>
      </w:r>
      <w:bookmarkEnd w:id="12"/>
      <w:bookmarkEnd w:id="13"/>
    </w:p>
    <w:p w:rsidR="00B7065F" w:rsidRPr="00D03BE3" w:rsidRDefault="009B732D" w:rsidP="0036686A">
      <w:pPr>
        <w:pStyle w:val="ListParagraph"/>
        <w:widowControl/>
        <w:numPr>
          <w:ilvl w:val="1"/>
          <w:numId w:val="1"/>
        </w:numPr>
        <w:ind w:left="720"/>
      </w:pPr>
      <w:r w:rsidRPr="00D03BE3">
        <w:t>Based on the results of an indirect comparison of change in MAS, the resubmission described Dysport® 1500U as non-inferior in terms of effectiveness and safety compared to Botox® 300</w:t>
      </w:r>
      <w:r w:rsidR="00830711" w:rsidRPr="00D03BE3">
        <w:t>-400</w:t>
      </w:r>
      <w:r w:rsidRPr="00D03BE3">
        <w:t>U for the treatment of moderate to severe (MAS</w:t>
      </w:r>
      <w:r w:rsidR="00CD0101" w:rsidRPr="00D03BE3">
        <w:t> </w:t>
      </w:r>
      <w:r w:rsidRPr="00D03BE3">
        <w:rPr>
          <w:rFonts w:cs="Calibri"/>
        </w:rPr>
        <w:t>≥</w:t>
      </w:r>
      <w:r w:rsidR="00CD0101" w:rsidRPr="00D03BE3">
        <w:rPr>
          <w:rFonts w:cs="Calibri"/>
        </w:rPr>
        <w:t> </w:t>
      </w:r>
      <w:r w:rsidRPr="00D03BE3">
        <w:t>3) LLFS following stroke.</w:t>
      </w:r>
      <w:r w:rsidR="00721CD9" w:rsidRPr="00D03BE3">
        <w:t xml:space="preserve"> </w:t>
      </w:r>
    </w:p>
    <w:p w:rsidR="009B732D" w:rsidRPr="002207D4" w:rsidRDefault="00721CD9" w:rsidP="0036686A">
      <w:pPr>
        <w:pStyle w:val="ListParagraph"/>
        <w:widowControl/>
        <w:numPr>
          <w:ilvl w:val="1"/>
          <w:numId w:val="1"/>
        </w:numPr>
        <w:ind w:left="720"/>
      </w:pPr>
      <w:r w:rsidRPr="002207D4">
        <w:t xml:space="preserve">The </w:t>
      </w:r>
      <w:r w:rsidR="00A55354" w:rsidRPr="002207D4">
        <w:t xml:space="preserve">ESC considered that the </w:t>
      </w:r>
      <w:r w:rsidRPr="002207D4">
        <w:t>claim of non-inferior safety was reasonable</w:t>
      </w:r>
      <w:r w:rsidR="00FF1017" w:rsidRPr="002207D4">
        <w:t>.</w:t>
      </w:r>
      <w:r w:rsidRPr="002207D4">
        <w:t xml:space="preserve"> </w:t>
      </w:r>
    </w:p>
    <w:p w:rsidR="009B732D" w:rsidRPr="00D03BE3" w:rsidRDefault="009B732D" w:rsidP="0036686A">
      <w:pPr>
        <w:pStyle w:val="ListParagraph"/>
        <w:widowControl/>
        <w:numPr>
          <w:ilvl w:val="1"/>
          <w:numId w:val="1"/>
        </w:numPr>
        <w:ind w:left="720"/>
      </w:pPr>
      <w:r w:rsidRPr="002207D4">
        <w:t xml:space="preserve">The </w:t>
      </w:r>
      <w:r w:rsidR="00C83275" w:rsidRPr="002207D4">
        <w:t xml:space="preserve">ESC considered that the </w:t>
      </w:r>
      <w:r w:rsidRPr="002207D4">
        <w:t>claim of non-inferior effectiveness of Dysport® 1500U versus Botox® 300</w:t>
      </w:r>
      <w:r w:rsidR="00830711" w:rsidRPr="002207D4">
        <w:t>-400</w:t>
      </w:r>
      <w:r w:rsidRPr="002207D4">
        <w:t xml:space="preserve">U </w:t>
      </w:r>
      <w:r w:rsidR="009E531D" w:rsidRPr="002207D4">
        <w:t>was likely</w:t>
      </w:r>
      <w:r w:rsidR="009E531D" w:rsidRPr="009E531D">
        <w:rPr>
          <w:i/>
        </w:rPr>
        <w:t xml:space="preserve"> </w:t>
      </w:r>
      <w:r w:rsidR="009E531D" w:rsidRPr="002207D4">
        <w:t xml:space="preserve">to reasonable; however, </w:t>
      </w:r>
      <w:r w:rsidR="00C83275" w:rsidRPr="002207D4">
        <w:t>required</w:t>
      </w:r>
      <w:r w:rsidR="00C83275" w:rsidRPr="00D03BE3">
        <w:t xml:space="preserve"> </w:t>
      </w:r>
      <w:r w:rsidRPr="00D03BE3">
        <w:t>consideration, given</w:t>
      </w:r>
      <w:r w:rsidR="009E531D">
        <w:t xml:space="preserve"> that</w:t>
      </w:r>
      <w:r w:rsidRPr="00D03BE3">
        <w:t>:</w:t>
      </w:r>
    </w:p>
    <w:p w:rsidR="009B732D" w:rsidRPr="00D03BE3" w:rsidRDefault="000054E1" w:rsidP="002467DE">
      <w:pPr>
        <w:pStyle w:val="ListParagraph"/>
        <w:numPr>
          <w:ilvl w:val="0"/>
          <w:numId w:val="14"/>
        </w:numPr>
        <w:ind w:left="1134"/>
      </w:pPr>
      <w:r>
        <w:t>a</w:t>
      </w:r>
      <w:r w:rsidR="009B732D" w:rsidRPr="00D03BE3">
        <w:t xml:space="preserve">cross the included trials, there were differences </w:t>
      </w:r>
      <w:r w:rsidR="006073F8" w:rsidRPr="00D03BE3">
        <w:t xml:space="preserve">in the </w:t>
      </w:r>
      <w:r w:rsidR="009B732D" w:rsidRPr="00D03BE3">
        <w:t>location of spasticity</w:t>
      </w:r>
      <w:r w:rsidR="006073F8" w:rsidRPr="00D03BE3">
        <w:t xml:space="preserve"> of included patients</w:t>
      </w:r>
      <w:r w:rsidR="009B732D" w:rsidRPr="00D03BE3">
        <w:t xml:space="preserve">, muscles treated, concomitant therapies, and how change in </w:t>
      </w:r>
      <w:r w:rsidR="009B732D" w:rsidRPr="00D03BE3">
        <w:lastRenderedPageBreak/>
        <w:t>MAS outcome was coded (historical vs derived coding systems) in the analysis</w:t>
      </w:r>
      <w:r>
        <w:t>;</w:t>
      </w:r>
    </w:p>
    <w:p w:rsidR="009B732D" w:rsidRPr="000054E1" w:rsidRDefault="000054E1" w:rsidP="00164750">
      <w:pPr>
        <w:pStyle w:val="ListParagraph"/>
        <w:numPr>
          <w:ilvl w:val="0"/>
          <w:numId w:val="14"/>
        </w:numPr>
        <w:ind w:left="1134"/>
      </w:pPr>
      <w:r>
        <w:t>t</w:t>
      </w:r>
      <w:r w:rsidR="009B732D" w:rsidRPr="00EF382E">
        <w:t xml:space="preserve">here </w:t>
      </w:r>
      <w:r w:rsidR="006073F8" w:rsidRPr="00EF382E">
        <w:t xml:space="preserve">were differences in important baseline characteristics across the trials and a </w:t>
      </w:r>
      <w:r w:rsidR="006073F8" w:rsidRPr="000054E1">
        <w:t>large difference</w:t>
      </w:r>
      <w:r w:rsidR="009B732D" w:rsidRPr="000054E1">
        <w:t xml:space="preserve"> in </w:t>
      </w:r>
      <w:r w:rsidR="006073F8" w:rsidRPr="000054E1">
        <w:t>prior BoNT</w:t>
      </w:r>
      <w:r w:rsidR="009B732D" w:rsidRPr="000054E1">
        <w:t xml:space="preserve"> </w:t>
      </w:r>
      <w:r w:rsidR="004434E6" w:rsidRPr="000054E1">
        <w:t xml:space="preserve">treatment </w:t>
      </w:r>
      <w:r w:rsidR="006073F8" w:rsidRPr="000054E1">
        <w:t xml:space="preserve">across arms in </w:t>
      </w:r>
      <w:r w:rsidR="009B732D" w:rsidRPr="000054E1">
        <w:t>the post-hoc PBS subgroup of Study 140</w:t>
      </w:r>
      <w:r w:rsidR="006073F8" w:rsidRPr="000054E1">
        <w:t xml:space="preserve">, which may have affected </w:t>
      </w:r>
      <w:r w:rsidR="004434E6" w:rsidRPr="000054E1">
        <w:t xml:space="preserve">the </w:t>
      </w:r>
      <w:r w:rsidR="006073F8" w:rsidRPr="000054E1">
        <w:t>outcomes</w:t>
      </w:r>
      <w:r w:rsidRPr="000054E1">
        <w:t xml:space="preserve">; </w:t>
      </w:r>
      <w:r w:rsidR="00597D42" w:rsidRPr="000054E1">
        <w:t xml:space="preserve"> </w:t>
      </w:r>
    </w:p>
    <w:p w:rsidR="009B732D" w:rsidRPr="002207D4" w:rsidRDefault="009E531D" w:rsidP="008F3388">
      <w:pPr>
        <w:pStyle w:val="ListParagraph"/>
        <w:numPr>
          <w:ilvl w:val="0"/>
          <w:numId w:val="14"/>
        </w:numPr>
        <w:ind w:left="1134"/>
      </w:pPr>
      <w:r w:rsidRPr="002207D4">
        <w:rPr>
          <w:iCs/>
        </w:rPr>
        <w:t>t</w:t>
      </w:r>
      <w:r w:rsidR="009B732D" w:rsidRPr="002207D4">
        <w:rPr>
          <w:iCs/>
        </w:rPr>
        <w:t xml:space="preserve">he </w:t>
      </w:r>
      <w:r w:rsidRPr="002207D4">
        <w:rPr>
          <w:iCs/>
        </w:rPr>
        <w:t xml:space="preserve">PSCR did not provide adjusted results for the analysis of the PBS subgroup of </w:t>
      </w:r>
      <w:r w:rsidR="00DF511E" w:rsidRPr="002207D4">
        <w:rPr>
          <w:iCs/>
        </w:rPr>
        <w:t xml:space="preserve">Study 140 for baseline MAS, prior BoNT and </w:t>
      </w:r>
      <w:r w:rsidR="00EC1749" w:rsidRPr="002207D4">
        <w:rPr>
          <w:iCs/>
        </w:rPr>
        <w:t xml:space="preserve">study </w:t>
      </w:r>
      <w:r w:rsidR="00DF511E" w:rsidRPr="002207D4">
        <w:rPr>
          <w:iCs/>
        </w:rPr>
        <w:t>centre in-line with the statistical analysis plan</w:t>
      </w:r>
      <w:r w:rsidRPr="002207D4">
        <w:rPr>
          <w:iCs/>
        </w:rPr>
        <w:t xml:space="preserve"> for change in MAS to Week 12; </w:t>
      </w:r>
    </w:p>
    <w:p w:rsidR="009B732D" w:rsidRPr="002207D4" w:rsidRDefault="000054E1" w:rsidP="00641E7A">
      <w:pPr>
        <w:pStyle w:val="ListParagraph"/>
        <w:numPr>
          <w:ilvl w:val="0"/>
          <w:numId w:val="14"/>
        </w:numPr>
        <w:ind w:left="1134"/>
      </w:pPr>
      <w:r w:rsidRPr="002207D4">
        <w:t>t</w:t>
      </w:r>
      <w:r w:rsidR="009B732D" w:rsidRPr="002207D4">
        <w:t xml:space="preserve">he </w:t>
      </w:r>
      <w:r w:rsidR="009B732D" w:rsidRPr="002207D4">
        <w:rPr>
          <w:iCs/>
        </w:rPr>
        <w:t>interpretation</w:t>
      </w:r>
      <w:r w:rsidR="009B732D" w:rsidRPr="002207D4">
        <w:t xml:space="preserve"> of the indirect comparison </w:t>
      </w:r>
      <w:r w:rsidR="00781E9E" w:rsidRPr="002207D4">
        <w:t xml:space="preserve">was </w:t>
      </w:r>
      <w:r w:rsidR="009B732D" w:rsidRPr="002207D4">
        <w:t xml:space="preserve">unclear given </w:t>
      </w:r>
      <w:r w:rsidR="009B732D" w:rsidRPr="002207D4">
        <w:rPr>
          <w:iCs/>
        </w:rPr>
        <w:t xml:space="preserve">that </w:t>
      </w:r>
      <w:r w:rsidR="009E531D" w:rsidRPr="002207D4">
        <w:rPr>
          <w:iCs/>
        </w:rPr>
        <w:t xml:space="preserve">the selection of the non-inferiority margin was not adequately justified and </w:t>
      </w:r>
      <w:r w:rsidR="009B732D" w:rsidRPr="002207D4">
        <w:rPr>
          <w:iCs/>
        </w:rPr>
        <w:t xml:space="preserve">none of the trials demonstrated a clinically meaningful improvement in mean reduction in MAS for BoNT versus </w:t>
      </w:r>
      <w:r w:rsidR="00BC233A" w:rsidRPr="002207D4">
        <w:rPr>
          <w:iCs/>
        </w:rPr>
        <w:t>placebo</w:t>
      </w:r>
      <w:r w:rsidR="009B732D" w:rsidRPr="002207D4">
        <w:rPr>
          <w:iCs/>
        </w:rPr>
        <w:t xml:space="preserve">, and the confidence intervals of the indirect comparison included the point estimates versus </w:t>
      </w:r>
      <w:r w:rsidR="00BC233A" w:rsidRPr="002207D4">
        <w:rPr>
          <w:iCs/>
        </w:rPr>
        <w:t>placebo</w:t>
      </w:r>
      <w:r w:rsidR="009E531D" w:rsidRPr="002207D4">
        <w:rPr>
          <w:iCs/>
        </w:rPr>
        <w:t>; and</w:t>
      </w:r>
      <w:r w:rsidR="004B3F4D" w:rsidRPr="002207D4">
        <w:rPr>
          <w:iCs/>
        </w:rPr>
        <w:t xml:space="preserve"> </w:t>
      </w:r>
    </w:p>
    <w:p w:rsidR="009B732D" w:rsidRPr="002207D4" w:rsidRDefault="000054E1" w:rsidP="0045372F">
      <w:pPr>
        <w:pStyle w:val="ListParagraph"/>
        <w:numPr>
          <w:ilvl w:val="0"/>
          <w:numId w:val="14"/>
        </w:numPr>
        <w:ind w:left="1134"/>
      </w:pPr>
      <w:r w:rsidRPr="002207D4">
        <w:t>the</w:t>
      </w:r>
      <w:r w:rsidR="009B732D" w:rsidRPr="002207D4">
        <w:t xml:space="preserve"> doses nominated in the claim (</w:t>
      </w:r>
      <w:r w:rsidR="00781E9E" w:rsidRPr="002207D4">
        <w:t>i.e</w:t>
      </w:r>
      <w:r w:rsidR="009B732D" w:rsidRPr="002207D4">
        <w:t>. 1500U of Dysport® non-inferior to 300</w:t>
      </w:r>
      <w:r w:rsidR="00903DFC" w:rsidRPr="002207D4">
        <w:t>-400</w:t>
      </w:r>
      <w:r w:rsidR="009B732D" w:rsidRPr="002207D4">
        <w:t>U of Botox®) d</w:t>
      </w:r>
      <w:r w:rsidR="0045372F" w:rsidRPr="002207D4">
        <w:t>id</w:t>
      </w:r>
      <w:r w:rsidR="009B732D" w:rsidRPr="002207D4">
        <w:t xml:space="preserve"> not accurately reflect the amount of BoNT injected into key muscles across the trials. Based on a dose relativity of 3.75U Dysport® to 1U Botox® (see </w:t>
      </w:r>
      <w:r w:rsidR="0049101C" w:rsidRPr="002207D4">
        <w:t>Economic analysis below</w:t>
      </w:r>
      <w:r w:rsidR="009B732D" w:rsidRPr="002207D4">
        <w:t>), Dysport® 1500U should be compared to Botox® 400U (i.e. the maximum doses).</w:t>
      </w:r>
    </w:p>
    <w:p w:rsidR="00C930D1" w:rsidRPr="0073287B" w:rsidRDefault="00D64FC2" w:rsidP="000054E1">
      <w:pPr>
        <w:pStyle w:val="ListParagraph"/>
        <w:widowControl/>
        <w:numPr>
          <w:ilvl w:val="1"/>
          <w:numId w:val="1"/>
        </w:numPr>
        <w:ind w:left="720"/>
        <w:rPr>
          <w:rFonts w:ascii="Arial Narrow" w:hAnsi="Arial Narrow"/>
          <w:b/>
          <w:sz w:val="20"/>
          <w:szCs w:val="16"/>
        </w:rPr>
      </w:pPr>
      <w:r w:rsidRPr="00D03BE3">
        <w:t>The PBAC had previously considered that the uncertainty surrounding the treatment effect of Dysport® for LLFS could be mitigated through adjustment of the requested price (paragraph 7.12, Dysport® PSD, November 2018). At the March 2019 meeting, the PBAC had considered that a Special Pricing Arrangement and Risk Share Arrangement helped mitigate the outstanding uncertainty surrounding the clinical benefit, cost-effectiveness and financial implications associated with extending the listing of Dysport® in the upper limb following stroke, to also include spasticity following acute events others than stroke (web outcome, Dysport®, March 2019).</w:t>
      </w:r>
    </w:p>
    <w:p w:rsidR="0073287B" w:rsidRPr="001A35D3" w:rsidRDefault="0073287B" w:rsidP="00F064FB">
      <w:pPr>
        <w:pStyle w:val="ListParagraph"/>
        <w:widowControl/>
        <w:numPr>
          <w:ilvl w:val="1"/>
          <w:numId w:val="1"/>
        </w:numPr>
        <w:spacing w:after="120"/>
        <w:ind w:left="720"/>
        <w:rPr>
          <w:rFonts w:asciiTheme="minorHAnsi" w:hAnsiTheme="minorHAnsi"/>
          <w:szCs w:val="20"/>
        </w:rPr>
      </w:pPr>
      <w:r w:rsidRPr="001A35D3">
        <w:rPr>
          <w:rFonts w:asciiTheme="minorHAnsi" w:hAnsiTheme="minorHAnsi"/>
          <w:szCs w:val="20"/>
        </w:rPr>
        <w:t xml:space="preserve">The PBAC considered that the claim </w:t>
      </w:r>
      <w:r w:rsidR="007648B8" w:rsidRPr="001A35D3">
        <w:rPr>
          <w:rFonts w:asciiTheme="minorHAnsi" w:hAnsiTheme="minorHAnsi"/>
          <w:szCs w:val="20"/>
        </w:rPr>
        <w:t>that Dysport</w:t>
      </w:r>
      <w:r w:rsidR="007648B8" w:rsidRPr="001A35D3">
        <w:rPr>
          <w:rFonts w:asciiTheme="minorHAnsi" w:hAnsiTheme="minorHAnsi" w:cstheme="minorHAnsi"/>
          <w:szCs w:val="20"/>
        </w:rPr>
        <w:t>®</w:t>
      </w:r>
      <w:r w:rsidR="007648B8" w:rsidRPr="001A35D3">
        <w:rPr>
          <w:rFonts w:asciiTheme="minorHAnsi" w:hAnsiTheme="minorHAnsi"/>
          <w:szCs w:val="20"/>
        </w:rPr>
        <w:t xml:space="preserve"> was </w:t>
      </w:r>
      <w:r w:rsidRPr="001A35D3">
        <w:rPr>
          <w:rFonts w:asciiTheme="minorHAnsi" w:hAnsiTheme="minorHAnsi"/>
          <w:szCs w:val="20"/>
        </w:rPr>
        <w:t xml:space="preserve">non-inferior </w:t>
      </w:r>
      <w:r w:rsidR="007648B8" w:rsidRPr="001A35D3">
        <w:rPr>
          <w:rFonts w:asciiTheme="minorHAnsi" w:hAnsiTheme="minorHAnsi"/>
          <w:szCs w:val="20"/>
        </w:rPr>
        <w:t>to Botox</w:t>
      </w:r>
      <w:r w:rsidR="007648B8" w:rsidRPr="001A35D3">
        <w:rPr>
          <w:rFonts w:asciiTheme="minorHAnsi" w:hAnsiTheme="minorHAnsi" w:cstheme="minorHAnsi"/>
          <w:szCs w:val="20"/>
        </w:rPr>
        <w:t>®</w:t>
      </w:r>
      <w:r w:rsidR="007648B8" w:rsidRPr="001A35D3">
        <w:rPr>
          <w:rFonts w:asciiTheme="minorHAnsi" w:hAnsiTheme="minorHAnsi"/>
          <w:szCs w:val="20"/>
        </w:rPr>
        <w:t xml:space="preserve"> in terms of </w:t>
      </w:r>
      <w:r w:rsidRPr="001A35D3">
        <w:rPr>
          <w:rFonts w:asciiTheme="minorHAnsi" w:hAnsiTheme="minorHAnsi"/>
          <w:szCs w:val="20"/>
        </w:rPr>
        <w:t xml:space="preserve">comparative effectiveness was </w:t>
      </w:r>
      <w:r w:rsidR="007648B8" w:rsidRPr="001A35D3">
        <w:rPr>
          <w:rFonts w:asciiTheme="minorHAnsi" w:hAnsiTheme="minorHAnsi"/>
          <w:szCs w:val="20"/>
        </w:rPr>
        <w:t xml:space="preserve">likely to be </w:t>
      </w:r>
      <w:r w:rsidRPr="001A35D3">
        <w:rPr>
          <w:rFonts w:asciiTheme="minorHAnsi" w:hAnsiTheme="minorHAnsi"/>
          <w:szCs w:val="20"/>
        </w:rPr>
        <w:t>reasonable.</w:t>
      </w:r>
    </w:p>
    <w:p w:rsidR="0073287B" w:rsidRPr="001A35D3" w:rsidRDefault="0073287B" w:rsidP="00F064FB">
      <w:pPr>
        <w:pStyle w:val="ListParagraph"/>
        <w:widowControl/>
        <w:numPr>
          <w:ilvl w:val="1"/>
          <w:numId w:val="1"/>
        </w:numPr>
        <w:spacing w:after="120"/>
        <w:ind w:left="720"/>
        <w:rPr>
          <w:rFonts w:asciiTheme="minorHAnsi" w:hAnsiTheme="minorHAnsi"/>
          <w:szCs w:val="20"/>
        </w:rPr>
      </w:pPr>
      <w:r w:rsidRPr="001A35D3">
        <w:rPr>
          <w:rFonts w:asciiTheme="minorHAnsi" w:hAnsiTheme="minorHAnsi"/>
          <w:szCs w:val="20"/>
        </w:rPr>
        <w:t xml:space="preserve">The PBAC considered that the claim </w:t>
      </w:r>
      <w:r w:rsidR="007648B8" w:rsidRPr="001A35D3">
        <w:rPr>
          <w:rFonts w:asciiTheme="minorHAnsi" w:hAnsiTheme="minorHAnsi"/>
          <w:szCs w:val="20"/>
        </w:rPr>
        <w:t>that Dysport</w:t>
      </w:r>
      <w:r w:rsidR="007648B8" w:rsidRPr="001A35D3">
        <w:rPr>
          <w:rFonts w:asciiTheme="minorHAnsi" w:hAnsiTheme="minorHAnsi" w:cstheme="minorHAnsi"/>
          <w:szCs w:val="20"/>
        </w:rPr>
        <w:t>®</w:t>
      </w:r>
      <w:r w:rsidR="007648B8" w:rsidRPr="001A35D3">
        <w:rPr>
          <w:rFonts w:asciiTheme="minorHAnsi" w:hAnsiTheme="minorHAnsi"/>
          <w:szCs w:val="20"/>
        </w:rPr>
        <w:t xml:space="preserve"> was </w:t>
      </w:r>
      <w:r w:rsidRPr="001A35D3">
        <w:rPr>
          <w:rFonts w:asciiTheme="minorHAnsi" w:hAnsiTheme="minorHAnsi"/>
          <w:szCs w:val="20"/>
        </w:rPr>
        <w:t xml:space="preserve">non-inferior </w:t>
      </w:r>
      <w:r w:rsidR="007648B8" w:rsidRPr="001A35D3">
        <w:rPr>
          <w:rFonts w:asciiTheme="minorHAnsi" w:hAnsiTheme="minorHAnsi"/>
          <w:szCs w:val="20"/>
        </w:rPr>
        <w:t>to Botox</w:t>
      </w:r>
      <w:r w:rsidR="007648B8" w:rsidRPr="001A35D3">
        <w:rPr>
          <w:rFonts w:asciiTheme="minorHAnsi" w:hAnsiTheme="minorHAnsi" w:cstheme="minorHAnsi"/>
          <w:szCs w:val="20"/>
        </w:rPr>
        <w:t>®</w:t>
      </w:r>
      <w:r w:rsidR="007648B8" w:rsidRPr="001A35D3">
        <w:rPr>
          <w:rFonts w:asciiTheme="minorHAnsi" w:hAnsiTheme="minorHAnsi"/>
          <w:szCs w:val="20"/>
        </w:rPr>
        <w:t xml:space="preserve"> in terms of </w:t>
      </w:r>
      <w:r w:rsidRPr="001A35D3">
        <w:rPr>
          <w:rFonts w:asciiTheme="minorHAnsi" w:hAnsiTheme="minorHAnsi"/>
          <w:szCs w:val="20"/>
        </w:rPr>
        <w:t>comparative safety was reasonable.</w:t>
      </w:r>
    </w:p>
    <w:p w:rsidR="00D64FC2" w:rsidRPr="006C7919" w:rsidRDefault="00D64FC2" w:rsidP="006C7919">
      <w:pPr>
        <w:keepLines/>
        <w:spacing w:after="120"/>
        <w:jc w:val="left"/>
        <w:outlineLvl w:val="1"/>
        <w:rPr>
          <w:rFonts w:asciiTheme="minorHAnsi" w:hAnsiTheme="minorHAnsi" w:cs="Times New Roman"/>
          <w:b/>
          <w:i/>
          <w:snapToGrid/>
          <w:sz w:val="28"/>
          <w:szCs w:val="28"/>
          <w:lang w:eastAsia="en-AU"/>
        </w:rPr>
      </w:pPr>
      <w:bookmarkStart w:id="14" w:name="_Toc8130377"/>
      <w:bookmarkStart w:id="15" w:name="_Toc9247889"/>
      <w:r w:rsidRPr="006C7919">
        <w:rPr>
          <w:rFonts w:asciiTheme="minorHAnsi" w:hAnsiTheme="minorHAnsi" w:cs="Times New Roman"/>
          <w:b/>
          <w:i/>
          <w:snapToGrid/>
          <w:sz w:val="28"/>
          <w:szCs w:val="28"/>
          <w:lang w:eastAsia="en-AU"/>
        </w:rPr>
        <w:t>Economic analysis</w:t>
      </w:r>
      <w:bookmarkEnd w:id="14"/>
      <w:bookmarkEnd w:id="15"/>
      <w:r w:rsidRPr="006C7919">
        <w:rPr>
          <w:rFonts w:asciiTheme="minorHAnsi" w:hAnsiTheme="minorHAnsi" w:cs="Times New Roman"/>
          <w:b/>
          <w:i/>
          <w:snapToGrid/>
          <w:sz w:val="28"/>
          <w:szCs w:val="28"/>
          <w:lang w:eastAsia="en-AU"/>
        </w:rPr>
        <w:t xml:space="preserve"> </w:t>
      </w:r>
    </w:p>
    <w:p w:rsidR="009E0CA4" w:rsidRPr="002F4E76" w:rsidRDefault="002E71EC" w:rsidP="00F064FB">
      <w:pPr>
        <w:pStyle w:val="ListParagraph"/>
        <w:keepNext/>
        <w:widowControl/>
        <w:numPr>
          <w:ilvl w:val="1"/>
          <w:numId w:val="1"/>
        </w:numPr>
        <w:ind w:left="720"/>
        <w:rPr>
          <w:rFonts w:ascii="Arial Narrow" w:hAnsi="Arial Narrow"/>
          <w:b/>
          <w:sz w:val="20"/>
          <w:szCs w:val="16"/>
        </w:rPr>
      </w:pPr>
      <w:r w:rsidRPr="00D6663F">
        <w:rPr>
          <w:rFonts w:cs="Calibri"/>
          <w:snapToGrid/>
          <w:szCs w:val="24"/>
          <w:lang w:val="en-US" w:eastAsia="en-AU"/>
        </w:rPr>
        <w:t xml:space="preserve">The </w:t>
      </w:r>
      <w:r w:rsidR="00701D2F" w:rsidRPr="00D6663F">
        <w:rPr>
          <w:rFonts w:cs="Calibri"/>
          <w:snapToGrid/>
          <w:szCs w:val="24"/>
          <w:lang w:val="en-US" w:eastAsia="en-AU"/>
        </w:rPr>
        <w:t>re</w:t>
      </w:r>
      <w:r w:rsidRPr="00D6663F">
        <w:rPr>
          <w:rFonts w:cs="Calibri"/>
          <w:snapToGrid/>
          <w:szCs w:val="24"/>
          <w:lang w:val="en-US" w:eastAsia="en-AU"/>
        </w:rPr>
        <w:t>submission presented a cost</w:t>
      </w:r>
      <w:r w:rsidR="00981037">
        <w:rPr>
          <w:rFonts w:cs="Calibri"/>
          <w:snapToGrid/>
          <w:szCs w:val="24"/>
          <w:lang w:val="en-US" w:eastAsia="en-AU"/>
        </w:rPr>
        <w:t xml:space="preserve"> </w:t>
      </w:r>
      <w:r w:rsidRPr="00D6663F">
        <w:rPr>
          <w:rFonts w:cs="Calibri"/>
          <w:snapToGrid/>
          <w:szCs w:val="24"/>
          <w:lang w:val="en-US" w:eastAsia="en-AU"/>
        </w:rPr>
        <w:t>minimisation analysis</w:t>
      </w:r>
      <w:r w:rsidR="00AE6207" w:rsidRPr="00D6663F">
        <w:rPr>
          <w:rFonts w:cs="Calibri"/>
          <w:snapToGrid/>
          <w:szCs w:val="24"/>
          <w:lang w:val="en-US" w:eastAsia="en-AU"/>
        </w:rPr>
        <w:t xml:space="preserve">, comparing </w:t>
      </w:r>
      <w:r w:rsidR="008254B7" w:rsidRPr="00D6663F">
        <w:rPr>
          <w:rFonts w:cs="Calibri"/>
          <w:snapToGrid/>
          <w:szCs w:val="24"/>
          <w:lang w:val="en-US" w:eastAsia="en-AU"/>
        </w:rPr>
        <w:t>drug costs (no other costs or cost-offsets)</w:t>
      </w:r>
      <w:r w:rsidR="00AE6207" w:rsidRPr="00D6663F">
        <w:rPr>
          <w:rFonts w:cs="Calibri"/>
          <w:snapToGrid/>
          <w:szCs w:val="24"/>
          <w:lang w:val="en-US" w:eastAsia="en-AU"/>
        </w:rPr>
        <w:t xml:space="preserve"> of a single injection session with</w:t>
      </w:r>
      <w:r w:rsidRPr="00D6663F">
        <w:rPr>
          <w:rFonts w:cs="Calibri"/>
          <w:snapToGrid/>
          <w:szCs w:val="24"/>
          <w:lang w:val="en-US" w:eastAsia="en-AU"/>
        </w:rPr>
        <w:t xml:space="preserve"> Dysport® </w:t>
      </w:r>
      <w:r w:rsidR="00AE6207" w:rsidRPr="00D6663F">
        <w:rPr>
          <w:rFonts w:cs="Calibri"/>
          <w:snapToGrid/>
          <w:szCs w:val="24"/>
          <w:lang w:val="en-US" w:eastAsia="en-AU"/>
        </w:rPr>
        <w:t xml:space="preserve">1500U and </w:t>
      </w:r>
      <w:r w:rsidRPr="00D6663F">
        <w:rPr>
          <w:rFonts w:cs="Calibri"/>
          <w:snapToGrid/>
          <w:szCs w:val="24"/>
          <w:lang w:val="en-US" w:eastAsia="en-AU"/>
        </w:rPr>
        <w:t>Botox®</w:t>
      </w:r>
      <w:r w:rsidR="00AE6207" w:rsidRPr="00D6663F">
        <w:rPr>
          <w:rFonts w:cs="Calibri"/>
          <w:snapToGrid/>
          <w:szCs w:val="24"/>
          <w:lang w:val="en-US" w:eastAsia="en-AU"/>
        </w:rPr>
        <w:t xml:space="preserve"> 400U</w:t>
      </w:r>
      <w:r w:rsidRPr="00D6663F">
        <w:rPr>
          <w:rFonts w:cs="Calibri"/>
          <w:snapToGrid/>
          <w:szCs w:val="24"/>
          <w:lang w:val="en-US" w:eastAsia="en-AU"/>
        </w:rPr>
        <w:t>.</w:t>
      </w:r>
      <w:r w:rsidR="00D13A08" w:rsidRPr="00D6663F">
        <w:rPr>
          <w:rFonts w:cs="Calibri"/>
          <w:snapToGrid/>
          <w:szCs w:val="24"/>
          <w:lang w:val="en-US" w:eastAsia="en-AU"/>
        </w:rPr>
        <w:t xml:space="preserve"> </w:t>
      </w:r>
      <w:r w:rsidR="00777E14">
        <w:rPr>
          <w:rFonts w:cs="Calibri"/>
          <w:snapToGrid/>
          <w:szCs w:val="24"/>
          <w:lang w:val="en-US" w:eastAsia="en-AU"/>
        </w:rPr>
        <w:t xml:space="preserve">The analysis </w:t>
      </w:r>
      <w:r w:rsidR="00741154">
        <w:rPr>
          <w:rFonts w:cs="Calibri"/>
          <w:snapToGrid/>
          <w:szCs w:val="24"/>
          <w:lang w:val="en-US" w:eastAsia="en-AU"/>
        </w:rPr>
        <w:t>used</w:t>
      </w:r>
      <w:r w:rsidR="00777E14">
        <w:rPr>
          <w:rFonts w:cs="Calibri"/>
          <w:snapToGrid/>
          <w:szCs w:val="24"/>
          <w:lang w:val="en-US" w:eastAsia="en-AU"/>
        </w:rPr>
        <w:t xml:space="preserve"> the </w:t>
      </w:r>
      <w:r w:rsidR="00741154">
        <w:rPr>
          <w:rFonts w:cs="Calibri"/>
          <w:snapToGrid/>
          <w:szCs w:val="24"/>
          <w:lang w:val="en-US" w:eastAsia="en-AU"/>
        </w:rPr>
        <w:t xml:space="preserve">current </w:t>
      </w:r>
      <w:r w:rsidR="00777E14">
        <w:rPr>
          <w:rFonts w:cs="Calibri"/>
          <w:snapToGrid/>
          <w:szCs w:val="24"/>
          <w:lang w:val="en-US" w:eastAsia="en-AU"/>
        </w:rPr>
        <w:t xml:space="preserve">list price of Botox® </w:t>
      </w:r>
      <w:r w:rsidR="00741154">
        <w:rPr>
          <w:rFonts w:cs="Calibri"/>
          <w:snapToGrid/>
          <w:szCs w:val="24"/>
          <w:lang w:val="en-US" w:eastAsia="en-AU"/>
        </w:rPr>
        <w:t xml:space="preserve">400U </w:t>
      </w:r>
      <w:r w:rsidR="00777E14">
        <w:rPr>
          <w:rFonts w:cs="Calibri"/>
          <w:snapToGrid/>
          <w:szCs w:val="24"/>
          <w:lang w:val="en-US" w:eastAsia="en-AU"/>
        </w:rPr>
        <w:t>for upper limb spasticity ($</w:t>
      </w:r>
      <w:r w:rsidR="00D73CF2">
        <w:rPr>
          <w:rFonts w:cs="Calibri"/>
          <w:noProof/>
          <w:snapToGrid/>
          <w:color w:val="000000"/>
          <w:szCs w:val="24"/>
          <w:highlight w:val="black"/>
          <w:lang w:val="en-US" w:eastAsia="en-AU"/>
        </w:rPr>
        <w:t>''''''''''''''''''</w:t>
      </w:r>
      <w:r w:rsidR="00777E14">
        <w:rPr>
          <w:rFonts w:cs="Calibri"/>
          <w:snapToGrid/>
          <w:szCs w:val="24"/>
          <w:lang w:val="en-US" w:eastAsia="en-AU"/>
        </w:rPr>
        <w:t xml:space="preserve">) as a placeholder price given the </w:t>
      </w:r>
      <w:r w:rsidR="00372A21">
        <w:rPr>
          <w:rFonts w:cs="Calibri"/>
          <w:snapToGrid/>
          <w:szCs w:val="24"/>
          <w:lang w:val="en-US" w:eastAsia="en-AU"/>
        </w:rPr>
        <w:t>sponsor</w:t>
      </w:r>
      <w:r w:rsidR="009E0CA4">
        <w:rPr>
          <w:rFonts w:cs="Calibri"/>
          <w:snapToGrid/>
          <w:szCs w:val="24"/>
          <w:lang w:val="en-US" w:eastAsia="en-AU"/>
        </w:rPr>
        <w:t xml:space="preserve"> was unaware of the </w:t>
      </w:r>
      <w:r w:rsidR="00777E14">
        <w:rPr>
          <w:rFonts w:cs="Calibri"/>
          <w:snapToGrid/>
          <w:szCs w:val="24"/>
          <w:lang w:val="en-US" w:eastAsia="en-AU"/>
        </w:rPr>
        <w:t>recommended</w:t>
      </w:r>
      <w:r w:rsidR="009E0CA4">
        <w:rPr>
          <w:rFonts w:cs="Calibri"/>
          <w:snapToGrid/>
          <w:szCs w:val="24"/>
          <w:lang w:val="en-US" w:eastAsia="en-AU"/>
        </w:rPr>
        <w:t xml:space="preserve"> list price </w:t>
      </w:r>
      <w:r w:rsidR="00777E14">
        <w:rPr>
          <w:rFonts w:cs="Calibri"/>
          <w:snapToGrid/>
          <w:szCs w:val="24"/>
          <w:lang w:val="en-US" w:eastAsia="en-AU"/>
        </w:rPr>
        <w:t>for lower limb spasticity.</w:t>
      </w:r>
    </w:p>
    <w:p w:rsidR="00D6663F" w:rsidRPr="0062684E" w:rsidRDefault="00AE6207" w:rsidP="0036686A">
      <w:pPr>
        <w:pStyle w:val="ListParagraph"/>
        <w:widowControl/>
        <w:numPr>
          <w:ilvl w:val="1"/>
          <w:numId w:val="1"/>
        </w:numPr>
        <w:ind w:left="720"/>
        <w:rPr>
          <w:rFonts w:ascii="Arial Narrow" w:hAnsi="Arial Narrow"/>
          <w:b/>
          <w:sz w:val="20"/>
          <w:szCs w:val="16"/>
        </w:rPr>
      </w:pPr>
      <w:r w:rsidRPr="00D6663F">
        <w:rPr>
          <w:rFonts w:cs="Calibri"/>
          <w:snapToGrid/>
          <w:szCs w:val="24"/>
          <w:lang w:val="en-US" w:eastAsia="en-AU"/>
        </w:rPr>
        <w:t xml:space="preserve">The </w:t>
      </w:r>
      <w:r w:rsidR="00981037">
        <w:rPr>
          <w:rFonts w:cs="Calibri"/>
          <w:snapToGrid/>
          <w:szCs w:val="24"/>
          <w:lang w:val="en-US" w:eastAsia="en-AU"/>
        </w:rPr>
        <w:t xml:space="preserve">cost minimisation </w:t>
      </w:r>
      <w:r w:rsidRPr="00D6663F">
        <w:rPr>
          <w:rFonts w:cs="Calibri"/>
          <w:snapToGrid/>
          <w:szCs w:val="24"/>
          <w:lang w:val="en-US" w:eastAsia="en-AU"/>
        </w:rPr>
        <w:t>analysis assumed 2.66U of Dysport</w:t>
      </w:r>
      <w:r w:rsidR="00054260">
        <w:rPr>
          <w:rFonts w:cs="Calibri"/>
          <w:snapToGrid/>
          <w:szCs w:val="24"/>
          <w:lang w:val="en-US" w:eastAsia="en-AU"/>
        </w:rPr>
        <w:t>®</w:t>
      </w:r>
      <w:r w:rsidRPr="00D6663F">
        <w:rPr>
          <w:rFonts w:cs="Calibri"/>
          <w:snapToGrid/>
          <w:szCs w:val="24"/>
          <w:lang w:val="en-US" w:eastAsia="en-AU"/>
        </w:rPr>
        <w:t xml:space="preserve"> was equi-effective to 1U of Botox®</w:t>
      </w:r>
      <w:r w:rsidR="008254B7" w:rsidRPr="00D6663F">
        <w:rPr>
          <w:rFonts w:cs="Calibri"/>
          <w:snapToGrid/>
          <w:szCs w:val="24"/>
          <w:lang w:val="en-US" w:eastAsia="en-AU"/>
        </w:rPr>
        <w:t xml:space="preserve">, </w:t>
      </w:r>
      <w:r w:rsidR="008254B7">
        <w:t xml:space="preserve">based </w:t>
      </w:r>
      <w:r w:rsidR="008254B7" w:rsidRPr="00D6663F">
        <w:rPr>
          <w:rFonts w:asciiTheme="minorHAnsi" w:hAnsiTheme="minorHAnsi"/>
        </w:rPr>
        <w:t xml:space="preserve">on the </w:t>
      </w:r>
      <w:r w:rsidR="009E0CA4" w:rsidRPr="0062684E">
        <w:rPr>
          <w:rFonts w:asciiTheme="minorHAnsi" w:hAnsiTheme="minorHAnsi"/>
        </w:rPr>
        <w:t>mean</w:t>
      </w:r>
      <w:r w:rsidR="008254B7" w:rsidRPr="0062684E">
        <w:rPr>
          <w:rFonts w:asciiTheme="minorHAnsi" w:hAnsiTheme="minorHAnsi"/>
        </w:rPr>
        <w:t xml:space="preserve"> dose of Dysport</w:t>
      </w:r>
      <w:r w:rsidR="00054260" w:rsidRPr="0062684E">
        <w:rPr>
          <w:rFonts w:asciiTheme="minorHAnsi" w:hAnsiTheme="minorHAnsi"/>
        </w:rPr>
        <w:t>®</w:t>
      </w:r>
      <w:r w:rsidR="008254B7" w:rsidRPr="0062684E">
        <w:rPr>
          <w:rFonts w:asciiTheme="minorHAnsi" w:hAnsiTheme="minorHAnsi"/>
        </w:rPr>
        <w:t xml:space="preserve"> injected into the GSC (</w:t>
      </w:r>
      <w:r w:rsidR="00053159" w:rsidRPr="0062684E">
        <w:rPr>
          <w:rFonts w:asciiTheme="minorHAnsi" w:hAnsiTheme="minorHAnsi"/>
        </w:rPr>
        <w:t xml:space="preserve">reported as </w:t>
      </w:r>
      <w:r w:rsidR="008254B7" w:rsidRPr="0062684E">
        <w:rPr>
          <w:rFonts w:asciiTheme="minorHAnsi" w:hAnsiTheme="minorHAnsi"/>
        </w:rPr>
        <w:lastRenderedPageBreak/>
        <w:t xml:space="preserve">796.9U) in Study 140 and the maximum dose of </w:t>
      </w:r>
      <w:r w:rsidR="00057611" w:rsidRPr="0062684E">
        <w:rPr>
          <w:rFonts w:asciiTheme="minorHAnsi" w:hAnsiTheme="minorHAnsi"/>
        </w:rPr>
        <w:t>Botox®</w:t>
      </w:r>
      <w:r w:rsidR="001A35D3" w:rsidRPr="0062684E">
        <w:rPr>
          <w:rFonts w:asciiTheme="minorHAnsi" w:hAnsiTheme="minorHAnsi"/>
        </w:rPr>
        <w:t xml:space="preserve"> </w:t>
      </w:r>
      <w:r w:rsidR="008254B7" w:rsidRPr="0062684E">
        <w:rPr>
          <w:rFonts w:asciiTheme="minorHAnsi" w:hAnsiTheme="minorHAnsi"/>
        </w:rPr>
        <w:t>injected into the GSC plus tibialis posterior</w:t>
      </w:r>
      <w:r w:rsidR="00F064FB">
        <w:rPr>
          <w:rFonts w:asciiTheme="minorHAnsi" w:hAnsiTheme="minorHAnsi"/>
        </w:rPr>
        <w:t xml:space="preserve"> (300</w:t>
      </w:r>
      <w:r w:rsidR="0036686A" w:rsidRPr="0062684E">
        <w:rPr>
          <w:rFonts w:asciiTheme="minorHAnsi" w:hAnsiTheme="minorHAnsi"/>
        </w:rPr>
        <w:t>U) in the Botox® trials.</w:t>
      </w:r>
    </w:p>
    <w:p w:rsidR="002E71EC" w:rsidRPr="000054E1" w:rsidRDefault="007F3218" w:rsidP="0036686A">
      <w:pPr>
        <w:pStyle w:val="ListParagraph"/>
        <w:widowControl/>
        <w:numPr>
          <w:ilvl w:val="1"/>
          <w:numId w:val="1"/>
        </w:numPr>
        <w:ind w:left="720"/>
        <w:rPr>
          <w:i/>
        </w:rPr>
      </w:pPr>
      <w:r w:rsidRPr="00D03BE3">
        <w:t xml:space="preserve">The </w:t>
      </w:r>
      <w:r w:rsidR="00981037">
        <w:t>resulting</w:t>
      </w:r>
      <w:r w:rsidR="00981037" w:rsidRPr="00D03BE3">
        <w:t xml:space="preserve"> </w:t>
      </w:r>
      <w:r w:rsidRPr="00D03BE3">
        <w:t xml:space="preserve">estimated </w:t>
      </w:r>
      <w:r w:rsidR="00D6663F" w:rsidRPr="00D03BE3">
        <w:t>cost per cycle (</w:t>
      </w:r>
      <w:r w:rsidR="00B73BB6" w:rsidRPr="00D03BE3">
        <w:t>i.e</w:t>
      </w:r>
      <w:r w:rsidR="00D6663F" w:rsidRPr="00D03BE3">
        <w:t xml:space="preserve">. the </w:t>
      </w:r>
      <w:r w:rsidR="000054E1">
        <w:t>m</w:t>
      </w:r>
      <w:r w:rsidR="009A4484" w:rsidRPr="00D03BE3">
        <w:t>aximum AEMP</w:t>
      </w:r>
      <w:r w:rsidR="00D6663F" w:rsidRPr="00D03BE3">
        <w:t xml:space="preserve">) for treatment with Dysport® </w:t>
      </w:r>
      <w:r w:rsidR="009E0CA4" w:rsidRPr="00D03BE3">
        <w:t xml:space="preserve">1500U </w:t>
      </w:r>
      <w:r w:rsidR="00D6663F" w:rsidRPr="00D03BE3">
        <w:t>($</w:t>
      </w:r>
      <w:r w:rsidR="00D73CF2">
        <w:rPr>
          <w:noProof/>
          <w:color w:val="000000"/>
          <w:highlight w:val="black"/>
        </w:rPr>
        <w:t>'''''''''''''''</w:t>
      </w:r>
      <w:r w:rsidR="00D6663F" w:rsidRPr="00D03BE3">
        <w:t xml:space="preserve">) was significantly more costly than treatment with Botox® </w:t>
      </w:r>
      <w:r w:rsidR="009E0CA4" w:rsidRPr="00D03BE3">
        <w:t xml:space="preserve">400U </w:t>
      </w:r>
      <w:r w:rsidR="00D6663F" w:rsidRPr="00D03BE3">
        <w:t>($</w:t>
      </w:r>
      <w:r w:rsidR="00D73CF2">
        <w:rPr>
          <w:noProof/>
          <w:color w:val="000000"/>
          <w:highlight w:val="black"/>
        </w:rPr>
        <w:t>''''''''''''''''</w:t>
      </w:r>
      <w:r w:rsidR="00D6663F" w:rsidRPr="00D03BE3">
        <w:t>).</w:t>
      </w:r>
      <w:r w:rsidR="00D6663F" w:rsidRPr="00D03BE3">
        <w:rPr>
          <w:iCs/>
        </w:rPr>
        <w:t xml:space="preserve"> </w:t>
      </w:r>
      <w:r w:rsidRPr="002207D4">
        <w:rPr>
          <w:iCs/>
        </w:rPr>
        <w:t>However, t</w:t>
      </w:r>
      <w:r w:rsidR="002E71EC" w:rsidRPr="002207D4">
        <w:rPr>
          <w:rFonts w:asciiTheme="minorHAnsi" w:hAnsiTheme="minorHAnsi"/>
          <w:iCs/>
        </w:rPr>
        <w:t xml:space="preserve">he </w:t>
      </w:r>
      <w:r w:rsidR="009E531D" w:rsidRPr="002207D4">
        <w:rPr>
          <w:rFonts w:asciiTheme="minorHAnsi" w:hAnsiTheme="minorHAnsi"/>
          <w:iCs/>
        </w:rPr>
        <w:t xml:space="preserve">ESC considered that the </w:t>
      </w:r>
      <w:r w:rsidR="002E71EC" w:rsidRPr="002207D4">
        <w:rPr>
          <w:rFonts w:asciiTheme="minorHAnsi" w:hAnsiTheme="minorHAnsi"/>
          <w:iCs/>
        </w:rPr>
        <w:t>nominated equi-effective dose</w:t>
      </w:r>
      <w:r w:rsidR="000054E1" w:rsidRPr="002207D4">
        <w:rPr>
          <w:rFonts w:asciiTheme="minorHAnsi" w:hAnsiTheme="minorHAnsi"/>
          <w:iCs/>
        </w:rPr>
        <w:t>s</w:t>
      </w:r>
      <w:r w:rsidR="002E71EC" w:rsidRPr="002207D4">
        <w:rPr>
          <w:rFonts w:asciiTheme="minorHAnsi" w:hAnsiTheme="minorHAnsi"/>
          <w:iCs/>
        </w:rPr>
        <w:t xml:space="preserve"> w</w:t>
      </w:r>
      <w:r w:rsidR="000054E1" w:rsidRPr="002207D4">
        <w:rPr>
          <w:rFonts w:asciiTheme="minorHAnsi" w:hAnsiTheme="minorHAnsi"/>
          <w:iCs/>
        </w:rPr>
        <w:t>ere</w:t>
      </w:r>
      <w:r w:rsidR="002E71EC" w:rsidRPr="002207D4">
        <w:rPr>
          <w:rFonts w:asciiTheme="minorHAnsi" w:hAnsiTheme="minorHAnsi"/>
          <w:iCs/>
        </w:rPr>
        <w:t xml:space="preserve"> not appropriate for the following reasons:</w:t>
      </w:r>
      <w:r w:rsidR="002E71EC" w:rsidRPr="000054E1">
        <w:rPr>
          <w:rFonts w:asciiTheme="minorHAnsi" w:hAnsiTheme="minorHAnsi"/>
          <w:i/>
          <w:iCs/>
        </w:rPr>
        <w:t xml:space="preserve"> </w:t>
      </w:r>
    </w:p>
    <w:p w:rsidR="000054E1" w:rsidRPr="000054E1" w:rsidRDefault="000054E1" w:rsidP="000054E1">
      <w:pPr>
        <w:pStyle w:val="ListParagraph"/>
        <w:numPr>
          <w:ilvl w:val="0"/>
          <w:numId w:val="14"/>
        </w:numPr>
        <w:ind w:left="1134"/>
        <w:rPr>
          <w:rFonts w:asciiTheme="minorHAnsi" w:hAnsiTheme="minorHAnsi"/>
          <w:iCs/>
        </w:rPr>
      </w:pPr>
      <w:r>
        <w:rPr>
          <w:iCs/>
        </w:rPr>
        <w:t>T</w:t>
      </w:r>
      <w:r w:rsidRPr="00594F08">
        <w:rPr>
          <w:iCs/>
        </w:rPr>
        <w:t>he maximum dose of Botox® injected into the GSC was 225U, not 300U as assumed.</w:t>
      </w:r>
    </w:p>
    <w:p w:rsidR="002E71EC" w:rsidRPr="00594F08" w:rsidRDefault="002E71EC" w:rsidP="004478D4">
      <w:pPr>
        <w:pStyle w:val="ListParagraph"/>
        <w:numPr>
          <w:ilvl w:val="0"/>
          <w:numId w:val="14"/>
        </w:numPr>
        <w:ind w:left="1134"/>
        <w:rPr>
          <w:rFonts w:asciiTheme="minorHAnsi" w:hAnsiTheme="minorHAnsi"/>
          <w:iCs/>
        </w:rPr>
      </w:pPr>
      <w:r w:rsidRPr="00594F08">
        <w:rPr>
          <w:iCs/>
        </w:rPr>
        <w:t xml:space="preserve">The </w:t>
      </w:r>
      <w:r w:rsidR="009739FF" w:rsidRPr="00594F08">
        <w:rPr>
          <w:iCs/>
        </w:rPr>
        <w:t xml:space="preserve">resubmission proposed that </w:t>
      </w:r>
      <w:r w:rsidRPr="00594F08">
        <w:rPr>
          <w:iCs/>
        </w:rPr>
        <w:t xml:space="preserve">only the dose injected into the GSC was relevant when comparing MAS measured at the GSC. </w:t>
      </w:r>
      <w:r w:rsidR="0009291F" w:rsidRPr="00594F08">
        <w:rPr>
          <w:iCs/>
        </w:rPr>
        <w:t>This</w:t>
      </w:r>
      <w:r w:rsidR="00C24E8D" w:rsidRPr="00594F08">
        <w:rPr>
          <w:iCs/>
        </w:rPr>
        <w:t xml:space="preserve"> </w:t>
      </w:r>
      <w:r w:rsidR="009739FF" w:rsidRPr="00594F08">
        <w:rPr>
          <w:iCs/>
        </w:rPr>
        <w:t>rationale was poorly justified</w:t>
      </w:r>
      <w:r w:rsidR="00C24E8D" w:rsidRPr="00594F08">
        <w:rPr>
          <w:iCs/>
        </w:rPr>
        <w:t xml:space="preserve">. The CSR for Study 142 (the OL phase of Study 140) stated that </w:t>
      </w:r>
      <w:r w:rsidRPr="00594F08">
        <w:rPr>
          <w:iCs/>
        </w:rPr>
        <w:t>Dysport® injections to the flexor longus muscles and the tibialis posterior muscle also had an impact on the MAS of the ankle joint</w:t>
      </w:r>
      <w:r w:rsidR="00C24E8D" w:rsidRPr="00594F08">
        <w:rPr>
          <w:iCs/>
        </w:rPr>
        <w:t>,</w:t>
      </w:r>
      <w:r w:rsidRPr="00594F08">
        <w:rPr>
          <w:iCs/>
        </w:rPr>
        <w:t xml:space="preserve"> in view of their action on plantarflexion of the ankle.</w:t>
      </w:r>
    </w:p>
    <w:p w:rsidR="000D5740" w:rsidRPr="000D5740" w:rsidRDefault="002E71EC" w:rsidP="000D5740">
      <w:pPr>
        <w:pStyle w:val="ListParagraph"/>
        <w:numPr>
          <w:ilvl w:val="0"/>
          <w:numId w:val="14"/>
        </w:numPr>
        <w:ind w:left="1134"/>
        <w:rPr>
          <w:rFonts w:asciiTheme="minorHAnsi" w:hAnsiTheme="minorHAnsi"/>
          <w:iCs/>
        </w:rPr>
      </w:pPr>
      <w:r w:rsidRPr="00D03BE3">
        <w:rPr>
          <w:rFonts w:asciiTheme="minorHAnsi" w:hAnsiTheme="minorHAnsi"/>
          <w:iCs/>
        </w:rPr>
        <w:t xml:space="preserve">The </w:t>
      </w:r>
      <w:r w:rsidRPr="000D5740">
        <w:rPr>
          <w:rFonts w:asciiTheme="minorHAnsi" w:hAnsiTheme="minorHAnsi"/>
          <w:iCs/>
        </w:rPr>
        <w:t>resubmission</w:t>
      </w:r>
      <w:r w:rsidRPr="00D03BE3">
        <w:rPr>
          <w:rFonts w:asciiTheme="minorHAnsi" w:hAnsiTheme="minorHAnsi"/>
          <w:iCs/>
        </w:rPr>
        <w:t xml:space="preserve"> did not report the </w:t>
      </w:r>
      <w:r w:rsidR="00752D1D" w:rsidRPr="00D03BE3">
        <w:rPr>
          <w:rFonts w:asciiTheme="minorHAnsi" w:hAnsiTheme="minorHAnsi"/>
          <w:iCs/>
        </w:rPr>
        <w:t xml:space="preserve">mean </w:t>
      </w:r>
      <w:r w:rsidRPr="00D03BE3">
        <w:rPr>
          <w:rFonts w:asciiTheme="minorHAnsi" w:hAnsiTheme="minorHAnsi"/>
          <w:iCs/>
        </w:rPr>
        <w:t>doses and</w:t>
      </w:r>
      <w:r w:rsidR="00752D1D" w:rsidRPr="00D03BE3">
        <w:rPr>
          <w:rFonts w:asciiTheme="minorHAnsi" w:hAnsiTheme="minorHAnsi"/>
          <w:iCs/>
        </w:rPr>
        <w:t>/or</w:t>
      </w:r>
      <w:r w:rsidRPr="00D03BE3">
        <w:rPr>
          <w:rFonts w:asciiTheme="minorHAnsi" w:hAnsiTheme="minorHAnsi"/>
          <w:iCs/>
        </w:rPr>
        <w:t xml:space="preserve"> muscles injected </w:t>
      </w:r>
      <w:r w:rsidR="00752D1D" w:rsidRPr="00D03BE3">
        <w:rPr>
          <w:rFonts w:asciiTheme="minorHAnsi" w:hAnsiTheme="minorHAnsi"/>
          <w:iCs/>
        </w:rPr>
        <w:t xml:space="preserve">for patients in </w:t>
      </w:r>
      <w:r w:rsidRPr="00D03BE3">
        <w:rPr>
          <w:rFonts w:asciiTheme="minorHAnsi" w:hAnsiTheme="minorHAnsi"/>
          <w:iCs/>
        </w:rPr>
        <w:t xml:space="preserve">the PBS </w:t>
      </w:r>
      <w:r w:rsidR="00752D1D" w:rsidRPr="00D03BE3">
        <w:rPr>
          <w:rFonts w:asciiTheme="minorHAnsi" w:hAnsiTheme="minorHAnsi"/>
          <w:iCs/>
        </w:rPr>
        <w:t xml:space="preserve">subgroup </w:t>
      </w:r>
      <w:r w:rsidR="00F35058" w:rsidRPr="00D03BE3">
        <w:rPr>
          <w:rFonts w:asciiTheme="minorHAnsi" w:hAnsiTheme="minorHAnsi"/>
          <w:iCs/>
        </w:rPr>
        <w:t>of Study 140</w:t>
      </w:r>
      <w:r w:rsidR="00111255">
        <w:rPr>
          <w:rFonts w:asciiTheme="minorHAnsi" w:hAnsiTheme="minorHAnsi"/>
          <w:iCs/>
        </w:rPr>
        <w:t>.</w:t>
      </w:r>
      <w:r w:rsidR="000D5740" w:rsidRPr="000D5740">
        <w:rPr>
          <w:rFonts w:asciiTheme="minorHAnsi" w:hAnsiTheme="minorHAnsi"/>
          <w:iCs/>
        </w:rPr>
        <w:t xml:space="preserve"> </w:t>
      </w:r>
    </w:p>
    <w:p w:rsidR="002E71EC" w:rsidRPr="00D03BE3" w:rsidRDefault="00752D1D" w:rsidP="003642BB">
      <w:pPr>
        <w:pStyle w:val="ListParagraph"/>
        <w:numPr>
          <w:ilvl w:val="0"/>
          <w:numId w:val="14"/>
        </w:numPr>
        <w:ind w:left="1134"/>
        <w:rPr>
          <w:rFonts w:asciiTheme="minorHAnsi" w:hAnsiTheme="minorHAnsi"/>
          <w:iCs/>
        </w:rPr>
      </w:pPr>
      <w:r w:rsidRPr="00D03BE3">
        <w:rPr>
          <w:rFonts w:asciiTheme="minorHAnsi" w:hAnsiTheme="minorHAnsi"/>
          <w:iCs/>
        </w:rPr>
        <w:t xml:space="preserve">The comparison of a mean dose to a maximum dose was not reasonable given </w:t>
      </w:r>
      <w:r w:rsidR="00F35058" w:rsidRPr="00D03BE3">
        <w:rPr>
          <w:rFonts w:asciiTheme="minorHAnsi" w:hAnsiTheme="minorHAnsi"/>
          <w:iCs/>
        </w:rPr>
        <w:t>the</w:t>
      </w:r>
      <w:r w:rsidRPr="00D03BE3">
        <w:rPr>
          <w:rFonts w:asciiTheme="minorHAnsi" w:hAnsiTheme="minorHAnsi"/>
          <w:iCs/>
        </w:rPr>
        <w:t>y may not be equivalent. The trial publications did not report the mean doses of Botox® administered</w:t>
      </w:r>
      <w:r w:rsidR="00111255">
        <w:rPr>
          <w:rFonts w:asciiTheme="minorHAnsi" w:hAnsiTheme="minorHAnsi"/>
          <w:iCs/>
        </w:rPr>
        <w:t>;</w:t>
      </w:r>
      <w:r w:rsidRPr="00D03BE3">
        <w:rPr>
          <w:rFonts w:asciiTheme="minorHAnsi" w:hAnsiTheme="minorHAnsi"/>
          <w:iCs/>
        </w:rPr>
        <w:t xml:space="preserve"> hence</w:t>
      </w:r>
      <w:r w:rsidR="00111255">
        <w:rPr>
          <w:rFonts w:asciiTheme="minorHAnsi" w:hAnsiTheme="minorHAnsi"/>
          <w:iCs/>
        </w:rPr>
        <w:t>,</w:t>
      </w:r>
      <w:r w:rsidRPr="00D03BE3">
        <w:rPr>
          <w:rFonts w:asciiTheme="minorHAnsi" w:hAnsiTheme="minorHAnsi"/>
          <w:iCs/>
        </w:rPr>
        <w:t xml:space="preserve"> </w:t>
      </w:r>
      <w:r w:rsidR="002E71EC" w:rsidRPr="00D03BE3">
        <w:rPr>
          <w:rFonts w:asciiTheme="minorHAnsi" w:hAnsiTheme="minorHAnsi"/>
          <w:iCs/>
        </w:rPr>
        <w:t xml:space="preserve">it </w:t>
      </w:r>
      <w:r w:rsidR="00111255">
        <w:rPr>
          <w:rFonts w:asciiTheme="minorHAnsi" w:hAnsiTheme="minorHAnsi"/>
          <w:iCs/>
        </w:rPr>
        <w:t xml:space="preserve">would have been </w:t>
      </w:r>
      <w:r w:rsidR="002E71EC" w:rsidRPr="00D03BE3">
        <w:rPr>
          <w:rFonts w:asciiTheme="minorHAnsi" w:hAnsiTheme="minorHAnsi"/>
          <w:iCs/>
        </w:rPr>
        <w:t>more reasonable to compare maximum doses of Dysport® and Botox®.</w:t>
      </w:r>
    </w:p>
    <w:p w:rsidR="002E71EC" w:rsidRPr="00D03BE3" w:rsidRDefault="00111255" w:rsidP="006D50C2">
      <w:pPr>
        <w:pStyle w:val="ListParagraph"/>
        <w:numPr>
          <w:ilvl w:val="0"/>
          <w:numId w:val="14"/>
        </w:numPr>
        <w:ind w:left="1134"/>
        <w:rPr>
          <w:rFonts w:asciiTheme="minorHAnsi" w:hAnsiTheme="minorHAnsi"/>
          <w:iCs/>
        </w:rPr>
      </w:pPr>
      <w:r>
        <w:rPr>
          <w:rFonts w:asciiTheme="minorHAnsi" w:hAnsiTheme="minorHAnsi"/>
          <w:iCs/>
        </w:rPr>
        <w:t>The cost minimised p</w:t>
      </w:r>
      <w:r w:rsidR="002E71EC" w:rsidRPr="00D03BE3">
        <w:rPr>
          <w:rFonts w:asciiTheme="minorHAnsi" w:hAnsiTheme="minorHAnsi"/>
          <w:iCs/>
        </w:rPr>
        <w:t xml:space="preserve">rices for Dysport® and Botox® should include similar wastage. </w:t>
      </w:r>
      <w:r w:rsidRPr="002207D4">
        <w:rPr>
          <w:rFonts w:asciiTheme="minorHAnsi" w:hAnsiTheme="minorHAnsi"/>
          <w:iCs/>
        </w:rPr>
        <w:t>The ESC noted that BoNT must be refrigerated and that vials are single use only. Therefore, the ESC considered that i</w:t>
      </w:r>
      <w:r w:rsidR="002E71EC" w:rsidRPr="002207D4">
        <w:rPr>
          <w:rFonts w:asciiTheme="minorHAnsi" w:hAnsiTheme="minorHAnsi"/>
          <w:iCs/>
        </w:rPr>
        <w:t>n practice</w:t>
      </w:r>
      <w:r w:rsidR="002E71EC" w:rsidRPr="00D03BE3">
        <w:rPr>
          <w:rFonts w:asciiTheme="minorHAnsi" w:hAnsiTheme="minorHAnsi"/>
          <w:iCs/>
        </w:rPr>
        <w:t>, clinicians would prescribe either 1500U of Dysport® or 400U of Botox®, even if the doses administered were slightly lower.</w:t>
      </w:r>
      <w:r w:rsidR="005B0446">
        <w:rPr>
          <w:rFonts w:asciiTheme="minorHAnsi" w:hAnsiTheme="minorHAnsi"/>
          <w:iCs/>
        </w:rPr>
        <w:t xml:space="preserve"> </w:t>
      </w:r>
    </w:p>
    <w:p w:rsidR="002E71EC" w:rsidRPr="00D03BE3" w:rsidRDefault="00074D59" w:rsidP="0036686A">
      <w:pPr>
        <w:pStyle w:val="ListParagraph"/>
        <w:widowControl/>
        <w:numPr>
          <w:ilvl w:val="1"/>
          <w:numId w:val="1"/>
        </w:numPr>
        <w:ind w:left="720"/>
        <w:rPr>
          <w:iCs/>
        </w:rPr>
      </w:pPr>
      <w:r w:rsidRPr="00D03BE3">
        <w:rPr>
          <w:iCs/>
        </w:rPr>
        <w:t>Table 6</w:t>
      </w:r>
      <w:r w:rsidR="002E71EC" w:rsidRPr="00D03BE3">
        <w:rPr>
          <w:iCs/>
        </w:rPr>
        <w:t xml:space="preserve"> summarises the doses injected </w:t>
      </w:r>
      <w:r w:rsidR="00843743" w:rsidRPr="00D03BE3">
        <w:rPr>
          <w:iCs/>
        </w:rPr>
        <w:t xml:space="preserve">by muscle group </w:t>
      </w:r>
      <w:r w:rsidR="002E71EC" w:rsidRPr="00D03BE3">
        <w:rPr>
          <w:iCs/>
        </w:rPr>
        <w:t>in Study 140 and the Botox® trials, and the corresponding equi-effective doses.</w:t>
      </w:r>
    </w:p>
    <w:p w:rsidR="00FD3D25" w:rsidRDefault="00FD3D25" w:rsidP="00FD3D25">
      <w:pPr>
        <w:pStyle w:val="TableHeading0"/>
      </w:pPr>
      <w:r>
        <w:t xml:space="preserve">Table </w:t>
      </w:r>
      <w:r w:rsidR="008C0876">
        <w:fldChar w:fldCharType="begin"/>
      </w:r>
      <w:r w:rsidR="008C0876">
        <w:instrText xml:space="preserve"> SEQ Table \* ARABIC </w:instrText>
      </w:r>
      <w:r w:rsidR="008C0876">
        <w:fldChar w:fldCharType="separate"/>
      </w:r>
      <w:r w:rsidR="00915F21">
        <w:rPr>
          <w:noProof/>
        </w:rPr>
        <w:t>6</w:t>
      </w:r>
      <w:r w:rsidR="008C0876">
        <w:rPr>
          <w:noProof/>
        </w:rPr>
        <w:fldChar w:fldCharType="end"/>
      </w:r>
      <w:r w:rsidRPr="00673D32">
        <w:t>: Mean/Maximum doses injected and equi-effective dose estimation^</w:t>
      </w:r>
    </w:p>
    <w:tbl>
      <w:tblPr>
        <w:tblStyle w:val="TableGrid"/>
        <w:tblW w:w="5000" w:type="pct"/>
        <w:tblCellMar>
          <w:left w:w="28" w:type="dxa"/>
          <w:right w:w="28" w:type="dxa"/>
        </w:tblCellMar>
        <w:tblLook w:val="04A0" w:firstRow="1" w:lastRow="0" w:firstColumn="1" w:lastColumn="0" w:noHBand="0" w:noVBand="1"/>
        <w:tblCaption w:val="Table 6: Mean/Maximum doses injected and equi-effective dose estimation^"/>
      </w:tblPr>
      <w:tblGrid>
        <w:gridCol w:w="1981"/>
        <w:gridCol w:w="2344"/>
        <w:gridCol w:w="2346"/>
        <w:gridCol w:w="2346"/>
      </w:tblGrid>
      <w:tr w:rsidR="002E71EC" w:rsidRPr="00981037" w:rsidTr="007D14CE">
        <w:trPr>
          <w:trHeight w:val="354"/>
        </w:trPr>
        <w:tc>
          <w:tcPr>
            <w:tcW w:w="1098" w:type="pct"/>
            <w:vAlign w:val="center"/>
          </w:tcPr>
          <w:p w:rsidR="002E71EC" w:rsidRPr="00981037" w:rsidRDefault="002E71EC" w:rsidP="007D14CE">
            <w:pPr>
              <w:pStyle w:val="TableText0"/>
              <w:spacing w:before="0" w:after="0"/>
              <w:jc w:val="center"/>
              <w:rPr>
                <w:b/>
                <w:bCs/>
                <w:iCs/>
              </w:rPr>
            </w:pPr>
          </w:p>
        </w:tc>
        <w:tc>
          <w:tcPr>
            <w:tcW w:w="1300" w:type="pct"/>
            <w:vAlign w:val="center"/>
          </w:tcPr>
          <w:p w:rsidR="002E71EC" w:rsidRPr="00981037" w:rsidRDefault="00057611" w:rsidP="003C170F">
            <w:pPr>
              <w:pStyle w:val="TableText0"/>
              <w:spacing w:before="0" w:after="0"/>
              <w:jc w:val="center"/>
              <w:rPr>
                <w:b/>
                <w:bCs/>
                <w:iCs/>
              </w:rPr>
            </w:pPr>
            <w:r>
              <w:rPr>
                <w:b/>
                <w:bCs/>
                <w:iCs/>
              </w:rPr>
              <w:t>Dysport</w:t>
            </w:r>
            <w:r w:rsidR="001A35D3" w:rsidRPr="00FA6E19">
              <w:rPr>
                <w:vertAlign w:val="superscript"/>
              </w:rPr>
              <w:t>®</w:t>
            </w:r>
            <w:r w:rsidR="001A35D3">
              <w:rPr>
                <w:vertAlign w:val="superscript"/>
              </w:rPr>
              <w:t xml:space="preserve"> </w:t>
            </w:r>
            <w:r w:rsidR="002E71EC" w:rsidRPr="00981037">
              <w:rPr>
                <w:b/>
                <w:bCs/>
                <w:iCs/>
              </w:rPr>
              <w:t>1500U</w:t>
            </w:r>
          </w:p>
          <w:p w:rsidR="002E71EC" w:rsidRPr="00981037" w:rsidRDefault="002E71EC" w:rsidP="007D14CE">
            <w:pPr>
              <w:pStyle w:val="TableText0"/>
              <w:spacing w:before="0" w:after="0"/>
              <w:jc w:val="center"/>
              <w:rPr>
                <w:b/>
                <w:bCs/>
                <w:iCs/>
              </w:rPr>
            </w:pPr>
            <w:r w:rsidRPr="00981037">
              <w:rPr>
                <w:b/>
                <w:bCs/>
                <w:iCs/>
              </w:rPr>
              <w:t>Mean dose</w:t>
            </w:r>
          </w:p>
        </w:tc>
        <w:tc>
          <w:tcPr>
            <w:tcW w:w="1301" w:type="pct"/>
            <w:vAlign w:val="center"/>
          </w:tcPr>
          <w:p w:rsidR="002E71EC" w:rsidRPr="00981037" w:rsidRDefault="00057611" w:rsidP="007D14CE">
            <w:pPr>
              <w:pStyle w:val="TableText0"/>
              <w:spacing w:before="0" w:after="0"/>
              <w:jc w:val="center"/>
              <w:rPr>
                <w:b/>
                <w:bCs/>
                <w:iCs/>
              </w:rPr>
            </w:pPr>
            <w:r>
              <w:rPr>
                <w:b/>
                <w:bCs/>
                <w:iCs/>
              </w:rPr>
              <w:t>Botox</w:t>
            </w:r>
            <w:r w:rsidR="001A35D3" w:rsidRPr="00FA6E19">
              <w:rPr>
                <w:vertAlign w:val="superscript"/>
              </w:rPr>
              <w:t>®</w:t>
            </w:r>
            <w:r w:rsidR="001A35D3">
              <w:rPr>
                <w:vertAlign w:val="superscript"/>
              </w:rPr>
              <w:t xml:space="preserve"> </w:t>
            </w:r>
            <w:r w:rsidR="002E71EC" w:rsidRPr="00981037">
              <w:rPr>
                <w:b/>
                <w:bCs/>
                <w:iCs/>
              </w:rPr>
              <w:t>300-400U</w:t>
            </w:r>
          </w:p>
          <w:p w:rsidR="002E71EC" w:rsidRPr="00981037" w:rsidRDefault="002E71EC" w:rsidP="007D14CE">
            <w:pPr>
              <w:pStyle w:val="TableText0"/>
              <w:spacing w:before="0" w:after="0"/>
              <w:jc w:val="center"/>
              <w:rPr>
                <w:b/>
                <w:bCs/>
                <w:iCs/>
              </w:rPr>
            </w:pPr>
            <w:r w:rsidRPr="00981037">
              <w:rPr>
                <w:b/>
                <w:bCs/>
                <w:iCs/>
              </w:rPr>
              <w:t>Maximum dose</w:t>
            </w:r>
          </w:p>
        </w:tc>
        <w:tc>
          <w:tcPr>
            <w:tcW w:w="1301" w:type="pct"/>
            <w:vAlign w:val="center"/>
          </w:tcPr>
          <w:p w:rsidR="002E71EC" w:rsidRPr="00981037" w:rsidRDefault="00057611" w:rsidP="001A35D3">
            <w:pPr>
              <w:pStyle w:val="TableText0"/>
              <w:spacing w:before="0" w:after="0"/>
              <w:jc w:val="center"/>
              <w:rPr>
                <w:b/>
                <w:bCs/>
                <w:iCs/>
              </w:rPr>
            </w:pPr>
            <w:r>
              <w:rPr>
                <w:b/>
                <w:bCs/>
                <w:iCs/>
              </w:rPr>
              <w:t>Dysport</w:t>
            </w:r>
            <w:r w:rsidR="001A35D3" w:rsidRPr="00FA6E19">
              <w:rPr>
                <w:vertAlign w:val="superscript"/>
              </w:rPr>
              <w:t>®</w:t>
            </w:r>
            <w:r w:rsidR="001A35D3">
              <w:rPr>
                <w:vertAlign w:val="superscript"/>
              </w:rPr>
              <w:t xml:space="preserve"> </w:t>
            </w:r>
            <w:r w:rsidR="002E71EC" w:rsidRPr="00981037">
              <w:rPr>
                <w:b/>
                <w:bCs/>
                <w:iCs/>
              </w:rPr>
              <w:t xml:space="preserve">equi-effective dose to </w:t>
            </w:r>
            <w:r>
              <w:rPr>
                <w:b/>
                <w:bCs/>
                <w:iCs/>
              </w:rPr>
              <w:t>Botox</w:t>
            </w:r>
            <w:r w:rsidR="001A35D3" w:rsidRPr="00FA6E19">
              <w:rPr>
                <w:vertAlign w:val="superscript"/>
              </w:rPr>
              <w:t>®</w:t>
            </w:r>
            <w:r w:rsidR="001A35D3">
              <w:rPr>
                <w:vertAlign w:val="superscript"/>
              </w:rPr>
              <w:t xml:space="preserve"> </w:t>
            </w:r>
            <w:r w:rsidR="002E71EC" w:rsidRPr="00981037">
              <w:rPr>
                <w:b/>
                <w:bCs/>
                <w:iCs/>
              </w:rPr>
              <w:t>1U</w:t>
            </w:r>
          </w:p>
        </w:tc>
      </w:tr>
      <w:tr w:rsidR="00111255" w:rsidRPr="00981037" w:rsidTr="007D14CE">
        <w:trPr>
          <w:trHeight w:val="237"/>
        </w:trPr>
        <w:tc>
          <w:tcPr>
            <w:tcW w:w="1098" w:type="pct"/>
            <w:tcBorders>
              <w:bottom w:val="single" w:sz="4" w:space="0" w:color="auto"/>
            </w:tcBorders>
            <w:vAlign w:val="center"/>
          </w:tcPr>
          <w:p w:rsidR="00111255" w:rsidRPr="00981037" w:rsidRDefault="00111255" w:rsidP="007D14CE">
            <w:pPr>
              <w:pStyle w:val="TableText0"/>
              <w:spacing w:before="0" w:after="0"/>
              <w:rPr>
                <w:iCs/>
              </w:rPr>
            </w:pPr>
            <w:r>
              <w:rPr>
                <w:iCs/>
              </w:rPr>
              <w:t>CMA</w:t>
            </w:r>
            <w:r w:rsidR="00132150">
              <w:rPr>
                <w:iCs/>
              </w:rPr>
              <w:t xml:space="preserve"> – GSC only</w:t>
            </w:r>
          </w:p>
        </w:tc>
        <w:tc>
          <w:tcPr>
            <w:tcW w:w="1300" w:type="pct"/>
            <w:tcBorders>
              <w:bottom w:val="single" w:sz="4" w:space="0" w:color="auto"/>
            </w:tcBorders>
            <w:vAlign w:val="center"/>
          </w:tcPr>
          <w:p w:rsidR="00111255" w:rsidRPr="00981037" w:rsidRDefault="00111255" w:rsidP="007D14CE">
            <w:pPr>
              <w:pStyle w:val="TableText0"/>
              <w:spacing w:before="0" w:after="0"/>
              <w:jc w:val="center"/>
              <w:rPr>
                <w:iCs/>
              </w:rPr>
            </w:pPr>
            <w:r>
              <w:rPr>
                <w:iCs/>
              </w:rPr>
              <w:t>796.9U</w:t>
            </w:r>
          </w:p>
        </w:tc>
        <w:tc>
          <w:tcPr>
            <w:tcW w:w="1301" w:type="pct"/>
            <w:tcBorders>
              <w:bottom w:val="single" w:sz="4" w:space="0" w:color="auto"/>
            </w:tcBorders>
            <w:vAlign w:val="center"/>
          </w:tcPr>
          <w:p w:rsidR="00111255" w:rsidRPr="00981037" w:rsidRDefault="00111255" w:rsidP="007D14CE">
            <w:pPr>
              <w:pStyle w:val="TableText0"/>
              <w:spacing w:before="0" w:after="0"/>
              <w:jc w:val="center"/>
              <w:rPr>
                <w:iCs/>
              </w:rPr>
            </w:pPr>
            <w:r>
              <w:rPr>
                <w:iCs/>
              </w:rPr>
              <w:t>300U</w:t>
            </w:r>
          </w:p>
        </w:tc>
        <w:tc>
          <w:tcPr>
            <w:tcW w:w="1301" w:type="pct"/>
            <w:tcBorders>
              <w:bottom w:val="single" w:sz="4" w:space="0" w:color="auto"/>
            </w:tcBorders>
            <w:vAlign w:val="center"/>
          </w:tcPr>
          <w:p w:rsidR="00111255" w:rsidRPr="00981037" w:rsidRDefault="00111255" w:rsidP="007D14CE">
            <w:pPr>
              <w:pStyle w:val="TableText0"/>
              <w:spacing w:before="0" w:after="0"/>
              <w:jc w:val="center"/>
              <w:rPr>
                <w:iCs/>
              </w:rPr>
            </w:pPr>
            <w:r>
              <w:rPr>
                <w:iCs/>
              </w:rPr>
              <w:t>2.66</w:t>
            </w:r>
            <w:r w:rsidR="00C90E89">
              <w:rPr>
                <w:iCs/>
              </w:rPr>
              <w:t>U</w:t>
            </w:r>
          </w:p>
        </w:tc>
      </w:tr>
      <w:tr w:rsidR="00132150" w:rsidRPr="00981037" w:rsidTr="004478D4">
        <w:trPr>
          <w:trHeight w:val="237"/>
        </w:trPr>
        <w:tc>
          <w:tcPr>
            <w:tcW w:w="1098" w:type="pct"/>
            <w:tcBorders>
              <w:bottom w:val="single" w:sz="4" w:space="0" w:color="auto"/>
            </w:tcBorders>
            <w:vAlign w:val="center"/>
          </w:tcPr>
          <w:p w:rsidR="00132150" w:rsidRPr="00981037" w:rsidRDefault="00132150" w:rsidP="004478D4">
            <w:pPr>
              <w:pStyle w:val="TableText0"/>
              <w:spacing w:before="0" w:after="0"/>
              <w:rPr>
                <w:iCs/>
              </w:rPr>
            </w:pPr>
            <w:r w:rsidRPr="00981037">
              <w:rPr>
                <w:iCs/>
              </w:rPr>
              <w:t>GSC only</w:t>
            </w:r>
          </w:p>
        </w:tc>
        <w:tc>
          <w:tcPr>
            <w:tcW w:w="1300" w:type="pct"/>
            <w:tcBorders>
              <w:bottom w:val="single" w:sz="4" w:space="0" w:color="auto"/>
            </w:tcBorders>
            <w:vAlign w:val="center"/>
          </w:tcPr>
          <w:p w:rsidR="00132150" w:rsidRPr="00445CAE" w:rsidRDefault="00132150" w:rsidP="004478D4">
            <w:pPr>
              <w:pStyle w:val="TableText0"/>
              <w:spacing w:before="0" w:after="0"/>
              <w:jc w:val="center"/>
              <w:rPr>
                <w:bCs/>
                <w:iCs/>
              </w:rPr>
            </w:pPr>
            <w:r w:rsidRPr="00445CAE">
              <w:rPr>
                <w:bCs/>
                <w:iCs/>
              </w:rPr>
              <w:t>796.9U</w:t>
            </w:r>
          </w:p>
        </w:tc>
        <w:tc>
          <w:tcPr>
            <w:tcW w:w="1301" w:type="pct"/>
            <w:tcBorders>
              <w:bottom w:val="single" w:sz="4" w:space="0" w:color="auto"/>
            </w:tcBorders>
            <w:vAlign w:val="center"/>
          </w:tcPr>
          <w:p w:rsidR="00132150" w:rsidRPr="00445CAE" w:rsidRDefault="00132150" w:rsidP="00C90E89">
            <w:pPr>
              <w:pStyle w:val="TableText0"/>
              <w:spacing w:before="0" w:after="0"/>
              <w:jc w:val="center"/>
              <w:rPr>
                <w:iCs/>
              </w:rPr>
            </w:pPr>
            <w:r w:rsidRPr="00445CAE">
              <w:rPr>
                <w:iCs/>
              </w:rPr>
              <w:t>225U</w:t>
            </w:r>
          </w:p>
        </w:tc>
        <w:tc>
          <w:tcPr>
            <w:tcW w:w="1301" w:type="pct"/>
            <w:tcBorders>
              <w:bottom w:val="single" w:sz="4" w:space="0" w:color="auto"/>
            </w:tcBorders>
            <w:vAlign w:val="center"/>
          </w:tcPr>
          <w:p w:rsidR="00132150" w:rsidRPr="00445CAE" w:rsidRDefault="00132150" w:rsidP="004478D4">
            <w:pPr>
              <w:pStyle w:val="TableText0"/>
              <w:spacing w:before="0" w:after="0"/>
              <w:jc w:val="center"/>
              <w:rPr>
                <w:iCs/>
              </w:rPr>
            </w:pPr>
            <w:r w:rsidRPr="00445CAE">
              <w:rPr>
                <w:iCs/>
              </w:rPr>
              <w:t>3.54</w:t>
            </w:r>
            <w:r w:rsidR="00C90E89">
              <w:rPr>
                <w:iCs/>
              </w:rPr>
              <w:t>U</w:t>
            </w:r>
          </w:p>
        </w:tc>
      </w:tr>
      <w:tr w:rsidR="002E71EC" w:rsidRPr="00981037" w:rsidTr="007D14CE">
        <w:trPr>
          <w:trHeight w:val="237"/>
        </w:trPr>
        <w:tc>
          <w:tcPr>
            <w:tcW w:w="1098" w:type="pct"/>
            <w:tcBorders>
              <w:bottom w:val="single" w:sz="4" w:space="0" w:color="auto"/>
            </w:tcBorders>
            <w:vAlign w:val="center"/>
          </w:tcPr>
          <w:p w:rsidR="002E71EC" w:rsidRPr="00981037" w:rsidRDefault="002E71EC" w:rsidP="007D14CE">
            <w:pPr>
              <w:pStyle w:val="TableText0"/>
              <w:spacing w:before="0" w:after="0"/>
              <w:rPr>
                <w:iCs/>
              </w:rPr>
            </w:pPr>
            <w:r w:rsidRPr="00981037">
              <w:rPr>
                <w:iCs/>
              </w:rPr>
              <w:t>All sites</w:t>
            </w:r>
          </w:p>
        </w:tc>
        <w:tc>
          <w:tcPr>
            <w:tcW w:w="1300" w:type="pct"/>
            <w:tcBorders>
              <w:bottom w:val="single" w:sz="4" w:space="0" w:color="auto"/>
            </w:tcBorders>
            <w:vAlign w:val="center"/>
          </w:tcPr>
          <w:p w:rsidR="002E71EC" w:rsidRPr="00981037" w:rsidRDefault="002E71EC" w:rsidP="00C90E89">
            <w:pPr>
              <w:pStyle w:val="TableText0"/>
              <w:spacing w:before="0" w:after="0"/>
              <w:jc w:val="center"/>
              <w:rPr>
                <w:bCs/>
                <w:iCs/>
              </w:rPr>
            </w:pPr>
            <w:r w:rsidRPr="00981037">
              <w:rPr>
                <w:iCs/>
              </w:rPr>
              <w:t>1488.4U</w:t>
            </w:r>
          </w:p>
        </w:tc>
        <w:tc>
          <w:tcPr>
            <w:tcW w:w="1301" w:type="pct"/>
            <w:tcBorders>
              <w:bottom w:val="single" w:sz="4" w:space="0" w:color="auto"/>
            </w:tcBorders>
            <w:vAlign w:val="center"/>
          </w:tcPr>
          <w:p w:rsidR="002E71EC" w:rsidRPr="00981037" w:rsidRDefault="002E71EC" w:rsidP="00C90E89">
            <w:pPr>
              <w:pStyle w:val="TableText0"/>
              <w:spacing w:before="0" w:after="0"/>
              <w:jc w:val="center"/>
              <w:rPr>
                <w:iCs/>
              </w:rPr>
            </w:pPr>
            <w:r w:rsidRPr="00981037">
              <w:rPr>
                <w:iCs/>
              </w:rPr>
              <w:t>400U*</w:t>
            </w:r>
          </w:p>
        </w:tc>
        <w:tc>
          <w:tcPr>
            <w:tcW w:w="1301" w:type="pct"/>
            <w:tcBorders>
              <w:bottom w:val="single" w:sz="4" w:space="0" w:color="auto"/>
            </w:tcBorders>
            <w:vAlign w:val="center"/>
          </w:tcPr>
          <w:p w:rsidR="002E71EC" w:rsidRPr="00981037" w:rsidRDefault="002E71EC" w:rsidP="007D14CE">
            <w:pPr>
              <w:pStyle w:val="TableText0"/>
              <w:spacing w:before="0" w:after="0"/>
              <w:jc w:val="center"/>
              <w:rPr>
                <w:iCs/>
              </w:rPr>
            </w:pPr>
            <w:r w:rsidRPr="00981037">
              <w:rPr>
                <w:iCs/>
              </w:rPr>
              <w:t>3.72</w:t>
            </w:r>
            <w:r w:rsidR="00C90E89">
              <w:rPr>
                <w:iCs/>
              </w:rPr>
              <w:t>U</w:t>
            </w:r>
          </w:p>
        </w:tc>
      </w:tr>
      <w:tr w:rsidR="002E71EC" w:rsidRPr="00981037" w:rsidTr="007D14CE">
        <w:trPr>
          <w:trHeight w:val="237"/>
        </w:trPr>
        <w:tc>
          <w:tcPr>
            <w:tcW w:w="1098" w:type="pct"/>
            <w:tcBorders>
              <w:top w:val="single" w:sz="4" w:space="0" w:color="auto"/>
              <w:bottom w:val="double" w:sz="4" w:space="0" w:color="auto"/>
            </w:tcBorders>
            <w:vAlign w:val="center"/>
          </w:tcPr>
          <w:p w:rsidR="002E71EC" w:rsidRPr="00981037" w:rsidRDefault="002E71EC" w:rsidP="007D14CE">
            <w:pPr>
              <w:pStyle w:val="TableText0"/>
              <w:spacing w:before="0" w:after="0"/>
              <w:rPr>
                <w:iCs/>
              </w:rPr>
            </w:pPr>
            <w:r w:rsidRPr="00981037">
              <w:rPr>
                <w:iCs/>
              </w:rPr>
              <w:t>GSC + Tibialis posterior</w:t>
            </w:r>
          </w:p>
        </w:tc>
        <w:tc>
          <w:tcPr>
            <w:tcW w:w="1300" w:type="pct"/>
            <w:tcBorders>
              <w:top w:val="single" w:sz="4" w:space="0" w:color="auto"/>
              <w:bottom w:val="double" w:sz="4" w:space="0" w:color="auto"/>
            </w:tcBorders>
            <w:vAlign w:val="center"/>
          </w:tcPr>
          <w:p w:rsidR="002E71EC" w:rsidRPr="002207D4" w:rsidRDefault="002E71EC" w:rsidP="007D14CE">
            <w:pPr>
              <w:pStyle w:val="TableText0"/>
              <w:spacing w:before="0" w:after="0"/>
              <w:jc w:val="center"/>
              <w:rPr>
                <w:bCs/>
                <w:iCs/>
              </w:rPr>
            </w:pPr>
            <w:r w:rsidRPr="002207D4">
              <w:rPr>
                <w:bCs/>
                <w:iCs/>
              </w:rPr>
              <w:t>1108.5U</w:t>
            </w:r>
          </w:p>
          <w:p w:rsidR="00F158C7" w:rsidRPr="002207D4" w:rsidRDefault="00F158C7" w:rsidP="00C90E89">
            <w:pPr>
              <w:pStyle w:val="TableText0"/>
              <w:spacing w:before="0" w:after="0"/>
              <w:jc w:val="center"/>
              <w:rPr>
                <w:bCs/>
                <w:iCs/>
              </w:rPr>
            </w:pPr>
            <w:r w:rsidRPr="002207D4">
              <w:rPr>
                <w:bCs/>
                <w:iCs/>
              </w:rPr>
              <w:t>PSCR: 995.5U</w:t>
            </w:r>
          </w:p>
        </w:tc>
        <w:tc>
          <w:tcPr>
            <w:tcW w:w="1301" w:type="pct"/>
            <w:tcBorders>
              <w:top w:val="single" w:sz="4" w:space="0" w:color="auto"/>
              <w:bottom w:val="double" w:sz="4" w:space="0" w:color="auto"/>
            </w:tcBorders>
            <w:vAlign w:val="center"/>
          </w:tcPr>
          <w:p w:rsidR="002E71EC" w:rsidRPr="002207D4" w:rsidRDefault="002E71EC" w:rsidP="00C90E89">
            <w:pPr>
              <w:pStyle w:val="TableText0"/>
              <w:spacing w:before="0" w:after="0"/>
              <w:jc w:val="center"/>
              <w:rPr>
                <w:iCs/>
              </w:rPr>
            </w:pPr>
            <w:r w:rsidRPr="002207D4">
              <w:rPr>
                <w:iCs/>
              </w:rPr>
              <w:t>300U</w:t>
            </w:r>
          </w:p>
        </w:tc>
        <w:tc>
          <w:tcPr>
            <w:tcW w:w="1301" w:type="pct"/>
            <w:tcBorders>
              <w:top w:val="single" w:sz="4" w:space="0" w:color="auto"/>
              <w:bottom w:val="double" w:sz="4" w:space="0" w:color="auto"/>
            </w:tcBorders>
            <w:vAlign w:val="center"/>
          </w:tcPr>
          <w:p w:rsidR="002E71EC" w:rsidRPr="002207D4" w:rsidRDefault="002E71EC" w:rsidP="007D14CE">
            <w:pPr>
              <w:pStyle w:val="TableText0"/>
              <w:spacing w:before="0" w:after="0"/>
              <w:jc w:val="center"/>
              <w:rPr>
                <w:iCs/>
              </w:rPr>
            </w:pPr>
            <w:r w:rsidRPr="002207D4">
              <w:rPr>
                <w:iCs/>
              </w:rPr>
              <w:t>3.69</w:t>
            </w:r>
            <w:r w:rsidR="00C90E89">
              <w:rPr>
                <w:iCs/>
              </w:rPr>
              <w:t>U</w:t>
            </w:r>
          </w:p>
          <w:p w:rsidR="00F158C7" w:rsidRPr="002207D4" w:rsidRDefault="00F158C7" w:rsidP="007D14CE">
            <w:pPr>
              <w:pStyle w:val="TableText0"/>
              <w:spacing w:before="0" w:after="0"/>
              <w:jc w:val="center"/>
              <w:rPr>
                <w:iCs/>
              </w:rPr>
            </w:pPr>
            <w:r w:rsidRPr="002207D4">
              <w:rPr>
                <w:iCs/>
              </w:rPr>
              <w:t>PSCR: 3.31</w:t>
            </w:r>
            <w:r w:rsidR="00C90E89">
              <w:rPr>
                <w:iCs/>
              </w:rPr>
              <w:t>U</w:t>
            </w:r>
          </w:p>
        </w:tc>
      </w:tr>
      <w:tr w:rsidR="002E71EC" w:rsidRPr="00981037" w:rsidTr="007D14CE">
        <w:trPr>
          <w:trHeight w:val="237"/>
        </w:trPr>
        <w:tc>
          <w:tcPr>
            <w:tcW w:w="1098" w:type="pct"/>
            <w:tcBorders>
              <w:top w:val="double" w:sz="4" w:space="0" w:color="auto"/>
            </w:tcBorders>
            <w:vAlign w:val="center"/>
          </w:tcPr>
          <w:p w:rsidR="002E71EC" w:rsidRPr="00981037" w:rsidRDefault="002E71EC" w:rsidP="007D14CE">
            <w:pPr>
              <w:pStyle w:val="TableText0"/>
              <w:spacing w:before="0" w:after="0"/>
              <w:rPr>
                <w:b/>
                <w:bCs/>
                <w:iCs/>
              </w:rPr>
            </w:pPr>
            <w:r w:rsidRPr="00981037">
              <w:rPr>
                <w:b/>
                <w:bCs/>
                <w:iCs/>
              </w:rPr>
              <w:t>Maximum dose</w:t>
            </w:r>
          </w:p>
        </w:tc>
        <w:tc>
          <w:tcPr>
            <w:tcW w:w="1300" w:type="pct"/>
            <w:tcBorders>
              <w:top w:val="double" w:sz="4" w:space="0" w:color="auto"/>
            </w:tcBorders>
            <w:vAlign w:val="center"/>
          </w:tcPr>
          <w:p w:rsidR="002E71EC" w:rsidRPr="00981037" w:rsidRDefault="002E71EC" w:rsidP="00C90E89">
            <w:pPr>
              <w:pStyle w:val="TableText0"/>
              <w:spacing w:before="0" w:after="0"/>
              <w:jc w:val="center"/>
              <w:rPr>
                <w:iCs/>
              </w:rPr>
            </w:pPr>
            <w:r w:rsidRPr="00981037">
              <w:rPr>
                <w:iCs/>
              </w:rPr>
              <w:t>1500U</w:t>
            </w:r>
          </w:p>
        </w:tc>
        <w:tc>
          <w:tcPr>
            <w:tcW w:w="1301" w:type="pct"/>
            <w:tcBorders>
              <w:top w:val="double" w:sz="4" w:space="0" w:color="auto"/>
            </w:tcBorders>
            <w:vAlign w:val="center"/>
          </w:tcPr>
          <w:p w:rsidR="002E71EC" w:rsidRPr="00981037" w:rsidRDefault="002E71EC" w:rsidP="00C90E89">
            <w:pPr>
              <w:pStyle w:val="TableText0"/>
              <w:spacing w:before="0" w:after="0"/>
              <w:jc w:val="center"/>
              <w:rPr>
                <w:iCs/>
              </w:rPr>
            </w:pPr>
            <w:r w:rsidRPr="00981037">
              <w:rPr>
                <w:iCs/>
              </w:rPr>
              <w:t>400U</w:t>
            </w:r>
          </w:p>
        </w:tc>
        <w:tc>
          <w:tcPr>
            <w:tcW w:w="1301" w:type="pct"/>
            <w:tcBorders>
              <w:top w:val="double" w:sz="4" w:space="0" w:color="auto"/>
            </w:tcBorders>
            <w:vAlign w:val="center"/>
          </w:tcPr>
          <w:p w:rsidR="002E71EC" w:rsidRPr="00981037" w:rsidRDefault="002E71EC" w:rsidP="007D14CE">
            <w:pPr>
              <w:pStyle w:val="TableText0"/>
              <w:spacing w:before="0" w:after="0"/>
              <w:jc w:val="center"/>
              <w:rPr>
                <w:iCs/>
              </w:rPr>
            </w:pPr>
            <w:r w:rsidRPr="00981037">
              <w:rPr>
                <w:iCs/>
              </w:rPr>
              <w:t>3.75</w:t>
            </w:r>
            <w:r w:rsidR="00C90E89">
              <w:rPr>
                <w:iCs/>
              </w:rPr>
              <w:t>U</w:t>
            </w:r>
          </w:p>
        </w:tc>
      </w:tr>
    </w:tbl>
    <w:p w:rsidR="00372A21" w:rsidRDefault="00F064FB" w:rsidP="00372A21">
      <w:pPr>
        <w:pStyle w:val="CaptionFootnote"/>
        <w:contextualSpacing/>
        <w:rPr>
          <w:rFonts w:ascii="Arial Narrow" w:hAnsi="Arial Narrow"/>
          <w:sz w:val="18"/>
          <w:szCs w:val="18"/>
        </w:rPr>
      </w:pPr>
      <w:r>
        <w:rPr>
          <w:rFonts w:ascii="Arial Narrow" w:hAnsi="Arial Narrow"/>
          <w:sz w:val="18"/>
          <w:szCs w:val="18"/>
        </w:rPr>
        <w:t xml:space="preserve">CMA = cost-minimisation analysis; </w:t>
      </w:r>
      <w:r w:rsidR="00372A21" w:rsidRPr="00075A9A">
        <w:rPr>
          <w:rFonts w:ascii="Arial Narrow" w:hAnsi="Arial Narrow"/>
          <w:sz w:val="18"/>
          <w:szCs w:val="18"/>
        </w:rPr>
        <w:t>GSC</w:t>
      </w:r>
      <w:r w:rsidR="00F158C7">
        <w:rPr>
          <w:rFonts w:ascii="Arial Narrow" w:hAnsi="Arial Narrow"/>
          <w:sz w:val="18"/>
          <w:szCs w:val="18"/>
        </w:rPr>
        <w:t xml:space="preserve"> </w:t>
      </w:r>
      <w:r w:rsidR="00372A21" w:rsidRPr="00075A9A">
        <w:rPr>
          <w:rFonts w:ascii="Arial Narrow" w:hAnsi="Arial Narrow"/>
          <w:sz w:val="18"/>
          <w:szCs w:val="18"/>
        </w:rPr>
        <w:t>=</w:t>
      </w:r>
      <w:r w:rsidR="00F158C7">
        <w:rPr>
          <w:rFonts w:ascii="Arial Narrow" w:hAnsi="Arial Narrow"/>
          <w:sz w:val="18"/>
          <w:szCs w:val="18"/>
        </w:rPr>
        <w:t xml:space="preserve"> </w:t>
      </w:r>
      <w:r w:rsidR="00372A21" w:rsidRPr="00075A9A">
        <w:rPr>
          <w:rFonts w:ascii="Arial Narrow" w:hAnsi="Arial Narrow"/>
          <w:sz w:val="18"/>
          <w:szCs w:val="18"/>
        </w:rPr>
        <w:t>gastrocnemius-soleus complex</w:t>
      </w:r>
      <w:r w:rsidR="00F158C7">
        <w:rPr>
          <w:rFonts w:ascii="Arial Narrow" w:hAnsi="Arial Narrow"/>
          <w:sz w:val="18"/>
          <w:szCs w:val="18"/>
        </w:rPr>
        <w:t>; PSCR = pre-Sub-Committee response</w:t>
      </w:r>
    </w:p>
    <w:p w:rsidR="00111255" w:rsidRPr="00075A9A" w:rsidRDefault="00111255" w:rsidP="00111255">
      <w:pPr>
        <w:pStyle w:val="CaptionFootnote"/>
        <w:contextualSpacing/>
        <w:rPr>
          <w:rFonts w:ascii="Arial Narrow" w:hAnsi="Arial Narrow"/>
          <w:sz w:val="18"/>
          <w:szCs w:val="18"/>
        </w:rPr>
      </w:pPr>
      <w:r w:rsidRPr="00075A9A">
        <w:rPr>
          <w:rFonts w:ascii="Arial Narrow" w:hAnsi="Arial Narrow"/>
          <w:sz w:val="18"/>
          <w:szCs w:val="18"/>
        </w:rPr>
        <w:t xml:space="preserve">^ Patients in </w:t>
      </w:r>
      <w:r w:rsidR="00057611">
        <w:rPr>
          <w:rFonts w:ascii="Arial Narrow" w:hAnsi="Arial Narrow"/>
          <w:sz w:val="18"/>
          <w:szCs w:val="18"/>
        </w:rPr>
        <w:t>Dysport</w:t>
      </w:r>
      <w:r w:rsidR="001A35D3" w:rsidRPr="00FA6E19">
        <w:rPr>
          <w:vertAlign w:val="superscript"/>
        </w:rPr>
        <w:t>®</w:t>
      </w:r>
      <w:r w:rsidR="001A35D3">
        <w:rPr>
          <w:vertAlign w:val="superscript"/>
        </w:rPr>
        <w:t xml:space="preserve"> </w:t>
      </w:r>
      <w:r w:rsidRPr="00075A9A">
        <w:rPr>
          <w:rFonts w:ascii="Arial Narrow" w:hAnsi="Arial Narrow"/>
          <w:sz w:val="18"/>
          <w:szCs w:val="18"/>
        </w:rPr>
        <w:t xml:space="preserve">had MAS≥2 while in the </w:t>
      </w:r>
      <w:r w:rsidR="00057611">
        <w:rPr>
          <w:rFonts w:ascii="Arial Narrow" w:hAnsi="Arial Narrow"/>
          <w:sz w:val="18"/>
          <w:szCs w:val="18"/>
        </w:rPr>
        <w:t>Botox</w:t>
      </w:r>
      <w:r w:rsidR="001A35D3" w:rsidRPr="00FA6E19">
        <w:rPr>
          <w:vertAlign w:val="superscript"/>
        </w:rPr>
        <w:t>®</w:t>
      </w:r>
      <w:r w:rsidR="001A35D3">
        <w:rPr>
          <w:vertAlign w:val="superscript"/>
        </w:rPr>
        <w:t xml:space="preserve"> </w:t>
      </w:r>
      <w:r w:rsidRPr="00075A9A">
        <w:rPr>
          <w:rFonts w:ascii="Arial Narrow" w:hAnsi="Arial Narrow"/>
          <w:sz w:val="18"/>
          <w:szCs w:val="18"/>
        </w:rPr>
        <w:t>Trials baseline MAS≥3</w:t>
      </w:r>
    </w:p>
    <w:p w:rsidR="002E71EC" w:rsidRPr="00075A9A" w:rsidRDefault="002E71EC" w:rsidP="00372A21">
      <w:pPr>
        <w:pStyle w:val="CaptionFootnote"/>
        <w:contextualSpacing/>
        <w:rPr>
          <w:rFonts w:ascii="Arial Narrow" w:hAnsi="Arial Narrow"/>
          <w:sz w:val="18"/>
          <w:szCs w:val="18"/>
        </w:rPr>
      </w:pPr>
      <w:r w:rsidRPr="00075A9A">
        <w:rPr>
          <w:rFonts w:ascii="Arial Narrow" w:hAnsi="Arial Narrow"/>
          <w:sz w:val="18"/>
          <w:szCs w:val="18"/>
        </w:rPr>
        <w:t xml:space="preserve">* Patients in REFLEX received </w:t>
      </w:r>
      <w:r w:rsidR="00057611">
        <w:rPr>
          <w:rFonts w:ascii="Arial Narrow" w:hAnsi="Arial Narrow"/>
          <w:sz w:val="18"/>
          <w:szCs w:val="18"/>
        </w:rPr>
        <w:t>Botox</w:t>
      </w:r>
      <w:r w:rsidR="001A35D3" w:rsidRPr="00FA6E19">
        <w:rPr>
          <w:vertAlign w:val="superscript"/>
        </w:rPr>
        <w:t>®</w:t>
      </w:r>
      <w:r w:rsidR="001A35D3">
        <w:rPr>
          <w:vertAlign w:val="superscript"/>
        </w:rPr>
        <w:t xml:space="preserve"> </w:t>
      </w:r>
      <w:r w:rsidRPr="00075A9A">
        <w:rPr>
          <w:rFonts w:ascii="Arial Narrow" w:hAnsi="Arial Narrow"/>
          <w:sz w:val="18"/>
          <w:szCs w:val="18"/>
        </w:rPr>
        <w:t>300U into the muscles contributing to the primary outcome measure, with a further 100U permitted to be used elsewhere in the lower limbs.</w:t>
      </w:r>
    </w:p>
    <w:p w:rsidR="002E71EC" w:rsidRDefault="002E71EC" w:rsidP="00843743">
      <w:pPr>
        <w:pStyle w:val="CaptionFootnote"/>
        <w:spacing w:after="160"/>
        <w:contextualSpacing/>
        <w:rPr>
          <w:rFonts w:ascii="Arial Narrow" w:hAnsi="Arial Narrow"/>
          <w:sz w:val="18"/>
          <w:szCs w:val="18"/>
        </w:rPr>
      </w:pPr>
      <w:r w:rsidRPr="00075A9A">
        <w:rPr>
          <w:rFonts w:ascii="Arial Narrow" w:hAnsi="Arial Narrow"/>
          <w:sz w:val="18"/>
          <w:szCs w:val="18"/>
        </w:rPr>
        <w:t>Source: Table 3.2 (p107), Tables 2.25-2.26 (pp69-70) of the resubmission</w:t>
      </w:r>
      <w:r w:rsidR="00445CAE">
        <w:rPr>
          <w:rFonts w:ascii="Arial Narrow" w:hAnsi="Arial Narrow"/>
          <w:sz w:val="18"/>
          <w:szCs w:val="18"/>
        </w:rPr>
        <w:t>, pp2-3 of the PSCR</w:t>
      </w:r>
    </w:p>
    <w:p w:rsidR="00D426AC" w:rsidRPr="002207D4" w:rsidRDefault="004B3F4D" w:rsidP="0036686A">
      <w:pPr>
        <w:pStyle w:val="ListParagraph"/>
        <w:widowControl/>
        <w:numPr>
          <w:ilvl w:val="1"/>
          <w:numId w:val="1"/>
        </w:numPr>
        <w:spacing w:after="120"/>
        <w:ind w:left="720"/>
        <w:rPr>
          <w:rFonts w:asciiTheme="minorHAnsi" w:hAnsiTheme="minorHAnsi" w:cstheme="minorHAnsi"/>
          <w:iCs/>
          <w:szCs w:val="24"/>
        </w:rPr>
      </w:pPr>
      <w:r w:rsidRPr="002207D4">
        <w:rPr>
          <w:rFonts w:asciiTheme="minorHAnsi" w:hAnsiTheme="minorHAnsi" w:cstheme="minorHAnsi"/>
          <w:iCs/>
          <w:szCs w:val="24"/>
        </w:rPr>
        <w:lastRenderedPageBreak/>
        <w:t>The PSCR</w:t>
      </w:r>
      <w:r w:rsidR="005D0696" w:rsidRPr="002207D4">
        <w:rPr>
          <w:rFonts w:asciiTheme="minorHAnsi" w:hAnsiTheme="minorHAnsi" w:cstheme="minorHAnsi"/>
          <w:iCs/>
          <w:szCs w:val="24"/>
        </w:rPr>
        <w:t xml:space="preserve"> </w:t>
      </w:r>
      <w:r w:rsidR="00763A37" w:rsidRPr="002207D4">
        <w:rPr>
          <w:rFonts w:asciiTheme="minorHAnsi" w:hAnsiTheme="minorHAnsi" w:cstheme="minorHAnsi"/>
          <w:iCs/>
          <w:szCs w:val="24"/>
        </w:rPr>
        <w:t xml:space="preserve">considered </w:t>
      </w:r>
      <w:r w:rsidRPr="002207D4">
        <w:rPr>
          <w:rFonts w:asciiTheme="minorHAnsi" w:hAnsiTheme="minorHAnsi" w:cstheme="minorHAnsi"/>
          <w:iCs/>
          <w:szCs w:val="24"/>
        </w:rPr>
        <w:t xml:space="preserve">that it was an error to </w:t>
      </w:r>
      <w:r w:rsidR="00F158C7" w:rsidRPr="002207D4">
        <w:rPr>
          <w:rFonts w:asciiTheme="minorHAnsi" w:hAnsiTheme="minorHAnsi" w:cstheme="minorHAnsi"/>
          <w:iCs/>
          <w:szCs w:val="24"/>
        </w:rPr>
        <w:t>sum the average doses of Dysport</w:t>
      </w:r>
      <w:r w:rsidR="000054E1" w:rsidRPr="002207D4">
        <w:rPr>
          <w:rFonts w:asciiTheme="minorHAnsi" w:hAnsiTheme="minorHAnsi" w:cstheme="minorHAnsi"/>
          <w:iCs/>
          <w:szCs w:val="24"/>
        </w:rPr>
        <w:t>®</w:t>
      </w:r>
      <w:r w:rsidR="00F158C7" w:rsidRPr="002207D4">
        <w:rPr>
          <w:rFonts w:asciiTheme="minorHAnsi" w:hAnsiTheme="minorHAnsi" w:cstheme="minorHAnsi"/>
          <w:iCs/>
          <w:szCs w:val="24"/>
        </w:rPr>
        <w:t xml:space="preserve"> by muscle in the GSC without taking into consideration the proportion of patients who received an injection into that muscle</w:t>
      </w:r>
      <w:r w:rsidR="00434334" w:rsidRPr="002207D4">
        <w:rPr>
          <w:rFonts w:asciiTheme="minorHAnsi" w:hAnsiTheme="minorHAnsi" w:cstheme="minorHAnsi"/>
          <w:iCs/>
          <w:szCs w:val="24"/>
        </w:rPr>
        <w:t>. Using a weighted dose per muscle group resulted in an equi-effective dose</w:t>
      </w:r>
      <w:r w:rsidR="00943418" w:rsidRPr="002207D4">
        <w:rPr>
          <w:rFonts w:asciiTheme="minorHAnsi" w:hAnsiTheme="minorHAnsi" w:cstheme="minorHAnsi"/>
          <w:iCs/>
          <w:szCs w:val="24"/>
        </w:rPr>
        <w:t xml:space="preserve">, which was proposed </w:t>
      </w:r>
      <w:r w:rsidR="00132150" w:rsidRPr="002207D4">
        <w:rPr>
          <w:rFonts w:asciiTheme="minorHAnsi" w:hAnsiTheme="minorHAnsi" w:cstheme="minorHAnsi"/>
          <w:iCs/>
          <w:szCs w:val="24"/>
        </w:rPr>
        <w:t xml:space="preserve">as an alternate equi-effective dose </w:t>
      </w:r>
      <w:r w:rsidR="00943418" w:rsidRPr="002207D4">
        <w:rPr>
          <w:rFonts w:asciiTheme="minorHAnsi" w:hAnsiTheme="minorHAnsi" w:cstheme="minorHAnsi"/>
          <w:iCs/>
          <w:szCs w:val="24"/>
        </w:rPr>
        <w:t>in the PSCR,</w:t>
      </w:r>
      <w:r w:rsidR="00434334" w:rsidRPr="002207D4">
        <w:rPr>
          <w:rFonts w:asciiTheme="minorHAnsi" w:hAnsiTheme="minorHAnsi" w:cstheme="minorHAnsi"/>
          <w:iCs/>
          <w:szCs w:val="24"/>
        </w:rPr>
        <w:t xml:space="preserve"> of 3.3U Dysport® to 1U Botox®. </w:t>
      </w:r>
    </w:p>
    <w:p w:rsidR="00943418" w:rsidRDefault="005F049F" w:rsidP="0036686A">
      <w:pPr>
        <w:pStyle w:val="ListParagraph"/>
        <w:widowControl/>
        <w:numPr>
          <w:ilvl w:val="1"/>
          <w:numId w:val="1"/>
        </w:numPr>
        <w:spacing w:after="120"/>
        <w:ind w:left="720"/>
        <w:rPr>
          <w:rFonts w:asciiTheme="minorHAnsi" w:hAnsiTheme="minorHAnsi" w:cstheme="minorHAnsi"/>
          <w:iCs/>
          <w:szCs w:val="24"/>
        </w:rPr>
      </w:pPr>
      <w:r w:rsidRPr="002207D4">
        <w:rPr>
          <w:rFonts w:asciiTheme="minorHAnsi" w:hAnsiTheme="minorHAnsi" w:cstheme="minorHAnsi"/>
          <w:iCs/>
          <w:szCs w:val="24"/>
        </w:rPr>
        <w:t>The PSCR</w:t>
      </w:r>
      <w:r w:rsidR="00434334" w:rsidRPr="002207D4">
        <w:rPr>
          <w:rFonts w:asciiTheme="minorHAnsi" w:hAnsiTheme="minorHAnsi" w:cstheme="minorHAnsi"/>
          <w:iCs/>
          <w:szCs w:val="24"/>
        </w:rPr>
        <w:t xml:space="preserve"> considered that the use of the maximum dispensed quantities (i.e. 1500U Dysport</w:t>
      </w:r>
      <w:r w:rsidR="00943418" w:rsidRPr="002207D4">
        <w:rPr>
          <w:rFonts w:asciiTheme="minorHAnsi" w:hAnsiTheme="minorHAnsi" w:cstheme="minorHAnsi"/>
          <w:iCs/>
          <w:szCs w:val="24"/>
        </w:rPr>
        <w:t>®</w:t>
      </w:r>
      <w:r w:rsidR="00434334" w:rsidRPr="002207D4">
        <w:rPr>
          <w:rFonts w:asciiTheme="minorHAnsi" w:hAnsiTheme="minorHAnsi" w:cstheme="minorHAnsi"/>
          <w:iCs/>
          <w:szCs w:val="24"/>
        </w:rPr>
        <w:t xml:space="preserve"> and 400U Botox</w:t>
      </w:r>
      <w:r w:rsidR="00943418" w:rsidRPr="002207D4">
        <w:rPr>
          <w:rFonts w:asciiTheme="minorHAnsi" w:hAnsiTheme="minorHAnsi" w:cstheme="minorHAnsi"/>
          <w:iCs/>
          <w:szCs w:val="24"/>
        </w:rPr>
        <w:t>®</w:t>
      </w:r>
      <w:r w:rsidR="00434334" w:rsidRPr="002207D4">
        <w:rPr>
          <w:rFonts w:asciiTheme="minorHAnsi" w:hAnsiTheme="minorHAnsi" w:cstheme="minorHAnsi"/>
          <w:iCs/>
          <w:szCs w:val="24"/>
        </w:rPr>
        <w:t xml:space="preserve">) were not appropriate to inform the calculation of equi-effective doses </w:t>
      </w:r>
      <w:r w:rsidR="00943418" w:rsidRPr="002207D4">
        <w:rPr>
          <w:rFonts w:asciiTheme="minorHAnsi" w:hAnsiTheme="minorHAnsi" w:cstheme="minorHAnsi"/>
          <w:iCs/>
          <w:szCs w:val="24"/>
        </w:rPr>
        <w:t xml:space="preserve">(3.75U Dysport® to 1U Botox®) </w:t>
      </w:r>
      <w:r w:rsidR="00434334" w:rsidRPr="002207D4">
        <w:rPr>
          <w:rFonts w:asciiTheme="minorHAnsi" w:hAnsiTheme="minorHAnsi" w:cstheme="minorHAnsi"/>
          <w:iCs/>
          <w:szCs w:val="24"/>
        </w:rPr>
        <w:t>as neither of these doses directly contributed to the therapeutic outcomes</w:t>
      </w:r>
      <w:r w:rsidR="00943418" w:rsidRPr="002207D4">
        <w:rPr>
          <w:rFonts w:asciiTheme="minorHAnsi" w:hAnsiTheme="minorHAnsi" w:cstheme="minorHAnsi"/>
          <w:iCs/>
          <w:szCs w:val="24"/>
        </w:rPr>
        <w:t xml:space="preserve">. </w:t>
      </w:r>
    </w:p>
    <w:p w:rsidR="00943418" w:rsidRPr="002207D4" w:rsidRDefault="00943418" w:rsidP="0036686A">
      <w:pPr>
        <w:pStyle w:val="ListParagraph"/>
        <w:widowControl/>
        <w:numPr>
          <w:ilvl w:val="1"/>
          <w:numId w:val="1"/>
        </w:numPr>
        <w:spacing w:after="120"/>
        <w:ind w:left="720"/>
        <w:rPr>
          <w:rFonts w:asciiTheme="minorHAnsi" w:hAnsiTheme="minorHAnsi" w:cstheme="minorHAnsi"/>
          <w:iCs/>
          <w:szCs w:val="24"/>
        </w:rPr>
      </w:pPr>
      <w:r w:rsidRPr="002207D4">
        <w:rPr>
          <w:rFonts w:asciiTheme="minorHAnsi" w:hAnsiTheme="minorHAnsi"/>
          <w:iCs/>
        </w:rPr>
        <w:t xml:space="preserve">Overall, the ESC considered that </w:t>
      </w:r>
      <w:r w:rsidR="0063246F" w:rsidRPr="002207D4">
        <w:rPr>
          <w:rFonts w:asciiTheme="minorHAnsi" w:hAnsiTheme="minorHAnsi"/>
          <w:iCs/>
        </w:rPr>
        <w:t xml:space="preserve">in practice </w:t>
      </w:r>
      <w:r w:rsidRPr="002207D4">
        <w:rPr>
          <w:rFonts w:asciiTheme="minorHAnsi" w:hAnsiTheme="minorHAnsi"/>
          <w:iCs/>
        </w:rPr>
        <w:t xml:space="preserve">patients will be </w:t>
      </w:r>
      <w:r w:rsidR="00132150" w:rsidRPr="002207D4">
        <w:rPr>
          <w:rFonts w:asciiTheme="minorHAnsi" w:hAnsiTheme="minorHAnsi"/>
          <w:iCs/>
        </w:rPr>
        <w:t>prescribed</w:t>
      </w:r>
      <w:r w:rsidRPr="002207D4">
        <w:rPr>
          <w:rFonts w:asciiTheme="minorHAnsi" w:hAnsiTheme="minorHAnsi"/>
          <w:iCs/>
        </w:rPr>
        <w:t xml:space="preserve"> the maximum quantity of Dysport® (1500U) or Botox® (400U</w:t>
      </w:r>
      <w:r w:rsidR="004A1C11" w:rsidRPr="002207D4">
        <w:rPr>
          <w:rFonts w:asciiTheme="minorHAnsi" w:hAnsiTheme="minorHAnsi"/>
          <w:iCs/>
        </w:rPr>
        <w:t>)</w:t>
      </w:r>
      <w:r w:rsidRPr="002207D4">
        <w:rPr>
          <w:rFonts w:asciiTheme="minorHAnsi" w:hAnsiTheme="minorHAnsi"/>
          <w:iCs/>
        </w:rPr>
        <w:t xml:space="preserve">. </w:t>
      </w:r>
      <w:r w:rsidRPr="002207D4">
        <w:rPr>
          <w:rFonts w:asciiTheme="minorHAnsi" w:hAnsiTheme="minorHAnsi" w:cstheme="minorHAnsi"/>
          <w:iCs/>
          <w:szCs w:val="24"/>
        </w:rPr>
        <w:t xml:space="preserve">The ESC considered that the use of any equi-effective dose other than that </w:t>
      </w:r>
      <w:r w:rsidR="00D426AC" w:rsidRPr="002207D4">
        <w:rPr>
          <w:rFonts w:asciiTheme="minorHAnsi" w:hAnsiTheme="minorHAnsi" w:cstheme="minorHAnsi"/>
          <w:iCs/>
          <w:szCs w:val="24"/>
        </w:rPr>
        <w:t xml:space="preserve">those </w:t>
      </w:r>
      <w:r w:rsidRPr="002207D4">
        <w:rPr>
          <w:rFonts w:asciiTheme="minorHAnsi" w:hAnsiTheme="minorHAnsi" w:cstheme="minorHAnsi"/>
          <w:iCs/>
          <w:szCs w:val="24"/>
        </w:rPr>
        <w:t xml:space="preserve">based on the maximum dispensed quantities would not result in equivalent treatment costs </w:t>
      </w:r>
      <w:r w:rsidR="00D426AC" w:rsidRPr="002207D4">
        <w:rPr>
          <w:rFonts w:asciiTheme="minorHAnsi" w:hAnsiTheme="minorHAnsi" w:cstheme="minorHAnsi"/>
          <w:iCs/>
          <w:szCs w:val="24"/>
        </w:rPr>
        <w:t xml:space="preserve">per cycle </w:t>
      </w:r>
      <w:r w:rsidRPr="002207D4">
        <w:rPr>
          <w:rFonts w:asciiTheme="minorHAnsi" w:hAnsiTheme="minorHAnsi" w:cstheme="minorHAnsi"/>
          <w:iCs/>
          <w:szCs w:val="24"/>
        </w:rPr>
        <w:t>and therefore, would not be appropriate. The ESC advised that the cost per cycle of Dysport® must equal the cost per cycle of Botox® and that the equi-effective doses were:</w:t>
      </w:r>
    </w:p>
    <w:p w:rsidR="00943418" w:rsidRPr="002207D4" w:rsidRDefault="00943418" w:rsidP="00943418">
      <w:pPr>
        <w:pStyle w:val="ListParagraph"/>
        <w:widowControl/>
        <w:spacing w:after="120"/>
        <w:ind w:firstLine="720"/>
        <w:rPr>
          <w:rFonts w:asciiTheme="minorHAnsi" w:hAnsiTheme="minorHAnsi" w:cstheme="minorHAnsi"/>
          <w:iCs/>
          <w:szCs w:val="24"/>
        </w:rPr>
      </w:pPr>
      <w:r w:rsidRPr="002207D4">
        <w:rPr>
          <w:rFonts w:asciiTheme="minorHAnsi" w:hAnsiTheme="minorHAnsi" w:cstheme="minorHAnsi"/>
          <w:iCs/>
          <w:szCs w:val="24"/>
        </w:rPr>
        <w:t>3.75U Dysport® = 1U Botox®</w:t>
      </w:r>
    </w:p>
    <w:p w:rsidR="00445CAE" w:rsidRDefault="00445CAE" w:rsidP="0036686A">
      <w:pPr>
        <w:pStyle w:val="ListParagraph"/>
        <w:widowControl/>
        <w:numPr>
          <w:ilvl w:val="1"/>
          <w:numId w:val="1"/>
        </w:numPr>
        <w:spacing w:after="120"/>
        <w:ind w:left="720"/>
        <w:rPr>
          <w:rFonts w:asciiTheme="minorHAnsi" w:hAnsiTheme="minorHAnsi" w:cstheme="minorHAnsi"/>
          <w:iCs/>
          <w:szCs w:val="24"/>
        </w:rPr>
      </w:pPr>
      <w:r>
        <w:rPr>
          <w:rFonts w:asciiTheme="minorHAnsi" w:hAnsiTheme="minorHAnsi" w:cstheme="minorHAnsi"/>
          <w:iCs/>
          <w:szCs w:val="24"/>
        </w:rPr>
        <w:t>The pre-</w:t>
      </w:r>
      <w:r w:rsidR="00DE5A0E">
        <w:rPr>
          <w:rFonts w:asciiTheme="minorHAnsi" w:hAnsiTheme="minorHAnsi" w:cstheme="minorHAnsi"/>
          <w:iCs/>
          <w:szCs w:val="24"/>
        </w:rPr>
        <w:t xml:space="preserve">PBAC </w:t>
      </w:r>
      <w:r>
        <w:rPr>
          <w:rFonts w:asciiTheme="minorHAnsi" w:hAnsiTheme="minorHAnsi" w:cstheme="minorHAnsi"/>
          <w:iCs/>
          <w:szCs w:val="24"/>
        </w:rPr>
        <w:t>response reiterated that the equi-effective doses should be based on the mean therapeutic dose that produces the clinical outcomes observed in the clinical evidence, and that the equi-effective doses were 3.3U Dysport® to 1U Botox® (i.e. 995.5U Dysport® and 300U Botox®). The pre-PBAC response noted that, incorporating wastage, this was equivalent to two vials of 500U Dysport® and three vials of 100U Botox®.</w:t>
      </w:r>
    </w:p>
    <w:p w:rsidR="002E71EC" w:rsidRPr="006C7919" w:rsidRDefault="002E71EC" w:rsidP="006C7919">
      <w:pPr>
        <w:keepLines/>
        <w:spacing w:after="120"/>
        <w:jc w:val="left"/>
        <w:outlineLvl w:val="1"/>
        <w:rPr>
          <w:rFonts w:asciiTheme="minorHAnsi" w:hAnsiTheme="minorHAnsi" w:cs="Times New Roman"/>
          <w:b/>
          <w:i/>
          <w:snapToGrid/>
          <w:sz w:val="28"/>
          <w:szCs w:val="28"/>
          <w:lang w:eastAsia="en-AU"/>
        </w:rPr>
      </w:pPr>
      <w:bookmarkStart w:id="16" w:name="_Toc8130378"/>
      <w:bookmarkStart w:id="17" w:name="_Toc9247890"/>
      <w:r w:rsidRPr="006C7919">
        <w:rPr>
          <w:rFonts w:asciiTheme="minorHAnsi" w:hAnsiTheme="minorHAnsi" w:cs="Times New Roman"/>
          <w:b/>
          <w:i/>
          <w:snapToGrid/>
          <w:sz w:val="28"/>
          <w:szCs w:val="28"/>
          <w:lang w:eastAsia="en-AU"/>
        </w:rPr>
        <w:t>Drug cost/patient/cycle</w:t>
      </w:r>
      <w:bookmarkEnd w:id="16"/>
      <w:bookmarkEnd w:id="17"/>
    </w:p>
    <w:p w:rsidR="0018044D" w:rsidRPr="002207D4" w:rsidRDefault="009E275A" w:rsidP="0036686A">
      <w:pPr>
        <w:pStyle w:val="ListParagraph"/>
        <w:widowControl/>
        <w:numPr>
          <w:ilvl w:val="1"/>
          <w:numId w:val="1"/>
        </w:numPr>
        <w:spacing w:after="120"/>
        <w:ind w:left="720"/>
        <w:rPr>
          <w:rFonts w:asciiTheme="minorHAnsi" w:hAnsiTheme="minorHAnsi" w:cstheme="minorHAnsi"/>
          <w:iCs/>
          <w:szCs w:val="24"/>
        </w:rPr>
      </w:pPr>
      <w:r>
        <w:rPr>
          <w:rFonts w:asciiTheme="minorHAnsi" w:hAnsiTheme="minorHAnsi" w:cstheme="minorHAnsi"/>
          <w:szCs w:val="24"/>
        </w:rPr>
        <w:t xml:space="preserve">The drug cost per patient was </w:t>
      </w:r>
      <w:r w:rsidR="00D172D7" w:rsidRPr="00D03BE3">
        <w:rPr>
          <w:rFonts w:asciiTheme="minorHAnsi" w:hAnsiTheme="minorHAnsi" w:cstheme="minorHAnsi"/>
          <w:szCs w:val="24"/>
        </w:rPr>
        <w:t>$</w:t>
      </w:r>
      <w:r w:rsidR="00D73CF2">
        <w:rPr>
          <w:rFonts w:asciiTheme="minorHAnsi" w:hAnsiTheme="minorHAnsi" w:cstheme="minorHAnsi"/>
          <w:noProof/>
          <w:color w:val="000000"/>
          <w:szCs w:val="24"/>
          <w:highlight w:val="black"/>
        </w:rPr>
        <w:t>''''''''''''''''''</w:t>
      </w:r>
      <w:r w:rsidR="00552548" w:rsidRPr="00D03BE3">
        <w:rPr>
          <w:rFonts w:asciiTheme="minorHAnsi" w:hAnsiTheme="minorHAnsi" w:cstheme="minorHAnsi"/>
          <w:szCs w:val="24"/>
        </w:rPr>
        <w:t xml:space="preserve"> per treatment cycle</w:t>
      </w:r>
      <w:r w:rsidR="00ED0DE7" w:rsidRPr="00D03BE3">
        <w:rPr>
          <w:rFonts w:asciiTheme="minorHAnsi" w:hAnsiTheme="minorHAnsi" w:cstheme="minorHAnsi"/>
          <w:szCs w:val="24"/>
        </w:rPr>
        <w:t xml:space="preserve"> (i.e. </w:t>
      </w:r>
      <w:r w:rsidR="00B22D3B" w:rsidRPr="00D03BE3">
        <w:rPr>
          <w:rFonts w:asciiTheme="minorHAnsi" w:hAnsiTheme="minorHAnsi" w:cstheme="minorHAnsi"/>
          <w:szCs w:val="24"/>
        </w:rPr>
        <w:t xml:space="preserve">DPMQ for </w:t>
      </w:r>
      <w:r w:rsidR="00ED0DE7" w:rsidRPr="00D03BE3">
        <w:rPr>
          <w:rFonts w:asciiTheme="minorHAnsi" w:hAnsiTheme="minorHAnsi" w:cstheme="minorHAnsi"/>
          <w:szCs w:val="24"/>
        </w:rPr>
        <w:t>1500U)</w:t>
      </w:r>
      <w:r w:rsidR="002E71EC" w:rsidRPr="00D03BE3">
        <w:rPr>
          <w:rFonts w:asciiTheme="minorHAnsi" w:hAnsiTheme="minorHAnsi" w:cstheme="minorHAnsi"/>
          <w:szCs w:val="24"/>
        </w:rPr>
        <w:t xml:space="preserve">. </w:t>
      </w:r>
      <w:r w:rsidR="002E71EC" w:rsidRPr="00D03BE3">
        <w:rPr>
          <w:rFonts w:asciiTheme="minorHAnsi" w:hAnsiTheme="minorHAnsi" w:cstheme="minorHAnsi"/>
          <w:iCs/>
          <w:szCs w:val="24"/>
        </w:rPr>
        <w:t>Th</w:t>
      </w:r>
      <w:r w:rsidR="00D172D7" w:rsidRPr="00D03BE3">
        <w:rPr>
          <w:rFonts w:asciiTheme="minorHAnsi" w:hAnsiTheme="minorHAnsi" w:cstheme="minorHAnsi"/>
          <w:iCs/>
          <w:szCs w:val="24"/>
        </w:rPr>
        <w:t>e estimate</w:t>
      </w:r>
      <w:r w:rsidR="002E71EC" w:rsidRPr="00D03BE3">
        <w:rPr>
          <w:rFonts w:asciiTheme="minorHAnsi" w:hAnsiTheme="minorHAnsi" w:cstheme="minorHAnsi"/>
          <w:iCs/>
          <w:szCs w:val="24"/>
        </w:rPr>
        <w:t xml:space="preserve"> did not include costs for administration (</w:t>
      </w:r>
      <w:r w:rsidR="002E71EC" w:rsidRPr="00D03BE3">
        <w:rPr>
          <w:iCs/>
        </w:rPr>
        <w:t>MBS item 18360</w:t>
      </w:r>
      <w:r w:rsidR="002E71EC" w:rsidRPr="00D03BE3">
        <w:rPr>
          <w:iCs/>
          <w:szCs w:val="20"/>
        </w:rPr>
        <w:t xml:space="preserve">) </w:t>
      </w:r>
      <w:r w:rsidR="002E71EC" w:rsidRPr="00D03BE3">
        <w:rPr>
          <w:rFonts w:asciiTheme="minorHAnsi" w:hAnsiTheme="minorHAnsi" w:cstheme="minorHAnsi"/>
          <w:iCs/>
          <w:szCs w:val="24"/>
        </w:rPr>
        <w:t xml:space="preserve">or follow-up visits </w:t>
      </w:r>
      <w:r w:rsidR="00D172D7" w:rsidRPr="00D03BE3">
        <w:rPr>
          <w:rFonts w:asciiTheme="minorHAnsi" w:hAnsiTheme="minorHAnsi" w:cstheme="minorHAnsi"/>
          <w:iCs/>
          <w:szCs w:val="24"/>
        </w:rPr>
        <w:t xml:space="preserve">to monitor response </w:t>
      </w:r>
      <w:r w:rsidR="002E71EC" w:rsidRPr="00D03BE3">
        <w:rPr>
          <w:rFonts w:asciiTheme="minorHAnsi" w:hAnsiTheme="minorHAnsi" w:cstheme="minorHAnsi"/>
          <w:iCs/>
          <w:szCs w:val="24"/>
        </w:rPr>
        <w:t>(</w:t>
      </w:r>
      <w:r w:rsidR="002E71EC" w:rsidRPr="00D03BE3">
        <w:rPr>
          <w:iCs/>
          <w:szCs w:val="20"/>
        </w:rPr>
        <w:t>MBS item 116)</w:t>
      </w:r>
      <w:r w:rsidR="002E71EC" w:rsidRPr="00D03BE3">
        <w:rPr>
          <w:rFonts w:asciiTheme="minorHAnsi" w:hAnsiTheme="minorHAnsi" w:cstheme="minorHAnsi"/>
          <w:iCs/>
          <w:szCs w:val="24"/>
        </w:rPr>
        <w:t>.</w:t>
      </w:r>
      <w:r w:rsidR="00D172D7" w:rsidRPr="00D03BE3">
        <w:rPr>
          <w:rFonts w:asciiTheme="minorHAnsi" w:hAnsiTheme="minorHAnsi" w:cstheme="minorHAnsi"/>
          <w:iCs/>
          <w:szCs w:val="24"/>
        </w:rPr>
        <w:t xml:space="preserve"> </w:t>
      </w:r>
    </w:p>
    <w:p w:rsidR="005659CF" w:rsidRPr="00D03BE3" w:rsidRDefault="00D172D7" w:rsidP="0036686A">
      <w:pPr>
        <w:pStyle w:val="ListParagraph"/>
        <w:widowControl/>
        <w:numPr>
          <w:ilvl w:val="1"/>
          <w:numId w:val="1"/>
        </w:numPr>
        <w:spacing w:after="120"/>
        <w:ind w:left="720"/>
        <w:rPr>
          <w:rFonts w:asciiTheme="minorHAnsi" w:hAnsiTheme="minorHAnsi" w:cstheme="minorHAnsi"/>
          <w:iCs/>
          <w:szCs w:val="24"/>
        </w:rPr>
      </w:pPr>
      <w:r w:rsidRPr="00D03BE3">
        <w:rPr>
          <w:rFonts w:asciiTheme="minorHAnsi" w:hAnsiTheme="minorHAnsi" w:cstheme="minorHAnsi"/>
          <w:iCs/>
          <w:szCs w:val="24"/>
        </w:rPr>
        <w:t>In the financial estimates, the resubmission assumed all patients that met the continuation criteria after two cycles received 3.7</w:t>
      </w:r>
      <w:r w:rsidR="005B4F4A" w:rsidRPr="00D03BE3">
        <w:rPr>
          <w:rFonts w:asciiTheme="minorHAnsi" w:hAnsiTheme="minorHAnsi" w:cstheme="minorHAnsi"/>
          <w:iCs/>
          <w:szCs w:val="24"/>
        </w:rPr>
        <w:t>2</w:t>
      </w:r>
      <w:r w:rsidRPr="00D03BE3">
        <w:rPr>
          <w:rFonts w:asciiTheme="minorHAnsi" w:hAnsiTheme="minorHAnsi" w:cstheme="minorHAnsi"/>
          <w:iCs/>
          <w:szCs w:val="24"/>
        </w:rPr>
        <w:t xml:space="preserve"> treatment cycles per year indefinitely, which was a likely overestimate</w:t>
      </w:r>
      <w:r w:rsidR="0018044D" w:rsidRPr="00D03BE3">
        <w:rPr>
          <w:rFonts w:asciiTheme="minorHAnsi" w:hAnsiTheme="minorHAnsi" w:cstheme="minorHAnsi"/>
          <w:iCs/>
          <w:szCs w:val="24"/>
        </w:rPr>
        <w:t>.</w:t>
      </w:r>
      <w:r w:rsidR="005659CF" w:rsidRPr="00D03BE3">
        <w:rPr>
          <w:rFonts w:asciiTheme="minorHAnsi" w:hAnsiTheme="minorHAnsi" w:cstheme="minorHAnsi"/>
          <w:iCs/>
          <w:szCs w:val="24"/>
        </w:rPr>
        <w:t xml:space="preserve"> Data considered previously by the PBAC indicated reinjection intervals tended to increase over time (see paragraph </w:t>
      </w:r>
      <w:r w:rsidR="005659CF" w:rsidRPr="009A46DB">
        <w:rPr>
          <w:rFonts w:asciiTheme="minorHAnsi" w:hAnsiTheme="minorHAnsi" w:cstheme="minorHAnsi"/>
          <w:iCs/>
          <w:szCs w:val="24"/>
        </w:rPr>
        <w:t>2.</w:t>
      </w:r>
      <w:r w:rsidR="009A46DB">
        <w:rPr>
          <w:rFonts w:asciiTheme="minorHAnsi" w:hAnsiTheme="minorHAnsi" w:cstheme="minorHAnsi"/>
          <w:iCs/>
          <w:szCs w:val="24"/>
        </w:rPr>
        <w:t>6</w:t>
      </w:r>
      <w:r w:rsidR="005659CF" w:rsidRPr="00D03BE3">
        <w:rPr>
          <w:rFonts w:asciiTheme="minorHAnsi" w:hAnsiTheme="minorHAnsi" w:cstheme="minorHAnsi"/>
          <w:iCs/>
          <w:szCs w:val="24"/>
        </w:rPr>
        <w:t xml:space="preserve"> above).</w:t>
      </w:r>
      <w:bookmarkStart w:id="18" w:name="_Toc8130379"/>
    </w:p>
    <w:p w:rsidR="002E71EC" w:rsidRPr="006C7919" w:rsidRDefault="002E71EC" w:rsidP="006C7919">
      <w:pPr>
        <w:keepLines/>
        <w:spacing w:after="120"/>
        <w:jc w:val="left"/>
        <w:outlineLvl w:val="1"/>
        <w:rPr>
          <w:rFonts w:asciiTheme="minorHAnsi" w:hAnsiTheme="minorHAnsi" w:cs="Times New Roman"/>
          <w:b/>
          <w:i/>
          <w:snapToGrid/>
          <w:sz w:val="28"/>
          <w:szCs w:val="28"/>
          <w:lang w:eastAsia="en-AU"/>
        </w:rPr>
      </w:pPr>
      <w:bookmarkStart w:id="19" w:name="_Toc9247891"/>
      <w:r w:rsidRPr="006C7919">
        <w:rPr>
          <w:rFonts w:asciiTheme="minorHAnsi" w:hAnsiTheme="minorHAnsi" w:cs="Times New Roman"/>
          <w:b/>
          <w:i/>
          <w:snapToGrid/>
          <w:sz w:val="28"/>
          <w:szCs w:val="28"/>
          <w:lang w:eastAsia="en-AU"/>
        </w:rPr>
        <w:t>Estimated PBS usage &amp; financial implications</w:t>
      </w:r>
      <w:bookmarkEnd w:id="18"/>
      <w:bookmarkEnd w:id="19"/>
    </w:p>
    <w:p w:rsidR="00D26662" w:rsidRDefault="002E71EC" w:rsidP="009E275A">
      <w:pPr>
        <w:pStyle w:val="ListParagraph"/>
        <w:keepNext/>
        <w:widowControl/>
        <w:numPr>
          <w:ilvl w:val="1"/>
          <w:numId w:val="1"/>
        </w:numPr>
        <w:ind w:left="720"/>
      </w:pPr>
      <w:r>
        <w:t>Th</w:t>
      </w:r>
      <w:r w:rsidR="00D26662">
        <w:t>e</w:t>
      </w:r>
      <w:r>
        <w:t xml:space="preserve"> </w:t>
      </w:r>
      <w:r w:rsidR="00D26662">
        <w:t>re</w:t>
      </w:r>
      <w:r>
        <w:t xml:space="preserve">submission was not considered by </w:t>
      </w:r>
      <w:r w:rsidRPr="000A4716">
        <w:t xml:space="preserve">DUSC. </w:t>
      </w:r>
      <w:r w:rsidR="00D26662">
        <w:t xml:space="preserve">As with the previous submission, the </w:t>
      </w:r>
      <w:r w:rsidR="0018044D">
        <w:t>resubmission</w:t>
      </w:r>
      <w:r w:rsidR="00D26662">
        <w:t xml:space="preserve"> used an </w:t>
      </w:r>
      <w:r>
        <w:t xml:space="preserve">epidemiological approach to estimate the financial impact of listing Dysport® on the PBS. </w:t>
      </w:r>
    </w:p>
    <w:p w:rsidR="00D26662" w:rsidRPr="00D03BE3" w:rsidRDefault="00D26662" w:rsidP="0036686A">
      <w:pPr>
        <w:pStyle w:val="ListParagraph"/>
        <w:widowControl/>
        <w:numPr>
          <w:ilvl w:val="1"/>
          <w:numId w:val="1"/>
        </w:numPr>
        <w:ind w:left="720"/>
        <w:rPr>
          <w:iCs/>
        </w:rPr>
      </w:pPr>
      <w:r w:rsidRPr="00D03BE3">
        <w:rPr>
          <w:iCs/>
        </w:rPr>
        <w:t>The methodology was largely unchanged from the November 2018 submission; however, the resubmission updated several of the key parameter</w:t>
      </w:r>
      <w:r w:rsidR="0018044D" w:rsidRPr="00D03BE3">
        <w:rPr>
          <w:iCs/>
        </w:rPr>
        <w:t>s</w:t>
      </w:r>
      <w:r w:rsidRPr="00D03BE3">
        <w:rPr>
          <w:iCs/>
        </w:rPr>
        <w:t xml:space="preserve"> </w:t>
      </w:r>
      <w:r w:rsidR="0018044D" w:rsidRPr="00D03BE3">
        <w:rPr>
          <w:iCs/>
        </w:rPr>
        <w:t xml:space="preserve">in </w:t>
      </w:r>
      <w:r w:rsidRPr="00D03BE3">
        <w:rPr>
          <w:iCs/>
        </w:rPr>
        <w:t xml:space="preserve">the </w:t>
      </w:r>
      <w:r w:rsidR="00576B2D">
        <w:rPr>
          <w:iCs/>
        </w:rPr>
        <w:t>financial model</w:t>
      </w:r>
      <w:r w:rsidRPr="00D03BE3">
        <w:rPr>
          <w:iCs/>
        </w:rPr>
        <w:t xml:space="preserve">. Overall, the net effect of the parameter changes increased the </w:t>
      </w:r>
      <w:r w:rsidR="0018044D" w:rsidRPr="00D03BE3">
        <w:rPr>
          <w:iCs/>
        </w:rPr>
        <w:t xml:space="preserve">number of patients in the </w:t>
      </w:r>
      <w:r w:rsidRPr="00D03BE3">
        <w:rPr>
          <w:iCs/>
        </w:rPr>
        <w:t>eligible population with LLFS post</w:t>
      </w:r>
      <w:r w:rsidR="0018044D" w:rsidRPr="00D03BE3">
        <w:rPr>
          <w:iCs/>
        </w:rPr>
        <w:t>-</w:t>
      </w:r>
      <w:r w:rsidRPr="00D03BE3">
        <w:rPr>
          <w:iCs/>
        </w:rPr>
        <w:t>stroke, and</w:t>
      </w:r>
      <w:r w:rsidR="005B4F4A" w:rsidRPr="00D03BE3">
        <w:rPr>
          <w:iCs/>
        </w:rPr>
        <w:t xml:space="preserve"> considerably increased</w:t>
      </w:r>
      <w:r w:rsidRPr="00D03BE3">
        <w:rPr>
          <w:iCs/>
        </w:rPr>
        <w:t xml:space="preserve"> the total number of patients treated over time</w:t>
      </w:r>
      <w:r w:rsidR="005B4F4A" w:rsidRPr="00D03BE3">
        <w:rPr>
          <w:iCs/>
        </w:rPr>
        <w:t>. The resubmission assumed no</w:t>
      </w:r>
      <w:r w:rsidRPr="00D03BE3">
        <w:rPr>
          <w:iCs/>
        </w:rPr>
        <w:t xml:space="preserve"> patients </w:t>
      </w:r>
      <w:r w:rsidRPr="00D03BE3">
        <w:rPr>
          <w:iCs/>
        </w:rPr>
        <w:lastRenderedPageBreak/>
        <w:t>discontinued treatment</w:t>
      </w:r>
      <w:r w:rsidR="005B4F4A" w:rsidRPr="00D03BE3">
        <w:rPr>
          <w:iCs/>
        </w:rPr>
        <w:t xml:space="preserve"> and all patients received 3.72 cycles per year</w:t>
      </w:r>
      <w:r w:rsidR="00ED0DE7" w:rsidRPr="00D03BE3">
        <w:rPr>
          <w:iCs/>
        </w:rPr>
        <w:t xml:space="preserve">, which was </w:t>
      </w:r>
      <w:r w:rsidR="0024449A">
        <w:rPr>
          <w:iCs/>
        </w:rPr>
        <w:t xml:space="preserve">considered </w:t>
      </w:r>
      <w:r w:rsidR="00ED0DE7" w:rsidRPr="00D03BE3">
        <w:rPr>
          <w:iCs/>
        </w:rPr>
        <w:t>unreasonable</w:t>
      </w:r>
      <w:r w:rsidRPr="00D03BE3">
        <w:rPr>
          <w:iCs/>
        </w:rPr>
        <w:t>.</w:t>
      </w:r>
    </w:p>
    <w:p w:rsidR="000565F9" w:rsidRPr="00D03BE3" w:rsidRDefault="000565F9" w:rsidP="0036686A">
      <w:pPr>
        <w:pStyle w:val="ListParagraph"/>
        <w:widowControl/>
        <w:numPr>
          <w:ilvl w:val="1"/>
          <w:numId w:val="1"/>
        </w:numPr>
        <w:ind w:left="720"/>
        <w:rPr>
          <w:iCs/>
        </w:rPr>
      </w:pPr>
      <w:r w:rsidRPr="00D03BE3">
        <w:rPr>
          <w:iCs/>
        </w:rPr>
        <w:t xml:space="preserve">The updated financial estimates </w:t>
      </w:r>
      <w:r w:rsidR="00D175BD" w:rsidRPr="00D03BE3">
        <w:rPr>
          <w:iCs/>
        </w:rPr>
        <w:t>did not include any grandfathering of patients current</w:t>
      </w:r>
      <w:r w:rsidR="0018044D" w:rsidRPr="00D03BE3">
        <w:rPr>
          <w:iCs/>
        </w:rPr>
        <w:t>ly treated with</w:t>
      </w:r>
      <w:r w:rsidR="00D175BD" w:rsidRPr="00D03BE3">
        <w:rPr>
          <w:iCs/>
        </w:rPr>
        <w:t xml:space="preserve"> BoNT and </w:t>
      </w:r>
      <w:r w:rsidRPr="00D03BE3">
        <w:rPr>
          <w:iCs/>
        </w:rPr>
        <w:t xml:space="preserve">excluded patients with LLFS from initiating treatment with BoNT if the stroke occurred more than 2 years </w:t>
      </w:r>
      <w:r w:rsidR="00D175BD" w:rsidRPr="00D03BE3">
        <w:rPr>
          <w:iCs/>
        </w:rPr>
        <w:t>prior to Year 1. This assumption may not be reasonable given such patients would now be eligible for treatment under the requested restriction presented in the resubmission.</w:t>
      </w:r>
    </w:p>
    <w:p w:rsidR="004478D4" w:rsidRPr="004478D4" w:rsidRDefault="00074D59" w:rsidP="004478D4">
      <w:pPr>
        <w:pStyle w:val="ListParagraph"/>
        <w:widowControl/>
        <w:numPr>
          <w:ilvl w:val="1"/>
          <w:numId w:val="1"/>
        </w:numPr>
        <w:ind w:left="720"/>
      </w:pPr>
      <w:r w:rsidRPr="00D03BE3">
        <w:t xml:space="preserve">Table </w:t>
      </w:r>
      <w:r w:rsidRPr="00D03BE3">
        <w:rPr>
          <w:noProof/>
        </w:rPr>
        <w:t>7</w:t>
      </w:r>
      <w:r w:rsidR="002E71EC" w:rsidRPr="00D03BE3">
        <w:t xml:space="preserve"> summarises the estimated use and financial implications for the proposed Dysport® PBS listing. </w:t>
      </w:r>
      <w:r w:rsidR="004262AB" w:rsidRPr="00D03BE3">
        <w:rPr>
          <w:iCs/>
        </w:rPr>
        <w:t xml:space="preserve">The </w:t>
      </w:r>
      <w:r w:rsidR="000565F9" w:rsidRPr="00D03BE3">
        <w:rPr>
          <w:iCs/>
        </w:rPr>
        <w:t>table below shows the financial estimates with the DPMQ requested in the resubmission ($</w:t>
      </w:r>
      <w:r w:rsidR="00D73CF2">
        <w:rPr>
          <w:iCs/>
          <w:noProof/>
          <w:color w:val="000000"/>
          <w:highlight w:val="black"/>
        </w:rPr>
        <w:t>''''''''''''''''</w:t>
      </w:r>
      <w:r w:rsidR="000565F9" w:rsidRPr="00D03BE3">
        <w:rPr>
          <w:iCs/>
        </w:rPr>
        <w:t>).</w:t>
      </w:r>
    </w:p>
    <w:p w:rsidR="004478D4" w:rsidRPr="002207D4" w:rsidRDefault="004478D4" w:rsidP="004478D4">
      <w:pPr>
        <w:pStyle w:val="ListParagraph"/>
        <w:widowControl/>
        <w:numPr>
          <w:ilvl w:val="1"/>
          <w:numId w:val="1"/>
        </w:numPr>
        <w:ind w:left="720"/>
      </w:pPr>
      <w:r w:rsidRPr="002207D4">
        <w:rPr>
          <w:iCs/>
        </w:rPr>
        <w:t>The PSCR provided updated financial estimates based on the request to extend the proposed PBS listing to include patients with lower limb spasticity following an acute neurological event and the updated equi-effective dose (3.3U Dysport</w:t>
      </w:r>
      <w:r w:rsidRPr="002207D4">
        <w:rPr>
          <w:rFonts w:cs="Calibri"/>
          <w:iCs/>
        </w:rPr>
        <w:t>®</w:t>
      </w:r>
      <w:r w:rsidRPr="002207D4">
        <w:rPr>
          <w:iCs/>
        </w:rPr>
        <w:t xml:space="preserve"> to 1U of Botox</w:t>
      </w:r>
      <w:r w:rsidRPr="002207D4">
        <w:rPr>
          <w:rFonts w:cs="Calibri"/>
          <w:iCs/>
        </w:rPr>
        <w:t>®</w:t>
      </w:r>
      <w:r w:rsidRPr="002207D4">
        <w:rPr>
          <w:iCs/>
        </w:rPr>
        <w:t>).</w:t>
      </w:r>
    </w:p>
    <w:p w:rsidR="006662DE" w:rsidRDefault="006662DE">
      <w:pPr>
        <w:widowControl/>
        <w:jc w:val="left"/>
        <w:rPr>
          <w:rFonts w:ascii="Arial Narrow" w:hAnsi="Arial Narrow" w:cs="Times New Roman"/>
          <w:b/>
          <w:bCs/>
          <w:snapToGrid/>
          <w:sz w:val="20"/>
        </w:rPr>
      </w:pPr>
      <w:bookmarkStart w:id="20" w:name="_Ref8046041"/>
      <w:r>
        <w:rPr>
          <w:b/>
          <w:bCs/>
        </w:rPr>
        <w:br w:type="page"/>
      </w:r>
    </w:p>
    <w:bookmarkEnd w:id="20"/>
    <w:p w:rsidR="00FD3D25" w:rsidRDefault="00FD3D25" w:rsidP="00FD3D25">
      <w:pPr>
        <w:pStyle w:val="TableHeading0"/>
      </w:pPr>
      <w:r>
        <w:lastRenderedPageBreak/>
        <w:t xml:space="preserve">Table </w:t>
      </w:r>
      <w:r w:rsidR="008C0876">
        <w:fldChar w:fldCharType="begin"/>
      </w:r>
      <w:r w:rsidR="008C0876">
        <w:instrText xml:space="preserve"> SEQ Tab</w:instrText>
      </w:r>
      <w:r w:rsidR="008C0876">
        <w:instrText xml:space="preserve">le \* ARABIC </w:instrText>
      </w:r>
      <w:r w:rsidR="008C0876">
        <w:fldChar w:fldCharType="separate"/>
      </w:r>
      <w:r w:rsidR="00915F21">
        <w:rPr>
          <w:noProof/>
        </w:rPr>
        <w:t>7</w:t>
      </w:r>
      <w:r w:rsidR="008C0876">
        <w:rPr>
          <w:noProof/>
        </w:rPr>
        <w:fldChar w:fldCharType="end"/>
      </w:r>
      <w:r w:rsidRPr="007E6ADF">
        <w:t>: Estimated use and financial implications</w:t>
      </w:r>
    </w:p>
    <w:tbl>
      <w:tblPr>
        <w:tblStyle w:val="TableGrid"/>
        <w:tblW w:w="0" w:type="auto"/>
        <w:tblCellMar>
          <w:left w:w="28" w:type="dxa"/>
          <w:right w:w="28" w:type="dxa"/>
        </w:tblCellMar>
        <w:tblLook w:val="04A0" w:firstRow="1" w:lastRow="0" w:firstColumn="1" w:lastColumn="0" w:noHBand="0" w:noVBand="1"/>
        <w:tblCaption w:val="Table 7: Estimated use and financial implications"/>
      </w:tblPr>
      <w:tblGrid>
        <w:gridCol w:w="299"/>
        <w:gridCol w:w="2392"/>
        <w:gridCol w:w="1031"/>
        <w:gridCol w:w="1083"/>
        <w:gridCol w:w="1060"/>
        <w:gridCol w:w="1060"/>
        <w:gridCol w:w="1060"/>
        <w:gridCol w:w="1032"/>
      </w:tblGrid>
      <w:tr w:rsidR="004D5A83" w:rsidRPr="00FC4842" w:rsidTr="00FD3D25">
        <w:tc>
          <w:tcPr>
            <w:tcW w:w="299" w:type="dxa"/>
          </w:tcPr>
          <w:p w:rsidR="004D5A83" w:rsidRPr="00FC4842" w:rsidRDefault="004D5A83" w:rsidP="009E275A">
            <w:pPr>
              <w:keepNext/>
              <w:widowControl/>
              <w:rPr>
                <w:rFonts w:ascii="Arial Narrow" w:hAnsi="Arial Narrow"/>
                <w:sz w:val="20"/>
                <w:szCs w:val="20"/>
              </w:rPr>
            </w:pPr>
          </w:p>
        </w:tc>
        <w:tc>
          <w:tcPr>
            <w:tcW w:w="2392" w:type="dxa"/>
          </w:tcPr>
          <w:p w:rsidR="004D5A83" w:rsidRPr="00FC4842" w:rsidRDefault="004D5A83" w:rsidP="009E275A">
            <w:pPr>
              <w:keepNext/>
              <w:widowControl/>
              <w:rPr>
                <w:rFonts w:ascii="Arial Narrow" w:hAnsi="Arial Narrow"/>
                <w:sz w:val="20"/>
                <w:szCs w:val="20"/>
              </w:rPr>
            </w:pPr>
          </w:p>
        </w:tc>
        <w:tc>
          <w:tcPr>
            <w:tcW w:w="1031" w:type="dxa"/>
            <w:vAlign w:val="center"/>
          </w:tcPr>
          <w:p w:rsidR="004D5A83" w:rsidRDefault="004D5A83" w:rsidP="009E275A">
            <w:pPr>
              <w:keepNext/>
              <w:widowControl/>
              <w:jc w:val="center"/>
              <w:rPr>
                <w:rFonts w:ascii="Arial Narrow" w:hAnsi="Arial Narrow"/>
                <w:b/>
                <w:noProof/>
                <w:sz w:val="20"/>
                <w:szCs w:val="20"/>
              </w:rPr>
            </w:pPr>
            <w:r w:rsidRPr="00FC4842">
              <w:rPr>
                <w:rFonts w:ascii="Arial Narrow" w:hAnsi="Arial Narrow"/>
                <w:b/>
                <w:noProof/>
                <w:sz w:val="20"/>
                <w:szCs w:val="20"/>
              </w:rPr>
              <w:t>Year 1</w:t>
            </w:r>
          </w:p>
          <w:p w:rsidR="004D5A83" w:rsidRPr="00FC4842" w:rsidRDefault="004D5A83" w:rsidP="009E275A">
            <w:pPr>
              <w:keepNext/>
              <w:widowControl/>
              <w:jc w:val="center"/>
              <w:rPr>
                <w:rFonts w:ascii="Arial Narrow" w:hAnsi="Arial Narrow"/>
                <w:sz w:val="20"/>
                <w:szCs w:val="20"/>
              </w:rPr>
            </w:pPr>
            <w:r>
              <w:rPr>
                <w:rFonts w:ascii="Arial Narrow" w:hAnsi="Arial Narrow"/>
                <w:b/>
                <w:noProof/>
                <w:sz w:val="20"/>
                <w:szCs w:val="20"/>
              </w:rPr>
              <w:t>(2020)</w:t>
            </w:r>
          </w:p>
        </w:tc>
        <w:tc>
          <w:tcPr>
            <w:tcW w:w="1083" w:type="dxa"/>
            <w:vAlign w:val="center"/>
          </w:tcPr>
          <w:p w:rsidR="004D5A83" w:rsidRDefault="004D5A83" w:rsidP="009E275A">
            <w:pPr>
              <w:keepNext/>
              <w:widowControl/>
              <w:jc w:val="center"/>
              <w:rPr>
                <w:rFonts w:ascii="Arial Narrow" w:hAnsi="Arial Narrow"/>
                <w:b/>
                <w:noProof/>
                <w:sz w:val="20"/>
                <w:szCs w:val="20"/>
              </w:rPr>
            </w:pPr>
            <w:r w:rsidRPr="00FC4842">
              <w:rPr>
                <w:rFonts w:ascii="Arial Narrow" w:hAnsi="Arial Narrow"/>
                <w:b/>
                <w:noProof/>
                <w:sz w:val="20"/>
                <w:szCs w:val="20"/>
              </w:rPr>
              <w:t>Year 2</w:t>
            </w:r>
          </w:p>
          <w:p w:rsidR="004D5A83" w:rsidRPr="00FC4842" w:rsidRDefault="004D5A83" w:rsidP="009E275A">
            <w:pPr>
              <w:keepNext/>
              <w:widowControl/>
              <w:jc w:val="center"/>
              <w:rPr>
                <w:rFonts w:ascii="Arial Narrow" w:hAnsi="Arial Narrow"/>
                <w:sz w:val="20"/>
                <w:szCs w:val="20"/>
              </w:rPr>
            </w:pPr>
            <w:r>
              <w:rPr>
                <w:rFonts w:ascii="Arial Narrow" w:hAnsi="Arial Narrow"/>
                <w:b/>
                <w:noProof/>
                <w:sz w:val="20"/>
                <w:szCs w:val="20"/>
              </w:rPr>
              <w:t>(2021)</w:t>
            </w:r>
          </w:p>
        </w:tc>
        <w:tc>
          <w:tcPr>
            <w:tcW w:w="1060" w:type="dxa"/>
            <w:vAlign w:val="center"/>
          </w:tcPr>
          <w:p w:rsidR="004D5A83" w:rsidRDefault="004D5A83" w:rsidP="009E275A">
            <w:pPr>
              <w:keepNext/>
              <w:widowControl/>
              <w:jc w:val="center"/>
              <w:rPr>
                <w:rFonts w:ascii="Arial Narrow" w:hAnsi="Arial Narrow"/>
                <w:b/>
                <w:noProof/>
                <w:sz w:val="20"/>
                <w:szCs w:val="20"/>
              </w:rPr>
            </w:pPr>
            <w:r w:rsidRPr="00FC4842">
              <w:rPr>
                <w:rFonts w:ascii="Arial Narrow" w:hAnsi="Arial Narrow"/>
                <w:b/>
                <w:noProof/>
                <w:sz w:val="20"/>
                <w:szCs w:val="20"/>
              </w:rPr>
              <w:t>Year 3</w:t>
            </w:r>
          </w:p>
          <w:p w:rsidR="004D5A83" w:rsidRPr="00FC4842" w:rsidRDefault="004D5A83" w:rsidP="009E275A">
            <w:pPr>
              <w:keepNext/>
              <w:widowControl/>
              <w:jc w:val="center"/>
              <w:rPr>
                <w:rFonts w:ascii="Arial Narrow" w:hAnsi="Arial Narrow"/>
                <w:sz w:val="20"/>
                <w:szCs w:val="20"/>
              </w:rPr>
            </w:pPr>
            <w:r>
              <w:rPr>
                <w:rFonts w:ascii="Arial Narrow" w:hAnsi="Arial Narrow"/>
                <w:b/>
                <w:noProof/>
                <w:sz w:val="20"/>
                <w:szCs w:val="20"/>
              </w:rPr>
              <w:t>(2022)</w:t>
            </w:r>
          </w:p>
        </w:tc>
        <w:tc>
          <w:tcPr>
            <w:tcW w:w="1060" w:type="dxa"/>
            <w:vAlign w:val="center"/>
          </w:tcPr>
          <w:p w:rsidR="004D5A83" w:rsidRDefault="004D5A83" w:rsidP="009E275A">
            <w:pPr>
              <w:keepNext/>
              <w:widowControl/>
              <w:jc w:val="center"/>
              <w:rPr>
                <w:rFonts w:ascii="Arial Narrow" w:hAnsi="Arial Narrow"/>
                <w:b/>
                <w:noProof/>
                <w:sz w:val="20"/>
                <w:szCs w:val="20"/>
              </w:rPr>
            </w:pPr>
            <w:r w:rsidRPr="00FC4842">
              <w:rPr>
                <w:rFonts w:ascii="Arial Narrow" w:hAnsi="Arial Narrow"/>
                <w:b/>
                <w:noProof/>
                <w:sz w:val="20"/>
                <w:szCs w:val="20"/>
              </w:rPr>
              <w:t>Year 4</w:t>
            </w:r>
          </w:p>
          <w:p w:rsidR="004D5A83" w:rsidRPr="00FC4842" w:rsidRDefault="004D5A83" w:rsidP="009E275A">
            <w:pPr>
              <w:keepNext/>
              <w:widowControl/>
              <w:jc w:val="center"/>
              <w:rPr>
                <w:rFonts w:ascii="Arial Narrow" w:hAnsi="Arial Narrow"/>
                <w:sz w:val="20"/>
                <w:szCs w:val="20"/>
              </w:rPr>
            </w:pPr>
            <w:r>
              <w:rPr>
                <w:rFonts w:ascii="Arial Narrow" w:hAnsi="Arial Narrow"/>
                <w:b/>
                <w:noProof/>
                <w:sz w:val="20"/>
                <w:szCs w:val="20"/>
              </w:rPr>
              <w:t>(2023)</w:t>
            </w:r>
          </w:p>
        </w:tc>
        <w:tc>
          <w:tcPr>
            <w:tcW w:w="1060" w:type="dxa"/>
            <w:vAlign w:val="center"/>
          </w:tcPr>
          <w:p w:rsidR="004D5A83" w:rsidRDefault="004D5A83" w:rsidP="009E275A">
            <w:pPr>
              <w:keepNext/>
              <w:widowControl/>
              <w:jc w:val="center"/>
              <w:rPr>
                <w:rFonts w:ascii="Arial Narrow" w:hAnsi="Arial Narrow"/>
                <w:b/>
                <w:noProof/>
                <w:sz w:val="20"/>
                <w:szCs w:val="20"/>
              </w:rPr>
            </w:pPr>
            <w:r w:rsidRPr="00FC4842">
              <w:rPr>
                <w:rFonts w:ascii="Arial Narrow" w:hAnsi="Arial Narrow"/>
                <w:b/>
                <w:noProof/>
                <w:sz w:val="20"/>
                <w:szCs w:val="20"/>
              </w:rPr>
              <w:t>Year 5</w:t>
            </w:r>
          </w:p>
          <w:p w:rsidR="004D5A83" w:rsidRPr="00FC4842" w:rsidRDefault="004D5A83" w:rsidP="009E275A">
            <w:pPr>
              <w:keepNext/>
              <w:widowControl/>
              <w:jc w:val="center"/>
              <w:rPr>
                <w:rFonts w:ascii="Arial Narrow" w:hAnsi="Arial Narrow"/>
                <w:sz w:val="20"/>
                <w:szCs w:val="20"/>
              </w:rPr>
            </w:pPr>
            <w:r>
              <w:rPr>
                <w:rFonts w:ascii="Arial Narrow" w:hAnsi="Arial Narrow"/>
                <w:b/>
                <w:noProof/>
                <w:sz w:val="20"/>
                <w:szCs w:val="20"/>
              </w:rPr>
              <w:t>(2024)</w:t>
            </w:r>
          </w:p>
        </w:tc>
        <w:tc>
          <w:tcPr>
            <w:tcW w:w="1032" w:type="dxa"/>
            <w:vAlign w:val="center"/>
          </w:tcPr>
          <w:p w:rsidR="004D5A83" w:rsidRDefault="004D5A83" w:rsidP="009E275A">
            <w:pPr>
              <w:keepNext/>
              <w:widowControl/>
              <w:jc w:val="center"/>
              <w:rPr>
                <w:rFonts w:ascii="Arial Narrow" w:hAnsi="Arial Narrow"/>
                <w:b/>
                <w:noProof/>
                <w:sz w:val="20"/>
                <w:szCs w:val="20"/>
              </w:rPr>
            </w:pPr>
            <w:r w:rsidRPr="00FC4842">
              <w:rPr>
                <w:rFonts w:ascii="Arial Narrow" w:hAnsi="Arial Narrow"/>
                <w:b/>
                <w:noProof/>
                <w:sz w:val="20"/>
                <w:szCs w:val="20"/>
              </w:rPr>
              <w:t>Year 6</w:t>
            </w:r>
          </w:p>
          <w:p w:rsidR="004D5A83" w:rsidRPr="00FC4842" w:rsidRDefault="004D5A83" w:rsidP="009E275A">
            <w:pPr>
              <w:keepNext/>
              <w:widowControl/>
              <w:jc w:val="center"/>
              <w:rPr>
                <w:rFonts w:ascii="Arial Narrow" w:hAnsi="Arial Narrow"/>
                <w:sz w:val="20"/>
                <w:szCs w:val="20"/>
              </w:rPr>
            </w:pPr>
            <w:r>
              <w:rPr>
                <w:rFonts w:ascii="Arial Narrow" w:hAnsi="Arial Narrow"/>
                <w:b/>
                <w:noProof/>
                <w:sz w:val="20"/>
                <w:szCs w:val="20"/>
              </w:rPr>
              <w:t>(2025)</w:t>
            </w:r>
          </w:p>
        </w:tc>
      </w:tr>
      <w:tr w:rsidR="004D5A83" w:rsidRPr="00FC4842" w:rsidTr="00FD3D25">
        <w:tc>
          <w:tcPr>
            <w:tcW w:w="299" w:type="dxa"/>
          </w:tcPr>
          <w:p w:rsidR="004D5A83" w:rsidRPr="004D5A83" w:rsidRDefault="004D5A83" w:rsidP="009E275A">
            <w:pPr>
              <w:keepNext/>
              <w:widowControl/>
              <w:rPr>
                <w:rFonts w:ascii="Arial Narrow" w:hAnsi="Arial Narrow"/>
                <w:bCs/>
                <w:noProof/>
                <w:sz w:val="20"/>
                <w:szCs w:val="20"/>
              </w:rPr>
            </w:pPr>
            <w:r w:rsidRPr="004D5A83">
              <w:rPr>
                <w:rFonts w:ascii="Arial Narrow" w:hAnsi="Arial Narrow"/>
                <w:bCs/>
                <w:noProof/>
                <w:sz w:val="20"/>
                <w:szCs w:val="20"/>
              </w:rPr>
              <w:t>A</w:t>
            </w:r>
          </w:p>
        </w:tc>
        <w:tc>
          <w:tcPr>
            <w:tcW w:w="2392" w:type="dxa"/>
            <w:vAlign w:val="center"/>
          </w:tcPr>
          <w:p w:rsidR="004D5A83" w:rsidRPr="00FC4842" w:rsidRDefault="004D5A83" w:rsidP="009E275A">
            <w:pPr>
              <w:keepNext/>
              <w:widowControl/>
              <w:rPr>
                <w:rFonts w:ascii="Arial Narrow" w:hAnsi="Arial Narrow"/>
                <w:sz w:val="20"/>
                <w:szCs w:val="20"/>
              </w:rPr>
            </w:pPr>
            <w:r w:rsidRPr="00FC4842">
              <w:rPr>
                <w:rFonts w:ascii="Arial Narrow" w:hAnsi="Arial Narrow"/>
                <w:bCs/>
                <w:noProof/>
                <w:sz w:val="20"/>
                <w:szCs w:val="20"/>
              </w:rPr>
              <w:t>Australian aged 18+</w:t>
            </w:r>
          </w:p>
        </w:tc>
        <w:tc>
          <w:tcPr>
            <w:tcW w:w="1031"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83"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32"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r>
      <w:tr w:rsidR="004D5A83" w:rsidRPr="001D3A2E" w:rsidTr="00FD3D25">
        <w:tc>
          <w:tcPr>
            <w:tcW w:w="299" w:type="dxa"/>
          </w:tcPr>
          <w:p w:rsidR="004D5A83" w:rsidRPr="001D3A2E" w:rsidRDefault="004D5A83" w:rsidP="009E275A">
            <w:pPr>
              <w:keepNext/>
              <w:widowControl/>
              <w:rPr>
                <w:rFonts w:ascii="Arial Narrow" w:hAnsi="Arial Narrow"/>
                <w:noProof/>
                <w:sz w:val="20"/>
                <w:szCs w:val="20"/>
              </w:rPr>
            </w:pPr>
            <w:r w:rsidRPr="001D3A2E">
              <w:rPr>
                <w:rFonts w:ascii="Arial Narrow" w:hAnsi="Arial Narrow"/>
                <w:noProof/>
                <w:sz w:val="20"/>
                <w:szCs w:val="20"/>
              </w:rPr>
              <w:t>B</w:t>
            </w:r>
          </w:p>
        </w:tc>
        <w:tc>
          <w:tcPr>
            <w:tcW w:w="2392" w:type="dxa"/>
            <w:vAlign w:val="center"/>
          </w:tcPr>
          <w:p w:rsidR="004D5A83" w:rsidRPr="001D3A2E" w:rsidRDefault="004D5A83" w:rsidP="009E275A">
            <w:pPr>
              <w:keepNext/>
              <w:widowControl/>
              <w:rPr>
                <w:rFonts w:ascii="Arial Narrow" w:hAnsi="Arial Narrow"/>
                <w:sz w:val="20"/>
                <w:szCs w:val="20"/>
              </w:rPr>
            </w:pPr>
            <w:r w:rsidRPr="001D3A2E">
              <w:rPr>
                <w:rFonts w:ascii="Arial Narrow" w:hAnsi="Arial Narrow"/>
                <w:noProof/>
                <w:sz w:val="20"/>
                <w:szCs w:val="20"/>
              </w:rPr>
              <w:t>Eligible incident patients</w:t>
            </w:r>
            <w:r w:rsidRPr="001D3A2E">
              <w:rPr>
                <w:rFonts w:ascii="Arial Narrow" w:hAnsi="Arial Narrow"/>
                <w:noProof/>
                <w:sz w:val="20"/>
                <w:szCs w:val="20"/>
                <w:vertAlign w:val="superscript"/>
              </w:rPr>
              <w:t>#</w:t>
            </w:r>
            <w:r w:rsidRPr="001D3A2E">
              <w:rPr>
                <w:rFonts w:ascii="Arial Narrow" w:hAnsi="Arial Narrow"/>
                <w:noProof/>
                <w:sz w:val="20"/>
                <w:szCs w:val="20"/>
              </w:rPr>
              <w:t xml:space="preserve"> </w:t>
            </w:r>
          </w:p>
        </w:tc>
        <w:tc>
          <w:tcPr>
            <w:tcW w:w="1031"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83"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32"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r>
      <w:tr w:rsidR="004D5A83" w:rsidRPr="001D3A2E" w:rsidTr="00FD3D25">
        <w:tc>
          <w:tcPr>
            <w:tcW w:w="299" w:type="dxa"/>
          </w:tcPr>
          <w:p w:rsidR="004D5A83" w:rsidRPr="001D3A2E" w:rsidRDefault="004D5A83" w:rsidP="009E275A">
            <w:pPr>
              <w:keepNext/>
              <w:widowControl/>
              <w:rPr>
                <w:rFonts w:ascii="Arial Narrow" w:hAnsi="Arial Narrow"/>
                <w:noProof/>
                <w:sz w:val="20"/>
                <w:szCs w:val="20"/>
              </w:rPr>
            </w:pPr>
            <w:r w:rsidRPr="001D3A2E">
              <w:rPr>
                <w:rFonts w:ascii="Arial Narrow" w:hAnsi="Arial Narrow"/>
                <w:noProof/>
                <w:sz w:val="20"/>
                <w:szCs w:val="20"/>
              </w:rPr>
              <w:t>C</w:t>
            </w:r>
          </w:p>
        </w:tc>
        <w:tc>
          <w:tcPr>
            <w:tcW w:w="2392" w:type="dxa"/>
            <w:vAlign w:val="center"/>
          </w:tcPr>
          <w:p w:rsidR="004D5A83" w:rsidRPr="001D3A2E" w:rsidRDefault="004D5A83" w:rsidP="009E275A">
            <w:pPr>
              <w:keepNext/>
              <w:widowControl/>
              <w:rPr>
                <w:rFonts w:ascii="Arial Narrow" w:hAnsi="Arial Narrow"/>
                <w:sz w:val="20"/>
                <w:szCs w:val="20"/>
              </w:rPr>
            </w:pPr>
            <w:r w:rsidRPr="001D3A2E">
              <w:rPr>
                <w:rFonts w:ascii="Arial Narrow" w:hAnsi="Arial Narrow"/>
                <w:noProof/>
                <w:sz w:val="20"/>
                <w:szCs w:val="20"/>
              </w:rPr>
              <w:t>Eligible prevalent patients*</w:t>
            </w:r>
          </w:p>
        </w:tc>
        <w:tc>
          <w:tcPr>
            <w:tcW w:w="1031"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83"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c>
          <w:tcPr>
            <w:tcW w:w="1032" w:type="dxa"/>
            <w:vAlign w:val="center"/>
          </w:tcPr>
          <w:p w:rsidR="004D5A83" w:rsidRPr="00D73CF2" w:rsidRDefault="00D73CF2" w:rsidP="009E275A">
            <w:pPr>
              <w:keepNext/>
              <w:widowControl/>
              <w:jc w:val="center"/>
              <w:rPr>
                <w:rFonts w:ascii="Arial Narrow" w:hAnsi="Arial Narrow"/>
                <w:noProof/>
                <w:color w:val="000000"/>
                <w:sz w:val="20"/>
                <w:szCs w:val="20"/>
                <w:highlight w:val="black"/>
              </w:rPr>
            </w:pPr>
            <w:r>
              <w:rPr>
                <w:rFonts w:ascii="Arial Narrow" w:hAnsi="Arial Narrow"/>
                <w:noProof/>
                <w:color w:val="000000"/>
                <w:sz w:val="20"/>
                <w:szCs w:val="20"/>
                <w:highlight w:val="black"/>
              </w:rPr>
              <w:t>'''''''''''''</w:t>
            </w:r>
          </w:p>
        </w:tc>
      </w:tr>
      <w:tr w:rsidR="004D5A83" w:rsidRPr="00FC4842" w:rsidTr="00FD3D25">
        <w:tc>
          <w:tcPr>
            <w:tcW w:w="299" w:type="dxa"/>
          </w:tcPr>
          <w:p w:rsidR="004D5A83" w:rsidRPr="004D5A83" w:rsidRDefault="00A62049" w:rsidP="009E275A">
            <w:pPr>
              <w:keepNext/>
              <w:widowControl/>
              <w:rPr>
                <w:rFonts w:ascii="Arial Narrow" w:hAnsi="Arial Narrow"/>
                <w:b/>
                <w:noProof/>
                <w:sz w:val="20"/>
                <w:szCs w:val="20"/>
              </w:rPr>
            </w:pPr>
            <w:r>
              <w:rPr>
                <w:rFonts w:ascii="Arial Narrow" w:hAnsi="Arial Narrow"/>
                <w:b/>
                <w:noProof/>
                <w:sz w:val="20"/>
                <w:szCs w:val="20"/>
              </w:rPr>
              <w:t>D</w:t>
            </w:r>
          </w:p>
        </w:tc>
        <w:tc>
          <w:tcPr>
            <w:tcW w:w="2392" w:type="dxa"/>
            <w:vAlign w:val="center"/>
          </w:tcPr>
          <w:p w:rsidR="004D5A83" w:rsidRPr="00862EB3" w:rsidRDefault="004D5A83" w:rsidP="009E275A">
            <w:pPr>
              <w:keepNext/>
              <w:widowControl/>
              <w:rPr>
                <w:rFonts w:ascii="Arial Narrow" w:hAnsi="Arial Narrow"/>
                <w:b/>
                <w:sz w:val="20"/>
                <w:szCs w:val="20"/>
              </w:rPr>
            </w:pPr>
            <w:r w:rsidRPr="00862EB3">
              <w:rPr>
                <w:rFonts w:ascii="Arial Narrow" w:hAnsi="Arial Narrow"/>
                <w:b/>
                <w:noProof/>
                <w:sz w:val="20"/>
                <w:szCs w:val="20"/>
              </w:rPr>
              <w:t>Total eligible patients (B+C)</w:t>
            </w:r>
          </w:p>
        </w:tc>
        <w:tc>
          <w:tcPr>
            <w:tcW w:w="1031" w:type="dxa"/>
            <w:vAlign w:val="center"/>
          </w:tcPr>
          <w:p w:rsidR="004D5A83" w:rsidRPr="00D73CF2" w:rsidRDefault="00D73CF2" w:rsidP="009E275A">
            <w:pPr>
              <w:keepNext/>
              <w:widowControl/>
              <w:jc w:val="center"/>
              <w:rPr>
                <w:rFonts w:ascii="Arial Narrow" w:hAnsi="Arial Narrow"/>
                <w:b/>
                <w:noProof/>
                <w:color w:val="000000"/>
                <w:sz w:val="20"/>
                <w:szCs w:val="20"/>
                <w:highlight w:val="black"/>
              </w:rPr>
            </w:pPr>
            <w:r>
              <w:rPr>
                <w:rFonts w:ascii="Arial Narrow" w:hAnsi="Arial Narrow"/>
                <w:b/>
                <w:noProof/>
                <w:color w:val="000000"/>
                <w:sz w:val="20"/>
                <w:szCs w:val="20"/>
                <w:highlight w:val="black"/>
              </w:rPr>
              <w:t>''''''''''</w:t>
            </w:r>
          </w:p>
        </w:tc>
        <w:tc>
          <w:tcPr>
            <w:tcW w:w="1083" w:type="dxa"/>
            <w:vAlign w:val="center"/>
          </w:tcPr>
          <w:p w:rsidR="004D5A83" w:rsidRPr="00D73CF2" w:rsidRDefault="00D73CF2" w:rsidP="009E275A">
            <w:pPr>
              <w:keepNext/>
              <w:widowControl/>
              <w:jc w:val="center"/>
              <w:rPr>
                <w:rFonts w:ascii="Arial Narrow" w:hAnsi="Arial Narrow"/>
                <w:b/>
                <w:noProof/>
                <w:color w:val="000000"/>
                <w:sz w:val="20"/>
                <w:szCs w:val="20"/>
                <w:highlight w:val="black"/>
              </w:rPr>
            </w:pPr>
            <w:r>
              <w:rPr>
                <w:rFonts w:ascii="Arial Narrow" w:hAnsi="Arial Narrow"/>
                <w:b/>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
                <w:noProof/>
                <w:color w:val="000000"/>
                <w:sz w:val="20"/>
                <w:szCs w:val="20"/>
                <w:highlight w:val="black"/>
              </w:rPr>
            </w:pPr>
            <w:r>
              <w:rPr>
                <w:rFonts w:ascii="Arial Narrow" w:hAnsi="Arial Narrow"/>
                <w:b/>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
                <w:noProof/>
                <w:color w:val="000000"/>
                <w:sz w:val="20"/>
                <w:szCs w:val="20"/>
                <w:highlight w:val="black"/>
              </w:rPr>
            </w:pPr>
            <w:r>
              <w:rPr>
                <w:rFonts w:ascii="Arial Narrow" w:hAnsi="Arial Narrow"/>
                <w:b/>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
                <w:noProof/>
                <w:color w:val="000000"/>
                <w:sz w:val="20"/>
                <w:szCs w:val="20"/>
                <w:highlight w:val="black"/>
              </w:rPr>
            </w:pPr>
            <w:r>
              <w:rPr>
                <w:rFonts w:ascii="Arial Narrow" w:hAnsi="Arial Narrow"/>
                <w:b/>
                <w:noProof/>
                <w:color w:val="000000"/>
                <w:sz w:val="20"/>
                <w:szCs w:val="20"/>
                <w:highlight w:val="black"/>
              </w:rPr>
              <w:t>''''''''''</w:t>
            </w:r>
          </w:p>
        </w:tc>
        <w:tc>
          <w:tcPr>
            <w:tcW w:w="1032" w:type="dxa"/>
            <w:vAlign w:val="center"/>
          </w:tcPr>
          <w:p w:rsidR="004D5A83" w:rsidRPr="00D73CF2" w:rsidRDefault="00D73CF2" w:rsidP="009E275A">
            <w:pPr>
              <w:keepNext/>
              <w:widowControl/>
              <w:jc w:val="center"/>
              <w:rPr>
                <w:rFonts w:ascii="Arial Narrow" w:hAnsi="Arial Narrow"/>
                <w:b/>
                <w:noProof/>
                <w:color w:val="000000"/>
                <w:sz w:val="20"/>
                <w:szCs w:val="20"/>
                <w:highlight w:val="black"/>
              </w:rPr>
            </w:pPr>
            <w:r>
              <w:rPr>
                <w:rFonts w:ascii="Arial Narrow" w:hAnsi="Arial Narrow"/>
                <w:b/>
                <w:noProof/>
                <w:color w:val="000000"/>
                <w:sz w:val="20"/>
                <w:szCs w:val="20"/>
                <w:highlight w:val="black"/>
              </w:rPr>
              <w:t>'''''''''''</w:t>
            </w:r>
          </w:p>
        </w:tc>
      </w:tr>
      <w:tr w:rsidR="004D5A83" w:rsidRPr="00FC4842" w:rsidTr="00FD3D25">
        <w:tc>
          <w:tcPr>
            <w:tcW w:w="299" w:type="dxa"/>
          </w:tcPr>
          <w:p w:rsidR="004D5A83" w:rsidRPr="004D5A83" w:rsidRDefault="00A62049" w:rsidP="009E275A">
            <w:pPr>
              <w:keepNext/>
              <w:widowControl/>
              <w:rPr>
                <w:rFonts w:ascii="Arial Narrow" w:hAnsi="Arial Narrow"/>
                <w:bCs/>
                <w:noProof/>
                <w:sz w:val="20"/>
                <w:szCs w:val="20"/>
              </w:rPr>
            </w:pPr>
            <w:r>
              <w:rPr>
                <w:rFonts w:ascii="Arial Narrow" w:hAnsi="Arial Narrow"/>
                <w:bCs/>
                <w:noProof/>
                <w:sz w:val="20"/>
                <w:szCs w:val="20"/>
              </w:rPr>
              <w:t>E</w:t>
            </w:r>
          </w:p>
        </w:tc>
        <w:tc>
          <w:tcPr>
            <w:tcW w:w="2392" w:type="dxa"/>
            <w:vAlign w:val="center"/>
          </w:tcPr>
          <w:p w:rsidR="004D5A83" w:rsidRPr="00FC4842" w:rsidRDefault="004D5A83" w:rsidP="009E275A">
            <w:pPr>
              <w:keepNext/>
              <w:widowControl/>
              <w:rPr>
                <w:rFonts w:ascii="Arial Narrow" w:hAnsi="Arial Narrow"/>
                <w:sz w:val="20"/>
                <w:szCs w:val="20"/>
              </w:rPr>
            </w:pPr>
            <w:r>
              <w:rPr>
                <w:rFonts w:ascii="Arial Narrow" w:hAnsi="Arial Narrow"/>
                <w:bCs/>
                <w:noProof/>
                <w:sz w:val="20"/>
                <w:szCs w:val="20"/>
              </w:rPr>
              <w:t>T</w:t>
            </w:r>
            <w:r w:rsidRPr="00FC4842">
              <w:rPr>
                <w:rFonts w:ascii="Arial Narrow" w:hAnsi="Arial Narrow"/>
                <w:bCs/>
                <w:noProof/>
                <w:sz w:val="20"/>
                <w:szCs w:val="20"/>
              </w:rPr>
              <w:t>reatment cycles per year^</w:t>
            </w:r>
          </w:p>
        </w:tc>
        <w:tc>
          <w:tcPr>
            <w:tcW w:w="1031" w:type="dxa"/>
            <w:vAlign w:val="center"/>
          </w:tcPr>
          <w:p w:rsidR="004D5A83" w:rsidRPr="00FC4842" w:rsidRDefault="004D5A83" w:rsidP="009E275A">
            <w:pPr>
              <w:keepNext/>
              <w:widowControl/>
              <w:jc w:val="center"/>
              <w:rPr>
                <w:rFonts w:ascii="Arial Narrow" w:hAnsi="Arial Narrow"/>
                <w:sz w:val="20"/>
                <w:szCs w:val="20"/>
              </w:rPr>
            </w:pPr>
            <w:r w:rsidRPr="00FC4842">
              <w:rPr>
                <w:rFonts w:ascii="Arial Narrow" w:hAnsi="Arial Narrow"/>
                <w:noProof/>
                <w:sz w:val="20"/>
                <w:szCs w:val="20"/>
              </w:rPr>
              <w:t>3.72</w:t>
            </w:r>
          </w:p>
        </w:tc>
        <w:tc>
          <w:tcPr>
            <w:tcW w:w="1083" w:type="dxa"/>
            <w:vAlign w:val="center"/>
          </w:tcPr>
          <w:p w:rsidR="004D5A83" w:rsidRPr="00FC4842" w:rsidRDefault="004D5A83" w:rsidP="009E275A">
            <w:pPr>
              <w:keepNext/>
              <w:widowControl/>
              <w:jc w:val="center"/>
              <w:rPr>
                <w:rFonts w:ascii="Arial Narrow" w:hAnsi="Arial Narrow"/>
                <w:sz w:val="20"/>
                <w:szCs w:val="20"/>
              </w:rPr>
            </w:pPr>
            <w:r w:rsidRPr="00FC4842">
              <w:rPr>
                <w:rFonts w:ascii="Arial Narrow" w:hAnsi="Arial Narrow"/>
                <w:noProof/>
                <w:sz w:val="20"/>
                <w:szCs w:val="20"/>
              </w:rPr>
              <w:t>3.72</w:t>
            </w:r>
          </w:p>
        </w:tc>
        <w:tc>
          <w:tcPr>
            <w:tcW w:w="1060" w:type="dxa"/>
            <w:vAlign w:val="center"/>
          </w:tcPr>
          <w:p w:rsidR="004D5A83" w:rsidRPr="00FC4842" w:rsidRDefault="004D5A83" w:rsidP="009E275A">
            <w:pPr>
              <w:keepNext/>
              <w:widowControl/>
              <w:jc w:val="center"/>
              <w:rPr>
                <w:rFonts w:ascii="Arial Narrow" w:hAnsi="Arial Narrow"/>
                <w:sz w:val="20"/>
                <w:szCs w:val="20"/>
              </w:rPr>
            </w:pPr>
            <w:r w:rsidRPr="00FC4842">
              <w:rPr>
                <w:rFonts w:ascii="Arial Narrow" w:hAnsi="Arial Narrow"/>
                <w:noProof/>
                <w:sz w:val="20"/>
                <w:szCs w:val="20"/>
              </w:rPr>
              <w:t>3.72</w:t>
            </w:r>
          </w:p>
        </w:tc>
        <w:tc>
          <w:tcPr>
            <w:tcW w:w="1060" w:type="dxa"/>
            <w:vAlign w:val="center"/>
          </w:tcPr>
          <w:p w:rsidR="004D5A83" w:rsidRPr="00FC4842" w:rsidRDefault="004D5A83" w:rsidP="009E275A">
            <w:pPr>
              <w:keepNext/>
              <w:widowControl/>
              <w:jc w:val="center"/>
              <w:rPr>
                <w:rFonts w:ascii="Arial Narrow" w:hAnsi="Arial Narrow"/>
                <w:sz w:val="20"/>
                <w:szCs w:val="20"/>
              </w:rPr>
            </w:pPr>
            <w:r w:rsidRPr="00FC4842">
              <w:rPr>
                <w:rFonts w:ascii="Arial Narrow" w:hAnsi="Arial Narrow"/>
                <w:noProof/>
                <w:sz w:val="20"/>
                <w:szCs w:val="20"/>
              </w:rPr>
              <w:t>3.72</w:t>
            </w:r>
          </w:p>
        </w:tc>
        <w:tc>
          <w:tcPr>
            <w:tcW w:w="1060" w:type="dxa"/>
            <w:vAlign w:val="center"/>
          </w:tcPr>
          <w:p w:rsidR="004D5A83" w:rsidRPr="00FC4842" w:rsidRDefault="004D5A83" w:rsidP="009E275A">
            <w:pPr>
              <w:keepNext/>
              <w:widowControl/>
              <w:jc w:val="center"/>
              <w:rPr>
                <w:rFonts w:ascii="Arial Narrow" w:hAnsi="Arial Narrow"/>
                <w:sz w:val="20"/>
                <w:szCs w:val="20"/>
              </w:rPr>
            </w:pPr>
            <w:r w:rsidRPr="00FC4842">
              <w:rPr>
                <w:rFonts w:ascii="Arial Narrow" w:hAnsi="Arial Narrow"/>
                <w:noProof/>
                <w:sz w:val="20"/>
                <w:szCs w:val="20"/>
              </w:rPr>
              <w:t>3.72</w:t>
            </w:r>
          </w:p>
        </w:tc>
        <w:tc>
          <w:tcPr>
            <w:tcW w:w="1032" w:type="dxa"/>
            <w:vAlign w:val="center"/>
          </w:tcPr>
          <w:p w:rsidR="004D5A83" w:rsidRPr="00FC4842" w:rsidRDefault="004D5A83" w:rsidP="009E275A">
            <w:pPr>
              <w:keepNext/>
              <w:widowControl/>
              <w:jc w:val="center"/>
              <w:rPr>
                <w:rFonts w:ascii="Arial Narrow" w:hAnsi="Arial Narrow"/>
                <w:sz w:val="20"/>
                <w:szCs w:val="20"/>
              </w:rPr>
            </w:pPr>
            <w:r w:rsidRPr="00FC4842">
              <w:rPr>
                <w:rFonts w:ascii="Arial Narrow" w:hAnsi="Arial Narrow"/>
                <w:noProof/>
                <w:sz w:val="20"/>
                <w:szCs w:val="20"/>
              </w:rPr>
              <w:t>3.72</w:t>
            </w:r>
          </w:p>
        </w:tc>
      </w:tr>
      <w:tr w:rsidR="004D5A83" w:rsidRPr="00FC4842" w:rsidTr="00FD3D25">
        <w:tc>
          <w:tcPr>
            <w:tcW w:w="299" w:type="dxa"/>
          </w:tcPr>
          <w:p w:rsidR="004D5A83" w:rsidRPr="004D5A83" w:rsidRDefault="00A62049" w:rsidP="009E275A">
            <w:pPr>
              <w:keepNext/>
              <w:widowControl/>
              <w:rPr>
                <w:rFonts w:ascii="Arial Narrow" w:hAnsi="Arial Narrow"/>
                <w:bCs/>
                <w:noProof/>
                <w:sz w:val="20"/>
                <w:szCs w:val="20"/>
              </w:rPr>
            </w:pPr>
            <w:r>
              <w:rPr>
                <w:rFonts w:ascii="Arial Narrow" w:hAnsi="Arial Narrow"/>
                <w:bCs/>
                <w:noProof/>
                <w:sz w:val="20"/>
                <w:szCs w:val="20"/>
              </w:rPr>
              <w:t>F</w:t>
            </w:r>
          </w:p>
        </w:tc>
        <w:tc>
          <w:tcPr>
            <w:tcW w:w="2392" w:type="dxa"/>
            <w:vAlign w:val="center"/>
          </w:tcPr>
          <w:p w:rsidR="004D5A83" w:rsidRPr="00FC4842" w:rsidRDefault="004D5A83" w:rsidP="009E275A">
            <w:pPr>
              <w:keepNext/>
              <w:widowControl/>
              <w:rPr>
                <w:rFonts w:ascii="Arial Narrow" w:hAnsi="Arial Narrow"/>
                <w:sz w:val="20"/>
                <w:szCs w:val="20"/>
              </w:rPr>
            </w:pPr>
            <w:r w:rsidRPr="00FC4842">
              <w:rPr>
                <w:rFonts w:ascii="Arial Narrow" w:hAnsi="Arial Narrow"/>
                <w:bCs/>
                <w:noProof/>
                <w:sz w:val="20"/>
                <w:szCs w:val="20"/>
              </w:rPr>
              <w:t>Total services per year  (DxE)</w:t>
            </w:r>
          </w:p>
        </w:tc>
        <w:tc>
          <w:tcPr>
            <w:tcW w:w="1031"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83"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32" w:type="dxa"/>
            <w:vAlign w:val="center"/>
          </w:tcPr>
          <w:p w:rsidR="004D5A83"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r>
      <w:tr w:rsidR="00A62049" w:rsidRPr="00FC4842" w:rsidTr="00FD3D25">
        <w:trPr>
          <w:trHeight w:val="56"/>
        </w:trPr>
        <w:tc>
          <w:tcPr>
            <w:tcW w:w="299" w:type="dxa"/>
            <w:vMerge w:val="restart"/>
          </w:tcPr>
          <w:p w:rsidR="00A62049" w:rsidRPr="004D5A83" w:rsidRDefault="00A62049" w:rsidP="009E275A">
            <w:pPr>
              <w:keepNext/>
              <w:widowControl/>
              <w:rPr>
                <w:rFonts w:ascii="Arial Narrow" w:hAnsi="Arial Narrow"/>
                <w:bCs/>
                <w:noProof/>
                <w:sz w:val="20"/>
                <w:szCs w:val="20"/>
              </w:rPr>
            </w:pPr>
          </w:p>
        </w:tc>
        <w:tc>
          <w:tcPr>
            <w:tcW w:w="2392" w:type="dxa"/>
            <w:vAlign w:val="center"/>
          </w:tcPr>
          <w:p w:rsidR="00A62049" w:rsidRPr="00FC4842" w:rsidRDefault="00057611" w:rsidP="009E275A">
            <w:pPr>
              <w:keepNext/>
              <w:widowControl/>
              <w:ind w:left="187"/>
              <w:rPr>
                <w:rFonts w:ascii="Arial Narrow" w:hAnsi="Arial Narrow"/>
                <w:bCs/>
                <w:noProof/>
                <w:sz w:val="20"/>
                <w:szCs w:val="20"/>
              </w:rPr>
            </w:pPr>
            <w:r>
              <w:rPr>
                <w:rFonts w:ascii="Arial Narrow" w:hAnsi="Arial Narrow"/>
                <w:bCs/>
                <w:noProof/>
                <w:sz w:val="20"/>
                <w:szCs w:val="20"/>
              </w:rPr>
              <w:t>Dysport</w:t>
            </w:r>
            <w:r w:rsidR="001A35D3" w:rsidRPr="00FA6E19">
              <w:rPr>
                <w:vertAlign w:val="superscript"/>
              </w:rPr>
              <w:t>®</w:t>
            </w:r>
            <w:r w:rsidR="001A35D3">
              <w:rPr>
                <w:vertAlign w:val="superscript"/>
              </w:rPr>
              <w:t xml:space="preserve"> </w:t>
            </w:r>
            <w:r w:rsidR="00A62049" w:rsidRPr="00FC4842">
              <w:rPr>
                <w:rFonts w:ascii="Arial Narrow" w:hAnsi="Arial Narrow"/>
                <w:bCs/>
                <w:noProof/>
                <w:sz w:val="20"/>
                <w:szCs w:val="20"/>
              </w:rPr>
              <w:t>300U (</w:t>
            </w:r>
            <w:r w:rsidR="00A62049">
              <w:rPr>
                <w:rFonts w:ascii="Arial Narrow" w:hAnsi="Arial Narrow"/>
                <w:bCs/>
                <w:noProof/>
                <w:sz w:val="20"/>
                <w:szCs w:val="20"/>
              </w:rPr>
              <w:t>17.6</w:t>
            </w:r>
            <w:r w:rsidR="00A62049" w:rsidRPr="00FC4842">
              <w:rPr>
                <w:rFonts w:ascii="Arial Narrow" w:hAnsi="Arial Narrow"/>
                <w:bCs/>
                <w:noProof/>
                <w:sz w:val="20"/>
                <w:szCs w:val="20"/>
              </w:rPr>
              <w:t>%)</w:t>
            </w:r>
          </w:p>
        </w:tc>
        <w:tc>
          <w:tcPr>
            <w:tcW w:w="1031" w:type="dxa"/>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83" w:type="dxa"/>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32" w:type="dxa"/>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r>
      <w:tr w:rsidR="00A62049" w:rsidRPr="00FC4842" w:rsidTr="00FD3D25">
        <w:trPr>
          <w:trHeight w:val="56"/>
        </w:trPr>
        <w:tc>
          <w:tcPr>
            <w:tcW w:w="299" w:type="dxa"/>
            <w:vMerge/>
          </w:tcPr>
          <w:p w:rsidR="00A62049" w:rsidRPr="004D5A83" w:rsidRDefault="00A62049" w:rsidP="009E275A">
            <w:pPr>
              <w:keepNext/>
              <w:widowControl/>
              <w:rPr>
                <w:rFonts w:ascii="Arial Narrow" w:hAnsi="Arial Narrow"/>
                <w:bCs/>
                <w:noProof/>
                <w:sz w:val="20"/>
                <w:szCs w:val="20"/>
              </w:rPr>
            </w:pPr>
          </w:p>
        </w:tc>
        <w:tc>
          <w:tcPr>
            <w:tcW w:w="2392" w:type="dxa"/>
            <w:vAlign w:val="center"/>
          </w:tcPr>
          <w:p w:rsidR="00A62049" w:rsidRPr="00FC4842" w:rsidRDefault="00057611" w:rsidP="009E275A">
            <w:pPr>
              <w:keepNext/>
              <w:widowControl/>
              <w:ind w:left="187"/>
              <w:rPr>
                <w:rFonts w:ascii="Arial Narrow" w:hAnsi="Arial Narrow"/>
                <w:bCs/>
                <w:noProof/>
                <w:sz w:val="20"/>
                <w:szCs w:val="20"/>
              </w:rPr>
            </w:pPr>
            <w:r>
              <w:rPr>
                <w:rFonts w:ascii="Arial Narrow" w:hAnsi="Arial Narrow"/>
                <w:bCs/>
                <w:noProof/>
                <w:sz w:val="20"/>
                <w:szCs w:val="20"/>
              </w:rPr>
              <w:t>Dysport</w:t>
            </w:r>
            <w:r w:rsidR="001A35D3" w:rsidRPr="00FA6E19">
              <w:rPr>
                <w:vertAlign w:val="superscript"/>
              </w:rPr>
              <w:t>®</w:t>
            </w:r>
            <w:r w:rsidR="00A62049">
              <w:rPr>
                <w:rFonts w:ascii="Arial Narrow" w:hAnsi="Arial Narrow"/>
                <w:bCs/>
                <w:noProof/>
                <w:sz w:val="20"/>
                <w:szCs w:val="20"/>
              </w:rPr>
              <w:t>500U (82.4</w:t>
            </w:r>
            <w:r w:rsidR="00A62049" w:rsidRPr="00FC4842">
              <w:rPr>
                <w:rFonts w:ascii="Arial Narrow" w:hAnsi="Arial Narrow"/>
                <w:bCs/>
                <w:noProof/>
                <w:sz w:val="20"/>
                <w:szCs w:val="20"/>
              </w:rPr>
              <w:t>%)</w:t>
            </w:r>
          </w:p>
        </w:tc>
        <w:tc>
          <w:tcPr>
            <w:tcW w:w="1031" w:type="dxa"/>
            <w:tcBorders>
              <w:bottom w:val="single" w:sz="4" w:space="0" w:color="auto"/>
            </w:tcBorders>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83" w:type="dxa"/>
            <w:tcBorders>
              <w:bottom w:val="single" w:sz="4" w:space="0" w:color="auto"/>
            </w:tcBorders>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tcBorders>
              <w:bottom w:val="single" w:sz="4" w:space="0" w:color="auto"/>
            </w:tcBorders>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tcBorders>
              <w:bottom w:val="single" w:sz="4" w:space="0" w:color="auto"/>
            </w:tcBorders>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60" w:type="dxa"/>
            <w:tcBorders>
              <w:bottom w:val="single" w:sz="4" w:space="0" w:color="auto"/>
            </w:tcBorders>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c>
          <w:tcPr>
            <w:tcW w:w="1032" w:type="dxa"/>
            <w:tcBorders>
              <w:bottom w:val="single" w:sz="4" w:space="0" w:color="auto"/>
            </w:tcBorders>
            <w:vAlign w:val="center"/>
          </w:tcPr>
          <w:p w:rsidR="00A62049" w:rsidRPr="00D73CF2" w:rsidRDefault="00D73CF2" w:rsidP="009E275A">
            <w:pPr>
              <w:keepNext/>
              <w:widowControl/>
              <w:jc w:val="center"/>
              <w:rPr>
                <w:rFonts w:ascii="Arial Narrow" w:hAnsi="Arial Narrow"/>
                <w:bCs/>
                <w:noProof/>
                <w:color w:val="000000"/>
                <w:sz w:val="20"/>
                <w:szCs w:val="20"/>
                <w:highlight w:val="black"/>
              </w:rPr>
            </w:pPr>
            <w:r>
              <w:rPr>
                <w:rFonts w:ascii="Arial Narrow" w:hAnsi="Arial Narrow"/>
                <w:bCs/>
                <w:noProof/>
                <w:color w:val="000000"/>
                <w:sz w:val="20"/>
                <w:szCs w:val="20"/>
                <w:highlight w:val="black"/>
              </w:rPr>
              <w:t>'''''''''''''''</w:t>
            </w:r>
          </w:p>
        </w:tc>
      </w:tr>
      <w:tr w:rsidR="004D5A83" w:rsidRPr="00FC4842" w:rsidTr="00FD3D25">
        <w:tc>
          <w:tcPr>
            <w:tcW w:w="299" w:type="dxa"/>
          </w:tcPr>
          <w:p w:rsidR="004D5A83" w:rsidRPr="004D5A83" w:rsidRDefault="00A62049" w:rsidP="009E275A">
            <w:pPr>
              <w:keepNext/>
              <w:widowControl/>
              <w:rPr>
                <w:rFonts w:ascii="Arial Narrow" w:hAnsi="Arial Narrow"/>
                <w:noProof/>
                <w:sz w:val="20"/>
                <w:szCs w:val="20"/>
              </w:rPr>
            </w:pPr>
            <w:r>
              <w:rPr>
                <w:rFonts w:ascii="Arial Narrow" w:hAnsi="Arial Narrow"/>
                <w:noProof/>
                <w:sz w:val="20"/>
                <w:szCs w:val="20"/>
              </w:rPr>
              <w:t>G</w:t>
            </w:r>
          </w:p>
        </w:tc>
        <w:tc>
          <w:tcPr>
            <w:tcW w:w="2392" w:type="dxa"/>
            <w:vAlign w:val="center"/>
          </w:tcPr>
          <w:p w:rsidR="004D5A83" w:rsidRPr="00FC4842" w:rsidRDefault="004D5A83" w:rsidP="009E275A">
            <w:pPr>
              <w:keepNext/>
              <w:widowControl/>
              <w:rPr>
                <w:rFonts w:ascii="Arial Narrow" w:hAnsi="Arial Narrow"/>
                <w:sz w:val="20"/>
                <w:szCs w:val="20"/>
              </w:rPr>
            </w:pPr>
            <w:r w:rsidRPr="00FC4842">
              <w:rPr>
                <w:rFonts w:ascii="Arial Narrow" w:hAnsi="Arial Narrow"/>
                <w:noProof/>
                <w:sz w:val="20"/>
                <w:szCs w:val="20"/>
              </w:rPr>
              <w:t>PBS/RPBS cost</w:t>
            </w:r>
            <w:r w:rsidRPr="00FC4842">
              <w:rPr>
                <w:rFonts w:ascii="Arial Narrow" w:hAnsi="Arial Narrow"/>
                <w:noProof/>
                <w:sz w:val="20"/>
                <w:szCs w:val="20"/>
                <w:vertAlign w:val="superscript"/>
              </w:rPr>
              <w:t>‡</w:t>
            </w:r>
          </w:p>
        </w:tc>
        <w:tc>
          <w:tcPr>
            <w:tcW w:w="1031"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p>
        </w:tc>
      </w:tr>
      <w:tr w:rsidR="004D5A83" w:rsidRPr="00FC4842" w:rsidTr="00FD3D25">
        <w:tc>
          <w:tcPr>
            <w:tcW w:w="299" w:type="dxa"/>
          </w:tcPr>
          <w:p w:rsidR="004D5A83" w:rsidRPr="004D5A83" w:rsidRDefault="00A62049" w:rsidP="009E275A">
            <w:pPr>
              <w:keepNext/>
              <w:widowControl/>
              <w:rPr>
                <w:rFonts w:ascii="Arial Narrow" w:hAnsi="Arial Narrow"/>
                <w:noProof/>
                <w:sz w:val="20"/>
                <w:szCs w:val="20"/>
              </w:rPr>
            </w:pPr>
            <w:r>
              <w:rPr>
                <w:rFonts w:ascii="Arial Narrow" w:hAnsi="Arial Narrow"/>
                <w:noProof/>
                <w:sz w:val="20"/>
                <w:szCs w:val="20"/>
              </w:rPr>
              <w:t>H</w:t>
            </w:r>
          </w:p>
        </w:tc>
        <w:tc>
          <w:tcPr>
            <w:tcW w:w="2392" w:type="dxa"/>
            <w:vAlign w:val="center"/>
          </w:tcPr>
          <w:p w:rsidR="004D5A83" w:rsidRPr="00FC4842" w:rsidRDefault="004D5A83" w:rsidP="009E275A">
            <w:pPr>
              <w:keepNext/>
              <w:widowControl/>
              <w:rPr>
                <w:rFonts w:ascii="Arial Narrow" w:hAnsi="Arial Narrow"/>
                <w:sz w:val="20"/>
                <w:szCs w:val="20"/>
              </w:rPr>
            </w:pPr>
            <w:r w:rsidRPr="00FC4842">
              <w:rPr>
                <w:rFonts w:ascii="Arial Narrow" w:hAnsi="Arial Narrow"/>
                <w:noProof/>
                <w:sz w:val="20"/>
                <w:szCs w:val="20"/>
              </w:rPr>
              <w:t xml:space="preserve">Patient co-payment </w:t>
            </w:r>
          </w:p>
        </w:tc>
        <w:tc>
          <w:tcPr>
            <w:tcW w:w="1031" w:type="dxa"/>
            <w:tcBorders>
              <w:top w:val="single" w:sz="4" w:space="0" w:color="auto"/>
            </w:tcBorders>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r w:rsidRPr="00DB563D">
              <w:rPr>
                <w:rFonts w:ascii="Arial Narrow" w:hAnsi="Arial Narrow"/>
                <w:iCs/>
                <w:noProof/>
                <w:sz w:val="20"/>
                <w:szCs w:val="20"/>
              </w:rPr>
              <w:t>)</w:t>
            </w:r>
          </w:p>
        </w:tc>
        <w:tc>
          <w:tcPr>
            <w:tcW w:w="1083" w:type="dxa"/>
            <w:tcBorders>
              <w:top w:val="single" w:sz="4" w:space="0" w:color="auto"/>
            </w:tcBorders>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r w:rsidRPr="00DB563D">
              <w:rPr>
                <w:rFonts w:ascii="Arial Narrow" w:hAnsi="Arial Narrow"/>
                <w:iCs/>
                <w:noProof/>
                <w:sz w:val="20"/>
                <w:szCs w:val="20"/>
              </w:rPr>
              <w:t>)</w:t>
            </w:r>
          </w:p>
        </w:tc>
        <w:tc>
          <w:tcPr>
            <w:tcW w:w="1060" w:type="dxa"/>
            <w:tcBorders>
              <w:top w:val="single" w:sz="4" w:space="0" w:color="auto"/>
            </w:tcBorders>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r w:rsidRPr="00DB563D">
              <w:rPr>
                <w:rFonts w:ascii="Arial Narrow" w:hAnsi="Arial Narrow"/>
                <w:iCs/>
                <w:noProof/>
                <w:sz w:val="20"/>
                <w:szCs w:val="20"/>
              </w:rPr>
              <w:t>)</w:t>
            </w:r>
          </w:p>
        </w:tc>
        <w:tc>
          <w:tcPr>
            <w:tcW w:w="1060" w:type="dxa"/>
            <w:tcBorders>
              <w:top w:val="single" w:sz="4" w:space="0" w:color="auto"/>
            </w:tcBorders>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r w:rsidRPr="00DB563D">
              <w:rPr>
                <w:rFonts w:ascii="Arial Narrow" w:hAnsi="Arial Narrow"/>
                <w:iCs/>
                <w:noProof/>
                <w:sz w:val="20"/>
                <w:szCs w:val="20"/>
              </w:rPr>
              <w:t>)</w:t>
            </w:r>
          </w:p>
        </w:tc>
        <w:tc>
          <w:tcPr>
            <w:tcW w:w="1060" w:type="dxa"/>
            <w:tcBorders>
              <w:top w:val="single" w:sz="4" w:space="0" w:color="auto"/>
            </w:tcBorders>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r w:rsidRPr="00DB563D">
              <w:rPr>
                <w:rFonts w:ascii="Arial Narrow" w:hAnsi="Arial Narrow"/>
                <w:iCs/>
                <w:noProof/>
                <w:sz w:val="20"/>
                <w:szCs w:val="20"/>
              </w:rPr>
              <w:t>)</w:t>
            </w:r>
          </w:p>
        </w:tc>
        <w:tc>
          <w:tcPr>
            <w:tcW w:w="1032" w:type="dxa"/>
            <w:tcBorders>
              <w:top w:val="single" w:sz="4" w:space="0" w:color="auto"/>
            </w:tcBorders>
            <w:vAlign w:val="center"/>
          </w:tcPr>
          <w:p w:rsidR="004D5A83" w:rsidRPr="00DB563D" w:rsidRDefault="004D5A83" w:rsidP="009E275A">
            <w:pPr>
              <w:keepNext/>
              <w:widowControl/>
              <w:jc w:val="center"/>
              <w:rPr>
                <w:rFonts w:ascii="Arial Narrow" w:hAnsi="Arial Narrow"/>
                <w:iCs/>
                <w:noProof/>
                <w:sz w:val="20"/>
                <w:szCs w:val="20"/>
              </w:rPr>
            </w:pPr>
            <w:r w:rsidRPr="00DB563D">
              <w:rPr>
                <w:rFonts w:ascii="Arial Narrow" w:hAnsi="Arial Narrow"/>
                <w:iCs/>
                <w:noProof/>
                <w:sz w:val="20"/>
                <w:szCs w:val="20"/>
              </w:rPr>
              <w:t>($</w:t>
            </w:r>
            <w:r w:rsidR="00D73CF2">
              <w:rPr>
                <w:rFonts w:ascii="Arial Narrow" w:hAnsi="Arial Narrow"/>
                <w:iCs/>
                <w:noProof/>
                <w:color w:val="000000"/>
                <w:sz w:val="20"/>
                <w:szCs w:val="20"/>
                <w:highlight w:val="black"/>
              </w:rPr>
              <w:t>'''''''''''''''''</w:t>
            </w:r>
            <w:r w:rsidRPr="00DB563D">
              <w:rPr>
                <w:rFonts w:ascii="Arial Narrow" w:hAnsi="Arial Narrow"/>
                <w:iCs/>
                <w:noProof/>
                <w:sz w:val="20"/>
                <w:szCs w:val="20"/>
              </w:rPr>
              <w:t>)</w:t>
            </w:r>
          </w:p>
        </w:tc>
      </w:tr>
      <w:tr w:rsidR="004D5A83" w:rsidRPr="001D3A2E" w:rsidTr="00FD3D25">
        <w:tc>
          <w:tcPr>
            <w:tcW w:w="299" w:type="dxa"/>
          </w:tcPr>
          <w:p w:rsidR="004D5A83" w:rsidRPr="001D3A2E" w:rsidRDefault="00A62049" w:rsidP="009E275A">
            <w:pPr>
              <w:keepNext/>
              <w:widowControl/>
              <w:rPr>
                <w:rFonts w:ascii="Arial Narrow" w:hAnsi="Arial Narrow"/>
                <w:b/>
                <w:noProof/>
                <w:sz w:val="20"/>
                <w:szCs w:val="20"/>
              </w:rPr>
            </w:pPr>
            <w:r w:rsidRPr="001D3A2E">
              <w:rPr>
                <w:rFonts w:ascii="Arial Narrow" w:hAnsi="Arial Narrow"/>
                <w:b/>
                <w:noProof/>
                <w:sz w:val="20"/>
                <w:szCs w:val="20"/>
              </w:rPr>
              <w:t>I</w:t>
            </w:r>
          </w:p>
        </w:tc>
        <w:tc>
          <w:tcPr>
            <w:tcW w:w="2392" w:type="dxa"/>
            <w:vAlign w:val="center"/>
          </w:tcPr>
          <w:p w:rsidR="004D5A83" w:rsidRPr="001D3A2E" w:rsidRDefault="004D5A83" w:rsidP="009E275A">
            <w:pPr>
              <w:keepNext/>
              <w:widowControl/>
              <w:rPr>
                <w:rFonts w:ascii="Arial Narrow" w:hAnsi="Arial Narrow"/>
                <w:b/>
                <w:sz w:val="20"/>
                <w:szCs w:val="20"/>
              </w:rPr>
            </w:pPr>
            <w:r w:rsidRPr="001D3A2E">
              <w:rPr>
                <w:rFonts w:ascii="Arial Narrow" w:hAnsi="Arial Narrow"/>
                <w:b/>
                <w:noProof/>
                <w:sz w:val="20"/>
                <w:szCs w:val="20"/>
              </w:rPr>
              <w:t xml:space="preserve">Net </w:t>
            </w:r>
            <w:r w:rsidR="001D3A2E">
              <w:rPr>
                <w:rFonts w:ascii="Arial Narrow" w:hAnsi="Arial Narrow"/>
                <w:b/>
                <w:noProof/>
                <w:sz w:val="20"/>
                <w:szCs w:val="20"/>
              </w:rPr>
              <w:t xml:space="preserve">cost to </w:t>
            </w:r>
            <w:r w:rsidRPr="001D3A2E">
              <w:rPr>
                <w:rFonts w:ascii="Arial Narrow" w:hAnsi="Arial Narrow"/>
                <w:b/>
                <w:noProof/>
                <w:sz w:val="20"/>
                <w:szCs w:val="20"/>
              </w:rPr>
              <w:t xml:space="preserve">PBS/RPBS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1D3A2E" w:rsidRDefault="004D5A83" w:rsidP="009E275A">
            <w:pPr>
              <w:keepNext/>
              <w:widowControl/>
              <w:jc w:val="center"/>
              <w:rPr>
                <w:rFonts w:ascii="Arial Narrow" w:hAnsi="Arial Narrow"/>
                <w:b/>
                <w:iCs/>
                <w:noProof/>
                <w:sz w:val="20"/>
                <w:szCs w:val="20"/>
              </w:rPr>
            </w:pPr>
            <w:r w:rsidRPr="001D3A2E">
              <w:rPr>
                <w:rFonts w:ascii="Arial Narrow" w:hAnsi="Arial Narrow"/>
                <w:b/>
                <w:iCs/>
                <w:noProof/>
                <w:sz w:val="20"/>
                <w:szCs w:val="20"/>
              </w:rPr>
              <w:t>$</w:t>
            </w:r>
            <w:r w:rsidR="00D73CF2">
              <w:rPr>
                <w:rFonts w:ascii="Arial Narrow" w:hAnsi="Arial Narrow"/>
                <w:b/>
                <w:iCs/>
                <w:noProof/>
                <w:color w:val="000000"/>
                <w:sz w:val="2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D5A83" w:rsidRPr="001D3A2E" w:rsidRDefault="004D5A83" w:rsidP="009E275A">
            <w:pPr>
              <w:keepNext/>
              <w:widowControl/>
              <w:jc w:val="center"/>
              <w:rPr>
                <w:rFonts w:ascii="Arial Narrow" w:hAnsi="Arial Narrow"/>
                <w:b/>
                <w:iCs/>
                <w:noProof/>
                <w:sz w:val="20"/>
                <w:szCs w:val="20"/>
              </w:rPr>
            </w:pPr>
            <w:r w:rsidRPr="001D3A2E">
              <w:rPr>
                <w:rFonts w:ascii="Arial Narrow" w:hAnsi="Arial Narrow"/>
                <w:b/>
                <w:iCs/>
                <w:noProof/>
                <w:sz w:val="20"/>
                <w:szCs w:val="20"/>
              </w:rPr>
              <w:t>$</w:t>
            </w:r>
            <w:r w:rsidR="00D73CF2">
              <w:rPr>
                <w:rFonts w:ascii="Arial Narrow" w:hAnsi="Arial Narrow"/>
                <w:b/>
                <w:iCs/>
                <w:noProof/>
                <w:color w:val="000000"/>
                <w:sz w:val="2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1D3A2E" w:rsidRDefault="004D5A83" w:rsidP="009E275A">
            <w:pPr>
              <w:keepNext/>
              <w:widowControl/>
              <w:jc w:val="center"/>
              <w:rPr>
                <w:rFonts w:ascii="Arial Narrow" w:hAnsi="Arial Narrow"/>
                <w:b/>
                <w:iCs/>
                <w:noProof/>
                <w:sz w:val="20"/>
                <w:szCs w:val="20"/>
              </w:rPr>
            </w:pPr>
            <w:r w:rsidRPr="001D3A2E">
              <w:rPr>
                <w:rFonts w:ascii="Arial Narrow" w:hAnsi="Arial Narrow"/>
                <w:b/>
                <w:iCs/>
                <w:noProof/>
                <w:sz w:val="20"/>
                <w:szCs w:val="20"/>
              </w:rPr>
              <w:t>$</w:t>
            </w:r>
            <w:r w:rsidR="00D73CF2">
              <w:rPr>
                <w:rFonts w:ascii="Arial Narrow" w:hAnsi="Arial Narrow"/>
                <w:b/>
                <w:iCs/>
                <w:noProof/>
                <w:color w:val="000000"/>
                <w:sz w:val="20"/>
                <w:szCs w:val="20"/>
                <w:highlight w:val="black"/>
              </w:rPr>
              <w:t>'''''' '''''''''''''''</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1D3A2E" w:rsidRDefault="004D5A83" w:rsidP="009E275A">
            <w:pPr>
              <w:keepNext/>
              <w:widowControl/>
              <w:jc w:val="center"/>
              <w:rPr>
                <w:rFonts w:ascii="Arial Narrow" w:hAnsi="Arial Narrow"/>
                <w:b/>
                <w:iCs/>
                <w:noProof/>
                <w:sz w:val="20"/>
                <w:szCs w:val="20"/>
              </w:rPr>
            </w:pPr>
            <w:r w:rsidRPr="001D3A2E">
              <w:rPr>
                <w:rFonts w:ascii="Arial Narrow" w:hAnsi="Arial Narrow"/>
                <w:b/>
                <w:iCs/>
                <w:noProof/>
                <w:sz w:val="20"/>
                <w:szCs w:val="20"/>
              </w:rPr>
              <w:t>$</w:t>
            </w:r>
            <w:r w:rsidR="00D73CF2">
              <w:rPr>
                <w:rFonts w:ascii="Arial Narrow" w:hAnsi="Arial Narrow"/>
                <w:b/>
                <w:iCs/>
                <w:noProof/>
                <w:color w:val="000000"/>
                <w:sz w:val="2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1D3A2E" w:rsidRDefault="004D5A83" w:rsidP="009E275A">
            <w:pPr>
              <w:keepNext/>
              <w:widowControl/>
              <w:jc w:val="center"/>
              <w:rPr>
                <w:rFonts w:ascii="Arial Narrow" w:hAnsi="Arial Narrow"/>
                <w:b/>
                <w:iCs/>
                <w:noProof/>
                <w:sz w:val="20"/>
                <w:szCs w:val="20"/>
              </w:rPr>
            </w:pPr>
            <w:r w:rsidRPr="001D3A2E">
              <w:rPr>
                <w:rFonts w:ascii="Arial Narrow" w:hAnsi="Arial Narrow"/>
                <w:b/>
                <w:iCs/>
                <w:noProof/>
                <w:sz w:val="20"/>
                <w:szCs w:val="20"/>
              </w:rPr>
              <w:t>$</w:t>
            </w:r>
            <w:r w:rsidR="00D73CF2">
              <w:rPr>
                <w:rFonts w:ascii="Arial Narrow" w:hAnsi="Arial Narrow"/>
                <w:b/>
                <w:iCs/>
                <w:noProof/>
                <w:color w:val="000000"/>
                <w:sz w:val="2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D5A83" w:rsidRPr="001D3A2E" w:rsidRDefault="004D5A83" w:rsidP="009E275A">
            <w:pPr>
              <w:keepNext/>
              <w:widowControl/>
              <w:jc w:val="center"/>
              <w:rPr>
                <w:rFonts w:ascii="Arial Narrow" w:hAnsi="Arial Narrow"/>
                <w:b/>
                <w:iCs/>
                <w:noProof/>
                <w:sz w:val="20"/>
                <w:szCs w:val="20"/>
              </w:rPr>
            </w:pPr>
            <w:r w:rsidRPr="001D3A2E">
              <w:rPr>
                <w:rFonts w:ascii="Arial Narrow" w:hAnsi="Arial Narrow"/>
                <w:b/>
                <w:iCs/>
                <w:noProof/>
                <w:sz w:val="20"/>
                <w:szCs w:val="20"/>
              </w:rPr>
              <w:t>$</w:t>
            </w:r>
            <w:r w:rsidR="00D73CF2">
              <w:rPr>
                <w:rFonts w:ascii="Arial Narrow" w:hAnsi="Arial Narrow"/>
                <w:b/>
                <w:iCs/>
                <w:noProof/>
                <w:color w:val="000000"/>
                <w:sz w:val="20"/>
                <w:szCs w:val="20"/>
                <w:highlight w:val="black"/>
              </w:rPr>
              <w:t>''''''''''''''''''''</w:t>
            </w:r>
          </w:p>
        </w:tc>
      </w:tr>
      <w:tr w:rsidR="004D5A83" w:rsidRPr="00FC4842" w:rsidTr="00FD3D25">
        <w:tc>
          <w:tcPr>
            <w:tcW w:w="299" w:type="dxa"/>
          </w:tcPr>
          <w:p w:rsidR="004D5A83" w:rsidRPr="004D5A83" w:rsidRDefault="00A62049" w:rsidP="009E275A">
            <w:pPr>
              <w:pStyle w:val="Tabletext"/>
              <w:keepNext/>
              <w:jc w:val="both"/>
              <w:rPr>
                <w:noProof/>
              </w:rPr>
            </w:pPr>
            <w:r>
              <w:rPr>
                <w:noProof/>
              </w:rPr>
              <w:t>J</w:t>
            </w:r>
          </w:p>
        </w:tc>
        <w:tc>
          <w:tcPr>
            <w:tcW w:w="2392" w:type="dxa"/>
            <w:vAlign w:val="center"/>
          </w:tcPr>
          <w:p w:rsidR="004D5A83" w:rsidRPr="00FC4842" w:rsidRDefault="004D5A83" w:rsidP="009E275A">
            <w:pPr>
              <w:pStyle w:val="Tabletext"/>
              <w:keepNext/>
              <w:rPr>
                <w:noProof/>
                <w:szCs w:val="20"/>
              </w:rPr>
            </w:pPr>
            <w:r w:rsidRPr="00DA7C14">
              <w:rPr>
                <w:noProof/>
              </w:rPr>
              <w:t>Net cost to MBS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t>$</w:t>
            </w:r>
            <w:r w:rsidR="00D73CF2">
              <w:rPr>
                <w:noProof/>
                <w:color w:val="00000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t>$</w:t>
            </w:r>
            <w:r w:rsidR="00D73CF2">
              <w:rPr>
                <w:noProof/>
                <w:color w:val="00000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t>$</w:t>
            </w:r>
            <w:r w:rsidR="00D73CF2">
              <w:rPr>
                <w:noProof/>
                <w:color w:val="00000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t>$</w:t>
            </w:r>
            <w:r w:rsidR="00D73CF2">
              <w:rPr>
                <w:noProof/>
                <w:color w:val="00000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t>$</w:t>
            </w:r>
            <w:r w:rsidR="00D73CF2">
              <w:rPr>
                <w:noProof/>
                <w:color w:val="00000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t>$</w:t>
            </w:r>
            <w:r w:rsidR="00D73CF2">
              <w:rPr>
                <w:noProof/>
                <w:color w:val="000000"/>
                <w:highlight w:val="black"/>
              </w:rPr>
              <w:t>''''''''''''''''''''''''</w:t>
            </w:r>
          </w:p>
        </w:tc>
      </w:tr>
      <w:tr w:rsidR="004D5A83" w:rsidRPr="00FC4842" w:rsidTr="00FD3D25">
        <w:tc>
          <w:tcPr>
            <w:tcW w:w="299" w:type="dxa"/>
          </w:tcPr>
          <w:p w:rsidR="004D5A83" w:rsidRPr="004D5A83" w:rsidRDefault="00A62049" w:rsidP="009E275A">
            <w:pPr>
              <w:pStyle w:val="Tabletext"/>
              <w:keepNext/>
              <w:jc w:val="both"/>
              <w:rPr>
                <w:noProof/>
              </w:rPr>
            </w:pPr>
            <w:r>
              <w:rPr>
                <w:noProof/>
              </w:rPr>
              <w:t>K</w:t>
            </w:r>
          </w:p>
        </w:tc>
        <w:tc>
          <w:tcPr>
            <w:tcW w:w="2392" w:type="dxa"/>
            <w:vAlign w:val="center"/>
          </w:tcPr>
          <w:p w:rsidR="004D5A83" w:rsidRPr="00FC4842" w:rsidRDefault="004D5A83" w:rsidP="009E275A">
            <w:pPr>
              <w:pStyle w:val="Tabletext"/>
              <w:keepNext/>
              <w:rPr>
                <w:noProof/>
                <w:szCs w:val="20"/>
              </w:rPr>
            </w:pPr>
            <w:r w:rsidRPr="00DA7C14">
              <w:rPr>
                <w:noProof/>
              </w:rPr>
              <w:t>Net c</w:t>
            </w:r>
            <w:r w:rsidR="001D3A2E">
              <w:rPr>
                <w:noProof/>
              </w:rPr>
              <w:t xml:space="preserve">ost to health </w:t>
            </w:r>
            <w:r w:rsidRPr="00DA7C14">
              <w:rPr>
                <w:noProof/>
              </w:rPr>
              <w:t>budget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rPr>
                <w:iCs/>
              </w:rPr>
              <w:t>$</w:t>
            </w:r>
            <w:r w:rsidR="00D73CF2">
              <w:rPr>
                <w:iCs/>
                <w:noProof/>
                <w:color w:val="00000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rPr>
                <w:iCs/>
              </w:rPr>
              <w:t>$</w:t>
            </w:r>
            <w:r w:rsidR="00D73CF2">
              <w:rPr>
                <w:iCs/>
                <w:noProof/>
                <w:color w:val="00000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rPr>
                <w:iCs/>
              </w:rPr>
              <w:t>$</w:t>
            </w:r>
            <w:r w:rsidR="00D73CF2">
              <w:rPr>
                <w:iCs/>
                <w:noProof/>
                <w:color w:val="00000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rPr>
                <w:iCs/>
              </w:rPr>
              <w:t>$</w:t>
            </w:r>
            <w:r w:rsidR="00D73CF2">
              <w:rPr>
                <w:iCs/>
                <w:noProof/>
                <w:color w:val="00000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rPr>
                <w:iCs/>
              </w:rPr>
              <w:t>$</w:t>
            </w:r>
            <w:r w:rsidR="00D73CF2">
              <w:rPr>
                <w:iCs/>
                <w:noProof/>
                <w:color w:val="00000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D5A83" w:rsidRPr="00DB563D" w:rsidRDefault="004D5A83" w:rsidP="009E275A">
            <w:pPr>
              <w:pStyle w:val="Tabletext"/>
              <w:keepNext/>
              <w:jc w:val="center"/>
              <w:rPr>
                <w:iCs/>
                <w:noProof/>
                <w:szCs w:val="20"/>
              </w:rPr>
            </w:pPr>
            <w:r w:rsidRPr="00DB563D">
              <w:rPr>
                <w:iCs/>
              </w:rPr>
              <w:t>$</w:t>
            </w:r>
            <w:r w:rsidR="00D73CF2">
              <w:rPr>
                <w:iCs/>
                <w:noProof/>
                <w:color w:val="000000"/>
                <w:highlight w:val="black"/>
              </w:rPr>
              <w:t>'''''''''''''''''''''''''''</w:t>
            </w:r>
          </w:p>
        </w:tc>
      </w:tr>
      <w:tr w:rsidR="004478D4" w:rsidRPr="002207D4" w:rsidTr="00A46B4D">
        <w:tc>
          <w:tcPr>
            <w:tcW w:w="9017" w:type="dxa"/>
            <w:gridSpan w:val="8"/>
            <w:tcBorders>
              <w:bottom w:val="single" w:sz="4" w:space="0" w:color="auto"/>
              <w:right w:val="single" w:sz="4" w:space="0" w:color="auto"/>
            </w:tcBorders>
            <w:shd w:val="clear" w:color="auto" w:fill="auto"/>
          </w:tcPr>
          <w:p w:rsidR="004478D4" w:rsidRPr="002207D4" w:rsidRDefault="004478D4" w:rsidP="009E275A">
            <w:pPr>
              <w:pStyle w:val="Tabletext"/>
              <w:keepNext/>
              <w:rPr>
                <w:b/>
                <w:bCs/>
                <w:iCs/>
                <w:noProof/>
                <w:color w:val="000000"/>
                <w:szCs w:val="20"/>
              </w:rPr>
            </w:pPr>
            <w:r w:rsidRPr="002207D4">
              <w:rPr>
                <w:b/>
                <w:bCs/>
                <w:iCs/>
                <w:szCs w:val="20"/>
              </w:rPr>
              <w:t>PSCR - Updated patient numbers and financial implications</w:t>
            </w:r>
            <w:r w:rsidR="001D3A2E" w:rsidRPr="002207D4">
              <w:rPr>
                <w:b/>
                <w:bCs/>
                <w:iCs/>
                <w:szCs w:val="20"/>
              </w:rPr>
              <w:t xml:space="preserve"> (all acute neurological events)</w:t>
            </w:r>
          </w:p>
        </w:tc>
      </w:tr>
      <w:tr w:rsidR="004478D4" w:rsidRPr="002207D4" w:rsidTr="00FD3D25">
        <w:tc>
          <w:tcPr>
            <w:tcW w:w="2691" w:type="dxa"/>
            <w:gridSpan w:val="2"/>
            <w:tcBorders>
              <w:bottom w:val="single" w:sz="4" w:space="0" w:color="auto"/>
            </w:tcBorders>
            <w:shd w:val="clear" w:color="auto" w:fill="auto"/>
          </w:tcPr>
          <w:p w:rsidR="004478D4" w:rsidRPr="002207D4" w:rsidRDefault="004478D4" w:rsidP="009E275A">
            <w:pPr>
              <w:pStyle w:val="Tabletext"/>
              <w:keepNext/>
              <w:rPr>
                <w:bCs/>
                <w:iCs/>
                <w:szCs w:val="20"/>
              </w:rPr>
            </w:pPr>
            <w:r w:rsidRPr="002207D4">
              <w:rPr>
                <w:bCs/>
                <w:iCs/>
                <w:szCs w:val="20"/>
              </w:rPr>
              <w:t>Incident patients treated</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r>
      <w:tr w:rsidR="004478D4" w:rsidRPr="002207D4" w:rsidTr="00FD3D25">
        <w:tc>
          <w:tcPr>
            <w:tcW w:w="2691" w:type="dxa"/>
            <w:gridSpan w:val="2"/>
            <w:tcBorders>
              <w:bottom w:val="single" w:sz="4" w:space="0" w:color="auto"/>
            </w:tcBorders>
            <w:shd w:val="clear" w:color="auto" w:fill="auto"/>
          </w:tcPr>
          <w:p w:rsidR="004478D4" w:rsidRPr="002207D4" w:rsidRDefault="004478D4" w:rsidP="009E275A">
            <w:pPr>
              <w:pStyle w:val="Tabletext"/>
              <w:keepNext/>
              <w:rPr>
                <w:bCs/>
                <w:iCs/>
                <w:szCs w:val="20"/>
              </w:rPr>
            </w:pPr>
            <w:r w:rsidRPr="002207D4">
              <w:rPr>
                <w:bCs/>
                <w:iCs/>
                <w:szCs w:val="20"/>
              </w:rPr>
              <w:t>Prevalent patients treated</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r>
      <w:tr w:rsidR="004478D4" w:rsidRPr="002207D4" w:rsidTr="00FD3D25">
        <w:tc>
          <w:tcPr>
            <w:tcW w:w="2691" w:type="dxa"/>
            <w:gridSpan w:val="2"/>
            <w:tcBorders>
              <w:bottom w:val="single" w:sz="4" w:space="0" w:color="auto"/>
            </w:tcBorders>
            <w:shd w:val="clear" w:color="auto" w:fill="auto"/>
          </w:tcPr>
          <w:p w:rsidR="004478D4" w:rsidRPr="002207D4" w:rsidRDefault="004478D4" w:rsidP="009E275A">
            <w:pPr>
              <w:pStyle w:val="Tabletext"/>
              <w:keepNext/>
              <w:rPr>
                <w:b/>
                <w:bCs/>
                <w:iCs/>
                <w:szCs w:val="20"/>
              </w:rPr>
            </w:pPr>
            <w:r w:rsidRPr="002207D4">
              <w:rPr>
                <w:b/>
                <w:bCs/>
                <w:iCs/>
                <w:szCs w:val="20"/>
              </w:rPr>
              <w:t>Total treated patients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
                <w:bCs/>
                <w:iCs/>
                <w:noProof/>
                <w:color w:val="000000"/>
                <w:szCs w:val="20"/>
                <w:highlight w:val="black"/>
              </w:rPr>
            </w:pPr>
            <w:r>
              <w:rPr>
                <w:b/>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
                <w:bCs/>
                <w:iCs/>
                <w:noProof/>
                <w:color w:val="000000"/>
                <w:szCs w:val="20"/>
                <w:highlight w:val="black"/>
              </w:rPr>
            </w:pPr>
            <w:r>
              <w:rPr>
                <w:b/>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
                <w:bCs/>
                <w:iCs/>
                <w:noProof/>
                <w:color w:val="000000"/>
                <w:szCs w:val="20"/>
                <w:highlight w:val="black"/>
              </w:rPr>
            </w:pPr>
            <w:r>
              <w:rPr>
                <w:b/>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
                <w:bCs/>
                <w:iCs/>
                <w:noProof/>
                <w:color w:val="000000"/>
                <w:szCs w:val="20"/>
                <w:highlight w:val="black"/>
              </w:rPr>
            </w:pPr>
            <w:r>
              <w:rPr>
                <w:b/>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
                <w:bCs/>
                <w:iCs/>
                <w:noProof/>
                <w:color w:val="000000"/>
                <w:szCs w:val="20"/>
                <w:highlight w:val="black"/>
              </w:rPr>
            </w:pPr>
            <w:r>
              <w:rPr>
                <w:b/>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
                <w:bCs/>
                <w:iCs/>
                <w:noProof/>
                <w:color w:val="000000"/>
                <w:szCs w:val="20"/>
                <w:highlight w:val="black"/>
              </w:rPr>
            </w:pPr>
            <w:r>
              <w:rPr>
                <w:b/>
                <w:bCs/>
                <w:iCs/>
                <w:noProof/>
                <w:color w:val="000000"/>
                <w:szCs w:val="20"/>
                <w:highlight w:val="black"/>
              </w:rPr>
              <w:t>''''''''''''</w:t>
            </w:r>
          </w:p>
        </w:tc>
      </w:tr>
      <w:tr w:rsidR="004478D4" w:rsidRPr="002207D4" w:rsidTr="00FD3D25">
        <w:tc>
          <w:tcPr>
            <w:tcW w:w="2691" w:type="dxa"/>
            <w:gridSpan w:val="2"/>
            <w:tcBorders>
              <w:bottom w:val="single" w:sz="4" w:space="0" w:color="auto"/>
            </w:tcBorders>
            <w:shd w:val="clear" w:color="auto" w:fill="auto"/>
          </w:tcPr>
          <w:p w:rsidR="004478D4" w:rsidRPr="002207D4" w:rsidRDefault="00057611" w:rsidP="009E275A">
            <w:pPr>
              <w:pStyle w:val="Tabletext"/>
              <w:keepNext/>
              <w:rPr>
                <w:bCs/>
                <w:iCs/>
                <w:szCs w:val="20"/>
              </w:rPr>
            </w:pPr>
            <w:r>
              <w:rPr>
                <w:bCs/>
                <w:iCs/>
                <w:szCs w:val="20"/>
              </w:rPr>
              <w:t>Dysport</w:t>
            </w:r>
            <w:r w:rsidR="001A35D3" w:rsidRPr="00FA6E19">
              <w:rPr>
                <w:vertAlign w:val="superscript"/>
              </w:rPr>
              <w:t>®</w:t>
            </w:r>
            <w:r w:rsidR="001A35D3">
              <w:rPr>
                <w:vertAlign w:val="superscript"/>
              </w:rPr>
              <w:t xml:space="preserve"> </w:t>
            </w:r>
            <w:r w:rsidR="004478D4" w:rsidRPr="002207D4">
              <w:rPr>
                <w:bCs/>
                <w:iCs/>
                <w:szCs w:val="20"/>
              </w:rPr>
              <w:t>300U injections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r>
      <w:tr w:rsidR="004478D4" w:rsidRPr="002207D4" w:rsidTr="00FD3D25">
        <w:tc>
          <w:tcPr>
            <w:tcW w:w="2691" w:type="dxa"/>
            <w:gridSpan w:val="2"/>
            <w:tcBorders>
              <w:bottom w:val="single" w:sz="4" w:space="0" w:color="auto"/>
            </w:tcBorders>
            <w:shd w:val="clear" w:color="auto" w:fill="auto"/>
          </w:tcPr>
          <w:p w:rsidR="004478D4" w:rsidRPr="002207D4" w:rsidRDefault="00057611" w:rsidP="009E275A">
            <w:pPr>
              <w:pStyle w:val="Tabletext"/>
              <w:keepNext/>
              <w:rPr>
                <w:bCs/>
                <w:iCs/>
                <w:szCs w:val="20"/>
              </w:rPr>
            </w:pPr>
            <w:r>
              <w:rPr>
                <w:bCs/>
                <w:iCs/>
                <w:szCs w:val="20"/>
              </w:rPr>
              <w:t>Dysport</w:t>
            </w:r>
            <w:r w:rsidR="001A35D3" w:rsidRPr="00FA6E19">
              <w:rPr>
                <w:vertAlign w:val="superscript"/>
              </w:rPr>
              <w:t>®</w:t>
            </w:r>
            <w:r w:rsidR="001A35D3">
              <w:rPr>
                <w:vertAlign w:val="superscript"/>
              </w:rPr>
              <w:t xml:space="preserve"> </w:t>
            </w:r>
            <w:r w:rsidR="004478D4" w:rsidRPr="002207D4">
              <w:rPr>
                <w:bCs/>
                <w:iCs/>
                <w:szCs w:val="20"/>
              </w:rPr>
              <w:t>500U injections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r>
      <w:tr w:rsidR="004478D4" w:rsidRPr="002207D4" w:rsidTr="00FD3D25">
        <w:tc>
          <w:tcPr>
            <w:tcW w:w="2691" w:type="dxa"/>
            <w:gridSpan w:val="2"/>
            <w:tcBorders>
              <w:bottom w:val="single" w:sz="4" w:space="0" w:color="auto"/>
            </w:tcBorders>
            <w:shd w:val="clear" w:color="auto" w:fill="auto"/>
          </w:tcPr>
          <w:p w:rsidR="004478D4" w:rsidRPr="002207D4" w:rsidRDefault="001D3A2E" w:rsidP="009E275A">
            <w:pPr>
              <w:pStyle w:val="Tabletext"/>
              <w:keepNext/>
              <w:rPr>
                <w:b/>
                <w:bCs/>
                <w:iCs/>
                <w:szCs w:val="20"/>
              </w:rPr>
            </w:pPr>
            <w:r w:rsidRPr="002207D4">
              <w:rPr>
                <w:b/>
                <w:bCs/>
                <w:iCs/>
                <w:szCs w:val="20"/>
              </w:rPr>
              <w:t>N</w:t>
            </w:r>
            <w:r w:rsidR="004478D4" w:rsidRPr="002207D4">
              <w:rPr>
                <w:b/>
                <w:bCs/>
                <w:iCs/>
                <w:szCs w:val="20"/>
              </w:rPr>
              <w:t>et cost to PBS/RPBS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
                <w:bCs/>
                <w:iCs/>
                <w:noProof/>
                <w:color w:val="000000"/>
                <w:szCs w:val="20"/>
              </w:rPr>
            </w:pPr>
            <w:r w:rsidRPr="002207D4">
              <w:rPr>
                <w:b/>
                <w:bCs/>
                <w:iCs/>
                <w:noProof/>
                <w:color w:val="000000"/>
                <w:szCs w:val="20"/>
              </w:rPr>
              <w:t>$</w:t>
            </w:r>
            <w:r w:rsidR="00D73CF2">
              <w:rPr>
                <w:b/>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
                <w:bCs/>
                <w:iCs/>
                <w:noProof/>
                <w:color w:val="000000"/>
                <w:szCs w:val="20"/>
              </w:rPr>
            </w:pPr>
            <w:r w:rsidRPr="002207D4">
              <w:rPr>
                <w:b/>
                <w:bCs/>
                <w:iCs/>
                <w:noProof/>
                <w:color w:val="000000"/>
                <w:szCs w:val="20"/>
              </w:rPr>
              <w:t>$</w:t>
            </w:r>
            <w:r w:rsidR="00D73CF2">
              <w:rPr>
                <w:b/>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
                <w:bCs/>
                <w:iCs/>
                <w:noProof/>
                <w:color w:val="000000"/>
                <w:szCs w:val="20"/>
              </w:rPr>
            </w:pPr>
            <w:r w:rsidRPr="002207D4">
              <w:rPr>
                <w:b/>
                <w:bCs/>
                <w:iCs/>
                <w:noProof/>
                <w:color w:val="000000"/>
                <w:szCs w:val="20"/>
              </w:rPr>
              <w:t>$</w:t>
            </w:r>
            <w:r w:rsidR="00D73CF2">
              <w:rPr>
                <w:b/>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
                <w:bCs/>
                <w:iCs/>
                <w:noProof/>
                <w:color w:val="000000"/>
                <w:szCs w:val="20"/>
              </w:rPr>
            </w:pPr>
            <w:r w:rsidRPr="002207D4">
              <w:rPr>
                <w:b/>
                <w:bCs/>
                <w:iCs/>
                <w:noProof/>
                <w:color w:val="000000"/>
                <w:szCs w:val="20"/>
              </w:rPr>
              <w:t>$</w:t>
            </w:r>
            <w:r w:rsidR="00D73CF2">
              <w:rPr>
                <w:b/>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
                <w:bCs/>
                <w:iCs/>
                <w:noProof/>
                <w:color w:val="000000"/>
                <w:szCs w:val="20"/>
              </w:rPr>
            </w:pPr>
            <w:r w:rsidRPr="002207D4">
              <w:rPr>
                <w:b/>
                <w:bCs/>
                <w:iCs/>
                <w:noProof/>
                <w:color w:val="000000"/>
                <w:szCs w:val="20"/>
              </w:rPr>
              <w:t>$</w:t>
            </w:r>
            <w:r w:rsidR="00D73CF2">
              <w:rPr>
                <w:b/>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
                <w:bCs/>
                <w:iCs/>
                <w:noProof/>
                <w:color w:val="000000"/>
                <w:szCs w:val="20"/>
              </w:rPr>
            </w:pPr>
            <w:r w:rsidRPr="002207D4">
              <w:rPr>
                <w:b/>
                <w:bCs/>
                <w:iCs/>
                <w:noProof/>
                <w:color w:val="000000"/>
                <w:szCs w:val="20"/>
              </w:rPr>
              <w:t>$</w:t>
            </w:r>
            <w:r w:rsidR="00D73CF2">
              <w:rPr>
                <w:b/>
                <w:bCs/>
                <w:iCs/>
                <w:noProof/>
                <w:color w:val="000000"/>
                <w:szCs w:val="20"/>
                <w:highlight w:val="black"/>
              </w:rPr>
              <w:t>''''''''''''''''''''</w:t>
            </w:r>
          </w:p>
        </w:tc>
      </w:tr>
      <w:tr w:rsidR="004478D4" w:rsidRPr="002207D4" w:rsidTr="00FD3D25">
        <w:tc>
          <w:tcPr>
            <w:tcW w:w="2691" w:type="dxa"/>
            <w:gridSpan w:val="2"/>
            <w:tcBorders>
              <w:bottom w:val="single" w:sz="4" w:space="0" w:color="auto"/>
            </w:tcBorders>
            <w:shd w:val="clear" w:color="auto" w:fill="auto"/>
          </w:tcPr>
          <w:p w:rsidR="004478D4" w:rsidRPr="002207D4" w:rsidRDefault="004478D4" w:rsidP="009E275A">
            <w:pPr>
              <w:pStyle w:val="Tabletext"/>
              <w:keepNext/>
              <w:rPr>
                <w:bCs/>
                <w:iCs/>
                <w:szCs w:val="20"/>
              </w:rPr>
            </w:pPr>
            <w:r w:rsidRPr="002207D4">
              <w:rPr>
                <w:bCs/>
                <w:iCs/>
                <w:szCs w:val="20"/>
              </w:rPr>
              <w:t>Net cost to heath budget</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Cs/>
                <w:iCs/>
                <w:noProof/>
                <w:color w:val="000000"/>
                <w:szCs w:val="20"/>
              </w:rPr>
            </w:pPr>
            <w:r w:rsidRPr="002207D4">
              <w:rPr>
                <w:bCs/>
                <w:iCs/>
                <w:noProof/>
                <w:color w:val="000000"/>
                <w:szCs w:val="20"/>
              </w:rPr>
              <w:t>$</w:t>
            </w:r>
            <w:r w:rsidR="00D73CF2">
              <w:rPr>
                <w:bCs/>
                <w:iCs/>
                <w:noProof/>
                <w:color w:val="000000"/>
                <w:szCs w:val="20"/>
                <w:highlight w:val="black"/>
              </w:rPr>
              <w:t>''''''''''''''''''''''''''''</w:t>
            </w:r>
          </w:p>
        </w:tc>
        <w:tc>
          <w:tcPr>
            <w:tcW w:w="1083"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Cs/>
                <w:iCs/>
                <w:noProof/>
                <w:color w:val="000000"/>
                <w:szCs w:val="20"/>
              </w:rPr>
            </w:pPr>
            <w:r w:rsidRPr="002207D4">
              <w:rPr>
                <w:bCs/>
                <w:iCs/>
                <w:noProof/>
                <w:color w:val="000000"/>
                <w:szCs w:val="20"/>
              </w:rPr>
              <w:t>$</w:t>
            </w:r>
            <w:r w:rsidR="00D73CF2">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Cs/>
                <w:iCs/>
                <w:noProof/>
                <w:color w:val="000000"/>
                <w:szCs w:val="20"/>
              </w:rPr>
            </w:pPr>
            <w:r w:rsidRPr="002207D4">
              <w:rPr>
                <w:bCs/>
                <w:iCs/>
                <w:noProof/>
                <w:color w:val="000000"/>
                <w:szCs w:val="20"/>
              </w:rPr>
              <w:t>$</w:t>
            </w:r>
            <w:r w:rsidR="00D73CF2">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Cs/>
                <w:iCs/>
                <w:noProof/>
                <w:color w:val="000000"/>
                <w:szCs w:val="20"/>
              </w:rPr>
            </w:pPr>
            <w:r w:rsidRPr="002207D4">
              <w:rPr>
                <w:bCs/>
                <w:iCs/>
                <w:noProof/>
                <w:color w:val="000000"/>
                <w:szCs w:val="20"/>
              </w:rPr>
              <w:t>$</w:t>
            </w:r>
            <w:r w:rsidR="00D73CF2">
              <w:rPr>
                <w:bCs/>
                <w:iCs/>
                <w:noProof/>
                <w:color w:val="000000"/>
                <w:szCs w:val="20"/>
                <w:highlight w:val="black"/>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Cs/>
                <w:iCs/>
                <w:noProof/>
                <w:color w:val="000000"/>
                <w:szCs w:val="20"/>
              </w:rPr>
            </w:pPr>
            <w:r w:rsidRPr="002207D4">
              <w:rPr>
                <w:bCs/>
                <w:iCs/>
                <w:noProof/>
                <w:color w:val="000000"/>
                <w:szCs w:val="20"/>
              </w:rPr>
              <w:t>$</w:t>
            </w:r>
            <w:r w:rsidR="00D73CF2">
              <w:rPr>
                <w:bCs/>
                <w:iCs/>
                <w:noProof/>
                <w:color w:val="000000"/>
                <w:szCs w:val="20"/>
                <w:highlight w:val="black"/>
              </w:rPr>
              <w:t>''''''''''''''''''''''''</w:t>
            </w:r>
          </w:p>
        </w:tc>
        <w:tc>
          <w:tcPr>
            <w:tcW w:w="1032" w:type="dxa"/>
            <w:tcBorders>
              <w:top w:val="single" w:sz="4" w:space="0" w:color="auto"/>
              <w:left w:val="nil"/>
              <w:bottom w:val="single" w:sz="4" w:space="0" w:color="auto"/>
              <w:right w:val="single" w:sz="4" w:space="0" w:color="auto"/>
            </w:tcBorders>
            <w:shd w:val="clear" w:color="auto" w:fill="auto"/>
            <w:vAlign w:val="center"/>
          </w:tcPr>
          <w:p w:rsidR="004478D4" w:rsidRPr="002207D4" w:rsidRDefault="004478D4" w:rsidP="009E275A">
            <w:pPr>
              <w:pStyle w:val="Tabletext"/>
              <w:keepNext/>
              <w:jc w:val="center"/>
              <w:rPr>
                <w:bCs/>
                <w:iCs/>
                <w:noProof/>
                <w:color w:val="000000"/>
                <w:szCs w:val="20"/>
              </w:rPr>
            </w:pPr>
            <w:r w:rsidRPr="002207D4">
              <w:rPr>
                <w:bCs/>
                <w:iCs/>
                <w:noProof/>
                <w:color w:val="000000"/>
                <w:szCs w:val="20"/>
              </w:rPr>
              <w:t>$</w:t>
            </w:r>
            <w:r w:rsidR="00D73CF2">
              <w:rPr>
                <w:bCs/>
                <w:iCs/>
                <w:noProof/>
                <w:color w:val="000000"/>
                <w:szCs w:val="20"/>
                <w:highlight w:val="black"/>
              </w:rPr>
              <w:t>''''''''''''''''''''''''''</w:t>
            </w:r>
          </w:p>
        </w:tc>
      </w:tr>
      <w:tr w:rsidR="001D3A2E" w:rsidRPr="00FC4842" w:rsidTr="00A46B4D">
        <w:tc>
          <w:tcPr>
            <w:tcW w:w="9017" w:type="dxa"/>
            <w:gridSpan w:val="8"/>
            <w:tcBorders>
              <w:bottom w:val="single" w:sz="4" w:space="0" w:color="auto"/>
              <w:right w:val="single" w:sz="4" w:space="0" w:color="auto"/>
            </w:tcBorders>
            <w:shd w:val="clear" w:color="auto" w:fill="auto"/>
          </w:tcPr>
          <w:p w:rsidR="001D3A2E" w:rsidRPr="00DB563D" w:rsidRDefault="001D3A2E" w:rsidP="009E275A">
            <w:pPr>
              <w:pStyle w:val="Tabletext"/>
              <w:keepNext/>
              <w:rPr>
                <w:b/>
                <w:bCs/>
                <w:iCs/>
                <w:noProof/>
                <w:color w:val="000000"/>
                <w:szCs w:val="20"/>
              </w:rPr>
            </w:pPr>
            <w:r>
              <w:rPr>
                <w:b/>
                <w:bCs/>
                <w:iCs/>
                <w:noProof/>
                <w:color w:val="000000"/>
                <w:szCs w:val="20"/>
              </w:rPr>
              <w:t>November 2018 submission (all acute neurological events)</w:t>
            </w:r>
          </w:p>
        </w:tc>
      </w:tr>
      <w:tr w:rsidR="00A62049" w:rsidRPr="00FC4842" w:rsidTr="00FD3D25">
        <w:tc>
          <w:tcPr>
            <w:tcW w:w="2691" w:type="dxa"/>
            <w:gridSpan w:val="2"/>
            <w:tcBorders>
              <w:bottom w:val="single" w:sz="4" w:space="0" w:color="auto"/>
            </w:tcBorders>
            <w:shd w:val="clear" w:color="auto" w:fill="auto"/>
          </w:tcPr>
          <w:p w:rsidR="00A62049" w:rsidRPr="00DB563D" w:rsidRDefault="00A62049" w:rsidP="009E275A">
            <w:pPr>
              <w:pStyle w:val="Tabletext"/>
              <w:keepNext/>
              <w:rPr>
                <w:b/>
                <w:bCs/>
                <w:noProof/>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A62049" w:rsidRPr="00DB563D" w:rsidRDefault="00A62049" w:rsidP="009E275A">
            <w:pPr>
              <w:pStyle w:val="Tabletext"/>
              <w:keepNext/>
              <w:jc w:val="center"/>
              <w:rPr>
                <w:b/>
                <w:bCs/>
                <w:iCs/>
              </w:rPr>
            </w:pPr>
            <w:r w:rsidRPr="00DB563D">
              <w:rPr>
                <w:b/>
                <w:bCs/>
                <w:iCs/>
                <w:noProof/>
                <w:color w:val="000000"/>
                <w:szCs w:val="20"/>
              </w:rPr>
              <w:t>Year 1 (2019)</w:t>
            </w:r>
          </w:p>
        </w:tc>
        <w:tc>
          <w:tcPr>
            <w:tcW w:w="1083" w:type="dxa"/>
            <w:tcBorders>
              <w:top w:val="single" w:sz="4" w:space="0" w:color="auto"/>
              <w:left w:val="nil"/>
              <w:bottom w:val="single" w:sz="4" w:space="0" w:color="auto"/>
              <w:right w:val="single" w:sz="4" w:space="0" w:color="auto"/>
            </w:tcBorders>
            <w:shd w:val="clear" w:color="auto" w:fill="auto"/>
            <w:vAlign w:val="center"/>
          </w:tcPr>
          <w:p w:rsidR="00A62049" w:rsidRPr="00DB563D" w:rsidRDefault="00A62049" w:rsidP="009E275A">
            <w:pPr>
              <w:pStyle w:val="Tabletext"/>
              <w:keepNext/>
              <w:jc w:val="center"/>
              <w:rPr>
                <w:b/>
                <w:bCs/>
                <w:iCs/>
              </w:rPr>
            </w:pPr>
            <w:r w:rsidRPr="00DB563D">
              <w:rPr>
                <w:b/>
                <w:bCs/>
                <w:iCs/>
                <w:noProof/>
                <w:color w:val="000000"/>
                <w:szCs w:val="20"/>
              </w:rPr>
              <w:t>Year 2 (2020)</w:t>
            </w:r>
          </w:p>
        </w:tc>
        <w:tc>
          <w:tcPr>
            <w:tcW w:w="1060" w:type="dxa"/>
            <w:tcBorders>
              <w:top w:val="single" w:sz="4" w:space="0" w:color="auto"/>
              <w:left w:val="nil"/>
              <w:bottom w:val="single" w:sz="4" w:space="0" w:color="auto"/>
              <w:right w:val="single" w:sz="4" w:space="0" w:color="auto"/>
            </w:tcBorders>
            <w:shd w:val="clear" w:color="auto" w:fill="auto"/>
            <w:vAlign w:val="center"/>
          </w:tcPr>
          <w:p w:rsidR="00A62049" w:rsidRPr="00DB563D" w:rsidRDefault="00A62049" w:rsidP="009E275A">
            <w:pPr>
              <w:pStyle w:val="Tabletext"/>
              <w:keepNext/>
              <w:jc w:val="center"/>
              <w:rPr>
                <w:b/>
                <w:bCs/>
                <w:iCs/>
              </w:rPr>
            </w:pPr>
            <w:r w:rsidRPr="00DB563D">
              <w:rPr>
                <w:b/>
                <w:bCs/>
                <w:iCs/>
                <w:noProof/>
                <w:color w:val="000000"/>
                <w:szCs w:val="20"/>
              </w:rPr>
              <w:t>Year 3 (2021)</w:t>
            </w:r>
          </w:p>
        </w:tc>
        <w:tc>
          <w:tcPr>
            <w:tcW w:w="1060" w:type="dxa"/>
            <w:tcBorders>
              <w:top w:val="single" w:sz="4" w:space="0" w:color="auto"/>
              <w:left w:val="nil"/>
              <w:bottom w:val="single" w:sz="4" w:space="0" w:color="auto"/>
              <w:right w:val="single" w:sz="4" w:space="0" w:color="auto"/>
            </w:tcBorders>
            <w:shd w:val="clear" w:color="auto" w:fill="auto"/>
            <w:vAlign w:val="center"/>
          </w:tcPr>
          <w:p w:rsidR="00A62049" w:rsidRPr="00DB563D" w:rsidRDefault="00A62049" w:rsidP="009E275A">
            <w:pPr>
              <w:pStyle w:val="Tabletext"/>
              <w:keepNext/>
              <w:jc w:val="center"/>
              <w:rPr>
                <w:b/>
                <w:bCs/>
                <w:iCs/>
              </w:rPr>
            </w:pPr>
            <w:r w:rsidRPr="00DB563D">
              <w:rPr>
                <w:b/>
                <w:bCs/>
                <w:iCs/>
                <w:noProof/>
                <w:color w:val="000000"/>
                <w:szCs w:val="20"/>
              </w:rPr>
              <w:t>Year 4 (2022)</w:t>
            </w:r>
          </w:p>
        </w:tc>
        <w:tc>
          <w:tcPr>
            <w:tcW w:w="1060" w:type="dxa"/>
            <w:tcBorders>
              <w:top w:val="single" w:sz="4" w:space="0" w:color="auto"/>
              <w:left w:val="nil"/>
              <w:bottom w:val="single" w:sz="4" w:space="0" w:color="auto"/>
              <w:right w:val="single" w:sz="4" w:space="0" w:color="auto"/>
            </w:tcBorders>
            <w:shd w:val="clear" w:color="auto" w:fill="auto"/>
            <w:vAlign w:val="center"/>
          </w:tcPr>
          <w:p w:rsidR="00A62049" w:rsidRPr="00DB563D" w:rsidRDefault="00A62049" w:rsidP="009E275A">
            <w:pPr>
              <w:pStyle w:val="Tabletext"/>
              <w:keepNext/>
              <w:jc w:val="center"/>
              <w:rPr>
                <w:b/>
                <w:bCs/>
                <w:iCs/>
              </w:rPr>
            </w:pPr>
            <w:r w:rsidRPr="00DB563D">
              <w:rPr>
                <w:b/>
                <w:bCs/>
                <w:iCs/>
                <w:noProof/>
                <w:color w:val="000000"/>
                <w:szCs w:val="20"/>
              </w:rPr>
              <w:t>Year 5 (2023)</w:t>
            </w:r>
          </w:p>
        </w:tc>
        <w:tc>
          <w:tcPr>
            <w:tcW w:w="1032" w:type="dxa"/>
            <w:tcBorders>
              <w:top w:val="single" w:sz="4" w:space="0" w:color="auto"/>
              <w:left w:val="nil"/>
              <w:bottom w:val="single" w:sz="4" w:space="0" w:color="auto"/>
              <w:right w:val="single" w:sz="4" w:space="0" w:color="auto"/>
            </w:tcBorders>
            <w:shd w:val="clear" w:color="auto" w:fill="auto"/>
            <w:vAlign w:val="center"/>
          </w:tcPr>
          <w:p w:rsidR="00A62049" w:rsidRPr="00DB563D" w:rsidRDefault="00A62049" w:rsidP="009E275A">
            <w:pPr>
              <w:pStyle w:val="Tabletext"/>
              <w:keepNext/>
              <w:jc w:val="center"/>
              <w:rPr>
                <w:b/>
                <w:bCs/>
                <w:iCs/>
              </w:rPr>
            </w:pPr>
            <w:r w:rsidRPr="00DB563D">
              <w:rPr>
                <w:b/>
                <w:bCs/>
                <w:iCs/>
                <w:noProof/>
                <w:color w:val="000000"/>
                <w:szCs w:val="20"/>
              </w:rPr>
              <w:t>Year 6 (2024)</w:t>
            </w:r>
          </w:p>
        </w:tc>
      </w:tr>
      <w:tr w:rsidR="00074D59" w:rsidRPr="001D3A2E" w:rsidTr="00FD3D25">
        <w:tc>
          <w:tcPr>
            <w:tcW w:w="2691" w:type="dxa"/>
            <w:gridSpan w:val="2"/>
            <w:tcBorders>
              <w:bottom w:val="nil"/>
            </w:tcBorders>
            <w:shd w:val="clear" w:color="auto" w:fill="auto"/>
          </w:tcPr>
          <w:p w:rsidR="00074D59" w:rsidRPr="001D3A2E" w:rsidRDefault="00074D59" w:rsidP="009E275A">
            <w:pPr>
              <w:pStyle w:val="Tabletext"/>
              <w:keepNext/>
              <w:jc w:val="both"/>
              <w:rPr>
                <w:b/>
                <w:noProof/>
              </w:rPr>
            </w:pPr>
            <w:r w:rsidRPr="001D3A2E">
              <w:rPr>
                <w:b/>
                <w:bCs/>
                <w:iCs/>
                <w:noProof/>
                <w:szCs w:val="20"/>
              </w:rPr>
              <w:t xml:space="preserve">Total patients treated </w:t>
            </w:r>
          </w:p>
        </w:tc>
        <w:tc>
          <w:tcPr>
            <w:tcW w:w="1031" w:type="dxa"/>
            <w:tcBorders>
              <w:top w:val="single" w:sz="4" w:space="0" w:color="auto"/>
              <w:left w:val="single" w:sz="4" w:space="0" w:color="auto"/>
              <w:bottom w:val="nil"/>
              <w:right w:val="single" w:sz="4" w:space="0" w:color="auto"/>
            </w:tcBorders>
            <w:shd w:val="clear" w:color="auto" w:fill="auto"/>
          </w:tcPr>
          <w:p w:rsidR="00074D59" w:rsidRPr="00D73CF2" w:rsidRDefault="00D73CF2" w:rsidP="009E275A">
            <w:pPr>
              <w:pStyle w:val="Tabletext"/>
              <w:keepNext/>
              <w:jc w:val="center"/>
              <w:rPr>
                <w:b/>
                <w:iCs/>
                <w:highlight w:val="black"/>
              </w:rPr>
            </w:pPr>
            <w:r>
              <w:rPr>
                <w:b/>
                <w:noProof/>
                <w:color w:val="000000"/>
                <w:highlight w:val="black"/>
              </w:rPr>
              <w:t>''''''''''''</w:t>
            </w:r>
          </w:p>
        </w:tc>
        <w:tc>
          <w:tcPr>
            <w:tcW w:w="1083" w:type="dxa"/>
            <w:tcBorders>
              <w:top w:val="single" w:sz="4" w:space="0" w:color="auto"/>
              <w:left w:val="nil"/>
              <w:bottom w:val="nil"/>
              <w:right w:val="single" w:sz="4" w:space="0" w:color="auto"/>
            </w:tcBorders>
            <w:shd w:val="clear" w:color="auto" w:fill="auto"/>
          </w:tcPr>
          <w:p w:rsidR="00074D59" w:rsidRPr="00D73CF2" w:rsidRDefault="00D73CF2" w:rsidP="009E275A">
            <w:pPr>
              <w:pStyle w:val="Tabletext"/>
              <w:keepNext/>
              <w:jc w:val="center"/>
              <w:rPr>
                <w:b/>
                <w:iCs/>
                <w:highlight w:val="black"/>
              </w:rPr>
            </w:pPr>
            <w:r>
              <w:rPr>
                <w:b/>
                <w:noProof/>
                <w:color w:val="000000"/>
                <w:highlight w:val="black"/>
              </w:rPr>
              <w:t>'''''''''''</w:t>
            </w:r>
          </w:p>
        </w:tc>
        <w:tc>
          <w:tcPr>
            <w:tcW w:w="1060" w:type="dxa"/>
            <w:tcBorders>
              <w:top w:val="single" w:sz="4" w:space="0" w:color="auto"/>
              <w:left w:val="nil"/>
              <w:bottom w:val="nil"/>
              <w:right w:val="single" w:sz="4" w:space="0" w:color="auto"/>
            </w:tcBorders>
            <w:shd w:val="clear" w:color="auto" w:fill="auto"/>
          </w:tcPr>
          <w:p w:rsidR="00074D59" w:rsidRPr="00D73CF2" w:rsidRDefault="00D73CF2" w:rsidP="009E275A">
            <w:pPr>
              <w:pStyle w:val="Tabletext"/>
              <w:keepNext/>
              <w:jc w:val="center"/>
              <w:rPr>
                <w:b/>
                <w:iCs/>
                <w:highlight w:val="black"/>
              </w:rPr>
            </w:pPr>
            <w:r>
              <w:rPr>
                <w:b/>
                <w:noProof/>
                <w:color w:val="000000"/>
                <w:highlight w:val="black"/>
              </w:rPr>
              <w:t>''''''''''''</w:t>
            </w:r>
          </w:p>
        </w:tc>
        <w:tc>
          <w:tcPr>
            <w:tcW w:w="1060" w:type="dxa"/>
            <w:tcBorders>
              <w:top w:val="single" w:sz="4" w:space="0" w:color="auto"/>
              <w:left w:val="nil"/>
              <w:bottom w:val="nil"/>
              <w:right w:val="single" w:sz="4" w:space="0" w:color="auto"/>
            </w:tcBorders>
            <w:shd w:val="clear" w:color="auto" w:fill="auto"/>
          </w:tcPr>
          <w:p w:rsidR="00074D59" w:rsidRPr="00D73CF2" w:rsidRDefault="00D73CF2" w:rsidP="009E275A">
            <w:pPr>
              <w:pStyle w:val="Tabletext"/>
              <w:keepNext/>
              <w:jc w:val="center"/>
              <w:rPr>
                <w:b/>
                <w:iCs/>
                <w:highlight w:val="black"/>
              </w:rPr>
            </w:pPr>
            <w:r>
              <w:rPr>
                <w:b/>
                <w:noProof/>
                <w:color w:val="000000"/>
                <w:highlight w:val="black"/>
              </w:rPr>
              <w:t>''''''''''''</w:t>
            </w:r>
          </w:p>
        </w:tc>
        <w:tc>
          <w:tcPr>
            <w:tcW w:w="1060" w:type="dxa"/>
            <w:tcBorders>
              <w:top w:val="single" w:sz="4" w:space="0" w:color="auto"/>
              <w:left w:val="nil"/>
              <w:bottom w:val="nil"/>
              <w:right w:val="single" w:sz="4" w:space="0" w:color="auto"/>
            </w:tcBorders>
            <w:shd w:val="clear" w:color="auto" w:fill="auto"/>
          </w:tcPr>
          <w:p w:rsidR="00074D59" w:rsidRPr="00D73CF2" w:rsidRDefault="00D73CF2" w:rsidP="009E275A">
            <w:pPr>
              <w:pStyle w:val="Tabletext"/>
              <w:keepNext/>
              <w:jc w:val="center"/>
              <w:rPr>
                <w:b/>
                <w:iCs/>
                <w:highlight w:val="black"/>
              </w:rPr>
            </w:pPr>
            <w:r>
              <w:rPr>
                <w:b/>
                <w:noProof/>
                <w:color w:val="000000"/>
                <w:highlight w:val="black"/>
              </w:rPr>
              <w:t>''''''''''</w:t>
            </w:r>
          </w:p>
        </w:tc>
        <w:tc>
          <w:tcPr>
            <w:tcW w:w="1032" w:type="dxa"/>
            <w:tcBorders>
              <w:top w:val="single" w:sz="4" w:space="0" w:color="auto"/>
              <w:left w:val="nil"/>
              <w:bottom w:val="nil"/>
              <w:right w:val="single" w:sz="4" w:space="0" w:color="auto"/>
            </w:tcBorders>
            <w:shd w:val="clear" w:color="auto" w:fill="auto"/>
          </w:tcPr>
          <w:p w:rsidR="00074D59" w:rsidRPr="00D73CF2" w:rsidRDefault="00D73CF2" w:rsidP="009E275A">
            <w:pPr>
              <w:pStyle w:val="Tabletext"/>
              <w:keepNext/>
              <w:jc w:val="center"/>
              <w:rPr>
                <w:b/>
                <w:iCs/>
                <w:highlight w:val="black"/>
              </w:rPr>
            </w:pPr>
            <w:r>
              <w:rPr>
                <w:b/>
                <w:noProof/>
                <w:color w:val="000000"/>
                <w:highlight w:val="black"/>
              </w:rPr>
              <w:t>''''''''''''</w:t>
            </w:r>
          </w:p>
        </w:tc>
      </w:tr>
      <w:tr w:rsidR="00041C84" w:rsidRPr="00FC4842" w:rsidTr="00FD3D25">
        <w:tc>
          <w:tcPr>
            <w:tcW w:w="2691" w:type="dxa"/>
            <w:gridSpan w:val="2"/>
            <w:tcBorders>
              <w:top w:val="nil"/>
              <w:bottom w:val="nil"/>
            </w:tcBorders>
            <w:shd w:val="clear" w:color="auto" w:fill="auto"/>
          </w:tcPr>
          <w:p w:rsidR="00041C84" w:rsidRPr="00DB563D" w:rsidRDefault="001D3A2E" w:rsidP="009E275A">
            <w:pPr>
              <w:pStyle w:val="Tabletext"/>
              <w:keepNext/>
              <w:ind w:left="112"/>
              <w:jc w:val="both"/>
              <w:rPr>
                <w:bCs/>
                <w:iCs/>
                <w:noProof/>
                <w:szCs w:val="20"/>
              </w:rPr>
            </w:pPr>
            <w:r>
              <w:rPr>
                <w:bCs/>
                <w:iCs/>
                <w:noProof/>
                <w:szCs w:val="20"/>
              </w:rPr>
              <w:t>Str</w:t>
            </w:r>
            <w:r w:rsidR="00041C84" w:rsidRPr="00DB563D">
              <w:rPr>
                <w:bCs/>
                <w:iCs/>
                <w:noProof/>
                <w:szCs w:val="20"/>
              </w:rPr>
              <w:t>oke</w:t>
            </w:r>
          </w:p>
        </w:tc>
        <w:tc>
          <w:tcPr>
            <w:tcW w:w="1031" w:type="dxa"/>
            <w:tcBorders>
              <w:top w:val="nil"/>
              <w:left w:val="single" w:sz="4" w:space="0" w:color="auto"/>
              <w:bottom w:val="nil"/>
              <w:right w:val="single" w:sz="4" w:space="0" w:color="auto"/>
            </w:tcBorders>
            <w:shd w:val="clear" w:color="auto" w:fill="auto"/>
            <w:vAlign w:val="center"/>
          </w:tcPr>
          <w:p w:rsidR="00041C8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83" w:type="dxa"/>
            <w:tcBorders>
              <w:top w:val="nil"/>
              <w:left w:val="nil"/>
              <w:bottom w:val="nil"/>
              <w:right w:val="single" w:sz="4" w:space="0" w:color="auto"/>
            </w:tcBorders>
            <w:shd w:val="clear" w:color="auto" w:fill="auto"/>
            <w:vAlign w:val="center"/>
          </w:tcPr>
          <w:p w:rsidR="00041C8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nil"/>
              <w:left w:val="nil"/>
              <w:bottom w:val="nil"/>
              <w:right w:val="single" w:sz="4" w:space="0" w:color="auto"/>
            </w:tcBorders>
            <w:shd w:val="clear" w:color="auto" w:fill="auto"/>
            <w:vAlign w:val="center"/>
          </w:tcPr>
          <w:p w:rsidR="00041C8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nil"/>
              <w:left w:val="nil"/>
              <w:bottom w:val="nil"/>
              <w:right w:val="single" w:sz="4" w:space="0" w:color="auto"/>
            </w:tcBorders>
            <w:shd w:val="clear" w:color="auto" w:fill="auto"/>
            <w:vAlign w:val="center"/>
          </w:tcPr>
          <w:p w:rsidR="00041C8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60" w:type="dxa"/>
            <w:tcBorders>
              <w:top w:val="nil"/>
              <w:left w:val="nil"/>
              <w:bottom w:val="nil"/>
              <w:right w:val="single" w:sz="4" w:space="0" w:color="auto"/>
            </w:tcBorders>
            <w:shd w:val="clear" w:color="auto" w:fill="auto"/>
            <w:vAlign w:val="center"/>
          </w:tcPr>
          <w:p w:rsidR="00041C8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c>
          <w:tcPr>
            <w:tcW w:w="1032" w:type="dxa"/>
            <w:tcBorders>
              <w:top w:val="nil"/>
              <w:left w:val="nil"/>
              <w:bottom w:val="nil"/>
              <w:right w:val="single" w:sz="4" w:space="0" w:color="auto"/>
            </w:tcBorders>
            <w:shd w:val="clear" w:color="auto" w:fill="auto"/>
            <w:vAlign w:val="center"/>
          </w:tcPr>
          <w:p w:rsidR="00041C84" w:rsidRPr="00D73CF2" w:rsidRDefault="00D73CF2" w:rsidP="009E275A">
            <w:pPr>
              <w:pStyle w:val="Tabletext"/>
              <w:keepNext/>
              <w:jc w:val="center"/>
              <w:rPr>
                <w:bCs/>
                <w:iCs/>
                <w:noProof/>
                <w:color w:val="000000"/>
                <w:szCs w:val="20"/>
                <w:highlight w:val="black"/>
              </w:rPr>
            </w:pPr>
            <w:r>
              <w:rPr>
                <w:bCs/>
                <w:iCs/>
                <w:noProof/>
                <w:color w:val="000000"/>
                <w:szCs w:val="20"/>
                <w:highlight w:val="black"/>
              </w:rPr>
              <w:t>'''''''''''''</w:t>
            </w:r>
          </w:p>
        </w:tc>
      </w:tr>
      <w:tr w:rsidR="00251618" w:rsidRPr="00FC4842" w:rsidTr="00FD3D25">
        <w:tc>
          <w:tcPr>
            <w:tcW w:w="2691" w:type="dxa"/>
            <w:gridSpan w:val="2"/>
            <w:tcBorders>
              <w:top w:val="nil"/>
              <w:bottom w:val="single" w:sz="4" w:space="0" w:color="auto"/>
            </w:tcBorders>
            <w:shd w:val="clear" w:color="auto" w:fill="auto"/>
          </w:tcPr>
          <w:p w:rsidR="00251618" w:rsidRPr="00DB563D" w:rsidRDefault="001D3A2E" w:rsidP="009E275A">
            <w:pPr>
              <w:pStyle w:val="Tabletext"/>
              <w:keepNext/>
              <w:ind w:left="112"/>
              <w:jc w:val="both"/>
              <w:rPr>
                <w:bCs/>
                <w:iCs/>
                <w:noProof/>
                <w:szCs w:val="20"/>
              </w:rPr>
            </w:pPr>
            <w:r>
              <w:rPr>
                <w:bCs/>
                <w:iCs/>
                <w:noProof/>
                <w:szCs w:val="20"/>
              </w:rPr>
              <w:t>O</w:t>
            </w:r>
            <w:r w:rsidR="00251618" w:rsidRPr="00DB563D">
              <w:rPr>
                <w:bCs/>
                <w:iCs/>
                <w:noProof/>
                <w:szCs w:val="20"/>
              </w:rPr>
              <w:t>ther aeteologies</w:t>
            </w:r>
          </w:p>
        </w:tc>
        <w:tc>
          <w:tcPr>
            <w:tcW w:w="1031" w:type="dxa"/>
            <w:tcBorders>
              <w:top w:val="nil"/>
              <w:left w:val="single" w:sz="4" w:space="0" w:color="auto"/>
              <w:bottom w:val="single" w:sz="4" w:space="0" w:color="auto"/>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83" w:type="dxa"/>
            <w:tcBorders>
              <w:top w:val="nil"/>
              <w:left w:val="nil"/>
              <w:bottom w:val="single" w:sz="4" w:space="0" w:color="auto"/>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32" w:type="dxa"/>
            <w:tcBorders>
              <w:top w:val="nil"/>
              <w:left w:val="nil"/>
              <w:bottom w:val="single" w:sz="4" w:space="0" w:color="auto"/>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r>
      <w:tr w:rsidR="00251618" w:rsidRPr="00FC4842" w:rsidTr="00FD3D25">
        <w:tc>
          <w:tcPr>
            <w:tcW w:w="2691" w:type="dxa"/>
            <w:gridSpan w:val="2"/>
            <w:tcBorders>
              <w:bottom w:val="nil"/>
            </w:tcBorders>
            <w:shd w:val="clear" w:color="auto" w:fill="auto"/>
          </w:tcPr>
          <w:p w:rsidR="00251618" w:rsidRPr="00DB563D" w:rsidRDefault="00251618" w:rsidP="009E275A">
            <w:pPr>
              <w:pStyle w:val="Tabletext"/>
              <w:keepNext/>
              <w:jc w:val="both"/>
              <w:rPr>
                <w:noProof/>
              </w:rPr>
            </w:pPr>
            <w:r w:rsidRPr="00DB563D">
              <w:rPr>
                <w:bCs/>
                <w:iCs/>
                <w:noProof/>
                <w:szCs w:val="20"/>
              </w:rPr>
              <w:t xml:space="preserve">Total </w:t>
            </w:r>
            <w:r w:rsidR="00057611">
              <w:rPr>
                <w:bCs/>
                <w:iCs/>
                <w:noProof/>
                <w:szCs w:val="20"/>
              </w:rPr>
              <w:t>Dysport</w:t>
            </w:r>
            <w:r w:rsidR="001A35D3" w:rsidRPr="00FA6E19">
              <w:rPr>
                <w:vertAlign w:val="superscript"/>
              </w:rPr>
              <w:t>®</w:t>
            </w:r>
            <w:r w:rsidR="001A35D3">
              <w:rPr>
                <w:vertAlign w:val="superscript"/>
              </w:rPr>
              <w:t xml:space="preserve"> </w:t>
            </w:r>
            <w:r w:rsidRPr="00DB563D">
              <w:rPr>
                <w:bCs/>
                <w:iCs/>
                <w:noProof/>
                <w:szCs w:val="20"/>
              </w:rPr>
              <w:t>services</w:t>
            </w:r>
          </w:p>
        </w:tc>
        <w:tc>
          <w:tcPr>
            <w:tcW w:w="1031" w:type="dxa"/>
            <w:tcBorders>
              <w:top w:val="single" w:sz="4" w:space="0" w:color="auto"/>
              <w:left w:val="single" w:sz="4" w:space="0" w:color="auto"/>
              <w:bottom w:val="nil"/>
              <w:right w:val="single" w:sz="4" w:space="0" w:color="auto"/>
            </w:tcBorders>
            <w:shd w:val="clear" w:color="auto" w:fill="auto"/>
          </w:tcPr>
          <w:p w:rsidR="00251618" w:rsidRPr="00D73CF2" w:rsidRDefault="00D73CF2" w:rsidP="009E275A">
            <w:pPr>
              <w:pStyle w:val="Tabletext"/>
              <w:keepNext/>
              <w:jc w:val="center"/>
              <w:rPr>
                <w:iCs/>
                <w:highlight w:val="black"/>
              </w:rPr>
            </w:pPr>
            <w:r>
              <w:rPr>
                <w:noProof/>
                <w:color w:val="000000"/>
                <w:highlight w:val="black"/>
              </w:rPr>
              <w:t>'''''''''''''</w:t>
            </w:r>
          </w:p>
        </w:tc>
        <w:tc>
          <w:tcPr>
            <w:tcW w:w="1083" w:type="dxa"/>
            <w:tcBorders>
              <w:top w:val="single" w:sz="4" w:space="0" w:color="auto"/>
              <w:left w:val="nil"/>
              <w:bottom w:val="nil"/>
              <w:right w:val="single" w:sz="4" w:space="0" w:color="auto"/>
            </w:tcBorders>
            <w:shd w:val="clear" w:color="auto" w:fill="auto"/>
          </w:tcPr>
          <w:p w:rsidR="00251618" w:rsidRPr="00D73CF2" w:rsidRDefault="00D73CF2" w:rsidP="009E275A">
            <w:pPr>
              <w:pStyle w:val="Tabletext"/>
              <w:keepNext/>
              <w:jc w:val="center"/>
              <w:rPr>
                <w:iCs/>
                <w:highlight w:val="black"/>
              </w:rPr>
            </w:pPr>
            <w:r>
              <w:rPr>
                <w:noProof/>
                <w:color w:val="000000"/>
                <w:highlight w:val="black"/>
              </w:rPr>
              <w:t>''''''''''''</w:t>
            </w:r>
          </w:p>
        </w:tc>
        <w:tc>
          <w:tcPr>
            <w:tcW w:w="1060" w:type="dxa"/>
            <w:tcBorders>
              <w:top w:val="single" w:sz="4" w:space="0" w:color="auto"/>
              <w:left w:val="nil"/>
              <w:bottom w:val="nil"/>
              <w:right w:val="single" w:sz="4" w:space="0" w:color="auto"/>
            </w:tcBorders>
            <w:shd w:val="clear" w:color="auto" w:fill="auto"/>
          </w:tcPr>
          <w:p w:rsidR="00251618" w:rsidRPr="00D73CF2" w:rsidRDefault="00D73CF2" w:rsidP="009E275A">
            <w:pPr>
              <w:pStyle w:val="Tabletext"/>
              <w:keepNext/>
              <w:jc w:val="center"/>
              <w:rPr>
                <w:iCs/>
                <w:highlight w:val="black"/>
              </w:rPr>
            </w:pPr>
            <w:r>
              <w:rPr>
                <w:noProof/>
                <w:color w:val="000000"/>
                <w:highlight w:val="black"/>
              </w:rPr>
              <w:t>''''''''''''''''</w:t>
            </w:r>
          </w:p>
        </w:tc>
        <w:tc>
          <w:tcPr>
            <w:tcW w:w="1060" w:type="dxa"/>
            <w:tcBorders>
              <w:top w:val="single" w:sz="4" w:space="0" w:color="auto"/>
              <w:left w:val="nil"/>
              <w:bottom w:val="nil"/>
              <w:right w:val="single" w:sz="4" w:space="0" w:color="auto"/>
            </w:tcBorders>
            <w:shd w:val="clear" w:color="auto" w:fill="auto"/>
          </w:tcPr>
          <w:p w:rsidR="00251618" w:rsidRPr="00D73CF2" w:rsidRDefault="00D73CF2" w:rsidP="009E275A">
            <w:pPr>
              <w:pStyle w:val="Tabletext"/>
              <w:keepNext/>
              <w:jc w:val="center"/>
              <w:rPr>
                <w:iCs/>
                <w:highlight w:val="black"/>
              </w:rPr>
            </w:pPr>
            <w:r>
              <w:rPr>
                <w:noProof/>
                <w:color w:val="000000"/>
                <w:highlight w:val="black"/>
              </w:rPr>
              <w:t>'''''''''''''''</w:t>
            </w:r>
          </w:p>
        </w:tc>
        <w:tc>
          <w:tcPr>
            <w:tcW w:w="1060" w:type="dxa"/>
            <w:tcBorders>
              <w:top w:val="single" w:sz="4" w:space="0" w:color="auto"/>
              <w:left w:val="nil"/>
              <w:bottom w:val="nil"/>
              <w:right w:val="single" w:sz="4" w:space="0" w:color="auto"/>
            </w:tcBorders>
            <w:shd w:val="clear" w:color="auto" w:fill="auto"/>
          </w:tcPr>
          <w:p w:rsidR="00251618" w:rsidRPr="00D73CF2" w:rsidRDefault="00D73CF2" w:rsidP="009E275A">
            <w:pPr>
              <w:pStyle w:val="Tabletext"/>
              <w:keepNext/>
              <w:jc w:val="center"/>
              <w:rPr>
                <w:iCs/>
                <w:highlight w:val="black"/>
              </w:rPr>
            </w:pPr>
            <w:r>
              <w:rPr>
                <w:noProof/>
                <w:color w:val="000000"/>
                <w:highlight w:val="black"/>
              </w:rPr>
              <w:t>'''''''''''''''</w:t>
            </w:r>
          </w:p>
        </w:tc>
        <w:tc>
          <w:tcPr>
            <w:tcW w:w="1032" w:type="dxa"/>
            <w:tcBorders>
              <w:top w:val="single" w:sz="4" w:space="0" w:color="auto"/>
              <w:left w:val="nil"/>
              <w:bottom w:val="nil"/>
              <w:right w:val="single" w:sz="4" w:space="0" w:color="auto"/>
            </w:tcBorders>
            <w:shd w:val="clear" w:color="auto" w:fill="auto"/>
          </w:tcPr>
          <w:p w:rsidR="00251618" w:rsidRPr="00D73CF2" w:rsidRDefault="00D73CF2" w:rsidP="009E275A">
            <w:pPr>
              <w:pStyle w:val="Tabletext"/>
              <w:keepNext/>
              <w:jc w:val="center"/>
              <w:rPr>
                <w:iCs/>
                <w:highlight w:val="black"/>
              </w:rPr>
            </w:pPr>
            <w:r>
              <w:rPr>
                <w:noProof/>
                <w:color w:val="000000"/>
                <w:highlight w:val="black"/>
              </w:rPr>
              <w:t>'''''''''''''''''</w:t>
            </w:r>
          </w:p>
        </w:tc>
      </w:tr>
      <w:tr w:rsidR="00251618" w:rsidRPr="00FC4842" w:rsidTr="00FD3D25">
        <w:tc>
          <w:tcPr>
            <w:tcW w:w="2691" w:type="dxa"/>
            <w:gridSpan w:val="2"/>
            <w:tcBorders>
              <w:top w:val="nil"/>
              <w:bottom w:val="nil"/>
            </w:tcBorders>
            <w:shd w:val="clear" w:color="auto" w:fill="auto"/>
          </w:tcPr>
          <w:p w:rsidR="00251618" w:rsidRPr="00DB563D" w:rsidRDefault="001D3A2E" w:rsidP="009E275A">
            <w:pPr>
              <w:pStyle w:val="Tabletext"/>
              <w:keepNext/>
              <w:ind w:left="112"/>
              <w:jc w:val="both"/>
              <w:rPr>
                <w:bCs/>
                <w:iCs/>
                <w:noProof/>
                <w:szCs w:val="20"/>
              </w:rPr>
            </w:pPr>
            <w:r>
              <w:rPr>
                <w:bCs/>
                <w:iCs/>
                <w:noProof/>
                <w:szCs w:val="20"/>
              </w:rPr>
              <w:t>S</w:t>
            </w:r>
            <w:r w:rsidR="00251618" w:rsidRPr="00DB563D">
              <w:rPr>
                <w:bCs/>
                <w:iCs/>
                <w:noProof/>
                <w:szCs w:val="20"/>
              </w:rPr>
              <w:t>troke</w:t>
            </w:r>
          </w:p>
        </w:tc>
        <w:tc>
          <w:tcPr>
            <w:tcW w:w="1031" w:type="dxa"/>
            <w:tcBorders>
              <w:top w:val="nil"/>
              <w:left w:val="single" w:sz="4" w:space="0" w:color="auto"/>
              <w:bottom w:val="nil"/>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83" w:type="dxa"/>
            <w:tcBorders>
              <w:top w:val="nil"/>
              <w:left w:val="nil"/>
              <w:bottom w:val="nil"/>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60" w:type="dxa"/>
            <w:tcBorders>
              <w:top w:val="nil"/>
              <w:left w:val="nil"/>
              <w:bottom w:val="nil"/>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 xml:space="preserve">''''''''''''' </w:t>
            </w:r>
          </w:p>
        </w:tc>
        <w:tc>
          <w:tcPr>
            <w:tcW w:w="1060" w:type="dxa"/>
            <w:tcBorders>
              <w:top w:val="nil"/>
              <w:left w:val="nil"/>
              <w:bottom w:val="nil"/>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 xml:space="preserve">''''''''''''' </w:t>
            </w:r>
          </w:p>
        </w:tc>
        <w:tc>
          <w:tcPr>
            <w:tcW w:w="1060" w:type="dxa"/>
            <w:tcBorders>
              <w:top w:val="nil"/>
              <w:left w:val="nil"/>
              <w:bottom w:val="nil"/>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c>
          <w:tcPr>
            <w:tcW w:w="1032" w:type="dxa"/>
            <w:tcBorders>
              <w:top w:val="nil"/>
              <w:left w:val="nil"/>
              <w:bottom w:val="nil"/>
              <w:right w:val="single" w:sz="4" w:space="0" w:color="auto"/>
            </w:tcBorders>
            <w:shd w:val="clear" w:color="auto" w:fill="auto"/>
          </w:tcPr>
          <w:p w:rsidR="00251618" w:rsidRPr="00D73CF2" w:rsidRDefault="00D73CF2" w:rsidP="009E275A">
            <w:pPr>
              <w:pStyle w:val="Tabletext"/>
              <w:keepNext/>
              <w:jc w:val="center"/>
              <w:rPr>
                <w:bCs/>
                <w:iCs/>
                <w:noProof/>
                <w:color w:val="000000"/>
                <w:szCs w:val="20"/>
                <w:highlight w:val="black"/>
              </w:rPr>
            </w:pPr>
            <w:r>
              <w:rPr>
                <w:iCs/>
                <w:noProof/>
                <w:color w:val="000000"/>
                <w:highlight w:val="black"/>
              </w:rPr>
              <w:t>''''''''''''''</w:t>
            </w:r>
          </w:p>
        </w:tc>
      </w:tr>
      <w:tr w:rsidR="00251618" w:rsidRPr="00FC4842" w:rsidTr="00FD3D25">
        <w:tc>
          <w:tcPr>
            <w:tcW w:w="2691" w:type="dxa"/>
            <w:gridSpan w:val="2"/>
            <w:tcBorders>
              <w:top w:val="nil"/>
              <w:bottom w:val="single" w:sz="4" w:space="0" w:color="auto"/>
            </w:tcBorders>
            <w:shd w:val="clear" w:color="auto" w:fill="auto"/>
          </w:tcPr>
          <w:p w:rsidR="00251618" w:rsidRPr="00DB563D" w:rsidRDefault="001D3A2E" w:rsidP="001D3A2E">
            <w:pPr>
              <w:pStyle w:val="Tabletext"/>
              <w:ind w:left="112"/>
              <w:jc w:val="both"/>
              <w:rPr>
                <w:bCs/>
                <w:iCs/>
                <w:noProof/>
                <w:szCs w:val="20"/>
              </w:rPr>
            </w:pPr>
            <w:r>
              <w:rPr>
                <w:bCs/>
                <w:iCs/>
                <w:noProof/>
                <w:szCs w:val="20"/>
              </w:rPr>
              <w:t>O</w:t>
            </w:r>
            <w:r w:rsidR="00251618" w:rsidRPr="00DB563D">
              <w:rPr>
                <w:bCs/>
                <w:iCs/>
                <w:noProof/>
                <w:szCs w:val="20"/>
              </w:rPr>
              <w:t>ther aeteologies</w:t>
            </w:r>
          </w:p>
        </w:tc>
        <w:tc>
          <w:tcPr>
            <w:tcW w:w="1031" w:type="dxa"/>
            <w:tcBorders>
              <w:top w:val="nil"/>
              <w:left w:val="single" w:sz="4" w:space="0" w:color="auto"/>
              <w:bottom w:val="single" w:sz="4" w:space="0" w:color="auto"/>
              <w:right w:val="single" w:sz="4" w:space="0" w:color="auto"/>
            </w:tcBorders>
            <w:shd w:val="clear" w:color="auto" w:fill="auto"/>
          </w:tcPr>
          <w:p w:rsidR="00251618" w:rsidRPr="00D73CF2" w:rsidRDefault="00D73CF2" w:rsidP="00251618">
            <w:pPr>
              <w:pStyle w:val="Tabletext"/>
              <w:jc w:val="center"/>
              <w:rPr>
                <w:bCs/>
                <w:iCs/>
                <w:noProof/>
                <w:color w:val="000000"/>
                <w:szCs w:val="20"/>
                <w:highlight w:val="black"/>
              </w:rPr>
            </w:pPr>
            <w:r>
              <w:rPr>
                <w:iCs/>
                <w:noProof/>
                <w:color w:val="000000"/>
                <w:highlight w:val="black"/>
              </w:rPr>
              <w:t>''''''''''''</w:t>
            </w:r>
          </w:p>
        </w:tc>
        <w:tc>
          <w:tcPr>
            <w:tcW w:w="1083" w:type="dxa"/>
            <w:tcBorders>
              <w:top w:val="nil"/>
              <w:left w:val="nil"/>
              <w:bottom w:val="single" w:sz="4" w:space="0" w:color="auto"/>
              <w:right w:val="single" w:sz="4" w:space="0" w:color="auto"/>
            </w:tcBorders>
            <w:shd w:val="clear" w:color="auto" w:fill="auto"/>
          </w:tcPr>
          <w:p w:rsidR="00251618" w:rsidRPr="00D73CF2" w:rsidRDefault="00D73CF2" w:rsidP="00251618">
            <w:pPr>
              <w:pStyle w:val="Tabletext"/>
              <w:jc w:val="center"/>
              <w:rPr>
                <w:bCs/>
                <w:iCs/>
                <w:noProof/>
                <w:color w:val="000000"/>
                <w:szCs w:val="20"/>
                <w:highlight w:val="black"/>
              </w:rPr>
            </w:pPr>
            <w:r>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tcPr>
          <w:p w:rsidR="00251618" w:rsidRPr="00D73CF2" w:rsidRDefault="00D73CF2" w:rsidP="00251618">
            <w:pPr>
              <w:pStyle w:val="Tabletext"/>
              <w:jc w:val="center"/>
              <w:rPr>
                <w:bCs/>
                <w:iCs/>
                <w:noProof/>
                <w:color w:val="000000"/>
                <w:szCs w:val="20"/>
                <w:highlight w:val="black"/>
              </w:rPr>
            </w:pPr>
            <w:r>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tcPr>
          <w:p w:rsidR="00251618" w:rsidRPr="00D73CF2" w:rsidRDefault="00D73CF2" w:rsidP="00251618">
            <w:pPr>
              <w:pStyle w:val="Tabletext"/>
              <w:jc w:val="center"/>
              <w:rPr>
                <w:bCs/>
                <w:iCs/>
                <w:noProof/>
                <w:color w:val="000000"/>
                <w:szCs w:val="20"/>
                <w:highlight w:val="black"/>
              </w:rPr>
            </w:pPr>
            <w:r>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tcPr>
          <w:p w:rsidR="00251618" w:rsidRPr="00D73CF2" w:rsidRDefault="00D73CF2" w:rsidP="00251618">
            <w:pPr>
              <w:pStyle w:val="Tabletext"/>
              <w:jc w:val="center"/>
              <w:rPr>
                <w:bCs/>
                <w:iCs/>
                <w:noProof/>
                <w:color w:val="000000"/>
                <w:szCs w:val="20"/>
                <w:highlight w:val="black"/>
              </w:rPr>
            </w:pPr>
            <w:r>
              <w:rPr>
                <w:iCs/>
                <w:noProof/>
                <w:color w:val="000000"/>
                <w:highlight w:val="black"/>
              </w:rPr>
              <w:t>'''''''''''''</w:t>
            </w:r>
          </w:p>
        </w:tc>
        <w:tc>
          <w:tcPr>
            <w:tcW w:w="1032" w:type="dxa"/>
            <w:tcBorders>
              <w:top w:val="nil"/>
              <w:left w:val="nil"/>
              <w:bottom w:val="single" w:sz="4" w:space="0" w:color="auto"/>
              <w:right w:val="single" w:sz="4" w:space="0" w:color="auto"/>
            </w:tcBorders>
            <w:shd w:val="clear" w:color="auto" w:fill="auto"/>
          </w:tcPr>
          <w:p w:rsidR="00251618" w:rsidRPr="00D73CF2" w:rsidRDefault="00D73CF2" w:rsidP="00251618">
            <w:pPr>
              <w:pStyle w:val="Tabletext"/>
              <w:jc w:val="center"/>
              <w:rPr>
                <w:bCs/>
                <w:iCs/>
                <w:noProof/>
                <w:color w:val="000000"/>
                <w:szCs w:val="20"/>
                <w:highlight w:val="black"/>
              </w:rPr>
            </w:pPr>
            <w:r>
              <w:rPr>
                <w:iCs/>
                <w:noProof/>
                <w:color w:val="000000"/>
                <w:highlight w:val="black"/>
              </w:rPr>
              <w:t>''''''''''''</w:t>
            </w:r>
          </w:p>
        </w:tc>
      </w:tr>
      <w:tr w:rsidR="002A0886" w:rsidRPr="001D3A2E" w:rsidTr="00FD3D25">
        <w:tc>
          <w:tcPr>
            <w:tcW w:w="2691" w:type="dxa"/>
            <w:gridSpan w:val="2"/>
            <w:tcBorders>
              <w:bottom w:val="nil"/>
            </w:tcBorders>
            <w:shd w:val="clear" w:color="auto" w:fill="auto"/>
          </w:tcPr>
          <w:p w:rsidR="002A0886" w:rsidRPr="001D3A2E" w:rsidRDefault="002A0886" w:rsidP="002A0886">
            <w:pPr>
              <w:pStyle w:val="Tabletext"/>
              <w:jc w:val="both"/>
              <w:rPr>
                <w:b/>
                <w:noProof/>
              </w:rPr>
            </w:pPr>
            <w:r w:rsidRPr="001D3A2E">
              <w:rPr>
                <w:b/>
                <w:iCs/>
                <w:noProof/>
                <w:szCs w:val="20"/>
              </w:rPr>
              <w:t xml:space="preserve">Net </w:t>
            </w:r>
            <w:r w:rsidR="001D3A2E">
              <w:rPr>
                <w:b/>
                <w:iCs/>
                <w:noProof/>
                <w:szCs w:val="20"/>
              </w:rPr>
              <w:t xml:space="preserve">cost to </w:t>
            </w:r>
            <w:r w:rsidRPr="001D3A2E">
              <w:rPr>
                <w:b/>
                <w:iCs/>
                <w:noProof/>
                <w:szCs w:val="20"/>
              </w:rPr>
              <w:t>PBS/RPBS</w:t>
            </w:r>
          </w:p>
        </w:tc>
        <w:tc>
          <w:tcPr>
            <w:tcW w:w="1031" w:type="dxa"/>
            <w:tcBorders>
              <w:top w:val="single" w:sz="4" w:space="0" w:color="auto"/>
              <w:left w:val="single" w:sz="4" w:space="0" w:color="auto"/>
              <w:bottom w:val="nil"/>
              <w:right w:val="single" w:sz="4" w:space="0" w:color="auto"/>
            </w:tcBorders>
            <w:shd w:val="clear" w:color="auto" w:fill="auto"/>
            <w:vAlign w:val="center"/>
          </w:tcPr>
          <w:p w:rsidR="002A0886" w:rsidRPr="001D3A2E" w:rsidRDefault="002A0886" w:rsidP="002A0886">
            <w:pPr>
              <w:pStyle w:val="Tabletext"/>
              <w:jc w:val="center"/>
              <w:rPr>
                <w:b/>
                <w:iCs/>
              </w:rPr>
            </w:pPr>
            <w:r w:rsidRPr="001D3A2E">
              <w:rPr>
                <w:b/>
                <w:iCs/>
              </w:rPr>
              <w:t>$</w:t>
            </w:r>
            <w:r w:rsidR="00D73CF2">
              <w:rPr>
                <w:b/>
                <w:iCs/>
                <w:noProof/>
                <w:color w:val="000000"/>
                <w:highlight w:val="black"/>
              </w:rPr>
              <w:t>'''''''''''''''''''''</w:t>
            </w:r>
          </w:p>
        </w:tc>
        <w:tc>
          <w:tcPr>
            <w:tcW w:w="1083" w:type="dxa"/>
            <w:tcBorders>
              <w:top w:val="single" w:sz="4" w:space="0" w:color="auto"/>
              <w:left w:val="nil"/>
              <w:bottom w:val="nil"/>
              <w:right w:val="single" w:sz="4" w:space="0" w:color="auto"/>
            </w:tcBorders>
            <w:shd w:val="clear" w:color="auto" w:fill="auto"/>
            <w:vAlign w:val="center"/>
          </w:tcPr>
          <w:p w:rsidR="002A0886" w:rsidRPr="001D3A2E" w:rsidRDefault="002A0886" w:rsidP="002A0886">
            <w:pPr>
              <w:pStyle w:val="Tabletext"/>
              <w:jc w:val="center"/>
              <w:rPr>
                <w:b/>
                <w:iCs/>
              </w:rPr>
            </w:pPr>
            <w:r w:rsidRPr="001D3A2E">
              <w:rPr>
                <w:b/>
                <w:iCs/>
              </w:rPr>
              <w:t>$</w:t>
            </w:r>
            <w:r w:rsidR="00D73CF2">
              <w:rPr>
                <w:b/>
                <w:iCs/>
                <w:noProof/>
                <w:color w:val="000000"/>
                <w:highlight w:val="black"/>
              </w:rPr>
              <w:t>'''''''''''''''''''''</w:t>
            </w:r>
          </w:p>
        </w:tc>
        <w:tc>
          <w:tcPr>
            <w:tcW w:w="1060" w:type="dxa"/>
            <w:tcBorders>
              <w:top w:val="single" w:sz="4" w:space="0" w:color="auto"/>
              <w:left w:val="nil"/>
              <w:bottom w:val="nil"/>
              <w:right w:val="single" w:sz="4" w:space="0" w:color="auto"/>
            </w:tcBorders>
            <w:shd w:val="clear" w:color="auto" w:fill="auto"/>
            <w:vAlign w:val="center"/>
          </w:tcPr>
          <w:p w:rsidR="002A0886" w:rsidRPr="001D3A2E" w:rsidRDefault="002A0886" w:rsidP="002A0886">
            <w:pPr>
              <w:pStyle w:val="Tabletext"/>
              <w:jc w:val="center"/>
              <w:rPr>
                <w:b/>
                <w:iCs/>
              </w:rPr>
            </w:pPr>
            <w:r w:rsidRPr="001D3A2E">
              <w:rPr>
                <w:b/>
                <w:iCs/>
              </w:rPr>
              <w:t>$</w:t>
            </w:r>
            <w:r w:rsidR="00D73CF2">
              <w:rPr>
                <w:b/>
                <w:iCs/>
                <w:noProof/>
                <w:color w:val="000000"/>
                <w:highlight w:val="black"/>
              </w:rPr>
              <w:t>''''''''''''''''''''</w:t>
            </w:r>
          </w:p>
        </w:tc>
        <w:tc>
          <w:tcPr>
            <w:tcW w:w="1060" w:type="dxa"/>
            <w:tcBorders>
              <w:top w:val="single" w:sz="4" w:space="0" w:color="auto"/>
              <w:left w:val="nil"/>
              <w:bottom w:val="nil"/>
              <w:right w:val="single" w:sz="4" w:space="0" w:color="auto"/>
            </w:tcBorders>
            <w:shd w:val="clear" w:color="auto" w:fill="auto"/>
            <w:vAlign w:val="center"/>
          </w:tcPr>
          <w:p w:rsidR="002A0886" w:rsidRPr="001D3A2E" w:rsidRDefault="002A0886" w:rsidP="002A0886">
            <w:pPr>
              <w:pStyle w:val="Tabletext"/>
              <w:jc w:val="center"/>
              <w:rPr>
                <w:b/>
                <w:iCs/>
              </w:rPr>
            </w:pPr>
            <w:r w:rsidRPr="001D3A2E">
              <w:rPr>
                <w:b/>
                <w:iCs/>
              </w:rPr>
              <w:t>$</w:t>
            </w:r>
            <w:r w:rsidR="00D73CF2">
              <w:rPr>
                <w:b/>
                <w:iCs/>
                <w:noProof/>
                <w:color w:val="000000"/>
                <w:highlight w:val="black"/>
              </w:rPr>
              <w:t>''''''''''''''''''''''</w:t>
            </w:r>
          </w:p>
        </w:tc>
        <w:tc>
          <w:tcPr>
            <w:tcW w:w="1060" w:type="dxa"/>
            <w:tcBorders>
              <w:top w:val="single" w:sz="4" w:space="0" w:color="auto"/>
              <w:left w:val="nil"/>
              <w:bottom w:val="nil"/>
              <w:right w:val="single" w:sz="4" w:space="0" w:color="auto"/>
            </w:tcBorders>
            <w:shd w:val="clear" w:color="auto" w:fill="auto"/>
            <w:vAlign w:val="center"/>
          </w:tcPr>
          <w:p w:rsidR="002A0886" w:rsidRPr="001D3A2E" w:rsidRDefault="002A0886" w:rsidP="002A0886">
            <w:pPr>
              <w:pStyle w:val="Tabletext"/>
              <w:jc w:val="center"/>
              <w:rPr>
                <w:b/>
                <w:iCs/>
              </w:rPr>
            </w:pPr>
            <w:r w:rsidRPr="001D3A2E">
              <w:rPr>
                <w:b/>
                <w:iCs/>
              </w:rPr>
              <w:t>$</w:t>
            </w:r>
            <w:r w:rsidR="00D73CF2">
              <w:rPr>
                <w:b/>
                <w:iCs/>
                <w:noProof/>
                <w:color w:val="000000"/>
                <w:highlight w:val="black"/>
              </w:rPr>
              <w:t>''''''''''''''''''''''</w:t>
            </w:r>
          </w:p>
        </w:tc>
        <w:tc>
          <w:tcPr>
            <w:tcW w:w="1032" w:type="dxa"/>
            <w:tcBorders>
              <w:top w:val="single" w:sz="4" w:space="0" w:color="auto"/>
              <w:left w:val="nil"/>
              <w:bottom w:val="nil"/>
              <w:right w:val="single" w:sz="4" w:space="0" w:color="auto"/>
            </w:tcBorders>
            <w:shd w:val="clear" w:color="auto" w:fill="auto"/>
            <w:vAlign w:val="center"/>
          </w:tcPr>
          <w:p w:rsidR="002A0886" w:rsidRPr="001D3A2E" w:rsidRDefault="002A0886" w:rsidP="002A0886">
            <w:pPr>
              <w:pStyle w:val="Tabletext"/>
              <w:jc w:val="center"/>
              <w:rPr>
                <w:b/>
                <w:iCs/>
              </w:rPr>
            </w:pPr>
            <w:r w:rsidRPr="001D3A2E">
              <w:rPr>
                <w:b/>
                <w:iCs/>
              </w:rPr>
              <w:t>$</w:t>
            </w:r>
            <w:r w:rsidR="00D73CF2">
              <w:rPr>
                <w:b/>
                <w:iCs/>
                <w:noProof/>
                <w:color w:val="000000"/>
                <w:highlight w:val="black"/>
              </w:rPr>
              <w:t>''''''''''''''''''''''</w:t>
            </w:r>
          </w:p>
        </w:tc>
      </w:tr>
      <w:tr w:rsidR="00041C84" w:rsidRPr="00FC4842" w:rsidTr="00FD3D25">
        <w:tc>
          <w:tcPr>
            <w:tcW w:w="2691" w:type="dxa"/>
            <w:gridSpan w:val="2"/>
            <w:tcBorders>
              <w:top w:val="nil"/>
              <w:bottom w:val="nil"/>
            </w:tcBorders>
            <w:shd w:val="clear" w:color="auto" w:fill="auto"/>
          </w:tcPr>
          <w:p w:rsidR="00041C84" w:rsidRPr="00DB563D" w:rsidRDefault="001D3A2E" w:rsidP="001D3A2E">
            <w:pPr>
              <w:pStyle w:val="Tabletext"/>
              <w:ind w:left="112"/>
              <w:jc w:val="both"/>
              <w:rPr>
                <w:iCs/>
                <w:noProof/>
                <w:szCs w:val="20"/>
              </w:rPr>
            </w:pPr>
            <w:r>
              <w:rPr>
                <w:bCs/>
                <w:iCs/>
                <w:noProof/>
                <w:szCs w:val="20"/>
              </w:rPr>
              <w:t>St</w:t>
            </w:r>
            <w:r w:rsidR="00041C84" w:rsidRPr="00DB563D">
              <w:rPr>
                <w:bCs/>
                <w:iCs/>
                <w:noProof/>
                <w:szCs w:val="20"/>
              </w:rPr>
              <w:t>roke</w:t>
            </w:r>
          </w:p>
        </w:tc>
        <w:tc>
          <w:tcPr>
            <w:tcW w:w="1031" w:type="dxa"/>
            <w:tcBorders>
              <w:top w:val="nil"/>
              <w:left w:val="single" w:sz="4" w:space="0" w:color="auto"/>
              <w:bottom w:val="nil"/>
              <w:right w:val="single" w:sz="4" w:space="0" w:color="auto"/>
            </w:tcBorders>
            <w:shd w:val="clear" w:color="auto" w:fill="auto"/>
            <w:vAlign w:val="center"/>
          </w:tcPr>
          <w:p w:rsidR="00041C84" w:rsidRPr="00DB563D" w:rsidRDefault="00041C84" w:rsidP="00041C84">
            <w:pPr>
              <w:pStyle w:val="Tabletext"/>
              <w:jc w:val="center"/>
              <w:rPr>
                <w:iCs/>
                <w:szCs w:val="20"/>
              </w:rPr>
            </w:pPr>
            <w:r w:rsidRPr="00DB563D">
              <w:rPr>
                <w:iCs/>
                <w:szCs w:val="20"/>
              </w:rPr>
              <w:t>$</w:t>
            </w:r>
            <w:r w:rsidR="00D73CF2">
              <w:rPr>
                <w:iCs/>
                <w:noProof/>
                <w:color w:val="000000"/>
                <w:szCs w:val="20"/>
                <w:highlight w:val="black"/>
              </w:rPr>
              <w:t>'''''''''''''''''''''''''</w:t>
            </w:r>
          </w:p>
        </w:tc>
        <w:tc>
          <w:tcPr>
            <w:tcW w:w="1083"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szCs w:val="20"/>
              </w:rPr>
            </w:pPr>
            <w:r w:rsidRPr="00DB563D">
              <w:rPr>
                <w:iCs/>
                <w:szCs w:val="20"/>
              </w:rPr>
              <w:t>$</w:t>
            </w:r>
            <w:r w:rsidR="00D73CF2">
              <w:rPr>
                <w:iCs/>
                <w:noProof/>
                <w:color w:val="000000"/>
                <w:szCs w:val="20"/>
                <w:highlight w:val="black"/>
              </w:rPr>
              <w:t>'''''''''''''''''''''''''</w:t>
            </w:r>
          </w:p>
        </w:tc>
        <w:tc>
          <w:tcPr>
            <w:tcW w:w="1060"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szCs w:val="20"/>
              </w:rPr>
            </w:pPr>
            <w:r w:rsidRPr="00DB563D">
              <w:rPr>
                <w:iCs/>
                <w:szCs w:val="20"/>
              </w:rPr>
              <w:t>$</w:t>
            </w:r>
            <w:r w:rsidR="00D73CF2">
              <w:rPr>
                <w:iCs/>
                <w:noProof/>
                <w:color w:val="000000"/>
                <w:szCs w:val="20"/>
                <w:highlight w:val="black"/>
              </w:rPr>
              <w:t>'''''''''''''''''''''''''</w:t>
            </w:r>
          </w:p>
        </w:tc>
        <w:tc>
          <w:tcPr>
            <w:tcW w:w="1060"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szCs w:val="20"/>
              </w:rPr>
            </w:pPr>
            <w:r w:rsidRPr="00DB563D">
              <w:rPr>
                <w:iCs/>
                <w:szCs w:val="20"/>
              </w:rPr>
              <w:t>$</w:t>
            </w:r>
            <w:r w:rsidR="00D73CF2">
              <w:rPr>
                <w:iCs/>
                <w:noProof/>
                <w:color w:val="000000"/>
                <w:szCs w:val="20"/>
                <w:highlight w:val="black"/>
              </w:rPr>
              <w:t>''''''''''''''''''''''''</w:t>
            </w:r>
          </w:p>
        </w:tc>
        <w:tc>
          <w:tcPr>
            <w:tcW w:w="1060"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szCs w:val="20"/>
              </w:rPr>
            </w:pPr>
            <w:r w:rsidRPr="00DB563D">
              <w:rPr>
                <w:iCs/>
                <w:szCs w:val="20"/>
              </w:rPr>
              <w:t>$</w:t>
            </w:r>
            <w:r w:rsidR="00D73CF2">
              <w:rPr>
                <w:iCs/>
                <w:noProof/>
                <w:color w:val="000000"/>
                <w:szCs w:val="20"/>
                <w:highlight w:val="black"/>
              </w:rPr>
              <w:t>'''''''''''''''''''''''''</w:t>
            </w:r>
          </w:p>
        </w:tc>
        <w:tc>
          <w:tcPr>
            <w:tcW w:w="1032"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szCs w:val="20"/>
              </w:rPr>
            </w:pPr>
            <w:r w:rsidRPr="00DB563D">
              <w:rPr>
                <w:iCs/>
                <w:szCs w:val="20"/>
              </w:rPr>
              <w:t>$</w:t>
            </w:r>
            <w:r w:rsidR="00D73CF2">
              <w:rPr>
                <w:iCs/>
                <w:noProof/>
                <w:color w:val="000000"/>
                <w:szCs w:val="20"/>
                <w:highlight w:val="black"/>
              </w:rPr>
              <w:t>''''''''''''''''''''''''''</w:t>
            </w:r>
          </w:p>
        </w:tc>
      </w:tr>
      <w:tr w:rsidR="00251618" w:rsidRPr="00FC4842" w:rsidTr="00FD3D25">
        <w:tc>
          <w:tcPr>
            <w:tcW w:w="2691" w:type="dxa"/>
            <w:gridSpan w:val="2"/>
            <w:tcBorders>
              <w:top w:val="nil"/>
              <w:bottom w:val="single" w:sz="4" w:space="0" w:color="auto"/>
            </w:tcBorders>
            <w:shd w:val="clear" w:color="auto" w:fill="auto"/>
          </w:tcPr>
          <w:p w:rsidR="00251618" w:rsidRPr="00DB563D" w:rsidRDefault="001D3A2E" w:rsidP="001D3A2E">
            <w:pPr>
              <w:pStyle w:val="Tabletext"/>
              <w:ind w:left="112"/>
              <w:jc w:val="both"/>
              <w:rPr>
                <w:iCs/>
                <w:noProof/>
                <w:szCs w:val="20"/>
              </w:rPr>
            </w:pPr>
            <w:r>
              <w:rPr>
                <w:bCs/>
                <w:iCs/>
                <w:noProof/>
                <w:szCs w:val="20"/>
              </w:rPr>
              <w:t>O</w:t>
            </w:r>
            <w:r w:rsidR="00251618" w:rsidRPr="00DB563D">
              <w:rPr>
                <w:bCs/>
                <w:iCs/>
                <w:noProof/>
                <w:szCs w:val="20"/>
              </w:rPr>
              <w:t>ther aeteologies</w:t>
            </w:r>
          </w:p>
        </w:tc>
        <w:tc>
          <w:tcPr>
            <w:tcW w:w="1031" w:type="dxa"/>
            <w:tcBorders>
              <w:top w:val="nil"/>
              <w:left w:val="single" w:sz="4" w:space="0" w:color="auto"/>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szCs w:val="20"/>
              </w:rPr>
            </w:pPr>
            <w:r w:rsidRPr="00DB563D">
              <w:rPr>
                <w:iCs/>
              </w:rPr>
              <w:t>$</w:t>
            </w:r>
            <w:r w:rsidR="00D73CF2">
              <w:rPr>
                <w:iCs/>
                <w:noProof/>
                <w:color w:val="000000"/>
                <w:highlight w:val="black"/>
              </w:rPr>
              <w:t>''''''''''''''''''''''</w:t>
            </w:r>
          </w:p>
        </w:tc>
        <w:tc>
          <w:tcPr>
            <w:tcW w:w="1083"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szCs w:val="20"/>
              </w:rPr>
            </w:pPr>
            <w:r w:rsidRPr="00DB563D">
              <w:rPr>
                <w:iCs/>
              </w:rPr>
              <w:t>$</w:t>
            </w:r>
            <w:r w:rsidR="00D73CF2">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szCs w:val="20"/>
              </w:rPr>
            </w:pPr>
            <w:r w:rsidRPr="00DB563D">
              <w:rPr>
                <w:iCs/>
              </w:rPr>
              <w:t>$</w:t>
            </w:r>
            <w:r w:rsidR="00D73CF2">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szCs w:val="20"/>
              </w:rPr>
            </w:pPr>
            <w:r w:rsidRPr="00DB563D">
              <w:rPr>
                <w:iCs/>
              </w:rPr>
              <w:t>$</w:t>
            </w:r>
            <w:r w:rsidR="00D73CF2">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szCs w:val="20"/>
              </w:rPr>
            </w:pPr>
            <w:r w:rsidRPr="00DB563D">
              <w:rPr>
                <w:iCs/>
              </w:rPr>
              <w:t>$</w:t>
            </w:r>
            <w:r w:rsidR="00D73CF2">
              <w:rPr>
                <w:iCs/>
                <w:noProof/>
                <w:color w:val="000000"/>
                <w:highlight w:val="black"/>
              </w:rPr>
              <w:t>''''''''''''''''''''''''</w:t>
            </w:r>
          </w:p>
        </w:tc>
        <w:tc>
          <w:tcPr>
            <w:tcW w:w="1032"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szCs w:val="20"/>
              </w:rPr>
            </w:pPr>
            <w:r w:rsidRPr="00DB563D">
              <w:rPr>
                <w:iCs/>
              </w:rPr>
              <w:t>$</w:t>
            </w:r>
            <w:r w:rsidR="00D73CF2">
              <w:rPr>
                <w:iCs/>
                <w:noProof/>
                <w:color w:val="000000"/>
                <w:highlight w:val="black"/>
              </w:rPr>
              <w:t>'''''''''''''''''''''''''</w:t>
            </w:r>
          </w:p>
        </w:tc>
      </w:tr>
      <w:tr w:rsidR="002A0886" w:rsidRPr="00FC4842" w:rsidTr="00FD3D25">
        <w:tc>
          <w:tcPr>
            <w:tcW w:w="2691" w:type="dxa"/>
            <w:gridSpan w:val="2"/>
            <w:tcBorders>
              <w:bottom w:val="nil"/>
            </w:tcBorders>
            <w:shd w:val="clear" w:color="auto" w:fill="auto"/>
          </w:tcPr>
          <w:p w:rsidR="002A0886" w:rsidRPr="00DB563D" w:rsidRDefault="002A0886" w:rsidP="001D3A2E">
            <w:pPr>
              <w:pStyle w:val="Tabletext"/>
              <w:rPr>
                <w:iCs/>
                <w:noProof/>
                <w:szCs w:val="20"/>
              </w:rPr>
            </w:pPr>
            <w:r w:rsidRPr="00DB563D">
              <w:rPr>
                <w:bCs/>
                <w:iCs/>
                <w:noProof/>
              </w:rPr>
              <w:t>Net c</w:t>
            </w:r>
            <w:r w:rsidR="001D3A2E">
              <w:rPr>
                <w:bCs/>
                <w:iCs/>
                <w:noProof/>
              </w:rPr>
              <w:t xml:space="preserve">os to health </w:t>
            </w:r>
            <w:r w:rsidRPr="00DB563D">
              <w:rPr>
                <w:bCs/>
                <w:iCs/>
                <w:noProof/>
              </w:rPr>
              <w:t>budget</w:t>
            </w:r>
          </w:p>
        </w:tc>
        <w:tc>
          <w:tcPr>
            <w:tcW w:w="1031" w:type="dxa"/>
            <w:tcBorders>
              <w:top w:val="single" w:sz="4" w:space="0" w:color="auto"/>
              <w:left w:val="single" w:sz="4" w:space="0" w:color="auto"/>
              <w:bottom w:val="nil"/>
              <w:right w:val="single" w:sz="4" w:space="0" w:color="auto"/>
            </w:tcBorders>
            <w:shd w:val="clear" w:color="auto" w:fill="auto"/>
            <w:vAlign w:val="center"/>
          </w:tcPr>
          <w:p w:rsidR="002A0886" w:rsidRPr="00DB563D" w:rsidRDefault="002A0886" w:rsidP="002A0886">
            <w:pPr>
              <w:pStyle w:val="Tabletext"/>
              <w:jc w:val="center"/>
              <w:rPr>
                <w:iCs/>
                <w:szCs w:val="20"/>
              </w:rPr>
            </w:pPr>
            <w:r w:rsidRPr="00DB563D">
              <w:rPr>
                <w:iCs/>
              </w:rPr>
              <w:t>$</w:t>
            </w:r>
            <w:r w:rsidR="00D73CF2">
              <w:rPr>
                <w:iCs/>
                <w:noProof/>
                <w:color w:val="000000"/>
                <w:highlight w:val="black"/>
              </w:rPr>
              <w:t>''''''''''''''''''''''''''</w:t>
            </w:r>
          </w:p>
        </w:tc>
        <w:tc>
          <w:tcPr>
            <w:tcW w:w="1083" w:type="dxa"/>
            <w:tcBorders>
              <w:top w:val="single" w:sz="4" w:space="0" w:color="auto"/>
              <w:left w:val="nil"/>
              <w:bottom w:val="nil"/>
              <w:right w:val="single" w:sz="4" w:space="0" w:color="auto"/>
            </w:tcBorders>
            <w:shd w:val="clear" w:color="auto" w:fill="auto"/>
            <w:vAlign w:val="center"/>
          </w:tcPr>
          <w:p w:rsidR="002A0886" w:rsidRPr="00DB563D" w:rsidRDefault="002A0886" w:rsidP="002A0886">
            <w:pPr>
              <w:pStyle w:val="Tabletext"/>
              <w:jc w:val="center"/>
              <w:rPr>
                <w:iCs/>
                <w:szCs w:val="20"/>
              </w:rPr>
            </w:pPr>
            <w:r w:rsidRPr="00DB563D">
              <w:rPr>
                <w:iCs/>
              </w:rPr>
              <w:t>$</w:t>
            </w:r>
            <w:r w:rsidR="00D73CF2">
              <w:rPr>
                <w:iCs/>
                <w:noProof/>
                <w:color w:val="000000"/>
                <w:highlight w:val="black"/>
              </w:rPr>
              <w:t>''''''''''''''''''''''''''</w:t>
            </w:r>
          </w:p>
        </w:tc>
        <w:tc>
          <w:tcPr>
            <w:tcW w:w="1060" w:type="dxa"/>
            <w:tcBorders>
              <w:top w:val="single" w:sz="4" w:space="0" w:color="auto"/>
              <w:left w:val="nil"/>
              <w:bottom w:val="nil"/>
              <w:right w:val="single" w:sz="4" w:space="0" w:color="auto"/>
            </w:tcBorders>
            <w:shd w:val="clear" w:color="auto" w:fill="auto"/>
            <w:vAlign w:val="center"/>
          </w:tcPr>
          <w:p w:rsidR="002A0886" w:rsidRPr="00DB563D" w:rsidRDefault="002A0886" w:rsidP="002A0886">
            <w:pPr>
              <w:pStyle w:val="Tabletext"/>
              <w:jc w:val="center"/>
              <w:rPr>
                <w:iCs/>
                <w:szCs w:val="20"/>
              </w:rPr>
            </w:pPr>
            <w:r w:rsidRPr="00DB563D">
              <w:rPr>
                <w:iCs/>
              </w:rPr>
              <w:t>$</w:t>
            </w:r>
            <w:r w:rsidR="00D73CF2">
              <w:rPr>
                <w:iCs/>
                <w:noProof/>
                <w:color w:val="000000"/>
                <w:highlight w:val="black"/>
              </w:rPr>
              <w:t>'''''''''''''''''''''''''</w:t>
            </w:r>
          </w:p>
        </w:tc>
        <w:tc>
          <w:tcPr>
            <w:tcW w:w="1060" w:type="dxa"/>
            <w:tcBorders>
              <w:top w:val="single" w:sz="4" w:space="0" w:color="auto"/>
              <w:left w:val="nil"/>
              <w:bottom w:val="nil"/>
              <w:right w:val="single" w:sz="4" w:space="0" w:color="auto"/>
            </w:tcBorders>
            <w:shd w:val="clear" w:color="auto" w:fill="auto"/>
            <w:vAlign w:val="center"/>
          </w:tcPr>
          <w:p w:rsidR="002A0886" w:rsidRPr="00DB563D" w:rsidRDefault="002A0886" w:rsidP="002A0886">
            <w:pPr>
              <w:pStyle w:val="Tabletext"/>
              <w:jc w:val="center"/>
              <w:rPr>
                <w:iCs/>
                <w:szCs w:val="20"/>
              </w:rPr>
            </w:pPr>
            <w:r w:rsidRPr="00DB563D">
              <w:rPr>
                <w:iCs/>
              </w:rPr>
              <w:t>$</w:t>
            </w:r>
            <w:r w:rsidR="00D73CF2">
              <w:rPr>
                <w:iCs/>
                <w:noProof/>
                <w:color w:val="000000"/>
                <w:highlight w:val="black"/>
              </w:rPr>
              <w:t>'''''''''''''''''''''''''''</w:t>
            </w:r>
          </w:p>
        </w:tc>
        <w:tc>
          <w:tcPr>
            <w:tcW w:w="1060" w:type="dxa"/>
            <w:tcBorders>
              <w:top w:val="single" w:sz="4" w:space="0" w:color="auto"/>
              <w:left w:val="nil"/>
              <w:bottom w:val="nil"/>
              <w:right w:val="single" w:sz="4" w:space="0" w:color="auto"/>
            </w:tcBorders>
            <w:shd w:val="clear" w:color="auto" w:fill="auto"/>
            <w:vAlign w:val="center"/>
          </w:tcPr>
          <w:p w:rsidR="002A0886" w:rsidRPr="00DB563D" w:rsidRDefault="002A0886" w:rsidP="002A0886">
            <w:pPr>
              <w:pStyle w:val="Tabletext"/>
              <w:jc w:val="center"/>
              <w:rPr>
                <w:iCs/>
                <w:szCs w:val="20"/>
              </w:rPr>
            </w:pPr>
            <w:r w:rsidRPr="00DB563D">
              <w:rPr>
                <w:iCs/>
              </w:rPr>
              <w:t>$</w:t>
            </w:r>
            <w:r w:rsidR="00D73CF2">
              <w:rPr>
                <w:iCs/>
                <w:noProof/>
                <w:color w:val="000000"/>
                <w:highlight w:val="black"/>
              </w:rPr>
              <w:t>''''''''''''''''''''''''''</w:t>
            </w:r>
          </w:p>
        </w:tc>
        <w:tc>
          <w:tcPr>
            <w:tcW w:w="1032" w:type="dxa"/>
            <w:tcBorders>
              <w:top w:val="single" w:sz="4" w:space="0" w:color="auto"/>
              <w:left w:val="nil"/>
              <w:bottom w:val="nil"/>
              <w:right w:val="single" w:sz="4" w:space="0" w:color="auto"/>
            </w:tcBorders>
            <w:shd w:val="clear" w:color="auto" w:fill="auto"/>
            <w:vAlign w:val="center"/>
          </w:tcPr>
          <w:p w:rsidR="002A0886" w:rsidRPr="00DB563D" w:rsidRDefault="002A0886" w:rsidP="002A0886">
            <w:pPr>
              <w:pStyle w:val="Tabletext"/>
              <w:jc w:val="center"/>
              <w:rPr>
                <w:iCs/>
                <w:szCs w:val="20"/>
              </w:rPr>
            </w:pPr>
            <w:r w:rsidRPr="00DB563D">
              <w:rPr>
                <w:iCs/>
              </w:rPr>
              <w:t>$</w:t>
            </w:r>
            <w:r w:rsidR="00D73CF2">
              <w:rPr>
                <w:iCs/>
                <w:noProof/>
                <w:color w:val="000000"/>
                <w:highlight w:val="black"/>
              </w:rPr>
              <w:t>'''''''''''''''''''''''</w:t>
            </w:r>
          </w:p>
        </w:tc>
      </w:tr>
      <w:tr w:rsidR="00041C84" w:rsidRPr="00FC4842" w:rsidTr="00FD3D25">
        <w:tc>
          <w:tcPr>
            <w:tcW w:w="2691" w:type="dxa"/>
            <w:gridSpan w:val="2"/>
            <w:tcBorders>
              <w:top w:val="nil"/>
              <w:bottom w:val="nil"/>
            </w:tcBorders>
            <w:shd w:val="clear" w:color="auto" w:fill="auto"/>
          </w:tcPr>
          <w:p w:rsidR="00041C84" w:rsidRPr="00DB563D" w:rsidRDefault="001D3A2E" w:rsidP="001D3A2E">
            <w:pPr>
              <w:pStyle w:val="Tabletext"/>
              <w:ind w:left="112"/>
              <w:rPr>
                <w:bCs/>
                <w:iCs/>
                <w:noProof/>
              </w:rPr>
            </w:pPr>
            <w:r>
              <w:rPr>
                <w:bCs/>
                <w:iCs/>
                <w:noProof/>
                <w:szCs w:val="20"/>
              </w:rPr>
              <w:t>S</w:t>
            </w:r>
            <w:r w:rsidR="00041C84" w:rsidRPr="00DB563D">
              <w:rPr>
                <w:bCs/>
                <w:iCs/>
                <w:noProof/>
                <w:szCs w:val="20"/>
              </w:rPr>
              <w:t>troke</w:t>
            </w:r>
          </w:p>
        </w:tc>
        <w:tc>
          <w:tcPr>
            <w:tcW w:w="1031" w:type="dxa"/>
            <w:tcBorders>
              <w:top w:val="nil"/>
              <w:left w:val="single" w:sz="4" w:space="0" w:color="auto"/>
              <w:bottom w:val="nil"/>
              <w:right w:val="single" w:sz="4" w:space="0" w:color="auto"/>
            </w:tcBorders>
            <w:shd w:val="clear" w:color="auto" w:fill="auto"/>
            <w:vAlign w:val="center"/>
          </w:tcPr>
          <w:p w:rsidR="00041C84" w:rsidRPr="00DB563D" w:rsidRDefault="00041C84" w:rsidP="00041C84">
            <w:pPr>
              <w:pStyle w:val="Tabletext"/>
              <w:jc w:val="center"/>
              <w:rPr>
                <w:iCs/>
              </w:rPr>
            </w:pPr>
            <w:r w:rsidRPr="00DB563D">
              <w:rPr>
                <w:iCs/>
              </w:rPr>
              <w:t>$</w:t>
            </w:r>
            <w:r w:rsidR="00D73CF2">
              <w:rPr>
                <w:iCs/>
                <w:noProof/>
                <w:color w:val="000000"/>
                <w:highlight w:val="black"/>
              </w:rPr>
              <w:t>'''''''''''''''''''''''</w:t>
            </w:r>
          </w:p>
        </w:tc>
        <w:tc>
          <w:tcPr>
            <w:tcW w:w="1083"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rPr>
            </w:pPr>
            <w:r w:rsidRPr="00DB563D">
              <w:rPr>
                <w:iCs/>
              </w:rPr>
              <w:t>$</w:t>
            </w:r>
            <w:r w:rsidR="00D73CF2">
              <w:rPr>
                <w:iCs/>
                <w:noProof/>
                <w:color w:val="000000"/>
                <w:highlight w:val="black"/>
              </w:rPr>
              <w:t>''''''''''''''''''''''''''</w:t>
            </w:r>
          </w:p>
        </w:tc>
        <w:tc>
          <w:tcPr>
            <w:tcW w:w="1060"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rPr>
            </w:pPr>
            <w:r w:rsidRPr="00DB563D">
              <w:rPr>
                <w:iCs/>
              </w:rPr>
              <w:t>$</w:t>
            </w:r>
            <w:r w:rsidR="00D73CF2">
              <w:rPr>
                <w:iCs/>
                <w:noProof/>
                <w:color w:val="000000"/>
                <w:highlight w:val="black"/>
              </w:rPr>
              <w:t>'''''''''''''''''''''''</w:t>
            </w:r>
          </w:p>
        </w:tc>
        <w:tc>
          <w:tcPr>
            <w:tcW w:w="1060"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rPr>
            </w:pPr>
            <w:r w:rsidRPr="00DB563D">
              <w:rPr>
                <w:iCs/>
              </w:rPr>
              <w:t>$</w:t>
            </w:r>
            <w:r w:rsidR="00D73CF2">
              <w:rPr>
                <w:iCs/>
                <w:noProof/>
                <w:color w:val="000000"/>
                <w:highlight w:val="black"/>
              </w:rPr>
              <w:t>''''''''''''''''''''''</w:t>
            </w:r>
          </w:p>
        </w:tc>
        <w:tc>
          <w:tcPr>
            <w:tcW w:w="1060"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rPr>
            </w:pPr>
            <w:r w:rsidRPr="00DB563D">
              <w:rPr>
                <w:iCs/>
              </w:rPr>
              <w:t>$</w:t>
            </w:r>
            <w:r w:rsidR="00D73CF2">
              <w:rPr>
                <w:iCs/>
                <w:noProof/>
                <w:color w:val="000000"/>
                <w:highlight w:val="black"/>
              </w:rPr>
              <w:t>'''''''''''''''''''''''''''</w:t>
            </w:r>
          </w:p>
        </w:tc>
        <w:tc>
          <w:tcPr>
            <w:tcW w:w="1032" w:type="dxa"/>
            <w:tcBorders>
              <w:top w:val="nil"/>
              <w:left w:val="nil"/>
              <w:bottom w:val="nil"/>
              <w:right w:val="single" w:sz="4" w:space="0" w:color="auto"/>
            </w:tcBorders>
            <w:shd w:val="clear" w:color="auto" w:fill="auto"/>
            <w:vAlign w:val="center"/>
          </w:tcPr>
          <w:p w:rsidR="00041C84" w:rsidRPr="00DB563D" w:rsidRDefault="00041C84" w:rsidP="00041C84">
            <w:pPr>
              <w:pStyle w:val="Tabletext"/>
              <w:jc w:val="center"/>
              <w:rPr>
                <w:iCs/>
              </w:rPr>
            </w:pPr>
            <w:r w:rsidRPr="00DB563D">
              <w:rPr>
                <w:iCs/>
              </w:rPr>
              <w:t>$</w:t>
            </w:r>
            <w:r w:rsidR="00D73CF2">
              <w:rPr>
                <w:iCs/>
                <w:noProof/>
                <w:color w:val="000000"/>
                <w:highlight w:val="black"/>
              </w:rPr>
              <w:t>''''''''''''''''''''''''''''</w:t>
            </w:r>
          </w:p>
        </w:tc>
      </w:tr>
      <w:tr w:rsidR="00251618" w:rsidRPr="00FC4842" w:rsidTr="00FD3D25">
        <w:tc>
          <w:tcPr>
            <w:tcW w:w="2691" w:type="dxa"/>
            <w:gridSpan w:val="2"/>
            <w:tcBorders>
              <w:top w:val="nil"/>
            </w:tcBorders>
            <w:shd w:val="clear" w:color="auto" w:fill="auto"/>
          </w:tcPr>
          <w:p w:rsidR="00251618" w:rsidRPr="00DB563D" w:rsidRDefault="001D3A2E" w:rsidP="001D3A2E">
            <w:pPr>
              <w:pStyle w:val="Tabletext"/>
              <w:ind w:left="112"/>
              <w:rPr>
                <w:bCs/>
                <w:iCs/>
                <w:noProof/>
              </w:rPr>
            </w:pPr>
            <w:r>
              <w:rPr>
                <w:bCs/>
                <w:iCs/>
                <w:noProof/>
                <w:szCs w:val="20"/>
              </w:rPr>
              <w:t>O</w:t>
            </w:r>
            <w:r w:rsidR="00251618" w:rsidRPr="00DB563D">
              <w:rPr>
                <w:bCs/>
                <w:iCs/>
                <w:noProof/>
                <w:szCs w:val="20"/>
              </w:rPr>
              <w:t>ther aeteologies</w:t>
            </w:r>
          </w:p>
        </w:tc>
        <w:tc>
          <w:tcPr>
            <w:tcW w:w="1031" w:type="dxa"/>
            <w:tcBorders>
              <w:top w:val="nil"/>
              <w:left w:val="single" w:sz="4" w:space="0" w:color="auto"/>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rPr>
            </w:pPr>
            <w:r w:rsidRPr="00DB563D">
              <w:rPr>
                <w:iCs/>
              </w:rPr>
              <w:t>$</w:t>
            </w:r>
            <w:r w:rsidR="00D73CF2">
              <w:rPr>
                <w:iCs/>
                <w:noProof/>
                <w:color w:val="000000"/>
                <w:highlight w:val="black"/>
              </w:rPr>
              <w:t>''''''''''''''''''''''''</w:t>
            </w:r>
          </w:p>
        </w:tc>
        <w:tc>
          <w:tcPr>
            <w:tcW w:w="1083"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rPr>
            </w:pPr>
            <w:r w:rsidRPr="00DB563D">
              <w:rPr>
                <w:iCs/>
              </w:rPr>
              <w:t>$</w:t>
            </w:r>
            <w:r w:rsidR="00D73CF2">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rPr>
            </w:pPr>
            <w:r w:rsidRPr="00DB563D">
              <w:rPr>
                <w:iCs/>
              </w:rPr>
              <w:t>$</w:t>
            </w:r>
            <w:r w:rsidR="00D73CF2">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rPr>
            </w:pPr>
            <w:r w:rsidRPr="00DB563D">
              <w:rPr>
                <w:iCs/>
              </w:rPr>
              <w:t>$</w:t>
            </w:r>
            <w:r w:rsidR="00D73CF2">
              <w:rPr>
                <w:iCs/>
                <w:noProof/>
                <w:color w:val="000000"/>
                <w:highlight w:val="black"/>
              </w:rPr>
              <w:t>'''''''''''''''''''''''''</w:t>
            </w:r>
          </w:p>
        </w:tc>
        <w:tc>
          <w:tcPr>
            <w:tcW w:w="1060"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rPr>
            </w:pPr>
            <w:r w:rsidRPr="00DB563D">
              <w:rPr>
                <w:iCs/>
              </w:rPr>
              <w:t>$</w:t>
            </w:r>
            <w:r w:rsidR="00D73CF2">
              <w:rPr>
                <w:iCs/>
                <w:noProof/>
                <w:color w:val="000000"/>
                <w:highlight w:val="black"/>
              </w:rPr>
              <w:t>'''''''''''''''''''''''''''''</w:t>
            </w:r>
          </w:p>
        </w:tc>
        <w:tc>
          <w:tcPr>
            <w:tcW w:w="1032" w:type="dxa"/>
            <w:tcBorders>
              <w:top w:val="nil"/>
              <w:left w:val="nil"/>
              <w:bottom w:val="single" w:sz="4" w:space="0" w:color="auto"/>
              <w:right w:val="single" w:sz="4" w:space="0" w:color="auto"/>
            </w:tcBorders>
            <w:shd w:val="clear" w:color="auto" w:fill="auto"/>
            <w:vAlign w:val="center"/>
          </w:tcPr>
          <w:p w:rsidR="00251618" w:rsidRPr="00DB563D" w:rsidRDefault="00251618" w:rsidP="00251618">
            <w:pPr>
              <w:pStyle w:val="Tabletext"/>
              <w:jc w:val="center"/>
              <w:rPr>
                <w:iCs/>
              </w:rPr>
            </w:pPr>
            <w:r w:rsidRPr="00DB563D">
              <w:rPr>
                <w:iCs/>
              </w:rPr>
              <w:t>$</w:t>
            </w:r>
            <w:r w:rsidR="00D73CF2">
              <w:rPr>
                <w:iCs/>
                <w:noProof/>
                <w:color w:val="000000"/>
                <w:highlight w:val="black"/>
              </w:rPr>
              <w:t>'''''''''''''''''''''''</w:t>
            </w:r>
          </w:p>
        </w:tc>
      </w:tr>
    </w:tbl>
    <w:p w:rsidR="002E71EC" w:rsidRDefault="002E71EC" w:rsidP="00F064FB">
      <w:pPr>
        <w:pStyle w:val="TableFooter"/>
        <w:tabs>
          <w:tab w:val="left" w:pos="142"/>
        </w:tabs>
      </w:pPr>
      <w:r>
        <w:t>LL</w:t>
      </w:r>
      <w:r w:rsidR="00914A4E">
        <w:t xml:space="preserve"> </w:t>
      </w:r>
      <w:r>
        <w:t>=</w:t>
      </w:r>
      <w:r w:rsidR="00914A4E">
        <w:t xml:space="preserve"> </w:t>
      </w:r>
      <w:r>
        <w:t xml:space="preserve">lower limb; </w:t>
      </w:r>
      <w:r w:rsidR="00D07DFC">
        <w:t xml:space="preserve">DPMQ = dispensed price for maximum quantity; </w:t>
      </w:r>
      <w:r>
        <w:t>MAS</w:t>
      </w:r>
      <w:r w:rsidR="00914A4E">
        <w:t xml:space="preserve"> </w:t>
      </w:r>
      <w:r>
        <w:t>=</w:t>
      </w:r>
      <w:r w:rsidR="00914A4E">
        <w:t xml:space="preserve"> M</w:t>
      </w:r>
      <w:r>
        <w:t xml:space="preserve">odified Ashworth </w:t>
      </w:r>
      <w:r w:rsidR="00914A4E">
        <w:t>S</w:t>
      </w:r>
      <w:r>
        <w:t xml:space="preserve">cale; </w:t>
      </w:r>
      <w:r w:rsidR="00F064FB">
        <w:t xml:space="preserve">MBS = </w:t>
      </w:r>
      <w:r w:rsidR="00F064FB" w:rsidRPr="003419C9">
        <w:t xml:space="preserve">Medical </w:t>
      </w:r>
      <w:r w:rsidR="00F064FB">
        <w:t xml:space="preserve">Benefits Schedule; PBS = Pharmaceutical Benefits Scheme; RPBS = Repatriation </w:t>
      </w:r>
      <w:r w:rsidR="00D07DFC">
        <w:t>Pharmaceutical Benefits Scheme</w:t>
      </w:r>
    </w:p>
    <w:p w:rsidR="002E71EC" w:rsidRDefault="002E71EC" w:rsidP="002E71EC">
      <w:pPr>
        <w:pStyle w:val="TableFooter"/>
        <w:tabs>
          <w:tab w:val="left" w:pos="142"/>
        </w:tabs>
        <w:ind w:left="135" w:hanging="135"/>
      </w:pPr>
      <w:r w:rsidRPr="0039143E">
        <w:rPr>
          <w:vertAlign w:val="superscript"/>
        </w:rPr>
        <w:t>#</w:t>
      </w:r>
      <w:r>
        <w:tab/>
        <w:t>Incident patients</w:t>
      </w:r>
      <w:r w:rsidR="00D07DFC">
        <w:t xml:space="preserve"> </w:t>
      </w:r>
      <w:r>
        <w:t>=</w:t>
      </w:r>
      <w:r w:rsidR="00D07DFC">
        <w:t xml:space="preserve"> </w:t>
      </w:r>
      <w:r>
        <w:t>Australian aged 18+ x (incidence rate) x (proportion resulting in spasticity) x (proportion with LL spasticity x proportion with MAS</w:t>
      </w:r>
      <w:r w:rsidR="00D07DFC">
        <w:t xml:space="preserve"> </w:t>
      </w:r>
      <w:r>
        <w:t>≥</w:t>
      </w:r>
      <w:r w:rsidR="00D07DFC">
        <w:t xml:space="preserve"> </w:t>
      </w:r>
      <w:r>
        <w:t xml:space="preserve">3) x (proportion failing first line therapy or use </w:t>
      </w:r>
      <w:r w:rsidR="00057611">
        <w:t>Dysport</w:t>
      </w:r>
      <w:r w:rsidR="001A35D3" w:rsidRPr="00FA6E19">
        <w:rPr>
          <w:vertAlign w:val="superscript"/>
        </w:rPr>
        <w:t>®</w:t>
      </w:r>
      <w:r w:rsidR="001A35D3">
        <w:rPr>
          <w:vertAlign w:val="superscript"/>
        </w:rPr>
        <w:t xml:space="preserve"> </w:t>
      </w:r>
      <w:r>
        <w:t>as adjunct to physical therapy) x (proportion of eligible patients receiving treatment)</w:t>
      </w:r>
    </w:p>
    <w:p w:rsidR="002E71EC" w:rsidRDefault="002E71EC" w:rsidP="002E71EC">
      <w:pPr>
        <w:pStyle w:val="TableFooter"/>
        <w:tabs>
          <w:tab w:val="left" w:pos="142"/>
        </w:tabs>
        <w:ind w:left="135" w:hanging="135"/>
      </w:pPr>
      <w:r>
        <w:t>*</w:t>
      </w:r>
      <w:r>
        <w:tab/>
        <w:t>Prevalent patients comprised of incident patients from prior years (whose event was ≤</w:t>
      </w:r>
      <w:r w:rsidR="00D07DFC">
        <w:t xml:space="preserve"> </w:t>
      </w:r>
      <w:r>
        <w:t>2 years) x annual mortality (Y</w:t>
      </w:r>
      <w:r w:rsidR="00D07DFC">
        <w:t>ea</w:t>
      </w:r>
      <w:r>
        <w:t>r</w:t>
      </w:r>
      <w:r w:rsidR="00D07DFC">
        <w:t xml:space="preserve"> </w:t>
      </w:r>
      <w:r>
        <w:t>1: 26%, Y</w:t>
      </w:r>
      <w:r w:rsidR="00D07DFC">
        <w:t>ea</w:t>
      </w:r>
      <w:r>
        <w:t>r</w:t>
      </w:r>
      <w:r w:rsidR="00D07DFC">
        <w:t xml:space="preserve"> </w:t>
      </w:r>
      <w:r>
        <w:t>2</w:t>
      </w:r>
      <w:r w:rsidR="00D07DFC">
        <w:t xml:space="preserve"> to </w:t>
      </w:r>
      <w:r>
        <w:t>Y</w:t>
      </w:r>
      <w:r w:rsidR="00D07DFC">
        <w:t>ea</w:t>
      </w:r>
      <w:r>
        <w:t>r</w:t>
      </w:r>
      <w:r w:rsidR="00D07DFC">
        <w:t xml:space="preserve"> </w:t>
      </w:r>
      <w:r>
        <w:t>6: 5.50%)</w:t>
      </w:r>
    </w:p>
    <w:p w:rsidR="002E71EC" w:rsidRPr="00DB41CA" w:rsidRDefault="002E71EC" w:rsidP="002E71EC">
      <w:pPr>
        <w:pStyle w:val="TableFooter"/>
        <w:tabs>
          <w:tab w:val="left" w:pos="142"/>
        </w:tabs>
        <w:ind w:left="135" w:hanging="135"/>
      </w:pPr>
      <w:r>
        <w:rPr>
          <w:vertAlign w:val="superscript"/>
        </w:rPr>
        <w:t>a</w:t>
      </w:r>
      <w:r>
        <w:tab/>
        <w:t xml:space="preserve">Incident population in 2019 estimated as </w:t>
      </w:r>
      <w:r w:rsidR="00D73CF2">
        <w:rPr>
          <w:noProof/>
          <w:color w:val="000000"/>
          <w:highlight w:val="black"/>
        </w:rPr>
        <w:t>''''''''''</w:t>
      </w:r>
      <w:r>
        <w:t xml:space="preserve">, i.e. </w:t>
      </w:r>
      <w:r w:rsidR="00D73CF2">
        <w:rPr>
          <w:noProof/>
          <w:color w:val="000000"/>
          <w:highlight w:val="black"/>
        </w:rPr>
        <w:t>'''''''''</w:t>
      </w:r>
      <w:r w:rsidR="00D07DFC">
        <w:t xml:space="preserve"> </w:t>
      </w:r>
      <w:r>
        <w:t>=</w:t>
      </w:r>
      <w:r w:rsidR="00D07DFC">
        <w:t xml:space="preserve"> </w:t>
      </w:r>
      <w:r w:rsidR="00D73CF2">
        <w:rPr>
          <w:noProof/>
          <w:color w:val="000000"/>
          <w:highlight w:val="black"/>
        </w:rPr>
        <w:t>''''''''''</w:t>
      </w:r>
      <w:r w:rsidR="00D07DFC">
        <w:t xml:space="preserve"> </w:t>
      </w:r>
      <w:r>
        <w:t>*</w:t>
      </w:r>
      <w:r w:rsidR="00D07DFC">
        <w:t xml:space="preserve"> </w:t>
      </w:r>
      <w:r>
        <w:t>(1</w:t>
      </w:r>
      <w:r w:rsidR="00D07DFC">
        <w:t xml:space="preserve"> </w:t>
      </w:r>
      <w:r>
        <w:t>-</w:t>
      </w:r>
      <w:r w:rsidR="00D07DFC">
        <w:t xml:space="preserve"> </w:t>
      </w:r>
      <w:r>
        <w:t>0.26)</w:t>
      </w:r>
    </w:p>
    <w:p w:rsidR="002E71EC" w:rsidRDefault="002E71EC" w:rsidP="002E71EC">
      <w:pPr>
        <w:pStyle w:val="TableFooter"/>
        <w:tabs>
          <w:tab w:val="left" w:pos="142"/>
        </w:tabs>
        <w:ind w:left="135" w:hanging="135"/>
      </w:pPr>
      <w:r>
        <w:t>^</w:t>
      </w:r>
      <w:r>
        <w:tab/>
        <w:t>Based on the rate of retreatment (3.855114/378.8352) over 365.25 days</w:t>
      </w:r>
    </w:p>
    <w:p w:rsidR="002E71EC" w:rsidRPr="002207D4" w:rsidRDefault="002E71EC" w:rsidP="002E71EC">
      <w:pPr>
        <w:pStyle w:val="TableFooter"/>
        <w:tabs>
          <w:tab w:val="left" w:pos="142"/>
        </w:tabs>
        <w:ind w:left="135" w:hanging="135"/>
        <w:rPr>
          <w:iCs/>
        </w:rPr>
      </w:pPr>
      <w:r w:rsidRPr="002207D4">
        <w:rPr>
          <w:vertAlign w:val="superscript"/>
        </w:rPr>
        <w:t>‡</w:t>
      </w:r>
      <w:r w:rsidRPr="002207D4">
        <w:tab/>
      </w:r>
      <w:r w:rsidRPr="002207D4">
        <w:rPr>
          <w:iCs/>
        </w:rPr>
        <w:t>Correcting the Section 4 Workbook for the resubmission’s requested price (DPMQ for 300U is $</w:t>
      </w:r>
      <w:r w:rsidR="00D73CF2">
        <w:rPr>
          <w:iCs/>
          <w:noProof/>
          <w:color w:val="000000"/>
          <w:highlight w:val="black"/>
        </w:rPr>
        <w:t>'''''''''''''''''''''''</w:t>
      </w:r>
      <w:r w:rsidRPr="002A5D60">
        <w:rPr>
          <w:iCs/>
        </w:rPr>
        <w:t xml:space="preserve"> </w:t>
      </w:r>
      <w:r w:rsidRPr="002207D4">
        <w:rPr>
          <w:iCs/>
        </w:rPr>
        <w:t>and 500U is $</w:t>
      </w:r>
      <w:r w:rsidR="00D73CF2">
        <w:rPr>
          <w:iCs/>
          <w:noProof/>
          <w:color w:val="000000"/>
          <w:highlight w:val="black"/>
        </w:rPr>
        <w:t>'''''''''''''''''''</w:t>
      </w:r>
      <w:r w:rsidRPr="002207D4">
        <w:rPr>
          <w:iCs/>
        </w:rPr>
        <w:t>)</w:t>
      </w:r>
    </w:p>
    <w:p w:rsidR="002E71EC" w:rsidRDefault="002E71EC" w:rsidP="0029476D">
      <w:pPr>
        <w:pStyle w:val="TableFooter"/>
        <w:rPr>
          <w:rStyle w:val="CommentReference"/>
        </w:rPr>
      </w:pPr>
      <w:r>
        <w:t>Source: Constructed during the evaluation from Section 4 of the resubmission and Section 4 Workbook.xlsx</w:t>
      </w:r>
    </w:p>
    <w:p w:rsidR="00421F28" w:rsidRDefault="00421F28" w:rsidP="002E71EC">
      <w:pPr>
        <w:widowControl/>
        <w:rPr>
          <w:rFonts w:asciiTheme="minorHAnsi" w:hAnsiTheme="minorHAnsi"/>
          <w:szCs w:val="24"/>
        </w:rPr>
      </w:pPr>
    </w:p>
    <w:p w:rsidR="002E71EC" w:rsidRDefault="002316A0" w:rsidP="002E71EC">
      <w:pPr>
        <w:widowControl/>
        <w:rPr>
          <w:rFonts w:asciiTheme="minorHAnsi" w:hAnsiTheme="minorHAnsi"/>
          <w:szCs w:val="24"/>
        </w:rPr>
      </w:pPr>
      <w:r w:rsidRPr="00184A79">
        <w:rPr>
          <w:rFonts w:asciiTheme="minorHAnsi" w:hAnsiTheme="minorHAnsi"/>
          <w:szCs w:val="24"/>
        </w:rPr>
        <w:t xml:space="preserve">The redacted table shows that at </w:t>
      </w:r>
      <w:r>
        <w:rPr>
          <w:rFonts w:asciiTheme="minorHAnsi" w:hAnsiTheme="minorHAnsi"/>
          <w:szCs w:val="24"/>
        </w:rPr>
        <w:t>Y</w:t>
      </w:r>
      <w:r w:rsidRPr="00184A79">
        <w:rPr>
          <w:rFonts w:asciiTheme="minorHAnsi" w:hAnsiTheme="minorHAnsi"/>
          <w:szCs w:val="24"/>
        </w:rPr>
        <w:t xml:space="preserve">ear </w:t>
      </w:r>
      <w:r w:rsidR="0039550D">
        <w:rPr>
          <w:rFonts w:asciiTheme="minorHAnsi" w:hAnsiTheme="minorHAnsi"/>
          <w:szCs w:val="24"/>
        </w:rPr>
        <w:t>6</w:t>
      </w:r>
      <w:r w:rsidRPr="00184A79">
        <w:rPr>
          <w:rFonts w:asciiTheme="minorHAnsi" w:hAnsiTheme="minorHAnsi"/>
          <w:szCs w:val="24"/>
        </w:rPr>
        <w:t xml:space="preserve">, the estimated number of patients was </w:t>
      </w:r>
      <w:r w:rsidR="0039550D">
        <w:rPr>
          <w:rFonts w:asciiTheme="minorHAnsi" w:hAnsiTheme="minorHAnsi"/>
          <w:szCs w:val="24"/>
        </w:rPr>
        <w:t>10,000 – 50,000</w:t>
      </w:r>
      <w:r w:rsidRPr="00184A79">
        <w:rPr>
          <w:rFonts w:asciiTheme="minorHAnsi" w:hAnsiTheme="minorHAnsi"/>
          <w:szCs w:val="24"/>
        </w:rPr>
        <w:t xml:space="preserve"> </w:t>
      </w:r>
      <w:r w:rsidR="0039550D">
        <w:rPr>
          <w:rFonts w:asciiTheme="minorHAnsi" w:hAnsiTheme="minorHAnsi"/>
          <w:szCs w:val="24"/>
        </w:rPr>
        <w:t xml:space="preserve">per year </w:t>
      </w:r>
      <w:r w:rsidRPr="00184A79">
        <w:rPr>
          <w:rFonts w:asciiTheme="minorHAnsi" w:hAnsiTheme="minorHAnsi"/>
          <w:szCs w:val="24"/>
        </w:rPr>
        <w:t>and the</w:t>
      </w:r>
      <w:r w:rsidR="0039550D">
        <w:rPr>
          <w:rFonts w:asciiTheme="minorHAnsi" w:hAnsiTheme="minorHAnsi"/>
          <w:szCs w:val="24"/>
        </w:rPr>
        <w:t xml:space="preserve"> net cost to the PBS would be $20 – $30 million per year</w:t>
      </w:r>
      <w:r w:rsidRPr="00184A79">
        <w:rPr>
          <w:rFonts w:asciiTheme="minorHAnsi" w:hAnsiTheme="minorHAnsi"/>
          <w:szCs w:val="24"/>
        </w:rPr>
        <w:t>.</w:t>
      </w:r>
    </w:p>
    <w:p w:rsidR="00421F28" w:rsidRPr="00C25D9C" w:rsidRDefault="00421F28" w:rsidP="002E71EC">
      <w:pPr>
        <w:widowControl/>
      </w:pPr>
    </w:p>
    <w:p w:rsidR="000565F9" w:rsidRDefault="000565F9" w:rsidP="00576B2D">
      <w:pPr>
        <w:pStyle w:val="ListParagraph"/>
        <w:widowControl/>
        <w:numPr>
          <w:ilvl w:val="1"/>
          <w:numId w:val="1"/>
        </w:numPr>
        <w:ind w:left="720"/>
        <w:rPr>
          <w:iCs/>
        </w:rPr>
      </w:pPr>
      <w:r w:rsidRPr="00D03BE3">
        <w:rPr>
          <w:iCs/>
        </w:rPr>
        <w:t>The financial estimates were most sensitive to the size of the treated population (incidence and uptake) as well as the assumptions around continuation and number of treatment cycles in subsequent years.</w:t>
      </w:r>
      <w:r w:rsidR="00D175BD" w:rsidRPr="00D03BE3">
        <w:rPr>
          <w:iCs/>
        </w:rPr>
        <w:t xml:space="preserve"> Whether the financial estimates were an under- or over-estimate was unclear, given the resubmission excluded a potentially large pool of prevalent patients but assumed those treated remained on treatment indefinitely.</w:t>
      </w:r>
    </w:p>
    <w:p w:rsidR="00576B2D" w:rsidRPr="002207D4" w:rsidRDefault="008A4527" w:rsidP="00576B2D">
      <w:pPr>
        <w:pStyle w:val="ListParagraph"/>
        <w:widowControl/>
        <w:numPr>
          <w:ilvl w:val="1"/>
          <w:numId w:val="1"/>
        </w:numPr>
        <w:ind w:left="720"/>
      </w:pPr>
      <w:r w:rsidRPr="002207D4">
        <w:t>Although the submission presented a cost minimisation analysis for Dy</w:t>
      </w:r>
      <w:r w:rsidR="00914A4E" w:rsidRPr="002207D4">
        <w:t>s</w:t>
      </w:r>
      <w:r w:rsidRPr="002207D4">
        <w:t>port</w:t>
      </w:r>
      <w:r w:rsidR="00914A4E" w:rsidRPr="002207D4">
        <w:rPr>
          <w:rFonts w:cs="Calibri"/>
        </w:rPr>
        <w:t>®</w:t>
      </w:r>
      <w:r w:rsidRPr="002207D4">
        <w:t xml:space="preserve"> compared to Botox</w:t>
      </w:r>
      <w:r w:rsidR="00914A4E" w:rsidRPr="002207D4">
        <w:rPr>
          <w:rFonts w:cs="Calibri"/>
        </w:rPr>
        <w:t>®</w:t>
      </w:r>
      <w:r w:rsidRPr="002207D4">
        <w:t>, the ESC noted that the financial implications were high as Botox</w:t>
      </w:r>
      <w:r w:rsidR="00914A4E" w:rsidRPr="002207D4">
        <w:rPr>
          <w:rFonts w:cs="Calibri"/>
        </w:rPr>
        <w:t>®</w:t>
      </w:r>
      <w:r w:rsidRPr="002207D4">
        <w:t xml:space="preserve"> is not currently listed on</w:t>
      </w:r>
      <w:r w:rsidR="00907F73" w:rsidRPr="002207D4">
        <w:t xml:space="preserve"> the</w:t>
      </w:r>
      <w:r w:rsidRPr="002207D4">
        <w:t xml:space="preserve"> PBS</w:t>
      </w:r>
      <w:r w:rsidR="00D07DFC">
        <w:t>;</w:t>
      </w:r>
      <w:r w:rsidR="00907F73" w:rsidRPr="002207D4">
        <w:t xml:space="preserve"> therefore</w:t>
      </w:r>
      <w:r w:rsidR="00D07DFC">
        <w:t>,</w:t>
      </w:r>
      <w:r w:rsidR="00907F73" w:rsidRPr="002207D4">
        <w:t xml:space="preserve"> the resubmission did not </w:t>
      </w:r>
      <w:r w:rsidR="009E275A">
        <w:t xml:space="preserve">include cost offsets. The PSCR </w:t>
      </w:r>
      <w:r w:rsidR="00907F73" w:rsidRPr="002207D4">
        <w:t>noted that given Dysport</w:t>
      </w:r>
      <w:r w:rsidR="00914A4E" w:rsidRPr="002207D4">
        <w:rPr>
          <w:rFonts w:cs="Calibri"/>
        </w:rPr>
        <w:t>®</w:t>
      </w:r>
      <w:r w:rsidR="00907F73" w:rsidRPr="002207D4">
        <w:t xml:space="preserve"> is seeking a listing via a cost-minimisation analysis, the financial implications will ultimately be neutral. The ESC</w:t>
      </w:r>
      <w:r w:rsidR="00D07DFC">
        <w:t>,</w:t>
      </w:r>
      <w:r w:rsidR="00907F73" w:rsidRPr="002207D4">
        <w:t xml:space="preserve"> </w:t>
      </w:r>
      <w:r w:rsidR="00054C48" w:rsidRPr="002207D4">
        <w:t>not</w:t>
      </w:r>
      <w:r w:rsidR="00D07DFC">
        <w:t>ing</w:t>
      </w:r>
      <w:r w:rsidR="00054C48" w:rsidRPr="002207D4">
        <w:t xml:space="preserve"> </w:t>
      </w:r>
      <w:r w:rsidR="00907F73" w:rsidRPr="002207D4">
        <w:t>that the proposed equi-effective dose in the PSCR was 3.3U Dysport</w:t>
      </w:r>
      <w:r w:rsidR="00907F73" w:rsidRPr="002207D4">
        <w:rPr>
          <w:rFonts w:cs="Calibri"/>
        </w:rPr>
        <w:t>®</w:t>
      </w:r>
      <w:r w:rsidR="00907F73" w:rsidRPr="002207D4">
        <w:t xml:space="preserve"> to 1U Botox</w:t>
      </w:r>
      <w:r w:rsidR="00907F73" w:rsidRPr="002207D4">
        <w:rPr>
          <w:rFonts w:cs="Calibri"/>
        </w:rPr>
        <w:t>®</w:t>
      </w:r>
      <w:r w:rsidR="00907F73" w:rsidRPr="002207D4">
        <w:t xml:space="preserve">, considered that </w:t>
      </w:r>
      <w:r w:rsidR="00A03A33" w:rsidRPr="002207D4">
        <w:t>t</w:t>
      </w:r>
      <w:r w:rsidR="009901E8" w:rsidRPr="002207D4">
        <w:t>he listing of Dysport</w:t>
      </w:r>
      <w:r w:rsidR="00A03A33" w:rsidRPr="002207D4">
        <w:t>®</w:t>
      </w:r>
      <w:r w:rsidR="009901E8" w:rsidRPr="002207D4">
        <w:t xml:space="preserve"> c</w:t>
      </w:r>
      <w:r w:rsidR="00907F73" w:rsidRPr="002207D4">
        <w:t>ould</w:t>
      </w:r>
      <w:r w:rsidR="009901E8" w:rsidRPr="002207D4">
        <w:t xml:space="preserve"> only be cost neutral to Botox</w:t>
      </w:r>
      <w:r w:rsidR="00A03A33" w:rsidRPr="002207D4">
        <w:t>®</w:t>
      </w:r>
      <w:r w:rsidR="00DE10D4" w:rsidRPr="002207D4">
        <w:t xml:space="preserve"> </w:t>
      </w:r>
      <w:r w:rsidR="00914A4E" w:rsidRPr="002207D4">
        <w:t>if the cost of</w:t>
      </w:r>
      <w:r w:rsidR="00DE10D4" w:rsidRPr="002207D4">
        <w:t xml:space="preserve"> the</w:t>
      </w:r>
      <w:r w:rsidR="009304BF" w:rsidRPr="002207D4">
        <w:t xml:space="preserve"> maximum </w:t>
      </w:r>
      <w:r w:rsidR="00907F73" w:rsidRPr="002207D4">
        <w:t>dispensed</w:t>
      </w:r>
      <w:r w:rsidR="009304BF" w:rsidRPr="002207D4">
        <w:t xml:space="preserve"> quantity </w:t>
      </w:r>
      <w:r w:rsidR="00914A4E" w:rsidRPr="002207D4">
        <w:t xml:space="preserve">for both drugs was equivalent </w:t>
      </w:r>
      <w:r w:rsidR="00DE10D4" w:rsidRPr="002207D4">
        <w:t>(i.e. 1500U of Dysport</w:t>
      </w:r>
      <w:r w:rsidR="00907F73" w:rsidRPr="002207D4">
        <w:rPr>
          <w:rFonts w:cs="Calibri"/>
        </w:rPr>
        <w:t>®</w:t>
      </w:r>
      <w:r w:rsidR="00DE10D4" w:rsidRPr="002207D4">
        <w:t xml:space="preserve"> and 400U of Botox</w:t>
      </w:r>
      <w:r w:rsidR="00907F73" w:rsidRPr="002207D4">
        <w:rPr>
          <w:rFonts w:cs="Calibri"/>
        </w:rPr>
        <w:t>®</w:t>
      </w:r>
      <w:r w:rsidR="00DE10D4" w:rsidRPr="002207D4">
        <w:t>)</w:t>
      </w:r>
      <w:r w:rsidR="00A03A33" w:rsidRPr="002207D4">
        <w:t xml:space="preserve">. </w:t>
      </w:r>
      <w:bookmarkStart w:id="21" w:name="_Toc8130381"/>
      <w:bookmarkStart w:id="22" w:name="_Toc9247893"/>
    </w:p>
    <w:p w:rsidR="00576B2D" w:rsidRPr="006C7919" w:rsidRDefault="00576B2D" w:rsidP="006C7919">
      <w:pPr>
        <w:keepLines/>
        <w:spacing w:after="120"/>
        <w:jc w:val="left"/>
        <w:outlineLvl w:val="1"/>
        <w:rPr>
          <w:rFonts w:asciiTheme="minorHAnsi" w:hAnsiTheme="minorHAnsi" w:cs="Times New Roman"/>
          <w:b/>
          <w:i/>
          <w:snapToGrid/>
          <w:sz w:val="28"/>
          <w:szCs w:val="28"/>
          <w:lang w:eastAsia="en-AU"/>
        </w:rPr>
      </w:pPr>
      <w:r w:rsidRPr="006C7919">
        <w:rPr>
          <w:rFonts w:asciiTheme="minorHAnsi" w:hAnsiTheme="minorHAnsi" w:cs="Times New Roman"/>
          <w:b/>
          <w:i/>
          <w:snapToGrid/>
          <w:sz w:val="28"/>
          <w:szCs w:val="28"/>
          <w:lang w:eastAsia="en-AU"/>
        </w:rPr>
        <w:t>Quality Use of Medicines</w:t>
      </w:r>
    </w:p>
    <w:p w:rsidR="00576B2D" w:rsidRDefault="00D76F24" w:rsidP="00576B2D">
      <w:pPr>
        <w:pStyle w:val="ListParagraph"/>
        <w:widowControl/>
        <w:numPr>
          <w:ilvl w:val="1"/>
          <w:numId w:val="1"/>
        </w:numPr>
        <w:ind w:left="720"/>
      </w:pPr>
      <w:r w:rsidRPr="00D76F24">
        <w:t>No quality use of medicines information was presented in the resubmission and the resubmission did not include any proposals for post-marketing surveillance studies.</w:t>
      </w:r>
    </w:p>
    <w:p w:rsidR="00375370" w:rsidRPr="002207D4" w:rsidRDefault="00375370" w:rsidP="00576B2D">
      <w:pPr>
        <w:pStyle w:val="ListParagraph"/>
        <w:widowControl/>
        <w:numPr>
          <w:ilvl w:val="1"/>
          <w:numId w:val="1"/>
        </w:numPr>
        <w:ind w:left="720"/>
      </w:pPr>
      <w:r w:rsidRPr="002207D4">
        <w:t xml:space="preserve">The </w:t>
      </w:r>
      <w:r w:rsidR="006605D0">
        <w:t xml:space="preserve">PBAC agreed </w:t>
      </w:r>
      <w:r w:rsidR="00D656F5">
        <w:t>with ESC, noting</w:t>
      </w:r>
      <w:r w:rsidRPr="002207D4">
        <w:t xml:space="preserve"> that the dos</w:t>
      </w:r>
      <w:r w:rsidR="00A55354" w:rsidRPr="002207D4">
        <w:t>e</w:t>
      </w:r>
      <w:r w:rsidRPr="002207D4">
        <w:t xml:space="preserve"> </w:t>
      </w:r>
      <w:r w:rsidR="00A55354" w:rsidRPr="002207D4">
        <w:t>calculation of Dysport</w:t>
      </w:r>
      <w:r w:rsidR="00D656F5">
        <w:rPr>
          <w:rFonts w:cs="Calibri"/>
        </w:rPr>
        <w:t>®</w:t>
      </w:r>
      <w:r w:rsidR="00A55354" w:rsidRPr="002207D4">
        <w:t xml:space="preserve"> can be complicated if patients require administration in both the upper and lower limbs.</w:t>
      </w:r>
      <w:r w:rsidR="00C91909" w:rsidRPr="002207D4">
        <w:t xml:space="preserve"> </w:t>
      </w:r>
      <w:r w:rsidR="00A55354" w:rsidRPr="002207D4">
        <w:t xml:space="preserve">In addition, </w:t>
      </w:r>
      <w:r w:rsidR="0074521E" w:rsidRPr="002207D4">
        <w:t>Dysport</w:t>
      </w:r>
      <w:r w:rsidR="00D656F5">
        <w:rPr>
          <w:rFonts w:cs="Calibri"/>
        </w:rPr>
        <w:t>®</w:t>
      </w:r>
      <w:r w:rsidR="0074521E" w:rsidRPr="002207D4">
        <w:t xml:space="preserve"> and Botox</w:t>
      </w:r>
      <w:r w:rsidR="00D656F5">
        <w:rPr>
          <w:rFonts w:cs="Calibri"/>
        </w:rPr>
        <w:t>®</w:t>
      </w:r>
      <w:r w:rsidR="0074521E" w:rsidRPr="002207D4">
        <w:t xml:space="preserve"> are not interchangeable</w:t>
      </w:r>
      <w:r w:rsidR="00C91909" w:rsidRPr="002207D4">
        <w:t xml:space="preserve">. </w:t>
      </w:r>
    </w:p>
    <w:p w:rsidR="002E71EC" w:rsidRPr="006C7919" w:rsidRDefault="002E71EC" w:rsidP="006C7919">
      <w:pPr>
        <w:keepLines/>
        <w:spacing w:after="120"/>
        <w:jc w:val="left"/>
        <w:outlineLvl w:val="1"/>
        <w:rPr>
          <w:rFonts w:asciiTheme="minorHAnsi" w:hAnsiTheme="minorHAnsi" w:cs="Times New Roman"/>
          <w:b/>
          <w:i/>
          <w:snapToGrid/>
          <w:sz w:val="28"/>
          <w:szCs w:val="28"/>
          <w:lang w:eastAsia="en-AU"/>
        </w:rPr>
      </w:pPr>
      <w:r w:rsidRPr="006C7919">
        <w:rPr>
          <w:rFonts w:asciiTheme="minorHAnsi" w:hAnsiTheme="minorHAnsi" w:cs="Times New Roman"/>
          <w:b/>
          <w:i/>
          <w:snapToGrid/>
          <w:sz w:val="28"/>
          <w:szCs w:val="28"/>
          <w:lang w:eastAsia="en-AU"/>
        </w:rPr>
        <w:t>Financial Management – Risk Sharing Arrangements</w:t>
      </w:r>
      <w:bookmarkEnd w:id="21"/>
      <w:bookmarkEnd w:id="22"/>
    </w:p>
    <w:p w:rsidR="002E71EC" w:rsidRDefault="002E71EC" w:rsidP="00576B2D">
      <w:pPr>
        <w:pStyle w:val="ListParagraph"/>
        <w:widowControl/>
        <w:numPr>
          <w:ilvl w:val="1"/>
          <w:numId w:val="1"/>
        </w:numPr>
        <w:ind w:left="720"/>
      </w:pPr>
      <w:r w:rsidRPr="005B43D0">
        <w:t xml:space="preserve">The resubmission stated the </w:t>
      </w:r>
      <w:r w:rsidR="00372A21">
        <w:t>sponsor</w:t>
      </w:r>
      <w:r w:rsidRPr="005B43D0">
        <w:t xml:space="preserve"> was willing to enter a </w:t>
      </w:r>
      <w:r w:rsidR="00D07DFC">
        <w:t>risk sharing arrangement (</w:t>
      </w:r>
      <w:r w:rsidRPr="005B43D0">
        <w:t>RSA</w:t>
      </w:r>
      <w:r w:rsidR="00D07DFC">
        <w:t>)</w:t>
      </w:r>
      <w:r w:rsidRPr="005B43D0">
        <w:t xml:space="preserve"> due to uncertainty in the estimated eligible population and the risk of leakage of Dysport® use outside of the requested restriction into non-stroke patients. The </w:t>
      </w:r>
      <w:r w:rsidR="00372A21">
        <w:t>sponsor</w:t>
      </w:r>
      <w:r w:rsidRPr="005B43D0">
        <w:t xml:space="preserve"> was willing to discuss the design of the RSA through the course of the resubmission, noting that an RSA was designed in March 2019 PBAC meeting whereby in their first year incident patients receive four </w:t>
      </w:r>
      <w:r>
        <w:t>Government</w:t>
      </w:r>
      <w:r w:rsidRPr="005B43D0">
        <w:t xml:space="preserve">-funded treatments, and in the remaining years, the </w:t>
      </w:r>
      <w:r>
        <w:t>Government</w:t>
      </w:r>
      <w:r w:rsidRPr="005B43D0">
        <w:t xml:space="preserve"> would fund two injections while the </w:t>
      </w:r>
      <w:r w:rsidR="00372A21">
        <w:t>sponsor</w:t>
      </w:r>
      <w:r w:rsidRPr="005B43D0">
        <w:t xml:space="preserve"> rebates the cost of the remaining two.</w:t>
      </w:r>
    </w:p>
    <w:p w:rsidR="0073287B" w:rsidRDefault="0073287B" w:rsidP="0073287B">
      <w:pPr>
        <w:pStyle w:val="ListParagraph"/>
        <w:widowControl/>
        <w:rPr>
          <w:i/>
        </w:rPr>
      </w:pPr>
      <w:r w:rsidRPr="0073287B">
        <w:rPr>
          <w:i/>
        </w:rPr>
        <w:t>For more detail on PBAC’s view, see Section 7 PBAC outcome.</w:t>
      </w:r>
    </w:p>
    <w:p w:rsidR="0073287B" w:rsidRPr="005D0E1C" w:rsidRDefault="0073287B" w:rsidP="005D0E1C">
      <w:pPr>
        <w:pStyle w:val="PBACHeading1"/>
        <w:keepNext/>
        <w:keepLines/>
        <w:numPr>
          <w:ilvl w:val="0"/>
          <w:numId w:val="1"/>
        </w:numPr>
        <w:spacing w:after="120"/>
        <w:rPr>
          <w:rFonts w:asciiTheme="minorHAnsi" w:hAnsiTheme="minorHAnsi" w:cstheme="minorHAnsi"/>
          <w:szCs w:val="28"/>
        </w:rPr>
      </w:pPr>
      <w:r w:rsidRPr="005D0E1C">
        <w:rPr>
          <w:rFonts w:asciiTheme="minorHAnsi" w:hAnsiTheme="minorHAnsi" w:cstheme="minorHAnsi"/>
          <w:szCs w:val="28"/>
        </w:rPr>
        <w:t>PBAC Outcome</w:t>
      </w:r>
    </w:p>
    <w:p w:rsidR="00326606" w:rsidRDefault="0073287B" w:rsidP="0073287B">
      <w:pPr>
        <w:numPr>
          <w:ilvl w:val="1"/>
          <w:numId w:val="1"/>
        </w:numPr>
        <w:spacing w:after="120"/>
        <w:ind w:left="720"/>
        <w:rPr>
          <w:rFonts w:asciiTheme="minorHAnsi" w:hAnsiTheme="minorHAnsi"/>
          <w:bCs/>
          <w:lang w:val="en-GB"/>
        </w:rPr>
      </w:pPr>
      <w:r w:rsidRPr="00525B39">
        <w:rPr>
          <w:rFonts w:asciiTheme="minorHAnsi" w:hAnsiTheme="minorHAnsi"/>
          <w:bCs/>
          <w:lang w:val="en-GB"/>
        </w:rPr>
        <w:t xml:space="preserve">The PBAC recommended the </w:t>
      </w:r>
      <w:r w:rsidR="00D02F11">
        <w:rPr>
          <w:rFonts w:asciiTheme="minorHAnsi" w:hAnsiTheme="minorHAnsi"/>
          <w:bCs/>
          <w:lang w:val="en-GB"/>
        </w:rPr>
        <w:t>Section 100 (Botulinum Toxin Program), Authority Required (STREAMLINED) listing of botulinum toxin type A (Dysport®) for focal spasticity of the lower limb</w:t>
      </w:r>
      <w:r w:rsidR="0060109F">
        <w:rPr>
          <w:rFonts w:asciiTheme="minorHAnsi" w:hAnsiTheme="minorHAnsi"/>
          <w:bCs/>
          <w:lang w:val="en-GB"/>
        </w:rPr>
        <w:t xml:space="preserve"> (LLFS)</w:t>
      </w:r>
      <w:r w:rsidR="00D02F11">
        <w:rPr>
          <w:rFonts w:asciiTheme="minorHAnsi" w:hAnsiTheme="minorHAnsi"/>
          <w:bCs/>
          <w:lang w:val="en-GB"/>
        </w:rPr>
        <w:t xml:space="preserve"> following stroke or other acute neurological event</w:t>
      </w:r>
      <w:r w:rsidR="00254868">
        <w:rPr>
          <w:rFonts w:asciiTheme="minorHAnsi" w:hAnsiTheme="minorHAnsi"/>
          <w:bCs/>
          <w:lang w:val="en-GB"/>
        </w:rPr>
        <w:t xml:space="preserve"> on a cost minimisation basis with botulinum toxin type A (Botox®)</w:t>
      </w:r>
      <w:r w:rsidR="00725E4C">
        <w:rPr>
          <w:rFonts w:asciiTheme="minorHAnsi" w:hAnsiTheme="minorHAnsi"/>
          <w:bCs/>
          <w:lang w:val="en-GB"/>
        </w:rPr>
        <w:t xml:space="preserve">. </w:t>
      </w:r>
      <w:r w:rsidR="00326606">
        <w:rPr>
          <w:rFonts w:asciiTheme="minorHAnsi" w:hAnsiTheme="minorHAnsi"/>
          <w:bCs/>
          <w:lang w:val="en-GB"/>
        </w:rPr>
        <w:t>On the basis of the indirect comparison presented, the PBAC was satisfied that Dysport</w:t>
      </w:r>
      <w:r w:rsidR="00326606">
        <w:rPr>
          <w:rFonts w:asciiTheme="minorHAnsi" w:hAnsiTheme="minorHAnsi" w:cstheme="minorHAnsi"/>
          <w:bCs/>
          <w:lang w:val="en-GB"/>
        </w:rPr>
        <w:t>®</w:t>
      </w:r>
      <w:r w:rsidR="00326606">
        <w:rPr>
          <w:rFonts w:asciiTheme="minorHAnsi" w:hAnsiTheme="minorHAnsi"/>
          <w:bCs/>
          <w:lang w:val="en-GB"/>
        </w:rPr>
        <w:t xml:space="preserve"> was non-inferior </w:t>
      </w:r>
      <w:r w:rsidR="00326606">
        <w:rPr>
          <w:rFonts w:asciiTheme="minorHAnsi" w:hAnsiTheme="minorHAnsi"/>
          <w:bCs/>
          <w:lang w:val="en-GB"/>
        </w:rPr>
        <w:lastRenderedPageBreak/>
        <w:t>to Botox</w:t>
      </w:r>
      <w:r w:rsidR="00326606">
        <w:rPr>
          <w:rFonts w:asciiTheme="minorHAnsi" w:hAnsiTheme="minorHAnsi" w:cstheme="minorHAnsi"/>
          <w:bCs/>
          <w:lang w:val="en-GB"/>
        </w:rPr>
        <w:t>®</w:t>
      </w:r>
      <w:r w:rsidR="00326606">
        <w:rPr>
          <w:rFonts w:asciiTheme="minorHAnsi" w:hAnsiTheme="minorHAnsi"/>
          <w:bCs/>
          <w:lang w:val="en-GB"/>
        </w:rPr>
        <w:t xml:space="preserve"> in terms of comparative efficacy and safety, and provided, for some patients, an improvement in efficacy over standard of care. </w:t>
      </w:r>
    </w:p>
    <w:p w:rsidR="00B17606" w:rsidRDefault="00B17606" w:rsidP="00230DA2">
      <w:pPr>
        <w:numPr>
          <w:ilvl w:val="1"/>
          <w:numId w:val="1"/>
        </w:numPr>
        <w:spacing w:after="120"/>
        <w:ind w:left="720"/>
        <w:rPr>
          <w:rFonts w:asciiTheme="minorHAnsi" w:hAnsiTheme="minorHAnsi"/>
          <w:bCs/>
          <w:lang w:val="en-GB"/>
        </w:rPr>
      </w:pPr>
      <w:r w:rsidRPr="00326606">
        <w:rPr>
          <w:rFonts w:asciiTheme="minorHAnsi" w:hAnsiTheme="minorHAnsi"/>
          <w:bCs/>
          <w:lang w:val="en-GB"/>
        </w:rPr>
        <w:t>The PBAC recalled that the</w:t>
      </w:r>
      <w:r w:rsidR="007F20FF" w:rsidRPr="00326606">
        <w:rPr>
          <w:rFonts w:asciiTheme="minorHAnsi" w:hAnsiTheme="minorHAnsi"/>
          <w:bCs/>
          <w:lang w:val="en-GB"/>
        </w:rPr>
        <w:t xml:space="preserve"> listing o</w:t>
      </w:r>
      <w:r w:rsidR="00326606">
        <w:rPr>
          <w:rFonts w:asciiTheme="minorHAnsi" w:hAnsiTheme="minorHAnsi"/>
          <w:bCs/>
          <w:lang w:val="en-GB"/>
        </w:rPr>
        <w:t>f</w:t>
      </w:r>
      <w:r w:rsidR="007F20FF" w:rsidRPr="00326606">
        <w:rPr>
          <w:rFonts w:asciiTheme="minorHAnsi" w:hAnsiTheme="minorHAnsi"/>
          <w:bCs/>
          <w:lang w:val="en-GB"/>
        </w:rPr>
        <w:t xml:space="preserve"> </w:t>
      </w:r>
      <w:r w:rsidRPr="00326606">
        <w:rPr>
          <w:rFonts w:asciiTheme="minorHAnsi" w:hAnsiTheme="minorHAnsi"/>
          <w:bCs/>
          <w:lang w:val="en-GB"/>
        </w:rPr>
        <w:t>botulinum toxin type A (BoNT) for the treatment of moderate to severe LLFS following st</w:t>
      </w:r>
      <w:r w:rsidR="00C33847" w:rsidRPr="00326606">
        <w:rPr>
          <w:rFonts w:asciiTheme="minorHAnsi" w:hAnsiTheme="minorHAnsi"/>
          <w:bCs/>
          <w:lang w:val="en-GB"/>
        </w:rPr>
        <w:t>roke or other acute events</w:t>
      </w:r>
      <w:r w:rsidR="007F20FF" w:rsidRPr="00326606">
        <w:rPr>
          <w:rFonts w:asciiTheme="minorHAnsi" w:hAnsiTheme="minorHAnsi"/>
          <w:bCs/>
          <w:lang w:val="en-GB"/>
        </w:rPr>
        <w:t xml:space="preserve"> </w:t>
      </w:r>
      <w:r w:rsidR="00097640">
        <w:rPr>
          <w:rFonts w:asciiTheme="minorHAnsi" w:hAnsiTheme="minorHAnsi"/>
          <w:bCs/>
          <w:lang w:val="en-GB"/>
        </w:rPr>
        <w:t xml:space="preserve">(including traumatic brain and spinal cord injuries) </w:t>
      </w:r>
      <w:r w:rsidR="007F20FF" w:rsidRPr="00326606">
        <w:rPr>
          <w:rFonts w:asciiTheme="minorHAnsi" w:hAnsiTheme="minorHAnsi"/>
          <w:bCs/>
          <w:lang w:val="en-GB"/>
        </w:rPr>
        <w:t xml:space="preserve">was supported by </w:t>
      </w:r>
      <w:r w:rsidR="000B42C3" w:rsidRPr="00326606">
        <w:rPr>
          <w:rFonts w:asciiTheme="minorHAnsi" w:hAnsiTheme="minorHAnsi"/>
          <w:bCs/>
          <w:lang w:val="en-GB"/>
        </w:rPr>
        <w:t>the Rehabilitation Medicine Society of Australia and New Zealand (RMSANZ</w:t>
      </w:r>
      <w:r w:rsidR="009E275A">
        <w:rPr>
          <w:rFonts w:asciiTheme="minorHAnsi" w:hAnsiTheme="minorHAnsi"/>
          <w:bCs/>
          <w:lang w:val="en-GB"/>
        </w:rPr>
        <w:t>).</w:t>
      </w:r>
      <w:r w:rsidRPr="00326606">
        <w:rPr>
          <w:rFonts w:asciiTheme="minorHAnsi" w:hAnsiTheme="minorHAnsi"/>
          <w:bCs/>
          <w:lang w:val="en-GB"/>
        </w:rPr>
        <w:t xml:space="preserve"> </w:t>
      </w:r>
      <w:r w:rsidR="00312C13" w:rsidRPr="00326606">
        <w:rPr>
          <w:rFonts w:asciiTheme="minorHAnsi" w:hAnsiTheme="minorHAnsi"/>
          <w:bCs/>
          <w:lang w:val="en-GB"/>
        </w:rPr>
        <w:t xml:space="preserve">The PBAC noted </w:t>
      </w:r>
      <w:r w:rsidR="00097640">
        <w:rPr>
          <w:rFonts w:asciiTheme="minorHAnsi" w:hAnsiTheme="minorHAnsi"/>
          <w:bCs/>
          <w:lang w:val="en-GB"/>
        </w:rPr>
        <w:t xml:space="preserve">that it had previously considered that, despite the lack of clinical trials in patients with spasticity following an acute event other than stroke, that the effectiveness of BoNT in these patients was </w:t>
      </w:r>
      <w:r w:rsidRPr="00326606">
        <w:rPr>
          <w:rFonts w:asciiTheme="minorHAnsi" w:hAnsiTheme="minorHAnsi"/>
          <w:bCs/>
          <w:lang w:val="en-GB"/>
        </w:rPr>
        <w:t>biologically plausible</w:t>
      </w:r>
      <w:r w:rsidR="00312C13" w:rsidRPr="00326606">
        <w:rPr>
          <w:rFonts w:asciiTheme="minorHAnsi" w:hAnsiTheme="minorHAnsi"/>
          <w:bCs/>
          <w:lang w:val="en-GB"/>
        </w:rPr>
        <w:t xml:space="preserve">. </w:t>
      </w:r>
      <w:r w:rsidR="00A40985" w:rsidRPr="00326606">
        <w:rPr>
          <w:rFonts w:asciiTheme="minorHAnsi" w:hAnsiTheme="minorHAnsi"/>
          <w:bCs/>
          <w:lang w:val="en-GB"/>
        </w:rPr>
        <w:t xml:space="preserve"> </w:t>
      </w:r>
    </w:p>
    <w:p w:rsidR="00D07DFC" w:rsidRDefault="00097640" w:rsidP="00097640">
      <w:pPr>
        <w:numPr>
          <w:ilvl w:val="1"/>
          <w:numId w:val="1"/>
        </w:numPr>
        <w:spacing w:after="120"/>
        <w:ind w:left="720"/>
        <w:rPr>
          <w:rFonts w:asciiTheme="minorHAnsi" w:hAnsiTheme="minorHAnsi"/>
          <w:bCs/>
          <w:lang w:val="en-GB"/>
        </w:rPr>
      </w:pPr>
      <w:r w:rsidRPr="009E275A">
        <w:rPr>
          <w:rFonts w:asciiTheme="minorHAnsi" w:hAnsiTheme="minorHAnsi"/>
          <w:bCs/>
          <w:lang w:val="en-GB"/>
        </w:rPr>
        <w:t>The PBAC considered that the equi-effective doses of Dysport</w:t>
      </w:r>
      <w:r w:rsidRPr="009E275A">
        <w:rPr>
          <w:rFonts w:asciiTheme="minorHAnsi" w:hAnsiTheme="minorHAnsi" w:cstheme="minorHAnsi"/>
          <w:bCs/>
          <w:lang w:val="en-GB"/>
        </w:rPr>
        <w:t>®</w:t>
      </w:r>
      <w:r w:rsidRPr="009E275A">
        <w:rPr>
          <w:rFonts w:asciiTheme="minorHAnsi" w:hAnsiTheme="minorHAnsi"/>
          <w:bCs/>
          <w:lang w:val="en-GB"/>
        </w:rPr>
        <w:t xml:space="preserve"> and Botox</w:t>
      </w:r>
      <w:r w:rsidRPr="009E275A">
        <w:rPr>
          <w:rFonts w:asciiTheme="minorHAnsi" w:hAnsiTheme="minorHAnsi" w:cstheme="minorHAnsi"/>
          <w:bCs/>
          <w:lang w:val="en-GB"/>
        </w:rPr>
        <w:t>®</w:t>
      </w:r>
      <w:r w:rsidRPr="009E275A">
        <w:rPr>
          <w:rFonts w:asciiTheme="minorHAnsi" w:hAnsiTheme="minorHAnsi"/>
          <w:bCs/>
          <w:lang w:val="en-GB"/>
        </w:rPr>
        <w:t xml:space="preserve"> should be based on the maximum dispensed quantities which would result in equivalent treatment costs per cycle. The PBAC considered that the equi-effective doses were:  </w:t>
      </w:r>
    </w:p>
    <w:p w:rsidR="00097640" w:rsidRDefault="00097640" w:rsidP="00D07DFC">
      <w:pPr>
        <w:spacing w:after="120"/>
        <w:ind w:left="1080" w:firstLine="360"/>
        <w:rPr>
          <w:rFonts w:asciiTheme="minorHAnsi" w:hAnsiTheme="minorHAnsi"/>
          <w:bCs/>
          <w:lang w:val="en-GB"/>
        </w:rPr>
      </w:pPr>
      <w:r w:rsidRPr="009E275A">
        <w:rPr>
          <w:rFonts w:asciiTheme="minorHAnsi" w:hAnsiTheme="minorHAnsi"/>
          <w:bCs/>
          <w:lang w:val="en-GB"/>
        </w:rPr>
        <w:t>3.75U Dysport® and 1U Botox® (i.e. 1500U Dysport</w:t>
      </w:r>
      <w:r w:rsidRPr="009E275A">
        <w:rPr>
          <w:rFonts w:asciiTheme="minorHAnsi" w:hAnsiTheme="minorHAnsi" w:cstheme="minorHAnsi"/>
          <w:bCs/>
          <w:lang w:val="en-GB"/>
        </w:rPr>
        <w:t>®</w:t>
      </w:r>
      <w:r w:rsidRPr="009E275A">
        <w:rPr>
          <w:rFonts w:asciiTheme="minorHAnsi" w:hAnsiTheme="minorHAnsi"/>
          <w:bCs/>
          <w:lang w:val="en-GB"/>
        </w:rPr>
        <w:t xml:space="preserve"> = 400U Botox</w:t>
      </w:r>
      <w:r w:rsidRPr="009E275A">
        <w:rPr>
          <w:rFonts w:asciiTheme="minorHAnsi" w:hAnsiTheme="minorHAnsi" w:cstheme="minorHAnsi"/>
          <w:bCs/>
          <w:lang w:val="en-GB"/>
        </w:rPr>
        <w:t>®</w:t>
      </w:r>
      <w:r w:rsidRPr="009E275A">
        <w:rPr>
          <w:rFonts w:asciiTheme="minorHAnsi" w:hAnsiTheme="minorHAnsi"/>
          <w:bCs/>
          <w:lang w:val="en-GB"/>
        </w:rPr>
        <w:t>).</w:t>
      </w:r>
    </w:p>
    <w:p w:rsidR="009E275A" w:rsidRPr="00E871FD" w:rsidRDefault="009E275A" w:rsidP="009E275A">
      <w:pPr>
        <w:numPr>
          <w:ilvl w:val="1"/>
          <w:numId w:val="1"/>
        </w:numPr>
        <w:spacing w:after="120"/>
        <w:ind w:left="720"/>
        <w:rPr>
          <w:rFonts w:asciiTheme="minorHAnsi" w:hAnsiTheme="minorHAnsi"/>
          <w:bCs/>
          <w:lang w:val="en-GB"/>
        </w:rPr>
      </w:pPr>
      <w:r w:rsidRPr="00E871FD">
        <w:rPr>
          <w:rFonts w:asciiTheme="minorHAnsi" w:hAnsiTheme="minorHAnsi"/>
          <w:bCs/>
          <w:lang w:val="en-GB"/>
        </w:rPr>
        <w:t>The PBAC considered that Botox® was the appropriate comparator.</w:t>
      </w:r>
    </w:p>
    <w:p w:rsidR="00E966CA" w:rsidRPr="009E275A" w:rsidRDefault="008E4FC8" w:rsidP="00E966CA">
      <w:pPr>
        <w:numPr>
          <w:ilvl w:val="1"/>
          <w:numId w:val="1"/>
        </w:numPr>
        <w:spacing w:after="120"/>
        <w:ind w:left="720"/>
        <w:rPr>
          <w:rFonts w:asciiTheme="minorHAnsi" w:hAnsiTheme="minorHAnsi"/>
          <w:bCs/>
          <w:lang w:val="en-GB"/>
        </w:rPr>
      </w:pPr>
      <w:r w:rsidRPr="009E275A">
        <w:rPr>
          <w:rFonts w:asciiTheme="minorHAnsi" w:hAnsiTheme="minorHAnsi"/>
          <w:bCs/>
          <w:lang w:val="en-GB"/>
        </w:rPr>
        <w:t>The PBAC noted that</w:t>
      </w:r>
      <w:r w:rsidR="00A6473B" w:rsidRPr="009E275A">
        <w:rPr>
          <w:rFonts w:asciiTheme="minorHAnsi" w:hAnsiTheme="minorHAnsi"/>
          <w:bCs/>
          <w:lang w:val="en-GB"/>
        </w:rPr>
        <w:t xml:space="preserve"> the basis of the resubmission was an</w:t>
      </w:r>
      <w:r w:rsidRPr="009E275A">
        <w:rPr>
          <w:rFonts w:asciiTheme="minorHAnsi" w:hAnsiTheme="minorHAnsi"/>
          <w:bCs/>
          <w:lang w:val="en-GB"/>
        </w:rPr>
        <w:t xml:space="preserve"> indirect comparison </w:t>
      </w:r>
      <w:r w:rsidR="00D10829" w:rsidRPr="009E275A">
        <w:rPr>
          <w:rFonts w:asciiTheme="minorHAnsi" w:hAnsiTheme="minorHAnsi"/>
          <w:bCs/>
          <w:lang w:val="en-GB"/>
        </w:rPr>
        <w:t>between</w:t>
      </w:r>
      <w:r w:rsidRPr="009E275A">
        <w:rPr>
          <w:rFonts w:asciiTheme="minorHAnsi" w:hAnsiTheme="minorHAnsi"/>
          <w:bCs/>
          <w:lang w:val="en-GB"/>
        </w:rPr>
        <w:t xml:space="preserve"> Dysport® </w:t>
      </w:r>
      <w:r w:rsidR="00D10829" w:rsidRPr="009E275A">
        <w:rPr>
          <w:rFonts w:asciiTheme="minorHAnsi" w:hAnsiTheme="minorHAnsi"/>
          <w:bCs/>
          <w:lang w:val="en-GB"/>
        </w:rPr>
        <w:t>and</w:t>
      </w:r>
      <w:r w:rsidRPr="009E275A">
        <w:rPr>
          <w:rFonts w:asciiTheme="minorHAnsi" w:hAnsiTheme="minorHAnsi"/>
          <w:bCs/>
          <w:lang w:val="en-GB"/>
        </w:rPr>
        <w:t xml:space="preserve"> Botox®</w:t>
      </w:r>
      <w:r w:rsidR="00D10829" w:rsidRPr="009E275A">
        <w:rPr>
          <w:rFonts w:asciiTheme="minorHAnsi" w:hAnsiTheme="minorHAnsi"/>
          <w:bCs/>
          <w:lang w:val="en-GB"/>
        </w:rPr>
        <w:t>, with</w:t>
      </w:r>
      <w:r w:rsidRPr="009E275A">
        <w:rPr>
          <w:rFonts w:asciiTheme="minorHAnsi" w:hAnsiTheme="minorHAnsi"/>
          <w:bCs/>
          <w:lang w:val="en-GB"/>
        </w:rPr>
        <w:t xml:space="preserve"> placebo</w:t>
      </w:r>
      <w:r w:rsidR="00A6473B" w:rsidRPr="009E275A">
        <w:rPr>
          <w:rFonts w:asciiTheme="minorHAnsi" w:hAnsiTheme="minorHAnsi"/>
          <w:bCs/>
          <w:lang w:val="en-GB"/>
        </w:rPr>
        <w:t xml:space="preserve"> as </w:t>
      </w:r>
      <w:r w:rsidR="00D10829" w:rsidRPr="009E275A">
        <w:rPr>
          <w:rFonts w:asciiTheme="minorHAnsi" w:hAnsiTheme="minorHAnsi"/>
          <w:bCs/>
          <w:lang w:val="en-GB"/>
        </w:rPr>
        <w:t xml:space="preserve">the </w:t>
      </w:r>
      <w:r w:rsidR="00A6473B" w:rsidRPr="009E275A">
        <w:rPr>
          <w:rFonts w:asciiTheme="minorHAnsi" w:hAnsiTheme="minorHAnsi"/>
          <w:bCs/>
          <w:lang w:val="en-GB"/>
        </w:rPr>
        <w:t xml:space="preserve">common reference. The key trials </w:t>
      </w:r>
      <w:r w:rsidR="00D10829" w:rsidRPr="009E275A">
        <w:rPr>
          <w:rFonts w:asciiTheme="minorHAnsi" w:hAnsiTheme="minorHAnsi"/>
          <w:bCs/>
          <w:lang w:val="en-GB"/>
        </w:rPr>
        <w:t>were</w:t>
      </w:r>
      <w:r w:rsidR="00A6473B" w:rsidRPr="009E275A">
        <w:rPr>
          <w:rFonts w:asciiTheme="minorHAnsi" w:hAnsiTheme="minorHAnsi"/>
          <w:bCs/>
          <w:lang w:val="en-GB"/>
        </w:rPr>
        <w:t xml:space="preserve"> three single dose</w:t>
      </w:r>
      <w:r w:rsidR="00D10829" w:rsidRPr="009E275A">
        <w:rPr>
          <w:rFonts w:asciiTheme="minorHAnsi" w:hAnsiTheme="minorHAnsi"/>
          <w:bCs/>
          <w:lang w:val="en-GB"/>
        </w:rPr>
        <w:t>,</w:t>
      </w:r>
      <w:r w:rsidR="00A6473B" w:rsidRPr="009E275A">
        <w:rPr>
          <w:rFonts w:asciiTheme="minorHAnsi" w:hAnsiTheme="minorHAnsi"/>
          <w:bCs/>
          <w:lang w:val="en-GB"/>
        </w:rPr>
        <w:t xml:space="preserve"> double blind</w:t>
      </w:r>
      <w:r w:rsidR="00D10829" w:rsidRPr="009E275A">
        <w:rPr>
          <w:rFonts w:asciiTheme="minorHAnsi" w:hAnsiTheme="minorHAnsi"/>
          <w:bCs/>
          <w:lang w:val="en-GB"/>
        </w:rPr>
        <w:t>,</w:t>
      </w:r>
      <w:r w:rsidR="00A6473B" w:rsidRPr="009E275A">
        <w:rPr>
          <w:rFonts w:asciiTheme="minorHAnsi" w:hAnsiTheme="minorHAnsi"/>
          <w:bCs/>
          <w:lang w:val="en-GB"/>
        </w:rPr>
        <w:t xml:space="preserve"> randomised controlled trials, comparing Dysport® 1500U (Study 140), Botox® 300U (Trial 512) </w:t>
      </w:r>
      <w:r w:rsidR="00D10829" w:rsidRPr="009E275A">
        <w:rPr>
          <w:rFonts w:asciiTheme="minorHAnsi" w:hAnsiTheme="minorHAnsi"/>
          <w:bCs/>
          <w:lang w:val="en-GB"/>
        </w:rPr>
        <w:t>and</w:t>
      </w:r>
      <w:r w:rsidR="00A6473B" w:rsidRPr="009E275A">
        <w:rPr>
          <w:rFonts w:asciiTheme="minorHAnsi" w:hAnsiTheme="minorHAnsi"/>
          <w:bCs/>
          <w:lang w:val="en-GB"/>
        </w:rPr>
        <w:t xml:space="preserve"> Botox® 300U to 400U (REFLEX) to placebo.</w:t>
      </w:r>
      <w:r w:rsidR="00421F6B" w:rsidRPr="009E275A">
        <w:rPr>
          <w:rFonts w:asciiTheme="minorHAnsi" w:hAnsiTheme="minorHAnsi"/>
          <w:bCs/>
          <w:lang w:val="en-GB"/>
        </w:rPr>
        <w:t xml:space="preserve"> </w:t>
      </w:r>
      <w:r w:rsidR="00E966CA" w:rsidRPr="009E275A">
        <w:rPr>
          <w:rFonts w:asciiTheme="minorHAnsi" w:hAnsiTheme="minorHAnsi"/>
          <w:bCs/>
          <w:lang w:val="en-GB"/>
        </w:rPr>
        <w:t xml:space="preserve">The PBAC noted that </w:t>
      </w:r>
      <w:r w:rsidR="00D10829" w:rsidRPr="009E275A">
        <w:rPr>
          <w:rFonts w:asciiTheme="minorHAnsi" w:hAnsiTheme="minorHAnsi"/>
          <w:bCs/>
          <w:lang w:val="en-GB"/>
        </w:rPr>
        <w:t>it had considered Study 140 in relation to the November 2018 Dysport</w:t>
      </w:r>
      <w:r w:rsidR="00D10829" w:rsidRPr="009E275A">
        <w:rPr>
          <w:rFonts w:asciiTheme="minorHAnsi" w:hAnsiTheme="minorHAnsi" w:cstheme="minorHAnsi"/>
          <w:bCs/>
          <w:lang w:val="en-GB"/>
        </w:rPr>
        <w:t>®</w:t>
      </w:r>
      <w:r w:rsidR="00D10829" w:rsidRPr="009E275A">
        <w:rPr>
          <w:rFonts w:asciiTheme="minorHAnsi" w:hAnsiTheme="minorHAnsi"/>
          <w:bCs/>
          <w:lang w:val="en-GB"/>
        </w:rPr>
        <w:t xml:space="preserve"> submission and Trial 512 and REFLEX in the November 2018 and March 2019 Botox</w:t>
      </w:r>
      <w:r w:rsidR="00D10829" w:rsidRPr="009E275A">
        <w:rPr>
          <w:rFonts w:asciiTheme="minorHAnsi" w:hAnsiTheme="minorHAnsi" w:cstheme="minorHAnsi"/>
          <w:bCs/>
          <w:lang w:val="en-GB"/>
        </w:rPr>
        <w:t>®</w:t>
      </w:r>
      <w:r w:rsidR="00D10829" w:rsidRPr="009E275A">
        <w:rPr>
          <w:rFonts w:asciiTheme="minorHAnsi" w:hAnsiTheme="minorHAnsi"/>
          <w:bCs/>
          <w:lang w:val="en-GB"/>
        </w:rPr>
        <w:t xml:space="preserve"> submissions</w:t>
      </w:r>
      <w:r w:rsidR="00E966CA" w:rsidRPr="009E275A">
        <w:rPr>
          <w:rFonts w:asciiTheme="minorHAnsi" w:hAnsiTheme="minorHAnsi"/>
          <w:bCs/>
          <w:lang w:val="en-GB"/>
        </w:rPr>
        <w:t xml:space="preserve">. </w:t>
      </w:r>
    </w:p>
    <w:p w:rsidR="006C1E73" w:rsidRPr="00AE49E7" w:rsidRDefault="00A2457F" w:rsidP="00E966CA">
      <w:pPr>
        <w:numPr>
          <w:ilvl w:val="1"/>
          <w:numId w:val="1"/>
        </w:numPr>
        <w:spacing w:after="120"/>
        <w:ind w:left="720"/>
        <w:rPr>
          <w:rFonts w:asciiTheme="minorHAnsi" w:hAnsiTheme="minorHAnsi"/>
          <w:bCs/>
          <w:lang w:val="en-GB"/>
        </w:rPr>
      </w:pPr>
      <w:r w:rsidRPr="00AE49E7">
        <w:rPr>
          <w:rFonts w:asciiTheme="minorHAnsi" w:hAnsiTheme="minorHAnsi"/>
          <w:bCs/>
          <w:lang w:val="en-GB"/>
        </w:rPr>
        <w:t>The PBAC noted that there were a number of important differences across the trials that might have biased the meta-analysis of the Botox® trials and limited the exchangeability of the three tr</w:t>
      </w:r>
      <w:r w:rsidR="006C1E73" w:rsidRPr="00AE49E7">
        <w:rPr>
          <w:rFonts w:asciiTheme="minorHAnsi" w:hAnsiTheme="minorHAnsi"/>
          <w:bCs/>
          <w:lang w:val="en-GB"/>
        </w:rPr>
        <w:t>ials in the indirect comparison</w:t>
      </w:r>
      <w:r w:rsidR="009E275A" w:rsidRPr="00AE49E7">
        <w:rPr>
          <w:rFonts w:asciiTheme="minorHAnsi" w:hAnsiTheme="minorHAnsi"/>
          <w:bCs/>
          <w:lang w:val="en-GB"/>
        </w:rPr>
        <w:t>, including</w:t>
      </w:r>
      <w:r w:rsidR="006C1E73" w:rsidRPr="00AE49E7">
        <w:rPr>
          <w:rFonts w:asciiTheme="minorHAnsi" w:hAnsiTheme="minorHAnsi"/>
          <w:bCs/>
          <w:lang w:val="en-GB"/>
        </w:rPr>
        <w:t>:</w:t>
      </w:r>
    </w:p>
    <w:p w:rsidR="006C1E73" w:rsidRPr="006C1E73" w:rsidRDefault="006C1E73" w:rsidP="00AE49E7">
      <w:pPr>
        <w:pStyle w:val="ListParagraph"/>
        <w:numPr>
          <w:ilvl w:val="0"/>
          <w:numId w:val="14"/>
        </w:numPr>
        <w:spacing w:after="120"/>
        <w:ind w:left="1134" w:hanging="357"/>
        <w:rPr>
          <w:iCs/>
        </w:rPr>
      </w:pPr>
      <w:r w:rsidRPr="006C1E73">
        <w:rPr>
          <w:iCs/>
        </w:rPr>
        <w:t>Study 140 and REFLEX were multi-centre multi-country trials, whereas Trial 512 only enrolled Japanese patients</w:t>
      </w:r>
      <w:r w:rsidR="009E275A">
        <w:rPr>
          <w:iCs/>
        </w:rPr>
        <w:t>;</w:t>
      </w:r>
    </w:p>
    <w:p w:rsidR="006C1E73" w:rsidRPr="006C1E73" w:rsidRDefault="006C1E73" w:rsidP="00AE49E7">
      <w:pPr>
        <w:pStyle w:val="ListParagraph"/>
        <w:numPr>
          <w:ilvl w:val="0"/>
          <w:numId w:val="14"/>
        </w:numPr>
        <w:spacing w:after="120"/>
        <w:ind w:left="1134" w:hanging="357"/>
        <w:rPr>
          <w:iCs/>
        </w:rPr>
      </w:pPr>
      <w:r w:rsidRPr="006C1E73">
        <w:rPr>
          <w:iCs/>
        </w:rPr>
        <w:t>the inclusion criteria differed in terms of the location of spasticity</w:t>
      </w:r>
      <w:r w:rsidR="00AE49E7">
        <w:rPr>
          <w:iCs/>
        </w:rPr>
        <w:t>, concomitant medications and prior BoNT treatment</w:t>
      </w:r>
      <w:r w:rsidR="009E275A">
        <w:rPr>
          <w:iCs/>
        </w:rPr>
        <w:t>;</w:t>
      </w:r>
    </w:p>
    <w:p w:rsidR="00AE49E7" w:rsidRDefault="006C1E73" w:rsidP="00AE49E7">
      <w:pPr>
        <w:pStyle w:val="ListParagraph"/>
        <w:numPr>
          <w:ilvl w:val="0"/>
          <w:numId w:val="14"/>
        </w:numPr>
        <w:spacing w:after="120"/>
        <w:ind w:left="1134" w:hanging="357"/>
        <w:rPr>
          <w:iCs/>
        </w:rPr>
      </w:pPr>
      <w:r w:rsidRPr="006C1E73">
        <w:rPr>
          <w:iCs/>
        </w:rPr>
        <w:t>differences in</w:t>
      </w:r>
      <w:r>
        <w:rPr>
          <w:iCs/>
        </w:rPr>
        <w:t xml:space="preserve"> the</w:t>
      </w:r>
      <w:r w:rsidRPr="006C1E73">
        <w:rPr>
          <w:iCs/>
        </w:rPr>
        <w:t xml:space="preserve"> </w:t>
      </w:r>
      <w:r>
        <w:rPr>
          <w:iCs/>
        </w:rPr>
        <w:t>baseline characteristics</w:t>
      </w:r>
      <w:r w:rsidR="00AE49E7">
        <w:rPr>
          <w:iCs/>
        </w:rPr>
        <w:t xml:space="preserve"> (including aetiology and baseline MAS score); and</w:t>
      </w:r>
    </w:p>
    <w:p w:rsidR="006C1E73" w:rsidRPr="006C1E73" w:rsidRDefault="00AE49E7" w:rsidP="00AE49E7">
      <w:pPr>
        <w:pStyle w:val="ListParagraph"/>
        <w:numPr>
          <w:ilvl w:val="0"/>
          <w:numId w:val="14"/>
        </w:numPr>
        <w:spacing w:after="120"/>
        <w:ind w:left="1134" w:hanging="357"/>
        <w:rPr>
          <w:iCs/>
        </w:rPr>
      </w:pPr>
      <w:r>
        <w:rPr>
          <w:iCs/>
        </w:rPr>
        <w:t xml:space="preserve">differences in the </w:t>
      </w:r>
      <w:r w:rsidR="006C1E73" w:rsidRPr="006C1E73">
        <w:rPr>
          <w:iCs/>
        </w:rPr>
        <w:t>mandatory muscles injected</w:t>
      </w:r>
      <w:r>
        <w:rPr>
          <w:iCs/>
        </w:rPr>
        <w:t xml:space="preserve"> and </w:t>
      </w:r>
      <w:r w:rsidR="006C1E73" w:rsidRPr="006C1E73">
        <w:rPr>
          <w:iCs/>
        </w:rPr>
        <w:t xml:space="preserve">the coding of </w:t>
      </w:r>
      <w:r w:rsidR="00D07DFC">
        <w:rPr>
          <w:iCs/>
        </w:rPr>
        <w:t>the Modified Ashworth Scale (</w:t>
      </w:r>
      <w:r w:rsidR="006C1E73" w:rsidRPr="006C1E73">
        <w:rPr>
          <w:iCs/>
        </w:rPr>
        <w:t>MAS</w:t>
      </w:r>
      <w:r w:rsidR="00D07DFC">
        <w:rPr>
          <w:iCs/>
        </w:rPr>
        <w:t>)</w:t>
      </w:r>
      <w:r w:rsidR="006C1E73" w:rsidRPr="006C1E73">
        <w:rPr>
          <w:iCs/>
        </w:rPr>
        <w:t xml:space="preserve"> during the analysis across the trials</w:t>
      </w:r>
      <w:r w:rsidR="006C1E73">
        <w:rPr>
          <w:iCs/>
        </w:rPr>
        <w:t>.</w:t>
      </w:r>
    </w:p>
    <w:p w:rsidR="0082048B" w:rsidRDefault="0082048B" w:rsidP="0082048B">
      <w:pPr>
        <w:numPr>
          <w:ilvl w:val="1"/>
          <w:numId w:val="1"/>
        </w:numPr>
        <w:spacing w:after="120"/>
        <w:ind w:left="720"/>
        <w:rPr>
          <w:rFonts w:asciiTheme="minorHAnsi" w:hAnsiTheme="minorHAnsi"/>
          <w:bCs/>
          <w:lang w:val="en-GB"/>
        </w:rPr>
      </w:pPr>
      <w:r>
        <w:rPr>
          <w:rFonts w:asciiTheme="minorHAnsi" w:hAnsiTheme="minorHAnsi"/>
          <w:bCs/>
          <w:lang w:val="en-GB"/>
        </w:rPr>
        <w:t>The PBAC noted that n</w:t>
      </w:r>
      <w:r w:rsidRPr="00C8600D">
        <w:rPr>
          <w:rFonts w:asciiTheme="minorHAnsi" w:hAnsiTheme="minorHAnsi"/>
          <w:bCs/>
          <w:lang w:val="en-GB"/>
        </w:rPr>
        <w:t xml:space="preserve">one of the key trials </w:t>
      </w:r>
      <w:r>
        <w:rPr>
          <w:rFonts w:asciiTheme="minorHAnsi" w:hAnsiTheme="minorHAnsi"/>
          <w:bCs/>
          <w:lang w:val="en-GB"/>
        </w:rPr>
        <w:t xml:space="preserve">in the resubmission </w:t>
      </w:r>
      <w:r w:rsidRPr="00C8600D">
        <w:rPr>
          <w:rFonts w:asciiTheme="minorHAnsi" w:hAnsiTheme="minorHAnsi"/>
          <w:bCs/>
          <w:lang w:val="en-GB"/>
        </w:rPr>
        <w:t xml:space="preserve">demonstrated a clinically meaningful improvement in mean reduction in </w:t>
      </w:r>
      <w:r w:rsidR="009E275A">
        <w:rPr>
          <w:rFonts w:asciiTheme="minorHAnsi" w:hAnsiTheme="minorHAnsi"/>
          <w:bCs/>
          <w:lang w:val="en-GB"/>
        </w:rPr>
        <w:t>MAS</w:t>
      </w:r>
      <w:r w:rsidRPr="00C8600D">
        <w:rPr>
          <w:rFonts w:asciiTheme="minorHAnsi" w:hAnsiTheme="minorHAnsi"/>
          <w:bCs/>
          <w:lang w:val="en-GB"/>
        </w:rPr>
        <w:t xml:space="preserve"> score (i.e. minimal clinical important difference ≥ 1) for botulinum toxin (BoNT) compared to placebo at Week 4 or</w:t>
      </w:r>
      <w:r w:rsidR="00AD1544">
        <w:rPr>
          <w:rFonts w:asciiTheme="minorHAnsi" w:hAnsiTheme="minorHAnsi"/>
          <w:bCs/>
          <w:lang w:val="en-GB"/>
        </w:rPr>
        <w:t>, when reported, Week</w:t>
      </w:r>
      <w:r w:rsidRPr="00C8600D">
        <w:rPr>
          <w:rFonts w:asciiTheme="minorHAnsi" w:hAnsiTheme="minorHAnsi"/>
          <w:bCs/>
          <w:lang w:val="en-GB"/>
        </w:rPr>
        <w:t xml:space="preserve"> 12. </w:t>
      </w:r>
      <w:r w:rsidR="001F6998">
        <w:rPr>
          <w:rFonts w:asciiTheme="minorHAnsi" w:hAnsiTheme="minorHAnsi"/>
          <w:bCs/>
          <w:lang w:val="en-GB"/>
        </w:rPr>
        <w:t xml:space="preserve">However, the PBAC noted that the mean changes in MAS score at Week 4 in the PBS subgroups (adjusted and unadjusted) </w:t>
      </w:r>
      <w:r w:rsidR="00DE7673">
        <w:rPr>
          <w:rFonts w:asciiTheme="minorHAnsi" w:hAnsiTheme="minorHAnsi"/>
          <w:bCs/>
          <w:lang w:val="en-GB"/>
        </w:rPr>
        <w:t>of the key Dysport</w:t>
      </w:r>
      <w:r w:rsidR="00DE7673">
        <w:rPr>
          <w:rFonts w:asciiTheme="minorHAnsi" w:hAnsiTheme="minorHAnsi" w:cstheme="minorHAnsi"/>
          <w:bCs/>
          <w:lang w:val="en-GB"/>
        </w:rPr>
        <w:t>®</w:t>
      </w:r>
      <w:r w:rsidR="00DE7673">
        <w:rPr>
          <w:rFonts w:asciiTheme="minorHAnsi" w:hAnsiTheme="minorHAnsi"/>
          <w:bCs/>
          <w:lang w:val="en-GB"/>
        </w:rPr>
        <w:t xml:space="preserve"> trial, Study 140, </w:t>
      </w:r>
      <w:r w:rsidR="001F6998">
        <w:rPr>
          <w:rFonts w:asciiTheme="minorHAnsi" w:hAnsiTheme="minorHAnsi"/>
          <w:bCs/>
          <w:lang w:val="en-GB"/>
        </w:rPr>
        <w:t>were statistically significant compared to placebo.</w:t>
      </w:r>
      <w:r w:rsidR="008C6054">
        <w:rPr>
          <w:rFonts w:asciiTheme="minorHAnsi" w:hAnsiTheme="minorHAnsi"/>
          <w:bCs/>
          <w:lang w:val="en-GB"/>
        </w:rPr>
        <w:t xml:space="preserve"> The PBAC </w:t>
      </w:r>
      <w:r w:rsidR="008C6054">
        <w:rPr>
          <w:rFonts w:asciiTheme="minorHAnsi" w:hAnsiTheme="minorHAnsi"/>
          <w:bCs/>
          <w:lang w:val="en-GB"/>
        </w:rPr>
        <w:lastRenderedPageBreak/>
        <w:t>considered that the magnitude of the benefit was small following the first cycle and, although comparative data were unavailable beyond the first cycle, noted that continued responses were observed in those who chose to continue with subsequent treatments in Study</w:t>
      </w:r>
      <w:r w:rsidR="00BE1199">
        <w:rPr>
          <w:rFonts w:asciiTheme="minorHAnsi" w:hAnsiTheme="minorHAnsi"/>
          <w:bCs/>
          <w:lang w:val="en-GB"/>
        </w:rPr>
        <w:t xml:space="preserve"> 142</w:t>
      </w:r>
      <w:r w:rsidR="008C6054">
        <w:rPr>
          <w:rFonts w:asciiTheme="minorHAnsi" w:hAnsiTheme="minorHAnsi"/>
          <w:bCs/>
          <w:lang w:val="en-GB"/>
        </w:rPr>
        <w:t>.</w:t>
      </w:r>
    </w:p>
    <w:p w:rsidR="008A5EEA" w:rsidRDefault="008A5EEA" w:rsidP="0082048B">
      <w:pPr>
        <w:numPr>
          <w:ilvl w:val="1"/>
          <w:numId w:val="1"/>
        </w:numPr>
        <w:spacing w:after="120"/>
        <w:ind w:left="720"/>
        <w:rPr>
          <w:rFonts w:asciiTheme="minorHAnsi" w:hAnsiTheme="minorHAnsi"/>
          <w:bCs/>
          <w:lang w:val="en-GB"/>
        </w:rPr>
      </w:pPr>
      <w:r>
        <w:rPr>
          <w:rFonts w:asciiTheme="minorHAnsi" w:hAnsiTheme="minorHAnsi"/>
          <w:bCs/>
          <w:lang w:val="en-GB"/>
        </w:rPr>
        <w:t>The PBAC considered that the uncertainty surrounding changes in MAS score after the first cycle and the incremental benefit of Dysport</w:t>
      </w:r>
      <w:r>
        <w:rPr>
          <w:rFonts w:asciiTheme="minorHAnsi" w:hAnsiTheme="minorHAnsi" w:cstheme="minorHAnsi"/>
          <w:bCs/>
          <w:lang w:val="en-GB"/>
        </w:rPr>
        <w:t>®</w:t>
      </w:r>
      <w:r>
        <w:rPr>
          <w:rFonts w:asciiTheme="minorHAnsi" w:hAnsiTheme="minorHAnsi"/>
          <w:bCs/>
          <w:lang w:val="en-GB"/>
        </w:rPr>
        <w:t xml:space="preserve"> could be mitigated by aligning its restriction with the recommended Botox</w:t>
      </w:r>
      <w:r>
        <w:rPr>
          <w:rFonts w:asciiTheme="minorHAnsi" w:hAnsiTheme="minorHAnsi" w:cstheme="minorHAnsi"/>
          <w:bCs/>
          <w:lang w:val="en-GB"/>
        </w:rPr>
        <w:t>®</w:t>
      </w:r>
      <w:r>
        <w:rPr>
          <w:rFonts w:asciiTheme="minorHAnsi" w:hAnsiTheme="minorHAnsi"/>
          <w:bCs/>
          <w:lang w:val="en-GB"/>
        </w:rPr>
        <w:t xml:space="preserve"> restriction for the treatment of LLFS. In particular, the continuation criteria would ensure that only responding patients (i.e. those achieving the clinical relevant difference of at least a one point change in MAS following the second cycle) would receive more than two cycles of BoNT. The PBAC noted the uncertainty surrounding the magnitude of the treatment effect was unlikely to be reduced by future high quality data.</w:t>
      </w:r>
    </w:p>
    <w:p w:rsidR="00DE7673" w:rsidRDefault="00DE7673" w:rsidP="001F6998">
      <w:pPr>
        <w:numPr>
          <w:ilvl w:val="1"/>
          <w:numId w:val="1"/>
        </w:numPr>
        <w:spacing w:after="120"/>
        <w:ind w:left="720"/>
        <w:rPr>
          <w:rFonts w:asciiTheme="minorHAnsi" w:hAnsiTheme="minorHAnsi"/>
          <w:bCs/>
          <w:lang w:val="en-GB"/>
        </w:rPr>
      </w:pPr>
      <w:r>
        <w:rPr>
          <w:rFonts w:asciiTheme="minorHAnsi" w:hAnsiTheme="minorHAnsi"/>
          <w:bCs/>
          <w:lang w:val="en-GB"/>
        </w:rPr>
        <w:t xml:space="preserve">The </w:t>
      </w:r>
      <w:r w:rsidR="001F6998">
        <w:rPr>
          <w:rFonts w:asciiTheme="minorHAnsi" w:hAnsiTheme="minorHAnsi"/>
          <w:bCs/>
          <w:lang w:val="en-GB"/>
        </w:rPr>
        <w:t xml:space="preserve">indirect comparison </w:t>
      </w:r>
      <w:r>
        <w:rPr>
          <w:rFonts w:asciiTheme="minorHAnsi" w:hAnsiTheme="minorHAnsi"/>
          <w:bCs/>
          <w:lang w:val="en-GB"/>
        </w:rPr>
        <w:t>demonstrated no significant differences between Dysport</w:t>
      </w:r>
      <w:r>
        <w:rPr>
          <w:rFonts w:asciiTheme="minorHAnsi" w:hAnsiTheme="minorHAnsi" w:cstheme="minorHAnsi"/>
          <w:bCs/>
          <w:lang w:val="en-GB"/>
        </w:rPr>
        <w:t>®</w:t>
      </w:r>
      <w:r>
        <w:rPr>
          <w:rFonts w:asciiTheme="minorHAnsi" w:hAnsiTheme="minorHAnsi"/>
          <w:bCs/>
          <w:lang w:val="en-GB"/>
        </w:rPr>
        <w:t xml:space="preserve"> 1500U and Botox</w:t>
      </w:r>
      <w:r>
        <w:rPr>
          <w:rFonts w:asciiTheme="minorHAnsi" w:hAnsiTheme="minorHAnsi" w:cstheme="minorHAnsi"/>
          <w:bCs/>
          <w:lang w:val="en-GB"/>
        </w:rPr>
        <w:t>®</w:t>
      </w:r>
      <w:r>
        <w:rPr>
          <w:rFonts w:asciiTheme="minorHAnsi" w:hAnsiTheme="minorHAnsi"/>
          <w:bCs/>
          <w:lang w:val="en-GB"/>
        </w:rPr>
        <w:t xml:space="preserve"> 300-400U for the outcomes of mean change in MAS at Week 4 or 12 or proportion of MAS responders at Week 4.</w:t>
      </w:r>
    </w:p>
    <w:p w:rsidR="001F6998" w:rsidRDefault="00DE7673" w:rsidP="001F6998">
      <w:pPr>
        <w:numPr>
          <w:ilvl w:val="1"/>
          <w:numId w:val="1"/>
        </w:numPr>
        <w:spacing w:after="120"/>
        <w:ind w:left="720"/>
        <w:rPr>
          <w:rFonts w:asciiTheme="minorHAnsi" w:hAnsiTheme="minorHAnsi"/>
          <w:bCs/>
          <w:lang w:val="en-GB"/>
        </w:rPr>
      </w:pPr>
      <w:r>
        <w:rPr>
          <w:rFonts w:asciiTheme="minorHAnsi" w:hAnsiTheme="minorHAnsi"/>
          <w:bCs/>
          <w:lang w:val="en-GB"/>
        </w:rPr>
        <w:t>Based on the results of the indirect comparison</w:t>
      </w:r>
      <w:r w:rsidR="001F6998">
        <w:rPr>
          <w:rFonts w:asciiTheme="minorHAnsi" w:hAnsiTheme="minorHAnsi"/>
          <w:bCs/>
          <w:lang w:val="en-GB"/>
        </w:rPr>
        <w:t>, the </w:t>
      </w:r>
      <w:r w:rsidR="001F6998" w:rsidRPr="00A40985">
        <w:rPr>
          <w:rFonts w:asciiTheme="minorHAnsi" w:hAnsiTheme="minorHAnsi"/>
          <w:bCs/>
          <w:lang w:val="en-GB"/>
        </w:rPr>
        <w:t>PBAC considered that the clinical claim that Dysport® 1500U was non-inferior to Botox® 300-400U in terms of effectiveness was likely to be reasonable</w:t>
      </w:r>
      <w:r w:rsidR="009E275A">
        <w:rPr>
          <w:rFonts w:asciiTheme="minorHAnsi" w:hAnsiTheme="minorHAnsi"/>
          <w:bCs/>
          <w:lang w:val="en-GB"/>
        </w:rPr>
        <w:t xml:space="preserve">, noting the number of </w:t>
      </w:r>
      <w:r w:rsidR="001F6998" w:rsidRPr="00A40985">
        <w:rPr>
          <w:rFonts w:asciiTheme="minorHAnsi" w:hAnsiTheme="minorHAnsi"/>
          <w:bCs/>
          <w:lang w:val="en-GB"/>
        </w:rPr>
        <w:t xml:space="preserve">significant differences between the key </w:t>
      </w:r>
      <w:r>
        <w:rPr>
          <w:rFonts w:asciiTheme="minorHAnsi" w:hAnsiTheme="minorHAnsi"/>
          <w:bCs/>
          <w:lang w:val="en-GB"/>
        </w:rPr>
        <w:t>trials</w:t>
      </w:r>
      <w:r w:rsidR="001F6998" w:rsidRPr="00A40985">
        <w:rPr>
          <w:rFonts w:asciiTheme="minorHAnsi" w:hAnsiTheme="minorHAnsi"/>
          <w:bCs/>
          <w:lang w:val="en-GB"/>
        </w:rPr>
        <w:t>.</w:t>
      </w:r>
    </w:p>
    <w:p w:rsidR="00DE7673" w:rsidRDefault="00FC2552" w:rsidP="001F6998">
      <w:pPr>
        <w:numPr>
          <w:ilvl w:val="1"/>
          <w:numId w:val="1"/>
        </w:numPr>
        <w:spacing w:after="120"/>
        <w:ind w:left="720"/>
        <w:rPr>
          <w:rFonts w:asciiTheme="minorHAnsi" w:hAnsiTheme="minorHAnsi"/>
          <w:bCs/>
          <w:lang w:val="en-GB"/>
        </w:rPr>
      </w:pPr>
      <w:r>
        <w:rPr>
          <w:rFonts w:asciiTheme="minorHAnsi" w:hAnsiTheme="minorHAnsi"/>
          <w:bCs/>
          <w:lang w:val="en-GB"/>
        </w:rPr>
        <w:t>Based on the results of the indirect comparison, the PBAC considered that the claim that Dysport</w:t>
      </w:r>
      <w:r>
        <w:rPr>
          <w:rFonts w:asciiTheme="minorHAnsi" w:hAnsiTheme="minorHAnsi" w:cstheme="minorHAnsi"/>
          <w:bCs/>
          <w:lang w:val="en-GB"/>
        </w:rPr>
        <w:t>®</w:t>
      </w:r>
      <w:r>
        <w:rPr>
          <w:rFonts w:asciiTheme="minorHAnsi" w:hAnsiTheme="minorHAnsi"/>
          <w:bCs/>
          <w:lang w:val="en-GB"/>
        </w:rPr>
        <w:t xml:space="preserve"> was non-inferior in terms of comparative safety to Botox</w:t>
      </w:r>
      <w:r>
        <w:rPr>
          <w:rFonts w:asciiTheme="minorHAnsi" w:hAnsiTheme="minorHAnsi" w:cstheme="minorHAnsi"/>
          <w:bCs/>
          <w:lang w:val="en-GB"/>
        </w:rPr>
        <w:t>®</w:t>
      </w:r>
      <w:r>
        <w:rPr>
          <w:rFonts w:asciiTheme="minorHAnsi" w:hAnsiTheme="minorHAnsi"/>
          <w:bCs/>
          <w:lang w:val="en-GB"/>
        </w:rPr>
        <w:t xml:space="preserve"> was reasonable. </w:t>
      </w:r>
    </w:p>
    <w:p w:rsidR="00EE45E3" w:rsidRPr="00261D42" w:rsidRDefault="00493808" w:rsidP="007C35FA">
      <w:pPr>
        <w:numPr>
          <w:ilvl w:val="1"/>
          <w:numId w:val="1"/>
        </w:numPr>
        <w:spacing w:after="120"/>
        <w:ind w:left="720"/>
        <w:rPr>
          <w:rFonts w:asciiTheme="minorHAnsi" w:hAnsiTheme="minorHAnsi"/>
          <w:bCs/>
          <w:lang w:val="en-GB"/>
        </w:rPr>
      </w:pPr>
      <w:r w:rsidRPr="00261D42">
        <w:rPr>
          <w:rFonts w:asciiTheme="minorHAnsi" w:hAnsiTheme="minorHAnsi"/>
          <w:bCs/>
          <w:lang w:val="en-GB"/>
        </w:rPr>
        <w:t xml:space="preserve">The PBAC noted that the resubmission </w:t>
      </w:r>
      <w:r w:rsidR="00261D42" w:rsidRPr="00261D42">
        <w:rPr>
          <w:rFonts w:asciiTheme="minorHAnsi" w:hAnsiTheme="minorHAnsi"/>
          <w:bCs/>
          <w:lang w:val="en-GB"/>
        </w:rPr>
        <w:t>address</w:t>
      </w:r>
      <w:r w:rsidR="009913C8">
        <w:rPr>
          <w:rFonts w:asciiTheme="minorHAnsi" w:hAnsiTheme="minorHAnsi"/>
          <w:bCs/>
          <w:lang w:val="en-GB"/>
        </w:rPr>
        <w:t>ed</w:t>
      </w:r>
      <w:r w:rsidR="00261D42" w:rsidRPr="00261D42">
        <w:rPr>
          <w:rFonts w:asciiTheme="minorHAnsi" w:hAnsiTheme="minorHAnsi"/>
          <w:bCs/>
          <w:lang w:val="en-GB"/>
        </w:rPr>
        <w:t xml:space="preserve"> the issues identif</w:t>
      </w:r>
      <w:r w:rsidR="009913C8">
        <w:rPr>
          <w:rFonts w:asciiTheme="minorHAnsi" w:hAnsiTheme="minorHAnsi"/>
          <w:bCs/>
          <w:lang w:val="en-GB"/>
        </w:rPr>
        <w:t>ied with the November 2018 economic analysis</w:t>
      </w:r>
      <w:r w:rsidR="00261D42" w:rsidRPr="00261D42">
        <w:rPr>
          <w:rFonts w:asciiTheme="minorHAnsi" w:hAnsiTheme="minorHAnsi"/>
          <w:bCs/>
          <w:lang w:val="en-GB"/>
        </w:rPr>
        <w:t xml:space="preserve"> by </w:t>
      </w:r>
      <w:r w:rsidRPr="00261D42">
        <w:rPr>
          <w:rFonts w:asciiTheme="minorHAnsi" w:hAnsiTheme="minorHAnsi"/>
          <w:bCs/>
          <w:lang w:val="en-GB"/>
        </w:rPr>
        <w:t>present</w:t>
      </w:r>
      <w:r w:rsidR="00261D42" w:rsidRPr="00261D42">
        <w:rPr>
          <w:rFonts w:asciiTheme="minorHAnsi" w:hAnsiTheme="minorHAnsi"/>
          <w:bCs/>
          <w:lang w:val="en-GB"/>
        </w:rPr>
        <w:t xml:space="preserve">ing </w:t>
      </w:r>
      <w:r w:rsidRPr="00261D42">
        <w:rPr>
          <w:rFonts w:asciiTheme="minorHAnsi" w:hAnsiTheme="minorHAnsi"/>
          <w:bCs/>
          <w:lang w:val="en-GB"/>
        </w:rPr>
        <w:t>a cost minimisation analysis, comparing drug costs of a single injection session with Dysport® 1500U and Botox® 400U.</w:t>
      </w:r>
      <w:r w:rsidR="00EE45E3" w:rsidRPr="00261D42">
        <w:rPr>
          <w:rFonts w:asciiTheme="minorHAnsi" w:hAnsiTheme="minorHAnsi"/>
          <w:bCs/>
          <w:lang w:val="en-GB"/>
        </w:rPr>
        <w:t xml:space="preserve"> </w:t>
      </w:r>
      <w:r w:rsidR="009913C8">
        <w:rPr>
          <w:rFonts w:asciiTheme="minorHAnsi" w:hAnsiTheme="minorHAnsi"/>
          <w:bCs/>
          <w:lang w:val="en-GB"/>
        </w:rPr>
        <w:t xml:space="preserve">The PBAC considered that this was appropriate. </w:t>
      </w:r>
    </w:p>
    <w:p w:rsidR="007B7D3A" w:rsidRDefault="007B7D3A" w:rsidP="0073287B">
      <w:pPr>
        <w:numPr>
          <w:ilvl w:val="1"/>
          <w:numId w:val="1"/>
        </w:numPr>
        <w:spacing w:after="120"/>
        <w:ind w:left="720"/>
        <w:rPr>
          <w:rFonts w:asciiTheme="minorHAnsi" w:hAnsiTheme="minorHAnsi"/>
          <w:bCs/>
          <w:lang w:val="en-GB"/>
        </w:rPr>
      </w:pPr>
      <w:r>
        <w:rPr>
          <w:rFonts w:asciiTheme="minorHAnsi" w:hAnsiTheme="minorHAnsi"/>
          <w:bCs/>
          <w:lang w:val="en-GB"/>
        </w:rPr>
        <w:t xml:space="preserve">The PBAC considered that the </w:t>
      </w:r>
      <w:r w:rsidR="009913C8">
        <w:rPr>
          <w:rFonts w:asciiTheme="minorHAnsi" w:hAnsiTheme="minorHAnsi"/>
          <w:bCs/>
          <w:lang w:val="en-GB"/>
        </w:rPr>
        <w:t xml:space="preserve">equi-effective doses </w:t>
      </w:r>
      <w:r>
        <w:rPr>
          <w:rFonts w:asciiTheme="minorHAnsi" w:hAnsiTheme="minorHAnsi"/>
          <w:bCs/>
          <w:lang w:val="en-GB"/>
        </w:rPr>
        <w:t xml:space="preserve">nominated </w:t>
      </w:r>
      <w:r w:rsidR="009913C8">
        <w:rPr>
          <w:rFonts w:asciiTheme="minorHAnsi" w:hAnsiTheme="minorHAnsi"/>
          <w:bCs/>
          <w:lang w:val="en-GB"/>
        </w:rPr>
        <w:t>in the resubmission</w:t>
      </w:r>
      <w:r w:rsidR="0008413B">
        <w:rPr>
          <w:rFonts w:asciiTheme="minorHAnsi" w:hAnsiTheme="minorHAnsi"/>
          <w:bCs/>
          <w:lang w:val="en-GB"/>
        </w:rPr>
        <w:t xml:space="preserve"> </w:t>
      </w:r>
      <w:r>
        <w:rPr>
          <w:rFonts w:asciiTheme="minorHAnsi" w:hAnsiTheme="minorHAnsi"/>
          <w:bCs/>
          <w:lang w:val="en-GB"/>
        </w:rPr>
        <w:t>(2.66U of Dysport® to 1U of Botox®) w</w:t>
      </w:r>
      <w:r w:rsidR="009913C8">
        <w:rPr>
          <w:rFonts w:asciiTheme="minorHAnsi" w:hAnsiTheme="minorHAnsi"/>
          <w:bCs/>
          <w:lang w:val="en-GB"/>
        </w:rPr>
        <w:t>ere</w:t>
      </w:r>
      <w:r>
        <w:rPr>
          <w:rFonts w:asciiTheme="minorHAnsi" w:hAnsiTheme="minorHAnsi"/>
          <w:bCs/>
          <w:lang w:val="en-GB"/>
        </w:rPr>
        <w:t xml:space="preserve"> not appropriate for the following reasons:</w:t>
      </w:r>
    </w:p>
    <w:p w:rsidR="008E2496" w:rsidRPr="008E2496" w:rsidRDefault="008E2496" w:rsidP="009E1607">
      <w:pPr>
        <w:pStyle w:val="Bulletpoints"/>
        <w:numPr>
          <w:ilvl w:val="0"/>
          <w:numId w:val="44"/>
        </w:numPr>
        <w:spacing w:after="120"/>
        <w:ind w:left="1077" w:hanging="357"/>
        <w:rPr>
          <w:rFonts w:cs="Calibri"/>
          <w:iCs/>
          <w:snapToGrid/>
          <w:lang w:val="en-US" w:eastAsia="en-AU"/>
        </w:rPr>
      </w:pPr>
      <w:r w:rsidRPr="008E2496">
        <w:rPr>
          <w:rFonts w:cs="Calibri"/>
          <w:iCs/>
          <w:snapToGrid/>
          <w:lang w:val="en-US" w:eastAsia="en-AU"/>
        </w:rPr>
        <w:t xml:space="preserve">The doses were based on the mean dose of Dysport® injected into the gastrocnemius soleus complex (GSC) in Study 140 (796.9U) and the </w:t>
      </w:r>
      <w:r w:rsidR="009913C8">
        <w:rPr>
          <w:rFonts w:cs="Calibri"/>
          <w:iCs/>
          <w:snapToGrid/>
          <w:lang w:val="en-US" w:eastAsia="en-AU"/>
        </w:rPr>
        <w:t xml:space="preserve">assumed </w:t>
      </w:r>
      <w:r w:rsidRPr="008E2496">
        <w:rPr>
          <w:rFonts w:cs="Calibri"/>
          <w:iCs/>
          <w:snapToGrid/>
          <w:lang w:val="en-US" w:eastAsia="en-AU"/>
        </w:rPr>
        <w:t xml:space="preserve">maximum dose of </w:t>
      </w:r>
      <w:r w:rsidR="00057611">
        <w:rPr>
          <w:rFonts w:cs="Calibri"/>
          <w:iCs/>
          <w:snapToGrid/>
          <w:lang w:val="en-US" w:eastAsia="en-AU"/>
        </w:rPr>
        <w:t>Botox®</w:t>
      </w:r>
      <w:r w:rsidR="001A35D3">
        <w:rPr>
          <w:rFonts w:cs="Calibri"/>
          <w:iCs/>
          <w:snapToGrid/>
          <w:lang w:val="en-US" w:eastAsia="en-AU"/>
        </w:rPr>
        <w:t xml:space="preserve"> </w:t>
      </w:r>
      <w:r w:rsidRPr="008E2496">
        <w:rPr>
          <w:rFonts w:cs="Calibri"/>
          <w:iCs/>
          <w:snapToGrid/>
          <w:lang w:val="en-US" w:eastAsia="en-AU"/>
        </w:rPr>
        <w:t>injected into the GSC plus tibialis posterior in the Botox® trials (300U). However, the maximum dose of Botox® injected into the GSC was 225U, not 300U as assumed. In addition, the comparison of a mean dose to a maximum dose was not reasonable given they may not be equivalent.</w:t>
      </w:r>
    </w:p>
    <w:p w:rsidR="008E2496" w:rsidRDefault="008E2496" w:rsidP="009E1607">
      <w:pPr>
        <w:pStyle w:val="Bulletpoints"/>
        <w:numPr>
          <w:ilvl w:val="0"/>
          <w:numId w:val="44"/>
        </w:numPr>
        <w:spacing w:after="120"/>
        <w:ind w:left="1077" w:hanging="357"/>
        <w:rPr>
          <w:rFonts w:cs="Calibri"/>
          <w:iCs/>
          <w:snapToGrid/>
          <w:lang w:val="en-US" w:eastAsia="en-AU"/>
        </w:rPr>
      </w:pPr>
      <w:r w:rsidRPr="008E2496">
        <w:rPr>
          <w:rFonts w:cs="Calibri"/>
          <w:iCs/>
          <w:snapToGrid/>
          <w:lang w:val="en-US" w:eastAsia="en-AU"/>
        </w:rPr>
        <w:t>The cost minimised prices for Dysport® and Botox® should include similar wastage</w:t>
      </w:r>
      <w:r w:rsidR="009913C8">
        <w:rPr>
          <w:rFonts w:cs="Calibri"/>
          <w:iCs/>
          <w:snapToGrid/>
          <w:lang w:val="en-US" w:eastAsia="en-AU"/>
        </w:rPr>
        <w:t xml:space="preserve"> as </w:t>
      </w:r>
      <w:r w:rsidRPr="008E2496">
        <w:rPr>
          <w:rFonts w:cs="Calibri"/>
          <w:iCs/>
          <w:snapToGrid/>
          <w:lang w:val="en-US" w:eastAsia="en-AU"/>
        </w:rPr>
        <w:t xml:space="preserve">BoNT must be refrigerated </w:t>
      </w:r>
      <w:r w:rsidR="009E1607">
        <w:rPr>
          <w:rFonts w:cs="Calibri"/>
          <w:iCs/>
          <w:snapToGrid/>
          <w:lang w:val="en-US" w:eastAsia="en-AU"/>
        </w:rPr>
        <w:t>and vials are single use only.</w:t>
      </w:r>
      <w:r w:rsidRPr="008E2496">
        <w:rPr>
          <w:rFonts w:cs="Calibri"/>
          <w:iCs/>
          <w:snapToGrid/>
          <w:lang w:val="en-US" w:eastAsia="en-AU"/>
        </w:rPr>
        <w:t xml:space="preserve"> </w:t>
      </w:r>
    </w:p>
    <w:p w:rsidR="009913C8" w:rsidRDefault="009913C8" w:rsidP="002E32D9">
      <w:pPr>
        <w:numPr>
          <w:ilvl w:val="1"/>
          <w:numId w:val="1"/>
        </w:numPr>
        <w:spacing w:after="120"/>
        <w:ind w:left="720"/>
        <w:rPr>
          <w:rFonts w:asciiTheme="minorHAnsi" w:hAnsiTheme="minorHAnsi"/>
          <w:bCs/>
          <w:lang w:val="en-GB"/>
        </w:rPr>
      </w:pPr>
      <w:r>
        <w:rPr>
          <w:rFonts w:asciiTheme="minorHAnsi" w:hAnsiTheme="minorHAnsi"/>
          <w:bCs/>
          <w:lang w:val="en-GB"/>
        </w:rPr>
        <w:t>The PBAC noted that the equi-effective doses were updated in the PSCR to 3.3U Dysport</w:t>
      </w:r>
      <w:r>
        <w:rPr>
          <w:rFonts w:asciiTheme="minorHAnsi" w:hAnsiTheme="minorHAnsi" w:cstheme="minorHAnsi"/>
          <w:bCs/>
          <w:lang w:val="en-GB"/>
        </w:rPr>
        <w:t>®</w:t>
      </w:r>
      <w:r>
        <w:rPr>
          <w:rFonts w:asciiTheme="minorHAnsi" w:hAnsiTheme="minorHAnsi"/>
          <w:bCs/>
          <w:lang w:val="en-GB"/>
        </w:rPr>
        <w:t xml:space="preserve"> and 1U Botox</w:t>
      </w:r>
      <w:r>
        <w:rPr>
          <w:rFonts w:asciiTheme="minorHAnsi" w:hAnsiTheme="minorHAnsi" w:cstheme="minorHAnsi"/>
          <w:bCs/>
          <w:lang w:val="en-GB"/>
        </w:rPr>
        <w:t>®</w:t>
      </w:r>
      <w:r>
        <w:rPr>
          <w:rFonts w:asciiTheme="minorHAnsi" w:hAnsiTheme="minorHAnsi"/>
          <w:bCs/>
          <w:lang w:val="en-GB"/>
        </w:rPr>
        <w:t>, using a weighted mean dose from Study 140 for Dysport</w:t>
      </w:r>
      <w:r>
        <w:rPr>
          <w:rFonts w:asciiTheme="minorHAnsi" w:hAnsiTheme="minorHAnsi" w:cstheme="minorHAnsi"/>
          <w:bCs/>
          <w:lang w:val="en-GB"/>
        </w:rPr>
        <w:t>®</w:t>
      </w:r>
      <w:r>
        <w:rPr>
          <w:rFonts w:asciiTheme="minorHAnsi" w:hAnsiTheme="minorHAnsi"/>
          <w:bCs/>
          <w:lang w:val="en-GB"/>
        </w:rPr>
        <w:t xml:space="preserve"> injected into both the GSC and the tibialis posterior (995.5U) and the incorrectly </w:t>
      </w:r>
      <w:r>
        <w:rPr>
          <w:rFonts w:asciiTheme="minorHAnsi" w:hAnsiTheme="minorHAnsi"/>
          <w:bCs/>
          <w:lang w:val="en-GB"/>
        </w:rPr>
        <w:lastRenderedPageBreak/>
        <w:t>assumed maximum dose of Botox</w:t>
      </w:r>
      <w:r>
        <w:rPr>
          <w:rFonts w:asciiTheme="minorHAnsi" w:hAnsiTheme="minorHAnsi" w:cstheme="minorHAnsi"/>
          <w:bCs/>
          <w:lang w:val="en-GB"/>
        </w:rPr>
        <w:t>®</w:t>
      </w:r>
      <w:r>
        <w:rPr>
          <w:rFonts w:asciiTheme="minorHAnsi" w:hAnsiTheme="minorHAnsi"/>
          <w:bCs/>
          <w:lang w:val="en-GB"/>
        </w:rPr>
        <w:t xml:space="preserve"> (300U).</w:t>
      </w:r>
    </w:p>
    <w:p w:rsidR="008E2496" w:rsidRPr="002E32D9" w:rsidRDefault="009913C8" w:rsidP="002E32D9">
      <w:pPr>
        <w:numPr>
          <w:ilvl w:val="1"/>
          <w:numId w:val="1"/>
        </w:numPr>
        <w:spacing w:after="120"/>
        <w:ind w:left="720"/>
        <w:rPr>
          <w:rFonts w:asciiTheme="minorHAnsi" w:hAnsiTheme="minorHAnsi"/>
          <w:bCs/>
          <w:lang w:val="en-GB"/>
        </w:rPr>
      </w:pPr>
      <w:r>
        <w:rPr>
          <w:rFonts w:cs="Calibri"/>
          <w:iCs/>
          <w:snapToGrid/>
          <w:lang w:val="en-US" w:eastAsia="en-AU"/>
        </w:rPr>
        <w:t>T</w:t>
      </w:r>
      <w:r w:rsidR="008E2496" w:rsidRPr="002E32D9">
        <w:rPr>
          <w:rFonts w:asciiTheme="minorHAnsi" w:hAnsiTheme="minorHAnsi"/>
          <w:bCs/>
          <w:lang w:val="en-GB"/>
        </w:rPr>
        <w:t>he PBAC considered that in practice, patients w</w:t>
      </w:r>
      <w:r w:rsidR="00C90E89">
        <w:rPr>
          <w:rFonts w:asciiTheme="minorHAnsi" w:hAnsiTheme="minorHAnsi"/>
          <w:bCs/>
          <w:lang w:val="en-GB"/>
        </w:rPr>
        <w:t>ould</w:t>
      </w:r>
      <w:r w:rsidR="008E2496" w:rsidRPr="002E32D9">
        <w:rPr>
          <w:rFonts w:asciiTheme="minorHAnsi" w:hAnsiTheme="minorHAnsi"/>
          <w:bCs/>
          <w:lang w:val="en-GB"/>
        </w:rPr>
        <w:t xml:space="preserve"> be prescribed the maximum quantity of Dysport® (1500U) or Botox® (400U). Given the uncertainty and lack of precision in the clinical comparison, the PBAC considered that the use of any equi-effective dose other than that those based on the maximum dispensed quantities would not result in equivalent treatment costs per cycle and therefore, would not be appropriate. </w:t>
      </w:r>
      <w:r w:rsidR="00AB0F03">
        <w:rPr>
          <w:rFonts w:asciiTheme="minorHAnsi" w:hAnsiTheme="minorHAnsi"/>
          <w:bCs/>
          <w:lang w:val="en-GB"/>
        </w:rPr>
        <w:t>Hence, t</w:t>
      </w:r>
      <w:r w:rsidR="008E2496" w:rsidRPr="002E32D9">
        <w:rPr>
          <w:rFonts w:asciiTheme="minorHAnsi" w:hAnsiTheme="minorHAnsi"/>
          <w:bCs/>
          <w:lang w:val="en-GB"/>
        </w:rPr>
        <w:t>he</w:t>
      </w:r>
      <w:r w:rsidR="002E32D9" w:rsidRPr="002E32D9">
        <w:rPr>
          <w:rFonts w:asciiTheme="minorHAnsi" w:hAnsiTheme="minorHAnsi"/>
          <w:bCs/>
          <w:lang w:val="en-GB"/>
        </w:rPr>
        <w:t xml:space="preserve"> PBAC </w:t>
      </w:r>
      <w:r w:rsidR="008E2496" w:rsidRPr="002E32D9">
        <w:rPr>
          <w:rFonts w:asciiTheme="minorHAnsi" w:hAnsiTheme="minorHAnsi"/>
          <w:bCs/>
          <w:lang w:val="en-GB"/>
        </w:rPr>
        <w:t xml:space="preserve">considered that the equi-effective doses </w:t>
      </w:r>
      <w:r w:rsidR="00C90E89">
        <w:rPr>
          <w:rFonts w:asciiTheme="minorHAnsi" w:hAnsiTheme="minorHAnsi"/>
          <w:bCs/>
          <w:lang w:val="en-GB"/>
        </w:rPr>
        <w:t>were</w:t>
      </w:r>
      <w:r w:rsidR="00AB0F03">
        <w:rPr>
          <w:rFonts w:asciiTheme="minorHAnsi" w:hAnsiTheme="minorHAnsi"/>
          <w:bCs/>
          <w:lang w:val="en-GB"/>
        </w:rPr>
        <w:t xml:space="preserve"> 3.75U Dysport® to </w:t>
      </w:r>
      <w:r w:rsidR="008E2496" w:rsidRPr="002E32D9">
        <w:rPr>
          <w:rFonts w:asciiTheme="minorHAnsi" w:hAnsiTheme="minorHAnsi"/>
          <w:bCs/>
          <w:lang w:val="en-GB"/>
        </w:rPr>
        <w:t>1U Botox®.</w:t>
      </w:r>
    </w:p>
    <w:p w:rsidR="00FB32AD" w:rsidRPr="00FB32AD" w:rsidRDefault="00E118E3" w:rsidP="00FB32AD">
      <w:pPr>
        <w:numPr>
          <w:ilvl w:val="1"/>
          <w:numId w:val="1"/>
        </w:numPr>
        <w:spacing w:after="120"/>
        <w:ind w:left="720"/>
        <w:rPr>
          <w:rFonts w:asciiTheme="minorHAnsi" w:hAnsiTheme="minorHAnsi"/>
          <w:bCs/>
          <w:lang w:val="en-GB"/>
        </w:rPr>
      </w:pPr>
      <w:r w:rsidRPr="00AB0F03">
        <w:rPr>
          <w:iCs/>
        </w:rPr>
        <w:t xml:space="preserve">The PBAC </w:t>
      </w:r>
      <w:r w:rsidR="00AE0385">
        <w:rPr>
          <w:iCs/>
        </w:rPr>
        <w:t>considered that the estimated financial impact of Dysport</w:t>
      </w:r>
      <w:r w:rsidR="006813D2">
        <w:rPr>
          <w:rFonts w:cs="Calibri"/>
          <w:iCs/>
        </w:rPr>
        <w:t>®</w:t>
      </w:r>
      <w:r w:rsidR="00AE0385">
        <w:rPr>
          <w:iCs/>
        </w:rPr>
        <w:t xml:space="preserve"> was uncertain and should be adjusted to:</w:t>
      </w:r>
      <w:r>
        <w:rPr>
          <w:iCs/>
        </w:rPr>
        <w:t xml:space="preserve"> </w:t>
      </w:r>
      <w:r w:rsidR="00FB32AD">
        <w:rPr>
          <w:iCs/>
        </w:rPr>
        <w:t xml:space="preserve"> </w:t>
      </w:r>
    </w:p>
    <w:p w:rsidR="00FB32AD" w:rsidRDefault="00AE0385" w:rsidP="009E1607">
      <w:pPr>
        <w:numPr>
          <w:ilvl w:val="2"/>
          <w:numId w:val="1"/>
        </w:numPr>
        <w:spacing w:after="120"/>
        <w:ind w:left="1077" w:hanging="357"/>
        <w:rPr>
          <w:rFonts w:asciiTheme="minorHAnsi" w:hAnsiTheme="minorHAnsi"/>
          <w:bCs/>
          <w:lang w:val="en-GB"/>
        </w:rPr>
      </w:pPr>
      <w:r>
        <w:rPr>
          <w:rFonts w:asciiTheme="minorHAnsi" w:hAnsiTheme="minorHAnsi"/>
          <w:bCs/>
          <w:lang w:val="en-GB"/>
        </w:rPr>
        <w:t>include LLFS due to other aetiologies as per the PSCR</w:t>
      </w:r>
      <w:r w:rsidR="00E118E3">
        <w:rPr>
          <w:rFonts w:asciiTheme="minorHAnsi" w:hAnsiTheme="minorHAnsi"/>
          <w:bCs/>
          <w:lang w:val="en-GB"/>
        </w:rPr>
        <w:t>;</w:t>
      </w:r>
    </w:p>
    <w:p w:rsidR="00FB32AD" w:rsidRDefault="00AE0385" w:rsidP="009E1607">
      <w:pPr>
        <w:numPr>
          <w:ilvl w:val="2"/>
          <w:numId w:val="1"/>
        </w:numPr>
        <w:spacing w:after="120"/>
        <w:ind w:left="1077" w:hanging="357"/>
        <w:rPr>
          <w:rFonts w:asciiTheme="minorHAnsi" w:hAnsiTheme="minorHAnsi"/>
          <w:bCs/>
          <w:lang w:val="en-GB"/>
        </w:rPr>
      </w:pPr>
      <w:r>
        <w:rPr>
          <w:rFonts w:asciiTheme="minorHAnsi" w:hAnsiTheme="minorHAnsi"/>
          <w:bCs/>
          <w:lang w:val="en-GB"/>
        </w:rPr>
        <w:t>r</w:t>
      </w:r>
      <w:r w:rsidR="00E118E3">
        <w:rPr>
          <w:rFonts w:asciiTheme="minorHAnsi" w:hAnsiTheme="minorHAnsi"/>
          <w:bCs/>
          <w:lang w:val="en-GB"/>
        </w:rPr>
        <w:t>emov</w:t>
      </w:r>
      <w:r>
        <w:rPr>
          <w:rFonts w:asciiTheme="minorHAnsi" w:hAnsiTheme="minorHAnsi"/>
          <w:bCs/>
          <w:lang w:val="en-GB"/>
        </w:rPr>
        <w:t xml:space="preserve">e </w:t>
      </w:r>
      <w:r w:rsidR="00FB32AD">
        <w:rPr>
          <w:rFonts w:asciiTheme="minorHAnsi" w:hAnsiTheme="minorHAnsi"/>
          <w:bCs/>
          <w:lang w:val="en-GB"/>
        </w:rPr>
        <w:t>the assumption for continuous therapy for all patients</w:t>
      </w:r>
      <w:r w:rsidR="00E118E3">
        <w:rPr>
          <w:rFonts w:asciiTheme="minorHAnsi" w:hAnsiTheme="minorHAnsi"/>
          <w:bCs/>
          <w:lang w:val="en-GB"/>
        </w:rPr>
        <w:t>;</w:t>
      </w:r>
    </w:p>
    <w:p w:rsidR="00FB32AD" w:rsidRDefault="00AE0385" w:rsidP="009E1607">
      <w:pPr>
        <w:numPr>
          <w:ilvl w:val="2"/>
          <w:numId w:val="1"/>
        </w:numPr>
        <w:spacing w:after="120"/>
        <w:ind w:left="1077" w:hanging="357"/>
        <w:rPr>
          <w:rFonts w:asciiTheme="minorHAnsi" w:hAnsiTheme="minorHAnsi"/>
          <w:bCs/>
          <w:lang w:val="en-GB"/>
        </w:rPr>
      </w:pPr>
      <w:r>
        <w:rPr>
          <w:rFonts w:asciiTheme="minorHAnsi" w:hAnsiTheme="minorHAnsi"/>
          <w:bCs/>
          <w:lang w:val="en-GB"/>
        </w:rPr>
        <w:t xml:space="preserve">align </w:t>
      </w:r>
      <w:r w:rsidR="00E118E3">
        <w:rPr>
          <w:rFonts w:asciiTheme="minorHAnsi" w:hAnsiTheme="minorHAnsi"/>
          <w:bCs/>
          <w:lang w:val="en-GB"/>
        </w:rPr>
        <w:t>the number of treatment</w:t>
      </w:r>
      <w:r>
        <w:rPr>
          <w:rFonts w:asciiTheme="minorHAnsi" w:hAnsiTheme="minorHAnsi"/>
          <w:bCs/>
          <w:lang w:val="en-GB"/>
        </w:rPr>
        <w:t>s</w:t>
      </w:r>
      <w:r w:rsidR="00E118E3">
        <w:rPr>
          <w:rFonts w:asciiTheme="minorHAnsi" w:hAnsiTheme="minorHAnsi"/>
          <w:bCs/>
          <w:lang w:val="en-GB"/>
        </w:rPr>
        <w:t xml:space="preserve"> </w:t>
      </w:r>
      <w:r>
        <w:rPr>
          <w:rFonts w:asciiTheme="minorHAnsi" w:hAnsiTheme="minorHAnsi"/>
          <w:bCs/>
          <w:lang w:val="en-GB"/>
        </w:rPr>
        <w:t xml:space="preserve"> </w:t>
      </w:r>
      <w:r w:rsidR="00AB0F03">
        <w:rPr>
          <w:rFonts w:asciiTheme="minorHAnsi" w:hAnsiTheme="minorHAnsi"/>
          <w:bCs/>
          <w:lang w:val="en-GB"/>
        </w:rPr>
        <w:t>with t</w:t>
      </w:r>
      <w:r w:rsidR="00FA552C">
        <w:rPr>
          <w:iCs/>
        </w:rPr>
        <w:t>h</w:t>
      </w:r>
      <w:r w:rsidR="00474402">
        <w:rPr>
          <w:iCs/>
        </w:rPr>
        <w:t>at recommended for Botox</w:t>
      </w:r>
      <w:r w:rsidR="00474402">
        <w:rPr>
          <w:rFonts w:cs="Calibri"/>
          <w:iCs/>
        </w:rPr>
        <w:t>®</w:t>
      </w:r>
      <w:r>
        <w:rPr>
          <w:iCs/>
        </w:rPr>
        <w:t xml:space="preserve"> </w:t>
      </w:r>
      <w:r w:rsidR="00AB0F03">
        <w:rPr>
          <w:iCs/>
        </w:rPr>
        <w:t>(i.e.</w:t>
      </w:r>
      <w:r w:rsidR="00FA552C">
        <w:rPr>
          <w:iCs/>
        </w:rPr>
        <w:t xml:space="preserve"> a</w:t>
      </w:r>
      <w:r w:rsidR="00FA552C" w:rsidRPr="00867AC2">
        <w:rPr>
          <w:iCs/>
        </w:rPr>
        <w:t xml:space="preserve"> maximum </w:t>
      </w:r>
      <w:r w:rsidR="00D07DFC">
        <w:rPr>
          <w:iCs/>
        </w:rPr>
        <w:t>of four</w:t>
      </w:r>
      <w:r w:rsidR="00FA552C">
        <w:rPr>
          <w:iCs/>
        </w:rPr>
        <w:t xml:space="preserve"> treatment periods per lower limb in th</w:t>
      </w:r>
      <w:r w:rsidR="00474402">
        <w:rPr>
          <w:iCs/>
        </w:rPr>
        <w:t xml:space="preserve">e first year of treatment, and </w:t>
      </w:r>
      <w:r w:rsidR="00D07DFC">
        <w:rPr>
          <w:iCs/>
        </w:rPr>
        <w:t>two</w:t>
      </w:r>
      <w:r w:rsidR="00474402">
        <w:rPr>
          <w:iCs/>
        </w:rPr>
        <w:t xml:space="preserve"> </w:t>
      </w:r>
      <w:r w:rsidR="00FA552C">
        <w:rPr>
          <w:iCs/>
        </w:rPr>
        <w:t>treatment period</w:t>
      </w:r>
      <w:r>
        <w:rPr>
          <w:iCs/>
        </w:rPr>
        <w:t>s</w:t>
      </w:r>
      <w:r w:rsidR="00FA552C">
        <w:rPr>
          <w:iCs/>
        </w:rPr>
        <w:t xml:space="preserve"> per lower limb each year </w:t>
      </w:r>
      <w:r>
        <w:rPr>
          <w:iCs/>
        </w:rPr>
        <w:t>t</w:t>
      </w:r>
      <w:r w:rsidR="00FA552C">
        <w:rPr>
          <w:iCs/>
        </w:rPr>
        <w:t>hereafter</w:t>
      </w:r>
      <w:r>
        <w:rPr>
          <w:iCs/>
        </w:rPr>
        <w:t>)</w:t>
      </w:r>
      <w:r w:rsidR="00E118E3">
        <w:rPr>
          <w:rFonts w:asciiTheme="minorHAnsi" w:hAnsiTheme="minorHAnsi"/>
          <w:bCs/>
          <w:lang w:val="en-GB"/>
        </w:rPr>
        <w:t>; and</w:t>
      </w:r>
    </w:p>
    <w:p w:rsidR="00FB32AD" w:rsidRDefault="00AE0385" w:rsidP="009E1607">
      <w:pPr>
        <w:numPr>
          <w:ilvl w:val="2"/>
          <w:numId w:val="1"/>
        </w:numPr>
        <w:spacing w:after="120"/>
        <w:ind w:left="1077" w:hanging="357"/>
        <w:rPr>
          <w:rFonts w:asciiTheme="minorHAnsi" w:hAnsiTheme="minorHAnsi"/>
          <w:bCs/>
          <w:lang w:val="en-GB"/>
        </w:rPr>
      </w:pPr>
      <w:r>
        <w:rPr>
          <w:rFonts w:asciiTheme="minorHAnsi" w:hAnsiTheme="minorHAnsi"/>
          <w:bCs/>
          <w:lang w:val="en-GB"/>
        </w:rPr>
        <w:t xml:space="preserve">utilise </w:t>
      </w:r>
      <w:r w:rsidR="00FA552C">
        <w:rPr>
          <w:rFonts w:asciiTheme="minorHAnsi" w:hAnsiTheme="minorHAnsi"/>
          <w:bCs/>
          <w:lang w:val="en-GB"/>
        </w:rPr>
        <w:t xml:space="preserve">the </w:t>
      </w:r>
      <w:r w:rsidR="00AB0F03">
        <w:rPr>
          <w:rFonts w:asciiTheme="minorHAnsi" w:hAnsiTheme="minorHAnsi"/>
          <w:bCs/>
          <w:lang w:val="en-GB"/>
        </w:rPr>
        <w:t>appropriate</w:t>
      </w:r>
      <w:r w:rsidR="00FB32AD">
        <w:rPr>
          <w:rFonts w:asciiTheme="minorHAnsi" w:hAnsiTheme="minorHAnsi"/>
          <w:bCs/>
          <w:lang w:val="en-GB"/>
        </w:rPr>
        <w:t xml:space="preserve"> equi-effective dose</w:t>
      </w:r>
      <w:r w:rsidR="00AB0F03">
        <w:rPr>
          <w:rFonts w:asciiTheme="minorHAnsi" w:hAnsiTheme="minorHAnsi"/>
          <w:bCs/>
          <w:lang w:val="en-GB"/>
        </w:rPr>
        <w:t xml:space="preserve"> (i.e. 3.75U Dysport® to 1U Botox®)</w:t>
      </w:r>
      <w:r w:rsidR="006813D2">
        <w:rPr>
          <w:rFonts w:asciiTheme="minorHAnsi" w:hAnsiTheme="minorHAnsi"/>
          <w:bCs/>
          <w:lang w:val="en-GB"/>
        </w:rPr>
        <w:t>.</w:t>
      </w:r>
    </w:p>
    <w:p w:rsidR="008C6054" w:rsidRDefault="008C6054" w:rsidP="0037555A">
      <w:pPr>
        <w:numPr>
          <w:ilvl w:val="1"/>
          <w:numId w:val="1"/>
        </w:numPr>
        <w:spacing w:after="120"/>
        <w:ind w:left="720"/>
        <w:rPr>
          <w:rFonts w:asciiTheme="minorHAnsi" w:hAnsiTheme="minorHAnsi"/>
          <w:bCs/>
          <w:lang w:val="en-GB"/>
        </w:rPr>
      </w:pPr>
      <w:r>
        <w:rPr>
          <w:rFonts w:asciiTheme="minorHAnsi" w:hAnsiTheme="minorHAnsi"/>
          <w:bCs/>
          <w:lang w:val="en-GB"/>
        </w:rPr>
        <w:t>Like Botox</w:t>
      </w:r>
      <w:r w:rsidR="00536BD1">
        <w:rPr>
          <w:rFonts w:asciiTheme="minorHAnsi" w:hAnsiTheme="minorHAnsi" w:cstheme="minorHAnsi"/>
          <w:bCs/>
          <w:lang w:val="en-GB"/>
        </w:rPr>
        <w:t>®</w:t>
      </w:r>
      <w:r>
        <w:rPr>
          <w:rFonts w:asciiTheme="minorHAnsi" w:hAnsiTheme="minorHAnsi"/>
          <w:bCs/>
          <w:lang w:val="en-GB"/>
        </w:rPr>
        <w:t>, the PBAC considered that the extent to which the potential use of Dysport</w:t>
      </w:r>
      <w:r w:rsidR="00536BD1">
        <w:rPr>
          <w:rFonts w:asciiTheme="minorHAnsi" w:hAnsiTheme="minorHAnsi" w:cstheme="minorHAnsi"/>
          <w:bCs/>
          <w:lang w:val="en-GB"/>
        </w:rPr>
        <w:t>®</w:t>
      </w:r>
      <w:r>
        <w:rPr>
          <w:rFonts w:asciiTheme="minorHAnsi" w:hAnsiTheme="minorHAnsi"/>
          <w:bCs/>
          <w:lang w:val="en-GB"/>
        </w:rPr>
        <w:t xml:space="preserve"> in both the upper and lower limbs in the same patient would affect utilisation, cost effectiveness and </w:t>
      </w:r>
      <w:r w:rsidR="00536BD1">
        <w:rPr>
          <w:rFonts w:asciiTheme="minorHAnsi" w:hAnsiTheme="minorHAnsi"/>
          <w:bCs/>
          <w:lang w:val="en-GB"/>
        </w:rPr>
        <w:t>the financial implications remained uncertain. The Committee was therefore of the view that any pricing arrangements for these indications should take these uncertainties into account by implementing a single price across these conditions.</w:t>
      </w:r>
    </w:p>
    <w:p w:rsidR="00FC2552" w:rsidRDefault="00EC5AD9" w:rsidP="006D4BE4">
      <w:pPr>
        <w:numPr>
          <w:ilvl w:val="1"/>
          <w:numId w:val="1"/>
        </w:numPr>
        <w:spacing w:after="120"/>
        <w:ind w:left="720"/>
        <w:rPr>
          <w:rFonts w:asciiTheme="minorHAnsi" w:hAnsiTheme="minorHAnsi"/>
          <w:bCs/>
          <w:lang w:val="en-GB"/>
        </w:rPr>
      </w:pPr>
      <w:r>
        <w:rPr>
          <w:rFonts w:asciiTheme="minorHAnsi" w:hAnsiTheme="minorHAnsi"/>
          <w:bCs/>
          <w:lang w:val="en-GB"/>
        </w:rPr>
        <w:t>The PBAC considered that the restriction for Dysport</w:t>
      </w:r>
      <w:r>
        <w:rPr>
          <w:rFonts w:asciiTheme="minorHAnsi" w:hAnsiTheme="minorHAnsi" w:cstheme="minorHAnsi"/>
          <w:bCs/>
          <w:lang w:val="en-GB"/>
        </w:rPr>
        <w:t>®</w:t>
      </w:r>
      <w:r>
        <w:rPr>
          <w:rFonts w:asciiTheme="minorHAnsi" w:hAnsiTheme="minorHAnsi"/>
          <w:bCs/>
          <w:lang w:val="en-GB"/>
        </w:rPr>
        <w:t xml:space="preserve"> shoul</w:t>
      </w:r>
      <w:r w:rsidR="008A5EEA">
        <w:rPr>
          <w:rFonts w:asciiTheme="minorHAnsi" w:hAnsiTheme="minorHAnsi"/>
          <w:bCs/>
          <w:lang w:val="en-GB"/>
        </w:rPr>
        <w:t xml:space="preserve">d, as per the recommended Botox restriction of LLFS, </w:t>
      </w:r>
      <w:r w:rsidR="00AE49E7">
        <w:rPr>
          <w:rFonts w:asciiTheme="minorHAnsi" w:hAnsiTheme="minorHAnsi"/>
          <w:bCs/>
          <w:lang w:val="en-GB"/>
        </w:rPr>
        <w:t>include the clinical criteria</w:t>
      </w:r>
      <w:r>
        <w:rPr>
          <w:rFonts w:asciiTheme="minorHAnsi" w:hAnsiTheme="minorHAnsi"/>
          <w:bCs/>
          <w:lang w:val="en-GB"/>
        </w:rPr>
        <w:t xml:space="preserve"> </w:t>
      </w:r>
      <w:r w:rsidR="009E1607">
        <w:rPr>
          <w:rFonts w:asciiTheme="minorHAnsi" w:hAnsiTheme="minorHAnsi"/>
          <w:bCs/>
          <w:lang w:val="en-GB"/>
        </w:rPr>
        <w:t>that treatment must not exceed a maximum of four treatment periods per lower limb in the first year of treatment and t</w:t>
      </w:r>
      <w:r w:rsidR="00B01ED5">
        <w:rPr>
          <w:rFonts w:asciiTheme="minorHAnsi" w:hAnsiTheme="minorHAnsi"/>
          <w:bCs/>
          <w:lang w:val="en-GB"/>
        </w:rPr>
        <w:t>wo treatment period</w:t>
      </w:r>
      <w:r w:rsidR="009E1607">
        <w:rPr>
          <w:rFonts w:asciiTheme="minorHAnsi" w:hAnsiTheme="minorHAnsi"/>
          <w:bCs/>
          <w:lang w:val="en-GB"/>
        </w:rPr>
        <w:t xml:space="preserve">s per lower limb each year thereafter. </w:t>
      </w:r>
    </w:p>
    <w:p w:rsidR="009236FA" w:rsidRDefault="009236FA" w:rsidP="006D4BE4">
      <w:pPr>
        <w:numPr>
          <w:ilvl w:val="1"/>
          <w:numId w:val="1"/>
        </w:numPr>
        <w:spacing w:after="120"/>
        <w:ind w:left="720"/>
        <w:rPr>
          <w:rFonts w:asciiTheme="minorHAnsi" w:hAnsiTheme="minorHAnsi"/>
          <w:bCs/>
          <w:lang w:val="en-GB"/>
        </w:rPr>
      </w:pPr>
      <w:r>
        <w:rPr>
          <w:rFonts w:asciiTheme="minorHAnsi" w:hAnsiTheme="minorHAnsi"/>
          <w:bCs/>
          <w:lang w:val="en-GB"/>
        </w:rPr>
        <w:t>The PBAC considered that a grandfather restriction may be appropriate for patients already treated with Dysport</w:t>
      </w:r>
      <w:r>
        <w:rPr>
          <w:rFonts w:asciiTheme="minorHAnsi" w:hAnsiTheme="minorHAnsi" w:cstheme="minorHAnsi"/>
          <w:bCs/>
          <w:lang w:val="en-GB"/>
        </w:rPr>
        <w:t>®</w:t>
      </w:r>
      <w:r>
        <w:rPr>
          <w:rFonts w:asciiTheme="minorHAnsi" w:hAnsiTheme="minorHAnsi"/>
          <w:bCs/>
          <w:lang w:val="en-GB"/>
        </w:rPr>
        <w:t xml:space="preserve"> who meet response criteria, if requested by the sponsor.</w:t>
      </w:r>
    </w:p>
    <w:p w:rsidR="0037555A" w:rsidRPr="0037555A" w:rsidRDefault="0037555A" w:rsidP="0037555A">
      <w:pPr>
        <w:numPr>
          <w:ilvl w:val="1"/>
          <w:numId w:val="1"/>
        </w:numPr>
        <w:spacing w:after="120"/>
        <w:ind w:left="720"/>
        <w:rPr>
          <w:rFonts w:asciiTheme="minorHAnsi" w:hAnsiTheme="minorHAnsi"/>
          <w:bCs/>
          <w:lang w:val="en-GB"/>
        </w:rPr>
      </w:pPr>
      <w:r w:rsidRPr="0037555A">
        <w:rPr>
          <w:rFonts w:asciiTheme="minorHAnsi" w:hAnsiTheme="minorHAnsi"/>
          <w:bCs/>
          <w:lang w:val="en-GB"/>
        </w:rPr>
        <w:t>The PBAC noted that its recommendation was on a cost-minimisation basis and advised that, because</w:t>
      </w:r>
      <w:r w:rsidR="00493808">
        <w:rPr>
          <w:rFonts w:asciiTheme="minorHAnsi" w:hAnsiTheme="minorHAnsi"/>
          <w:bCs/>
          <w:lang w:val="en-GB"/>
        </w:rPr>
        <w:t xml:space="preserve"> </w:t>
      </w:r>
      <w:r w:rsidR="00C90E89">
        <w:rPr>
          <w:rFonts w:asciiTheme="minorHAnsi" w:hAnsiTheme="minorHAnsi"/>
          <w:bCs/>
          <w:lang w:val="en-GB"/>
        </w:rPr>
        <w:t xml:space="preserve">the </w:t>
      </w:r>
      <w:r w:rsidR="00493808">
        <w:rPr>
          <w:rFonts w:asciiTheme="minorHAnsi" w:hAnsiTheme="minorHAnsi"/>
          <w:bCs/>
          <w:lang w:val="en-GB"/>
        </w:rPr>
        <w:t>Dysport® formulation of BoNT</w:t>
      </w:r>
      <w:r w:rsidRPr="0037555A">
        <w:rPr>
          <w:rFonts w:asciiTheme="minorHAnsi" w:hAnsiTheme="minorHAnsi"/>
          <w:bCs/>
          <w:lang w:val="en-GB"/>
        </w:rPr>
        <w:t xml:space="preserve"> is not expected to provide a substantial and clinically relevant improvement in efficacy, or reduction of toxicity, ove</w:t>
      </w:r>
      <w:r w:rsidR="00493808">
        <w:rPr>
          <w:rFonts w:asciiTheme="minorHAnsi" w:hAnsiTheme="minorHAnsi"/>
          <w:bCs/>
          <w:lang w:val="en-GB"/>
        </w:rPr>
        <w:t>r the Botox® formulation</w:t>
      </w:r>
      <w:r w:rsidRPr="0037555A">
        <w:rPr>
          <w:rFonts w:asciiTheme="minorHAnsi" w:hAnsiTheme="minorHAnsi"/>
          <w:bCs/>
          <w:lang w:val="en-GB"/>
        </w:rPr>
        <w:t xml:space="preserve">, </w:t>
      </w:r>
      <w:r w:rsidR="009236FA">
        <w:rPr>
          <w:rFonts w:asciiTheme="minorHAnsi" w:hAnsiTheme="minorHAnsi"/>
          <w:bCs/>
          <w:lang w:val="en-GB"/>
        </w:rPr>
        <w:t>and</w:t>
      </w:r>
      <w:r w:rsidRPr="0037555A">
        <w:rPr>
          <w:rFonts w:asciiTheme="minorHAnsi" w:hAnsiTheme="minorHAnsi"/>
          <w:bCs/>
          <w:lang w:val="en-GB"/>
        </w:rPr>
        <w:t xml:space="preserve"> not expected to address a high and urgent unmet clinic</w:t>
      </w:r>
      <w:r w:rsidR="009236FA">
        <w:rPr>
          <w:rFonts w:asciiTheme="minorHAnsi" w:hAnsiTheme="minorHAnsi"/>
          <w:bCs/>
          <w:lang w:val="en-GB"/>
        </w:rPr>
        <w:t>al need</w:t>
      </w:r>
      <w:r w:rsidRPr="0037555A">
        <w:rPr>
          <w:rFonts w:asciiTheme="minorHAnsi" w:hAnsiTheme="minorHAnsi"/>
          <w:bCs/>
          <w:lang w:val="en-GB"/>
        </w:rPr>
        <w:t xml:space="preserve">, the criteria prescribed by the </w:t>
      </w:r>
      <w:r w:rsidRPr="009236FA">
        <w:rPr>
          <w:rFonts w:asciiTheme="minorHAnsi" w:hAnsiTheme="minorHAnsi"/>
          <w:bCs/>
          <w:i/>
          <w:lang w:val="en-GB"/>
        </w:rPr>
        <w:t>National Health (Pharmaceuticals and Vaccines – Cost Recovery) Regulations 2009</w:t>
      </w:r>
      <w:r w:rsidRPr="0037555A">
        <w:rPr>
          <w:rFonts w:asciiTheme="minorHAnsi" w:hAnsiTheme="minorHAnsi"/>
          <w:bCs/>
          <w:lang w:val="en-GB"/>
        </w:rPr>
        <w:t xml:space="preserve"> for Pricing Pathway A were not met. </w:t>
      </w:r>
    </w:p>
    <w:p w:rsidR="007D35A2" w:rsidRDefault="007D35A2" w:rsidP="007D35A2">
      <w:pPr>
        <w:numPr>
          <w:ilvl w:val="1"/>
          <w:numId w:val="1"/>
        </w:numPr>
        <w:spacing w:after="120"/>
        <w:ind w:left="720"/>
        <w:rPr>
          <w:rFonts w:asciiTheme="minorHAnsi" w:hAnsiTheme="minorHAnsi"/>
          <w:bCs/>
          <w:lang w:val="en-GB"/>
        </w:rPr>
      </w:pPr>
      <w:r w:rsidRPr="00525B39">
        <w:rPr>
          <w:rFonts w:asciiTheme="minorHAnsi" w:hAnsiTheme="minorHAnsi"/>
          <w:bCs/>
          <w:lang w:val="en-GB"/>
        </w:rPr>
        <w:t xml:space="preserve">The PBAC </w:t>
      </w:r>
      <w:r>
        <w:rPr>
          <w:rFonts w:asciiTheme="minorHAnsi" w:hAnsiTheme="minorHAnsi"/>
          <w:bCs/>
          <w:lang w:val="en-GB"/>
        </w:rPr>
        <w:t>noted</w:t>
      </w:r>
      <w:r w:rsidRPr="00525B39">
        <w:rPr>
          <w:rFonts w:asciiTheme="minorHAnsi" w:hAnsiTheme="minorHAnsi"/>
          <w:bCs/>
          <w:lang w:val="en-GB"/>
        </w:rPr>
        <w:t xml:space="preserve"> th</w:t>
      </w:r>
      <w:r>
        <w:rPr>
          <w:rFonts w:asciiTheme="minorHAnsi" w:hAnsiTheme="minorHAnsi"/>
          <w:bCs/>
          <w:lang w:val="en-GB"/>
        </w:rPr>
        <w:t xml:space="preserve">at the </w:t>
      </w:r>
      <w:r w:rsidRPr="00525B39">
        <w:rPr>
          <w:rFonts w:asciiTheme="minorHAnsi" w:hAnsiTheme="minorHAnsi"/>
          <w:bCs/>
          <w:lang w:val="en-GB"/>
        </w:rPr>
        <w:t xml:space="preserve">Early Supply Rule </w:t>
      </w:r>
      <w:r>
        <w:rPr>
          <w:rFonts w:asciiTheme="minorHAnsi" w:hAnsiTheme="minorHAnsi"/>
          <w:bCs/>
          <w:lang w:val="en-GB"/>
        </w:rPr>
        <w:t>cannot currently be applied to items in the Botulinum Toxin Program.</w:t>
      </w:r>
      <w:r w:rsidRPr="00525B39">
        <w:rPr>
          <w:rFonts w:asciiTheme="minorHAnsi" w:hAnsiTheme="minorHAnsi"/>
          <w:bCs/>
          <w:lang w:val="en-GB"/>
        </w:rPr>
        <w:t xml:space="preserve"> </w:t>
      </w:r>
    </w:p>
    <w:p w:rsidR="007D35A2" w:rsidRPr="00717C37" w:rsidRDefault="007D35A2" w:rsidP="007D35A2">
      <w:pPr>
        <w:numPr>
          <w:ilvl w:val="1"/>
          <w:numId w:val="1"/>
        </w:numPr>
        <w:spacing w:after="120"/>
        <w:ind w:left="720"/>
        <w:rPr>
          <w:rFonts w:asciiTheme="minorHAnsi" w:hAnsiTheme="minorHAnsi"/>
          <w:bCs/>
          <w:lang w:val="en-GB"/>
        </w:rPr>
      </w:pPr>
      <w:r w:rsidRPr="00525B39">
        <w:rPr>
          <w:rFonts w:asciiTheme="minorHAnsi" w:hAnsiTheme="minorHAnsi"/>
          <w:bCs/>
          <w:lang w:val="en-GB"/>
        </w:rPr>
        <w:t xml:space="preserve">The PBAC </w:t>
      </w:r>
      <w:r>
        <w:rPr>
          <w:rFonts w:asciiTheme="minorHAnsi" w:hAnsiTheme="minorHAnsi"/>
          <w:bCs/>
          <w:lang w:val="en-GB"/>
        </w:rPr>
        <w:t xml:space="preserve">reaffirmed that </w:t>
      </w:r>
      <w:r w:rsidR="00C90E89">
        <w:rPr>
          <w:rFonts w:asciiTheme="minorHAnsi" w:hAnsiTheme="minorHAnsi"/>
          <w:bCs/>
          <w:lang w:val="en-GB"/>
        </w:rPr>
        <w:t>Dysport</w:t>
      </w:r>
      <w:r>
        <w:rPr>
          <w:rFonts w:asciiTheme="minorHAnsi" w:hAnsiTheme="minorHAnsi" w:cstheme="minorHAnsi"/>
          <w:bCs/>
          <w:vertAlign w:val="superscript"/>
          <w:lang w:val="en-GB"/>
        </w:rPr>
        <w:t>®</w:t>
      </w:r>
      <w:r>
        <w:rPr>
          <w:rFonts w:asciiTheme="minorHAnsi" w:hAnsiTheme="minorHAnsi" w:cstheme="minorHAnsi"/>
          <w:bCs/>
          <w:lang w:val="en-GB"/>
        </w:rPr>
        <w:t xml:space="preserve"> remained unsuitable for prescribing by nurse </w:t>
      </w:r>
      <w:r>
        <w:rPr>
          <w:rFonts w:asciiTheme="minorHAnsi" w:hAnsiTheme="minorHAnsi" w:cstheme="minorHAnsi"/>
          <w:bCs/>
          <w:lang w:val="en-GB"/>
        </w:rPr>
        <w:lastRenderedPageBreak/>
        <w:t>practitioners.</w:t>
      </w:r>
    </w:p>
    <w:p w:rsidR="007D35A2" w:rsidRDefault="007D35A2" w:rsidP="007D35A2">
      <w:pPr>
        <w:numPr>
          <w:ilvl w:val="1"/>
          <w:numId w:val="1"/>
        </w:numPr>
        <w:spacing w:after="120"/>
        <w:ind w:left="720"/>
        <w:rPr>
          <w:rFonts w:cs="Calibri"/>
          <w:bCs/>
          <w:lang w:val="en-GB"/>
        </w:rPr>
      </w:pPr>
      <w:r w:rsidRPr="00717C37">
        <w:rPr>
          <w:rFonts w:cs="Calibri"/>
          <w:bCs/>
          <w:lang w:val="en-GB"/>
        </w:rPr>
        <w:t xml:space="preserve">The PBAC recalled that the different formulations of botulinum toxins are </w:t>
      </w:r>
      <w:r w:rsidRPr="00C90E89">
        <w:rPr>
          <w:rFonts w:cs="Calibri"/>
          <w:bCs/>
          <w:lang w:val="en-GB"/>
        </w:rPr>
        <w:t>not</w:t>
      </w:r>
      <w:r w:rsidRPr="00717C37">
        <w:rPr>
          <w:rFonts w:cs="Calibri"/>
          <w:bCs/>
          <w:i/>
          <w:lang w:val="en-GB"/>
        </w:rPr>
        <w:t xml:space="preserve"> </w:t>
      </w:r>
      <w:r w:rsidRPr="00717C37">
        <w:rPr>
          <w:rFonts w:cs="Calibri"/>
          <w:bCs/>
          <w:lang w:val="en-GB"/>
        </w:rPr>
        <w:t>currently considered equivalent for the purposes of substitution (i.e. ‘a’ flagged in the Schedule) under Section 101 (4AACD) of the National Health Act and considered this remained appropriate.</w:t>
      </w:r>
    </w:p>
    <w:p w:rsidR="007C5F83" w:rsidRPr="00717C37" w:rsidRDefault="007C5F83" w:rsidP="007D35A2">
      <w:pPr>
        <w:numPr>
          <w:ilvl w:val="1"/>
          <w:numId w:val="1"/>
        </w:numPr>
        <w:spacing w:after="120"/>
        <w:ind w:left="720"/>
        <w:rPr>
          <w:rFonts w:cs="Calibri"/>
          <w:bCs/>
          <w:lang w:val="en-GB"/>
        </w:rPr>
      </w:pPr>
      <w:r w:rsidRPr="00655D4B">
        <w:t>The PBAC has previously advised that Xeomin®, Botox® and Dysport® should be treated as interchangeable on an individual patient basis under Section 101(3BA) of the National Health Act 1953.</w:t>
      </w:r>
    </w:p>
    <w:p w:rsidR="007D35A2" w:rsidRPr="00525B39" w:rsidRDefault="007D35A2" w:rsidP="007D35A2">
      <w:pPr>
        <w:numPr>
          <w:ilvl w:val="1"/>
          <w:numId w:val="1"/>
        </w:numPr>
        <w:spacing w:after="120"/>
        <w:ind w:left="720"/>
        <w:rPr>
          <w:rFonts w:asciiTheme="minorHAnsi" w:hAnsiTheme="minorHAnsi"/>
          <w:bCs/>
          <w:lang w:val="en-GB"/>
        </w:rPr>
      </w:pPr>
      <w:r w:rsidRPr="00525B39">
        <w:rPr>
          <w:rFonts w:asciiTheme="minorHAnsi" w:hAnsiTheme="minorHAnsi"/>
          <w:bCs/>
          <w:lang w:val="en-GB"/>
        </w:rPr>
        <w:t>The PBAC noted that this submission is not eligible for an Independent Review</w:t>
      </w:r>
      <w:r>
        <w:rPr>
          <w:rFonts w:asciiTheme="minorHAnsi" w:hAnsiTheme="minorHAnsi"/>
          <w:bCs/>
          <w:lang w:val="en-GB"/>
        </w:rPr>
        <w:t xml:space="preserve"> as it received a positive recommendation. </w:t>
      </w:r>
      <w:r w:rsidRPr="00525B39">
        <w:rPr>
          <w:rFonts w:asciiTheme="minorHAnsi" w:hAnsiTheme="minorHAnsi"/>
          <w:bCs/>
          <w:lang w:val="en-GB"/>
        </w:rPr>
        <w:t xml:space="preserve"> </w:t>
      </w:r>
    </w:p>
    <w:p w:rsidR="0073287B" w:rsidRPr="00525B39" w:rsidRDefault="0073287B" w:rsidP="0073287B">
      <w:pPr>
        <w:spacing w:before="240"/>
        <w:rPr>
          <w:rFonts w:asciiTheme="minorHAnsi" w:hAnsiTheme="minorHAnsi"/>
          <w:b/>
          <w:bCs/>
          <w:lang w:val="en-GB"/>
        </w:rPr>
      </w:pPr>
      <w:r w:rsidRPr="00525B39">
        <w:rPr>
          <w:rFonts w:asciiTheme="minorHAnsi" w:hAnsiTheme="minorHAnsi"/>
          <w:b/>
          <w:bCs/>
          <w:lang w:val="en-GB"/>
        </w:rPr>
        <w:t>Outcome:</w:t>
      </w:r>
    </w:p>
    <w:p w:rsidR="0073287B" w:rsidRPr="00525B39" w:rsidRDefault="0073287B" w:rsidP="0073287B">
      <w:pPr>
        <w:rPr>
          <w:rFonts w:asciiTheme="minorHAnsi" w:hAnsiTheme="minorHAnsi"/>
          <w:bCs/>
          <w:lang w:val="en-GB"/>
        </w:rPr>
      </w:pPr>
      <w:r w:rsidRPr="00525B39">
        <w:rPr>
          <w:rFonts w:asciiTheme="minorHAnsi" w:hAnsiTheme="minorHAnsi"/>
          <w:bCs/>
          <w:lang w:val="en-GB"/>
        </w:rPr>
        <w:t xml:space="preserve">Recommended </w:t>
      </w:r>
    </w:p>
    <w:p w:rsidR="0064191A" w:rsidRPr="00326606" w:rsidRDefault="0064191A" w:rsidP="0064191A">
      <w:pPr>
        <w:spacing w:after="120"/>
        <w:rPr>
          <w:rFonts w:asciiTheme="minorHAnsi" w:hAnsiTheme="minorHAnsi"/>
          <w:bCs/>
          <w:lang w:val="en-GB"/>
        </w:rPr>
      </w:pPr>
    </w:p>
    <w:p w:rsidR="0073287B" w:rsidRPr="005D0E1C" w:rsidRDefault="0073287B" w:rsidP="005D0E1C">
      <w:pPr>
        <w:pStyle w:val="PBACHeading1"/>
        <w:keepNext/>
        <w:keepLines/>
        <w:numPr>
          <w:ilvl w:val="0"/>
          <w:numId w:val="1"/>
        </w:numPr>
        <w:spacing w:after="120"/>
        <w:rPr>
          <w:rFonts w:asciiTheme="minorHAnsi" w:hAnsiTheme="minorHAnsi" w:cstheme="minorHAnsi"/>
          <w:szCs w:val="28"/>
        </w:rPr>
      </w:pPr>
      <w:r w:rsidRPr="005D0E1C">
        <w:rPr>
          <w:rFonts w:asciiTheme="minorHAnsi" w:hAnsiTheme="minorHAnsi" w:cstheme="minorHAnsi"/>
          <w:szCs w:val="28"/>
        </w:rPr>
        <w:t>Recommended listing</w:t>
      </w:r>
    </w:p>
    <w:p w:rsidR="006C0DE1" w:rsidRPr="00474402" w:rsidRDefault="006C0DE1" w:rsidP="00474402">
      <w:pPr>
        <w:numPr>
          <w:ilvl w:val="1"/>
          <w:numId w:val="1"/>
        </w:numPr>
        <w:spacing w:after="120"/>
        <w:ind w:left="720"/>
        <w:rPr>
          <w:rFonts w:asciiTheme="minorHAnsi" w:hAnsiTheme="minorHAnsi"/>
          <w:b/>
          <w:bCs/>
        </w:rPr>
      </w:pPr>
      <w:r w:rsidRPr="00474402">
        <w:rPr>
          <w:rFonts w:asciiTheme="minorHAnsi" w:hAnsiTheme="minorHAnsi"/>
          <w:bCs/>
        </w:rPr>
        <w:t>Amend existing/recommended listing as follows:</w:t>
      </w:r>
    </w:p>
    <w:p w:rsidR="007D35A2" w:rsidRPr="00474402" w:rsidRDefault="006C0DE1" w:rsidP="0073287B">
      <w:pPr>
        <w:pStyle w:val="NoSpacing"/>
        <w:rPr>
          <w:rFonts w:asciiTheme="minorHAnsi" w:hAnsiTheme="minorHAnsi" w:cstheme="minorHAnsi"/>
          <w:sz w:val="24"/>
          <w:szCs w:val="24"/>
          <w:lang w:val="en-GB"/>
        </w:rPr>
      </w:pPr>
      <w:r w:rsidRPr="00474402">
        <w:rPr>
          <w:rFonts w:asciiTheme="minorHAnsi" w:hAnsiTheme="minorHAnsi" w:cstheme="minorHAnsi"/>
          <w:sz w:val="24"/>
          <w:szCs w:val="24"/>
          <w:lang w:val="en-GB"/>
        </w:rPr>
        <w:t>The Secretariat aligned the proposed restriction to the s</w:t>
      </w:r>
      <w:r w:rsidR="00BF4883" w:rsidRPr="00474402">
        <w:rPr>
          <w:rFonts w:asciiTheme="minorHAnsi" w:hAnsiTheme="minorHAnsi" w:cstheme="minorHAnsi"/>
          <w:sz w:val="24"/>
          <w:szCs w:val="24"/>
          <w:lang w:val="en-GB"/>
        </w:rPr>
        <w:t xml:space="preserve">ame restriction wording as the </w:t>
      </w:r>
      <w:r w:rsidR="00057611" w:rsidRPr="00474402">
        <w:rPr>
          <w:rFonts w:asciiTheme="minorHAnsi" w:hAnsiTheme="minorHAnsi" w:cstheme="minorHAnsi"/>
          <w:sz w:val="24"/>
          <w:szCs w:val="24"/>
          <w:lang w:val="en-GB"/>
        </w:rPr>
        <w:t>Botox®</w:t>
      </w:r>
      <w:r w:rsidRPr="00474402">
        <w:rPr>
          <w:rFonts w:asciiTheme="minorHAnsi" w:hAnsiTheme="minorHAnsi" w:cstheme="minorHAnsi"/>
          <w:sz w:val="24"/>
          <w:szCs w:val="24"/>
          <w:lang w:val="en-GB"/>
        </w:rPr>
        <w:t xml:space="preserve"> </w:t>
      </w:r>
      <w:r w:rsidR="00BF4883" w:rsidRPr="00474402">
        <w:rPr>
          <w:rFonts w:asciiTheme="minorHAnsi" w:hAnsiTheme="minorHAnsi" w:cstheme="minorHAnsi"/>
          <w:sz w:val="24"/>
          <w:szCs w:val="24"/>
          <w:lang w:val="en-GB"/>
        </w:rPr>
        <w:t>listing</w:t>
      </w:r>
      <w:r w:rsidRPr="00474402">
        <w:rPr>
          <w:rFonts w:asciiTheme="minorHAnsi" w:hAnsiTheme="minorHAnsi" w:cstheme="minorHAnsi"/>
          <w:sz w:val="24"/>
          <w:szCs w:val="24"/>
          <w:lang w:val="en-GB"/>
        </w:rPr>
        <w:t>.</w:t>
      </w:r>
    </w:p>
    <w:p w:rsidR="006C0DE1" w:rsidRPr="00F70F81" w:rsidRDefault="006C0DE1" w:rsidP="006C0DE1"/>
    <w:tbl>
      <w:tblPr>
        <w:tblW w:w="8931" w:type="dxa"/>
        <w:tblLayout w:type="fixed"/>
        <w:tblLook w:val="0000" w:firstRow="0" w:lastRow="0" w:firstColumn="0" w:lastColumn="0" w:noHBand="0" w:noVBand="0"/>
      </w:tblPr>
      <w:tblGrid>
        <w:gridCol w:w="1672"/>
        <w:gridCol w:w="2013"/>
        <w:gridCol w:w="992"/>
        <w:gridCol w:w="1276"/>
        <w:gridCol w:w="1417"/>
        <w:gridCol w:w="1561"/>
      </w:tblGrid>
      <w:tr w:rsidR="006C0DE1" w:rsidRPr="00C254D9" w:rsidTr="00CE7CF7">
        <w:trPr>
          <w:cantSplit/>
          <w:trHeight w:val="471"/>
        </w:trPr>
        <w:tc>
          <w:tcPr>
            <w:tcW w:w="3685" w:type="dxa"/>
            <w:gridSpan w:val="2"/>
            <w:tcBorders>
              <w:bottom w:val="single" w:sz="4" w:space="0" w:color="auto"/>
            </w:tcBorders>
          </w:tcPr>
          <w:p w:rsidR="006C0DE1" w:rsidRPr="00474402" w:rsidRDefault="006C0DE1" w:rsidP="009E5127">
            <w:pPr>
              <w:keepNext/>
              <w:ind w:left="-108"/>
              <w:rPr>
                <w:rFonts w:ascii="Arial Narrow" w:hAnsi="Arial Narrow"/>
                <w:b/>
                <w:sz w:val="20"/>
                <w:szCs w:val="20"/>
              </w:rPr>
            </w:pPr>
            <w:r w:rsidRPr="00474402">
              <w:rPr>
                <w:rFonts w:ascii="Arial Narrow" w:hAnsi="Arial Narrow"/>
                <w:b/>
                <w:sz w:val="20"/>
                <w:szCs w:val="20"/>
              </w:rPr>
              <w:t>Name, Restriction,</w:t>
            </w:r>
          </w:p>
          <w:p w:rsidR="006C0DE1" w:rsidRPr="00474402" w:rsidRDefault="006C0DE1" w:rsidP="009E5127">
            <w:pPr>
              <w:keepNext/>
              <w:ind w:left="-108"/>
              <w:rPr>
                <w:rFonts w:ascii="Arial Narrow" w:hAnsi="Arial Narrow"/>
                <w:b/>
                <w:sz w:val="20"/>
                <w:szCs w:val="20"/>
              </w:rPr>
            </w:pPr>
            <w:r w:rsidRPr="00474402">
              <w:rPr>
                <w:rFonts w:ascii="Arial Narrow" w:hAnsi="Arial Narrow"/>
                <w:b/>
                <w:sz w:val="20"/>
                <w:szCs w:val="20"/>
              </w:rPr>
              <w:t>Manner of administration and form</w:t>
            </w:r>
          </w:p>
        </w:tc>
        <w:tc>
          <w:tcPr>
            <w:tcW w:w="992" w:type="dxa"/>
            <w:tcBorders>
              <w:bottom w:val="single" w:sz="4" w:space="0" w:color="auto"/>
            </w:tcBorders>
          </w:tcPr>
          <w:p w:rsidR="006C0DE1" w:rsidRPr="00474402" w:rsidRDefault="006C0DE1" w:rsidP="00474402">
            <w:pPr>
              <w:keepNext/>
              <w:ind w:left="-108"/>
              <w:jc w:val="center"/>
              <w:rPr>
                <w:rFonts w:ascii="Arial Narrow" w:hAnsi="Arial Narrow"/>
                <w:b/>
                <w:sz w:val="20"/>
                <w:szCs w:val="20"/>
              </w:rPr>
            </w:pPr>
            <w:r w:rsidRPr="00474402">
              <w:rPr>
                <w:rFonts w:ascii="Arial Narrow" w:hAnsi="Arial Narrow"/>
                <w:b/>
                <w:sz w:val="20"/>
                <w:szCs w:val="20"/>
              </w:rPr>
              <w:t>Max.</w:t>
            </w:r>
            <w:r w:rsidR="00474402">
              <w:rPr>
                <w:rFonts w:ascii="Arial Narrow" w:hAnsi="Arial Narrow"/>
                <w:b/>
                <w:sz w:val="20"/>
                <w:szCs w:val="20"/>
              </w:rPr>
              <w:t xml:space="preserve"> </w:t>
            </w:r>
            <w:r w:rsidR="00474402">
              <w:rPr>
                <w:rFonts w:ascii="Arial Narrow" w:hAnsi="Arial Narrow"/>
                <w:b/>
                <w:sz w:val="20"/>
                <w:szCs w:val="20"/>
              </w:rPr>
              <w:br/>
            </w:r>
            <w:r w:rsidRPr="00474402">
              <w:rPr>
                <w:rFonts w:ascii="Arial Narrow" w:hAnsi="Arial Narrow"/>
                <w:b/>
                <w:sz w:val="20"/>
                <w:szCs w:val="20"/>
              </w:rPr>
              <w:t>Qty</w:t>
            </w:r>
          </w:p>
        </w:tc>
        <w:tc>
          <w:tcPr>
            <w:tcW w:w="1276" w:type="dxa"/>
            <w:tcBorders>
              <w:bottom w:val="single" w:sz="4" w:space="0" w:color="auto"/>
            </w:tcBorders>
          </w:tcPr>
          <w:p w:rsidR="006C0DE1" w:rsidRPr="00474402" w:rsidRDefault="006C0DE1" w:rsidP="00474402">
            <w:pPr>
              <w:keepNext/>
              <w:ind w:left="-108"/>
              <w:jc w:val="center"/>
              <w:rPr>
                <w:rFonts w:ascii="Arial Narrow" w:hAnsi="Arial Narrow"/>
                <w:b/>
                <w:sz w:val="20"/>
                <w:szCs w:val="20"/>
              </w:rPr>
            </w:pPr>
            <w:r w:rsidRPr="00474402">
              <w:rPr>
                <w:rFonts w:ascii="Arial Narrow" w:hAnsi="Arial Narrow"/>
                <w:b/>
                <w:sz w:val="20"/>
                <w:szCs w:val="20"/>
              </w:rPr>
              <w:t>№.of</w:t>
            </w:r>
          </w:p>
          <w:p w:rsidR="006C0DE1" w:rsidRPr="00474402" w:rsidRDefault="006C0DE1" w:rsidP="00474402">
            <w:pPr>
              <w:keepNext/>
              <w:ind w:left="-108"/>
              <w:jc w:val="center"/>
              <w:rPr>
                <w:rFonts w:ascii="Arial Narrow" w:hAnsi="Arial Narrow"/>
                <w:b/>
                <w:sz w:val="20"/>
                <w:szCs w:val="20"/>
              </w:rPr>
            </w:pPr>
            <w:r w:rsidRPr="00474402">
              <w:rPr>
                <w:rFonts w:ascii="Arial Narrow" w:hAnsi="Arial Narrow"/>
                <w:b/>
                <w:sz w:val="20"/>
                <w:szCs w:val="20"/>
              </w:rPr>
              <w:t>Rpts</w:t>
            </w:r>
          </w:p>
        </w:tc>
        <w:tc>
          <w:tcPr>
            <w:tcW w:w="2978" w:type="dxa"/>
            <w:gridSpan w:val="2"/>
            <w:tcBorders>
              <w:bottom w:val="single" w:sz="4" w:space="0" w:color="auto"/>
            </w:tcBorders>
          </w:tcPr>
          <w:p w:rsidR="006C0DE1" w:rsidRPr="00474402" w:rsidRDefault="006C0DE1" w:rsidP="00474402">
            <w:pPr>
              <w:keepNext/>
              <w:jc w:val="left"/>
              <w:rPr>
                <w:rFonts w:ascii="Arial Narrow" w:hAnsi="Arial Narrow"/>
                <w:b/>
                <w:sz w:val="20"/>
                <w:szCs w:val="20"/>
                <w:lang w:val="fr-FR"/>
              </w:rPr>
            </w:pPr>
            <w:r w:rsidRPr="00474402">
              <w:rPr>
                <w:rFonts w:ascii="Arial Narrow" w:hAnsi="Arial Narrow"/>
                <w:b/>
                <w:sz w:val="20"/>
                <w:szCs w:val="20"/>
              </w:rPr>
              <w:t>Proprietary Name and Manufacturer</w:t>
            </w:r>
          </w:p>
        </w:tc>
      </w:tr>
      <w:tr w:rsidR="006C0DE1" w:rsidRPr="00C254D9" w:rsidTr="00CE7CF7">
        <w:trPr>
          <w:cantSplit/>
          <w:trHeight w:val="577"/>
        </w:trPr>
        <w:tc>
          <w:tcPr>
            <w:tcW w:w="3685" w:type="dxa"/>
            <w:gridSpan w:val="2"/>
          </w:tcPr>
          <w:p w:rsidR="006C0DE1" w:rsidRPr="00C254D9" w:rsidRDefault="006C0DE1" w:rsidP="00474402">
            <w:pPr>
              <w:keepNext/>
              <w:ind w:left="-108"/>
              <w:jc w:val="left"/>
              <w:rPr>
                <w:rFonts w:ascii="Arial Narrow" w:hAnsi="Arial Narrow"/>
                <w:sz w:val="20"/>
                <w:szCs w:val="20"/>
              </w:rPr>
            </w:pPr>
            <w:r>
              <w:rPr>
                <w:rFonts w:ascii="Arial Narrow" w:hAnsi="Arial Narrow"/>
                <w:smallCaps/>
                <w:sz w:val="20"/>
                <w:szCs w:val="20"/>
              </w:rPr>
              <w:t>clostridium type A toxin-haemagglutinin complex</w:t>
            </w:r>
          </w:p>
          <w:p w:rsidR="006C0DE1" w:rsidRDefault="006C0DE1" w:rsidP="009E5127">
            <w:pPr>
              <w:keepNext/>
              <w:ind w:left="-108"/>
              <w:rPr>
                <w:rFonts w:ascii="Arial Narrow" w:hAnsi="Arial Narrow"/>
                <w:sz w:val="20"/>
                <w:szCs w:val="20"/>
              </w:rPr>
            </w:pPr>
            <w:r w:rsidRPr="00F6483F">
              <w:rPr>
                <w:rFonts w:ascii="Arial Narrow" w:hAnsi="Arial Narrow"/>
                <w:sz w:val="20"/>
                <w:szCs w:val="20"/>
              </w:rPr>
              <w:t>300 units injection, 1 vial</w:t>
            </w:r>
          </w:p>
          <w:p w:rsidR="006C0DE1" w:rsidRPr="00F6483F" w:rsidRDefault="006C0DE1" w:rsidP="009E5127">
            <w:pPr>
              <w:keepNext/>
              <w:ind w:left="-108"/>
              <w:rPr>
                <w:rFonts w:ascii="Arial Narrow" w:hAnsi="Arial Narrow"/>
                <w:sz w:val="20"/>
                <w:szCs w:val="20"/>
              </w:rPr>
            </w:pPr>
            <w:r>
              <w:rPr>
                <w:rFonts w:ascii="Arial Narrow" w:hAnsi="Arial Narrow"/>
                <w:sz w:val="20"/>
                <w:szCs w:val="20"/>
              </w:rPr>
              <w:t>500 units injection, 1 vial</w:t>
            </w:r>
          </w:p>
          <w:p w:rsidR="006C0DE1" w:rsidRPr="008B3257" w:rsidRDefault="006C0DE1" w:rsidP="00474402">
            <w:pPr>
              <w:keepNext/>
              <w:rPr>
                <w:rFonts w:ascii="Arial Narrow" w:hAnsi="Arial Narrow"/>
                <w:color w:val="FF0000"/>
                <w:sz w:val="20"/>
                <w:szCs w:val="20"/>
              </w:rPr>
            </w:pPr>
          </w:p>
        </w:tc>
        <w:tc>
          <w:tcPr>
            <w:tcW w:w="992" w:type="dxa"/>
          </w:tcPr>
          <w:p w:rsidR="006C0DE1" w:rsidRDefault="006C0DE1" w:rsidP="00474402">
            <w:pPr>
              <w:keepNext/>
              <w:ind w:left="-108"/>
              <w:jc w:val="center"/>
              <w:rPr>
                <w:rFonts w:ascii="Arial Narrow" w:hAnsi="Arial Narrow"/>
                <w:sz w:val="20"/>
                <w:szCs w:val="20"/>
              </w:rPr>
            </w:pPr>
          </w:p>
          <w:p w:rsidR="00CE7CF7" w:rsidRDefault="00CE7CF7" w:rsidP="00474402">
            <w:pPr>
              <w:keepNext/>
              <w:ind w:left="-108"/>
              <w:jc w:val="center"/>
              <w:rPr>
                <w:rFonts w:ascii="Arial Narrow" w:hAnsi="Arial Narrow"/>
                <w:sz w:val="20"/>
                <w:szCs w:val="20"/>
              </w:rPr>
            </w:pPr>
          </w:p>
          <w:p w:rsidR="006C0DE1" w:rsidRDefault="006C0DE1" w:rsidP="00474402">
            <w:pPr>
              <w:keepNext/>
              <w:ind w:left="-108"/>
              <w:jc w:val="center"/>
              <w:rPr>
                <w:rFonts w:ascii="Arial Narrow" w:hAnsi="Arial Narrow"/>
                <w:sz w:val="20"/>
                <w:szCs w:val="20"/>
              </w:rPr>
            </w:pPr>
            <w:r>
              <w:rPr>
                <w:rFonts w:ascii="Arial Narrow" w:hAnsi="Arial Narrow"/>
                <w:sz w:val="20"/>
                <w:szCs w:val="20"/>
              </w:rPr>
              <w:t>5</w:t>
            </w:r>
          </w:p>
          <w:p w:rsidR="006C0DE1" w:rsidRPr="00C254D9" w:rsidRDefault="006C0DE1" w:rsidP="00474402">
            <w:pPr>
              <w:keepNext/>
              <w:ind w:left="-108"/>
              <w:jc w:val="center"/>
              <w:rPr>
                <w:rFonts w:ascii="Arial Narrow" w:hAnsi="Arial Narrow"/>
                <w:sz w:val="20"/>
                <w:szCs w:val="20"/>
              </w:rPr>
            </w:pPr>
            <w:r>
              <w:rPr>
                <w:rFonts w:ascii="Arial Narrow" w:hAnsi="Arial Narrow"/>
                <w:sz w:val="20"/>
                <w:szCs w:val="20"/>
              </w:rPr>
              <w:t>3</w:t>
            </w:r>
          </w:p>
        </w:tc>
        <w:tc>
          <w:tcPr>
            <w:tcW w:w="1276" w:type="dxa"/>
          </w:tcPr>
          <w:p w:rsidR="006C0DE1" w:rsidRDefault="006C0DE1" w:rsidP="00474402">
            <w:pPr>
              <w:keepNext/>
              <w:ind w:left="-108"/>
              <w:jc w:val="center"/>
              <w:rPr>
                <w:rFonts w:ascii="Arial Narrow" w:hAnsi="Arial Narrow"/>
                <w:sz w:val="20"/>
                <w:szCs w:val="20"/>
              </w:rPr>
            </w:pPr>
          </w:p>
          <w:p w:rsidR="00CE7CF7" w:rsidRDefault="00CE7CF7" w:rsidP="00474402">
            <w:pPr>
              <w:keepNext/>
              <w:ind w:left="-108"/>
              <w:jc w:val="center"/>
              <w:rPr>
                <w:rFonts w:ascii="Arial Narrow" w:hAnsi="Arial Narrow"/>
                <w:sz w:val="20"/>
                <w:szCs w:val="20"/>
              </w:rPr>
            </w:pPr>
          </w:p>
          <w:p w:rsidR="006C0DE1" w:rsidRDefault="006C0DE1" w:rsidP="00474402">
            <w:pPr>
              <w:keepNext/>
              <w:ind w:left="-108"/>
              <w:jc w:val="center"/>
              <w:rPr>
                <w:rFonts w:ascii="Arial Narrow" w:hAnsi="Arial Narrow"/>
                <w:sz w:val="20"/>
                <w:szCs w:val="20"/>
              </w:rPr>
            </w:pPr>
            <w:r>
              <w:rPr>
                <w:rFonts w:ascii="Arial Narrow" w:hAnsi="Arial Narrow"/>
                <w:sz w:val="20"/>
                <w:szCs w:val="20"/>
              </w:rPr>
              <w:t>0</w:t>
            </w:r>
          </w:p>
          <w:p w:rsidR="006C0DE1" w:rsidRPr="00C254D9" w:rsidRDefault="006C0DE1" w:rsidP="00474402">
            <w:pPr>
              <w:keepNext/>
              <w:ind w:left="-108"/>
              <w:jc w:val="center"/>
              <w:rPr>
                <w:rFonts w:ascii="Arial Narrow" w:hAnsi="Arial Narrow"/>
                <w:sz w:val="20"/>
                <w:szCs w:val="20"/>
              </w:rPr>
            </w:pPr>
            <w:r>
              <w:rPr>
                <w:rFonts w:ascii="Arial Narrow" w:hAnsi="Arial Narrow"/>
                <w:sz w:val="20"/>
                <w:szCs w:val="20"/>
              </w:rPr>
              <w:t>0</w:t>
            </w:r>
          </w:p>
        </w:tc>
        <w:tc>
          <w:tcPr>
            <w:tcW w:w="1417" w:type="dxa"/>
            <w:vAlign w:val="center"/>
          </w:tcPr>
          <w:p w:rsidR="006C0DE1" w:rsidRPr="00C254D9" w:rsidRDefault="006C0DE1" w:rsidP="00CE7CF7">
            <w:pPr>
              <w:keepNext/>
              <w:jc w:val="center"/>
              <w:rPr>
                <w:rFonts w:ascii="Arial Narrow" w:hAnsi="Arial Narrow"/>
                <w:sz w:val="20"/>
                <w:szCs w:val="20"/>
              </w:rPr>
            </w:pPr>
            <w:r>
              <w:rPr>
                <w:rFonts w:ascii="Arial Narrow" w:hAnsi="Arial Narrow"/>
                <w:sz w:val="20"/>
                <w:szCs w:val="20"/>
              </w:rPr>
              <w:t>Dysport®</w:t>
            </w:r>
          </w:p>
        </w:tc>
        <w:tc>
          <w:tcPr>
            <w:tcW w:w="1561" w:type="dxa"/>
            <w:vAlign w:val="center"/>
          </w:tcPr>
          <w:p w:rsidR="006C0DE1" w:rsidRPr="00C254D9" w:rsidRDefault="006C0DE1" w:rsidP="00CE7CF7">
            <w:pPr>
              <w:keepNext/>
              <w:jc w:val="center"/>
              <w:rPr>
                <w:rFonts w:ascii="Arial Narrow" w:hAnsi="Arial Narrow"/>
                <w:sz w:val="20"/>
                <w:szCs w:val="20"/>
              </w:rPr>
            </w:pPr>
            <w:r>
              <w:rPr>
                <w:rFonts w:ascii="Arial Narrow" w:hAnsi="Arial Narrow"/>
                <w:sz w:val="20"/>
                <w:szCs w:val="20"/>
              </w:rPr>
              <w:t>Ipsen Pty Ltd</w:t>
            </w:r>
          </w:p>
        </w:tc>
      </w:tr>
      <w:tr w:rsidR="006C0DE1" w:rsidRPr="00C254D9" w:rsidTr="00CE7CF7">
        <w:trPr>
          <w:cantSplit/>
          <w:trHeight w:val="135"/>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b/>
                <w:sz w:val="20"/>
                <w:szCs w:val="20"/>
              </w:rPr>
            </w:pPr>
            <w:r w:rsidRPr="00C254D9">
              <w:rPr>
                <w:rFonts w:ascii="Arial Narrow" w:hAnsi="Arial Narrow"/>
                <w:b/>
                <w:sz w:val="20"/>
                <w:szCs w:val="20"/>
              </w:rPr>
              <w:t>Category/Program</w:t>
            </w:r>
            <w:r>
              <w:rPr>
                <w:rFonts w:ascii="Arial Narrow" w:hAnsi="Arial Narrow"/>
                <w:b/>
                <w:sz w:val="20"/>
                <w:szCs w:val="20"/>
              </w:rPr>
              <w:t>:</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sz w:val="20"/>
                <w:szCs w:val="20"/>
              </w:rPr>
            </w:pPr>
            <w:r>
              <w:rPr>
                <w:rFonts w:ascii="Arial Narrow" w:hAnsi="Arial Narrow"/>
                <w:sz w:val="20"/>
                <w:szCs w:val="20"/>
              </w:rPr>
              <w:t>Section 100 – Botulinum T</w:t>
            </w:r>
            <w:r w:rsidRPr="00C254D9">
              <w:rPr>
                <w:rFonts w:ascii="Arial Narrow" w:hAnsi="Arial Narrow"/>
                <w:sz w:val="20"/>
                <w:szCs w:val="20"/>
              </w:rPr>
              <w:t xml:space="preserve">oxin </w:t>
            </w:r>
            <w:r>
              <w:rPr>
                <w:rFonts w:ascii="Arial Narrow" w:hAnsi="Arial Narrow"/>
                <w:sz w:val="20"/>
                <w:szCs w:val="20"/>
              </w:rPr>
              <w:t>P</w:t>
            </w:r>
            <w:r w:rsidRPr="00C254D9">
              <w:rPr>
                <w:rFonts w:ascii="Arial Narrow" w:hAnsi="Arial Narrow"/>
                <w:sz w:val="20"/>
                <w:szCs w:val="20"/>
              </w:rPr>
              <w:t>rogram</w:t>
            </w:r>
          </w:p>
        </w:tc>
      </w:tr>
      <w:tr w:rsidR="006C0DE1" w:rsidRPr="00C254D9" w:rsidTr="00CE7CF7">
        <w:trPr>
          <w:cantSplit/>
          <w:trHeight w:val="167"/>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b/>
                <w:sz w:val="20"/>
                <w:szCs w:val="20"/>
              </w:rPr>
            </w:pPr>
            <w:r w:rsidRPr="00C254D9">
              <w:rPr>
                <w:rFonts w:ascii="Arial Narrow" w:hAnsi="Arial Narrow"/>
                <w:b/>
                <w:sz w:val="20"/>
                <w:szCs w:val="20"/>
              </w:rPr>
              <w:t>Prescriber type:</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sz w:val="20"/>
                <w:szCs w:val="20"/>
              </w:rPr>
            </w:pPr>
            <w:r w:rsidRPr="00C254D9">
              <w:rPr>
                <w:rFonts w:ascii="Arial Narrow" w:hAnsi="Arial Narrow"/>
                <w:sz w:val="20"/>
                <w:szCs w:val="20"/>
              </w:rPr>
              <w:fldChar w:fldCharType="begin">
                <w:ffData>
                  <w:name w:val="Check1"/>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Pr>
                <w:rFonts w:ascii="Arial Narrow" w:hAnsi="Arial Narrow"/>
                <w:sz w:val="20"/>
                <w:szCs w:val="20"/>
              </w:rPr>
              <w:fldChar w:fldCharType="end"/>
            </w:r>
            <w:r w:rsidRPr="00C254D9">
              <w:rPr>
                <w:rFonts w:ascii="Arial Narrow" w:hAnsi="Arial Narrow"/>
                <w:sz w:val="20"/>
                <w:szCs w:val="20"/>
              </w:rPr>
              <w:t xml:space="preserve">Medical Practitioners  </w:t>
            </w:r>
            <w:r w:rsidRPr="00C254D9">
              <w:rPr>
                <w:rFonts w:ascii="Arial Narrow" w:hAnsi="Arial Narrow"/>
                <w:sz w:val="20"/>
                <w:szCs w:val="20"/>
              </w:rPr>
              <w:fldChar w:fldCharType="begin">
                <w:ffData>
                  <w:name w:val="Check3"/>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 xml:space="preserve">Nurse practitioners  </w:t>
            </w:r>
            <w:r w:rsidRPr="00C254D9">
              <w:rPr>
                <w:rFonts w:ascii="Arial Narrow" w:hAnsi="Arial Narrow"/>
                <w:sz w:val="20"/>
                <w:szCs w:val="20"/>
              </w:rPr>
              <w:fldChar w:fldCharType="begin">
                <w:ffData>
                  <w:name w:val=""/>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Optometrists</w:t>
            </w:r>
            <w:r w:rsidR="00A17FCD">
              <w:rPr>
                <w:rFonts w:ascii="Arial Narrow" w:hAnsi="Arial Narrow"/>
                <w:sz w:val="20"/>
                <w:szCs w:val="20"/>
              </w:rPr>
              <w:t xml:space="preserve">  </w:t>
            </w:r>
            <w:r w:rsidRPr="00C254D9">
              <w:rPr>
                <w:rFonts w:ascii="Arial Narrow" w:hAnsi="Arial Narrow"/>
                <w:sz w:val="20"/>
                <w:szCs w:val="20"/>
              </w:rPr>
              <w:fldChar w:fldCharType="begin">
                <w:ffData>
                  <w:name w:val="Check5"/>
                  <w:enabled/>
                  <w:calcOnExit w:val="0"/>
                  <w:checkBox>
                    <w:sizeAuto/>
                    <w:default w:val="0"/>
                  </w:checkBox>
                </w:ffData>
              </w:fldChar>
            </w:r>
            <w:r w:rsidRPr="00C254D9">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sidRPr="00C254D9">
              <w:rPr>
                <w:rFonts w:ascii="Arial Narrow" w:hAnsi="Arial Narrow"/>
                <w:sz w:val="20"/>
                <w:szCs w:val="20"/>
              </w:rPr>
              <w:fldChar w:fldCharType="end"/>
            </w:r>
            <w:r w:rsidRPr="00C254D9">
              <w:rPr>
                <w:rFonts w:ascii="Arial Narrow" w:hAnsi="Arial Narrow"/>
                <w:sz w:val="20"/>
                <w:szCs w:val="20"/>
              </w:rPr>
              <w:t>Midwives</w:t>
            </w:r>
          </w:p>
        </w:tc>
      </w:tr>
      <w:tr w:rsidR="006C0DE1" w:rsidRPr="00C254D9"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b/>
                <w:sz w:val="20"/>
                <w:szCs w:val="20"/>
              </w:rPr>
            </w:pPr>
            <w:r w:rsidRPr="00C254D9">
              <w:rPr>
                <w:rFonts w:ascii="Arial Narrow" w:hAnsi="Arial Narrow"/>
                <w:b/>
                <w:sz w:val="20"/>
                <w:szCs w:val="20"/>
              </w:rPr>
              <w:t>Severity:</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sz w:val="20"/>
                <w:szCs w:val="20"/>
              </w:rPr>
            </w:pPr>
            <w:r>
              <w:rPr>
                <w:rFonts w:ascii="Arial Narrow" w:hAnsi="Arial Narrow"/>
                <w:sz w:val="20"/>
                <w:szCs w:val="20"/>
              </w:rPr>
              <w:t>Moderate to severe</w:t>
            </w:r>
          </w:p>
        </w:tc>
      </w:tr>
      <w:tr w:rsidR="006C0DE1" w:rsidRPr="00C254D9"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b/>
                <w:sz w:val="20"/>
                <w:szCs w:val="20"/>
              </w:rPr>
            </w:pPr>
            <w:r w:rsidRPr="00C254D9">
              <w:rPr>
                <w:rFonts w:ascii="Arial Narrow" w:hAnsi="Arial Narrow"/>
                <w:b/>
                <w:sz w:val="20"/>
                <w:szCs w:val="20"/>
              </w:rPr>
              <w:t>Condition:</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sz w:val="20"/>
                <w:szCs w:val="20"/>
              </w:rPr>
            </w:pPr>
            <w:r w:rsidRPr="00A17FCD">
              <w:rPr>
                <w:rFonts w:ascii="Arial Narrow" w:hAnsi="Arial Narrow"/>
                <w:sz w:val="20"/>
                <w:szCs w:val="20"/>
              </w:rPr>
              <w:t>Spasticity of the lower limb following an acute event</w:t>
            </w:r>
          </w:p>
        </w:tc>
      </w:tr>
      <w:tr w:rsidR="006C0DE1" w:rsidRPr="00C254D9"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b/>
                <w:sz w:val="20"/>
                <w:szCs w:val="20"/>
              </w:rPr>
            </w:pPr>
            <w:r w:rsidRPr="00C254D9">
              <w:rPr>
                <w:rFonts w:ascii="Arial Narrow" w:hAnsi="Arial Narrow"/>
                <w:b/>
                <w:sz w:val="20"/>
                <w:szCs w:val="20"/>
              </w:rPr>
              <w:t>PBS Indication:</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4D0762" w:rsidRDefault="006C0DE1" w:rsidP="00A17FCD">
            <w:pPr>
              <w:rPr>
                <w:rFonts w:ascii="Arial Narrow" w:hAnsi="Arial Narrow"/>
                <w:i/>
                <w:sz w:val="20"/>
                <w:szCs w:val="20"/>
              </w:rPr>
            </w:pPr>
            <w:r>
              <w:rPr>
                <w:rFonts w:ascii="Arial Narrow" w:hAnsi="Arial Narrow"/>
                <w:sz w:val="20"/>
                <w:szCs w:val="20"/>
              </w:rPr>
              <w:t xml:space="preserve">Moderate to severe spasticity of the lower limb following </w:t>
            </w:r>
            <w:r w:rsidRPr="00A17FCD">
              <w:rPr>
                <w:rFonts w:ascii="Arial Narrow" w:hAnsi="Arial Narrow"/>
                <w:sz w:val="20"/>
                <w:szCs w:val="20"/>
              </w:rPr>
              <w:t>an acute event</w:t>
            </w:r>
          </w:p>
        </w:tc>
      </w:tr>
      <w:tr w:rsidR="00836E6C" w:rsidRPr="00A30A33" w:rsidTr="00CE7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1672" w:type="dxa"/>
            <w:tcBorders>
              <w:top w:val="single" w:sz="4" w:space="0" w:color="auto"/>
              <w:left w:val="single" w:sz="4" w:space="0" w:color="auto"/>
              <w:bottom w:val="single" w:sz="4" w:space="0" w:color="auto"/>
              <w:right w:val="single" w:sz="4" w:space="0" w:color="auto"/>
            </w:tcBorders>
            <w:hideMark/>
          </w:tcPr>
          <w:p w:rsidR="00836E6C" w:rsidRPr="000751F1" w:rsidRDefault="00836E6C" w:rsidP="008A5EEA">
            <w:pPr>
              <w:pStyle w:val="Tabletext"/>
              <w:rPr>
                <w:b/>
                <w:bCs/>
                <w:lang w:eastAsia="en-AU"/>
              </w:rPr>
            </w:pPr>
            <w:r w:rsidRPr="000751F1">
              <w:rPr>
                <w:b/>
                <w:bCs/>
                <w:lang w:eastAsia="en-AU"/>
              </w:rPr>
              <w:t>Treatment phase:</w:t>
            </w:r>
          </w:p>
        </w:tc>
        <w:tc>
          <w:tcPr>
            <w:tcW w:w="7259" w:type="dxa"/>
            <w:gridSpan w:val="5"/>
            <w:tcBorders>
              <w:top w:val="single" w:sz="4" w:space="0" w:color="auto"/>
              <w:left w:val="single" w:sz="4" w:space="0" w:color="auto"/>
              <w:bottom w:val="single" w:sz="4" w:space="0" w:color="auto"/>
              <w:right w:val="single" w:sz="4" w:space="0" w:color="auto"/>
            </w:tcBorders>
          </w:tcPr>
          <w:p w:rsidR="00836E6C" w:rsidRPr="00A30A33" w:rsidRDefault="00836E6C" w:rsidP="008A5EEA">
            <w:pPr>
              <w:pStyle w:val="Tabletext"/>
              <w:rPr>
                <w:lang w:eastAsia="en-AU"/>
              </w:rPr>
            </w:pPr>
            <w:r w:rsidRPr="001A1689">
              <w:rPr>
                <w:lang w:eastAsia="en-AU"/>
              </w:rPr>
              <w:t>Initial and continuing</w:t>
            </w:r>
          </w:p>
        </w:tc>
      </w:tr>
      <w:tr w:rsidR="006C0DE1" w:rsidRPr="00C254D9"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b/>
                <w:sz w:val="20"/>
                <w:szCs w:val="20"/>
              </w:rPr>
            </w:pPr>
            <w:r w:rsidRPr="00C254D9">
              <w:rPr>
                <w:rFonts w:ascii="Arial Narrow" w:hAnsi="Arial Narrow"/>
                <w:b/>
                <w:sz w:val="20"/>
                <w:szCs w:val="20"/>
              </w:rPr>
              <w:t>Restriction Level/Method:</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bookmarkStart w:id="23" w:name="Check5"/>
            <w:r>
              <w:rPr>
                <w:rFonts w:ascii="Arial Narrow" w:hAnsi="Arial Narrow"/>
                <w:sz w:val="20"/>
                <w:szCs w:val="20"/>
              </w:rPr>
              <w:instrText xml:space="preserve"> FORMCHECKBOX </w:instrText>
            </w:r>
            <w:r w:rsidR="008C0876">
              <w:rPr>
                <w:rFonts w:ascii="Arial Narrow" w:hAnsi="Arial Narrow"/>
                <w:sz w:val="20"/>
                <w:szCs w:val="20"/>
              </w:rPr>
            </w:r>
            <w:r w:rsidR="008C0876">
              <w:rPr>
                <w:rFonts w:ascii="Arial Narrow" w:hAnsi="Arial Narrow"/>
                <w:sz w:val="20"/>
                <w:szCs w:val="20"/>
              </w:rPr>
              <w:fldChar w:fldCharType="separate"/>
            </w:r>
            <w:r>
              <w:rPr>
                <w:rFonts w:ascii="Arial Narrow" w:hAnsi="Arial Narrow"/>
                <w:sz w:val="20"/>
                <w:szCs w:val="20"/>
              </w:rPr>
              <w:fldChar w:fldCharType="end"/>
            </w:r>
            <w:bookmarkEnd w:id="23"/>
            <w:r w:rsidRPr="00C254D9">
              <w:rPr>
                <w:rFonts w:ascii="Arial Narrow" w:hAnsi="Arial Narrow"/>
                <w:sz w:val="20"/>
                <w:szCs w:val="20"/>
              </w:rPr>
              <w:t>Streamlined</w:t>
            </w:r>
          </w:p>
        </w:tc>
      </w:tr>
      <w:tr w:rsidR="006C0DE1" w:rsidRPr="00C254D9" w:rsidTr="00CE7CF7">
        <w:trPr>
          <w:cantSplit/>
          <w:trHeight w:val="657"/>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Default="006C0DE1" w:rsidP="00A17FCD">
            <w:pPr>
              <w:rPr>
                <w:rFonts w:ascii="Arial Narrow" w:hAnsi="Arial Narrow"/>
                <w:b/>
                <w:sz w:val="20"/>
                <w:szCs w:val="20"/>
              </w:rPr>
            </w:pPr>
            <w:r w:rsidRPr="00C254D9">
              <w:rPr>
                <w:rFonts w:ascii="Arial Narrow" w:hAnsi="Arial Narrow"/>
                <w:b/>
                <w:sz w:val="20"/>
                <w:szCs w:val="20"/>
              </w:rPr>
              <w:lastRenderedPageBreak/>
              <w:t>Clinical criteria:</w:t>
            </w:r>
          </w:p>
          <w:p w:rsidR="006C0DE1" w:rsidRPr="00F70F81" w:rsidRDefault="006C0DE1" w:rsidP="00A17FCD">
            <w:pPr>
              <w:rPr>
                <w:rFonts w:ascii="Arial Narrow" w:hAnsi="Arial Narrow"/>
                <w:b/>
                <w:sz w:val="20"/>
                <w:szCs w:val="20"/>
              </w:rPr>
            </w:pP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sz w:val="20"/>
                <w:szCs w:val="20"/>
              </w:rPr>
            </w:pPr>
            <w:r w:rsidRPr="00F6483F">
              <w:rPr>
                <w:rFonts w:ascii="Arial Narrow" w:hAnsi="Arial Narrow"/>
                <w:sz w:val="20"/>
                <w:szCs w:val="20"/>
              </w:rPr>
              <w:t>The condition must be moderate to severe spasticity of the lower limb/s following stroke,</w:t>
            </w:r>
            <w:r>
              <w:rPr>
                <w:rFonts w:ascii="Arial Narrow" w:hAnsi="Arial Narrow"/>
                <w:sz w:val="20"/>
                <w:szCs w:val="20"/>
              </w:rPr>
              <w:t xml:space="preserve"> </w:t>
            </w:r>
            <w:r w:rsidRPr="00A17FCD">
              <w:rPr>
                <w:rFonts w:ascii="Arial Narrow" w:hAnsi="Arial Narrow"/>
                <w:sz w:val="20"/>
                <w:szCs w:val="20"/>
              </w:rPr>
              <w:t>or other acute neurological event, defined as a Modified Ashworth Scale rating of 3 or more,</w:t>
            </w:r>
          </w:p>
          <w:p w:rsidR="006C0DE1" w:rsidRPr="00A17FCD" w:rsidRDefault="006C0DE1" w:rsidP="00A17FCD">
            <w:pPr>
              <w:rPr>
                <w:rFonts w:ascii="Arial Narrow" w:hAnsi="Arial Narrow"/>
                <w:sz w:val="20"/>
                <w:szCs w:val="20"/>
              </w:rPr>
            </w:pPr>
            <w:r w:rsidRPr="00A17FCD">
              <w:rPr>
                <w:rFonts w:ascii="Arial Narrow" w:hAnsi="Arial Narrow"/>
                <w:sz w:val="20"/>
                <w:szCs w:val="20"/>
              </w:rPr>
              <w:t>AND</w:t>
            </w:r>
          </w:p>
          <w:p w:rsidR="006C0DE1" w:rsidRPr="00F6483F" w:rsidRDefault="006C0DE1" w:rsidP="00A17FCD">
            <w:pPr>
              <w:rPr>
                <w:rFonts w:ascii="Arial Narrow" w:hAnsi="Arial Narrow"/>
                <w:sz w:val="20"/>
                <w:szCs w:val="20"/>
              </w:rPr>
            </w:pPr>
            <w:r w:rsidRPr="00F6483F">
              <w:rPr>
                <w:rFonts w:ascii="Arial Narrow" w:hAnsi="Arial Narrow"/>
                <w:sz w:val="20"/>
                <w:szCs w:val="20"/>
              </w:rPr>
              <w:t>The treatment must only be used as second line therapy when standard management has failed;</w:t>
            </w:r>
            <w:r w:rsidR="00A17FCD">
              <w:rPr>
                <w:rFonts w:ascii="Arial Narrow" w:hAnsi="Arial Narrow"/>
                <w:sz w:val="20"/>
                <w:szCs w:val="20"/>
              </w:rPr>
              <w:t xml:space="preserve"> </w:t>
            </w:r>
            <w:r w:rsidRPr="00F6483F">
              <w:rPr>
                <w:rFonts w:ascii="Arial Narrow" w:hAnsi="Arial Narrow"/>
                <w:sz w:val="20"/>
                <w:szCs w:val="20"/>
              </w:rPr>
              <w:t>OR</w:t>
            </w:r>
          </w:p>
          <w:p w:rsidR="006C0DE1" w:rsidRPr="00F6483F" w:rsidRDefault="006C0DE1" w:rsidP="00A17FCD">
            <w:pPr>
              <w:rPr>
                <w:rFonts w:ascii="Arial Narrow" w:hAnsi="Arial Narrow"/>
                <w:sz w:val="20"/>
                <w:szCs w:val="20"/>
              </w:rPr>
            </w:pPr>
            <w:r w:rsidRPr="00F6483F">
              <w:rPr>
                <w:rFonts w:ascii="Arial Narrow" w:hAnsi="Arial Narrow"/>
                <w:sz w:val="20"/>
                <w:szCs w:val="20"/>
              </w:rPr>
              <w:t>The treatment must only be used as an adjunct to physical therapy,</w:t>
            </w:r>
          </w:p>
          <w:p w:rsidR="006C0DE1" w:rsidRPr="00A17FCD" w:rsidRDefault="006C0DE1" w:rsidP="00A17FCD">
            <w:pPr>
              <w:rPr>
                <w:rFonts w:ascii="Arial Narrow" w:hAnsi="Arial Narrow"/>
                <w:sz w:val="20"/>
                <w:szCs w:val="20"/>
              </w:rPr>
            </w:pPr>
            <w:r w:rsidRPr="00A17FCD">
              <w:rPr>
                <w:rFonts w:ascii="Arial Narrow" w:hAnsi="Arial Narrow"/>
                <w:sz w:val="20"/>
                <w:szCs w:val="20"/>
              </w:rPr>
              <w:t>AND</w:t>
            </w:r>
          </w:p>
          <w:p w:rsidR="006C0DE1" w:rsidRPr="00F6483F" w:rsidRDefault="006C0DE1" w:rsidP="00A17FCD">
            <w:pPr>
              <w:rPr>
                <w:rFonts w:ascii="Arial Narrow" w:hAnsi="Arial Narrow"/>
                <w:sz w:val="20"/>
                <w:szCs w:val="20"/>
              </w:rPr>
            </w:pPr>
            <w:r w:rsidRPr="00F6483F">
              <w:rPr>
                <w:rFonts w:ascii="Arial Narrow" w:hAnsi="Arial Narrow"/>
                <w:color w:val="222222"/>
                <w:sz w:val="20"/>
                <w:szCs w:val="20"/>
              </w:rPr>
              <w:t xml:space="preserve">Treatment must not continue if the patient does not respond (defined as not having had a decrease in spasticity rating of at least </w:t>
            </w:r>
            <w:r w:rsidR="00A17FCD">
              <w:rPr>
                <w:rFonts w:ascii="Arial Narrow" w:hAnsi="Arial Narrow"/>
                <w:color w:val="222222"/>
                <w:sz w:val="20"/>
                <w:szCs w:val="20"/>
              </w:rPr>
              <w:t>1</w:t>
            </w:r>
            <w:r w:rsidRPr="00F6483F">
              <w:rPr>
                <w:rFonts w:ascii="Arial Narrow" w:hAnsi="Arial Narrow"/>
                <w:color w:val="222222"/>
                <w:sz w:val="20"/>
                <w:szCs w:val="20"/>
              </w:rPr>
              <w:t>, using the Modified Ashworth Scale, in at least one joint) after two treatment periods (with any botulinum toxin type A),</w:t>
            </w:r>
          </w:p>
          <w:p w:rsidR="006C0DE1" w:rsidRPr="00A17FCD" w:rsidRDefault="006C0DE1" w:rsidP="00A17FCD">
            <w:pPr>
              <w:rPr>
                <w:rFonts w:ascii="Arial Narrow" w:hAnsi="Arial Narrow"/>
                <w:sz w:val="20"/>
                <w:szCs w:val="20"/>
              </w:rPr>
            </w:pPr>
            <w:r w:rsidRPr="00A17FCD">
              <w:rPr>
                <w:rFonts w:ascii="Arial Narrow" w:hAnsi="Arial Narrow"/>
                <w:sz w:val="20"/>
                <w:szCs w:val="20"/>
              </w:rPr>
              <w:t>AND</w:t>
            </w:r>
          </w:p>
          <w:p w:rsidR="006C0DE1" w:rsidRDefault="006C0DE1" w:rsidP="00A17FCD">
            <w:pPr>
              <w:rPr>
                <w:rFonts w:ascii="Arial Narrow" w:hAnsi="Arial Narrow"/>
                <w:sz w:val="20"/>
                <w:szCs w:val="20"/>
              </w:rPr>
            </w:pPr>
            <w:r w:rsidRPr="00F6483F">
              <w:rPr>
                <w:rFonts w:ascii="Arial Narrow" w:hAnsi="Arial Narrow"/>
                <w:sz w:val="20"/>
                <w:szCs w:val="20"/>
              </w:rPr>
              <w:t>Patient must not have established severe contracture in the limb to be treated</w:t>
            </w:r>
            <w:r w:rsidR="00A17FCD">
              <w:rPr>
                <w:rFonts w:ascii="Arial Narrow" w:hAnsi="Arial Narrow"/>
                <w:sz w:val="20"/>
                <w:szCs w:val="20"/>
              </w:rPr>
              <w:t>;</w:t>
            </w:r>
          </w:p>
          <w:p w:rsidR="006C0DE1" w:rsidRPr="00A17FCD" w:rsidRDefault="006C0DE1" w:rsidP="00A17FCD">
            <w:pPr>
              <w:rPr>
                <w:rFonts w:ascii="Arial Narrow" w:hAnsi="Arial Narrow"/>
                <w:sz w:val="20"/>
                <w:szCs w:val="20"/>
              </w:rPr>
            </w:pPr>
            <w:r w:rsidRPr="00A17FCD">
              <w:rPr>
                <w:rFonts w:ascii="Arial Narrow" w:hAnsi="Arial Narrow"/>
                <w:sz w:val="20"/>
                <w:szCs w:val="20"/>
              </w:rPr>
              <w:t>AND</w:t>
            </w:r>
          </w:p>
          <w:p w:rsidR="006C0DE1" w:rsidRPr="00A17FCD" w:rsidRDefault="006C0DE1" w:rsidP="00A17FCD">
            <w:pPr>
              <w:rPr>
                <w:rFonts w:ascii="Arial Narrow" w:hAnsi="Arial Narrow"/>
                <w:sz w:val="20"/>
                <w:szCs w:val="20"/>
              </w:rPr>
            </w:pPr>
            <w:r w:rsidRPr="00A17FCD">
              <w:rPr>
                <w:rFonts w:ascii="Arial Narrow" w:hAnsi="Arial Narrow"/>
                <w:sz w:val="20"/>
                <w:szCs w:val="20"/>
              </w:rPr>
              <w:t>The treatment must not exceed a maximum of 4 treatment periods (with any botulinum toxin type A) per lower limb in the first year of treatment, and 2 treatment periods (with any botulinum toxin type A) per l</w:t>
            </w:r>
            <w:r w:rsidR="00A17FCD">
              <w:rPr>
                <w:rFonts w:ascii="Arial Narrow" w:hAnsi="Arial Narrow"/>
                <w:sz w:val="20"/>
                <w:szCs w:val="20"/>
              </w:rPr>
              <w:t>ower limb each year thereafter.</w:t>
            </w:r>
          </w:p>
        </w:tc>
      </w:tr>
      <w:tr w:rsidR="006C0DE1" w:rsidRPr="00C254D9"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DF3F8F" w:rsidRDefault="006C0DE1" w:rsidP="00A17FCD">
            <w:pPr>
              <w:rPr>
                <w:rFonts w:ascii="Arial Narrow" w:hAnsi="Arial Narrow"/>
                <w:b/>
                <w:sz w:val="20"/>
                <w:szCs w:val="20"/>
              </w:rPr>
            </w:pPr>
            <w:r w:rsidRPr="00C254D9">
              <w:rPr>
                <w:rFonts w:ascii="Arial Narrow" w:hAnsi="Arial Narrow"/>
                <w:b/>
                <w:sz w:val="20"/>
                <w:szCs w:val="20"/>
              </w:rPr>
              <w:t>Population criteria:</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F6483F" w:rsidRDefault="006C0DE1" w:rsidP="00A17FCD">
            <w:pPr>
              <w:rPr>
                <w:rFonts w:ascii="Arial Narrow" w:hAnsi="Arial Narrow"/>
                <w:sz w:val="20"/>
                <w:szCs w:val="20"/>
              </w:rPr>
            </w:pPr>
            <w:r w:rsidRPr="00F6483F">
              <w:rPr>
                <w:rFonts w:ascii="Arial Narrow" w:hAnsi="Arial Narrow" w:cs="Calibri"/>
                <w:sz w:val="20"/>
                <w:szCs w:val="20"/>
                <w:lang w:val="en"/>
              </w:rPr>
              <w:t>Patient must be aged 18 years or older.</w:t>
            </w:r>
          </w:p>
        </w:tc>
      </w:tr>
      <w:tr w:rsidR="00A17FCD" w:rsidRPr="00C254D9" w:rsidTr="00CE7CF7">
        <w:trPr>
          <w:cantSplit/>
          <w:trHeight w:val="360"/>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A17FCD" w:rsidRDefault="00A17FCD" w:rsidP="008A5EEA">
            <w:pPr>
              <w:rPr>
                <w:rFonts w:ascii="Arial Narrow" w:hAnsi="Arial Narrow"/>
                <w:b/>
                <w:sz w:val="20"/>
                <w:szCs w:val="20"/>
              </w:rPr>
            </w:pPr>
            <w:r>
              <w:rPr>
                <w:rFonts w:ascii="Arial Narrow" w:hAnsi="Arial Narrow"/>
                <w:b/>
                <w:sz w:val="20"/>
                <w:szCs w:val="20"/>
              </w:rPr>
              <w:t>Treatment criteria:</w:t>
            </w:r>
          </w:p>
          <w:p w:rsidR="00A17FCD" w:rsidRPr="00F70F81" w:rsidRDefault="00A17FCD" w:rsidP="008A5EEA">
            <w:pPr>
              <w:rPr>
                <w:rFonts w:ascii="Arial Narrow" w:hAnsi="Arial Narrow"/>
                <w:b/>
                <w:sz w:val="20"/>
                <w:szCs w:val="20"/>
              </w:rPr>
            </w:pP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A17FCD" w:rsidRPr="006D319A" w:rsidRDefault="00A17FCD" w:rsidP="008A5EEA">
            <w:pPr>
              <w:rPr>
                <w:rFonts w:ascii="Arial Narrow" w:hAnsi="Arial Narrow"/>
                <w:sz w:val="20"/>
              </w:rPr>
            </w:pPr>
            <w:r w:rsidRPr="006D319A">
              <w:rPr>
                <w:rFonts w:ascii="Arial Narrow" w:hAnsi="Arial Narrow"/>
                <w:sz w:val="20"/>
              </w:rPr>
              <w:t>Must be treated by a neurologist; OR</w:t>
            </w:r>
          </w:p>
          <w:p w:rsidR="00A17FCD" w:rsidRPr="006D319A" w:rsidRDefault="00A17FCD" w:rsidP="008A5EEA">
            <w:pPr>
              <w:rPr>
                <w:rFonts w:ascii="Arial Narrow" w:hAnsi="Arial Narrow"/>
                <w:sz w:val="20"/>
              </w:rPr>
            </w:pPr>
            <w:r w:rsidRPr="006D319A">
              <w:rPr>
                <w:rFonts w:ascii="Arial Narrow" w:hAnsi="Arial Narrow"/>
                <w:sz w:val="20"/>
              </w:rPr>
              <w:t>Must be treated by an orthopaedic surgeon; OR</w:t>
            </w:r>
          </w:p>
          <w:p w:rsidR="00A17FCD" w:rsidRPr="006D319A" w:rsidRDefault="00A17FCD" w:rsidP="008A5EEA">
            <w:pPr>
              <w:rPr>
                <w:rFonts w:ascii="Arial Narrow" w:hAnsi="Arial Narrow"/>
                <w:sz w:val="20"/>
              </w:rPr>
            </w:pPr>
            <w:r w:rsidRPr="006D319A">
              <w:rPr>
                <w:rFonts w:ascii="Arial Narrow" w:hAnsi="Arial Narrow"/>
                <w:sz w:val="20"/>
              </w:rPr>
              <w:t>Must be treated by a rehabilitation specialist; OR</w:t>
            </w:r>
          </w:p>
          <w:p w:rsidR="00A17FCD" w:rsidRPr="006D319A" w:rsidRDefault="00A17FCD" w:rsidP="008A5EEA">
            <w:pPr>
              <w:rPr>
                <w:rFonts w:ascii="Arial Narrow" w:hAnsi="Arial Narrow"/>
                <w:sz w:val="20"/>
              </w:rPr>
            </w:pPr>
            <w:r w:rsidRPr="00E56ADC">
              <w:rPr>
                <w:rFonts w:ascii="Arial Narrow" w:hAnsi="Arial Narrow"/>
                <w:sz w:val="20"/>
              </w:rPr>
              <w:t>Must be treated by a plastic surgeon;</w:t>
            </w:r>
            <w:r w:rsidRPr="006D319A">
              <w:rPr>
                <w:rFonts w:ascii="Arial Narrow" w:hAnsi="Arial Narrow"/>
                <w:sz w:val="20"/>
              </w:rPr>
              <w:t xml:space="preserve"> OR</w:t>
            </w:r>
          </w:p>
          <w:p w:rsidR="00A17FCD" w:rsidRPr="00C254D9" w:rsidRDefault="00A17FCD" w:rsidP="008A5EEA">
            <w:pPr>
              <w:rPr>
                <w:rFonts w:ascii="Arial Narrow" w:hAnsi="Arial Narrow"/>
                <w:sz w:val="20"/>
                <w:szCs w:val="20"/>
              </w:rPr>
            </w:pPr>
            <w:r w:rsidRPr="006D319A">
              <w:rPr>
                <w:rFonts w:ascii="Arial Narrow" w:hAnsi="Arial Narrow"/>
                <w:sz w:val="20"/>
              </w:rPr>
              <w:t>Must be treated by a geriatrician.</w:t>
            </w:r>
          </w:p>
        </w:tc>
      </w:tr>
      <w:tr w:rsidR="006C0DE1" w:rsidRPr="00C254D9"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b/>
                <w:sz w:val="20"/>
                <w:szCs w:val="20"/>
              </w:rPr>
            </w:pPr>
            <w:r w:rsidRPr="00C254D9">
              <w:rPr>
                <w:rFonts w:ascii="Arial Narrow" w:hAnsi="Arial Narrow"/>
                <w:b/>
                <w:sz w:val="20"/>
                <w:szCs w:val="20"/>
              </w:rPr>
              <w:t>Prescriber Instructions</w:t>
            </w:r>
            <w:r>
              <w:rPr>
                <w:rFonts w:ascii="Arial Narrow" w:hAnsi="Arial Narrow"/>
                <w:b/>
                <w:sz w:val="20"/>
                <w:szCs w:val="20"/>
              </w:rPr>
              <w:t>:</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F6483F" w:rsidRDefault="006C0DE1" w:rsidP="00A17FCD">
            <w:pPr>
              <w:rPr>
                <w:rFonts w:ascii="Arial Narrow" w:hAnsi="Arial Narrow"/>
                <w:sz w:val="20"/>
                <w:szCs w:val="20"/>
              </w:rPr>
            </w:pPr>
            <w:r w:rsidRPr="00F6483F">
              <w:rPr>
                <w:rFonts w:ascii="Arial Narrow" w:hAnsi="Arial Narrow"/>
                <w:sz w:val="20"/>
                <w:szCs w:val="20"/>
              </w:rPr>
              <w:t>Standard management includes physiotherapy and/or oral spasticity agents.</w:t>
            </w:r>
          </w:p>
        </w:tc>
      </w:tr>
      <w:tr w:rsidR="006C0DE1" w:rsidRPr="00C254D9" w:rsidTr="00CE7CF7">
        <w:trPr>
          <w:cantSplit/>
          <w:trHeight w:val="360"/>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b/>
                <w:sz w:val="20"/>
                <w:szCs w:val="20"/>
              </w:rPr>
            </w:pPr>
            <w:r w:rsidRPr="00C254D9">
              <w:rPr>
                <w:rFonts w:ascii="Arial Narrow" w:hAnsi="Arial Narrow"/>
                <w:b/>
                <w:sz w:val="20"/>
                <w:szCs w:val="20"/>
              </w:rPr>
              <w:t xml:space="preserve">Administrative </w:t>
            </w:r>
            <w:r>
              <w:rPr>
                <w:rFonts w:ascii="Arial Narrow" w:hAnsi="Arial Narrow"/>
                <w:b/>
                <w:sz w:val="20"/>
                <w:szCs w:val="20"/>
              </w:rPr>
              <w:t>Note:</w:t>
            </w:r>
          </w:p>
          <w:p w:rsidR="006C0DE1" w:rsidRPr="00C254D9" w:rsidRDefault="006C0DE1" w:rsidP="00A17FCD">
            <w:pPr>
              <w:rPr>
                <w:rFonts w:ascii="Arial Narrow" w:hAnsi="Arial Narrow"/>
                <w:i/>
                <w:sz w:val="20"/>
                <w:szCs w:val="20"/>
              </w:rPr>
            </w:pP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color w:val="222222"/>
                <w:sz w:val="20"/>
                <w:szCs w:val="20"/>
                <w:shd w:val="clear" w:color="auto" w:fill="FFFFFF"/>
              </w:rPr>
            </w:pPr>
            <w:r w:rsidRPr="00A17FCD">
              <w:rPr>
                <w:rFonts w:ascii="Arial Narrow" w:hAnsi="Arial Narrow"/>
                <w:color w:val="222222"/>
                <w:sz w:val="20"/>
                <w:szCs w:val="20"/>
                <w:shd w:val="clear" w:color="auto" w:fill="FFFFFF"/>
              </w:rPr>
              <w:t>The units used to express the potency of botulinum toxin preparations currently available for PBS subsidy are not equivalent.</w:t>
            </w:r>
          </w:p>
          <w:p w:rsidR="006C0DE1" w:rsidRPr="00A17FCD" w:rsidRDefault="006C0DE1" w:rsidP="00A17FCD">
            <w:pPr>
              <w:rPr>
                <w:rFonts w:ascii="Arial Narrow" w:hAnsi="Arial Narrow"/>
                <w:sz w:val="20"/>
                <w:szCs w:val="20"/>
              </w:rPr>
            </w:pPr>
            <w:r w:rsidRPr="00A17FCD">
              <w:rPr>
                <w:rFonts w:ascii="Arial Narrow" w:hAnsi="Arial Narrow"/>
                <w:color w:val="222222"/>
                <w:sz w:val="20"/>
                <w:szCs w:val="20"/>
                <w:shd w:val="clear" w:color="auto" w:fill="FFFFFF"/>
              </w:rPr>
              <w:t>Special Pricing Arrangement apply.</w:t>
            </w:r>
          </w:p>
        </w:tc>
      </w:tr>
      <w:tr w:rsidR="006C0DE1" w:rsidRPr="00C254D9" w:rsidTr="00CE7CF7">
        <w:trPr>
          <w:cantSplit/>
          <w:trHeight w:val="360"/>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C254D9" w:rsidRDefault="006C0DE1" w:rsidP="00A17FCD">
            <w:pPr>
              <w:rPr>
                <w:rFonts w:ascii="Arial Narrow" w:hAnsi="Arial Narrow"/>
                <w:b/>
                <w:sz w:val="20"/>
                <w:szCs w:val="20"/>
              </w:rPr>
            </w:pPr>
            <w:r w:rsidRPr="00C254D9">
              <w:rPr>
                <w:rFonts w:ascii="Arial Narrow" w:hAnsi="Arial Narrow"/>
                <w:b/>
                <w:sz w:val="20"/>
                <w:szCs w:val="20"/>
              </w:rPr>
              <w:t>Administrative</w:t>
            </w:r>
            <w:r>
              <w:rPr>
                <w:rFonts w:ascii="Arial Narrow" w:hAnsi="Arial Narrow"/>
                <w:b/>
                <w:sz w:val="20"/>
                <w:szCs w:val="20"/>
              </w:rPr>
              <w:t xml:space="preserve"> Advice:</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color w:val="222222"/>
                <w:sz w:val="20"/>
                <w:szCs w:val="20"/>
                <w:shd w:val="clear" w:color="auto" w:fill="FFFFFF"/>
              </w:rPr>
            </w:pPr>
            <w:r w:rsidRPr="00A17FCD">
              <w:rPr>
                <w:rFonts w:ascii="Arial Narrow" w:hAnsi="Arial Narrow" w:cs="Calibri"/>
                <w:sz w:val="20"/>
                <w:szCs w:val="20"/>
                <w:lang w:val="en"/>
              </w:rPr>
              <w:t>An acute event may be a clinical or external event that leads to upper motor neuron lesions resulting in spasticity for example, these may be stroke, traumatic brain injury, spinal cord injury, infection or hypoxia.</w:t>
            </w:r>
          </w:p>
        </w:tc>
      </w:tr>
      <w:tr w:rsidR="006C0DE1" w:rsidRPr="0037521E" w:rsidTr="00CE7CF7">
        <w:trPr>
          <w:cantSplit/>
          <w:trHeight w:val="56"/>
        </w:trPr>
        <w:tc>
          <w:tcPr>
            <w:tcW w:w="1672" w:type="dxa"/>
            <w:tcBorders>
              <w:top w:val="single" w:sz="4" w:space="0" w:color="auto"/>
              <w:left w:val="single" w:sz="4" w:space="0" w:color="auto"/>
              <w:bottom w:val="single" w:sz="4" w:space="0" w:color="auto"/>
              <w:right w:val="single" w:sz="4" w:space="0" w:color="auto"/>
            </w:tcBorders>
            <w:tcMar>
              <w:left w:w="28" w:type="dxa"/>
              <w:right w:w="28" w:type="dxa"/>
            </w:tcMar>
          </w:tcPr>
          <w:p w:rsidR="006C0DE1" w:rsidRPr="00A17FCD" w:rsidRDefault="006C0DE1" w:rsidP="00A17FCD">
            <w:pPr>
              <w:rPr>
                <w:rFonts w:ascii="Arial Narrow" w:hAnsi="Arial Narrow"/>
                <w:b/>
                <w:sz w:val="20"/>
                <w:szCs w:val="20"/>
              </w:rPr>
            </w:pPr>
            <w:r w:rsidRPr="00C254D9">
              <w:rPr>
                <w:rFonts w:ascii="Arial Narrow" w:hAnsi="Arial Narrow"/>
                <w:b/>
                <w:sz w:val="20"/>
                <w:szCs w:val="20"/>
              </w:rPr>
              <w:t>Cautions</w:t>
            </w:r>
            <w:r>
              <w:rPr>
                <w:rFonts w:ascii="Arial Narrow" w:hAnsi="Arial Narrow"/>
                <w:b/>
                <w:sz w:val="20"/>
                <w:szCs w:val="20"/>
              </w:rPr>
              <w:t>:</w:t>
            </w:r>
          </w:p>
        </w:tc>
        <w:tc>
          <w:tcPr>
            <w:tcW w:w="7259"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6C0DE1" w:rsidRPr="00F6483F" w:rsidRDefault="006C0DE1" w:rsidP="00A17FCD">
            <w:pPr>
              <w:rPr>
                <w:rFonts w:ascii="Arial Narrow" w:hAnsi="Arial Narrow"/>
                <w:sz w:val="20"/>
                <w:szCs w:val="20"/>
              </w:rPr>
            </w:pPr>
            <w:r w:rsidRPr="00F6483F">
              <w:rPr>
                <w:rFonts w:ascii="Arial Narrow" w:hAnsi="Arial Narrow"/>
                <w:color w:val="222222"/>
                <w:sz w:val="20"/>
                <w:szCs w:val="20"/>
                <w:shd w:val="clear" w:color="auto" w:fill="FFFFFF"/>
              </w:rPr>
              <w:t>Contraindications to treatment include known sensitivity to botulinum toxin.</w:t>
            </w:r>
          </w:p>
        </w:tc>
      </w:tr>
    </w:tbl>
    <w:p w:rsidR="006C0DE1" w:rsidRDefault="006C0DE1" w:rsidP="0073287B">
      <w:pPr>
        <w:pStyle w:val="NoSpacing"/>
        <w:rPr>
          <w:lang w:val="en-GB"/>
        </w:rPr>
      </w:pPr>
    </w:p>
    <w:p w:rsidR="00CE7CF7" w:rsidRDefault="00CE7CF7" w:rsidP="0073287B">
      <w:pPr>
        <w:pStyle w:val="NoSpacing"/>
        <w:rPr>
          <w:lang w:val="en-GB"/>
        </w:rPr>
      </w:pPr>
    </w:p>
    <w:tbl>
      <w:tblPr>
        <w:tblW w:w="4951" w:type="pct"/>
        <w:tblInd w:w="-5" w:type="dxa"/>
        <w:tblLook w:val="04A0" w:firstRow="1" w:lastRow="0" w:firstColumn="1" w:lastColumn="0" w:noHBand="0" w:noVBand="1"/>
      </w:tblPr>
      <w:tblGrid>
        <w:gridCol w:w="1672"/>
        <w:gridCol w:w="7257"/>
      </w:tblGrid>
      <w:tr w:rsidR="00A17FCD" w:rsidTr="00CE7CF7">
        <w:trPr>
          <w:trHeight w:val="58"/>
        </w:trPr>
        <w:tc>
          <w:tcPr>
            <w:tcW w:w="9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Category/Program:</w:t>
            </w:r>
          </w:p>
        </w:tc>
        <w:tc>
          <w:tcPr>
            <w:tcW w:w="40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color w:val="000000" w:themeColor="text1"/>
              </w:rPr>
            </w:pPr>
            <w:r w:rsidRPr="00193BE5">
              <w:rPr>
                <w:color w:val="000000" w:themeColor="text1"/>
              </w:rPr>
              <w:t>Section 100 – Botulinum Toxin Program</w:t>
            </w:r>
          </w:p>
        </w:tc>
      </w:tr>
      <w:tr w:rsidR="00A17FCD" w:rsidTr="00CE7CF7">
        <w:trPr>
          <w:trHeight w:val="58"/>
        </w:trPr>
        <w:tc>
          <w:tcPr>
            <w:tcW w:w="9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Prescriber type:</w:t>
            </w:r>
          </w:p>
        </w:tc>
        <w:tc>
          <w:tcPr>
            <w:tcW w:w="40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color w:val="000000" w:themeColor="text1"/>
              </w:rPr>
            </w:pPr>
            <w:r w:rsidRPr="00193BE5">
              <w:rPr>
                <w:color w:val="000000" w:themeColor="text1"/>
              </w:rPr>
              <w:fldChar w:fldCharType="begin">
                <w:ffData>
                  <w:name w:val="Check1"/>
                  <w:enabled/>
                  <w:calcOnExit w:val="0"/>
                  <w:checkBox>
                    <w:sizeAuto/>
                    <w:default w:val="0"/>
                  </w:checkBox>
                </w:ffData>
              </w:fldChar>
            </w:r>
            <w:r w:rsidRPr="00193BE5">
              <w:rPr>
                <w:color w:val="000000" w:themeColor="text1"/>
              </w:rPr>
              <w:instrText xml:space="preserve"> FORMCHECKBOX </w:instrText>
            </w:r>
            <w:r w:rsidR="008C0876">
              <w:rPr>
                <w:color w:val="000000" w:themeColor="text1"/>
              </w:rPr>
            </w:r>
            <w:r w:rsidR="008C0876">
              <w:rPr>
                <w:color w:val="000000" w:themeColor="text1"/>
              </w:rPr>
              <w:fldChar w:fldCharType="separate"/>
            </w:r>
            <w:r w:rsidRPr="00193BE5">
              <w:rPr>
                <w:color w:val="000000" w:themeColor="text1"/>
              </w:rPr>
              <w:fldChar w:fldCharType="end"/>
            </w:r>
            <w:r w:rsidRPr="00193BE5">
              <w:rPr>
                <w:color w:val="000000" w:themeColor="text1"/>
              </w:rPr>
              <w:t xml:space="preserve">Dental </w:t>
            </w:r>
            <w:r w:rsidRPr="00193BE5">
              <w:rPr>
                <w:color w:val="000000" w:themeColor="text1"/>
              </w:rPr>
              <w:fldChar w:fldCharType="begin">
                <w:ffData>
                  <w:name w:val=""/>
                  <w:enabled/>
                  <w:calcOnExit w:val="0"/>
                  <w:checkBox>
                    <w:sizeAuto/>
                    <w:default w:val="1"/>
                  </w:checkBox>
                </w:ffData>
              </w:fldChar>
            </w:r>
            <w:r w:rsidRPr="00193BE5">
              <w:rPr>
                <w:color w:val="000000" w:themeColor="text1"/>
              </w:rPr>
              <w:instrText xml:space="preserve"> FORMCHECKBOX </w:instrText>
            </w:r>
            <w:r w:rsidR="008C0876">
              <w:rPr>
                <w:color w:val="000000" w:themeColor="text1"/>
              </w:rPr>
            </w:r>
            <w:r w:rsidR="008C0876">
              <w:rPr>
                <w:color w:val="000000" w:themeColor="text1"/>
              </w:rPr>
              <w:fldChar w:fldCharType="separate"/>
            </w:r>
            <w:r w:rsidRPr="00193BE5">
              <w:rPr>
                <w:color w:val="000000" w:themeColor="text1"/>
              </w:rPr>
              <w:fldChar w:fldCharType="end"/>
            </w:r>
            <w:r w:rsidRPr="00193BE5">
              <w:rPr>
                <w:color w:val="000000" w:themeColor="text1"/>
              </w:rPr>
              <w:t xml:space="preserve">Medical Practitioners </w:t>
            </w:r>
            <w:r w:rsidRPr="00193BE5">
              <w:rPr>
                <w:color w:val="000000" w:themeColor="text1"/>
              </w:rPr>
              <w:fldChar w:fldCharType="begin">
                <w:ffData>
                  <w:name w:val="Check3"/>
                  <w:enabled/>
                  <w:calcOnExit w:val="0"/>
                  <w:checkBox>
                    <w:sizeAuto/>
                    <w:default w:val="0"/>
                  </w:checkBox>
                </w:ffData>
              </w:fldChar>
            </w:r>
            <w:r w:rsidRPr="00193BE5">
              <w:rPr>
                <w:color w:val="000000" w:themeColor="text1"/>
              </w:rPr>
              <w:instrText xml:space="preserve"> FORMCHECKBOX </w:instrText>
            </w:r>
            <w:r w:rsidR="008C0876">
              <w:rPr>
                <w:color w:val="000000" w:themeColor="text1"/>
              </w:rPr>
            </w:r>
            <w:r w:rsidR="008C0876">
              <w:rPr>
                <w:color w:val="000000" w:themeColor="text1"/>
              </w:rPr>
              <w:fldChar w:fldCharType="separate"/>
            </w:r>
            <w:r w:rsidRPr="00193BE5">
              <w:rPr>
                <w:color w:val="000000" w:themeColor="text1"/>
              </w:rPr>
              <w:fldChar w:fldCharType="end"/>
            </w:r>
            <w:r w:rsidRPr="00193BE5">
              <w:rPr>
                <w:color w:val="000000" w:themeColor="text1"/>
              </w:rPr>
              <w:t xml:space="preserve">Nurse practitioners </w:t>
            </w:r>
            <w:r w:rsidRPr="00193BE5">
              <w:rPr>
                <w:color w:val="000000" w:themeColor="text1"/>
              </w:rPr>
              <w:fldChar w:fldCharType="begin">
                <w:ffData>
                  <w:name w:val=""/>
                  <w:enabled/>
                  <w:calcOnExit w:val="0"/>
                  <w:checkBox>
                    <w:sizeAuto/>
                    <w:default w:val="0"/>
                  </w:checkBox>
                </w:ffData>
              </w:fldChar>
            </w:r>
            <w:r w:rsidRPr="00193BE5">
              <w:rPr>
                <w:color w:val="000000" w:themeColor="text1"/>
              </w:rPr>
              <w:instrText xml:space="preserve"> FORMCHECKBOX </w:instrText>
            </w:r>
            <w:r w:rsidR="008C0876">
              <w:rPr>
                <w:color w:val="000000" w:themeColor="text1"/>
              </w:rPr>
            </w:r>
            <w:r w:rsidR="008C0876">
              <w:rPr>
                <w:color w:val="000000" w:themeColor="text1"/>
              </w:rPr>
              <w:fldChar w:fldCharType="separate"/>
            </w:r>
            <w:r w:rsidRPr="00193BE5">
              <w:rPr>
                <w:color w:val="000000" w:themeColor="text1"/>
              </w:rPr>
              <w:fldChar w:fldCharType="end"/>
            </w:r>
            <w:r w:rsidRPr="00193BE5">
              <w:rPr>
                <w:color w:val="000000" w:themeColor="text1"/>
              </w:rPr>
              <w:t xml:space="preserve">Optometrists </w:t>
            </w:r>
            <w:r w:rsidRPr="00193BE5">
              <w:rPr>
                <w:color w:val="000000" w:themeColor="text1"/>
              </w:rPr>
              <w:fldChar w:fldCharType="begin">
                <w:ffData>
                  <w:name w:val="Check5"/>
                  <w:enabled/>
                  <w:calcOnExit w:val="0"/>
                  <w:checkBox>
                    <w:sizeAuto/>
                    <w:default w:val="0"/>
                  </w:checkBox>
                </w:ffData>
              </w:fldChar>
            </w:r>
            <w:r w:rsidRPr="00193BE5">
              <w:rPr>
                <w:color w:val="000000" w:themeColor="text1"/>
              </w:rPr>
              <w:instrText xml:space="preserve"> FORMCHECKBOX </w:instrText>
            </w:r>
            <w:r w:rsidR="008C0876">
              <w:rPr>
                <w:color w:val="000000" w:themeColor="text1"/>
              </w:rPr>
            </w:r>
            <w:r w:rsidR="008C0876">
              <w:rPr>
                <w:color w:val="000000" w:themeColor="text1"/>
              </w:rPr>
              <w:fldChar w:fldCharType="separate"/>
            </w:r>
            <w:r w:rsidRPr="00193BE5">
              <w:rPr>
                <w:color w:val="000000" w:themeColor="text1"/>
              </w:rPr>
              <w:fldChar w:fldCharType="end"/>
            </w:r>
            <w:r w:rsidRPr="00193BE5">
              <w:rPr>
                <w:color w:val="000000" w:themeColor="text1"/>
              </w:rPr>
              <w:t>Midwives</w:t>
            </w:r>
          </w:p>
        </w:tc>
      </w:tr>
      <w:tr w:rsidR="00A17FCD" w:rsidTr="00CE7CF7">
        <w:trPr>
          <w:trHeight w:val="58"/>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Severity</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color w:val="000000" w:themeColor="text1"/>
              </w:rPr>
            </w:pPr>
            <w:r w:rsidRPr="00193BE5">
              <w:rPr>
                <w:color w:val="000000" w:themeColor="text1"/>
              </w:rPr>
              <w:t>Moderate to severe</w:t>
            </w:r>
          </w:p>
        </w:tc>
      </w:tr>
      <w:tr w:rsidR="00A17FCD" w:rsidTr="00CE7CF7">
        <w:trPr>
          <w:trHeight w:val="58"/>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Condition:</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B54E6A" w:rsidRDefault="00A17FCD" w:rsidP="008A5EEA">
            <w:pPr>
              <w:pStyle w:val="Tabletext"/>
              <w:rPr>
                <w:color w:val="000000" w:themeColor="text1"/>
              </w:rPr>
            </w:pPr>
            <w:r w:rsidRPr="00B54E6A">
              <w:rPr>
                <w:color w:val="000000" w:themeColor="text1"/>
              </w:rPr>
              <w:t>Spasticity of the lower limb following an acute event</w:t>
            </w:r>
          </w:p>
        </w:tc>
      </w:tr>
      <w:tr w:rsidR="00A17FCD" w:rsidTr="00CE7CF7">
        <w:trPr>
          <w:trHeight w:val="58"/>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Treatment phase:</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hideMark/>
          </w:tcPr>
          <w:p w:rsidR="00A17FCD" w:rsidRPr="00193BE5" w:rsidRDefault="00A17FCD" w:rsidP="008A5EEA">
            <w:pPr>
              <w:pStyle w:val="Tabletext"/>
              <w:rPr>
                <w:color w:val="000000" w:themeColor="text1"/>
              </w:rPr>
            </w:pPr>
            <w:r>
              <w:rPr>
                <w:color w:val="000000" w:themeColor="text1"/>
              </w:rPr>
              <w:t>C</w:t>
            </w:r>
            <w:r w:rsidRPr="00193BE5">
              <w:rPr>
                <w:color w:val="000000" w:themeColor="text1"/>
              </w:rPr>
              <w:t>ontinuing treatment – grandfathered patients</w:t>
            </w:r>
          </w:p>
        </w:tc>
      </w:tr>
      <w:tr w:rsidR="00A17FCD" w:rsidTr="00CE7CF7">
        <w:trPr>
          <w:trHeight w:val="58"/>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PBS Indication:</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i/>
                <w:strike/>
                <w:color w:val="000000" w:themeColor="text1"/>
              </w:rPr>
            </w:pPr>
            <w:r w:rsidRPr="0018421E">
              <w:rPr>
                <w:color w:val="000000" w:themeColor="text1"/>
              </w:rPr>
              <w:t xml:space="preserve">Moderate to severe spasticity of the lower limb following </w:t>
            </w:r>
            <w:r w:rsidRPr="00B54E6A">
              <w:rPr>
                <w:color w:val="000000" w:themeColor="text1"/>
              </w:rPr>
              <w:t>an acute event</w:t>
            </w:r>
          </w:p>
        </w:tc>
      </w:tr>
      <w:tr w:rsidR="00A17FCD" w:rsidTr="00CE7CF7">
        <w:trPr>
          <w:trHeight w:val="56"/>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Restriction Level / Method:</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color w:val="000000" w:themeColor="text1"/>
              </w:rPr>
            </w:pPr>
            <w:r w:rsidRPr="007762DC">
              <w:rPr>
                <w:color w:val="000000" w:themeColor="text1"/>
              </w:rPr>
              <w:fldChar w:fldCharType="begin">
                <w:ffData>
                  <w:name w:val="Check5"/>
                  <w:enabled/>
                  <w:calcOnExit w:val="0"/>
                  <w:checkBox>
                    <w:sizeAuto/>
                    <w:default w:val="1"/>
                  </w:checkBox>
                </w:ffData>
              </w:fldChar>
            </w:r>
            <w:r w:rsidRPr="007762DC">
              <w:rPr>
                <w:color w:val="000000" w:themeColor="text1"/>
              </w:rPr>
              <w:instrText xml:space="preserve"> FORMCHECKBOX </w:instrText>
            </w:r>
            <w:r w:rsidR="008C0876">
              <w:rPr>
                <w:color w:val="000000" w:themeColor="text1"/>
              </w:rPr>
            </w:r>
            <w:r w:rsidR="008C0876">
              <w:rPr>
                <w:color w:val="000000" w:themeColor="text1"/>
              </w:rPr>
              <w:fldChar w:fldCharType="separate"/>
            </w:r>
            <w:r w:rsidRPr="007762DC">
              <w:rPr>
                <w:color w:val="000000" w:themeColor="text1"/>
              </w:rPr>
              <w:fldChar w:fldCharType="end"/>
            </w:r>
            <w:r w:rsidRPr="007762DC">
              <w:rPr>
                <w:color w:val="000000" w:themeColor="text1"/>
              </w:rPr>
              <w:t>Streamlined</w:t>
            </w:r>
          </w:p>
        </w:tc>
      </w:tr>
      <w:tr w:rsidR="00A17FCD" w:rsidTr="00CE7CF7">
        <w:trPr>
          <w:trHeight w:val="274"/>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Clinical criteria:</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8421E" w:rsidRDefault="00A17FCD" w:rsidP="008A5EEA">
            <w:pPr>
              <w:pStyle w:val="Tabletext"/>
              <w:rPr>
                <w:color w:val="000000" w:themeColor="text1"/>
              </w:rPr>
            </w:pPr>
            <w:r w:rsidRPr="0018421E">
              <w:rPr>
                <w:color w:val="000000" w:themeColor="text1"/>
              </w:rPr>
              <w:t xml:space="preserve">Patient must have previously received non-PBS subsidised treatment with this drug for this condition prior to &lt;DATE&gt;, </w:t>
            </w:r>
          </w:p>
          <w:p w:rsidR="00A17FCD" w:rsidRDefault="00A17FCD" w:rsidP="008A5EEA">
            <w:pPr>
              <w:pStyle w:val="Tabletext"/>
              <w:rPr>
                <w:color w:val="000000" w:themeColor="text1"/>
              </w:rPr>
            </w:pPr>
            <w:r w:rsidRPr="00193BE5">
              <w:rPr>
                <w:color w:val="000000" w:themeColor="text1"/>
              </w:rPr>
              <w:t>AND</w:t>
            </w:r>
          </w:p>
          <w:p w:rsidR="00A17FCD" w:rsidRDefault="00A17FCD" w:rsidP="008A5EEA">
            <w:pPr>
              <w:pStyle w:val="Tabletext"/>
              <w:rPr>
                <w:color w:val="000000" w:themeColor="text1"/>
              </w:rPr>
            </w:pPr>
            <w:r>
              <w:rPr>
                <w:color w:val="000000" w:themeColor="text1"/>
              </w:rPr>
              <w:t>The condition must have been moderate to severe spasticity of the lower limb/s following an acute event, defined as a Modified Ashworth Scale rating of 3 or more prior to commencing non-PBS subsidised treatment,</w:t>
            </w:r>
          </w:p>
          <w:p w:rsidR="00A17FCD" w:rsidRPr="00193BE5" w:rsidRDefault="00A17FCD" w:rsidP="008A5EEA">
            <w:pPr>
              <w:pStyle w:val="Tabletext"/>
              <w:rPr>
                <w:color w:val="000000" w:themeColor="text1"/>
              </w:rPr>
            </w:pPr>
            <w:r>
              <w:rPr>
                <w:color w:val="000000" w:themeColor="text1"/>
              </w:rPr>
              <w:t>AND</w:t>
            </w:r>
          </w:p>
          <w:p w:rsidR="00A17FCD" w:rsidRPr="00193BE5" w:rsidRDefault="00A17FCD" w:rsidP="008A5EEA">
            <w:pPr>
              <w:pStyle w:val="Tabletext"/>
              <w:rPr>
                <w:color w:val="000000" w:themeColor="text1"/>
              </w:rPr>
            </w:pPr>
            <w:r w:rsidRPr="00193BE5">
              <w:rPr>
                <w:color w:val="000000" w:themeColor="text1"/>
              </w:rPr>
              <w:t>The treatment must only be used as second line therapy when standard management has failed; OR</w:t>
            </w:r>
          </w:p>
          <w:p w:rsidR="00A17FCD" w:rsidRPr="00193BE5" w:rsidRDefault="00A17FCD" w:rsidP="008A5EEA">
            <w:pPr>
              <w:pStyle w:val="Tabletext"/>
              <w:rPr>
                <w:color w:val="000000" w:themeColor="text1"/>
              </w:rPr>
            </w:pPr>
            <w:r w:rsidRPr="00193BE5">
              <w:rPr>
                <w:color w:val="000000" w:themeColor="text1"/>
              </w:rPr>
              <w:t>The treatment must only be used as an adjunct to physical therapy,</w:t>
            </w:r>
          </w:p>
          <w:p w:rsidR="00A17FCD" w:rsidRDefault="00A17FCD" w:rsidP="008A5EEA">
            <w:pPr>
              <w:pStyle w:val="Tabletext"/>
              <w:rPr>
                <w:color w:val="000000" w:themeColor="text1"/>
              </w:rPr>
            </w:pPr>
            <w:r w:rsidRPr="00D5226C">
              <w:rPr>
                <w:color w:val="000000" w:themeColor="text1"/>
              </w:rPr>
              <w:t>AND</w:t>
            </w:r>
          </w:p>
          <w:p w:rsidR="00A17FCD" w:rsidRDefault="00A17FCD" w:rsidP="008A5EEA">
            <w:pPr>
              <w:pStyle w:val="Tabletext"/>
              <w:rPr>
                <w:color w:val="000000" w:themeColor="text1"/>
              </w:rPr>
            </w:pPr>
            <w:r>
              <w:rPr>
                <w:color w:val="000000" w:themeColor="text1"/>
              </w:rPr>
              <w:t>The treatment must not continue if the patient did not respond (defined as not having had a decrease in spasticity rating of at least 1, using the Modified Ashworth Scale, in at least one joint) after two treatment periods (with any botulinum toxin type A),</w:t>
            </w:r>
          </w:p>
          <w:p w:rsidR="00A17FCD" w:rsidRPr="00D5226C" w:rsidRDefault="00A17FCD" w:rsidP="008A5EEA">
            <w:pPr>
              <w:pStyle w:val="Tabletext"/>
              <w:rPr>
                <w:color w:val="000000" w:themeColor="text1"/>
              </w:rPr>
            </w:pPr>
            <w:r>
              <w:rPr>
                <w:color w:val="000000" w:themeColor="text1"/>
              </w:rPr>
              <w:lastRenderedPageBreak/>
              <w:t>AND</w:t>
            </w:r>
          </w:p>
          <w:p w:rsidR="00A17FCD" w:rsidRPr="00193BE5" w:rsidRDefault="00A17FCD" w:rsidP="008A5EEA">
            <w:pPr>
              <w:pStyle w:val="Tabletext"/>
              <w:rPr>
                <w:color w:val="000000" w:themeColor="text1"/>
              </w:rPr>
            </w:pPr>
            <w:r w:rsidRPr="00193BE5">
              <w:rPr>
                <w:color w:val="000000" w:themeColor="text1"/>
              </w:rPr>
              <w:t>Patient must not have established severe contracture in the limb to be treated,</w:t>
            </w:r>
          </w:p>
          <w:p w:rsidR="00A17FCD" w:rsidRPr="00B54E6A" w:rsidRDefault="00A17FCD" w:rsidP="008A5EEA">
            <w:pPr>
              <w:pStyle w:val="Tabletext"/>
              <w:rPr>
                <w:color w:val="000000" w:themeColor="text1"/>
              </w:rPr>
            </w:pPr>
            <w:r w:rsidRPr="00B54E6A">
              <w:rPr>
                <w:color w:val="000000" w:themeColor="text1"/>
              </w:rPr>
              <w:t>AND</w:t>
            </w:r>
          </w:p>
          <w:p w:rsidR="00A17FCD" w:rsidRPr="00D5226C" w:rsidRDefault="00A17FCD" w:rsidP="008A5EEA">
            <w:pPr>
              <w:pStyle w:val="Tabletext"/>
              <w:rPr>
                <w:color w:val="000000" w:themeColor="text1"/>
              </w:rPr>
            </w:pPr>
            <w:r w:rsidRPr="00B54E6A">
              <w:rPr>
                <w:color w:val="000000" w:themeColor="text1"/>
              </w:rPr>
              <w:t>The treatment must not exceed a maximum of 4 treatment periods (with any botulinum toxin type A) per lower limb in the first year of treatment, and 2 treatment periods (with any botulinum toxin type A) per lower limb each year thereafter.</w:t>
            </w:r>
          </w:p>
        </w:tc>
      </w:tr>
      <w:tr w:rsidR="00A17FCD" w:rsidTr="00CE7CF7">
        <w:trPr>
          <w:trHeight w:val="240"/>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lastRenderedPageBreak/>
              <w:t>Population criteria</w:t>
            </w:r>
            <w:r>
              <w:rPr>
                <w:b/>
                <w:color w:val="000000" w:themeColor="text1"/>
              </w:rPr>
              <w:t>:</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color w:val="000000" w:themeColor="text1"/>
              </w:rPr>
            </w:pPr>
            <w:r w:rsidRPr="00193BE5">
              <w:rPr>
                <w:color w:val="000000" w:themeColor="text1"/>
              </w:rPr>
              <w:t>Patient must be aged 18 years or older.</w:t>
            </w:r>
          </w:p>
        </w:tc>
      </w:tr>
      <w:tr w:rsidR="00A17FCD" w:rsidTr="00CE7CF7">
        <w:tc>
          <w:tcPr>
            <w:tcW w:w="936" w:type="pct"/>
            <w:tcBorders>
              <w:top w:val="single" w:sz="4" w:space="0" w:color="auto"/>
              <w:left w:val="single" w:sz="4" w:space="0" w:color="auto"/>
              <w:bottom w:val="single" w:sz="4" w:space="0" w:color="auto"/>
              <w:right w:val="single" w:sz="4" w:space="0" w:color="auto"/>
            </w:tcBorders>
            <w:tcMar>
              <w:left w:w="28" w:type="dxa"/>
              <w:right w:w="28" w:type="dxa"/>
            </w:tcMar>
          </w:tcPr>
          <w:p w:rsidR="00A17FCD" w:rsidRPr="00193BE5" w:rsidRDefault="00A17FCD" w:rsidP="008A5EEA">
            <w:pPr>
              <w:pStyle w:val="Tabletext"/>
              <w:rPr>
                <w:b/>
                <w:color w:val="000000" w:themeColor="text1"/>
              </w:rPr>
            </w:pPr>
            <w:r w:rsidRPr="00193BE5">
              <w:rPr>
                <w:b/>
                <w:color w:val="000000" w:themeColor="text1"/>
              </w:rPr>
              <w:t>Treatment criteria:</w:t>
            </w:r>
          </w:p>
          <w:p w:rsidR="00A17FCD" w:rsidRPr="00193BE5" w:rsidRDefault="00A17FCD" w:rsidP="008A5EEA">
            <w:pPr>
              <w:pStyle w:val="Tabletext"/>
              <w:rPr>
                <w:b/>
                <w:color w:val="000000" w:themeColor="text1"/>
              </w:rPr>
            </w:pPr>
          </w:p>
        </w:tc>
        <w:tc>
          <w:tcPr>
            <w:tcW w:w="4064"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A17FCD" w:rsidRPr="00193BE5" w:rsidRDefault="00A17FCD" w:rsidP="008A5EEA">
            <w:pPr>
              <w:pStyle w:val="Tabletext"/>
              <w:rPr>
                <w:color w:val="000000" w:themeColor="text1"/>
              </w:rPr>
            </w:pPr>
            <w:r w:rsidRPr="00193BE5">
              <w:rPr>
                <w:color w:val="000000" w:themeColor="text1"/>
              </w:rPr>
              <w:t>Must be treated by a neurologist; OR</w:t>
            </w:r>
          </w:p>
          <w:p w:rsidR="00A17FCD" w:rsidRPr="00193BE5" w:rsidRDefault="00A17FCD" w:rsidP="008A5EEA">
            <w:pPr>
              <w:pStyle w:val="Tabletext"/>
              <w:rPr>
                <w:color w:val="000000" w:themeColor="text1"/>
              </w:rPr>
            </w:pPr>
            <w:r w:rsidRPr="00193BE5">
              <w:rPr>
                <w:color w:val="000000" w:themeColor="text1"/>
              </w:rPr>
              <w:t>Must be treated by an orthopaedic surgeon; OR</w:t>
            </w:r>
          </w:p>
          <w:p w:rsidR="00A17FCD" w:rsidRPr="00193BE5" w:rsidRDefault="00A17FCD" w:rsidP="008A5EEA">
            <w:pPr>
              <w:pStyle w:val="Tabletext"/>
              <w:rPr>
                <w:color w:val="000000" w:themeColor="text1"/>
              </w:rPr>
            </w:pPr>
            <w:r w:rsidRPr="00193BE5">
              <w:rPr>
                <w:color w:val="000000" w:themeColor="text1"/>
              </w:rPr>
              <w:t xml:space="preserve">Must be treated by a </w:t>
            </w:r>
            <w:r w:rsidRPr="00D5226C">
              <w:rPr>
                <w:color w:val="000000" w:themeColor="text1"/>
              </w:rPr>
              <w:t xml:space="preserve">rehabilitation </w:t>
            </w:r>
            <w:r w:rsidRPr="00B54E6A">
              <w:rPr>
                <w:color w:val="000000" w:themeColor="text1"/>
              </w:rPr>
              <w:t>physician</w:t>
            </w:r>
            <w:r w:rsidRPr="00193BE5">
              <w:rPr>
                <w:color w:val="000000" w:themeColor="text1"/>
              </w:rPr>
              <w:t>; OR</w:t>
            </w:r>
          </w:p>
          <w:p w:rsidR="00A17FCD" w:rsidRPr="00193BE5" w:rsidRDefault="00A17FCD" w:rsidP="008A5EEA">
            <w:pPr>
              <w:pStyle w:val="Tabletext"/>
              <w:rPr>
                <w:color w:val="000000" w:themeColor="text1"/>
              </w:rPr>
            </w:pPr>
            <w:r w:rsidRPr="00193BE5">
              <w:rPr>
                <w:color w:val="000000" w:themeColor="text1"/>
              </w:rPr>
              <w:t>Must be treated by a plastic surgeon; OR</w:t>
            </w:r>
          </w:p>
          <w:p w:rsidR="00A17FCD" w:rsidRPr="00193BE5" w:rsidRDefault="00A17FCD" w:rsidP="008A5EEA">
            <w:pPr>
              <w:pStyle w:val="Tabletext"/>
              <w:rPr>
                <w:color w:val="000000" w:themeColor="text1"/>
              </w:rPr>
            </w:pPr>
            <w:r w:rsidRPr="00193BE5">
              <w:rPr>
                <w:color w:val="000000" w:themeColor="text1"/>
              </w:rPr>
              <w:t>Must be treated by a geriatrician.</w:t>
            </w:r>
          </w:p>
        </w:tc>
      </w:tr>
      <w:tr w:rsidR="00A17FCD" w:rsidTr="00CE7CF7">
        <w:trPr>
          <w:trHeight w:val="277"/>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Prescribing instructions</w:t>
            </w:r>
            <w:r w:rsidR="00114A0D">
              <w:rPr>
                <w:b/>
                <w:color w:val="000000" w:themeColor="text1"/>
              </w:rPr>
              <w:t>:</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rsidR="00A17FCD" w:rsidRPr="00A17FCD" w:rsidRDefault="00A17FCD" w:rsidP="008A5EEA">
            <w:pPr>
              <w:pStyle w:val="Tabletext"/>
              <w:rPr>
                <w:color w:val="000000" w:themeColor="text1"/>
              </w:rPr>
            </w:pPr>
            <w:r w:rsidRPr="00193BE5">
              <w:rPr>
                <w:color w:val="000000" w:themeColor="text1"/>
              </w:rPr>
              <w:t xml:space="preserve">Standard management includes physiotherapy and/or oral </w:t>
            </w:r>
            <w:r w:rsidRPr="00D5226C">
              <w:rPr>
                <w:strike/>
                <w:color w:val="000000" w:themeColor="text1"/>
              </w:rPr>
              <w:t>anti-</w:t>
            </w:r>
            <w:r w:rsidRPr="00193BE5">
              <w:rPr>
                <w:color w:val="000000" w:themeColor="text1"/>
              </w:rPr>
              <w:t>spasticity agents.</w:t>
            </w:r>
          </w:p>
        </w:tc>
      </w:tr>
      <w:tr w:rsidR="00A17FCD" w:rsidTr="00CE7CF7">
        <w:trPr>
          <w:trHeight w:val="277"/>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Pr>
                <w:b/>
                <w:color w:val="000000" w:themeColor="text1"/>
              </w:rPr>
              <w:t>Administrative n</w:t>
            </w:r>
            <w:r w:rsidRPr="00193BE5">
              <w:rPr>
                <w:b/>
                <w:color w:val="000000" w:themeColor="text1"/>
              </w:rPr>
              <w:t>ote</w:t>
            </w:r>
            <w:r w:rsidR="00114A0D">
              <w:rPr>
                <w:b/>
                <w:color w:val="000000" w:themeColor="text1"/>
              </w:rPr>
              <w:t>:</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hideMark/>
          </w:tcPr>
          <w:p w:rsidR="00A17FCD" w:rsidRPr="00193BE5" w:rsidRDefault="00A17FCD" w:rsidP="008A5EEA">
            <w:pPr>
              <w:pStyle w:val="Tabletext"/>
              <w:rPr>
                <w:color w:val="000000" w:themeColor="text1"/>
                <w:shd w:val="clear" w:color="auto" w:fill="FFFFFF"/>
              </w:rPr>
            </w:pPr>
            <w:r w:rsidRPr="00193BE5">
              <w:rPr>
                <w:color w:val="000000" w:themeColor="text1"/>
                <w:shd w:val="clear" w:color="auto" w:fill="FFFFFF"/>
              </w:rPr>
              <w:t>The units used to express the potency of botulinum toxin preparations currently available for PBS subsidy are not equivalent.</w:t>
            </w:r>
          </w:p>
          <w:p w:rsidR="00A17FCD" w:rsidRPr="00193BE5" w:rsidRDefault="00A17FCD" w:rsidP="008A5EEA">
            <w:pPr>
              <w:pStyle w:val="Tabletext"/>
              <w:rPr>
                <w:color w:val="000000" w:themeColor="text1"/>
              </w:rPr>
            </w:pPr>
            <w:r w:rsidRPr="00193BE5">
              <w:rPr>
                <w:color w:val="000000" w:themeColor="text1"/>
                <w:shd w:val="clear" w:color="auto" w:fill="FFFFFF"/>
              </w:rPr>
              <w:t>Special Pricing Arrangements apply.</w:t>
            </w:r>
          </w:p>
        </w:tc>
      </w:tr>
      <w:tr w:rsidR="00A17FCD" w:rsidRPr="00D5226C" w:rsidTr="00CE7CF7">
        <w:tblPrEx>
          <w:tblLook w:val="0000" w:firstRow="0" w:lastRow="0" w:firstColumn="0" w:lastColumn="0" w:noHBand="0" w:noVBand="0"/>
        </w:tblPrEx>
        <w:trPr>
          <w:trHeight w:val="282"/>
        </w:trPr>
        <w:tc>
          <w:tcPr>
            <w:tcW w:w="936"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17FCD" w:rsidRPr="00B54E6A" w:rsidRDefault="00A17FCD" w:rsidP="008A5EEA">
            <w:pPr>
              <w:autoSpaceDE w:val="0"/>
              <w:autoSpaceDN w:val="0"/>
              <w:adjustRightInd w:val="0"/>
              <w:rPr>
                <w:rFonts w:ascii="Arial Narrow" w:hAnsi="Arial Narrow" w:cs="Calibri"/>
                <w:lang w:val="en"/>
              </w:rPr>
            </w:pPr>
            <w:r w:rsidRPr="00B54E6A">
              <w:rPr>
                <w:rFonts w:ascii="Arial Narrow" w:hAnsi="Arial Narrow" w:cs="Arial Narrow"/>
                <w:b/>
                <w:bCs/>
                <w:color w:val="000000"/>
                <w:sz w:val="20"/>
                <w:szCs w:val="20"/>
                <w:lang w:val="en"/>
              </w:rPr>
              <w:t>Administrative advice</w:t>
            </w:r>
            <w:r w:rsidR="00114A0D">
              <w:rPr>
                <w:rFonts w:ascii="Arial Narrow" w:hAnsi="Arial Narrow" w:cs="Arial Narrow"/>
                <w:b/>
                <w:bCs/>
                <w:color w:val="000000"/>
                <w:sz w:val="20"/>
                <w:szCs w:val="20"/>
                <w:lang w:val="en"/>
              </w:rPr>
              <w:t>:</w:t>
            </w:r>
          </w:p>
        </w:tc>
        <w:tc>
          <w:tcPr>
            <w:tcW w:w="4064"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A17FCD" w:rsidRPr="00B54E6A" w:rsidRDefault="00A17FCD" w:rsidP="008A5EEA">
            <w:pPr>
              <w:autoSpaceDE w:val="0"/>
              <w:autoSpaceDN w:val="0"/>
              <w:adjustRightInd w:val="0"/>
              <w:rPr>
                <w:rFonts w:ascii="Arial Narrow" w:hAnsi="Arial Narrow" w:cs="Calibri"/>
                <w:sz w:val="20"/>
                <w:szCs w:val="20"/>
                <w:lang w:val="en"/>
              </w:rPr>
            </w:pPr>
            <w:r w:rsidRPr="00B54E6A">
              <w:rPr>
                <w:rFonts w:ascii="Arial Narrow" w:hAnsi="Arial Narrow" w:cs="Calibri"/>
                <w:sz w:val="20"/>
                <w:szCs w:val="20"/>
                <w:lang w:val="en"/>
              </w:rPr>
              <w:t>An acute event may be a clinical or external event that leads to upper motor neuron lesions resulting in spasticity for example, these may be stroke, traumatic brain injury, spinal cord injury, infection or hypoxia.</w:t>
            </w:r>
          </w:p>
        </w:tc>
      </w:tr>
      <w:tr w:rsidR="00A17FCD" w:rsidTr="00CE7CF7">
        <w:trPr>
          <w:trHeight w:val="240"/>
        </w:trPr>
        <w:tc>
          <w:tcPr>
            <w:tcW w:w="93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b/>
                <w:color w:val="000000" w:themeColor="text1"/>
              </w:rPr>
            </w:pPr>
            <w:r w:rsidRPr="00193BE5">
              <w:rPr>
                <w:b/>
                <w:color w:val="000000" w:themeColor="text1"/>
              </w:rPr>
              <w:t>Caution</w:t>
            </w:r>
            <w:r w:rsidR="00114A0D">
              <w:rPr>
                <w:b/>
                <w:color w:val="000000" w:themeColor="text1"/>
              </w:rPr>
              <w:t>:</w:t>
            </w:r>
          </w:p>
        </w:tc>
        <w:tc>
          <w:tcPr>
            <w:tcW w:w="406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hideMark/>
          </w:tcPr>
          <w:p w:rsidR="00A17FCD" w:rsidRPr="00193BE5" w:rsidRDefault="00A17FCD" w:rsidP="008A5EEA">
            <w:pPr>
              <w:pStyle w:val="Tabletext"/>
              <w:rPr>
                <w:color w:val="000000" w:themeColor="text1"/>
                <w:shd w:val="clear" w:color="auto" w:fill="FFFFFF"/>
              </w:rPr>
            </w:pPr>
            <w:r w:rsidRPr="00193BE5">
              <w:rPr>
                <w:color w:val="000000" w:themeColor="text1"/>
                <w:shd w:val="clear" w:color="auto" w:fill="FFFFFF"/>
              </w:rPr>
              <w:t>Contraindications to treatment include known sensitivity to botulinum toxin.</w:t>
            </w:r>
          </w:p>
        </w:tc>
      </w:tr>
    </w:tbl>
    <w:p w:rsidR="00A17FCD" w:rsidRDefault="00A17FCD" w:rsidP="0073287B">
      <w:pPr>
        <w:pStyle w:val="NoSpacing"/>
        <w:rPr>
          <w:lang w:val="en-GB"/>
        </w:rPr>
      </w:pPr>
    </w:p>
    <w:p w:rsidR="008C7D87" w:rsidRDefault="008C7D87" w:rsidP="008C7D87">
      <w:pPr>
        <w:pStyle w:val="PBACHeading1"/>
        <w:keepNext/>
        <w:keepLines/>
        <w:numPr>
          <w:ilvl w:val="0"/>
          <w:numId w:val="1"/>
        </w:numPr>
        <w:spacing w:after="120"/>
        <w:rPr>
          <w:rFonts w:asciiTheme="minorHAnsi" w:hAnsiTheme="minorHAnsi" w:cstheme="minorHAnsi"/>
          <w:szCs w:val="32"/>
          <w:lang w:val="en-GB"/>
        </w:rPr>
      </w:pPr>
      <w:r w:rsidRPr="008C7D87">
        <w:rPr>
          <w:rFonts w:asciiTheme="minorHAnsi" w:hAnsiTheme="minorHAnsi" w:cstheme="minorHAnsi"/>
          <w:szCs w:val="32"/>
          <w:lang w:val="en-GB"/>
        </w:rPr>
        <w:t>Context for Decision</w:t>
      </w:r>
    </w:p>
    <w:p w:rsidR="008C7D87" w:rsidRPr="008C7D87" w:rsidRDefault="008C7D87" w:rsidP="008C7D87">
      <w:pPr>
        <w:rPr>
          <w:rFonts w:asciiTheme="minorHAnsi" w:hAnsiTheme="minorHAnsi"/>
        </w:rPr>
      </w:pPr>
      <w:r w:rsidRPr="008C7D8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C7D87" w:rsidRPr="008C7D87" w:rsidRDefault="008C7D87" w:rsidP="008C7D87">
      <w:pPr>
        <w:pStyle w:val="Subtitle"/>
        <w:rPr>
          <w:lang w:val="en-GB"/>
        </w:rPr>
      </w:pPr>
    </w:p>
    <w:p w:rsidR="008C7D87" w:rsidRPr="008C7D87" w:rsidRDefault="008C7D87" w:rsidP="008C7D87">
      <w:pPr>
        <w:pStyle w:val="PBACHeading1"/>
        <w:keepNext/>
        <w:keepLines/>
        <w:numPr>
          <w:ilvl w:val="0"/>
          <w:numId w:val="1"/>
        </w:numPr>
        <w:spacing w:after="120"/>
        <w:rPr>
          <w:rFonts w:asciiTheme="minorHAnsi" w:hAnsiTheme="minorHAnsi" w:cstheme="minorHAnsi"/>
          <w:szCs w:val="32"/>
          <w:lang w:val="en-GB"/>
        </w:rPr>
      </w:pPr>
      <w:r w:rsidRPr="008C7D87">
        <w:rPr>
          <w:rFonts w:asciiTheme="minorHAnsi" w:hAnsiTheme="minorHAnsi" w:cstheme="minorHAnsi"/>
          <w:szCs w:val="32"/>
          <w:lang w:val="en-GB"/>
        </w:rPr>
        <w:t>Sponsor’s Comment</w:t>
      </w:r>
    </w:p>
    <w:p w:rsidR="00272455" w:rsidRPr="008C7D87" w:rsidRDefault="00272455" w:rsidP="008C7D87">
      <w:pPr>
        <w:spacing w:after="120"/>
        <w:rPr>
          <w:rFonts w:asciiTheme="minorHAnsi" w:hAnsiTheme="minorHAnsi"/>
          <w:bCs/>
          <w:szCs w:val="24"/>
        </w:rPr>
      </w:pPr>
      <w:r>
        <w:rPr>
          <w:rFonts w:asciiTheme="minorHAnsi" w:hAnsiTheme="minorHAnsi"/>
          <w:bCs/>
          <w:szCs w:val="24"/>
        </w:rPr>
        <w:t>The sponsor had no comment.</w:t>
      </w:r>
    </w:p>
    <w:sectPr w:rsidR="00272455" w:rsidRPr="008C7D87" w:rsidSect="00867AC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7B528" w16cid:durableId="2087DE01"/>
  <w16cid:commentId w16cid:paraId="36392A50" w16cid:durableId="2087DE69"/>
  <w16cid:commentId w16cid:paraId="01F29C27" w16cid:durableId="2087DE02"/>
  <w16cid:commentId w16cid:paraId="7D6E3D39" w16cid:durableId="2087DE03"/>
  <w16cid:commentId w16cid:paraId="0067318E" w16cid:durableId="2087DE04"/>
  <w16cid:commentId w16cid:paraId="40E3365F" w16cid:durableId="2087DE05"/>
  <w16cid:commentId w16cid:paraId="3B57FAD0" w16cid:durableId="2087E255"/>
  <w16cid:commentId w16cid:paraId="2460C044" w16cid:durableId="2087DE06"/>
  <w16cid:commentId w16cid:paraId="2A93E6BE" w16cid:durableId="2087E28C"/>
  <w16cid:commentId w16cid:paraId="7C0368CA" w16cid:durableId="2087DE07"/>
  <w16cid:commentId w16cid:paraId="32E9C4F6" w16cid:durableId="2087DE08"/>
  <w16cid:commentId w16cid:paraId="71DE0090" w16cid:durableId="2087DE09"/>
  <w16cid:commentId w16cid:paraId="483736F0" w16cid:durableId="2087E5FA"/>
  <w16cid:commentId w16cid:paraId="6970676A" w16cid:durableId="2087DE0A"/>
  <w16cid:commentId w16cid:paraId="14DB11C1" w16cid:durableId="2087DE0B"/>
  <w16cid:commentId w16cid:paraId="0F6DA989" w16cid:durableId="2087E71C"/>
  <w16cid:commentId w16cid:paraId="3038D227" w16cid:durableId="2087DE0C"/>
  <w16cid:commentId w16cid:paraId="72632777" w16cid:durableId="2087DE0D"/>
  <w16cid:commentId w16cid:paraId="6B3B4EC9" w16cid:durableId="2087DE0E"/>
  <w16cid:commentId w16cid:paraId="4D173BF3" w16cid:durableId="2087E007"/>
  <w16cid:commentId w16cid:paraId="5C37B3DB" w16cid:durableId="2087E1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CF2" w:rsidRDefault="00D73CF2" w:rsidP="00124A51">
      <w:r>
        <w:separator/>
      </w:r>
    </w:p>
    <w:p w:rsidR="00D73CF2" w:rsidRDefault="00D73CF2"/>
  </w:endnote>
  <w:endnote w:type="continuationSeparator" w:id="0">
    <w:p w:rsidR="00D73CF2" w:rsidRDefault="00D73CF2" w:rsidP="00124A51">
      <w:r>
        <w:continuationSeparator/>
      </w:r>
    </w:p>
    <w:p w:rsidR="00D73CF2" w:rsidRDefault="00D7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CF2" w:rsidRDefault="00D73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416760"/>
      <w:docPartObj>
        <w:docPartGallery w:val="Page Numbers (Bottom of Page)"/>
        <w:docPartUnique/>
      </w:docPartObj>
    </w:sdtPr>
    <w:sdtEndPr>
      <w:rPr>
        <w:noProof/>
      </w:rPr>
    </w:sdtEndPr>
    <w:sdtContent>
      <w:p w:rsidR="00F62FF8" w:rsidRDefault="00F62FF8">
        <w:pPr>
          <w:pStyle w:val="Footer"/>
          <w:jc w:val="center"/>
        </w:pPr>
      </w:p>
      <w:p w:rsidR="00F62FF8" w:rsidRDefault="00F62FF8">
        <w:pPr>
          <w:pStyle w:val="Footer"/>
          <w:jc w:val="center"/>
        </w:pPr>
        <w:r w:rsidRPr="002207D4">
          <w:rPr>
            <w:b/>
          </w:rPr>
          <w:fldChar w:fldCharType="begin"/>
        </w:r>
        <w:r w:rsidRPr="002207D4">
          <w:rPr>
            <w:b/>
          </w:rPr>
          <w:instrText xml:space="preserve"> PAGE   \* MERGEFORMAT </w:instrText>
        </w:r>
        <w:r w:rsidRPr="002207D4">
          <w:rPr>
            <w:b/>
          </w:rPr>
          <w:fldChar w:fldCharType="separate"/>
        </w:r>
        <w:r w:rsidR="008C0876">
          <w:rPr>
            <w:b/>
            <w:noProof/>
          </w:rPr>
          <w:t>25</w:t>
        </w:r>
        <w:r w:rsidRPr="002207D4">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CF2" w:rsidRDefault="00D7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CF2" w:rsidRDefault="00D73CF2" w:rsidP="00124A51">
      <w:r>
        <w:separator/>
      </w:r>
    </w:p>
    <w:p w:rsidR="00D73CF2" w:rsidRDefault="00D73CF2"/>
  </w:footnote>
  <w:footnote w:type="continuationSeparator" w:id="0">
    <w:p w:rsidR="00D73CF2" w:rsidRDefault="00D73CF2" w:rsidP="00124A51">
      <w:r>
        <w:continuationSeparator/>
      </w:r>
    </w:p>
    <w:p w:rsidR="00D73CF2" w:rsidRDefault="00D73C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CF2" w:rsidRDefault="00D73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F8" w:rsidRPr="002207D4" w:rsidRDefault="00F62FF8" w:rsidP="002207D4">
    <w:pPr>
      <w:pStyle w:val="Header"/>
      <w:jc w:val="center"/>
      <w:rPr>
        <w:i/>
      </w:rPr>
    </w:pPr>
    <w:r>
      <w:rPr>
        <w:i/>
      </w:rPr>
      <w:t>Public Summary Document</w:t>
    </w:r>
    <w:r w:rsidRPr="002207D4">
      <w:rPr>
        <w:i/>
      </w:rPr>
      <w:t xml:space="preserve"> – July 2019 PBAC Meeting</w:t>
    </w:r>
  </w:p>
  <w:p w:rsidR="00F62FF8" w:rsidRDefault="00F62FF8" w:rsidP="00C212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CF2" w:rsidRDefault="00D73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B238A2"/>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C2ED8"/>
    <w:multiLevelType w:val="hybridMultilevel"/>
    <w:tmpl w:val="36FCD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11334"/>
    <w:multiLevelType w:val="hybridMultilevel"/>
    <w:tmpl w:val="AB66D914"/>
    <w:lvl w:ilvl="0" w:tplc="0C090001">
      <w:start w:val="1"/>
      <w:numFmt w:val="bullet"/>
      <w:lvlText w:val=""/>
      <w:lvlJc w:val="left"/>
      <w:pPr>
        <w:ind w:left="720" w:hanging="360"/>
      </w:pPr>
      <w:rPr>
        <w:rFonts w:ascii="Symbol" w:hAnsi="Symbol" w:hint="default"/>
      </w:rPr>
    </w:lvl>
    <w:lvl w:ilvl="1" w:tplc="1B061F80">
      <w:numFmt w:val="bullet"/>
      <w:lvlText w:val="•"/>
      <w:lvlJc w:val="left"/>
      <w:pPr>
        <w:ind w:left="1440" w:hanging="360"/>
      </w:pPr>
      <w:rPr>
        <w:rFonts w:ascii="Arial Narrow" w:eastAsia="Times New Roman" w:hAnsi="Arial Narrow"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6411C"/>
    <w:multiLevelType w:val="hybridMultilevel"/>
    <w:tmpl w:val="43BA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40C61"/>
    <w:multiLevelType w:val="multilevel"/>
    <w:tmpl w:val="CED442D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9C3543"/>
    <w:multiLevelType w:val="hybridMultilevel"/>
    <w:tmpl w:val="F3F8F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B254C0"/>
    <w:multiLevelType w:val="hybridMultilevel"/>
    <w:tmpl w:val="48D0B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0B22BA"/>
    <w:multiLevelType w:val="hybridMultilevel"/>
    <w:tmpl w:val="C22E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6C24AD"/>
    <w:multiLevelType w:val="hybridMultilevel"/>
    <w:tmpl w:val="6AE6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16FC8"/>
    <w:multiLevelType w:val="hybridMultilevel"/>
    <w:tmpl w:val="39AA992E"/>
    <w:lvl w:ilvl="0" w:tplc="0C090001">
      <w:start w:val="1"/>
      <w:numFmt w:val="bullet"/>
      <w:lvlText w:val=""/>
      <w:lvlJc w:val="left"/>
      <w:pPr>
        <w:ind w:left="777" w:hanging="360"/>
      </w:pPr>
      <w:rPr>
        <w:rFonts w:ascii="Symbol" w:hAnsi="Symbol" w:hint="default"/>
      </w:rPr>
    </w:lvl>
    <w:lvl w:ilvl="1" w:tplc="1B44757A">
      <w:numFmt w:val="bullet"/>
      <w:lvlText w:val="•"/>
      <w:lvlJc w:val="left"/>
      <w:pPr>
        <w:ind w:left="1497" w:hanging="360"/>
      </w:pPr>
      <w:rPr>
        <w:rFonts w:ascii="Arial Narrow" w:eastAsia="Times New Roman" w:hAnsi="Arial Narrow" w:cs="Arial"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 w15:restartNumberingAfterBreak="0">
    <w:nsid w:val="3ECF47F6"/>
    <w:multiLevelType w:val="hybridMultilevel"/>
    <w:tmpl w:val="EF38E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7C1069"/>
    <w:multiLevelType w:val="hybridMultilevel"/>
    <w:tmpl w:val="626E8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76E00"/>
    <w:multiLevelType w:val="hybridMultilevel"/>
    <w:tmpl w:val="69345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F1862D52"/>
    <w:lvl w:ilvl="0" w:tplc="B018371A">
      <w:start w:val="1"/>
      <w:numFmt w:val="bullet"/>
      <w:pStyle w:val="Bulletpoints"/>
      <w:lvlText w:val="-"/>
      <w:lvlJc w:val="left"/>
      <w:pPr>
        <w:ind w:left="720" w:hanging="360"/>
      </w:pPr>
      <w:rPr>
        <w:rFonts w:ascii="Arial Narrow" w:hAnsi="Arial Narrow" w:hint="default"/>
      </w:rPr>
    </w:lvl>
    <w:lvl w:ilvl="1" w:tplc="04090003">
      <w:start w:val="1"/>
      <w:numFmt w:val="bullet"/>
      <w:lvlText w:val="o"/>
      <w:lvlJc w:val="left"/>
      <w:pPr>
        <w:ind w:left="1232" w:hanging="360"/>
      </w:pPr>
      <w:rPr>
        <w:rFonts w:ascii="Courier New" w:hAnsi="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18" w15:restartNumberingAfterBreak="0">
    <w:nsid w:val="44AE0E0B"/>
    <w:multiLevelType w:val="hybridMultilevel"/>
    <w:tmpl w:val="F0F0B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EE39D9"/>
    <w:multiLevelType w:val="hybridMultilevel"/>
    <w:tmpl w:val="CD584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112A42"/>
    <w:multiLevelType w:val="hybridMultilevel"/>
    <w:tmpl w:val="6FA21A9C"/>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C6088D"/>
    <w:multiLevelType w:val="hybridMultilevel"/>
    <w:tmpl w:val="87683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41D77"/>
    <w:multiLevelType w:val="hybridMultilevel"/>
    <w:tmpl w:val="3C3C4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053D13"/>
    <w:multiLevelType w:val="hybridMultilevel"/>
    <w:tmpl w:val="867849BC"/>
    <w:lvl w:ilvl="0" w:tplc="D854972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602AEA"/>
    <w:multiLevelType w:val="hybridMultilevel"/>
    <w:tmpl w:val="F864E160"/>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715A1"/>
    <w:multiLevelType w:val="hybridMultilevel"/>
    <w:tmpl w:val="6DD4E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353156"/>
    <w:multiLevelType w:val="hybridMultilevel"/>
    <w:tmpl w:val="FAAEA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F225D3"/>
    <w:multiLevelType w:val="hybridMultilevel"/>
    <w:tmpl w:val="B1FC84D0"/>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15:restartNumberingAfterBreak="0">
    <w:nsid w:val="784D033C"/>
    <w:multiLevelType w:val="multilevel"/>
    <w:tmpl w:val="30A44EB0"/>
    <w:lvl w:ilvl="0">
      <w:start w:val="1"/>
      <w:numFmt w:val="decimal"/>
      <w:lvlText w:val="%1"/>
      <w:lvlJc w:val="left"/>
      <w:pPr>
        <w:ind w:left="720" w:hanging="720"/>
      </w:pPr>
      <w:rPr>
        <w:rFonts w:hint="default"/>
        <w:b/>
        <w:i w:val="0"/>
      </w:rPr>
    </w:lvl>
    <w:lvl w:ilvl="1">
      <w:start w:val="1"/>
      <w:numFmt w:val="decimal"/>
      <w:lvlText w:val="%1.%2"/>
      <w:lvlJc w:val="left"/>
      <w:pPr>
        <w:ind w:left="1004" w:hanging="720"/>
      </w:pPr>
      <w:rPr>
        <w:rFonts w:asciiTheme="minorHAnsi" w:hAnsiTheme="minorHAnsi" w:cstheme="minorHAnsi" w:hint="default"/>
        <w:b w:val="0"/>
        <w:bCs/>
        <w:i w:val="0"/>
        <w:iCs/>
        <w:color w:val="auto"/>
        <w:sz w:val="24"/>
        <w:szCs w:val="2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C4421E"/>
    <w:multiLevelType w:val="hybridMultilevel"/>
    <w:tmpl w:val="5DC6EF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D520834"/>
    <w:multiLevelType w:val="hybridMultilevel"/>
    <w:tmpl w:val="A8566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17"/>
  </w:num>
  <w:num w:numId="3">
    <w:abstractNumId w:val="27"/>
  </w:num>
  <w:num w:numId="4">
    <w:abstractNumId w:val="11"/>
  </w:num>
  <w:num w:numId="5">
    <w:abstractNumId w:val="4"/>
  </w:num>
  <w:num w:numId="6">
    <w:abstractNumId w:val="28"/>
  </w:num>
  <w:num w:numId="7">
    <w:abstractNumId w:val="16"/>
  </w:num>
  <w:num w:numId="8">
    <w:abstractNumId w:val="13"/>
  </w:num>
  <w:num w:numId="9">
    <w:abstractNumId w:val="26"/>
  </w:num>
  <w:num w:numId="10">
    <w:abstractNumId w:val="2"/>
  </w:num>
  <w:num w:numId="11">
    <w:abstractNumId w:val="29"/>
  </w:num>
  <w:num w:numId="12">
    <w:abstractNumId w:val="15"/>
  </w:num>
  <w:num w:numId="13">
    <w:abstractNumId w:val="25"/>
  </w:num>
  <w:num w:numId="14">
    <w:abstractNumId w:val="18"/>
  </w:num>
  <w:num w:numId="15">
    <w:abstractNumId w:val="21"/>
  </w:num>
  <w:num w:numId="16">
    <w:abstractNumId w:val="14"/>
  </w:num>
  <w:num w:numId="17">
    <w:abstractNumId w:val="19"/>
  </w:num>
  <w:num w:numId="18">
    <w:abstractNumId w:val="12"/>
  </w:num>
  <w:num w:numId="19">
    <w:abstractNumId w:val="10"/>
  </w:num>
  <w:num w:numId="20">
    <w:abstractNumId w:val="5"/>
  </w:num>
  <w:num w:numId="21">
    <w:abstractNumId w:val="9"/>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8"/>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7"/>
  </w:num>
  <w:num w:numId="34">
    <w:abstractNumId w:val="22"/>
  </w:num>
  <w:num w:numId="35">
    <w:abstractNumId w:val="32"/>
  </w:num>
  <w:num w:numId="36">
    <w:abstractNumId w:val="20"/>
  </w:num>
  <w:num w:numId="37">
    <w:abstractNumId w:val="23"/>
  </w:num>
  <w:num w:numId="38">
    <w:abstractNumId w:val="24"/>
  </w:num>
  <w:num w:numId="39">
    <w:abstractNumId w:val="3"/>
  </w:num>
  <w:num w:numId="40">
    <w:abstractNumId w:val="1"/>
  </w:num>
  <w:num w:numId="41">
    <w:abstractNumId w:val="7"/>
  </w:num>
  <w:num w:numId="42">
    <w:abstractNumId w:val="6"/>
  </w:num>
  <w:num w:numId="43">
    <w:abstractNumId w:val="17"/>
  </w:num>
  <w:num w:numId="4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en-AU" w:vendorID="64" w:dllVersion="6"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s-MX"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CC9"/>
    <w:rsid w:val="0000110B"/>
    <w:rsid w:val="00001F44"/>
    <w:rsid w:val="000024C3"/>
    <w:rsid w:val="00003499"/>
    <w:rsid w:val="000035F3"/>
    <w:rsid w:val="00003790"/>
    <w:rsid w:val="000039B7"/>
    <w:rsid w:val="00003D8C"/>
    <w:rsid w:val="00003F2C"/>
    <w:rsid w:val="00004017"/>
    <w:rsid w:val="00004371"/>
    <w:rsid w:val="00004EE7"/>
    <w:rsid w:val="0000507C"/>
    <w:rsid w:val="000054E1"/>
    <w:rsid w:val="0000646E"/>
    <w:rsid w:val="000066E5"/>
    <w:rsid w:val="00007C9D"/>
    <w:rsid w:val="00010844"/>
    <w:rsid w:val="00010A51"/>
    <w:rsid w:val="00012BE3"/>
    <w:rsid w:val="00013247"/>
    <w:rsid w:val="00013F1B"/>
    <w:rsid w:val="000144A2"/>
    <w:rsid w:val="00015886"/>
    <w:rsid w:val="000162EF"/>
    <w:rsid w:val="00016B3D"/>
    <w:rsid w:val="0001739A"/>
    <w:rsid w:val="00017C01"/>
    <w:rsid w:val="0002225F"/>
    <w:rsid w:val="000233E5"/>
    <w:rsid w:val="00023763"/>
    <w:rsid w:val="00024203"/>
    <w:rsid w:val="00024DD2"/>
    <w:rsid w:val="0002681F"/>
    <w:rsid w:val="00026BB0"/>
    <w:rsid w:val="000272CA"/>
    <w:rsid w:val="00027D25"/>
    <w:rsid w:val="00030174"/>
    <w:rsid w:val="00032338"/>
    <w:rsid w:val="00032C46"/>
    <w:rsid w:val="00033863"/>
    <w:rsid w:val="0003420E"/>
    <w:rsid w:val="000343C3"/>
    <w:rsid w:val="00035844"/>
    <w:rsid w:val="00035DC0"/>
    <w:rsid w:val="00036024"/>
    <w:rsid w:val="00036829"/>
    <w:rsid w:val="000401A1"/>
    <w:rsid w:val="000401D5"/>
    <w:rsid w:val="00040895"/>
    <w:rsid w:val="0004181F"/>
    <w:rsid w:val="00041C84"/>
    <w:rsid w:val="00042FDC"/>
    <w:rsid w:val="00043C37"/>
    <w:rsid w:val="00045017"/>
    <w:rsid w:val="000453E5"/>
    <w:rsid w:val="00045A2B"/>
    <w:rsid w:val="0004698F"/>
    <w:rsid w:val="000519CB"/>
    <w:rsid w:val="00053159"/>
    <w:rsid w:val="00053266"/>
    <w:rsid w:val="00053396"/>
    <w:rsid w:val="000534B5"/>
    <w:rsid w:val="00053674"/>
    <w:rsid w:val="000539D0"/>
    <w:rsid w:val="00054260"/>
    <w:rsid w:val="00054621"/>
    <w:rsid w:val="00054657"/>
    <w:rsid w:val="000546D7"/>
    <w:rsid w:val="00054C48"/>
    <w:rsid w:val="000565F9"/>
    <w:rsid w:val="00056D9E"/>
    <w:rsid w:val="00057611"/>
    <w:rsid w:val="00057856"/>
    <w:rsid w:val="00060D3D"/>
    <w:rsid w:val="00061715"/>
    <w:rsid w:val="00061E39"/>
    <w:rsid w:val="00062335"/>
    <w:rsid w:val="00063DD6"/>
    <w:rsid w:val="00065C1D"/>
    <w:rsid w:val="000660FF"/>
    <w:rsid w:val="00066360"/>
    <w:rsid w:val="00071248"/>
    <w:rsid w:val="000717CE"/>
    <w:rsid w:val="000720B9"/>
    <w:rsid w:val="00072F78"/>
    <w:rsid w:val="000733A2"/>
    <w:rsid w:val="000737F7"/>
    <w:rsid w:val="00073C13"/>
    <w:rsid w:val="0007445E"/>
    <w:rsid w:val="00074D59"/>
    <w:rsid w:val="000754B6"/>
    <w:rsid w:val="000755B9"/>
    <w:rsid w:val="00075A9A"/>
    <w:rsid w:val="000762FA"/>
    <w:rsid w:val="0007672F"/>
    <w:rsid w:val="000774F0"/>
    <w:rsid w:val="00080271"/>
    <w:rsid w:val="00080909"/>
    <w:rsid w:val="00080AF6"/>
    <w:rsid w:val="00080E99"/>
    <w:rsid w:val="000812CA"/>
    <w:rsid w:val="00081B30"/>
    <w:rsid w:val="0008258D"/>
    <w:rsid w:val="00083561"/>
    <w:rsid w:val="00083E99"/>
    <w:rsid w:val="0008413B"/>
    <w:rsid w:val="00084C5D"/>
    <w:rsid w:val="000856C5"/>
    <w:rsid w:val="00086630"/>
    <w:rsid w:val="0008717B"/>
    <w:rsid w:val="00090002"/>
    <w:rsid w:val="000900B8"/>
    <w:rsid w:val="00090798"/>
    <w:rsid w:val="00090C7E"/>
    <w:rsid w:val="00091912"/>
    <w:rsid w:val="000922B9"/>
    <w:rsid w:val="00092600"/>
    <w:rsid w:val="0009262B"/>
    <w:rsid w:val="0009291F"/>
    <w:rsid w:val="00093310"/>
    <w:rsid w:val="000933E4"/>
    <w:rsid w:val="0009445C"/>
    <w:rsid w:val="000946FB"/>
    <w:rsid w:val="0009538F"/>
    <w:rsid w:val="00095442"/>
    <w:rsid w:val="00095FE5"/>
    <w:rsid w:val="00096284"/>
    <w:rsid w:val="000967D4"/>
    <w:rsid w:val="00096D5F"/>
    <w:rsid w:val="00097640"/>
    <w:rsid w:val="00097648"/>
    <w:rsid w:val="000A0D9B"/>
    <w:rsid w:val="000A1D77"/>
    <w:rsid w:val="000A35FB"/>
    <w:rsid w:val="000A4716"/>
    <w:rsid w:val="000A4CC0"/>
    <w:rsid w:val="000A4FF4"/>
    <w:rsid w:val="000A5D1C"/>
    <w:rsid w:val="000A7290"/>
    <w:rsid w:val="000A7D08"/>
    <w:rsid w:val="000B0670"/>
    <w:rsid w:val="000B0E75"/>
    <w:rsid w:val="000B11A6"/>
    <w:rsid w:val="000B132C"/>
    <w:rsid w:val="000B1F2B"/>
    <w:rsid w:val="000B24E9"/>
    <w:rsid w:val="000B274E"/>
    <w:rsid w:val="000B3C33"/>
    <w:rsid w:val="000B42C3"/>
    <w:rsid w:val="000B64F1"/>
    <w:rsid w:val="000B6CAC"/>
    <w:rsid w:val="000B74A0"/>
    <w:rsid w:val="000B7559"/>
    <w:rsid w:val="000B7582"/>
    <w:rsid w:val="000B7612"/>
    <w:rsid w:val="000C0463"/>
    <w:rsid w:val="000C1024"/>
    <w:rsid w:val="000C1B01"/>
    <w:rsid w:val="000C2663"/>
    <w:rsid w:val="000C3DF9"/>
    <w:rsid w:val="000C405D"/>
    <w:rsid w:val="000C5F49"/>
    <w:rsid w:val="000C6713"/>
    <w:rsid w:val="000C67CC"/>
    <w:rsid w:val="000C697B"/>
    <w:rsid w:val="000C6D3F"/>
    <w:rsid w:val="000C738D"/>
    <w:rsid w:val="000C77FB"/>
    <w:rsid w:val="000C78E0"/>
    <w:rsid w:val="000D0007"/>
    <w:rsid w:val="000D1751"/>
    <w:rsid w:val="000D1A13"/>
    <w:rsid w:val="000D1AC6"/>
    <w:rsid w:val="000D1BFC"/>
    <w:rsid w:val="000D22BE"/>
    <w:rsid w:val="000D281A"/>
    <w:rsid w:val="000D326A"/>
    <w:rsid w:val="000D365A"/>
    <w:rsid w:val="000D3DA3"/>
    <w:rsid w:val="000D4FDD"/>
    <w:rsid w:val="000D51FB"/>
    <w:rsid w:val="000D5643"/>
    <w:rsid w:val="000D5740"/>
    <w:rsid w:val="000D71CC"/>
    <w:rsid w:val="000D77F4"/>
    <w:rsid w:val="000E135D"/>
    <w:rsid w:val="000E193E"/>
    <w:rsid w:val="000E4108"/>
    <w:rsid w:val="000E48A5"/>
    <w:rsid w:val="000E59B2"/>
    <w:rsid w:val="000E615F"/>
    <w:rsid w:val="000E698E"/>
    <w:rsid w:val="000E7E5C"/>
    <w:rsid w:val="000E7ED1"/>
    <w:rsid w:val="000F00BA"/>
    <w:rsid w:val="000F135E"/>
    <w:rsid w:val="000F272C"/>
    <w:rsid w:val="000F316A"/>
    <w:rsid w:val="000F3C74"/>
    <w:rsid w:val="000F3C85"/>
    <w:rsid w:val="000F4BB8"/>
    <w:rsid w:val="000F54F2"/>
    <w:rsid w:val="000F5953"/>
    <w:rsid w:val="000F7127"/>
    <w:rsid w:val="000F7176"/>
    <w:rsid w:val="000F7223"/>
    <w:rsid w:val="000F73D6"/>
    <w:rsid w:val="00100619"/>
    <w:rsid w:val="00100F8A"/>
    <w:rsid w:val="00101246"/>
    <w:rsid w:val="0010176E"/>
    <w:rsid w:val="00101D4F"/>
    <w:rsid w:val="00101E35"/>
    <w:rsid w:val="001028A2"/>
    <w:rsid w:val="00102AC9"/>
    <w:rsid w:val="00104C8A"/>
    <w:rsid w:val="001050F2"/>
    <w:rsid w:val="00105AE2"/>
    <w:rsid w:val="001063B6"/>
    <w:rsid w:val="00106B80"/>
    <w:rsid w:val="00106D21"/>
    <w:rsid w:val="00107657"/>
    <w:rsid w:val="001078B0"/>
    <w:rsid w:val="00107D69"/>
    <w:rsid w:val="0011032E"/>
    <w:rsid w:val="0011083E"/>
    <w:rsid w:val="00111255"/>
    <w:rsid w:val="00111275"/>
    <w:rsid w:val="00111F97"/>
    <w:rsid w:val="00112F33"/>
    <w:rsid w:val="0011348B"/>
    <w:rsid w:val="00113DB4"/>
    <w:rsid w:val="00114A0D"/>
    <w:rsid w:val="00114EBC"/>
    <w:rsid w:val="00115483"/>
    <w:rsid w:val="00115601"/>
    <w:rsid w:val="00115982"/>
    <w:rsid w:val="00116C53"/>
    <w:rsid w:val="0011757A"/>
    <w:rsid w:val="0011796B"/>
    <w:rsid w:val="00117CED"/>
    <w:rsid w:val="00121799"/>
    <w:rsid w:val="001222FC"/>
    <w:rsid w:val="0012245A"/>
    <w:rsid w:val="00122CB8"/>
    <w:rsid w:val="00123382"/>
    <w:rsid w:val="00123B47"/>
    <w:rsid w:val="00123C5F"/>
    <w:rsid w:val="001240F6"/>
    <w:rsid w:val="00124942"/>
    <w:rsid w:val="00124A51"/>
    <w:rsid w:val="00124C06"/>
    <w:rsid w:val="00124F74"/>
    <w:rsid w:val="00125B7D"/>
    <w:rsid w:val="00125DF8"/>
    <w:rsid w:val="00126621"/>
    <w:rsid w:val="00126956"/>
    <w:rsid w:val="001270A8"/>
    <w:rsid w:val="001301E9"/>
    <w:rsid w:val="00130AAE"/>
    <w:rsid w:val="00131478"/>
    <w:rsid w:val="00131D82"/>
    <w:rsid w:val="00132150"/>
    <w:rsid w:val="00132497"/>
    <w:rsid w:val="00132936"/>
    <w:rsid w:val="0013329D"/>
    <w:rsid w:val="0013357B"/>
    <w:rsid w:val="0013396E"/>
    <w:rsid w:val="00133D36"/>
    <w:rsid w:val="00133EFF"/>
    <w:rsid w:val="00134792"/>
    <w:rsid w:val="00134DC9"/>
    <w:rsid w:val="00135DC8"/>
    <w:rsid w:val="00135FC0"/>
    <w:rsid w:val="0013734D"/>
    <w:rsid w:val="00137645"/>
    <w:rsid w:val="00137F32"/>
    <w:rsid w:val="0014015A"/>
    <w:rsid w:val="001404BF"/>
    <w:rsid w:val="00140984"/>
    <w:rsid w:val="00140B08"/>
    <w:rsid w:val="00140CB9"/>
    <w:rsid w:val="00140E99"/>
    <w:rsid w:val="0014172A"/>
    <w:rsid w:val="001425FB"/>
    <w:rsid w:val="00142B95"/>
    <w:rsid w:val="0014388C"/>
    <w:rsid w:val="00143AF5"/>
    <w:rsid w:val="00145259"/>
    <w:rsid w:val="00145540"/>
    <w:rsid w:val="001456B0"/>
    <w:rsid w:val="001458E4"/>
    <w:rsid w:val="00146353"/>
    <w:rsid w:val="0014640C"/>
    <w:rsid w:val="00147CD5"/>
    <w:rsid w:val="00147F8F"/>
    <w:rsid w:val="00150204"/>
    <w:rsid w:val="00150963"/>
    <w:rsid w:val="001519D8"/>
    <w:rsid w:val="001519DB"/>
    <w:rsid w:val="00151C58"/>
    <w:rsid w:val="00151F61"/>
    <w:rsid w:val="0015263F"/>
    <w:rsid w:val="00152741"/>
    <w:rsid w:val="00153E67"/>
    <w:rsid w:val="00154E6D"/>
    <w:rsid w:val="00155BDA"/>
    <w:rsid w:val="0015671D"/>
    <w:rsid w:val="00157130"/>
    <w:rsid w:val="001576B1"/>
    <w:rsid w:val="00160004"/>
    <w:rsid w:val="00160240"/>
    <w:rsid w:val="00160A4C"/>
    <w:rsid w:val="00160C4D"/>
    <w:rsid w:val="001614E6"/>
    <w:rsid w:val="00161D2F"/>
    <w:rsid w:val="00162913"/>
    <w:rsid w:val="001629AF"/>
    <w:rsid w:val="00162BC8"/>
    <w:rsid w:val="00162D6D"/>
    <w:rsid w:val="001635D6"/>
    <w:rsid w:val="001638E9"/>
    <w:rsid w:val="00163EFF"/>
    <w:rsid w:val="00164750"/>
    <w:rsid w:val="00164A01"/>
    <w:rsid w:val="001661FB"/>
    <w:rsid w:val="00170112"/>
    <w:rsid w:val="00171660"/>
    <w:rsid w:val="001725A2"/>
    <w:rsid w:val="00173385"/>
    <w:rsid w:val="00173565"/>
    <w:rsid w:val="00173628"/>
    <w:rsid w:val="001739D0"/>
    <w:rsid w:val="00173B07"/>
    <w:rsid w:val="00176A17"/>
    <w:rsid w:val="00177DEE"/>
    <w:rsid w:val="0018044D"/>
    <w:rsid w:val="00181D9C"/>
    <w:rsid w:val="00182BE8"/>
    <w:rsid w:val="00184268"/>
    <w:rsid w:val="0018568B"/>
    <w:rsid w:val="00185F10"/>
    <w:rsid w:val="001867E7"/>
    <w:rsid w:val="00186899"/>
    <w:rsid w:val="00186DE8"/>
    <w:rsid w:val="0018752F"/>
    <w:rsid w:val="00190957"/>
    <w:rsid w:val="00190A36"/>
    <w:rsid w:val="00190AA3"/>
    <w:rsid w:val="001936ED"/>
    <w:rsid w:val="00194963"/>
    <w:rsid w:val="00195222"/>
    <w:rsid w:val="00196604"/>
    <w:rsid w:val="00196F24"/>
    <w:rsid w:val="00197374"/>
    <w:rsid w:val="001975D8"/>
    <w:rsid w:val="001A082B"/>
    <w:rsid w:val="001A1259"/>
    <w:rsid w:val="001A127B"/>
    <w:rsid w:val="001A136D"/>
    <w:rsid w:val="001A18B4"/>
    <w:rsid w:val="001A3280"/>
    <w:rsid w:val="001A347A"/>
    <w:rsid w:val="001A35D3"/>
    <w:rsid w:val="001A409E"/>
    <w:rsid w:val="001A43FA"/>
    <w:rsid w:val="001A47F3"/>
    <w:rsid w:val="001A48F9"/>
    <w:rsid w:val="001A4BF6"/>
    <w:rsid w:val="001A59FB"/>
    <w:rsid w:val="001A6354"/>
    <w:rsid w:val="001A7AE8"/>
    <w:rsid w:val="001B204E"/>
    <w:rsid w:val="001B2DE9"/>
    <w:rsid w:val="001B2FD8"/>
    <w:rsid w:val="001B3443"/>
    <w:rsid w:val="001B4901"/>
    <w:rsid w:val="001B4D20"/>
    <w:rsid w:val="001B5766"/>
    <w:rsid w:val="001B589C"/>
    <w:rsid w:val="001B67ED"/>
    <w:rsid w:val="001B6C69"/>
    <w:rsid w:val="001C05C7"/>
    <w:rsid w:val="001C18E5"/>
    <w:rsid w:val="001C24D9"/>
    <w:rsid w:val="001C2A9B"/>
    <w:rsid w:val="001C3174"/>
    <w:rsid w:val="001C3176"/>
    <w:rsid w:val="001C37DA"/>
    <w:rsid w:val="001C3CEF"/>
    <w:rsid w:val="001C4299"/>
    <w:rsid w:val="001C5F94"/>
    <w:rsid w:val="001C6E66"/>
    <w:rsid w:val="001C76D2"/>
    <w:rsid w:val="001C7B31"/>
    <w:rsid w:val="001D070D"/>
    <w:rsid w:val="001D089E"/>
    <w:rsid w:val="001D1693"/>
    <w:rsid w:val="001D2AEE"/>
    <w:rsid w:val="001D2D3F"/>
    <w:rsid w:val="001D3A2E"/>
    <w:rsid w:val="001D4744"/>
    <w:rsid w:val="001D486C"/>
    <w:rsid w:val="001D5710"/>
    <w:rsid w:val="001D61FB"/>
    <w:rsid w:val="001D769E"/>
    <w:rsid w:val="001E1BC2"/>
    <w:rsid w:val="001E238E"/>
    <w:rsid w:val="001E2483"/>
    <w:rsid w:val="001E2B1E"/>
    <w:rsid w:val="001E2E03"/>
    <w:rsid w:val="001E30D4"/>
    <w:rsid w:val="001E52EB"/>
    <w:rsid w:val="001E61D2"/>
    <w:rsid w:val="001E740C"/>
    <w:rsid w:val="001E75A6"/>
    <w:rsid w:val="001F1235"/>
    <w:rsid w:val="001F1CB3"/>
    <w:rsid w:val="001F1FA3"/>
    <w:rsid w:val="001F2CFE"/>
    <w:rsid w:val="001F2D2E"/>
    <w:rsid w:val="001F3025"/>
    <w:rsid w:val="001F38B5"/>
    <w:rsid w:val="001F602E"/>
    <w:rsid w:val="001F6998"/>
    <w:rsid w:val="001F6BD0"/>
    <w:rsid w:val="001F707B"/>
    <w:rsid w:val="001F7361"/>
    <w:rsid w:val="001F788C"/>
    <w:rsid w:val="001F7923"/>
    <w:rsid w:val="002005EA"/>
    <w:rsid w:val="002011B0"/>
    <w:rsid w:val="0020237E"/>
    <w:rsid w:val="00202C85"/>
    <w:rsid w:val="00203181"/>
    <w:rsid w:val="00203783"/>
    <w:rsid w:val="0020385F"/>
    <w:rsid w:val="00204714"/>
    <w:rsid w:val="002049C7"/>
    <w:rsid w:val="00207021"/>
    <w:rsid w:val="0020732F"/>
    <w:rsid w:val="00207D00"/>
    <w:rsid w:val="0021047F"/>
    <w:rsid w:val="002105C1"/>
    <w:rsid w:val="00210671"/>
    <w:rsid w:val="00211472"/>
    <w:rsid w:val="002115C1"/>
    <w:rsid w:val="0021176B"/>
    <w:rsid w:val="00211D21"/>
    <w:rsid w:val="002122E1"/>
    <w:rsid w:val="00212C7C"/>
    <w:rsid w:val="00213BD9"/>
    <w:rsid w:val="0021603E"/>
    <w:rsid w:val="00216E69"/>
    <w:rsid w:val="00220494"/>
    <w:rsid w:val="002207D4"/>
    <w:rsid w:val="00220B96"/>
    <w:rsid w:val="00221737"/>
    <w:rsid w:val="00221780"/>
    <w:rsid w:val="00221EE9"/>
    <w:rsid w:val="00222A62"/>
    <w:rsid w:val="00223B49"/>
    <w:rsid w:val="00224DD4"/>
    <w:rsid w:val="00227084"/>
    <w:rsid w:val="0023073E"/>
    <w:rsid w:val="002309CC"/>
    <w:rsid w:val="00230DA2"/>
    <w:rsid w:val="002316A0"/>
    <w:rsid w:val="00231D5F"/>
    <w:rsid w:val="0023203D"/>
    <w:rsid w:val="0023209F"/>
    <w:rsid w:val="002324FF"/>
    <w:rsid w:val="00233AAF"/>
    <w:rsid w:val="00234145"/>
    <w:rsid w:val="00235501"/>
    <w:rsid w:val="00235B83"/>
    <w:rsid w:val="00235BB8"/>
    <w:rsid w:val="00235F20"/>
    <w:rsid w:val="00235FEE"/>
    <w:rsid w:val="0023629D"/>
    <w:rsid w:val="00236BB4"/>
    <w:rsid w:val="00236E47"/>
    <w:rsid w:val="00236E68"/>
    <w:rsid w:val="00237255"/>
    <w:rsid w:val="00237B63"/>
    <w:rsid w:val="00237E89"/>
    <w:rsid w:val="00240218"/>
    <w:rsid w:val="00240364"/>
    <w:rsid w:val="00240662"/>
    <w:rsid w:val="002411D6"/>
    <w:rsid w:val="0024239B"/>
    <w:rsid w:val="002424AF"/>
    <w:rsid w:val="0024295B"/>
    <w:rsid w:val="00242C24"/>
    <w:rsid w:val="002439DC"/>
    <w:rsid w:val="00243B23"/>
    <w:rsid w:val="0024449A"/>
    <w:rsid w:val="0024456A"/>
    <w:rsid w:val="00244DC8"/>
    <w:rsid w:val="00245168"/>
    <w:rsid w:val="002458BA"/>
    <w:rsid w:val="0024636C"/>
    <w:rsid w:val="002467DE"/>
    <w:rsid w:val="00246DBD"/>
    <w:rsid w:val="00247925"/>
    <w:rsid w:val="00247DD2"/>
    <w:rsid w:val="0025025F"/>
    <w:rsid w:val="0025056F"/>
    <w:rsid w:val="00250D37"/>
    <w:rsid w:val="00250E47"/>
    <w:rsid w:val="002515A6"/>
    <w:rsid w:val="00251618"/>
    <w:rsid w:val="00252323"/>
    <w:rsid w:val="0025424D"/>
    <w:rsid w:val="002543B9"/>
    <w:rsid w:val="00254868"/>
    <w:rsid w:val="00254DCF"/>
    <w:rsid w:val="00255143"/>
    <w:rsid w:val="00255197"/>
    <w:rsid w:val="0025534B"/>
    <w:rsid w:val="002553E3"/>
    <w:rsid w:val="0025569F"/>
    <w:rsid w:val="00255BB7"/>
    <w:rsid w:val="0025695F"/>
    <w:rsid w:val="00256B5B"/>
    <w:rsid w:val="00257541"/>
    <w:rsid w:val="002604B4"/>
    <w:rsid w:val="0026065C"/>
    <w:rsid w:val="00261D42"/>
    <w:rsid w:val="00262A1A"/>
    <w:rsid w:val="00262A87"/>
    <w:rsid w:val="00264B3B"/>
    <w:rsid w:val="00264D26"/>
    <w:rsid w:val="002652D6"/>
    <w:rsid w:val="00265D0A"/>
    <w:rsid w:val="00267642"/>
    <w:rsid w:val="0026796E"/>
    <w:rsid w:val="00267AEA"/>
    <w:rsid w:val="002700E6"/>
    <w:rsid w:val="00272005"/>
    <w:rsid w:val="00272455"/>
    <w:rsid w:val="002726E9"/>
    <w:rsid w:val="0027294B"/>
    <w:rsid w:val="00272CA8"/>
    <w:rsid w:val="0027346A"/>
    <w:rsid w:val="0027450A"/>
    <w:rsid w:val="00274B2F"/>
    <w:rsid w:val="0027570E"/>
    <w:rsid w:val="00275C5A"/>
    <w:rsid w:val="0027607F"/>
    <w:rsid w:val="002768D4"/>
    <w:rsid w:val="002769D1"/>
    <w:rsid w:val="00277496"/>
    <w:rsid w:val="00277E7A"/>
    <w:rsid w:val="00277FBE"/>
    <w:rsid w:val="0028051A"/>
    <w:rsid w:val="00281014"/>
    <w:rsid w:val="002810CF"/>
    <w:rsid w:val="002816BB"/>
    <w:rsid w:val="00281725"/>
    <w:rsid w:val="002825D4"/>
    <w:rsid w:val="00282A19"/>
    <w:rsid w:val="0028364B"/>
    <w:rsid w:val="00283CFB"/>
    <w:rsid w:val="002845D7"/>
    <w:rsid w:val="002848E6"/>
    <w:rsid w:val="00284E3A"/>
    <w:rsid w:val="002856C5"/>
    <w:rsid w:val="0028591E"/>
    <w:rsid w:val="00286C4D"/>
    <w:rsid w:val="002879F8"/>
    <w:rsid w:val="00287EBC"/>
    <w:rsid w:val="0029271B"/>
    <w:rsid w:val="00292A38"/>
    <w:rsid w:val="0029476D"/>
    <w:rsid w:val="00295068"/>
    <w:rsid w:val="00296510"/>
    <w:rsid w:val="00296668"/>
    <w:rsid w:val="002968DA"/>
    <w:rsid w:val="00296D0D"/>
    <w:rsid w:val="002A0886"/>
    <w:rsid w:val="002A14AB"/>
    <w:rsid w:val="002A2919"/>
    <w:rsid w:val="002A2A04"/>
    <w:rsid w:val="002A2F50"/>
    <w:rsid w:val="002A3909"/>
    <w:rsid w:val="002A3DEF"/>
    <w:rsid w:val="002A5D60"/>
    <w:rsid w:val="002A6745"/>
    <w:rsid w:val="002A7968"/>
    <w:rsid w:val="002B09A4"/>
    <w:rsid w:val="002B1471"/>
    <w:rsid w:val="002B18D0"/>
    <w:rsid w:val="002B1C1F"/>
    <w:rsid w:val="002B2A91"/>
    <w:rsid w:val="002B2CE3"/>
    <w:rsid w:val="002B3145"/>
    <w:rsid w:val="002B432F"/>
    <w:rsid w:val="002B48B7"/>
    <w:rsid w:val="002B5D9E"/>
    <w:rsid w:val="002B62B3"/>
    <w:rsid w:val="002B6436"/>
    <w:rsid w:val="002B6754"/>
    <w:rsid w:val="002B6BC9"/>
    <w:rsid w:val="002B6C23"/>
    <w:rsid w:val="002B6CCE"/>
    <w:rsid w:val="002B6EC1"/>
    <w:rsid w:val="002B7A7D"/>
    <w:rsid w:val="002B7C06"/>
    <w:rsid w:val="002B7DC6"/>
    <w:rsid w:val="002C09B2"/>
    <w:rsid w:val="002C1BED"/>
    <w:rsid w:val="002C2510"/>
    <w:rsid w:val="002C2775"/>
    <w:rsid w:val="002C27C1"/>
    <w:rsid w:val="002C2BFA"/>
    <w:rsid w:val="002C379B"/>
    <w:rsid w:val="002C4810"/>
    <w:rsid w:val="002C5099"/>
    <w:rsid w:val="002C53EF"/>
    <w:rsid w:val="002C5889"/>
    <w:rsid w:val="002C5DDE"/>
    <w:rsid w:val="002C5E65"/>
    <w:rsid w:val="002C68E2"/>
    <w:rsid w:val="002C71CE"/>
    <w:rsid w:val="002D08CE"/>
    <w:rsid w:val="002D116B"/>
    <w:rsid w:val="002D1601"/>
    <w:rsid w:val="002D262E"/>
    <w:rsid w:val="002D577C"/>
    <w:rsid w:val="002E016A"/>
    <w:rsid w:val="002E15B9"/>
    <w:rsid w:val="002E2158"/>
    <w:rsid w:val="002E32D9"/>
    <w:rsid w:val="002E3D61"/>
    <w:rsid w:val="002E419C"/>
    <w:rsid w:val="002E4E62"/>
    <w:rsid w:val="002E71EC"/>
    <w:rsid w:val="002E7722"/>
    <w:rsid w:val="002F05B4"/>
    <w:rsid w:val="002F07BA"/>
    <w:rsid w:val="002F0DA9"/>
    <w:rsid w:val="002F424E"/>
    <w:rsid w:val="002F4E76"/>
    <w:rsid w:val="002F643C"/>
    <w:rsid w:val="002F64CA"/>
    <w:rsid w:val="002F71C0"/>
    <w:rsid w:val="00300072"/>
    <w:rsid w:val="00300B60"/>
    <w:rsid w:val="00301017"/>
    <w:rsid w:val="0030155F"/>
    <w:rsid w:val="00302D5B"/>
    <w:rsid w:val="00303219"/>
    <w:rsid w:val="003053EC"/>
    <w:rsid w:val="00305551"/>
    <w:rsid w:val="0030587B"/>
    <w:rsid w:val="00305EAF"/>
    <w:rsid w:val="00306D98"/>
    <w:rsid w:val="0030752D"/>
    <w:rsid w:val="0030786C"/>
    <w:rsid w:val="00307A45"/>
    <w:rsid w:val="003101B5"/>
    <w:rsid w:val="0031031A"/>
    <w:rsid w:val="00310981"/>
    <w:rsid w:val="00312014"/>
    <w:rsid w:val="003122FF"/>
    <w:rsid w:val="00312C13"/>
    <w:rsid w:val="00312FE3"/>
    <w:rsid w:val="00313003"/>
    <w:rsid w:val="0031397F"/>
    <w:rsid w:val="003147DB"/>
    <w:rsid w:val="00314E9F"/>
    <w:rsid w:val="00315498"/>
    <w:rsid w:val="00317D1E"/>
    <w:rsid w:val="00320610"/>
    <w:rsid w:val="00322107"/>
    <w:rsid w:val="003221D8"/>
    <w:rsid w:val="00322846"/>
    <w:rsid w:val="00322F91"/>
    <w:rsid w:val="00323AA6"/>
    <w:rsid w:val="003241C1"/>
    <w:rsid w:val="0032491A"/>
    <w:rsid w:val="00326606"/>
    <w:rsid w:val="00326DA7"/>
    <w:rsid w:val="003270E4"/>
    <w:rsid w:val="00330F5C"/>
    <w:rsid w:val="0033404C"/>
    <w:rsid w:val="003366C9"/>
    <w:rsid w:val="003371B0"/>
    <w:rsid w:val="00340825"/>
    <w:rsid w:val="00340DF1"/>
    <w:rsid w:val="00341902"/>
    <w:rsid w:val="003419C9"/>
    <w:rsid w:val="003433DE"/>
    <w:rsid w:val="00343A2B"/>
    <w:rsid w:val="003445BA"/>
    <w:rsid w:val="003451C4"/>
    <w:rsid w:val="003458EF"/>
    <w:rsid w:val="0034602C"/>
    <w:rsid w:val="0034662A"/>
    <w:rsid w:val="00350C5C"/>
    <w:rsid w:val="00351770"/>
    <w:rsid w:val="003517F9"/>
    <w:rsid w:val="00353D2A"/>
    <w:rsid w:val="00354F3C"/>
    <w:rsid w:val="0035620E"/>
    <w:rsid w:val="003565E9"/>
    <w:rsid w:val="00356BBA"/>
    <w:rsid w:val="00360061"/>
    <w:rsid w:val="00361B4B"/>
    <w:rsid w:val="0036249D"/>
    <w:rsid w:val="003624C4"/>
    <w:rsid w:val="0036322A"/>
    <w:rsid w:val="00363D0A"/>
    <w:rsid w:val="00363ECB"/>
    <w:rsid w:val="003642BB"/>
    <w:rsid w:val="0036446E"/>
    <w:rsid w:val="003654AC"/>
    <w:rsid w:val="003654D0"/>
    <w:rsid w:val="0036686A"/>
    <w:rsid w:val="0036703E"/>
    <w:rsid w:val="00367198"/>
    <w:rsid w:val="0036750E"/>
    <w:rsid w:val="00367CC1"/>
    <w:rsid w:val="00370591"/>
    <w:rsid w:val="003710CF"/>
    <w:rsid w:val="00371A61"/>
    <w:rsid w:val="00371A90"/>
    <w:rsid w:val="00372A21"/>
    <w:rsid w:val="00372D94"/>
    <w:rsid w:val="0037355B"/>
    <w:rsid w:val="0037358A"/>
    <w:rsid w:val="00374302"/>
    <w:rsid w:val="00374BE9"/>
    <w:rsid w:val="00374EF2"/>
    <w:rsid w:val="003750CF"/>
    <w:rsid w:val="003750F6"/>
    <w:rsid w:val="003752E9"/>
    <w:rsid w:val="00375370"/>
    <w:rsid w:val="0037555A"/>
    <w:rsid w:val="003760FC"/>
    <w:rsid w:val="00381BB8"/>
    <w:rsid w:val="00382133"/>
    <w:rsid w:val="003821B8"/>
    <w:rsid w:val="00382613"/>
    <w:rsid w:val="00382CCE"/>
    <w:rsid w:val="0038365C"/>
    <w:rsid w:val="0038369B"/>
    <w:rsid w:val="00383ABB"/>
    <w:rsid w:val="00383B78"/>
    <w:rsid w:val="00383E7B"/>
    <w:rsid w:val="003844CC"/>
    <w:rsid w:val="00385A9D"/>
    <w:rsid w:val="00386D5B"/>
    <w:rsid w:val="003902B1"/>
    <w:rsid w:val="003944B5"/>
    <w:rsid w:val="0039550D"/>
    <w:rsid w:val="00395F7B"/>
    <w:rsid w:val="00396896"/>
    <w:rsid w:val="00396DEB"/>
    <w:rsid w:val="00396FD0"/>
    <w:rsid w:val="00397BC8"/>
    <w:rsid w:val="003A1A7A"/>
    <w:rsid w:val="003A2392"/>
    <w:rsid w:val="003A2831"/>
    <w:rsid w:val="003A288B"/>
    <w:rsid w:val="003A38CB"/>
    <w:rsid w:val="003A3C5B"/>
    <w:rsid w:val="003A3DF2"/>
    <w:rsid w:val="003A3ED1"/>
    <w:rsid w:val="003A61D0"/>
    <w:rsid w:val="003A6459"/>
    <w:rsid w:val="003A6A8C"/>
    <w:rsid w:val="003A6B6A"/>
    <w:rsid w:val="003A7B85"/>
    <w:rsid w:val="003B1605"/>
    <w:rsid w:val="003B22AE"/>
    <w:rsid w:val="003B348C"/>
    <w:rsid w:val="003B3C99"/>
    <w:rsid w:val="003B3EB9"/>
    <w:rsid w:val="003B4034"/>
    <w:rsid w:val="003B470C"/>
    <w:rsid w:val="003B593D"/>
    <w:rsid w:val="003B5B61"/>
    <w:rsid w:val="003B5E85"/>
    <w:rsid w:val="003B6B11"/>
    <w:rsid w:val="003C1654"/>
    <w:rsid w:val="003C170F"/>
    <w:rsid w:val="003C1B5F"/>
    <w:rsid w:val="003C265C"/>
    <w:rsid w:val="003C433B"/>
    <w:rsid w:val="003C5826"/>
    <w:rsid w:val="003C7D19"/>
    <w:rsid w:val="003D09A6"/>
    <w:rsid w:val="003D116C"/>
    <w:rsid w:val="003D17A5"/>
    <w:rsid w:val="003D1828"/>
    <w:rsid w:val="003D1DE4"/>
    <w:rsid w:val="003D2422"/>
    <w:rsid w:val="003D2E4A"/>
    <w:rsid w:val="003D39A1"/>
    <w:rsid w:val="003D3FBF"/>
    <w:rsid w:val="003D4172"/>
    <w:rsid w:val="003D4232"/>
    <w:rsid w:val="003D426E"/>
    <w:rsid w:val="003D42DA"/>
    <w:rsid w:val="003D4A30"/>
    <w:rsid w:val="003D4ABA"/>
    <w:rsid w:val="003D5CE9"/>
    <w:rsid w:val="003D7370"/>
    <w:rsid w:val="003D775C"/>
    <w:rsid w:val="003D79BB"/>
    <w:rsid w:val="003D7AA8"/>
    <w:rsid w:val="003D7B26"/>
    <w:rsid w:val="003D7C98"/>
    <w:rsid w:val="003E0284"/>
    <w:rsid w:val="003E0543"/>
    <w:rsid w:val="003E08F8"/>
    <w:rsid w:val="003E1680"/>
    <w:rsid w:val="003E18B9"/>
    <w:rsid w:val="003E1C05"/>
    <w:rsid w:val="003E1C2E"/>
    <w:rsid w:val="003E22DA"/>
    <w:rsid w:val="003E2634"/>
    <w:rsid w:val="003E2845"/>
    <w:rsid w:val="003E3EEE"/>
    <w:rsid w:val="003E44E7"/>
    <w:rsid w:val="003E5288"/>
    <w:rsid w:val="003E5C95"/>
    <w:rsid w:val="003E62E9"/>
    <w:rsid w:val="003E63FC"/>
    <w:rsid w:val="003E6BCD"/>
    <w:rsid w:val="003E767A"/>
    <w:rsid w:val="003E7F51"/>
    <w:rsid w:val="003F293C"/>
    <w:rsid w:val="003F331B"/>
    <w:rsid w:val="003F363B"/>
    <w:rsid w:val="003F4156"/>
    <w:rsid w:val="003F5367"/>
    <w:rsid w:val="003F69E1"/>
    <w:rsid w:val="00400B29"/>
    <w:rsid w:val="00401CB0"/>
    <w:rsid w:val="00401FBA"/>
    <w:rsid w:val="00403339"/>
    <w:rsid w:val="00403F02"/>
    <w:rsid w:val="0040504B"/>
    <w:rsid w:val="0040536A"/>
    <w:rsid w:val="004058B9"/>
    <w:rsid w:val="00405BE7"/>
    <w:rsid w:val="004061F2"/>
    <w:rsid w:val="00406639"/>
    <w:rsid w:val="00407B95"/>
    <w:rsid w:val="00410708"/>
    <w:rsid w:val="0041075C"/>
    <w:rsid w:val="00410EC7"/>
    <w:rsid w:val="00411B39"/>
    <w:rsid w:val="00412D7C"/>
    <w:rsid w:val="00413560"/>
    <w:rsid w:val="00413A1E"/>
    <w:rsid w:val="00414476"/>
    <w:rsid w:val="004147BD"/>
    <w:rsid w:val="00414C2E"/>
    <w:rsid w:val="00414C3C"/>
    <w:rsid w:val="004150CC"/>
    <w:rsid w:val="004151CF"/>
    <w:rsid w:val="00415410"/>
    <w:rsid w:val="00416364"/>
    <w:rsid w:val="00417179"/>
    <w:rsid w:val="004175B9"/>
    <w:rsid w:val="00420AA6"/>
    <w:rsid w:val="00420B9F"/>
    <w:rsid w:val="00421996"/>
    <w:rsid w:val="00421B9C"/>
    <w:rsid w:val="00421F28"/>
    <w:rsid w:val="00421F6B"/>
    <w:rsid w:val="00422194"/>
    <w:rsid w:val="00422260"/>
    <w:rsid w:val="0042288E"/>
    <w:rsid w:val="0042413F"/>
    <w:rsid w:val="004246B8"/>
    <w:rsid w:val="00425134"/>
    <w:rsid w:val="0042539E"/>
    <w:rsid w:val="00425A70"/>
    <w:rsid w:val="004262AB"/>
    <w:rsid w:val="0042675A"/>
    <w:rsid w:val="00426772"/>
    <w:rsid w:val="00427032"/>
    <w:rsid w:val="00427703"/>
    <w:rsid w:val="00430255"/>
    <w:rsid w:val="00431113"/>
    <w:rsid w:val="004319F8"/>
    <w:rsid w:val="00431E55"/>
    <w:rsid w:val="00431EF5"/>
    <w:rsid w:val="004321F6"/>
    <w:rsid w:val="004326E6"/>
    <w:rsid w:val="00432B99"/>
    <w:rsid w:val="00432C2E"/>
    <w:rsid w:val="00432E23"/>
    <w:rsid w:val="00433044"/>
    <w:rsid w:val="004340C3"/>
    <w:rsid w:val="00434334"/>
    <w:rsid w:val="00434727"/>
    <w:rsid w:val="00434AF9"/>
    <w:rsid w:val="00434B73"/>
    <w:rsid w:val="00434CC8"/>
    <w:rsid w:val="00435160"/>
    <w:rsid w:val="004357F2"/>
    <w:rsid w:val="004375B9"/>
    <w:rsid w:val="00437B27"/>
    <w:rsid w:val="00440737"/>
    <w:rsid w:val="00441410"/>
    <w:rsid w:val="004428D0"/>
    <w:rsid w:val="004430E1"/>
    <w:rsid w:val="004434E6"/>
    <w:rsid w:val="00444316"/>
    <w:rsid w:val="004443A7"/>
    <w:rsid w:val="0044442C"/>
    <w:rsid w:val="00445941"/>
    <w:rsid w:val="00445CAE"/>
    <w:rsid w:val="004464EB"/>
    <w:rsid w:val="004478D4"/>
    <w:rsid w:val="00447D26"/>
    <w:rsid w:val="00450907"/>
    <w:rsid w:val="0045091C"/>
    <w:rsid w:val="00450AC2"/>
    <w:rsid w:val="00450E00"/>
    <w:rsid w:val="00451D8E"/>
    <w:rsid w:val="0045372F"/>
    <w:rsid w:val="00454A8E"/>
    <w:rsid w:val="00454C44"/>
    <w:rsid w:val="00455D45"/>
    <w:rsid w:val="00457ADD"/>
    <w:rsid w:val="0046030A"/>
    <w:rsid w:val="00460C09"/>
    <w:rsid w:val="004612B4"/>
    <w:rsid w:val="004616EC"/>
    <w:rsid w:val="00462FB7"/>
    <w:rsid w:val="00463D12"/>
    <w:rsid w:val="00464595"/>
    <w:rsid w:val="00464ADB"/>
    <w:rsid w:val="00464B01"/>
    <w:rsid w:val="00465413"/>
    <w:rsid w:val="00465567"/>
    <w:rsid w:val="00465623"/>
    <w:rsid w:val="004668C4"/>
    <w:rsid w:val="0047049C"/>
    <w:rsid w:val="00470947"/>
    <w:rsid w:val="00470F09"/>
    <w:rsid w:val="00472A79"/>
    <w:rsid w:val="004734A8"/>
    <w:rsid w:val="00473BEB"/>
    <w:rsid w:val="00473F19"/>
    <w:rsid w:val="00474402"/>
    <w:rsid w:val="00475E22"/>
    <w:rsid w:val="0047728D"/>
    <w:rsid w:val="004773D1"/>
    <w:rsid w:val="00477999"/>
    <w:rsid w:val="00477CA9"/>
    <w:rsid w:val="00477DA2"/>
    <w:rsid w:val="0048088E"/>
    <w:rsid w:val="00481547"/>
    <w:rsid w:val="0048158A"/>
    <w:rsid w:val="00481601"/>
    <w:rsid w:val="00482506"/>
    <w:rsid w:val="00482720"/>
    <w:rsid w:val="004828B1"/>
    <w:rsid w:val="0048325B"/>
    <w:rsid w:val="004835E7"/>
    <w:rsid w:val="00483939"/>
    <w:rsid w:val="0048518E"/>
    <w:rsid w:val="004863DA"/>
    <w:rsid w:val="004864ED"/>
    <w:rsid w:val="004867E2"/>
    <w:rsid w:val="00486E71"/>
    <w:rsid w:val="004870EC"/>
    <w:rsid w:val="004879E5"/>
    <w:rsid w:val="0049101C"/>
    <w:rsid w:val="00491B3A"/>
    <w:rsid w:val="00491C33"/>
    <w:rsid w:val="00492CFD"/>
    <w:rsid w:val="004932D6"/>
    <w:rsid w:val="00493808"/>
    <w:rsid w:val="004946B4"/>
    <w:rsid w:val="004947C1"/>
    <w:rsid w:val="00494DD5"/>
    <w:rsid w:val="00494E02"/>
    <w:rsid w:val="0049611F"/>
    <w:rsid w:val="004962D2"/>
    <w:rsid w:val="004965EC"/>
    <w:rsid w:val="004A0DA1"/>
    <w:rsid w:val="004A1631"/>
    <w:rsid w:val="004A1B69"/>
    <w:rsid w:val="004A1C11"/>
    <w:rsid w:val="004A2ACA"/>
    <w:rsid w:val="004A34BB"/>
    <w:rsid w:val="004A35C7"/>
    <w:rsid w:val="004A52E9"/>
    <w:rsid w:val="004A5661"/>
    <w:rsid w:val="004A57DA"/>
    <w:rsid w:val="004A6313"/>
    <w:rsid w:val="004A6597"/>
    <w:rsid w:val="004A73F4"/>
    <w:rsid w:val="004A77AC"/>
    <w:rsid w:val="004A7848"/>
    <w:rsid w:val="004A7BE7"/>
    <w:rsid w:val="004B1513"/>
    <w:rsid w:val="004B1CB4"/>
    <w:rsid w:val="004B22B5"/>
    <w:rsid w:val="004B294C"/>
    <w:rsid w:val="004B2F18"/>
    <w:rsid w:val="004B3938"/>
    <w:rsid w:val="004B3B79"/>
    <w:rsid w:val="004B3DDB"/>
    <w:rsid w:val="004B3F4D"/>
    <w:rsid w:val="004B4249"/>
    <w:rsid w:val="004B44B9"/>
    <w:rsid w:val="004B44FD"/>
    <w:rsid w:val="004B4D6B"/>
    <w:rsid w:val="004B5608"/>
    <w:rsid w:val="004B5953"/>
    <w:rsid w:val="004B5CFC"/>
    <w:rsid w:val="004B6457"/>
    <w:rsid w:val="004B7017"/>
    <w:rsid w:val="004B74BD"/>
    <w:rsid w:val="004B774D"/>
    <w:rsid w:val="004B7A35"/>
    <w:rsid w:val="004C00B3"/>
    <w:rsid w:val="004C068B"/>
    <w:rsid w:val="004C3199"/>
    <w:rsid w:val="004C3B29"/>
    <w:rsid w:val="004C4306"/>
    <w:rsid w:val="004C47A3"/>
    <w:rsid w:val="004C4AED"/>
    <w:rsid w:val="004C604B"/>
    <w:rsid w:val="004C64A4"/>
    <w:rsid w:val="004C70C5"/>
    <w:rsid w:val="004C73AB"/>
    <w:rsid w:val="004C7E61"/>
    <w:rsid w:val="004D0C76"/>
    <w:rsid w:val="004D2C2D"/>
    <w:rsid w:val="004D3A1D"/>
    <w:rsid w:val="004D4009"/>
    <w:rsid w:val="004D40EA"/>
    <w:rsid w:val="004D4D84"/>
    <w:rsid w:val="004D5A83"/>
    <w:rsid w:val="004D7227"/>
    <w:rsid w:val="004D72F9"/>
    <w:rsid w:val="004D7CEA"/>
    <w:rsid w:val="004D7FBA"/>
    <w:rsid w:val="004E0226"/>
    <w:rsid w:val="004E0E7F"/>
    <w:rsid w:val="004E0EB8"/>
    <w:rsid w:val="004E1209"/>
    <w:rsid w:val="004E1CD3"/>
    <w:rsid w:val="004E2ADC"/>
    <w:rsid w:val="004E3154"/>
    <w:rsid w:val="004E3736"/>
    <w:rsid w:val="004E3ABB"/>
    <w:rsid w:val="004E43B2"/>
    <w:rsid w:val="004E4792"/>
    <w:rsid w:val="004E53B4"/>
    <w:rsid w:val="004E59F5"/>
    <w:rsid w:val="004E6F80"/>
    <w:rsid w:val="004E7AF5"/>
    <w:rsid w:val="004F1D02"/>
    <w:rsid w:val="004F261A"/>
    <w:rsid w:val="004F2679"/>
    <w:rsid w:val="004F2F21"/>
    <w:rsid w:val="004F3B20"/>
    <w:rsid w:val="004F449D"/>
    <w:rsid w:val="004F63F3"/>
    <w:rsid w:val="004F6913"/>
    <w:rsid w:val="004F6DD1"/>
    <w:rsid w:val="004F7865"/>
    <w:rsid w:val="005003CB"/>
    <w:rsid w:val="005003FE"/>
    <w:rsid w:val="00500FE5"/>
    <w:rsid w:val="005010B0"/>
    <w:rsid w:val="00501729"/>
    <w:rsid w:val="0050207A"/>
    <w:rsid w:val="0050219B"/>
    <w:rsid w:val="0050330B"/>
    <w:rsid w:val="0050356B"/>
    <w:rsid w:val="005036B4"/>
    <w:rsid w:val="00503F17"/>
    <w:rsid w:val="0050529E"/>
    <w:rsid w:val="00505A70"/>
    <w:rsid w:val="00506928"/>
    <w:rsid w:val="005078E6"/>
    <w:rsid w:val="00507A7E"/>
    <w:rsid w:val="00510707"/>
    <w:rsid w:val="00510922"/>
    <w:rsid w:val="00510CCA"/>
    <w:rsid w:val="00510F54"/>
    <w:rsid w:val="00511048"/>
    <w:rsid w:val="005113AA"/>
    <w:rsid w:val="00511F11"/>
    <w:rsid w:val="00513C1F"/>
    <w:rsid w:val="00514774"/>
    <w:rsid w:val="00514948"/>
    <w:rsid w:val="005152B5"/>
    <w:rsid w:val="00516543"/>
    <w:rsid w:val="00516ACE"/>
    <w:rsid w:val="00516F40"/>
    <w:rsid w:val="00520E1D"/>
    <w:rsid w:val="00520F9B"/>
    <w:rsid w:val="00521319"/>
    <w:rsid w:val="005223C1"/>
    <w:rsid w:val="00522BC8"/>
    <w:rsid w:val="00522C8E"/>
    <w:rsid w:val="00523C28"/>
    <w:rsid w:val="00524227"/>
    <w:rsid w:val="005246DB"/>
    <w:rsid w:val="00524B5A"/>
    <w:rsid w:val="005252F1"/>
    <w:rsid w:val="00525908"/>
    <w:rsid w:val="0052797D"/>
    <w:rsid w:val="00530100"/>
    <w:rsid w:val="00531ECE"/>
    <w:rsid w:val="0053219C"/>
    <w:rsid w:val="00536042"/>
    <w:rsid w:val="00536BD1"/>
    <w:rsid w:val="00536F42"/>
    <w:rsid w:val="00537182"/>
    <w:rsid w:val="00537241"/>
    <w:rsid w:val="00542743"/>
    <w:rsid w:val="00542C2D"/>
    <w:rsid w:val="00543069"/>
    <w:rsid w:val="00543F52"/>
    <w:rsid w:val="005445DA"/>
    <w:rsid w:val="005459CD"/>
    <w:rsid w:val="00546D9B"/>
    <w:rsid w:val="00547FD2"/>
    <w:rsid w:val="0055049E"/>
    <w:rsid w:val="00550729"/>
    <w:rsid w:val="00551985"/>
    <w:rsid w:val="00552548"/>
    <w:rsid w:val="0055286A"/>
    <w:rsid w:val="00552BD3"/>
    <w:rsid w:val="00553F15"/>
    <w:rsid w:val="0055494A"/>
    <w:rsid w:val="00554CF3"/>
    <w:rsid w:val="00554F6C"/>
    <w:rsid w:val="00555109"/>
    <w:rsid w:val="0055694F"/>
    <w:rsid w:val="005578B0"/>
    <w:rsid w:val="00557BC4"/>
    <w:rsid w:val="005659CF"/>
    <w:rsid w:val="00565A84"/>
    <w:rsid w:val="00565E00"/>
    <w:rsid w:val="00565ED1"/>
    <w:rsid w:val="005664D4"/>
    <w:rsid w:val="0056696F"/>
    <w:rsid w:val="00570F09"/>
    <w:rsid w:val="00572269"/>
    <w:rsid w:val="0057244A"/>
    <w:rsid w:val="005729D1"/>
    <w:rsid w:val="00573107"/>
    <w:rsid w:val="00573C01"/>
    <w:rsid w:val="00573C38"/>
    <w:rsid w:val="00574354"/>
    <w:rsid w:val="00575157"/>
    <w:rsid w:val="00575A45"/>
    <w:rsid w:val="00575D8D"/>
    <w:rsid w:val="00576972"/>
    <w:rsid w:val="00576B2D"/>
    <w:rsid w:val="00577107"/>
    <w:rsid w:val="005773D7"/>
    <w:rsid w:val="00577416"/>
    <w:rsid w:val="00577971"/>
    <w:rsid w:val="00583699"/>
    <w:rsid w:val="00584051"/>
    <w:rsid w:val="005845E5"/>
    <w:rsid w:val="00584F34"/>
    <w:rsid w:val="00585CDD"/>
    <w:rsid w:val="005864F2"/>
    <w:rsid w:val="00587058"/>
    <w:rsid w:val="0058748A"/>
    <w:rsid w:val="00590440"/>
    <w:rsid w:val="00590DE7"/>
    <w:rsid w:val="00591847"/>
    <w:rsid w:val="00591957"/>
    <w:rsid w:val="00591D91"/>
    <w:rsid w:val="005948B9"/>
    <w:rsid w:val="00594F08"/>
    <w:rsid w:val="00596B90"/>
    <w:rsid w:val="005978FF"/>
    <w:rsid w:val="00597BF9"/>
    <w:rsid w:val="00597D42"/>
    <w:rsid w:val="005A1D11"/>
    <w:rsid w:val="005A1D4A"/>
    <w:rsid w:val="005A245C"/>
    <w:rsid w:val="005A373D"/>
    <w:rsid w:val="005A4592"/>
    <w:rsid w:val="005A57E7"/>
    <w:rsid w:val="005A6246"/>
    <w:rsid w:val="005A651E"/>
    <w:rsid w:val="005A7D03"/>
    <w:rsid w:val="005A7F94"/>
    <w:rsid w:val="005B0279"/>
    <w:rsid w:val="005B0446"/>
    <w:rsid w:val="005B05ED"/>
    <w:rsid w:val="005B0BD2"/>
    <w:rsid w:val="005B2553"/>
    <w:rsid w:val="005B43C1"/>
    <w:rsid w:val="005B4F4A"/>
    <w:rsid w:val="005B5857"/>
    <w:rsid w:val="005B6056"/>
    <w:rsid w:val="005B7406"/>
    <w:rsid w:val="005B7AF0"/>
    <w:rsid w:val="005B7FFB"/>
    <w:rsid w:val="005C1B83"/>
    <w:rsid w:val="005C2B41"/>
    <w:rsid w:val="005C2D55"/>
    <w:rsid w:val="005C2FD2"/>
    <w:rsid w:val="005C3083"/>
    <w:rsid w:val="005C33CC"/>
    <w:rsid w:val="005C346B"/>
    <w:rsid w:val="005C37AA"/>
    <w:rsid w:val="005C45F2"/>
    <w:rsid w:val="005C47FC"/>
    <w:rsid w:val="005C57DE"/>
    <w:rsid w:val="005C5B2C"/>
    <w:rsid w:val="005C79FF"/>
    <w:rsid w:val="005D044D"/>
    <w:rsid w:val="005D0696"/>
    <w:rsid w:val="005D0ABD"/>
    <w:rsid w:val="005D0DFF"/>
    <w:rsid w:val="005D0E1C"/>
    <w:rsid w:val="005D18AD"/>
    <w:rsid w:val="005D1BBB"/>
    <w:rsid w:val="005D2141"/>
    <w:rsid w:val="005D26B4"/>
    <w:rsid w:val="005D2C8E"/>
    <w:rsid w:val="005D30C1"/>
    <w:rsid w:val="005D3D86"/>
    <w:rsid w:val="005D5D74"/>
    <w:rsid w:val="005D5D80"/>
    <w:rsid w:val="005D61B1"/>
    <w:rsid w:val="005D6B7E"/>
    <w:rsid w:val="005D7BE8"/>
    <w:rsid w:val="005E1538"/>
    <w:rsid w:val="005E16D6"/>
    <w:rsid w:val="005E3848"/>
    <w:rsid w:val="005E598C"/>
    <w:rsid w:val="005E6609"/>
    <w:rsid w:val="005E6CBC"/>
    <w:rsid w:val="005E73C0"/>
    <w:rsid w:val="005E78A0"/>
    <w:rsid w:val="005F049F"/>
    <w:rsid w:val="005F193D"/>
    <w:rsid w:val="005F2595"/>
    <w:rsid w:val="005F2706"/>
    <w:rsid w:val="005F276E"/>
    <w:rsid w:val="005F2E9E"/>
    <w:rsid w:val="005F3E95"/>
    <w:rsid w:val="005F5A80"/>
    <w:rsid w:val="005F6504"/>
    <w:rsid w:val="005F6A8F"/>
    <w:rsid w:val="005F6D62"/>
    <w:rsid w:val="00600389"/>
    <w:rsid w:val="00600E9B"/>
    <w:rsid w:val="0060108A"/>
    <w:rsid w:val="0060109F"/>
    <w:rsid w:val="00601A68"/>
    <w:rsid w:val="00602030"/>
    <w:rsid w:val="00603DB9"/>
    <w:rsid w:val="00603F8A"/>
    <w:rsid w:val="00604259"/>
    <w:rsid w:val="00604399"/>
    <w:rsid w:val="0060491D"/>
    <w:rsid w:val="006073F8"/>
    <w:rsid w:val="00607669"/>
    <w:rsid w:val="00607AFD"/>
    <w:rsid w:val="00607E08"/>
    <w:rsid w:val="00612116"/>
    <w:rsid w:val="00612F97"/>
    <w:rsid w:val="006132EC"/>
    <w:rsid w:val="0061345D"/>
    <w:rsid w:val="00613B20"/>
    <w:rsid w:val="006147AC"/>
    <w:rsid w:val="0061561D"/>
    <w:rsid w:val="00616294"/>
    <w:rsid w:val="0061637B"/>
    <w:rsid w:val="00616504"/>
    <w:rsid w:val="00616802"/>
    <w:rsid w:val="006168E1"/>
    <w:rsid w:val="00616CDA"/>
    <w:rsid w:val="00617E12"/>
    <w:rsid w:val="006208E4"/>
    <w:rsid w:val="00621477"/>
    <w:rsid w:val="00621588"/>
    <w:rsid w:val="00622634"/>
    <w:rsid w:val="006228CD"/>
    <w:rsid w:val="0062304B"/>
    <w:rsid w:val="00623147"/>
    <w:rsid w:val="00625885"/>
    <w:rsid w:val="0062684E"/>
    <w:rsid w:val="0063158F"/>
    <w:rsid w:val="00631623"/>
    <w:rsid w:val="0063181C"/>
    <w:rsid w:val="00631D44"/>
    <w:rsid w:val="00631D6B"/>
    <w:rsid w:val="00632080"/>
    <w:rsid w:val="0063246F"/>
    <w:rsid w:val="00632493"/>
    <w:rsid w:val="00632E31"/>
    <w:rsid w:val="00632FCA"/>
    <w:rsid w:val="006330A1"/>
    <w:rsid w:val="0063479F"/>
    <w:rsid w:val="006353F0"/>
    <w:rsid w:val="006355E8"/>
    <w:rsid w:val="006364A1"/>
    <w:rsid w:val="006367D6"/>
    <w:rsid w:val="00636BB7"/>
    <w:rsid w:val="006370B5"/>
    <w:rsid w:val="006374AD"/>
    <w:rsid w:val="00637BFD"/>
    <w:rsid w:val="0064191A"/>
    <w:rsid w:val="00641AA2"/>
    <w:rsid w:val="00641C4E"/>
    <w:rsid w:val="00641C7F"/>
    <w:rsid w:val="00641DC2"/>
    <w:rsid w:val="00641E7A"/>
    <w:rsid w:val="00641EA0"/>
    <w:rsid w:val="00642A1D"/>
    <w:rsid w:val="00646519"/>
    <w:rsid w:val="00646EC9"/>
    <w:rsid w:val="006471CC"/>
    <w:rsid w:val="0064784F"/>
    <w:rsid w:val="00647A99"/>
    <w:rsid w:val="006500D9"/>
    <w:rsid w:val="0065079F"/>
    <w:rsid w:val="00650C53"/>
    <w:rsid w:val="00650FFD"/>
    <w:rsid w:val="0065217A"/>
    <w:rsid w:val="00652D54"/>
    <w:rsid w:val="00652FFC"/>
    <w:rsid w:val="006530EE"/>
    <w:rsid w:val="00653762"/>
    <w:rsid w:val="0065379F"/>
    <w:rsid w:val="00653D5D"/>
    <w:rsid w:val="00655E9C"/>
    <w:rsid w:val="006566F4"/>
    <w:rsid w:val="0065780C"/>
    <w:rsid w:val="0065784E"/>
    <w:rsid w:val="006579A0"/>
    <w:rsid w:val="006605D0"/>
    <w:rsid w:val="00660DEE"/>
    <w:rsid w:val="00661300"/>
    <w:rsid w:val="00661614"/>
    <w:rsid w:val="00661C6B"/>
    <w:rsid w:val="00661FA5"/>
    <w:rsid w:val="00662585"/>
    <w:rsid w:val="00662CB3"/>
    <w:rsid w:val="00663B84"/>
    <w:rsid w:val="00664FD6"/>
    <w:rsid w:val="006662DE"/>
    <w:rsid w:val="00666640"/>
    <w:rsid w:val="0067099F"/>
    <w:rsid w:val="00670FD0"/>
    <w:rsid w:val="00671017"/>
    <w:rsid w:val="006725BF"/>
    <w:rsid w:val="0067299B"/>
    <w:rsid w:val="00672DE4"/>
    <w:rsid w:val="00672DFA"/>
    <w:rsid w:val="006743D4"/>
    <w:rsid w:val="00674E42"/>
    <w:rsid w:val="0067539F"/>
    <w:rsid w:val="00676664"/>
    <w:rsid w:val="00680091"/>
    <w:rsid w:val="00681312"/>
    <w:rsid w:val="006813D2"/>
    <w:rsid w:val="006817E1"/>
    <w:rsid w:val="00682112"/>
    <w:rsid w:val="00682A6A"/>
    <w:rsid w:val="00683251"/>
    <w:rsid w:val="00685702"/>
    <w:rsid w:val="00685CF4"/>
    <w:rsid w:val="006863F7"/>
    <w:rsid w:val="00686723"/>
    <w:rsid w:val="00686957"/>
    <w:rsid w:val="006872BA"/>
    <w:rsid w:val="00687B7D"/>
    <w:rsid w:val="00687DCF"/>
    <w:rsid w:val="00687EB2"/>
    <w:rsid w:val="006903DF"/>
    <w:rsid w:val="00691648"/>
    <w:rsid w:val="006917D7"/>
    <w:rsid w:val="006921D6"/>
    <w:rsid w:val="00692529"/>
    <w:rsid w:val="00693240"/>
    <w:rsid w:val="00693E74"/>
    <w:rsid w:val="00694F44"/>
    <w:rsid w:val="0069659D"/>
    <w:rsid w:val="00696D62"/>
    <w:rsid w:val="006A124E"/>
    <w:rsid w:val="006A16D4"/>
    <w:rsid w:val="006A223F"/>
    <w:rsid w:val="006A2696"/>
    <w:rsid w:val="006A34DC"/>
    <w:rsid w:val="006A3605"/>
    <w:rsid w:val="006A4B23"/>
    <w:rsid w:val="006A5905"/>
    <w:rsid w:val="006A5F2E"/>
    <w:rsid w:val="006A6B3F"/>
    <w:rsid w:val="006A6E4B"/>
    <w:rsid w:val="006A6EEB"/>
    <w:rsid w:val="006A7E5F"/>
    <w:rsid w:val="006B247D"/>
    <w:rsid w:val="006B261B"/>
    <w:rsid w:val="006B26F3"/>
    <w:rsid w:val="006B2C90"/>
    <w:rsid w:val="006B3392"/>
    <w:rsid w:val="006B6DD0"/>
    <w:rsid w:val="006B6FF4"/>
    <w:rsid w:val="006C0DE1"/>
    <w:rsid w:val="006C1E73"/>
    <w:rsid w:val="006C264D"/>
    <w:rsid w:val="006C2A8E"/>
    <w:rsid w:val="006C3170"/>
    <w:rsid w:val="006C341B"/>
    <w:rsid w:val="006C35B9"/>
    <w:rsid w:val="006C424D"/>
    <w:rsid w:val="006C5CBC"/>
    <w:rsid w:val="006C7919"/>
    <w:rsid w:val="006D084C"/>
    <w:rsid w:val="006D0FC9"/>
    <w:rsid w:val="006D181A"/>
    <w:rsid w:val="006D1FDD"/>
    <w:rsid w:val="006D207E"/>
    <w:rsid w:val="006D3083"/>
    <w:rsid w:val="006D3567"/>
    <w:rsid w:val="006D3C7D"/>
    <w:rsid w:val="006D44A7"/>
    <w:rsid w:val="006D46A6"/>
    <w:rsid w:val="006D4BE4"/>
    <w:rsid w:val="006D4E12"/>
    <w:rsid w:val="006D50C2"/>
    <w:rsid w:val="006D5D5F"/>
    <w:rsid w:val="006D6840"/>
    <w:rsid w:val="006E1215"/>
    <w:rsid w:val="006E27F8"/>
    <w:rsid w:val="006E5653"/>
    <w:rsid w:val="006E5ECC"/>
    <w:rsid w:val="006E6018"/>
    <w:rsid w:val="006E6679"/>
    <w:rsid w:val="006E7582"/>
    <w:rsid w:val="006E75F1"/>
    <w:rsid w:val="006E7D79"/>
    <w:rsid w:val="006F0903"/>
    <w:rsid w:val="006F1B1D"/>
    <w:rsid w:val="006F24E6"/>
    <w:rsid w:val="006F2BB8"/>
    <w:rsid w:val="006F306C"/>
    <w:rsid w:val="006F311B"/>
    <w:rsid w:val="006F4212"/>
    <w:rsid w:val="006F4985"/>
    <w:rsid w:val="006F580A"/>
    <w:rsid w:val="006F5E7E"/>
    <w:rsid w:val="006F63A5"/>
    <w:rsid w:val="006F76DF"/>
    <w:rsid w:val="00700EF1"/>
    <w:rsid w:val="0070112A"/>
    <w:rsid w:val="0070142B"/>
    <w:rsid w:val="00701D2F"/>
    <w:rsid w:val="0070276E"/>
    <w:rsid w:val="00702E50"/>
    <w:rsid w:val="00702F8F"/>
    <w:rsid w:val="00703BBE"/>
    <w:rsid w:val="00707D9D"/>
    <w:rsid w:val="0071022C"/>
    <w:rsid w:val="00710C2F"/>
    <w:rsid w:val="0071141F"/>
    <w:rsid w:val="00711A36"/>
    <w:rsid w:val="00712E54"/>
    <w:rsid w:val="00712EBF"/>
    <w:rsid w:val="007130A5"/>
    <w:rsid w:val="00714C03"/>
    <w:rsid w:val="0071529C"/>
    <w:rsid w:val="00715387"/>
    <w:rsid w:val="00715563"/>
    <w:rsid w:val="00715F56"/>
    <w:rsid w:val="0071725B"/>
    <w:rsid w:val="007172AD"/>
    <w:rsid w:val="00717B66"/>
    <w:rsid w:val="00717ED4"/>
    <w:rsid w:val="0072107D"/>
    <w:rsid w:val="007211CA"/>
    <w:rsid w:val="00721CD9"/>
    <w:rsid w:val="00722B1B"/>
    <w:rsid w:val="007238C7"/>
    <w:rsid w:val="0072416F"/>
    <w:rsid w:val="0072427B"/>
    <w:rsid w:val="00724CAB"/>
    <w:rsid w:val="00725E4C"/>
    <w:rsid w:val="0072607E"/>
    <w:rsid w:val="0072665E"/>
    <w:rsid w:val="00726A5A"/>
    <w:rsid w:val="00726B0F"/>
    <w:rsid w:val="00726D84"/>
    <w:rsid w:val="0072732B"/>
    <w:rsid w:val="00727C94"/>
    <w:rsid w:val="00730033"/>
    <w:rsid w:val="007308F1"/>
    <w:rsid w:val="007316D8"/>
    <w:rsid w:val="00731BDE"/>
    <w:rsid w:val="00731EAE"/>
    <w:rsid w:val="00732660"/>
    <w:rsid w:val="0073287B"/>
    <w:rsid w:val="007348B1"/>
    <w:rsid w:val="00735033"/>
    <w:rsid w:val="00735328"/>
    <w:rsid w:val="00736061"/>
    <w:rsid w:val="0073685B"/>
    <w:rsid w:val="0073775A"/>
    <w:rsid w:val="00737A4C"/>
    <w:rsid w:val="00740483"/>
    <w:rsid w:val="007409C0"/>
    <w:rsid w:val="00741154"/>
    <w:rsid w:val="007413B3"/>
    <w:rsid w:val="00743B14"/>
    <w:rsid w:val="0074521E"/>
    <w:rsid w:val="0074573C"/>
    <w:rsid w:val="007469F4"/>
    <w:rsid w:val="00747A85"/>
    <w:rsid w:val="00750524"/>
    <w:rsid w:val="0075069B"/>
    <w:rsid w:val="00750A33"/>
    <w:rsid w:val="00750AE0"/>
    <w:rsid w:val="00751614"/>
    <w:rsid w:val="007518C4"/>
    <w:rsid w:val="00751F4F"/>
    <w:rsid w:val="00752142"/>
    <w:rsid w:val="007523F9"/>
    <w:rsid w:val="00752D1D"/>
    <w:rsid w:val="00753B2F"/>
    <w:rsid w:val="00755A05"/>
    <w:rsid w:val="007569B1"/>
    <w:rsid w:val="00756FBA"/>
    <w:rsid w:val="007573E8"/>
    <w:rsid w:val="00760601"/>
    <w:rsid w:val="00760C4E"/>
    <w:rsid w:val="007617FE"/>
    <w:rsid w:val="00762093"/>
    <w:rsid w:val="00762391"/>
    <w:rsid w:val="00762FB3"/>
    <w:rsid w:val="007637B6"/>
    <w:rsid w:val="00763A37"/>
    <w:rsid w:val="007641F6"/>
    <w:rsid w:val="007648B8"/>
    <w:rsid w:val="00764ABA"/>
    <w:rsid w:val="00765B1A"/>
    <w:rsid w:val="00765BA9"/>
    <w:rsid w:val="00765BDC"/>
    <w:rsid w:val="00765BF4"/>
    <w:rsid w:val="00765D53"/>
    <w:rsid w:val="00765E8F"/>
    <w:rsid w:val="00766321"/>
    <w:rsid w:val="0076675B"/>
    <w:rsid w:val="0077118A"/>
    <w:rsid w:val="0077149E"/>
    <w:rsid w:val="00771E35"/>
    <w:rsid w:val="00773D82"/>
    <w:rsid w:val="00774646"/>
    <w:rsid w:val="0077539C"/>
    <w:rsid w:val="00776412"/>
    <w:rsid w:val="00777C32"/>
    <w:rsid w:val="00777C76"/>
    <w:rsid w:val="00777E14"/>
    <w:rsid w:val="00780429"/>
    <w:rsid w:val="00780A6E"/>
    <w:rsid w:val="00781BBD"/>
    <w:rsid w:val="00781E9E"/>
    <w:rsid w:val="00782612"/>
    <w:rsid w:val="00782965"/>
    <w:rsid w:val="00783663"/>
    <w:rsid w:val="00783E93"/>
    <w:rsid w:val="007843F2"/>
    <w:rsid w:val="00784653"/>
    <w:rsid w:val="00786240"/>
    <w:rsid w:val="00792EEE"/>
    <w:rsid w:val="00793B53"/>
    <w:rsid w:val="0079458C"/>
    <w:rsid w:val="00795266"/>
    <w:rsid w:val="00795DDA"/>
    <w:rsid w:val="00795E36"/>
    <w:rsid w:val="007979DB"/>
    <w:rsid w:val="007A003C"/>
    <w:rsid w:val="007A0A12"/>
    <w:rsid w:val="007A0DB4"/>
    <w:rsid w:val="007A132D"/>
    <w:rsid w:val="007A166E"/>
    <w:rsid w:val="007A1A28"/>
    <w:rsid w:val="007A1DBD"/>
    <w:rsid w:val="007A3715"/>
    <w:rsid w:val="007A5830"/>
    <w:rsid w:val="007A5888"/>
    <w:rsid w:val="007A5891"/>
    <w:rsid w:val="007A67F0"/>
    <w:rsid w:val="007A6823"/>
    <w:rsid w:val="007A6A30"/>
    <w:rsid w:val="007A7311"/>
    <w:rsid w:val="007B0498"/>
    <w:rsid w:val="007B0AD2"/>
    <w:rsid w:val="007B0D68"/>
    <w:rsid w:val="007B1E62"/>
    <w:rsid w:val="007B251D"/>
    <w:rsid w:val="007B28CA"/>
    <w:rsid w:val="007B31DE"/>
    <w:rsid w:val="007B3400"/>
    <w:rsid w:val="007B39B4"/>
    <w:rsid w:val="007B43A6"/>
    <w:rsid w:val="007B44A9"/>
    <w:rsid w:val="007B4B05"/>
    <w:rsid w:val="007B4F58"/>
    <w:rsid w:val="007B528D"/>
    <w:rsid w:val="007B6DBA"/>
    <w:rsid w:val="007B77D1"/>
    <w:rsid w:val="007B7D3A"/>
    <w:rsid w:val="007C050D"/>
    <w:rsid w:val="007C0EFA"/>
    <w:rsid w:val="007C133D"/>
    <w:rsid w:val="007C1403"/>
    <w:rsid w:val="007C1A13"/>
    <w:rsid w:val="007C1CD9"/>
    <w:rsid w:val="007C1F06"/>
    <w:rsid w:val="007C2714"/>
    <w:rsid w:val="007C35FA"/>
    <w:rsid w:val="007C361D"/>
    <w:rsid w:val="007C3777"/>
    <w:rsid w:val="007C3E5D"/>
    <w:rsid w:val="007C4B84"/>
    <w:rsid w:val="007C4E3D"/>
    <w:rsid w:val="007C5D18"/>
    <w:rsid w:val="007C5F83"/>
    <w:rsid w:val="007C65BF"/>
    <w:rsid w:val="007C6738"/>
    <w:rsid w:val="007C7BD3"/>
    <w:rsid w:val="007D004F"/>
    <w:rsid w:val="007D0B38"/>
    <w:rsid w:val="007D117A"/>
    <w:rsid w:val="007D1295"/>
    <w:rsid w:val="007D14CE"/>
    <w:rsid w:val="007D1CAB"/>
    <w:rsid w:val="007D20C3"/>
    <w:rsid w:val="007D2574"/>
    <w:rsid w:val="007D2F69"/>
    <w:rsid w:val="007D3396"/>
    <w:rsid w:val="007D35A2"/>
    <w:rsid w:val="007D3D27"/>
    <w:rsid w:val="007D45C4"/>
    <w:rsid w:val="007D5440"/>
    <w:rsid w:val="007D5652"/>
    <w:rsid w:val="007D5B98"/>
    <w:rsid w:val="007D5D8D"/>
    <w:rsid w:val="007D7B73"/>
    <w:rsid w:val="007E0259"/>
    <w:rsid w:val="007E1D44"/>
    <w:rsid w:val="007E2D37"/>
    <w:rsid w:val="007E3313"/>
    <w:rsid w:val="007E4670"/>
    <w:rsid w:val="007E4BF8"/>
    <w:rsid w:val="007E4FDC"/>
    <w:rsid w:val="007E69C9"/>
    <w:rsid w:val="007E7627"/>
    <w:rsid w:val="007F02FF"/>
    <w:rsid w:val="007F0572"/>
    <w:rsid w:val="007F1017"/>
    <w:rsid w:val="007F18AE"/>
    <w:rsid w:val="007F1EBB"/>
    <w:rsid w:val="007F20D7"/>
    <w:rsid w:val="007F20FF"/>
    <w:rsid w:val="007F22E6"/>
    <w:rsid w:val="007F3218"/>
    <w:rsid w:val="007F3BC5"/>
    <w:rsid w:val="007F4086"/>
    <w:rsid w:val="007F4A3F"/>
    <w:rsid w:val="007F4A61"/>
    <w:rsid w:val="007F56E9"/>
    <w:rsid w:val="007F5B16"/>
    <w:rsid w:val="007F61C2"/>
    <w:rsid w:val="007F6832"/>
    <w:rsid w:val="007F6F0E"/>
    <w:rsid w:val="007F7E2A"/>
    <w:rsid w:val="008014DD"/>
    <w:rsid w:val="008015CE"/>
    <w:rsid w:val="00802686"/>
    <w:rsid w:val="00802EFF"/>
    <w:rsid w:val="0080351C"/>
    <w:rsid w:val="00803C34"/>
    <w:rsid w:val="00804B4A"/>
    <w:rsid w:val="00804EA6"/>
    <w:rsid w:val="00805142"/>
    <w:rsid w:val="00806378"/>
    <w:rsid w:val="008065B3"/>
    <w:rsid w:val="00807A8B"/>
    <w:rsid w:val="00810613"/>
    <w:rsid w:val="00811383"/>
    <w:rsid w:val="0081151A"/>
    <w:rsid w:val="00811A46"/>
    <w:rsid w:val="00812149"/>
    <w:rsid w:val="00812CAC"/>
    <w:rsid w:val="0081641C"/>
    <w:rsid w:val="008166EF"/>
    <w:rsid w:val="00816E71"/>
    <w:rsid w:val="00817015"/>
    <w:rsid w:val="008172BC"/>
    <w:rsid w:val="0082048B"/>
    <w:rsid w:val="00821068"/>
    <w:rsid w:val="00822146"/>
    <w:rsid w:val="008223E8"/>
    <w:rsid w:val="00822A05"/>
    <w:rsid w:val="00823C66"/>
    <w:rsid w:val="00824403"/>
    <w:rsid w:val="008254B7"/>
    <w:rsid w:val="00825751"/>
    <w:rsid w:val="00826028"/>
    <w:rsid w:val="008264EB"/>
    <w:rsid w:val="00826A18"/>
    <w:rsid w:val="00826C89"/>
    <w:rsid w:val="00826F67"/>
    <w:rsid w:val="00827403"/>
    <w:rsid w:val="00827B05"/>
    <w:rsid w:val="00830711"/>
    <w:rsid w:val="008307C4"/>
    <w:rsid w:val="00832D82"/>
    <w:rsid w:val="00833B05"/>
    <w:rsid w:val="00833F1D"/>
    <w:rsid w:val="00834313"/>
    <w:rsid w:val="008348E6"/>
    <w:rsid w:val="00834C27"/>
    <w:rsid w:val="008362B4"/>
    <w:rsid w:val="008366D2"/>
    <w:rsid w:val="00836E6C"/>
    <w:rsid w:val="0083772A"/>
    <w:rsid w:val="0084085D"/>
    <w:rsid w:val="00840CA2"/>
    <w:rsid w:val="0084191E"/>
    <w:rsid w:val="0084219D"/>
    <w:rsid w:val="008430C5"/>
    <w:rsid w:val="008432F8"/>
    <w:rsid w:val="00843743"/>
    <w:rsid w:val="0084374F"/>
    <w:rsid w:val="00847DF5"/>
    <w:rsid w:val="0085034C"/>
    <w:rsid w:val="008503C0"/>
    <w:rsid w:val="008524D4"/>
    <w:rsid w:val="00852C73"/>
    <w:rsid w:val="0085309D"/>
    <w:rsid w:val="00853B1F"/>
    <w:rsid w:val="00855D2B"/>
    <w:rsid w:val="00856070"/>
    <w:rsid w:val="008561C1"/>
    <w:rsid w:val="0085663F"/>
    <w:rsid w:val="00856897"/>
    <w:rsid w:val="00856984"/>
    <w:rsid w:val="00856E78"/>
    <w:rsid w:val="00856E9A"/>
    <w:rsid w:val="008576DE"/>
    <w:rsid w:val="00857A3D"/>
    <w:rsid w:val="00857F45"/>
    <w:rsid w:val="0086075D"/>
    <w:rsid w:val="008607D3"/>
    <w:rsid w:val="00861A36"/>
    <w:rsid w:val="00862502"/>
    <w:rsid w:val="008652F3"/>
    <w:rsid w:val="00865681"/>
    <w:rsid w:val="008660D4"/>
    <w:rsid w:val="0086624A"/>
    <w:rsid w:val="00866A10"/>
    <w:rsid w:val="00866C77"/>
    <w:rsid w:val="00866D99"/>
    <w:rsid w:val="00867787"/>
    <w:rsid w:val="00867AC2"/>
    <w:rsid w:val="00871FA9"/>
    <w:rsid w:val="00872174"/>
    <w:rsid w:val="00872208"/>
    <w:rsid w:val="008728E9"/>
    <w:rsid w:val="00873037"/>
    <w:rsid w:val="00873FE6"/>
    <w:rsid w:val="00874901"/>
    <w:rsid w:val="00874C9D"/>
    <w:rsid w:val="00874E3E"/>
    <w:rsid w:val="0087503A"/>
    <w:rsid w:val="00877916"/>
    <w:rsid w:val="008806D6"/>
    <w:rsid w:val="0088088D"/>
    <w:rsid w:val="00881400"/>
    <w:rsid w:val="00881F51"/>
    <w:rsid w:val="00882874"/>
    <w:rsid w:val="00883787"/>
    <w:rsid w:val="00883D19"/>
    <w:rsid w:val="008850CF"/>
    <w:rsid w:val="00885D58"/>
    <w:rsid w:val="00886CD2"/>
    <w:rsid w:val="008900FB"/>
    <w:rsid w:val="0089047B"/>
    <w:rsid w:val="00892A36"/>
    <w:rsid w:val="00893239"/>
    <w:rsid w:val="00893A7A"/>
    <w:rsid w:val="00893AB9"/>
    <w:rsid w:val="00893F2E"/>
    <w:rsid w:val="00894489"/>
    <w:rsid w:val="0089471A"/>
    <w:rsid w:val="00894A70"/>
    <w:rsid w:val="00894AD3"/>
    <w:rsid w:val="008952EB"/>
    <w:rsid w:val="00895492"/>
    <w:rsid w:val="008963A5"/>
    <w:rsid w:val="008965C3"/>
    <w:rsid w:val="00897321"/>
    <w:rsid w:val="00897448"/>
    <w:rsid w:val="00897876"/>
    <w:rsid w:val="008A1DAC"/>
    <w:rsid w:val="008A1E35"/>
    <w:rsid w:val="008A22A5"/>
    <w:rsid w:val="008A332C"/>
    <w:rsid w:val="008A3363"/>
    <w:rsid w:val="008A3371"/>
    <w:rsid w:val="008A3C3E"/>
    <w:rsid w:val="008A42C9"/>
    <w:rsid w:val="008A42D2"/>
    <w:rsid w:val="008A4527"/>
    <w:rsid w:val="008A533A"/>
    <w:rsid w:val="008A5EEA"/>
    <w:rsid w:val="008A6BCF"/>
    <w:rsid w:val="008A7907"/>
    <w:rsid w:val="008A79DE"/>
    <w:rsid w:val="008B006E"/>
    <w:rsid w:val="008B0BDD"/>
    <w:rsid w:val="008B0D60"/>
    <w:rsid w:val="008B1757"/>
    <w:rsid w:val="008B4639"/>
    <w:rsid w:val="008B63D3"/>
    <w:rsid w:val="008B63F7"/>
    <w:rsid w:val="008B718A"/>
    <w:rsid w:val="008B7D7E"/>
    <w:rsid w:val="008C0876"/>
    <w:rsid w:val="008C1673"/>
    <w:rsid w:val="008C1848"/>
    <w:rsid w:val="008C3782"/>
    <w:rsid w:val="008C6054"/>
    <w:rsid w:val="008C7C91"/>
    <w:rsid w:val="008C7D87"/>
    <w:rsid w:val="008C7ECB"/>
    <w:rsid w:val="008D047E"/>
    <w:rsid w:val="008D06A1"/>
    <w:rsid w:val="008D0B8B"/>
    <w:rsid w:val="008D0FF4"/>
    <w:rsid w:val="008D15C7"/>
    <w:rsid w:val="008D3B21"/>
    <w:rsid w:val="008D4755"/>
    <w:rsid w:val="008D4C3D"/>
    <w:rsid w:val="008D529E"/>
    <w:rsid w:val="008D62DC"/>
    <w:rsid w:val="008D6321"/>
    <w:rsid w:val="008D7232"/>
    <w:rsid w:val="008D7307"/>
    <w:rsid w:val="008D7454"/>
    <w:rsid w:val="008E0D3C"/>
    <w:rsid w:val="008E0FF5"/>
    <w:rsid w:val="008E1A88"/>
    <w:rsid w:val="008E1B9E"/>
    <w:rsid w:val="008E2411"/>
    <w:rsid w:val="008E2496"/>
    <w:rsid w:val="008E26F8"/>
    <w:rsid w:val="008E40A1"/>
    <w:rsid w:val="008E47F3"/>
    <w:rsid w:val="008E4AA3"/>
    <w:rsid w:val="008E4FC8"/>
    <w:rsid w:val="008E55AB"/>
    <w:rsid w:val="008F120A"/>
    <w:rsid w:val="008F2598"/>
    <w:rsid w:val="008F27E0"/>
    <w:rsid w:val="008F2B5E"/>
    <w:rsid w:val="008F3152"/>
    <w:rsid w:val="008F3388"/>
    <w:rsid w:val="008F3421"/>
    <w:rsid w:val="008F348E"/>
    <w:rsid w:val="008F37D9"/>
    <w:rsid w:val="008F4258"/>
    <w:rsid w:val="008F4808"/>
    <w:rsid w:val="008F480E"/>
    <w:rsid w:val="008F48EB"/>
    <w:rsid w:val="008F4998"/>
    <w:rsid w:val="008F4F0B"/>
    <w:rsid w:val="008F7555"/>
    <w:rsid w:val="00900415"/>
    <w:rsid w:val="009006FB"/>
    <w:rsid w:val="00901082"/>
    <w:rsid w:val="009010A3"/>
    <w:rsid w:val="00901D49"/>
    <w:rsid w:val="00903955"/>
    <w:rsid w:val="00903DFC"/>
    <w:rsid w:val="00903FB6"/>
    <w:rsid w:val="0090445D"/>
    <w:rsid w:val="009046C4"/>
    <w:rsid w:val="00904A3C"/>
    <w:rsid w:val="009061F3"/>
    <w:rsid w:val="009062A5"/>
    <w:rsid w:val="00906A4D"/>
    <w:rsid w:val="00906F53"/>
    <w:rsid w:val="009077AF"/>
    <w:rsid w:val="00907F73"/>
    <w:rsid w:val="00911193"/>
    <w:rsid w:val="00911272"/>
    <w:rsid w:val="009116AA"/>
    <w:rsid w:val="00912D36"/>
    <w:rsid w:val="009135D6"/>
    <w:rsid w:val="00913CF7"/>
    <w:rsid w:val="009141E2"/>
    <w:rsid w:val="00914A4E"/>
    <w:rsid w:val="00914C77"/>
    <w:rsid w:val="00915F21"/>
    <w:rsid w:val="00917275"/>
    <w:rsid w:val="0091739C"/>
    <w:rsid w:val="009176D9"/>
    <w:rsid w:val="009200F4"/>
    <w:rsid w:val="00920FD9"/>
    <w:rsid w:val="00921F5F"/>
    <w:rsid w:val="009224A9"/>
    <w:rsid w:val="009227EC"/>
    <w:rsid w:val="00922A72"/>
    <w:rsid w:val="0092369B"/>
    <w:rsid w:val="009236FA"/>
    <w:rsid w:val="009250CF"/>
    <w:rsid w:val="00925F3D"/>
    <w:rsid w:val="00926181"/>
    <w:rsid w:val="00926C5A"/>
    <w:rsid w:val="0093005A"/>
    <w:rsid w:val="009304BF"/>
    <w:rsid w:val="009309A2"/>
    <w:rsid w:val="009326A1"/>
    <w:rsid w:val="009333EA"/>
    <w:rsid w:val="009337C3"/>
    <w:rsid w:val="00933DF9"/>
    <w:rsid w:val="00934D8D"/>
    <w:rsid w:val="00936488"/>
    <w:rsid w:val="009403E7"/>
    <w:rsid w:val="00940817"/>
    <w:rsid w:val="0094132F"/>
    <w:rsid w:val="0094188E"/>
    <w:rsid w:val="009419E3"/>
    <w:rsid w:val="00942292"/>
    <w:rsid w:val="00942B80"/>
    <w:rsid w:val="00942D56"/>
    <w:rsid w:val="00943418"/>
    <w:rsid w:val="00943DCA"/>
    <w:rsid w:val="009445A4"/>
    <w:rsid w:val="009457D9"/>
    <w:rsid w:val="00945CCA"/>
    <w:rsid w:val="00945DF1"/>
    <w:rsid w:val="00945E4C"/>
    <w:rsid w:val="00946E94"/>
    <w:rsid w:val="0094718B"/>
    <w:rsid w:val="00950056"/>
    <w:rsid w:val="009510A2"/>
    <w:rsid w:val="00953257"/>
    <w:rsid w:val="0095341C"/>
    <w:rsid w:val="00953B4D"/>
    <w:rsid w:val="009544BA"/>
    <w:rsid w:val="00955F70"/>
    <w:rsid w:val="009567B0"/>
    <w:rsid w:val="009569E7"/>
    <w:rsid w:val="00956CB8"/>
    <w:rsid w:val="00956EF4"/>
    <w:rsid w:val="009579D2"/>
    <w:rsid w:val="0096058E"/>
    <w:rsid w:val="009605AA"/>
    <w:rsid w:val="009616E9"/>
    <w:rsid w:val="009624AA"/>
    <w:rsid w:val="00962CB9"/>
    <w:rsid w:val="00963645"/>
    <w:rsid w:val="00964312"/>
    <w:rsid w:val="0096463A"/>
    <w:rsid w:val="00965B8A"/>
    <w:rsid w:val="00966A63"/>
    <w:rsid w:val="00966E02"/>
    <w:rsid w:val="00970078"/>
    <w:rsid w:val="009717AC"/>
    <w:rsid w:val="0097231A"/>
    <w:rsid w:val="00973486"/>
    <w:rsid w:val="009739FF"/>
    <w:rsid w:val="00973B81"/>
    <w:rsid w:val="00974C01"/>
    <w:rsid w:val="00974C6D"/>
    <w:rsid w:val="00975179"/>
    <w:rsid w:val="00975537"/>
    <w:rsid w:val="00976B3B"/>
    <w:rsid w:val="00981037"/>
    <w:rsid w:val="0098107C"/>
    <w:rsid w:val="009811E4"/>
    <w:rsid w:val="00981EFA"/>
    <w:rsid w:val="009832C8"/>
    <w:rsid w:val="00983466"/>
    <w:rsid w:val="00983793"/>
    <w:rsid w:val="00983E57"/>
    <w:rsid w:val="00984722"/>
    <w:rsid w:val="009852DB"/>
    <w:rsid w:val="00985909"/>
    <w:rsid w:val="0098675D"/>
    <w:rsid w:val="00986933"/>
    <w:rsid w:val="0098693D"/>
    <w:rsid w:val="009871A8"/>
    <w:rsid w:val="009901E8"/>
    <w:rsid w:val="00990892"/>
    <w:rsid w:val="009913C8"/>
    <w:rsid w:val="00991501"/>
    <w:rsid w:val="009922E1"/>
    <w:rsid w:val="00992A8A"/>
    <w:rsid w:val="00992F06"/>
    <w:rsid w:val="00996B1A"/>
    <w:rsid w:val="00997B8A"/>
    <w:rsid w:val="00997F8E"/>
    <w:rsid w:val="009A03B7"/>
    <w:rsid w:val="009A2EF6"/>
    <w:rsid w:val="009A3DC7"/>
    <w:rsid w:val="009A4484"/>
    <w:rsid w:val="009A46DB"/>
    <w:rsid w:val="009A5319"/>
    <w:rsid w:val="009A5D57"/>
    <w:rsid w:val="009A71EC"/>
    <w:rsid w:val="009A763C"/>
    <w:rsid w:val="009A7F10"/>
    <w:rsid w:val="009B1A3E"/>
    <w:rsid w:val="009B28A7"/>
    <w:rsid w:val="009B2BC0"/>
    <w:rsid w:val="009B3357"/>
    <w:rsid w:val="009B35B4"/>
    <w:rsid w:val="009B374C"/>
    <w:rsid w:val="009B3E26"/>
    <w:rsid w:val="009B42AF"/>
    <w:rsid w:val="009B43B3"/>
    <w:rsid w:val="009B4A36"/>
    <w:rsid w:val="009B60BE"/>
    <w:rsid w:val="009B6921"/>
    <w:rsid w:val="009B732D"/>
    <w:rsid w:val="009C2B23"/>
    <w:rsid w:val="009C3D7E"/>
    <w:rsid w:val="009C3E6E"/>
    <w:rsid w:val="009C4CF3"/>
    <w:rsid w:val="009C5424"/>
    <w:rsid w:val="009C5B07"/>
    <w:rsid w:val="009C6CEA"/>
    <w:rsid w:val="009C710B"/>
    <w:rsid w:val="009C7B85"/>
    <w:rsid w:val="009C7EFF"/>
    <w:rsid w:val="009D033C"/>
    <w:rsid w:val="009D03B5"/>
    <w:rsid w:val="009D0814"/>
    <w:rsid w:val="009D1505"/>
    <w:rsid w:val="009D203C"/>
    <w:rsid w:val="009D2537"/>
    <w:rsid w:val="009D28A5"/>
    <w:rsid w:val="009D3368"/>
    <w:rsid w:val="009D3F01"/>
    <w:rsid w:val="009D3F70"/>
    <w:rsid w:val="009D43DC"/>
    <w:rsid w:val="009D4604"/>
    <w:rsid w:val="009D494B"/>
    <w:rsid w:val="009D4A47"/>
    <w:rsid w:val="009D4B5E"/>
    <w:rsid w:val="009D5310"/>
    <w:rsid w:val="009D5B91"/>
    <w:rsid w:val="009D60A3"/>
    <w:rsid w:val="009D61DE"/>
    <w:rsid w:val="009D792E"/>
    <w:rsid w:val="009D7A82"/>
    <w:rsid w:val="009D7F83"/>
    <w:rsid w:val="009E0472"/>
    <w:rsid w:val="009E07C8"/>
    <w:rsid w:val="009E0CA4"/>
    <w:rsid w:val="009E0DFE"/>
    <w:rsid w:val="009E14DD"/>
    <w:rsid w:val="009E1607"/>
    <w:rsid w:val="009E1B33"/>
    <w:rsid w:val="009E1CD7"/>
    <w:rsid w:val="009E275A"/>
    <w:rsid w:val="009E2B28"/>
    <w:rsid w:val="009E3AAA"/>
    <w:rsid w:val="009E4C07"/>
    <w:rsid w:val="009E5127"/>
    <w:rsid w:val="009E531D"/>
    <w:rsid w:val="009E5A08"/>
    <w:rsid w:val="009E5A70"/>
    <w:rsid w:val="009E60FA"/>
    <w:rsid w:val="009E63CC"/>
    <w:rsid w:val="009E79DB"/>
    <w:rsid w:val="009F0124"/>
    <w:rsid w:val="009F0926"/>
    <w:rsid w:val="009F1AA4"/>
    <w:rsid w:val="009F288C"/>
    <w:rsid w:val="009F2ED4"/>
    <w:rsid w:val="009F3619"/>
    <w:rsid w:val="009F4CBC"/>
    <w:rsid w:val="009F500F"/>
    <w:rsid w:val="009F58D9"/>
    <w:rsid w:val="009F5DC3"/>
    <w:rsid w:val="009F6272"/>
    <w:rsid w:val="009F651C"/>
    <w:rsid w:val="009F74BF"/>
    <w:rsid w:val="009F79C9"/>
    <w:rsid w:val="00A0013D"/>
    <w:rsid w:val="00A00A61"/>
    <w:rsid w:val="00A01184"/>
    <w:rsid w:val="00A03A33"/>
    <w:rsid w:val="00A03D43"/>
    <w:rsid w:val="00A04380"/>
    <w:rsid w:val="00A04DB4"/>
    <w:rsid w:val="00A059AB"/>
    <w:rsid w:val="00A103B7"/>
    <w:rsid w:val="00A10730"/>
    <w:rsid w:val="00A11CD0"/>
    <w:rsid w:val="00A12D22"/>
    <w:rsid w:val="00A13948"/>
    <w:rsid w:val="00A14B44"/>
    <w:rsid w:val="00A14F05"/>
    <w:rsid w:val="00A1555B"/>
    <w:rsid w:val="00A155C5"/>
    <w:rsid w:val="00A15B68"/>
    <w:rsid w:val="00A15ED0"/>
    <w:rsid w:val="00A16425"/>
    <w:rsid w:val="00A16AD8"/>
    <w:rsid w:val="00A17FCD"/>
    <w:rsid w:val="00A21B7E"/>
    <w:rsid w:val="00A21CF3"/>
    <w:rsid w:val="00A234CB"/>
    <w:rsid w:val="00A2457F"/>
    <w:rsid w:val="00A24B2A"/>
    <w:rsid w:val="00A24EC9"/>
    <w:rsid w:val="00A25528"/>
    <w:rsid w:val="00A2596B"/>
    <w:rsid w:val="00A26BC6"/>
    <w:rsid w:val="00A27527"/>
    <w:rsid w:val="00A276F1"/>
    <w:rsid w:val="00A27AEC"/>
    <w:rsid w:val="00A3042F"/>
    <w:rsid w:val="00A30935"/>
    <w:rsid w:val="00A30E51"/>
    <w:rsid w:val="00A320DB"/>
    <w:rsid w:val="00A33053"/>
    <w:rsid w:val="00A33F24"/>
    <w:rsid w:val="00A344FB"/>
    <w:rsid w:val="00A35A5D"/>
    <w:rsid w:val="00A35B1E"/>
    <w:rsid w:val="00A35D16"/>
    <w:rsid w:val="00A35E5F"/>
    <w:rsid w:val="00A37BCD"/>
    <w:rsid w:val="00A40203"/>
    <w:rsid w:val="00A405B9"/>
    <w:rsid w:val="00A40985"/>
    <w:rsid w:val="00A41AD2"/>
    <w:rsid w:val="00A43493"/>
    <w:rsid w:val="00A43550"/>
    <w:rsid w:val="00A43C59"/>
    <w:rsid w:val="00A444BB"/>
    <w:rsid w:val="00A4524C"/>
    <w:rsid w:val="00A4575D"/>
    <w:rsid w:val="00A466C7"/>
    <w:rsid w:val="00A46B4D"/>
    <w:rsid w:val="00A46FE9"/>
    <w:rsid w:val="00A47052"/>
    <w:rsid w:val="00A4716C"/>
    <w:rsid w:val="00A476EC"/>
    <w:rsid w:val="00A50ECD"/>
    <w:rsid w:val="00A516DD"/>
    <w:rsid w:val="00A518F3"/>
    <w:rsid w:val="00A51985"/>
    <w:rsid w:val="00A52682"/>
    <w:rsid w:val="00A52729"/>
    <w:rsid w:val="00A52C45"/>
    <w:rsid w:val="00A52DA2"/>
    <w:rsid w:val="00A53321"/>
    <w:rsid w:val="00A53620"/>
    <w:rsid w:val="00A53675"/>
    <w:rsid w:val="00A53C58"/>
    <w:rsid w:val="00A54DF4"/>
    <w:rsid w:val="00A5506A"/>
    <w:rsid w:val="00A55354"/>
    <w:rsid w:val="00A55A7A"/>
    <w:rsid w:val="00A55FFC"/>
    <w:rsid w:val="00A564D7"/>
    <w:rsid w:val="00A564EA"/>
    <w:rsid w:val="00A56B6A"/>
    <w:rsid w:val="00A57696"/>
    <w:rsid w:val="00A578DC"/>
    <w:rsid w:val="00A57D06"/>
    <w:rsid w:val="00A57DEF"/>
    <w:rsid w:val="00A605A9"/>
    <w:rsid w:val="00A6115D"/>
    <w:rsid w:val="00A61715"/>
    <w:rsid w:val="00A62049"/>
    <w:rsid w:val="00A62E46"/>
    <w:rsid w:val="00A62F66"/>
    <w:rsid w:val="00A63201"/>
    <w:rsid w:val="00A63489"/>
    <w:rsid w:val="00A635BE"/>
    <w:rsid w:val="00A63BCE"/>
    <w:rsid w:val="00A641E9"/>
    <w:rsid w:val="00A6473B"/>
    <w:rsid w:val="00A64FC8"/>
    <w:rsid w:val="00A65D4F"/>
    <w:rsid w:val="00A662E0"/>
    <w:rsid w:val="00A66925"/>
    <w:rsid w:val="00A66CFE"/>
    <w:rsid w:val="00A6725B"/>
    <w:rsid w:val="00A67CD7"/>
    <w:rsid w:val="00A67DCF"/>
    <w:rsid w:val="00A67F4B"/>
    <w:rsid w:val="00A70605"/>
    <w:rsid w:val="00A720A5"/>
    <w:rsid w:val="00A723C1"/>
    <w:rsid w:val="00A7288E"/>
    <w:rsid w:val="00A72C40"/>
    <w:rsid w:val="00A73134"/>
    <w:rsid w:val="00A73B60"/>
    <w:rsid w:val="00A73FF6"/>
    <w:rsid w:val="00A74B86"/>
    <w:rsid w:val="00A74EED"/>
    <w:rsid w:val="00A777B2"/>
    <w:rsid w:val="00A811DA"/>
    <w:rsid w:val="00A81A72"/>
    <w:rsid w:val="00A8425C"/>
    <w:rsid w:val="00A845C0"/>
    <w:rsid w:val="00A86C3E"/>
    <w:rsid w:val="00A86E8B"/>
    <w:rsid w:val="00A87164"/>
    <w:rsid w:val="00A87747"/>
    <w:rsid w:val="00A900C7"/>
    <w:rsid w:val="00A906DC"/>
    <w:rsid w:val="00A908E7"/>
    <w:rsid w:val="00A913BD"/>
    <w:rsid w:val="00A93072"/>
    <w:rsid w:val="00A9307F"/>
    <w:rsid w:val="00A93953"/>
    <w:rsid w:val="00A94553"/>
    <w:rsid w:val="00A959D8"/>
    <w:rsid w:val="00A95C60"/>
    <w:rsid w:val="00A97C67"/>
    <w:rsid w:val="00AA0F48"/>
    <w:rsid w:val="00AA113D"/>
    <w:rsid w:val="00AA15A5"/>
    <w:rsid w:val="00AA1EB8"/>
    <w:rsid w:val="00AA4AF6"/>
    <w:rsid w:val="00AA4F12"/>
    <w:rsid w:val="00AA59D2"/>
    <w:rsid w:val="00AA6C7D"/>
    <w:rsid w:val="00AA6CB8"/>
    <w:rsid w:val="00AA7796"/>
    <w:rsid w:val="00AA7FD6"/>
    <w:rsid w:val="00AB042A"/>
    <w:rsid w:val="00AB0F03"/>
    <w:rsid w:val="00AB2C9C"/>
    <w:rsid w:val="00AB2D34"/>
    <w:rsid w:val="00AB3430"/>
    <w:rsid w:val="00AB3AAB"/>
    <w:rsid w:val="00AB4AD1"/>
    <w:rsid w:val="00AB4EE7"/>
    <w:rsid w:val="00AB54A0"/>
    <w:rsid w:val="00AB57D3"/>
    <w:rsid w:val="00AB5C8A"/>
    <w:rsid w:val="00AB6D0E"/>
    <w:rsid w:val="00AB7CFA"/>
    <w:rsid w:val="00AC1711"/>
    <w:rsid w:val="00AC47AF"/>
    <w:rsid w:val="00AC4C1E"/>
    <w:rsid w:val="00AC5234"/>
    <w:rsid w:val="00AC5B48"/>
    <w:rsid w:val="00AC6DF0"/>
    <w:rsid w:val="00AC6F1A"/>
    <w:rsid w:val="00AD1544"/>
    <w:rsid w:val="00AD1690"/>
    <w:rsid w:val="00AD209A"/>
    <w:rsid w:val="00AD25A7"/>
    <w:rsid w:val="00AD31C3"/>
    <w:rsid w:val="00AD391D"/>
    <w:rsid w:val="00AD40D4"/>
    <w:rsid w:val="00AD4BEF"/>
    <w:rsid w:val="00AD528E"/>
    <w:rsid w:val="00AD6502"/>
    <w:rsid w:val="00AD69BC"/>
    <w:rsid w:val="00AD6AEC"/>
    <w:rsid w:val="00AD6C12"/>
    <w:rsid w:val="00AD7980"/>
    <w:rsid w:val="00AD7A03"/>
    <w:rsid w:val="00AE0385"/>
    <w:rsid w:val="00AE1250"/>
    <w:rsid w:val="00AE1C5F"/>
    <w:rsid w:val="00AE23E7"/>
    <w:rsid w:val="00AE2641"/>
    <w:rsid w:val="00AE3B84"/>
    <w:rsid w:val="00AE3E02"/>
    <w:rsid w:val="00AE46CE"/>
    <w:rsid w:val="00AE49E7"/>
    <w:rsid w:val="00AE55EA"/>
    <w:rsid w:val="00AE6207"/>
    <w:rsid w:val="00AE6A46"/>
    <w:rsid w:val="00AF0782"/>
    <w:rsid w:val="00AF1315"/>
    <w:rsid w:val="00AF19BF"/>
    <w:rsid w:val="00AF2DC3"/>
    <w:rsid w:val="00AF4392"/>
    <w:rsid w:val="00AF4F9C"/>
    <w:rsid w:val="00AF5649"/>
    <w:rsid w:val="00AF5699"/>
    <w:rsid w:val="00AF5977"/>
    <w:rsid w:val="00AF5DDD"/>
    <w:rsid w:val="00AF6A3D"/>
    <w:rsid w:val="00AF7057"/>
    <w:rsid w:val="00B00C55"/>
    <w:rsid w:val="00B01ED5"/>
    <w:rsid w:val="00B0250B"/>
    <w:rsid w:val="00B02581"/>
    <w:rsid w:val="00B02BEF"/>
    <w:rsid w:val="00B033E5"/>
    <w:rsid w:val="00B03A63"/>
    <w:rsid w:val="00B04350"/>
    <w:rsid w:val="00B04476"/>
    <w:rsid w:val="00B05949"/>
    <w:rsid w:val="00B05E5F"/>
    <w:rsid w:val="00B06A1A"/>
    <w:rsid w:val="00B125D2"/>
    <w:rsid w:val="00B13468"/>
    <w:rsid w:val="00B15611"/>
    <w:rsid w:val="00B15A5D"/>
    <w:rsid w:val="00B15B09"/>
    <w:rsid w:val="00B15C40"/>
    <w:rsid w:val="00B161B5"/>
    <w:rsid w:val="00B1645F"/>
    <w:rsid w:val="00B164EE"/>
    <w:rsid w:val="00B17606"/>
    <w:rsid w:val="00B17C17"/>
    <w:rsid w:val="00B201A4"/>
    <w:rsid w:val="00B20D4C"/>
    <w:rsid w:val="00B210E1"/>
    <w:rsid w:val="00B213A6"/>
    <w:rsid w:val="00B21EA9"/>
    <w:rsid w:val="00B229A2"/>
    <w:rsid w:val="00B22D3B"/>
    <w:rsid w:val="00B24DF6"/>
    <w:rsid w:val="00B24F90"/>
    <w:rsid w:val="00B25864"/>
    <w:rsid w:val="00B267D4"/>
    <w:rsid w:val="00B3002D"/>
    <w:rsid w:val="00B30413"/>
    <w:rsid w:val="00B31E25"/>
    <w:rsid w:val="00B323D9"/>
    <w:rsid w:val="00B3384B"/>
    <w:rsid w:val="00B34A48"/>
    <w:rsid w:val="00B34D9C"/>
    <w:rsid w:val="00B34FE2"/>
    <w:rsid w:val="00B357D8"/>
    <w:rsid w:val="00B35ADC"/>
    <w:rsid w:val="00B368AC"/>
    <w:rsid w:val="00B36A52"/>
    <w:rsid w:val="00B36D94"/>
    <w:rsid w:val="00B36F3A"/>
    <w:rsid w:val="00B37297"/>
    <w:rsid w:val="00B37BFC"/>
    <w:rsid w:val="00B40358"/>
    <w:rsid w:val="00B41614"/>
    <w:rsid w:val="00B41D0D"/>
    <w:rsid w:val="00B42851"/>
    <w:rsid w:val="00B42F80"/>
    <w:rsid w:val="00B435CB"/>
    <w:rsid w:val="00B43D1C"/>
    <w:rsid w:val="00B44808"/>
    <w:rsid w:val="00B44E57"/>
    <w:rsid w:val="00B457F4"/>
    <w:rsid w:val="00B46B31"/>
    <w:rsid w:val="00B50365"/>
    <w:rsid w:val="00B504CD"/>
    <w:rsid w:val="00B507D4"/>
    <w:rsid w:val="00B50DB8"/>
    <w:rsid w:val="00B53654"/>
    <w:rsid w:val="00B53905"/>
    <w:rsid w:val="00B53B58"/>
    <w:rsid w:val="00B53DAB"/>
    <w:rsid w:val="00B54436"/>
    <w:rsid w:val="00B54B5B"/>
    <w:rsid w:val="00B550BF"/>
    <w:rsid w:val="00B5562E"/>
    <w:rsid w:val="00B57000"/>
    <w:rsid w:val="00B572EB"/>
    <w:rsid w:val="00B57789"/>
    <w:rsid w:val="00B6064E"/>
    <w:rsid w:val="00B60799"/>
    <w:rsid w:val="00B60939"/>
    <w:rsid w:val="00B60AFD"/>
    <w:rsid w:val="00B61098"/>
    <w:rsid w:val="00B62715"/>
    <w:rsid w:val="00B6325A"/>
    <w:rsid w:val="00B6578B"/>
    <w:rsid w:val="00B662BA"/>
    <w:rsid w:val="00B666B7"/>
    <w:rsid w:val="00B66A7E"/>
    <w:rsid w:val="00B66C5B"/>
    <w:rsid w:val="00B679EB"/>
    <w:rsid w:val="00B67DF9"/>
    <w:rsid w:val="00B7065F"/>
    <w:rsid w:val="00B73BB6"/>
    <w:rsid w:val="00B74142"/>
    <w:rsid w:val="00B7419D"/>
    <w:rsid w:val="00B75474"/>
    <w:rsid w:val="00B77D0E"/>
    <w:rsid w:val="00B804E4"/>
    <w:rsid w:val="00B80D87"/>
    <w:rsid w:val="00B80FA9"/>
    <w:rsid w:val="00B818A4"/>
    <w:rsid w:val="00B81A79"/>
    <w:rsid w:val="00B8258B"/>
    <w:rsid w:val="00B8285A"/>
    <w:rsid w:val="00B8348C"/>
    <w:rsid w:val="00B83621"/>
    <w:rsid w:val="00B83837"/>
    <w:rsid w:val="00B84117"/>
    <w:rsid w:val="00B84390"/>
    <w:rsid w:val="00B843FC"/>
    <w:rsid w:val="00B846A7"/>
    <w:rsid w:val="00B846FB"/>
    <w:rsid w:val="00B84D1A"/>
    <w:rsid w:val="00B85AA2"/>
    <w:rsid w:val="00B8649C"/>
    <w:rsid w:val="00B87F0A"/>
    <w:rsid w:val="00B917AB"/>
    <w:rsid w:val="00B91907"/>
    <w:rsid w:val="00B924E3"/>
    <w:rsid w:val="00B926C1"/>
    <w:rsid w:val="00B92D0B"/>
    <w:rsid w:val="00B943CE"/>
    <w:rsid w:val="00B94945"/>
    <w:rsid w:val="00B94F5D"/>
    <w:rsid w:val="00B950DE"/>
    <w:rsid w:val="00B95A1E"/>
    <w:rsid w:val="00B9797E"/>
    <w:rsid w:val="00BA05F3"/>
    <w:rsid w:val="00BA10D5"/>
    <w:rsid w:val="00BA11CC"/>
    <w:rsid w:val="00BA1626"/>
    <w:rsid w:val="00BA16E8"/>
    <w:rsid w:val="00BA1FDA"/>
    <w:rsid w:val="00BA322D"/>
    <w:rsid w:val="00BA3814"/>
    <w:rsid w:val="00BA4197"/>
    <w:rsid w:val="00BA53DA"/>
    <w:rsid w:val="00BA587A"/>
    <w:rsid w:val="00BA728E"/>
    <w:rsid w:val="00BB02D3"/>
    <w:rsid w:val="00BB0594"/>
    <w:rsid w:val="00BB0BDD"/>
    <w:rsid w:val="00BB1429"/>
    <w:rsid w:val="00BB1B7A"/>
    <w:rsid w:val="00BB2A73"/>
    <w:rsid w:val="00BB2E00"/>
    <w:rsid w:val="00BB3199"/>
    <w:rsid w:val="00BB454C"/>
    <w:rsid w:val="00BB49C9"/>
    <w:rsid w:val="00BB4ACC"/>
    <w:rsid w:val="00BB4C04"/>
    <w:rsid w:val="00BB4C81"/>
    <w:rsid w:val="00BB4D0A"/>
    <w:rsid w:val="00BB4EB7"/>
    <w:rsid w:val="00BB53A6"/>
    <w:rsid w:val="00BB5498"/>
    <w:rsid w:val="00BB5A6C"/>
    <w:rsid w:val="00BB6B8A"/>
    <w:rsid w:val="00BB703E"/>
    <w:rsid w:val="00BB7405"/>
    <w:rsid w:val="00BC08B0"/>
    <w:rsid w:val="00BC08F5"/>
    <w:rsid w:val="00BC0B7A"/>
    <w:rsid w:val="00BC0BE5"/>
    <w:rsid w:val="00BC1241"/>
    <w:rsid w:val="00BC1814"/>
    <w:rsid w:val="00BC1EED"/>
    <w:rsid w:val="00BC233A"/>
    <w:rsid w:val="00BC3631"/>
    <w:rsid w:val="00BC5701"/>
    <w:rsid w:val="00BC5C63"/>
    <w:rsid w:val="00BC5E06"/>
    <w:rsid w:val="00BC5EF4"/>
    <w:rsid w:val="00BC5FBD"/>
    <w:rsid w:val="00BC6264"/>
    <w:rsid w:val="00BC6866"/>
    <w:rsid w:val="00BC71AB"/>
    <w:rsid w:val="00BC7644"/>
    <w:rsid w:val="00BD043F"/>
    <w:rsid w:val="00BD11E5"/>
    <w:rsid w:val="00BD1214"/>
    <w:rsid w:val="00BD127F"/>
    <w:rsid w:val="00BD1D9F"/>
    <w:rsid w:val="00BD2185"/>
    <w:rsid w:val="00BD3FA7"/>
    <w:rsid w:val="00BD5D08"/>
    <w:rsid w:val="00BD63FC"/>
    <w:rsid w:val="00BD68A3"/>
    <w:rsid w:val="00BD6938"/>
    <w:rsid w:val="00BD6CF3"/>
    <w:rsid w:val="00BE05E3"/>
    <w:rsid w:val="00BE0A83"/>
    <w:rsid w:val="00BE0ACD"/>
    <w:rsid w:val="00BE0EE4"/>
    <w:rsid w:val="00BE0FF8"/>
    <w:rsid w:val="00BE1199"/>
    <w:rsid w:val="00BE1790"/>
    <w:rsid w:val="00BE2180"/>
    <w:rsid w:val="00BE21F2"/>
    <w:rsid w:val="00BE2A74"/>
    <w:rsid w:val="00BE3FCE"/>
    <w:rsid w:val="00BE4275"/>
    <w:rsid w:val="00BE4BD3"/>
    <w:rsid w:val="00BE56F3"/>
    <w:rsid w:val="00BE5B10"/>
    <w:rsid w:val="00BE6716"/>
    <w:rsid w:val="00BE7B60"/>
    <w:rsid w:val="00BE7E3D"/>
    <w:rsid w:val="00BF0F95"/>
    <w:rsid w:val="00BF14A6"/>
    <w:rsid w:val="00BF2433"/>
    <w:rsid w:val="00BF2DC0"/>
    <w:rsid w:val="00BF3084"/>
    <w:rsid w:val="00BF313D"/>
    <w:rsid w:val="00BF338F"/>
    <w:rsid w:val="00BF3C6D"/>
    <w:rsid w:val="00BF42A9"/>
    <w:rsid w:val="00BF4883"/>
    <w:rsid w:val="00BF4B94"/>
    <w:rsid w:val="00BF506E"/>
    <w:rsid w:val="00BF5417"/>
    <w:rsid w:val="00BF61C9"/>
    <w:rsid w:val="00BF6C94"/>
    <w:rsid w:val="00BF70E1"/>
    <w:rsid w:val="00BF7DDC"/>
    <w:rsid w:val="00C00424"/>
    <w:rsid w:val="00C01CB8"/>
    <w:rsid w:val="00C03570"/>
    <w:rsid w:val="00C04734"/>
    <w:rsid w:val="00C04F23"/>
    <w:rsid w:val="00C05CF8"/>
    <w:rsid w:val="00C067B4"/>
    <w:rsid w:val="00C07853"/>
    <w:rsid w:val="00C07C7E"/>
    <w:rsid w:val="00C07CBB"/>
    <w:rsid w:val="00C105A5"/>
    <w:rsid w:val="00C10A06"/>
    <w:rsid w:val="00C12042"/>
    <w:rsid w:val="00C1233E"/>
    <w:rsid w:val="00C12C14"/>
    <w:rsid w:val="00C12E13"/>
    <w:rsid w:val="00C13278"/>
    <w:rsid w:val="00C13D28"/>
    <w:rsid w:val="00C149AF"/>
    <w:rsid w:val="00C14CC8"/>
    <w:rsid w:val="00C16541"/>
    <w:rsid w:val="00C17D2F"/>
    <w:rsid w:val="00C200AA"/>
    <w:rsid w:val="00C212D1"/>
    <w:rsid w:val="00C21E25"/>
    <w:rsid w:val="00C22471"/>
    <w:rsid w:val="00C225A1"/>
    <w:rsid w:val="00C237ED"/>
    <w:rsid w:val="00C24632"/>
    <w:rsid w:val="00C24E8D"/>
    <w:rsid w:val="00C25418"/>
    <w:rsid w:val="00C255B0"/>
    <w:rsid w:val="00C25D9C"/>
    <w:rsid w:val="00C26FBC"/>
    <w:rsid w:val="00C2778B"/>
    <w:rsid w:val="00C27F23"/>
    <w:rsid w:val="00C30607"/>
    <w:rsid w:val="00C308B8"/>
    <w:rsid w:val="00C31622"/>
    <w:rsid w:val="00C31649"/>
    <w:rsid w:val="00C319B2"/>
    <w:rsid w:val="00C33627"/>
    <w:rsid w:val="00C33710"/>
    <w:rsid w:val="00C33847"/>
    <w:rsid w:val="00C34982"/>
    <w:rsid w:val="00C34B8F"/>
    <w:rsid w:val="00C34D93"/>
    <w:rsid w:val="00C36734"/>
    <w:rsid w:val="00C40385"/>
    <w:rsid w:val="00C40560"/>
    <w:rsid w:val="00C40586"/>
    <w:rsid w:val="00C40BFC"/>
    <w:rsid w:val="00C447CC"/>
    <w:rsid w:val="00C451A8"/>
    <w:rsid w:val="00C453A7"/>
    <w:rsid w:val="00C45AFF"/>
    <w:rsid w:val="00C47229"/>
    <w:rsid w:val="00C475AA"/>
    <w:rsid w:val="00C47CA8"/>
    <w:rsid w:val="00C47F9B"/>
    <w:rsid w:val="00C50100"/>
    <w:rsid w:val="00C50626"/>
    <w:rsid w:val="00C50895"/>
    <w:rsid w:val="00C511C1"/>
    <w:rsid w:val="00C514F9"/>
    <w:rsid w:val="00C51B31"/>
    <w:rsid w:val="00C52029"/>
    <w:rsid w:val="00C53BFB"/>
    <w:rsid w:val="00C55393"/>
    <w:rsid w:val="00C56AC8"/>
    <w:rsid w:val="00C578CD"/>
    <w:rsid w:val="00C60317"/>
    <w:rsid w:val="00C60549"/>
    <w:rsid w:val="00C609D4"/>
    <w:rsid w:val="00C6127C"/>
    <w:rsid w:val="00C621B1"/>
    <w:rsid w:val="00C62A2D"/>
    <w:rsid w:val="00C64B25"/>
    <w:rsid w:val="00C64C12"/>
    <w:rsid w:val="00C65576"/>
    <w:rsid w:val="00C65A76"/>
    <w:rsid w:val="00C66165"/>
    <w:rsid w:val="00C66601"/>
    <w:rsid w:val="00C6787A"/>
    <w:rsid w:val="00C70245"/>
    <w:rsid w:val="00C71249"/>
    <w:rsid w:val="00C71505"/>
    <w:rsid w:val="00C7151A"/>
    <w:rsid w:val="00C71F60"/>
    <w:rsid w:val="00C72241"/>
    <w:rsid w:val="00C72A24"/>
    <w:rsid w:val="00C74AEC"/>
    <w:rsid w:val="00C74FBC"/>
    <w:rsid w:val="00C750C8"/>
    <w:rsid w:val="00C7560F"/>
    <w:rsid w:val="00C76128"/>
    <w:rsid w:val="00C76963"/>
    <w:rsid w:val="00C7747D"/>
    <w:rsid w:val="00C802CE"/>
    <w:rsid w:val="00C80A0E"/>
    <w:rsid w:val="00C8213F"/>
    <w:rsid w:val="00C823C9"/>
    <w:rsid w:val="00C82C9A"/>
    <w:rsid w:val="00C82F07"/>
    <w:rsid w:val="00C831A9"/>
    <w:rsid w:val="00C83275"/>
    <w:rsid w:val="00C838D1"/>
    <w:rsid w:val="00C854AC"/>
    <w:rsid w:val="00C8600D"/>
    <w:rsid w:val="00C86E9F"/>
    <w:rsid w:val="00C8797A"/>
    <w:rsid w:val="00C900B8"/>
    <w:rsid w:val="00C90C71"/>
    <w:rsid w:val="00C90E89"/>
    <w:rsid w:val="00C910B7"/>
    <w:rsid w:val="00C9185A"/>
    <w:rsid w:val="00C91909"/>
    <w:rsid w:val="00C91FE7"/>
    <w:rsid w:val="00C92389"/>
    <w:rsid w:val="00C930D1"/>
    <w:rsid w:val="00C9310C"/>
    <w:rsid w:val="00C931CF"/>
    <w:rsid w:val="00C93819"/>
    <w:rsid w:val="00C938CF"/>
    <w:rsid w:val="00C944CD"/>
    <w:rsid w:val="00C95CB0"/>
    <w:rsid w:val="00C9624D"/>
    <w:rsid w:val="00C965BF"/>
    <w:rsid w:val="00C965C4"/>
    <w:rsid w:val="00C969DA"/>
    <w:rsid w:val="00CA1842"/>
    <w:rsid w:val="00CA298C"/>
    <w:rsid w:val="00CA2AF8"/>
    <w:rsid w:val="00CA2C77"/>
    <w:rsid w:val="00CA35A1"/>
    <w:rsid w:val="00CA444F"/>
    <w:rsid w:val="00CA4595"/>
    <w:rsid w:val="00CA5245"/>
    <w:rsid w:val="00CA71F4"/>
    <w:rsid w:val="00CA7713"/>
    <w:rsid w:val="00CA7B09"/>
    <w:rsid w:val="00CB02A4"/>
    <w:rsid w:val="00CB0460"/>
    <w:rsid w:val="00CB1589"/>
    <w:rsid w:val="00CB15B2"/>
    <w:rsid w:val="00CB1ED1"/>
    <w:rsid w:val="00CB234A"/>
    <w:rsid w:val="00CB2F2A"/>
    <w:rsid w:val="00CB5B1A"/>
    <w:rsid w:val="00CB5FD0"/>
    <w:rsid w:val="00CB643F"/>
    <w:rsid w:val="00CB6B22"/>
    <w:rsid w:val="00CB6B94"/>
    <w:rsid w:val="00CB783B"/>
    <w:rsid w:val="00CB78A8"/>
    <w:rsid w:val="00CB79D7"/>
    <w:rsid w:val="00CB7F5F"/>
    <w:rsid w:val="00CC0220"/>
    <w:rsid w:val="00CC13C4"/>
    <w:rsid w:val="00CC1B39"/>
    <w:rsid w:val="00CC1C7F"/>
    <w:rsid w:val="00CC2D3C"/>
    <w:rsid w:val="00CC2F48"/>
    <w:rsid w:val="00CC34D1"/>
    <w:rsid w:val="00CC38E7"/>
    <w:rsid w:val="00CC4406"/>
    <w:rsid w:val="00CC4AA6"/>
    <w:rsid w:val="00CC4ECD"/>
    <w:rsid w:val="00CC5005"/>
    <w:rsid w:val="00CC6694"/>
    <w:rsid w:val="00CC7E9F"/>
    <w:rsid w:val="00CD0101"/>
    <w:rsid w:val="00CD05BA"/>
    <w:rsid w:val="00CD16AD"/>
    <w:rsid w:val="00CD3678"/>
    <w:rsid w:val="00CD3BC1"/>
    <w:rsid w:val="00CD5EAE"/>
    <w:rsid w:val="00CD6965"/>
    <w:rsid w:val="00CD6ADC"/>
    <w:rsid w:val="00CD765F"/>
    <w:rsid w:val="00CE1A9D"/>
    <w:rsid w:val="00CE22DA"/>
    <w:rsid w:val="00CE249F"/>
    <w:rsid w:val="00CE2FA4"/>
    <w:rsid w:val="00CE5171"/>
    <w:rsid w:val="00CE5EA3"/>
    <w:rsid w:val="00CE615A"/>
    <w:rsid w:val="00CE6274"/>
    <w:rsid w:val="00CE74FA"/>
    <w:rsid w:val="00CE7937"/>
    <w:rsid w:val="00CE7CF7"/>
    <w:rsid w:val="00CF0EA2"/>
    <w:rsid w:val="00CF0EAB"/>
    <w:rsid w:val="00CF0EE7"/>
    <w:rsid w:val="00CF1B19"/>
    <w:rsid w:val="00CF293D"/>
    <w:rsid w:val="00CF2B8D"/>
    <w:rsid w:val="00CF2D11"/>
    <w:rsid w:val="00CF456B"/>
    <w:rsid w:val="00CF5A22"/>
    <w:rsid w:val="00CF60E7"/>
    <w:rsid w:val="00D0064A"/>
    <w:rsid w:val="00D01129"/>
    <w:rsid w:val="00D025B8"/>
    <w:rsid w:val="00D0262E"/>
    <w:rsid w:val="00D02F11"/>
    <w:rsid w:val="00D03BE3"/>
    <w:rsid w:val="00D03CBA"/>
    <w:rsid w:val="00D0474D"/>
    <w:rsid w:val="00D04A65"/>
    <w:rsid w:val="00D04FE0"/>
    <w:rsid w:val="00D05DF0"/>
    <w:rsid w:val="00D078AB"/>
    <w:rsid w:val="00D07AA9"/>
    <w:rsid w:val="00D07DFC"/>
    <w:rsid w:val="00D103D7"/>
    <w:rsid w:val="00D10829"/>
    <w:rsid w:val="00D110BD"/>
    <w:rsid w:val="00D13675"/>
    <w:rsid w:val="00D13A08"/>
    <w:rsid w:val="00D141E1"/>
    <w:rsid w:val="00D172D7"/>
    <w:rsid w:val="00D175BD"/>
    <w:rsid w:val="00D17D6C"/>
    <w:rsid w:val="00D2372A"/>
    <w:rsid w:val="00D24504"/>
    <w:rsid w:val="00D25C64"/>
    <w:rsid w:val="00D263CD"/>
    <w:rsid w:val="00D26662"/>
    <w:rsid w:val="00D26D67"/>
    <w:rsid w:val="00D2754D"/>
    <w:rsid w:val="00D278EE"/>
    <w:rsid w:val="00D27A35"/>
    <w:rsid w:val="00D27B27"/>
    <w:rsid w:val="00D27EC7"/>
    <w:rsid w:val="00D303A0"/>
    <w:rsid w:val="00D30F27"/>
    <w:rsid w:val="00D3235B"/>
    <w:rsid w:val="00D33B61"/>
    <w:rsid w:val="00D33BE9"/>
    <w:rsid w:val="00D33DF8"/>
    <w:rsid w:val="00D3401B"/>
    <w:rsid w:val="00D347F7"/>
    <w:rsid w:val="00D357FF"/>
    <w:rsid w:val="00D35A94"/>
    <w:rsid w:val="00D35C67"/>
    <w:rsid w:val="00D3721A"/>
    <w:rsid w:val="00D379F0"/>
    <w:rsid w:val="00D379FC"/>
    <w:rsid w:val="00D4167C"/>
    <w:rsid w:val="00D41DEE"/>
    <w:rsid w:val="00D424C7"/>
    <w:rsid w:val="00D426AC"/>
    <w:rsid w:val="00D43749"/>
    <w:rsid w:val="00D43B2A"/>
    <w:rsid w:val="00D450C9"/>
    <w:rsid w:val="00D45D88"/>
    <w:rsid w:val="00D47575"/>
    <w:rsid w:val="00D50465"/>
    <w:rsid w:val="00D505C6"/>
    <w:rsid w:val="00D5176B"/>
    <w:rsid w:val="00D53725"/>
    <w:rsid w:val="00D548E9"/>
    <w:rsid w:val="00D55285"/>
    <w:rsid w:val="00D55422"/>
    <w:rsid w:val="00D556DB"/>
    <w:rsid w:val="00D55BEF"/>
    <w:rsid w:val="00D55C7C"/>
    <w:rsid w:val="00D561CE"/>
    <w:rsid w:val="00D56285"/>
    <w:rsid w:val="00D56480"/>
    <w:rsid w:val="00D56814"/>
    <w:rsid w:val="00D6073D"/>
    <w:rsid w:val="00D619D8"/>
    <w:rsid w:val="00D6233C"/>
    <w:rsid w:val="00D63A87"/>
    <w:rsid w:val="00D63CC7"/>
    <w:rsid w:val="00D64274"/>
    <w:rsid w:val="00D6485E"/>
    <w:rsid w:val="00D64FC2"/>
    <w:rsid w:val="00D656F5"/>
    <w:rsid w:val="00D65954"/>
    <w:rsid w:val="00D65DC5"/>
    <w:rsid w:val="00D6663F"/>
    <w:rsid w:val="00D67A80"/>
    <w:rsid w:val="00D67AC6"/>
    <w:rsid w:val="00D7051A"/>
    <w:rsid w:val="00D70633"/>
    <w:rsid w:val="00D70F16"/>
    <w:rsid w:val="00D714E4"/>
    <w:rsid w:val="00D723DF"/>
    <w:rsid w:val="00D73124"/>
    <w:rsid w:val="00D73689"/>
    <w:rsid w:val="00D73CE1"/>
    <w:rsid w:val="00D73CF2"/>
    <w:rsid w:val="00D745FD"/>
    <w:rsid w:val="00D7466E"/>
    <w:rsid w:val="00D74B0A"/>
    <w:rsid w:val="00D7520C"/>
    <w:rsid w:val="00D75757"/>
    <w:rsid w:val="00D75BDD"/>
    <w:rsid w:val="00D76244"/>
    <w:rsid w:val="00D76A44"/>
    <w:rsid w:val="00D76BC7"/>
    <w:rsid w:val="00D76F24"/>
    <w:rsid w:val="00D770C6"/>
    <w:rsid w:val="00D770E9"/>
    <w:rsid w:val="00D77140"/>
    <w:rsid w:val="00D77486"/>
    <w:rsid w:val="00D77567"/>
    <w:rsid w:val="00D815EF"/>
    <w:rsid w:val="00D82AA7"/>
    <w:rsid w:val="00D83072"/>
    <w:rsid w:val="00D837E5"/>
    <w:rsid w:val="00D840F8"/>
    <w:rsid w:val="00D843A8"/>
    <w:rsid w:val="00D84978"/>
    <w:rsid w:val="00D87F0B"/>
    <w:rsid w:val="00D917AB"/>
    <w:rsid w:val="00D91923"/>
    <w:rsid w:val="00D925D7"/>
    <w:rsid w:val="00D93753"/>
    <w:rsid w:val="00D93C4D"/>
    <w:rsid w:val="00D952BB"/>
    <w:rsid w:val="00D95389"/>
    <w:rsid w:val="00D95CA3"/>
    <w:rsid w:val="00D95D83"/>
    <w:rsid w:val="00DA029A"/>
    <w:rsid w:val="00DA16C9"/>
    <w:rsid w:val="00DA1EB6"/>
    <w:rsid w:val="00DA3036"/>
    <w:rsid w:val="00DA3167"/>
    <w:rsid w:val="00DA3371"/>
    <w:rsid w:val="00DA4DC3"/>
    <w:rsid w:val="00DA53D4"/>
    <w:rsid w:val="00DA6504"/>
    <w:rsid w:val="00DA69F9"/>
    <w:rsid w:val="00DA77A5"/>
    <w:rsid w:val="00DA78E3"/>
    <w:rsid w:val="00DA7AB5"/>
    <w:rsid w:val="00DB02D1"/>
    <w:rsid w:val="00DB0438"/>
    <w:rsid w:val="00DB36FC"/>
    <w:rsid w:val="00DB3F9C"/>
    <w:rsid w:val="00DB413F"/>
    <w:rsid w:val="00DB4600"/>
    <w:rsid w:val="00DB4665"/>
    <w:rsid w:val="00DB484F"/>
    <w:rsid w:val="00DB4F7C"/>
    <w:rsid w:val="00DB563D"/>
    <w:rsid w:val="00DB63DB"/>
    <w:rsid w:val="00DB6E71"/>
    <w:rsid w:val="00DC04F6"/>
    <w:rsid w:val="00DC0A7C"/>
    <w:rsid w:val="00DC1E31"/>
    <w:rsid w:val="00DC22B8"/>
    <w:rsid w:val="00DC2C9C"/>
    <w:rsid w:val="00DC2F29"/>
    <w:rsid w:val="00DC3A26"/>
    <w:rsid w:val="00DC3C57"/>
    <w:rsid w:val="00DC3DD0"/>
    <w:rsid w:val="00DC47F7"/>
    <w:rsid w:val="00DC5171"/>
    <w:rsid w:val="00DC5501"/>
    <w:rsid w:val="00DC564D"/>
    <w:rsid w:val="00DC5EA1"/>
    <w:rsid w:val="00DC679C"/>
    <w:rsid w:val="00DC69F8"/>
    <w:rsid w:val="00DC7199"/>
    <w:rsid w:val="00DC7FC3"/>
    <w:rsid w:val="00DD06B7"/>
    <w:rsid w:val="00DD0995"/>
    <w:rsid w:val="00DD2715"/>
    <w:rsid w:val="00DD273C"/>
    <w:rsid w:val="00DD29E4"/>
    <w:rsid w:val="00DD3F28"/>
    <w:rsid w:val="00DD4351"/>
    <w:rsid w:val="00DD4537"/>
    <w:rsid w:val="00DD4E15"/>
    <w:rsid w:val="00DD5BF4"/>
    <w:rsid w:val="00DD5EB4"/>
    <w:rsid w:val="00DE01B2"/>
    <w:rsid w:val="00DE0E25"/>
    <w:rsid w:val="00DE10D4"/>
    <w:rsid w:val="00DE19B3"/>
    <w:rsid w:val="00DE1B94"/>
    <w:rsid w:val="00DE2119"/>
    <w:rsid w:val="00DE2317"/>
    <w:rsid w:val="00DE2C5E"/>
    <w:rsid w:val="00DE2C74"/>
    <w:rsid w:val="00DE3138"/>
    <w:rsid w:val="00DE37F8"/>
    <w:rsid w:val="00DE42F7"/>
    <w:rsid w:val="00DE4FCB"/>
    <w:rsid w:val="00DE5A0E"/>
    <w:rsid w:val="00DE68E3"/>
    <w:rsid w:val="00DE73A3"/>
    <w:rsid w:val="00DE7673"/>
    <w:rsid w:val="00DE7832"/>
    <w:rsid w:val="00DE7BEA"/>
    <w:rsid w:val="00DF0B70"/>
    <w:rsid w:val="00DF14D7"/>
    <w:rsid w:val="00DF18A6"/>
    <w:rsid w:val="00DF18FC"/>
    <w:rsid w:val="00DF2058"/>
    <w:rsid w:val="00DF29DB"/>
    <w:rsid w:val="00DF2AA6"/>
    <w:rsid w:val="00DF511E"/>
    <w:rsid w:val="00DF5926"/>
    <w:rsid w:val="00DF5B76"/>
    <w:rsid w:val="00DF5D2B"/>
    <w:rsid w:val="00DF6236"/>
    <w:rsid w:val="00E00E8E"/>
    <w:rsid w:val="00E01F71"/>
    <w:rsid w:val="00E02572"/>
    <w:rsid w:val="00E04625"/>
    <w:rsid w:val="00E047EB"/>
    <w:rsid w:val="00E04859"/>
    <w:rsid w:val="00E05630"/>
    <w:rsid w:val="00E06547"/>
    <w:rsid w:val="00E06A1C"/>
    <w:rsid w:val="00E06DBB"/>
    <w:rsid w:val="00E078F7"/>
    <w:rsid w:val="00E1009C"/>
    <w:rsid w:val="00E10149"/>
    <w:rsid w:val="00E105CB"/>
    <w:rsid w:val="00E117D7"/>
    <w:rsid w:val="00E118E3"/>
    <w:rsid w:val="00E11A05"/>
    <w:rsid w:val="00E1270F"/>
    <w:rsid w:val="00E12F90"/>
    <w:rsid w:val="00E13A2F"/>
    <w:rsid w:val="00E13DB9"/>
    <w:rsid w:val="00E144BE"/>
    <w:rsid w:val="00E15738"/>
    <w:rsid w:val="00E15BBA"/>
    <w:rsid w:val="00E16372"/>
    <w:rsid w:val="00E1648E"/>
    <w:rsid w:val="00E17118"/>
    <w:rsid w:val="00E17FEB"/>
    <w:rsid w:val="00E2027E"/>
    <w:rsid w:val="00E20E4D"/>
    <w:rsid w:val="00E20ED6"/>
    <w:rsid w:val="00E21358"/>
    <w:rsid w:val="00E2249B"/>
    <w:rsid w:val="00E22A0D"/>
    <w:rsid w:val="00E22CC3"/>
    <w:rsid w:val="00E23EF5"/>
    <w:rsid w:val="00E26C14"/>
    <w:rsid w:val="00E27481"/>
    <w:rsid w:val="00E2771E"/>
    <w:rsid w:val="00E279D9"/>
    <w:rsid w:val="00E304DC"/>
    <w:rsid w:val="00E30D38"/>
    <w:rsid w:val="00E315D6"/>
    <w:rsid w:val="00E318EC"/>
    <w:rsid w:val="00E31B64"/>
    <w:rsid w:val="00E3256C"/>
    <w:rsid w:val="00E335FB"/>
    <w:rsid w:val="00E34948"/>
    <w:rsid w:val="00E373E4"/>
    <w:rsid w:val="00E37569"/>
    <w:rsid w:val="00E37681"/>
    <w:rsid w:val="00E40EAC"/>
    <w:rsid w:val="00E41AB0"/>
    <w:rsid w:val="00E41E30"/>
    <w:rsid w:val="00E42DE1"/>
    <w:rsid w:val="00E432A1"/>
    <w:rsid w:val="00E434F6"/>
    <w:rsid w:val="00E43D70"/>
    <w:rsid w:val="00E4419D"/>
    <w:rsid w:val="00E449EB"/>
    <w:rsid w:val="00E46272"/>
    <w:rsid w:val="00E4633F"/>
    <w:rsid w:val="00E466F3"/>
    <w:rsid w:val="00E46BA8"/>
    <w:rsid w:val="00E476F9"/>
    <w:rsid w:val="00E47B2C"/>
    <w:rsid w:val="00E50D3B"/>
    <w:rsid w:val="00E50D75"/>
    <w:rsid w:val="00E51560"/>
    <w:rsid w:val="00E52067"/>
    <w:rsid w:val="00E52A2A"/>
    <w:rsid w:val="00E54347"/>
    <w:rsid w:val="00E54771"/>
    <w:rsid w:val="00E54EB8"/>
    <w:rsid w:val="00E55424"/>
    <w:rsid w:val="00E55BB5"/>
    <w:rsid w:val="00E57103"/>
    <w:rsid w:val="00E5710A"/>
    <w:rsid w:val="00E57301"/>
    <w:rsid w:val="00E57A97"/>
    <w:rsid w:val="00E608E8"/>
    <w:rsid w:val="00E6096B"/>
    <w:rsid w:val="00E609DE"/>
    <w:rsid w:val="00E60AA0"/>
    <w:rsid w:val="00E61317"/>
    <w:rsid w:val="00E622D0"/>
    <w:rsid w:val="00E63843"/>
    <w:rsid w:val="00E64A3E"/>
    <w:rsid w:val="00E64CF2"/>
    <w:rsid w:val="00E658D4"/>
    <w:rsid w:val="00E65E62"/>
    <w:rsid w:val="00E65E79"/>
    <w:rsid w:val="00E66643"/>
    <w:rsid w:val="00E66BA2"/>
    <w:rsid w:val="00E67416"/>
    <w:rsid w:val="00E675AF"/>
    <w:rsid w:val="00E676AD"/>
    <w:rsid w:val="00E71226"/>
    <w:rsid w:val="00E718B6"/>
    <w:rsid w:val="00E723BA"/>
    <w:rsid w:val="00E725D2"/>
    <w:rsid w:val="00E73268"/>
    <w:rsid w:val="00E73581"/>
    <w:rsid w:val="00E758D9"/>
    <w:rsid w:val="00E76185"/>
    <w:rsid w:val="00E7662E"/>
    <w:rsid w:val="00E77DEE"/>
    <w:rsid w:val="00E80D3C"/>
    <w:rsid w:val="00E818B5"/>
    <w:rsid w:val="00E82EFA"/>
    <w:rsid w:val="00E833F7"/>
    <w:rsid w:val="00E83BDF"/>
    <w:rsid w:val="00E83F6F"/>
    <w:rsid w:val="00E84C91"/>
    <w:rsid w:val="00E85468"/>
    <w:rsid w:val="00E85EB1"/>
    <w:rsid w:val="00E868E5"/>
    <w:rsid w:val="00E871FD"/>
    <w:rsid w:val="00E87294"/>
    <w:rsid w:val="00E87A1D"/>
    <w:rsid w:val="00E90AE6"/>
    <w:rsid w:val="00E90B28"/>
    <w:rsid w:val="00E914B1"/>
    <w:rsid w:val="00E917B7"/>
    <w:rsid w:val="00E91F13"/>
    <w:rsid w:val="00E926A5"/>
    <w:rsid w:val="00E92FCD"/>
    <w:rsid w:val="00E93233"/>
    <w:rsid w:val="00E93423"/>
    <w:rsid w:val="00E9448C"/>
    <w:rsid w:val="00E946CB"/>
    <w:rsid w:val="00E948F9"/>
    <w:rsid w:val="00E94B8D"/>
    <w:rsid w:val="00E94D71"/>
    <w:rsid w:val="00E966CA"/>
    <w:rsid w:val="00E97443"/>
    <w:rsid w:val="00EA0E89"/>
    <w:rsid w:val="00EA17C3"/>
    <w:rsid w:val="00EA222A"/>
    <w:rsid w:val="00EA2657"/>
    <w:rsid w:val="00EA2B97"/>
    <w:rsid w:val="00EA2CAA"/>
    <w:rsid w:val="00EA34B6"/>
    <w:rsid w:val="00EA3676"/>
    <w:rsid w:val="00EA3864"/>
    <w:rsid w:val="00EA454F"/>
    <w:rsid w:val="00EA5A3D"/>
    <w:rsid w:val="00EA5CBB"/>
    <w:rsid w:val="00EA66BF"/>
    <w:rsid w:val="00EA6BCB"/>
    <w:rsid w:val="00EB0D4F"/>
    <w:rsid w:val="00EB15B6"/>
    <w:rsid w:val="00EB1E54"/>
    <w:rsid w:val="00EB4916"/>
    <w:rsid w:val="00EB7273"/>
    <w:rsid w:val="00EC00C9"/>
    <w:rsid w:val="00EC048A"/>
    <w:rsid w:val="00EC0EB4"/>
    <w:rsid w:val="00EC1749"/>
    <w:rsid w:val="00EC2649"/>
    <w:rsid w:val="00EC3F0E"/>
    <w:rsid w:val="00EC4B56"/>
    <w:rsid w:val="00EC57F4"/>
    <w:rsid w:val="00EC58CB"/>
    <w:rsid w:val="00EC5AD9"/>
    <w:rsid w:val="00EC6685"/>
    <w:rsid w:val="00EC70B5"/>
    <w:rsid w:val="00EC7858"/>
    <w:rsid w:val="00ED0DE7"/>
    <w:rsid w:val="00ED0FFD"/>
    <w:rsid w:val="00ED200E"/>
    <w:rsid w:val="00ED35EB"/>
    <w:rsid w:val="00ED4033"/>
    <w:rsid w:val="00ED4E0A"/>
    <w:rsid w:val="00ED57EA"/>
    <w:rsid w:val="00ED6BD5"/>
    <w:rsid w:val="00ED749B"/>
    <w:rsid w:val="00EE07D3"/>
    <w:rsid w:val="00EE0B06"/>
    <w:rsid w:val="00EE0CC8"/>
    <w:rsid w:val="00EE16B1"/>
    <w:rsid w:val="00EE1B9D"/>
    <w:rsid w:val="00EE22AF"/>
    <w:rsid w:val="00EE2908"/>
    <w:rsid w:val="00EE2C3E"/>
    <w:rsid w:val="00EE3A5E"/>
    <w:rsid w:val="00EE4028"/>
    <w:rsid w:val="00EE45E3"/>
    <w:rsid w:val="00EE469C"/>
    <w:rsid w:val="00EE4878"/>
    <w:rsid w:val="00EE58AF"/>
    <w:rsid w:val="00EE64C6"/>
    <w:rsid w:val="00EE6BD8"/>
    <w:rsid w:val="00EE6D05"/>
    <w:rsid w:val="00EE7E45"/>
    <w:rsid w:val="00EF0171"/>
    <w:rsid w:val="00EF03C0"/>
    <w:rsid w:val="00EF11AB"/>
    <w:rsid w:val="00EF1AD6"/>
    <w:rsid w:val="00EF1B25"/>
    <w:rsid w:val="00EF2D6D"/>
    <w:rsid w:val="00EF2FF3"/>
    <w:rsid w:val="00EF3424"/>
    <w:rsid w:val="00EF382E"/>
    <w:rsid w:val="00EF39F3"/>
    <w:rsid w:val="00EF3CA6"/>
    <w:rsid w:val="00EF45F3"/>
    <w:rsid w:val="00EF4747"/>
    <w:rsid w:val="00EF4AD8"/>
    <w:rsid w:val="00EF4BF8"/>
    <w:rsid w:val="00EF4D7A"/>
    <w:rsid w:val="00EF527A"/>
    <w:rsid w:val="00EF52A2"/>
    <w:rsid w:val="00EF62EC"/>
    <w:rsid w:val="00EF6B98"/>
    <w:rsid w:val="00EF7FB9"/>
    <w:rsid w:val="00F0007A"/>
    <w:rsid w:val="00F007EE"/>
    <w:rsid w:val="00F0110B"/>
    <w:rsid w:val="00F01C63"/>
    <w:rsid w:val="00F01DDC"/>
    <w:rsid w:val="00F02253"/>
    <w:rsid w:val="00F039C2"/>
    <w:rsid w:val="00F03C2E"/>
    <w:rsid w:val="00F04A66"/>
    <w:rsid w:val="00F0516C"/>
    <w:rsid w:val="00F064FB"/>
    <w:rsid w:val="00F067A2"/>
    <w:rsid w:val="00F06897"/>
    <w:rsid w:val="00F075C4"/>
    <w:rsid w:val="00F1193C"/>
    <w:rsid w:val="00F1263A"/>
    <w:rsid w:val="00F12E29"/>
    <w:rsid w:val="00F133BA"/>
    <w:rsid w:val="00F139FB"/>
    <w:rsid w:val="00F14601"/>
    <w:rsid w:val="00F14CA6"/>
    <w:rsid w:val="00F15424"/>
    <w:rsid w:val="00F158C7"/>
    <w:rsid w:val="00F16109"/>
    <w:rsid w:val="00F16DF5"/>
    <w:rsid w:val="00F17819"/>
    <w:rsid w:val="00F2106B"/>
    <w:rsid w:val="00F225F9"/>
    <w:rsid w:val="00F22B5A"/>
    <w:rsid w:val="00F24097"/>
    <w:rsid w:val="00F24837"/>
    <w:rsid w:val="00F2575F"/>
    <w:rsid w:val="00F267A5"/>
    <w:rsid w:val="00F26B94"/>
    <w:rsid w:val="00F26ED0"/>
    <w:rsid w:val="00F27565"/>
    <w:rsid w:val="00F310D4"/>
    <w:rsid w:val="00F31174"/>
    <w:rsid w:val="00F311FE"/>
    <w:rsid w:val="00F31633"/>
    <w:rsid w:val="00F31D5A"/>
    <w:rsid w:val="00F328A2"/>
    <w:rsid w:val="00F33772"/>
    <w:rsid w:val="00F33DE9"/>
    <w:rsid w:val="00F33F6A"/>
    <w:rsid w:val="00F34CC1"/>
    <w:rsid w:val="00F35058"/>
    <w:rsid w:val="00F35798"/>
    <w:rsid w:val="00F3619A"/>
    <w:rsid w:val="00F379B2"/>
    <w:rsid w:val="00F4024E"/>
    <w:rsid w:val="00F40907"/>
    <w:rsid w:val="00F40AAA"/>
    <w:rsid w:val="00F40BA7"/>
    <w:rsid w:val="00F418C6"/>
    <w:rsid w:val="00F41926"/>
    <w:rsid w:val="00F41BF1"/>
    <w:rsid w:val="00F42A3F"/>
    <w:rsid w:val="00F43A06"/>
    <w:rsid w:val="00F44654"/>
    <w:rsid w:val="00F46063"/>
    <w:rsid w:val="00F46CB6"/>
    <w:rsid w:val="00F46E6C"/>
    <w:rsid w:val="00F47DE8"/>
    <w:rsid w:val="00F47FCC"/>
    <w:rsid w:val="00F50122"/>
    <w:rsid w:val="00F50D54"/>
    <w:rsid w:val="00F5116F"/>
    <w:rsid w:val="00F51690"/>
    <w:rsid w:val="00F5276F"/>
    <w:rsid w:val="00F53433"/>
    <w:rsid w:val="00F542C1"/>
    <w:rsid w:val="00F54DCB"/>
    <w:rsid w:val="00F55ACA"/>
    <w:rsid w:val="00F55E73"/>
    <w:rsid w:val="00F55EDA"/>
    <w:rsid w:val="00F56A0C"/>
    <w:rsid w:val="00F60092"/>
    <w:rsid w:val="00F600F4"/>
    <w:rsid w:val="00F60CFB"/>
    <w:rsid w:val="00F6249B"/>
    <w:rsid w:val="00F62FF8"/>
    <w:rsid w:val="00F643F6"/>
    <w:rsid w:val="00F64568"/>
    <w:rsid w:val="00F6468B"/>
    <w:rsid w:val="00F6484B"/>
    <w:rsid w:val="00F64ACE"/>
    <w:rsid w:val="00F65082"/>
    <w:rsid w:val="00F65901"/>
    <w:rsid w:val="00F65D1B"/>
    <w:rsid w:val="00F65F4B"/>
    <w:rsid w:val="00F65FEF"/>
    <w:rsid w:val="00F661EE"/>
    <w:rsid w:val="00F664E0"/>
    <w:rsid w:val="00F6679D"/>
    <w:rsid w:val="00F66ECC"/>
    <w:rsid w:val="00F67E0A"/>
    <w:rsid w:val="00F707B4"/>
    <w:rsid w:val="00F70C9D"/>
    <w:rsid w:val="00F710B8"/>
    <w:rsid w:val="00F726C8"/>
    <w:rsid w:val="00F732D5"/>
    <w:rsid w:val="00F74CD9"/>
    <w:rsid w:val="00F75E6D"/>
    <w:rsid w:val="00F7631C"/>
    <w:rsid w:val="00F764C6"/>
    <w:rsid w:val="00F77EC1"/>
    <w:rsid w:val="00F80A7B"/>
    <w:rsid w:val="00F80CDC"/>
    <w:rsid w:val="00F80E5D"/>
    <w:rsid w:val="00F81F17"/>
    <w:rsid w:val="00F824A1"/>
    <w:rsid w:val="00F82DD3"/>
    <w:rsid w:val="00F835B5"/>
    <w:rsid w:val="00F839D0"/>
    <w:rsid w:val="00F84127"/>
    <w:rsid w:val="00F844F3"/>
    <w:rsid w:val="00F8472A"/>
    <w:rsid w:val="00F850B2"/>
    <w:rsid w:val="00F851CE"/>
    <w:rsid w:val="00F86F17"/>
    <w:rsid w:val="00F86F36"/>
    <w:rsid w:val="00F878F6"/>
    <w:rsid w:val="00F90827"/>
    <w:rsid w:val="00F91219"/>
    <w:rsid w:val="00F925BC"/>
    <w:rsid w:val="00F9479C"/>
    <w:rsid w:val="00F94E6F"/>
    <w:rsid w:val="00F9508D"/>
    <w:rsid w:val="00F95599"/>
    <w:rsid w:val="00F9646D"/>
    <w:rsid w:val="00F97A78"/>
    <w:rsid w:val="00F97B14"/>
    <w:rsid w:val="00F97EE5"/>
    <w:rsid w:val="00FA008B"/>
    <w:rsid w:val="00FA0323"/>
    <w:rsid w:val="00FA07C3"/>
    <w:rsid w:val="00FA092B"/>
    <w:rsid w:val="00FA0B20"/>
    <w:rsid w:val="00FA13B1"/>
    <w:rsid w:val="00FA1B3B"/>
    <w:rsid w:val="00FA229D"/>
    <w:rsid w:val="00FA2451"/>
    <w:rsid w:val="00FA24E7"/>
    <w:rsid w:val="00FA3473"/>
    <w:rsid w:val="00FA5152"/>
    <w:rsid w:val="00FA552C"/>
    <w:rsid w:val="00FA6E19"/>
    <w:rsid w:val="00FB00A7"/>
    <w:rsid w:val="00FB0575"/>
    <w:rsid w:val="00FB0781"/>
    <w:rsid w:val="00FB14DF"/>
    <w:rsid w:val="00FB17FD"/>
    <w:rsid w:val="00FB2187"/>
    <w:rsid w:val="00FB2B1E"/>
    <w:rsid w:val="00FB2FCB"/>
    <w:rsid w:val="00FB32AD"/>
    <w:rsid w:val="00FB3783"/>
    <w:rsid w:val="00FB3E7D"/>
    <w:rsid w:val="00FB5AF2"/>
    <w:rsid w:val="00FB6666"/>
    <w:rsid w:val="00FB71DB"/>
    <w:rsid w:val="00FB7816"/>
    <w:rsid w:val="00FC0970"/>
    <w:rsid w:val="00FC1074"/>
    <w:rsid w:val="00FC1884"/>
    <w:rsid w:val="00FC2124"/>
    <w:rsid w:val="00FC2552"/>
    <w:rsid w:val="00FC2A60"/>
    <w:rsid w:val="00FC2C2C"/>
    <w:rsid w:val="00FC371D"/>
    <w:rsid w:val="00FC5F0B"/>
    <w:rsid w:val="00FC619F"/>
    <w:rsid w:val="00FC6A7C"/>
    <w:rsid w:val="00FD0F31"/>
    <w:rsid w:val="00FD1483"/>
    <w:rsid w:val="00FD2100"/>
    <w:rsid w:val="00FD25C7"/>
    <w:rsid w:val="00FD26B7"/>
    <w:rsid w:val="00FD36A2"/>
    <w:rsid w:val="00FD3D25"/>
    <w:rsid w:val="00FD436C"/>
    <w:rsid w:val="00FD446D"/>
    <w:rsid w:val="00FD5209"/>
    <w:rsid w:val="00FD5614"/>
    <w:rsid w:val="00FD574B"/>
    <w:rsid w:val="00FD6394"/>
    <w:rsid w:val="00FE00E0"/>
    <w:rsid w:val="00FE0195"/>
    <w:rsid w:val="00FE0AB2"/>
    <w:rsid w:val="00FE0E6C"/>
    <w:rsid w:val="00FE29F6"/>
    <w:rsid w:val="00FE373E"/>
    <w:rsid w:val="00FE418B"/>
    <w:rsid w:val="00FE43D3"/>
    <w:rsid w:val="00FE5817"/>
    <w:rsid w:val="00FE5A50"/>
    <w:rsid w:val="00FE5AC7"/>
    <w:rsid w:val="00FE5B2F"/>
    <w:rsid w:val="00FE70C3"/>
    <w:rsid w:val="00FE7ABF"/>
    <w:rsid w:val="00FF0C58"/>
    <w:rsid w:val="00FF1017"/>
    <w:rsid w:val="00FF3BD0"/>
    <w:rsid w:val="00FF3DCF"/>
    <w:rsid w:val="00FF492C"/>
    <w:rsid w:val="00FF4A21"/>
    <w:rsid w:val="00FF52D4"/>
    <w:rsid w:val="00FF5AA3"/>
    <w:rsid w:val="00FF5AD8"/>
    <w:rsid w:val="00FF6274"/>
    <w:rsid w:val="00FF6570"/>
    <w:rsid w:val="00FF6609"/>
    <w:rsid w:val="00FF7E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099DD98-4EB0-4E37-9309-F355A1E4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A0"/>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SR Caption,Char,Caption2,Caption Char1 Char Char Char,Caption Char Char Char Char Char,Caption Char Char1 Char,Caption Char1 Char1,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Bayer Caption Char,IB Caption Char,Medical Caption Char,- H17 Char,CSR Caption Char,Char Char,Caption2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E2E03"/>
    <w:pPr>
      <w:outlineLvl w:val="0"/>
    </w:pPr>
    <w:rPr>
      <w:b/>
      <w:sz w:val="36"/>
      <w:szCs w:val="36"/>
    </w:rPr>
  </w:style>
  <w:style w:type="character" w:customStyle="1" w:styleId="TitleChar">
    <w:name w:val="Title Char"/>
    <w:basedOn w:val="DefaultParagraphFont"/>
    <w:link w:val="Title"/>
    <w:rsid w:val="001E2E03"/>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s Points,BulletPoints,List Paragraph1,Styl moj,Akapit z listą1,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s Points Char,BulletPoints Char,List Paragraph1 Char,Styl moj Char,Akapit z listą1 Char,Akapit z listą11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61B4B"/>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SmallItalics">
    <w:name w:val="Small Italics"/>
    <w:basedOn w:val="DefaultParagraphFont"/>
    <w:uiPriority w:val="4"/>
    <w:qFormat/>
    <w:rsid w:val="00E917B7"/>
    <w:rPr>
      <w:rFonts w:ascii="Calibri" w:hAnsi="Calibri"/>
      <w:i/>
      <w:sz w:val="20"/>
    </w:rPr>
  </w:style>
  <w:style w:type="paragraph" w:customStyle="1" w:styleId="TableText0">
    <w:name w:val="Table Text"/>
    <w:basedOn w:val="Normal"/>
    <w:qFormat/>
    <w:rsid w:val="00D770E9"/>
    <w:pPr>
      <w:keepNext/>
      <w:widowControl/>
      <w:spacing w:before="40" w:after="40"/>
      <w:jc w:val="left"/>
    </w:pPr>
    <w:rPr>
      <w:rFonts w:ascii="Arial Narrow" w:eastAsiaTheme="minorHAnsi" w:hAnsi="Arial Narrow" w:cstheme="minorBidi"/>
      <w:snapToGrid/>
      <w:sz w:val="20"/>
    </w:rPr>
  </w:style>
  <w:style w:type="character" w:customStyle="1" w:styleId="form-strength">
    <w:name w:val="form-strength"/>
    <w:basedOn w:val="DefaultParagraphFont"/>
    <w:rsid w:val="00414C3C"/>
  </w:style>
  <w:style w:type="paragraph" w:styleId="NormalIndent">
    <w:name w:val="Normal Indent"/>
    <w:basedOn w:val="Normal"/>
    <w:unhideWhenUsed/>
    <w:rsid w:val="00B15611"/>
    <w:pPr>
      <w:widowControl/>
      <w:spacing w:line="300" w:lineRule="auto"/>
      <w:ind w:left="720"/>
      <w:jc w:val="left"/>
    </w:pPr>
  </w:style>
  <w:style w:type="character" w:customStyle="1" w:styleId="CaptionFootnoteChar">
    <w:name w:val="Caption Footnote Char"/>
    <w:basedOn w:val="DefaultParagraphFont"/>
    <w:link w:val="CaptionFootnote"/>
    <w:rsid w:val="00154E6D"/>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154E6D"/>
    <w:pPr>
      <w:widowControl/>
      <w:jc w:val="left"/>
    </w:pPr>
    <w:rPr>
      <w:rFonts w:asciiTheme="minorHAnsi" w:hAnsiTheme="minorHAnsi" w:cs="Times New Roman"/>
      <w:snapToGrid/>
      <w:kern w:val="28"/>
      <w:sz w:val="16"/>
      <w:szCs w:val="24"/>
      <w:lang w:eastAsia="en-GB"/>
    </w:rPr>
  </w:style>
  <w:style w:type="table" w:customStyle="1" w:styleId="Submissionstandard">
    <w:name w:val="Submission standard"/>
    <w:basedOn w:val="TableNormal"/>
    <w:uiPriority w:val="99"/>
    <w:qFormat/>
    <w:rsid w:val="00154E6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154E6D"/>
    <w:pPr>
      <w:widowControl/>
      <w:spacing w:after="200"/>
      <w:jc w:val="left"/>
    </w:pPr>
    <w:rPr>
      <w:rFonts w:eastAsiaTheme="majorEastAsia" w:cstheme="majorBidi"/>
      <w:snapToGrid/>
      <w:sz w:val="18"/>
      <w:lang w:bidi="en-US"/>
    </w:rPr>
  </w:style>
  <w:style w:type="character" w:customStyle="1" w:styleId="TableLeftChar">
    <w:name w:val="Table Left Char"/>
    <w:basedOn w:val="DefaultParagraphFont"/>
    <w:link w:val="TableLeft"/>
    <w:uiPriority w:val="99"/>
    <w:locked/>
    <w:rsid w:val="00154E6D"/>
    <w:rPr>
      <w:rFonts w:ascii="Calibri" w:eastAsiaTheme="majorEastAsia" w:hAnsi="Calibri" w:cstheme="majorBidi"/>
      <w:sz w:val="18"/>
      <w:szCs w:val="22"/>
      <w:lang w:eastAsia="en-US" w:bidi="en-US"/>
    </w:rPr>
  </w:style>
  <w:style w:type="paragraph" w:customStyle="1" w:styleId="TableCentre">
    <w:name w:val="Table Centre"/>
    <w:basedOn w:val="Normal"/>
    <w:link w:val="TableCentreChar"/>
    <w:qFormat/>
    <w:rsid w:val="00154E6D"/>
    <w:pPr>
      <w:widowControl/>
      <w:spacing w:after="200"/>
      <w:jc w:val="center"/>
    </w:pPr>
    <w:rPr>
      <w:rFonts w:eastAsiaTheme="majorEastAsia" w:cstheme="majorBidi"/>
      <w:snapToGrid/>
      <w:sz w:val="18"/>
      <w:lang w:bidi="en-US"/>
    </w:rPr>
  </w:style>
  <w:style w:type="character" w:customStyle="1" w:styleId="TableCentreChar">
    <w:name w:val="Table Centre Char"/>
    <w:basedOn w:val="DefaultParagraphFont"/>
    <w:link w:val="TableCentre"/>
    <w:rsid w:val="00154E6D"/>
    <w:rPr>
      <w:rFonts w:ascii="Calibri" w:eastAsiaTheme="majorEastAsia" w:hAnsi="Calibri" w:cstheme="majorBidi"/>
      <w:sz w:val="18"/>
      <w:szCs w:val="22"/>
      <w:lang w:eastAsia="en-US" w:bidi="en-US"/>
    </w:rPr>
  </w:style>
  <w:style w:type="character" w:styleId="Emphasis">
    <w:name w:val="Emphasis"/>
    <w:uiPriority w:val="20"/>
    <w:qFormat/>
    <w:rsid w:val="00C76128"/>
    <w:rPr>
      <w:b/>
      <w:bCs/>
      <w:i/>
      <w:iCs/>
      <w:spacing w:val="10"/>
    </w:rPr>
  </w:style>
  <w:style w:type="character" w:styleId="IntenseEmphasis">
    <w:name w:val="Intense Emphasis"/>
    <w:uiPriority w:val="21"/>
    <w:qFormat/>
    <w:rsid w:val="00D27EC7"/>
    <w:rPr>
      <w:b/>
      <w:bCs/>
      <w:i/>
      <w:iCs/>
    </w:rPr>
  </w:style>
  <w:style w:type="table" w:customStyle="1" w:styleId="TableGrid1">
    <w:name w:val="Table Grid1"/>
    <w:basedOn w:val="TableNormal"/>
    <w:next w:val="TableGrid"/>
    <w:uiPriority w:val="59"/>
    <w:rsid w:val="000B755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0B7559"/>
    <w:rPr>
      <w:rFonts w:ascii="Calibri" w:hAnsi="Calibri"/>
      <w:sz w:val="20"/>
      <w:bdr w:val="none" w:sz="0" w:space="0" w:color="auto"/>
      <w:shd w:val="clear" w:color="auto" w:fill="FFFF00"/>
    </w:rPr>
  </w:style>
  <w:style w:type="paragraph" w:customStyle="1" w:styleId="TableHeading0">
    <w:name w:val="Table Heading"/>
    <w:basedOn w:val="Normal"/>
    <w:qFormat/>
    <w:rsid w:val="0091739C"/>
    <w:pPr>
      <w:keepNext/>
      <w:widowControl/>
      <w:spacing w:after="60"/>
      <w:jc w:val="left"/>
    </w:pPr>
    <w:rPr>
      <w:rFonts w:ascii="Arial Narrow" w:eastAsiaTheme="minorHAnsi" w:hAnsi="Arial Narrow" w:cstheme="minorBidi"/>
      <w:b/>
      <w:snapToGrid/>
      <w:sz w:val="20"/>
    </w:rPr>
  </w:style>
  <w:style w:type="paragraph" w:styleId="FootnoteText">
    <w:name w:val="footnote text"/>
    <w:basedOn w:val="Normal"/>
    <w:link w:val="FootnoteTextChar"/>
    <w:semiHidden/>
    <w:unhideWhenUsed/>
    <w:rsid w:val="004E53B4"/>
    <w:rPr>
      <w:sz w:val="20"/>
      <w:szCs w:val="20"/>
    </w:rPr>
  </w:style>
  <w:style w:type="character" w:customStyle="1" w:styleId="FootnoteTextChar">
    <w:name w:val="Footnote Text Char"/>
    <w:basedOn w:val="DefaultParagraphFont"/>
    <w:link w:val="FootnoteText"/>
    <w:semiHidden/>
    <w:rsid w:val="004E53B4"/>
    <w:rPr>
      <w:rFonts w:ascii="Calibri" w:hAnsi="Calibri" w:cs="Arial"/>
      <w:snapToGrid w:val="0"/>
      <w:lang w:eastAsia="en-US"/>
    </w:rPr>
  </w:style>
  <w:style w:type="character" w:styleId="FootnoteReference">
    <w:name w:val="footnote reference"/>
    <w:basedOn w:val="DefaultParagraphFont"/>
    <w:semiHidden/>
    <w:unhideWhenUsed/>
    <w:rsid w:val="004E53B4"/>
    <w:rPr>
      <w:vertAlign w:val="superscript"/>
    </w:rPr>
  </w:style>
  <w:style w:type="paragraph" w:styleId="Bibliography">
    <w:name w:val="Bibliography"/>
    <w:basedOn w:val="Normal"/>
    <w:next w:val="Normal"/>
    <w:uiPriority w:val="37"/>
    <w:semiHidden/>
    <w:unhideWhenUsed/>
    <w:rsid w:val="00DE2119"/>
  </w:style>
  <w:style w:type="character" w:customStyle="1" w:styleId="Heading1Char">
    <w:name w:val="Heading 1 Char"/>
    <w:basedOn w:val="DefaultParagraphFont"/>
    <w:link w:val="Heading1"/>
    <w:uiPriority w:val="1"/>
    <w:rsid w:val="00112F33"/>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147">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57897408">
      <w:bodyDiv w:val="1"/>
      <w:marLeft w:val="0"/>
      <w:marRight w:val="0"/>
      <w:marTop w:val="0"/>
      <w:marBottom w:val="0"/>
      <w:divBdr>
        <w:top w:val="none" w:sz="0" w:space="0" w:color="auto"/>
        <w:left w:val="none" w:sz="0" w:space="0" w:color="auto"/>
        <w:bottom w:val="none" w:sz="0" w:space="0" w:color="auto"/>
        <w:right w:val="none" w:sz="0" w:space="0" w:color="auto"/>
      </w:divBdr>
    </w:div>
    <w:div w:id="108817509">
      <w:bodyDiv w:val="1"/>
      <w:marLeft w:val="0"/>
      <w:marRight w:val="0"/>
      <w:marTop w:val="0"/>
      <w:marBottom w:val="0"/>
      <w:divBdr>
        <w:top w:val="none" w:sz="0" w:space="0" w:color="auto"/>
        <w:left w:val="none" w:sz="0" w:space="0" w:color="auto"/>
        <w:bottom w:val="none" w:sz="0" w:space="0" w:color="auto"/>
        <w:right w:val="none" w:sz="0" w:space="0" w:color="auto"/>
      </w:divBdr>
    </w:div>
    <w:div w:id="124467480">
      <w:bodyDiv w:val="1"/>
      <w:marLeft w:val="0"/>
      <w:marRight w:val="0"/>
      <w:marTop w:val="0"/>
      <w:marBottom w:val="0"/>
      <w:divBdr>
        <w:top w:val="none" w:sz="0" w:space="0" w:color="auto"/>
        <w:left w:val="none" w:sz="0" w:space="0" w:color="auto"/>
        <w:bottom w:val="none" w:sz="0" w:space="0" w:color="auto"/>
        <w:right w:val="none" w:sz="0" w:space="0" w:color="auto"/>
      </w:divBdr>
    </w:div>
    <w:div w:id="139269620">
      <w:bodyDiv w:val="1"/>
      <w:marLeft w:val="0"/>
      <w:marRight w:val="0"/>
      <w:marTop w:val="0"/>
      <w:marBottom w:val="0"/>
      <w:divBdr>
        <w:top w:val="none" w:sz="0" w:space="0" w:color="auto"/>
        <w:left w:val="none" w:sz="0" w:space="0" w:color="auto"/>
        <w:bottom w:val="none" w:sz="0" w:space="0" w:color="auto"/>
        <w:right w:val="none" w:sz="0" w:space="0" w:color="auto"/>
      </w:divBdr>
    </w:div>
    <w:div w:id="200095542">
      <w:bodyDiv w:val="1"/>
      <w:marLeft w:val="0"/>
      <w:marRight w:val="0"/>
      <w:marTop w:val="0"/>
      <w:marBottom w:val="0"/>
      <w:divBdr>
        <w:top w:val="none" w:sz="0" w:space="0" w:color="auto"/>
        <w:left w:val="none" w:sz="0" w:space="0" w:color="auto"/>
        <w:bottom w:val="none" w:sz="0" w:space="0" w:color="auto"/>
        <w:right w:val="none" w:sz="0" w:space="0" w:color="auto"/>
      </w:divBdr>
    </w:div>
    <w:div w:id="238755254">
      <w:bodyDiv w:val="1"/>
      <w:marLeft w:val="0"/>
      <w:marRight w:val="0"/>
      <w:marTop w:val="0"/>
      <w:marBottom w:val="0"/>
      <w:divBdr>
        <w:top w:val="none" w:sz="0" w:space="0" w:color="auto"/>
        <w:left w:val="none" w:sz="0" w:space="0" w:color="auto"/>
        <w:bottom w:val="none" w:sz="0" w:space="0" w:color="auto"/>
        <w:right w:val="none" w:sz="0" w:space="0" w:color="auto"/>
      </w:divBdr>
    </w:div>
    <w:div w:id="269507729">
      <w:bodyDiv w:val="1"/>
      <w:marLeft w:val="0"/>
      <w:marRight w:val="0"/>
      <w:marTop w:val="0"/>
      <w:marBottom w:val="0"/>
      <w:divBdr>
        <w:top w:val="none" w:sz="0" w:space="0" w:color="auto"/>
        <w:left w:val="none" w:sz="0" w:space="0" w:color="auto"/>
        <w:bottom w:val="none" w:sz="0" w:space="0" w:color="auto"/>
        <w:right w:val="none" w:sz="0" w:space="0" w:color="auto"/>
      </w:divBdr>
    </w:div>
    <w:div w:id="317150204">
      <w:bodyDiv w:val="1"/>
      <w:marLeft w:val="0"/>
      <w:marRight w:val="0"/>
      <w:marTop w:val="0"/>
      <w:marBottom w:val="0"/>
      <w:divBdr>
        <w:top w:val="none" w:sz="0" w:space="0" w:color="auto"/>
        <w:left w:val="none" w:sz="0" w:space="0" w:color="auto"/>
        <w:bottom w:val="none" w:sz="0" w:space="0" w:color="auto"/>
        <w:right w:val="none" w:sz="0" w:space="0" w:color="auto"/>
      </w:divBdr>
    </w:div>
    <w:div w:id="352537118">
      <w:bodyDiv w:val="1"/>
      <w:marLeft w:val="0"/>
      <w:marRight w:val="0"/>
      <w:marTop w:val="0"/>
      <w:marBottom w:val="0"/>
      <w:divBdr>
        <w:top w:val="none" w:sz="0" w:space="0" w:color="auto"/>
        <w:left w:val="none" w:sz="0" w:space="0" w:color="auto"/>
        <w:bottom w:val="none" w:sz="0" w:space="0" w:color="auto"/>
        <w:right w:val="none" w:sz="0" w:space="0" w:color="auto"/>
      </w:divBdr>
    </w:div>
    <w:div w:id="360666923">
      <w:bodyDiv w:val="1"/>
      <w:marLeft w:val="0"/>
      <w:marRight w:val="0"/>
      <w:marTop w:val="0"/>
      <w:marBottom w:val="0"/>
      <w:divBdr>
        <w:top w:val="none" w:sz="0" w:space="0" w:color="auto"/>
        <w:left w:val="none" w:sz="0" w:space="0" w:color="auto"/>
        <w:bottom w:val="none" w:sz="0" w:space="0" w:color="auto"/>
        <w:right w:val="none" w:sz="0" w:space="0" w:color="auto"/>
      </w:divBdr>
    </w:div>
    <w:div w:id="386994641">
      <w:bodyDiv w:val="1"/>
      <w:marLeft w:val="0"/>
      <w:marRight w:val="0"/>
      <w:marTop w:val="0"/>
      <w:marBottom w:val="0"/>
      <w:divBdr>
        <w:top w:val="none" w:sz="0" w:space="0" w:color="auto"/>
        <w:left w:val="none" w:sz="0" w:space="0" w:color="auto"/>
        <w:bottom w:val="none" w:sz="0" w:space="0" w:color="auto"/>
        <w:right w:val="none" w:sz="0" w:space="0" w:color="auto"/>
      </w:divBdr>
    </w:div>
    <w:div w:id="411969956">
      <w:bodyDiv w:val="1"/>
      <w:marLeft w:val="0"/>
      <w:marRight w:val="0"/>
      <w:marTop w:val="0"/>
      <w:marBottom w:val="0"/>
      <w:divBdr>
        <w:top w:val="none" w:sz="0" w:space="0" w:color="auto"/>
        <w:left w:val="none" w:sz="0" w:space="0" w:color="auto"/>
        <w:bottom w:val="none" w:sz="0" w:space="0" w:color="auto"/>
        <w:right w:val="none" w:sz="0" w:space="0" w:color="auto"/>
      </w:divBdr>
    </w:div>
    <w:div w:id="617874874">
      <w:bodyDiv w:val="1"/>
      <w:marLeft w:val="0"/>
      <w:marRight w:val="0"/>
      <w:marTop w:val="0"/>
      <w:marBottom w:val="0"/>
      <w:divBdr>
        <w:top w:val="none" w:sz="0" w:space="0" w:color="auto"/>
        <w:left w:val="none" w:sz="0" w:space="0" w:color="auto"/>
        <w:bottom w:val="none" w:sz="0" w:space="0" w:color="auto"/>
        <w:right w:val="none" w:sz="0" w:space="0" w:color="auto"/>
      </w:divBdr>
    </w:div>
    <w:div w:id="776875593">
      <w:bodyDiv w:val="1"/>
      <w:marLeft w:val="0"/>
      <w:marRight w:val="0"/>
      <w:marTop w:val="0"/>
      <w:marBottom w:val="0"/>
      <w:divBdr>
        <w:top w:val="none" w:sz="0" w:space="0" w:color="auto"/>
        <w:left w:val="none" w:sz="0" w:space="0" w:color="auto"/>
        <w:bottom w:val="none" w:sz="0" w:space="0" w:color="auto"/>
        <w:right w:val="none" w:sz="0" w:space="0" w:color="auto"/>
      </w:divBdr>
    </w:div>
    <w:div w:id="779185766">
      <w:bodyDiv w:val="1"/>
      <w:marLeft w:val="0"/>
      <w:marRight w:val="0"/>
      <w:marTop w:val="0"/>
      <w:marBottom w:val="0"/>
      <w:divBdr>
        <w:top w:val="none" w:sz="0" w:space="0" w:color="auto"/>
        <w:left w:val="none" w:sz="0" w:space="0" w:color="auto"/>
        <w:bottom w:val="none" w:sz="0" w:space="0" w:color="auto"/>
        <w:right w:val="none" w:sz="0" w:space="0" w:color="auto"/>
      </w:divBdr>
    </w:div>
    <w:div w:id="786317013">
      <w:bodyDiv w:val="1"/>
      <w:marLeft w:val="0"/>
      <w:marRight w:val="0"/>
      <w:marTop w:val="0"/>
      <w:marBottom w:val="0"/>
      <w:divBdr>
        <w:top w:val="none" w:sz="0" w:space="0" w:color="auto"/>
        <w:left w:val="none" w:sz="0" w:space="0" w:color="auto"/>
        <w:bottom w:val="none" w:sz="0" w:space="0" w:color="auto"/>
        <w:right w:val="none" w:sz="0" w:space="0" w:color="auto"/>
      </w:divBdr>
    </w:div>
    <w:div w:id="822165603">
      <w:bodyDiv w:val="1"/>
      <w:marLeft w:val="0"/>
      <w:marRight w:val="0"/>
      <w:marTop w:val="0"/>
      <w:marBottom w:val="0"/>
      <w:divBdr>
        <w:top w:val="none" w:sz="0" w:space="0" w:color="auto"/>
        <w:left w:val="none" w:sz="0" w:space="0" w:color="auto"/>
        <w:bottom w:val="none" w:sz="0" w:space="0" w:color="auto"/>
        <w:right w:val="none" w:sz="0" w:space="0" w:color="auto"/>
      </w:divBdr>
    </w:div>
    <w:div w:id="899362183">
      <w:bodyDiv w:val="1"/>
      <w:marLeft w:val="0"/>
      <w:marRight w:val="0"/>
      <w:marTop w:val="0"/>
      <w:marBottom w:val="0"/>
      <w:divBdr>
        <w:top w:val="none" w:sz="0" w:space="0" w:color="auto"/>
        <w:left w:val="none" w:sz="0" w:space="0" w:color="auto"/>
        <w:bottom w:val="none" w:sz="0" w:space="0" w:color="auto"/>
        <w:right w:val="none" w:sz="0" w:space="0" w:color="auto"/>
      </w:divBdr>
    </w:div>
    <w:div w:id="935749694">
      <w:bodyDiv w:val="1"/>
      <w:marLeft w:val="0"/>
      <w:marRight w:val="0"/>
      <w:marTop w:val="0"/>
      <w:marBottom w:val="0"/>
      <w:divBdr>
        <w:top w:val="none" w:sz="0" w:space="0" w:color="auto"/>
        <w:left w:val="none" w:sz="0" w:space="0" w:color="auto"/>
        <w:bottom w:val="none" w:sz="0" w:space="0" w:color="auto"/>
        <w:right w:val="none" w:sz="0" w:space="0" w:color="auto"/>
      </w:divBdr>
    </w:div>
    <w:div w:id="937176975">
      <w:bodyDiv w:val="1"/>
      <w:marLeft w:val="0"/>
      <w:marRight w:val="0"/>
      <w:marTop w:val="0"/>
      <w:marBottom w:val="0"/>
      <w:divBdr>
        <w:top w:val="none" w:sz="0" w:space="0" w:color="auto"/>
        <w:left w:val="none" w:sz="0" w:space="0" w:color="auto"/>
        <w:bottom w:val="none" w:sz="0" w:space="0" w:color="auto"/>
        <w:right w:val="none" w:sz="0" w:space="0" w:color="auto"/>
      </w:divBdr>
    </w:div>
    <w:div w:id="940719396">
      <w:bodyDiv w:val="1"/>
      <w:marLeft w:val="0"/>
      <w:marRight w:val="0"/>
      <w:marTop w:val="0"/>
      <w:marBottom w:val="0"/>
      <w:divBdr>
        <w:top w:val="none" w:sz="0" w:space="0" w:color="auto"/>
        <w:left w:val="none" w:sz="0" w:space="0" w:color="auto"/>
        <w:bottom w:val="none" w:sz="0" w:space="0" w:color="auto"/>
        <w:right w:val="none" w:sz="0" w:space="0" w:color="auto"/>
      </w:divBdr>
    </w:div>
    <w:div w:id="945775969">
      <w:bodyDiv w:val="1"/>
      <w:marLeft w:val="0"/>
      <w:marRight w:val="0"/>
      <w:marTop w:val="0"/>
      <w:marBottom w:val="0"/>
      <w:divBdr>
        <w:top w:val="none" w:sz="0" w:space="0" w:color="auto"/>
        <w:left w:val="none" w:sz="0" w:space="0" w:color="auto"/>
        <w:bottom w:val="none" w:sz="0" w:space="0" w:color="auto"/>
        <w:right w:val="none" w:sz="0" w:space="0" w:color="auto"/>
      </w:divBdr>
    </w:div>
    <w:div w:id="958025773">
      <w:bodyDiv w:val="1"/>
      <w:marLeft w:val="0"/>
      <w:marRight w:val="0"/>
      <w:marTop w:val="0"/>
      <w:marBottom w:val="0"/>
      <w:divBdr>
        <w:top w:val="none" w:sz="0" w:space="0" w:color="auto"/>
        <w:left w:val="none" w:sz="0" w:space="0" w:color="auto"/>
        <w:bottom w:val="none" w:sz="0" w:space="0" w:color="auto"/>
        <w:right w:val="none" w:sz="0" w:space="0" w:color="auto"/>
      </w:divBdr>
    </w:div>
    <w:div w:id="963583701">
      <w:bodyDiv w:val="1"/>
      <w:marLeft w:val="0"/>
      <w:marRight w:val="0"/>
      <w:marTop w:val="0"/>
      <w:marBottom w:val="0"/>
      <w:divBdr>
        <w:top w:val="none" w:sz="0" w:space="0" w:color="auto"/>
        <w:left w:val="none" w:sz="0" w:space="0" w:color="auto"/>
        <w:bottom w:val="none" w:sz="0" w:space="0" w:color="auto"/>
        <w:right w:val="none" w:sz="0" w:space="0" w:color="auto"/>
      </w:divBdr>
    </w:div>
    <w:div w:id="1046030372">
      <w:bodyDiv w:val="1"/>
      <w:marLeft w:val="0"/>
      <w:marRight w:val="0"/>
      <w:marTop w:val="0"/>
      <w:marBottom w:val="0"/>
      <w:divBdr>
        <w:top w:val="none" w:sz="0" w:space="0" w:color="auto"/>
        <w:left w:val="none" w:sz="0" w:space="0" w:color="auto"/>
        <w:bottom w:val="none" w:sz="0" w:space="0" w:color="auto"/>
        <w:right w:val="none" w:sz="0" w:space="0" w:color="auto"/>
      </w:divBdr>
    </w:div>
    <w:div w:id="1071735714">
      <w:bodyDiv w:val="1"/>
      <w:marLeft w:val="0"/>
      <w:marRight w:val="0"/>
      <w:marTop w:val="0"/>
      <w:marBottom w:val="0"/>
      <w:divBdr>
        <w:top w:val="none" w:sz="0" w:space="0" w:color="auto"/>
        <w:left w:val="none" w:sz="0" w:space="0" w:color="auto"/>
        <w:bottom w:val="none" w:sz="0" w:space="0" w:color="auto"/>
        <w:right w:val="none" w:sz="0" w:space="0" w:color="auto"/>
      </w:divBdr>
    </w:div>
    <w:div w:id="1168835721">
      <w:bodyDiv w:val="1"/>
      <w:marLeft w:val="0"/>
      <w:marRight w:val="0"/>
      <w:marTop w:val="0"/>
      <w:marBottom w:val="0"/>
      <w:divBdr>
        <w:top w:val="none" w:sz="0" w:space="0" w:color="auto"/>
        <w:left w:val="none" w:sz="0" w:space="0" w:color="auto"/>
        <w:bottom w:val="none" w:sz="0" w:space="0" w:color="auto"/>
        <w:right w:val="none" w:sz="0" w:space="0" w:color="auto"/>
      </w:divBdr>
    </w:div>
    <w:div w:id="1271738989">
      <w:bodyDiv w:val="1"/>
      <w:marLeft w:val="0"/>
      <w:marRight w:val="0"/>
      <w:marTop w:val="0"/>
      <w:marBottom w:val="0"/>
      <w:divBdr>
        <w:top w:val="none" w:sz="0" w:space="0" w:color="auto"/>
        <w:left w:val="none" w:sz="0" w:space="0" w:color="auto"/>
        <w:bottom w:val="none" w:sz="0" w:space="0" w:color="auto"/>
        <w:right w:val="none" w:sz="0" w:space="0" w:color="auto"/>
      </w:divBdr>
    </w:div>
    <w:div w:id="1349016207">
      <w:bodyDiv w:val="1"/>
      <w:marLeft w:val="0"/>
      <w:marRight w:val="0"/>
      <w:marTop w:val="0"/>
      <w:marBottom w:val="0"/>
      <w:divBdr>
        <w:top w:val="none" w:sz="0" w:space="0" w:color="auto"/>
        <w:left w:val="none" w:sz="0" w:space="0" w:color="auto"/>
        <w:bottom w:val="none" w:sz="0" w:space="0" w:color="auto"/>
        <w:right w:val="none" w:sz="0" w:space="0" w:color="auto"/>
      </w:divBdr>
    </w:div>
    <w:div w:id="1359696046">
      <w:bodyDiv w:val="1"/>
      <w:marLeft w:val="0"/>
      <w:marRight w:val="0"/>
      <w:marTop w:val="0"/>
      <w:marBottom w:val="0"/>
      <w:divBdr>
        <w:top w:val="none" w:sz="0" w:space="0" w:color="auto"/>
        <w:left w:val="none" w:sz="0" w:space="0" w:color="auto"/>
        <w:bottom w:val="none" w:sz="0" w:space="0" w:color="auto"/>
        <w:right w:val="none" w:sz="0" w:space="0" w:color="auto"/>
      </w:divBdr>
    </w:div>
    <w:div w:id="1405757166">
      <w:bodyDiv w:val="1"/>
      <w:marLeft w:val="0"/>
      <w:marRight w:val="0"/>
      <w:marTop w:val="0"/>
      <w:marBottom w:val="0"/>
      <w:divBdr>
        <w:top w:val="none" w:sz="0" w:space="0" w:color="auto"/>
        <w:left w:val="none" w:sz="0" w:space="0" w:color="auto"/>
        <w:bottom w:val="none" w:sz="0" w:space="0" w:color="auto"/>
        <w:right w:val="none" w:sz="0" w:space="0" w:color="auto"/>
      </w:divBdr>
    </w:div>
    <w:div w:id="1423256958">
      <w:bodyDiv w:val="1"/>
      <w:marLeft w:val="0"/>
      <w:marRight w:val="0"/>
      <w:marTop w:val="0"/>
      <w:marBottom w:val="0"/>
      <w:divBdr>
        <w:top w:val="none" w:sz="0" w:space="0" w:color="auto"/>
        <w:left w:val="none" w:sz="0" w:space="0" w:color="auto"/>
        <w:bottom w:val="none" w:sz="0" w:space="0" w:color="auto"/>
        <w:right w:val="none" w:sz="0" w:space="0" w:color="auto"/>
      </w:divBdr>
    </w:div>
    <w:div w:id="1434672093">
      <w:bodyDiv w:val="1"/>
      <w:marLeft w:val="0"/>
      <w:marRight w:val="0"/>
      <w:marTop w:val="0"/>
      <w:marBottom w:val="0"/>
      <w:divBdr>
        <w:top w:val="none" w:sz="0" w:space="0" w:color="auto"/>
        <w:left w:val="none" w:sz="0" w:space="0" w:color="auto"/>
        <w:bottom w:val="none" w:sz="0" w:space="0" w:color="auto"/>
        <w:right w:val="none" w:sz="0" w:space="0" w:color="auto"/>
      </w:divBdr>
    </w:div>
    <w:div w:id="1456630863">
      <w:bodyDiv w:val="1"/>
      <w:marLeft w:val="0"/>
      <w:marRight w:val="0"/>
      <w:marTop w:val="0"/>
      <w:marBottom w:val="0"/>
      <w:divBdr>
        <w:top w:val="none" w:sz="0" w:space="0" w:color="auto"/>
        <w:left w:val="none" w:sz="0" w:space="0" w:color="auto"/>
        <w:bottom w:val="none" w:sz="0" w:space="0" w:color="auto"/>
        <w:right w:val="none" w:sz="0" w:space="0" w:color="auto"/>
      </w:divBdr>
    </w:div>
    <w:div w:id="1538812351">
      <w:bodyDiv w:val="1"/>
      <w:marLeft w:val="0"/>
      <w:marRight w:val="0"/>
      <w:marTop w:val="0"/>
      <w:marBottom w:val="0"/>
      <w:divBdr>
        <w:top w:val="none" w:sz="0" w:space="0" w:color="auto"/>
        <w:left w:val="none" w:sz="0" w:space="0" w:color="auto"/>
        <w:bottom w:val="none" w:sz="0" w:space="0" w:color="auto"/>
        <w:right w:val="none" w:sz="0" w:space="0" w:color="auto"/>
      </w:divBdr>
    </w:div>
    <w:div w:id="1616716656">
      <w:bodyDiv w:val="1"/>
      <w:marLeft w:val="0"/>
      <w:marRight w:val="0"/>
      <w:marTop w:val="0"/>
      <w:marBottom w:val="0"/>
      <w:divBdr>
        <w:top w:val="none" w:sz="0" w:space="0" w:color="auto"/>
        <w:left w:val="none" w:sz="0" w:space="0" w:color="auto"/>
        <w:bottom w:val="none" w:sz="0" w:space="0" w:color="auto"/>
        <w:right w:val="none" w:sz="0" w:space="0" w:color="auto"/>
      </w:divBdr>
    </w:div>
    <w:div w:id="1662539472">
      <w:bodyDiv w:val="1"/>
      <w:marLeft w:val="0"/>
      <w:marRight w:val="0"/>
      <w:marTop w:val="0"/>
      <w:marBottom w:val="0"/>
      <w:divBdr>
        <w:top w:val="none" w:sz="0" w:space="0" w:color="auto"/>
        <w:left w:val="none" w:sz="0" w:space="0" w:color="auto"/>
        <w:bottom w:val="none" w:sz="0" w:space="0" w:color="auto"/>
        <w:right w:val="none" w:sz="0" w:space="0" w:color="auto"/>
      </w:divBdr>
    </w:div>
    <w:div w:id="1674069592">
      <w:bodyDiv w:val="1"/>
      <w:marLeft w:val="0"/>
      <w:marRight w:val="0"/>
      <w:marTop w:val="0"/>
      <w:marBottom w:val="0"/>
      <w:divBdr>
        <w:top w:val="none" w:sz="0" w:space="0" w:color="auto"/>
        <w:left w:val="none" w:sz="0" w:space="0" w:color="auto"/>
        <w:bottom w:val="none" w:sz="0" w:space="0" w:color="auto"/>
        <w:right w:val="none" w:sz="0" w:space="0" w:color="auto"/>
      </w:divBdr>
    </w:div>
    <w:div w:id="1777213019">
      <w:bodyDiv w:val="1"/>
      <w:marLeft w:val="0"/>
      <w:marRight w:val="0"/>
      <w:marTop w:val="0"/>
      <w:marBottom w:val="0"/>
      <w:divBdr>
        <w:top w:val="none" w:sz="0" w:space="0" w:color="auto"/>
        <w:left w:val="none" w:sz="0" w:space="0" w:color="auto"/>
        <w:bottom w:val="none" w:sz="0" w:space="0" w:color="auto"/>
        <w:right w:val="none" w:sz="0" w:space="0" w:color="auto"/>
      </w:divBdr>
    </w:div>
    <w:div w:id="1781141159">
      <w:bodyDiv w:val="1"/>
      <w:marLeft w:val="0"/>
      <w:marRight w:val="0"/>
      <w:marTop w:val="0"/>
      <w:marBottom w:val="0"/>
      <w:divBdr>
        <w:top w:val="none" w:sz="0" w:space="0" w:color="auto"/>
        <w:left w:val="none" w:sz="0" w:space="0" w:color="auto"/>
        <w:bottom w:val="none" w:sz="0" w:space="0" w:color="auto"/>
        <w:right w:val="none" w:sz="0" w:space="0" w:color="auto"/>
      </w:divBdr>
    </w:div>
    <w:div w:id="1903103146">
      <w:bodyDiv w:val="1"/>
      <w:marLeft w:val="0"/>
      <w:marRight w:val="0"/>
      <w:marTop w:val="0"/>
      <w:marBottom w:val="0"/>
      <w:divBdr>
        <w:top w:val="none" w:sz="0" w:space="0" w:color="auto"/>
        <w:left w:val="none" w:sz="0" w:space="0" w:color="auto"/>
        <w:bottom w:val="none" w:sz="0" w:space="0" w:color="auto"/>
        <w:right w:val="none" w:sz="0" w:space="0" w:color="auto"/>
      </w:divBdr>
    </w:div>
    <w:div w:id="1913465301">
      <w:bodyDiv w:val="1"/>
      <w:marLeft w:val="0"/>
      <w:marRight w:val="0"/>
      <w:marTop w:val="0"/>
      <w:marBottom w:val="0"/>
      <w:divBdr>
        <w:top w:val="none" w:sz="0" w:space="0" w:color="auto"/>
        <w:left w:val="none" w:sz="0" w:space="0" w:color="auto"/>
        <w:bottom w:val="none" w:sz="0" w:space="0" w:color="auto"/>
        <w:right w:val="none" w:sz="0" w:space="0" w:color="auto"/>
      </w:divBdr>
    </w:div>
    <w:div w:id="1927494236">
      <w:bodyDiv w:val="1"/>
      <w:marLeft w:val="0"/>
      <w:marRight w:val="0"/>
      <w:marTop w:val="0"/>
      <w:marBottom w:val="0"/>
      <w:divBdr>
        <w:top w:val="none" w:sz="0" w:space="0" w:color="auto"/>
        <w:left w:val="none" w:sz="0" w:space="0" w:color="auto"/>
        <w:bottom w:val="none" w:sz="0" w:space="0" w:color="auto"/>
        <w:right w:val="none" w:sz="0" w:space="0" w:color="auto"/>
      </w:divBdr>
    </w:div>
    <w:div w:id="1972589202">
      <w:bodyDiv w:val="1"/>
      <w:marLeft w:val="0"/>
      <w:marRight w:val="0"/>
      <w:marTop w:val="0"/>
      <w:marBottom w:val="0"/>
      <w:divBdr>
        <w:top w:val="none" w:sz="0" w:space="0" w:color="auto"/>
        <w:left w:val="none" w:sz="0" w:space="0" w:color="auto"/>
        <w:bottom w:val="none" w:sz="0" w:space="0" w:color="auto"/>
        <w:right w:val="none" w:sz="0" w:space="0" w:color="auto"/>
      </w:divBdr>
    </w:div>
    <w:div w:id="2006399226">
      <w:bodyDiv w:val="1"/>
      <w:marLeft w:val="0"/>
      <w:marRight w:val="0"/>
      <w:marTop w:val="0"/>
      <w:marBottom w:val="0"/>
      <w:divBdr>
        <w:top w:val="none" w:sz="0" w:space="0" w:color="auto"/>
        <w:left w:val="none" w:sz="0" w:space="0" w:color="auto"/>
        <w:bottom w:val="none" w:sz="0" w:space="0" w:color="auto"/>
        <w:right w:val="none" w:sz="0" w:space="0" w:color="auto"/>
      </w:divBdr>
    </w:div>
    <w:div w:id="2015254827">
      <w:bodyDiv w:val="1"/>
      <w:marLeft w:val="0"/>
      <w:marRight w:val="0"/>
      <w:marTop w:val="0"/>
      <w:marBottom w:val="0"/>
      <w:divBdr>
        <w:top w:val="none" w:sz="0" w:space="0" w:color="auto"/>
        <w:left w:val="none" w:sz="0" w:space="0" w:color="auto"/>
        <w:bottom w:val="none" w:sz="0" w:space="0" w:color="auto"/>
        <w:right w:val="none" w:sz="0" w:space="0" w:color="auto"/>
      </w:divBdr>
    </w:div>
    <w:div w:id="20775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Roy18</b:Tag>
    <b:SourceType>Report</b:SourceType>
    <b:Guid>{49B4F836-EABD-48C4-A3B3-A66870022008}</b:Guid>
    <b:Author>
      <b:Author>
        <b:NameList>
          <b:Person>
            <b:Last>Royal College of Physicians</b:Last>
            <b:First>British</b:First>
            <b:Middle>Society of Rehabilitation Medicine, The Chartered Society of Physiotherapy, Association of Chartered Physiotherapists in Neurology and the Royal College of Occupational Therapists</b:Middle>
          </b:Person>
        </b:NameList>
      </b:Author>
    </b:Author>
    <b:Title>Spasticity in adults: management using botulinum toxin, National Guidelines</b:Title>
    <b:Year>2018</b:Year>
    <b:City>London RCP 2018</b:City>
    <b:RefOrder>11</b:RefOrder>
  </b:Source>
  <b:Source>
    <b:Tag>Str17</b:Tag>
    <b:SourceType>Report</b:SourceType>
    <b:Guid>{1D690AEB-F394-4140-B4AD-2B524903AF03}</b:Guid>
    <b:Author>
      <b:Author>
        <b:Corporate>Stroke Foundation </b:Corporate>
      </b:Author>
    </b:Author>
    <b:Title>Clinical Guidelines for Stroke Management: Chapter 6 of 8: Managing complications</b:Title>
    <b:Year>2017</b:Year>
    <b:Publisher>v5.1 published on 08.12.2017</b:Publisher>
    <b:City>guidelines@strokefoundation.org.au</b:City>
    <b:RefOrder>14</b:RefOrder>
  </b:Source>
  <b:Source>
    <b:Tag>WuT16</b:Tag>
    <b:SourceType>JournalArticle</b:SourceType>
    <b:Guid>{1453785C-DEB7-40C8-BE47-009322079CCB}</b:Guid>
    <b:Title>Effectiveness of Botulinum Toxin for Lower Limbs Spasticity after Stroke: A Systematic Review and Meta-Analysis</b:Title>
    <b:JournalName>Topics in stroke rehabilitation</b:JournalName>
    <b:Year>2016</b:Year>
    <b:Pages>217-23</b:Pages>
    <b:Author>
      <b:Author>
        <b:NameList>
          <b:Person>
            <b:Last>Wu</b:Last>
            <b:First>T</b:First>
          </b:Person>
          <b:Person>
            <b:Last>Li</b:Last>
            <b:First>JH</b:First>
          </b:Person>
          <b:Person>
            <b:Last>Song</b:Last>
            <b:First>HX</b:First>
          </b:Person>
          <b:Person>
            <b:Last>Dong</b:Last>
            <b:First>Y</b:First>
          </b:Person>
        </b:NameList>
      </b:Author>
    </b:Author>
    <b:Volume>23</b:Volume>
    <b:Issue>3</b:Issue>
    <b:RefOrder>15</b:RefOrder>
  </b:Source>
  <b:Source>
    <b:Tag>PBA181</b:Tag>
    <b:SourceType>Report</b:SourceType>
    <b:Guid>{7876C6D3-9F1D-4EA4-A8DB-AD6066048BE1}</b:Guid>
    <b:Title>Ratified Minutes - November 2018 PBAC meeting 6.02 Clostridium Botulinum Type A Toxin-Haemagglutinin Complex, Dysport, Ipsen Pty Ltd.</b:Title>
    <b:Year>2018</b:Year>
    <b:Author>
      <b:Author>
        <b:NameList>
          <b:Person>
            <b:Last>PBAC</b:Last>
          </b:Person>
        </b:NameList>
      </b:Author>
    </b:Author>
    <b:Publisher>PBAC</b:Publisher>
    <b:RefOrder>17</b:RefOrder>
  </b:Source>
  <b:Source>
    <b:Tag>Ips18</b:Tag>
    <b:SourceType>Report</b:SourceType>
    <b:Guid>{79574E9A-FA55-4A09-AA86-ECA70936077C}</b:Guid>
    <b:Title>Periodic safety Update Report (PSUR) for Botulinum Toxin Type A - Haemaglutinin Complex (Dyposrt, Dysline, Dyslor, Azzalure) 01 January 2017 to 31 December 2017.</b:Title>
    <b:Year>2018</b:Year>
    <b:Author>
      <b:Author>
        <b:Corporate>Ipsen Pharma</b:Corporate>
      </b:Author>
    </b:Author>
    <b:Publisher>Ipsen Pharma</b:Publisher>
    <b:RefOrder>8</b:RefOrder>
  </b:Source>
  <b:Source>
    <b:Tag>IPS15</b:Tag>
    <b:SourceType>JournalArticle</b:SourceType>
    <b:Guid>{ECBA5064-B4F3-432E-90F1-4CB8F3466F70}</b:Guid>
    <b:Title>A Phase III, multicentre,double blind, prospective,randomised, placebo controlled study, assessing the efficaicy and safety of Dysport used for the teramtent of lower limb spasticitiy in adult subjects with hemiparesis due to stroke or traumatic brain inj</b:Title>
    <b:JournalName>IPSEN GROUP Study report 10 April 2015</b:JournalName>
    <b:Year>2015</b:Year>
    <b:Author>
      <b:Author>
        <b:Corporate>CSR Study 140</b:Corporate>
      </b:Author>
    </b:Author>
    <b:RefOrder>19</b:RefOrder>
  </b:Source>
  <b:Source>
    <b:Tag>Wei18</b:Tag>
    <b:SourceType>JournalArticle</b:SourceType>
    <b:Guid>{3B46B26B-7E24-4D71-9265-C276FC887759}</b:Guid>
    <b:Title>OnabotulinumtoxinA for the Treatment of Poststroke Distal Lower Limb Spasticity: A Randomized Trial</b:Title>
    <b:JournalName>PM R</b:JournalName>
    <b:Year>2018</b:Year>
    <b:Pages>10(7):693-703</b:Pages>
    <b:Author>
      <b:Author>
        <b:NameList>
          <b:Person>
            <b:Last>Wein</b:Last>
            <b:First>T</b:First>
          </b:Person>
          <b:Person>
            <b:Last>Esquenazi</b:Last>
            <b:First>A</b:First>
          </b:Person>
          <b:Person>
            <b:Last>Jost</b:Last>
            <b:Middle>H</b:Middle>
            <b:First>W</b:First>
          </b:Person>
          <b:Person>
            <b:Last>Ward</b:Last>
            <b:Middle>B</b:Middle>
            <b:First>A</b:First>
          </b:Person>
          <b:Person>
            <b:Last>Pan</b:Last>
            <b:First>G</b:First>
          </b:Person>
          <b:Person>
            <b:Last>Dimitrova</b:Last>
            <b:First>R</b:First>
          </b:Person>
        </b:NameList>
      </b:Author>
    </b:Author>
    <b:RefOrder>21</b:RefOrder>
  </b:Source>
  <b:Source>
    <b:Tag>Kaj10</b:Tag>
    <b:SourceType>JournalArticle</b:SourceType>
    <b:Guid>{E6F95AAA-D85E-4F1F-AF90-8AEEFDF825D6}</b:Guid>
    <b:Title>Botulinum toxin type A in post-stroke lower-limb spasticity: A multicenteer, double-blind, placebo-controlled trial.</b:Title>
    <b:Year>2010</b:Year>
    <b:JournalName>Journal of Neurology</b:JournalName>
    <b:Pages>257(8): 1330-1337</b:Pages>
    <b:Author>
      <b:Author>
        <b:NameList>
          <b:Person>
            <b:Last>Kaji</b:Last>
            <b:First>R</b:First>
          </b:Person>
          <b:Person>
            <b:Last>Osako</b:Last>
            <b:First>Y</b:First>
          </b:Person>
          <b:Person>
            <b:Last>Suyama</b:Last>
            <b:First>K</b:First>
          </b:Person>
          <b:Person>
            <b:Last>Maeda</b:Last>
            <b:First>T</b:First>
          </b:Person>
          <b:Person>
            <b:Last>Uechi</b:Last>
            <b:First>Y</b:First>
          </b:Person>
          <b:Person>
            <b:Last>Iwasaki</b:Last>
            <b:First>M</b:First>
          </b:Person>
        </b:NameList>
      </b:Author>
    </b:Author>
    <b:RefOrder>22</b:RefOrder>
  </b:Source>
</b:Sources>
</file>

<file path=customXml/itemProps1.xml><?xml version="1.0" encoding="utf-8"?>
<ds:datastoreItem xmlns:ds="http://schemas.openxmlformats.org/officeDocument/2006/customXml" ds:itemID="{A094B7F0-2848-4576-B2A3-17322F1A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10387</Words>
  <Characters>59345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2019-10-17T01:45:00Z</dcterms:created>
  <dcterms:modified xsi:type="dcterms:W3CDTF">2019-10-25T00:52:00Z</dcterms:modified>
</cp:coreProperties>
</file>