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DC" w:rsidRDefault="00C83C33">
      <w:pPr>
        <w:pStyle w:val="Title"/>
        <w:ind w:left="705" w:hanging="705"/>
        <w:jc w:val="left"/>
      </w:pPr>
      <w:r>
        <w:t>6.03</w:t>
      </w:r>
      <w:r>
        <w:tab/>
        <w:t>BUDESONIDE with FORMOTEROL,</w:t>
      </w:r>
      <w:r>
        <w:br/>
        <w:t xml:space="preserve">Powder for oral inhalation in breath actuated device containing budesonide 200 micrograms with formoterol fumarate dihydrate 6 micrograms per dose, 120 doses (SYMBICORT Turbuhaler® 200/6), </w:t>
      </w:r>
      <w:r>
        <w:br/>
        <w:t xml:space="preserve">Pressurised inhalation containing budesonide 100 micrograms with formoterol fumarate dihydrate 3 micrograms per dose, 120 doses (SYMBICORT Rapihaler® 100/3), </w:t>
      </w:r>
      <w:r>
        <w:br/>
        <w:t>AstraZeneca Pty Ltd</w:t>
      </w:r>
    </w:p>
    <w:p w:rsidR="00716FDC" w:rsidRDefault="00716FDC"/>
    <w:p w:rsidR="00716FDC" w:rsidRDefault="00C83C33">
      <w:pPr>
        <w:pStyle w:val="Heading1"/>
        <w:keepNext/>
        <w:keepLines/>
        <w:widowControl/>
        <w:numPr>
          <w:ilvl w:val="0"/>
          <w:numId w:val="14"/>
        </w:numPr>
        <w:rPr>
          <w:rFonts w:asciiTheme="minorHAnsi" w:eastAsiaTheme="majorEastAsia" w:hAnsiTheme="minorHAnsi" w:cstheme="majorBidi"/>
          <w:caps w:val="0"/>
          <w:snapToGrid/>
          <w:szCs w:val="28"/>
        </w:rPr>
      </w:pPr>
      <w:bookmarkStart w:id="0" w:name="_Toc8973944"/>
      <w:r>
        <w:rPr>
          <w:rFonts w:asciiTheme="minorHAnsi" w:eastAsiaTheme="majorEastAsia" w:hAnsiTheme="minorHAnsi" w:cstheme="majorBidi"/>
          <w:caps w:val="0"/>
          <w:snapToGrid/>
          <w:szCs w:val="28"/>
        </w:rPr>
        <w:t>Purpose of Application</w:t>
      </w:r>
      <w:bookmarkEnd w:id="0"/>
    </w:p>
    <w:p w:rsidR="00716FDC" w:rsidRDefault="00716FDC"/>
    <w:p w:rsidR="00716FDC" w:rsidRDefault="00C83C33">
      <w:pPr>
        <w:pStyle w:val="ListParagraph"/>
        <w:numPr>
          <w:ilvl w:val="1"/>
          <w:numId w:val="2"/>
        </w:numPr>
        <w:rPr>
          <w:rFonts w:ascii="Calibri" w:hAnsi="Calibri" w:cs="Arial"/>
          <w:sz w:val="24"/>
          <w:lang w:val="en-AU"/>
        </w:rPr>
      </w:pPr>
      <w:r>
        <w:rPr>
          <w:rFonts w:ascii="Calibri" w:hAnsi="Calibri" w:cs="Arial"/>
          <w:sz w:val="24"/>
          <w:lang w:val="en-AU"/>
        </w:rPr>
        <w:t>The submission requested an extension of the current Authority Required (STREAMLINED) listing for budesonide with formoterol fixed dose combination (Symbicort) for asthma to include use as an anti</w:t>
      </w:r>
      <w:r>
        <w:rPr>
          <w:rFonts w:ascii="Calibri" w:hAnsi="Calibri" w:cs="Arial"/>
          <w:sz w:val="24"/>
          <w:lang w:val="en-AU"/>
        </w:rPr>
        <w:noBreakHyphen/>
        <w:t>inflammatory reliever therapy administered as needed for adolescent and adult patients with mild asthma who are uncontrolled on short-acting beta2-agonist (SABA) as needed or controlled on a regimen of inhaled corticosteroid (ICS) maintenance plus SABA as needed. The submission applies to the Symbicort 200/6 Turbuhaler and the Symbicort 100/3 Rapihaler only. This was the first application to the PBAC for Symbicort in this population. Symbicort Turbuhaler was PBS-listed for patients who are symptomatic on ICS therapy or who are established on regular long acting beta2 agonist (LABA) and ICS therapy in February 2003 with Symbicort Rapihaler PBS-listed in December 2013.</w:t>
      </w:r>
    </w:p>
    <w:p w:rsidR="00716FDC" w:rsidRDefault="00C83C33">
      <w:pPr>
        <w:pStyle w:val="ListParagraph"/>
        <w:keepLines/>
        <w:widowControl/>
        <w:numPr>
          <w:ilvl w:val="1"/>
          <w:numId w:val="2"/>
        </w:numPr>
        <w:rPr>
          <w:rFonts w:ascii="Calibri" w:hAnsi="Calibri" w:cs="Calibri"/>
          <w:sz w:val="24"/>
        </w:rPr>
      </w:pPr>
      <w:r>
        <w:rPr>
          <w:rFonts w:ascii="Calibri" w:hAnsi="Calibri" w:cs="Calibri"/>
          <w:sz w:val="24"/>
        </w:rPr>
        <w:t xml:space="preserve">The listing was requested </w:t>
      </w:r>
      <w:r>
        <w:rPr>
          <w:rFonts w:ascii="Calibri" w:hAnsi="Calibri" w:cs="Calibri"/>
          <w:sz w:val="24"/>
          <w:lang w:val="en-AU"/>
        </w:rPr>
        <w:t xml:space="preserve">based </w:t>
      </w:r>
      <w:r>
        <w:rPr>
          <w:rFonts w:ascii="Calibri" w:hAnsi="Calibri" w:cs="Calibri"/>
          <w:sz w:val="24"/>
        </w:rPr>
        <w:t xml:space="preserve">on a cost-minimisation </w:t>
      </w:r>
      <w:r>
        <w:rPr>
          <w:rFonts w:ascii="Calibri" w:hAnsi="Calibri" w:cs="Calibri"/>
          <w:sz w:val="24"/>
          <w:lang w:val="en-US"/>
        </w:rPr>
        <w:t>analysis</w:t>
      </w:r>
      <w:r>
        <w:rPr>
          <w:rFonts w:ascii="Calibri" w:hAnsi="Calibri" w:cs="Calibri"/>
          <w:sz w:val="24"/>
        </w:rPr>
        <w:t xml:space="preserve"> compared with ICS daily maintenance </w:t>
      </w:r>
      <w:r>
        <w:rPr>
          <w:rFonts w:ascii="Calibri" w:hAnsi="Calibri" w:cs="Calibri"/>
          <w:sz w:val="24"/>
          <w:lang w:val="en-AU"/>
        </w:rPr>
        <w:t>plus</w:t>
      </w:r>
      <w:r>
        <w:rPr>
          <w:rFonts w:ascii="Calibri" w:hAnsi="Calibri" w:cs="Calibri"/>
          <w:sz w:val="24"/>
        </w:rPr>
        <w:t xml:space="preserve"> SABA as needed (ICS+SABA), and a cost-utility analysis compared with SABA as needed. </w:t>
      </w:r>
      <w:bookmarkStart w:id="1" w:name="_GoBack"/>
      <w:bookmarkEnd w:id="1"/>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1</w:t>
      </w:r>
      <w:r>
        <w:fldChar w:fldCharType="end"/>
      </w:r>
      <w:r w:rsidRPr="00404557">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716FDC">
        <w:tc>
          <w:tcPr>
            <w:tcW w:w="1668" w:type="dxa"/>
            <w:vAlign w:val="center"/>
          </w:tcPr>
          <w:p w:rsidR="00716FDC" w:rsidRDefault="00C83C33">
            <w:pPr>
              <w:pStyle w:val="Tabletext"/>
              <w:keepNext/>
              <w:rPr>
                <w:b/>
                <w:szCs w:val="22"/>
                <w:lang w:val="en-AU"/>
              </w:rPr>
            </w:pPr>
            <w:r>
              <w:rPr>
                <w:b/>
                <w:szCs w:val="22"/>
                <w:lang w:val="en-AU"/>
              </w:rPr>
              <w:t>Component</w:t>
            </w:r>
          </w:p>
        </w:tc>
        <w:tc>
          <w:tcPr>
            <w:tcW w:w="7488" w:type="dxa"/>
            <w:vAlign w:val="center"/>
          </w:tcPr>
          <w:p w:rsidR="00716FDC" w:rsidRDefault="00C83C33">
            <w:pPr>
              <w:pStyle w:val="Tabletext"/>
              <w:keepNext/>
              <w:jc w:val="center"/>
              <w:rPr>
                <w:b/>
                <w:szCs w:val="22"/>
                <w:lang w:val="en-AU"/>
              </w:rPr>
            </w:pPr>
            <w:r>
              <w:rPr>
                <w:b/>
                <w:szCs w:val="22"/>
                <w:lang w:val="en-AU"/>
              </w:rPr>
              <w:t>Description</w:t>
            </w:r>
          </w:p>
        </w:tc>
      </w:tr>
      <w:tr w:rsidR="00716FDC">
        <w:tc>
          <w:tcPr>
            <w:tcW w:w="1668" w:type="dxa"/>
            <w:vAlign w:val="center"/>
          </w:tcPr>
          <w:p w:rsidR="00716FDC" w:rsidRDefault="00C83C33">
            <w:pPr>
              <w:pStyle w:val="Tabletext"/>
              <w:keepNext/>
              <w:rPr>
                <w:szCs w:val="22"/>
                <w:lang w:val="en-AU"/>
              </w:rPr>
            </w:pPr>
            <w:r>
              <w:rPr>
                <w:szCs w:val="22"/>
                <w:lang w:val="en-AU"/>
              </w:rPr>
              <w:t>Population</w:t>
            </w:r>
          </w:p>
        </w:tc>
        <w:tc>
          <w:tcPr>
            <w:tcW w:w="7488" w:type="dxa"/>
            <w:vAlign w:val="center"/>
          </w:tcPr>
          <w:p w:rsidR="00716FDC" w:rsidRDefault="00C83C33">
            <w:pPr>
              <w:pStyle w:val="Tabletext"/>
              <w:keepNext/>
              <w:rPr>
                <w:lang w:val="en-AU"/>
              </w:rPr>
            </w:pPr>
            <w:r>
              <w:rPr>
                <w:szCs w:val="22"/>
                <w:lang w:val="en-AU"/>
              </w:rPr>
              <w:t xml:space="preserve">Patients aged </w:t>
            </w:r>
            <w:r>
              <w:rPr>
                <w:szCs w:val="22"/>
                <w:u w:val="single"/>
                <w:lang w:val="en-AU"/>
              </w:rPr>
              <w:t>&gt;</w:t>
            </w:r>
            <w:r>
              <w:rPr>
                <w:szCs w:val="22"/>
                <w:lang w:val="en-AU"/>
              </w:rPr>
              <w:t xml:space="preserve"> 12</w:t>
            </w:r>
            <w:r>
              <w:rPr>
                <w:lang w:val="en-AU"/>
              </w:rPr>
              <w:t xml:space="preserve"> years with asthma who are uncontrolled on SABA or controlled on a regimen of ICS+SABA.</w:t>
            </w:r>
          </w:p>
        </w:tc>
      </w:tr>
      <w:tr w:rsidR="00716FDC">
        <w:tc>
          <w:tcPr>
            <w:tcW w:w="1668" w:type="dxa"/>
            <w:vAlign w:val="center"/>
          </w:tcPr>
          <w:p w:rsidR="00716FDC" w:rsidRDefault="00C83C33">
            <w:pPr>
              <w:pStyle w:val="Tabletext"/>
              <w:keepNext/>
              <w:rPr>
                <w:szCs w:val="22"/>
                <w:lang w:val="en-AU"/>
              </w:rPr>
            </w:pPr>
            <w:r>
              <w:rPr>
                <w:szCs w:val="22"/>
                <w:lang w:val="en-AU"/>
              </w:rPr>
              <w:t>Intervention</w:t>
            </w:r>
          </w:p>
        </w:tc>
        <w:tc>
          <w:tcPr>
            <w:tcW w:w="7488" w:type="dxa"/>
            <w:vAlign w:val="center"/>
          </w:tcPr>
          <w:p w:rsidR="00716FDC" w:rsidRDefault="00C83C33">
            <w:pPr>
              <w:pStyle w:val="Tabletext"/>
              <w:keepNext/>
              <w:rPr>
                <w:szCs w:val="22"/>
                <w:lang w:val="en-AU"/>
              </w:rPr>
            </w:pPr>
            <w:r>
              <w:rPr>
                <w:szCs w:val="22"/>
                <w:lang w:val="en-AU"/>
              </w:rPr>
              <w:t>Budesonide 200 mcg/actuation + formoterol 6 mcg/actuation powder for inhalation (Symbicort Turbuhaler 200/6) OR Budesonide 100 mcg/actuation + formoterol 3 mcg/actuation inhalation (Symbicort Rapihaler 100/3) an anti-inflammatory reliever used as needed for mild asthma.</w:t>
            </w:r>
          </w:p>
        </w:tc>
      </w:tr>
      <w:tr w:rsidR="00716FDC">
        <w:trPr>
          <w:trHeight w:val="560"/>
        </w:trPr>
        <w:tc>
          <w:tcPr>
            <w:tcW w:w="1668" w:type="dxa"/>
            <w:vAlign w:val="center"/>
          </w:tcPr>
          <w:p w:rsidR="00716FDC" w:rsidRDefault="00C83C33">
            <w:pPr>
              <w:pStyle w:val="Tabletext"/>
              <w:keepNext/>
              <w:rPr>
                <w:szCs w:val="22"/>
                <w:lang w:val="en-AU"/>
              </w:rPr>
            </w:pPr>
            <w:r>
              <w:rPr>
                <w:szCs w:val="22"/>
                <w:lang w:val="en-AU"/>
              </w:rPr>
              <w:t>Comparator</w:t>
            </w:r>
          </w:p>
        </w:tc>
        <w:tc>
          <w:tcPr>
            <w:tcW w:w="7488" w:type="dxa"/>
            <w:vAlign w:val="center"/>
          </w:tcPr>
          <w:p w:rsidR="00716FDC" w:rsidRDefault="00C83C33">
            <w:pPr>
              <w:pStyle w:val="Tabletext"/>
              <w:keepNext/>
              <w:rPr>
                <w:szCs w:val="22"/>
                <w:lang w:val="en-AU"/>
              </w:rPr>
            </w:pPr>
            <w:r>
              <w:rPr>
                <w:szCs w:val="22"/>
                <w:lang w:val="en-AU"/>
              </w:rPr>
              <w:t>Primary: ICS single inhaler twice daily + SABA as needed (referred to as ICS+SABA).</w:t>
            </w:r>
          </w:p>
          <w:p w:rsidR="00716FDC" w:rsidRDefault="00C83C33">
            <w:pPr>
              <w:pStyle w:val="Tabletext"/>
              <w:keepNext/>
              <w:rPr>
                <w:szCs w:val="22"/>
                <w:lang w:val="en-AU"/>
              </w:rPr>
            </w:pPr>
            <w:r>
              <w:rPr>
                <w:szCs w:val="22"/>
                <w:lang w:val="en-AU"/>
              </w:rPr>
              <w:t>Secondary: SABA as needed (referred to as SABA).</w:t>
            </w:r>
          </w:p>
        </w:tc>
      </w:tr>
      <w:tr w:rsidR="00716FDC">
        <w:tc>
          <w:tcPr>
            <w:tcW w:w="1668" w:type="dxa"/>
            <w:vAlign w:val="center"/>
          </w:tcPr>
          <w:p w:rsidR="00716FDC" w:rsidRDefault="00C83C33">
            <w:pPr>
              <w:pStyle w:val="Tabletext"/>
              <w:keepNext/>
              <w:rPr>
                <w:szCs w:val="22"/>
                <w:lang w:val="en-AU"/>
              </w:rPr>
            </w:pPr>
            <w:r>
              <w:rPr>
                <w:szCs w:val="22"/>
                <w:lang w:val="en-AU"/>
              </w:rPr>
              <w:t>Outcomes</w:t>
            </w:r>
          </w:p>
        </w:tc>
        <w:tc>
          <w:tcPr>
            <w:tcW w:w="7488" w:type="dxa"/>
            <w:vAlign w:val="center"/>
          </w:tcPr>
          <w:p w:rsidR="00716FDC" w:rsidRDefault="00C83C33">
            <w:pPr>
              <w:pStyle w:val="Tabletext"/>
              <w:keepNext/>
              <w:rPr>
                <w:szCs w:val="22"/>
                <w:lang w:val="en-AU"/>
              </w:rPr>
            </w:pPr>
            <w:r>
              <w:rPr>
                <w:szCs w:val="22"/>
                <w:lang w:val="en-AU"/>
              </w:rPr>
              <w:t>Severe asthma exacerbations, medicine utilisation, ACQ-5 score, safety.</w:t>
            </w:r>
          </w:p>
        </w:tc>
      </w:tr>
      <w:tr w:rsidR="00716FDC">
        <w:trPr>
          <w:trHeight w:val="1229"/>
        </w:trPr>
        <w:tc>
          <w:tcPr>
            <w:tcW w:w="1668" w:type="dxa"/>
            <w:vAlign w:val="center"/>
          </w:tcPr>
          <w:p w:rsidR="00716FDC" w:rsidRDefault="00C83C33">
            <w:pPr>
              <w:pStyle w:val="Tabletext"/>
              <w:keepNext/>
              <w:rPr>
                <w:szCs w:val="22"/>
                <w:lang w:val="en-AU"/>
              </w:rPr>
            </w:pPr>
            <w:r>
              <w:rPr>
                <w:szCs w:val="22"/>
                <w:lang w:val="en-AU"/>
              </w:rPr>
              <w:t>Clinical claim</w:t>
            </w:r>
          </w:p>
        </w:tc>
        <w:tc>
          <w:tcPr>
            <w:tcW w:w="7488" w:type="dxa"/>
            <w:vAlign w:val="center"/>
          </w:tcPr>
          <w:p w:rsidR="00716FDC" w:rsidRDefault="00C83C33">
            <w:pPr>
              <w:pStyle w:val="Tabletext"/>
              <w:keepNext/>
              <w:rPr>
                <w:szCs w:val="22"/>
                <w:lang w:val="en-AU"/>
              </w:rPr>
            </w:pPr>
            <w:r>
              <w:rPr>
                <w:szCs w:val="22"/>
                <w:lang w:val="en-AU"/>
              </w:rPr>
              <w:t xml:space="preserve">The submission claimed that Symbicort used as needed in patients with mild asthma is: </w:t>
            </w:r>
          </w:p>
          <w:p w:rsidR="00716FDC" w:rsidRDefault="00C83C33">
            <w:pPr>
              <w:pStyle w:val="Tabletext"/>
              <w:keepNext/>
              <w:numPr>
                <w:ilvl w:val="0"/>
                <w:numId w:val="8"/>
              </w:numPr>
              <w:rPr>
                <w:szCs w:val="22"/>
                <w:lang w:val="en-AU"/>
              </w:rPr>
            </w:pPr>
            <w:r>
              <w:rPr>
                <w:szCs w:val="22"/>
                <w:lang w:val="en-AU"/>
              </w:rPr>
              <w:t>Non-inferior to ICS+SABA in reducing severe asthma exacerbations and has a comparable safety profile.</w:t>
            </w:r>
          </w:p>
          <w:p w:rsidR="00716FDC" w:rsidRDefault="00C83C33">
            <w:pPr>
              <w:pStyle w:val="Tabletext"/>
              <w:keepNext/>
              <w:numPr>
                <w:ilvl w:val="0"/>
                <w:numId w:val="8"/>
              </w:numPr>
              <w:rPr>
                <w:szCs w:val="22"/>
                <w:lang w:val="en-AU"/>
              </w:rPr>
            </w:pPr>
            <w:r>
              <w:rPr>
                <w:szCs w:val="22"/>
                <w:lang w:val="en-AU"/>
              </w:rPr>
              <w:t>Superior to SABA in reducing severe asthma exacerbations and has an equivalent safety profile.</w:t>
            </w:r>
          </w:p>
        </w:tc>
      </w:tr>
    </w:tbl>
    <w:p w:rsidR="00716FDC" w:rsidRDefault="00C83C33">
      <w:pPr>
        <w:pStyle w:val="TableFooter"/>
        <w:keepNext/>
        <w:keepLines/>
      </w:pPr>
      <w:r>
        <w:t>Source: Table</w:t>
      </w:r>
      <w:r>
        <w:rPr>
          <w:lang w:val="en-AU"/>
        </w:rPr>
        <w:t xml:space="preserve"> </w:t>
      </w:r>
      <w:r>
        <w:t>1.1.1, p11</w:t>
      </w:r>
      <w:r>
        <w:rPr>
          <w:lang w:val="en-AU"/>
        </w:rPr>
        <w:t xml:space="preserve"> </w:t>
      </w:r>
      <w:r>
        <w:t>of the submission</w:t>
      </w:r>
    </w:p>
    <w:p w:rsidR="00716FDC" w:rsidRDefault="00C83C33">
      <w:pPr>
        <w:pStyle w:val="TableFooter"/>
        <w:keepNext/>
        <w:keepLines/>
      </w:pPr>
      <w:r>
        <w:t>ACQ-</w:t>
      </w:r>
      <w:r>
        <w:rPr>
          <w:lang w:val="en-AU"/>
        </w:rPr>
        <w:t>5</w:t>
      </w:r>
      <w:r>
        <w:t xml:space="preserve"> = asthma control questionnaire-</w:t>
      </w:r>
      <w:r>
        <w:rPr>
          <w:lang w:val="en-AU"/>
        </w:rPr>
        <w:t xml:space="preserve">5; </w:t>
      </w:r>
      <w:r>
        <w:t>ICS = inhaled corticosteroid; SABA = short</w:t>
      </w:r>
      <w:r>
        <w:rPr>
          <w:lang w:val="en-AU"/>
        </w:rPr>
        <w:t>-</w:t>
      </w:r>
      <w:r>
        <w:t xml:space="preserve">acting </w:t>
      </w:r>
      <w:r>
        <w:rPr>
          <w:lang w:val="en-AU"/>
        </w:rPr>
        <w:t>beta</w:t>
      </w:r>
      <w:r>
        <w:t>2-agonis</w:t>
      </w:r>
      <w:r>
        <w:rPr>
          <w:lang w:val="en-AU"/>
        </w:rPr>
        <w:t>t</w:t>
      </w:r>
      <w:r>
        <w:t xml:space="preserve"> </w:t>
      </w:r>
    </w:p>
    <w:p w:rsidR="00716FDC" w:rsidRDefault="00716FDC">
      <w:pPr>
        <w:pStyle w:val="TableFooter"/>
        <w:rPr>
          <w:lang w:val="en-AU"/>
        </w:rPr>
      </w:pPr>
    </w:p>
    <w:p w:rsidR="00716FDC" w:rsidRDefault="00C83C33">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2" w:name="_Toc8973945"/>
      <w:r>
        <w:rPr>
          <w:rFonts w:asciiTheme="minorHAnsi" w:eastAsiaTheme="majorEastAsia" w:hAnsiTheme="minorHAnsi" w:cstheme="majorBidi"/>
          <w:caps w:val="0"/>
          <w:snapToGrid/>
          <w:szCs w:val="28"/>
        </w:rPr>
        <w:t>R</w:t>
      </w:r>
      <w:bookmarkEnd w:id="2"/>
      <w:r>
        <w:rPr>
          <w:rFonts w:asciiTheme="minorHAnsi" w:eastAsiaTheme="majorEastAsia" w:hAnsiTheme="minorHAnsi" w:cstheme="majorBidi"/>
          <w:caps w:val="0"/>
          <w:snapToGrid/>
          <w:szCs w:val="28"/>
        </w:rPr>
        <w:t xml:space="preserve">equested listing </w:t>
      </w:r>
    </w:p>
    <w:p w:rsidR="00716FDC" w:rsidRDefault="00716FDC">
      <w:pPr>
        <w:pStyle w:val="PBACHeading1"/>
        <w:numPr>
          <w:ilvl w:val="0"/>
          <w:numId w:val="0"/>
        </w:numPr>
        <w:rPr>
          <w:rFonts w:ascii="Arial" w:hAnsi="Arial" w:cs="Times New Roman"/>
          <w:b w:val="0"/>
          <w:sz w:val="22"/>
          <w:lang w:val="x-none"/>
        </w:rPr>
      </w:pPr>
    </w:p>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Amendments to the current PBS listing of Symbicort 200/6 Turbuhaler</w:t>
      </w:r>
      <w:r>
        <w:rPr>
          <w:rFonts w:asciiTheme="minorHAnsi" w:hAnsiTheme="minorHAnsi" w:cstheme="minorHAnsi"/>
          <w:sz w:val="24"/>
          <w:szCs w:val="24"/>
          <w:lang w:val="en-AU"/>
        </w:rPr>
        <w:t xml:space="preserve"> </w:t>
      </w:r>
      <w:r>
        <w:rPr>
          <w:rFonts w:asciiTheme="minorHAnsi" w:hAnsiTheme="minorHAnsi" w:cstheme="minorHAnsi"/>
          <w:sz w:val="24"/>
          <w:szCs w:val="24"/>
        </w:rPr>
        <w:t>and Symbicort 100/3 Rapihaler for asthma proposed by the submission are shown in bold with strikethrough used for deletions.</w:t>
      </w:r>
      <w:r>
        <w:rPr>
          <w:rFonts w:asciiTheme="minorHAnsi" w:hAnsiTheme="minorHAnsi" w:cstheme="minorHAnsi"/>
          <w:sz w:val="24"/>
          <w:szCs w:val="24"/>
          <w:lang w:val="en-AU"/>
        </w:rPr>
        <w:t xml:space="preserve"> Suggestions proposed by the Secretariat to the requested listing are shaded in grey with strikethrough used for deletions and additions in italics. </w:t>
      </w:r>
    </w:p>
    <w:p w:rsidR="00716FDC" w:rsidRDefault="00C83C33">
      <w:pPr>
        <w:pStyle w:val="ListParagraph"/>
        <w:ind w:left="0"/>
      </w:pPr>
      <w:r>
        <w:t xml:space="preserve"> </w:t>
      </w:r>
      <w:r>
        <w:rPr>
          <w:rFonts w:ascii="Arial Narrow" w:hAnsi="Arial Narrow"/>
          <w:b/>
          <w:sz w:val="20"/>
        </w:rPr>
        <w:t>Symbicort Turbuhaler 200/6</w:t>
      </w:r>
    </w:p>
    <w:tbl>
      <w:tblPr>
        <w:tblW w:w="4977" w:type="pct"/>
        <w:tblInd w:w="28" w:type="dxa"/>
        <w:tblCellMar>
          <w:left w:w="28" w:type="dxa"/>
          <w:right w:w="28" w:type="dxa"/>
        </w:tblCellMar>
        <w:tblLook w:val="0000" w:firstRow="0" w:lastRow="0" w:firstColumn="0" w:lastColumn="0" w:noHBand="0" w:noVBand="0"/>
      </w:tblPr>
      <w:tblGrid>
        <w:gridCol w:w="2191"/>
        <w:gridCol w:w="1066"/>
        <w:gridCol w:w="1026"/>
        <w:gridCol w:w="783"/>
        <w:gridCol w:w="1456"/>
        <w:gridCol w:w="1031"/>
        <w:gridCol w:w="1432"/>
      </w:tblGrid>
      <w:tr w:rsidR="00716FDC">
        <w:trPr>
          <w:cantSplit/>
          <w:trHeight w:val="463"/>
        </w:trPr>
        <w:tc>
          <w:tcPr>
            <w:tcW w:w="1812" w:type="pct"/>
            <w:gridSpan w:val="2"/>
            <w:tcBorders>
              <w:top w:val="single" w:sz="4" w:space="0" w:color="auto"/>
              <w:bottom w:val="single" w:sz="4" w:space="0" w:color="auto"/>
            </w:tcBorders>
            <w:vAlign w:val="center"/>
          </w:tcPr>
          <w:p w:rsidR="00716FDC" w:rsidRDefault="00C83C33">
            <w:pPr>
              <w:keepNext/>
              <w:jc w:val="left"/>
              <w:rPr>
                <w:rFonts w:ascii="Arial Narrow" w:hAnsi="Arial Narrow"/>
                <w:b/>
                <w:sz w:val="20"/>
              </w:rPr>
            </w:pPr>
            <w:r>
              <w:rPr>
                <w:rFonts w:ascii="Arial Narrow" w:hAnsi="Arial Narrow"/>
                <w:b/>
                <w:sz w:val="20"/>
              </w:rPr>
              <w:t>Name, Restriction,</w:t>
            </w:r>
          </w:p>
          <w:p w:rsidR="00716FDC" w:rsidRDefault="00C83C33">
            <w:pPr>
              <w:keepNext/>
              <w:jc w:val="left"/>
              <w:rPr>
                <w:rFonts w:ascii="Arial Narrow" w:hAnsi="Arial Narrow"/>
                <w:b/>
                <w:sz w:val="20"/>
              </w:rPr>
            </w:pPr>
            <w:r>
              <w:rPr>
                <w:rFonts w:ascii="Arial Narrow" w:hAnsi="Arial Narrow"/>
                <w:b/>
                <w:sz w:val="20"/>
              </w:rPr>
              <w:t>Manner of administration and form</w:t>
            </w:r>
          </w:p>
        </w:tc>
        <w:tc>
          <w:tcPr>
            <w:tcW w:w="571"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b/>
                <w:sz w:val="20"/>
              </w:rPr>
              <w:t>Max.</w:t>
            </w:r>
          </w:p>
          <w:p w:rsidR="00716FDC" w:rsidRDefault="00C83C33">
            <w:pPr>
              <w:keepNext/>
              <w:jc w:val="center"/>
              <w:rPr>
                <w:rFonts w:ascii="Arial Narrow" w:hAnsi="Arial Narrow"/>
                <w:b/>
                <w:sz w:val="20"/>
              </w:rPr>
            </w:pPr>
            <w:r>
              <w:rPr>
                <w:rFonts w:ascii="Arial Narrow" w:hAnsi="Arial Narrow"/>
                <w:b/>
                <w:sz w:val="20"/>
              </w:rPr>
              <w:t>Qty</w:t>
            </w:r>
          </w:p>
        </w:tc>
        <w:tc>
          <w:tcPr>
            <w:tcW w:w="436"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716FDC" w:rsidRDefault="00C83C33">
            <w:pPr>
              <w:keepNext/>
              <w:jc w:val="center"/>
              <w:rPr>
                <w:rFonts w:ascii="Arial Narrow" w:hAnsi="Arial Narrow"/>
                <w:b/>
                <w:sz w:val="20"/>
              </w:rPr>
            </w:pPr>
            <w:r>
              <w:rPr>
                <w:rFonts w:ascii="Arial Narrow" w:hAnsi="Arial Narrow"/>
                <w:b/>
                <w:sz w:val="20"/>
              </w:rPr>
              <w:t>Rpts</w:t>
            </w:r>
          </w:p>
        </w:tc>
        <w:tc>
          <w:tcPr>
            <w:tcW w:w="810"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b/>
                <w:sz w:val="20"/>
              </w:rPr>
              <w:t>Dispensed Price for Max. Qty</w:t>
            </w:r>
          </w:p>
        </w:tc>
        <w:tc>
          <w:tcPr>
            <w:tcW w:w="1371" w:type="pct"/>
            <w:gridSpan w:val="2"/>
            <w:tcBorders>
              <w:top w:val="single" w:sz="4" w:space="0" w:color="auto"/>
              <w:bottom w:val="single" w:sz="4" w:space="0" w:color="auto"/>
            </w:tcBorders>
            <w:vAlign w:val="center"/>
          </w:tcPr>
          <w:p w:rsidR="00716FDC" w:rsidRDefault="00C83C33">
            <w:pPr>
              <w:keepNext/>
              <w:jc w:val="center"/>
              <w:rPr>
                <w:rFonts w:ascii="Arial Narrow" w:hAnsi="Arial Narrow"/>
                <w:b/>
                <w:sz w:val="20"/>
                <w:lang w:val="fr-FR"/>
              </w:rPr>
            </w:pPr>
            <w:r>
              <w:rPr>
                <w:rFonts w:ascii="Arial Narrow" w:hAnsi="Arial Narrow"/>
                <w:b/>
                <w:sz w:val="20"/>
              </w:rPr>
              <w:t>Proprietary Name and Manufacturer</w:t>
            </w:r>
          </w:p>
        </w:tc>
      </w:tr>
      <w:tr w:rsidR="00716FDC">
        <w:trPr>
          <w:cantSplit/>
          <w:trHeight w:val="567"/>
        </w:trPr>
        <w:tc>
          <w:tcPr>
            <w:tcW w:w="1812" w:type="pct"/>
            <w:gridSpan w:val="2"/>
            <w:vAlign w:val="center"/>
          </w:tcPr>
          <w:p w:rsidR="00716FDC" w:rsidRDefault="00C83C33">
            <w:pPr>
              <w:keepNext/>
              <w:jc w:val="left"/>
              <w:rPr>
                <w:rFonts w:ascii="Arial Narrow" w:hAnsi="Arial Narrow"/>
                <w:sz w:val="20"/>
              </w:rPr>
            </w:pPr>
            <w:r>
              <w:rPr>
                <w:rFonts w:ascii="Arial Narrow" w:hAnsi="Arial Narrow"/>
                <w:sz w:val="20"/>
              </w:rPr>
              <w:t>BUDESONIDE + FORMOTEROL, budesonide 200 microgram/actuation + formoterol fumarate dihydrate 6 microgram/actuation powder for inhalation</w:t>
            </w:r>
          </w:p>
        </w:tc>
        <w:tc>
          <w:tcPr>
            <w:tcW w:w="571" w:type="pct"/>
            <w:vAlign w:val="center"/>
          </w:tcPr>
          <w:p w:rsidR="00716FDC" w:rsidRDefault="00C83C33">
            <w:pPr>
              <w:keepNext/>
              <w:jc w:val="center"/>
              <w:rPr>
                <w:rFonts w:ascii="Arial Narrow" w:hAnsi="Arial Narrow"/>
                <w:sz w:val="20"/>
              </w:rPr>
            </w:pPr>
            <w:r>
              <w:rPr>
                <w:rFonts w:ascii="Arial Narrow" w:hAnsi="Arial Narrow"/>
                <w:sz w:val="20"/>
              </w:rPr>
              <w:t>1</w:t>
            </w:r>
          </w:p>
        </w:tc>
        <w:tc>
          <w:tcPr>
            <w:tcW w:w="436" w:type="pct"/>
            <w:vAlign w:val="center"/>
          </w:tcPr>
          <w:p w:rsidR="00716FDC" w:rsidRDefault="00C83C33">
            <w:pPr>
              <w:keepNext/>
              <w:jc w:val="center"/>
              <w:rPr>
                <w:rFonts w:ascii="Arial Narrow" w:hAnsi="Arial Narrow"/>
                <w:sz w:val="20"/>
              </w:rPr>
            </w:pPr>
            <w:r>
              <w:rPr>
                <w:rFonts w:ascii="Arial Narrow" w:hAnsi="Arial Narrow"/>
                <w:sz w:val="20"/>
              </w:rPr>
              <w:t>5</w:t>
            </w:r>
          </w:p>
        </w:tc>
        <w:tc>
          <w:tcPr>
            <w:tcW w:w="810" w:type="pct"/>
            <w:vAlign w:val="center"/>
          </w:tcPr>
          <w:p w:rsidR="00716FDC" w:rsidRDefault="00C83C33">
            <w:pPr>
              <w:keepNext/>
              <w:jc w:val="center"/>
              <w:rPr>
                <w:rFonts w:ascii="Arial Narrow" w:hAnsi="Arial Narrow"/>
                <w:sz w:val="20"/>
              </w:rPr>
            </w:pPr>
            <w:r>
              <w:rPr>
                <w:rFonts w:ascii="Arial Narrow" w:hAnsi="Arial Narrow"/>
                <w:sz w:val="20"/>
              </w:rPr>
              <w:t>$44.64</w:t>
            </w:r>
          </w:p>
        </w:tc>
        <w:tc>
          <w:tcPr>
            <w:tcW w:w="574" w:type="pct"/>
            <w:vAlign w:val="center"/>
          </w:tcPr>
          <w:p w:rsidR="00716FDC" w:rsidRDefault="00C83C33">
            <w:pPr>
              <w:keepNext/>
              <w:jc w:val="center"/>
              <w:rPr>
                <w:rFonts w:ascii="Arial Narrow" w:hAnsi="Arial Narrow"/>
                <w:sz w:val="20"/>
              </w:rPr>
            </w:pPr>
            <w:r>
              <w:rPr>
                <w:rFonts w:ascii="Arial Narrow" w:hAnsi="Arial Narrow"/>
                <w:sz w:val="20"/>
              </w:rPr>
              <w:t xml:space="preserve">SYMBICORT </w:t>
            </w:r>
            <w:r>
              <w:rPr>
                <w:rFonts w:ascii="Arial Narrow" w:hAnsi="Arial Narrow" w:cs="Times New Roman"/>
                <w:snapToGrid/>
                <w:sz w:val="20"/>
              </w:rPr>
              <w:t>Turbuhaler 200/6</w:t>
            </w:r>
          </w:p>
        </w:tc>
        <w:tc>
          <w:tcPr>
            <w:tcW w:w="797" w:type="pct"/>
            <w:vAlign w:val="center"/>
          </w:tcPr>
          <w:p w:rsidR="00716FDC" w:rsidRDefault="00C83C33">
            <w:pPr>
              <w:keepNext/>
              <w:jc w:val="center"/>
              <w:rPr>
                <w:rFonts w:ascii="Arial Narrow" w:hAnsi="Arial Narrow" w:cs="Times New Roman"/>
                <w:snapToGrid/>
                <w:sz w:val="20"/>
              </w:rPr>
            </w:pPr>
            <w:r>
              <w:rPr>
                <w:rFonts w:ascii="Arial Narrow" w:hAnsi="Arial Narrow" w:cs="Times New Roman"/>
                <w:snapToGrid/>
                <w:sz w:val="20"/>
              </w:rPr>
              <w:t>AstraZeneca Pty Ltd</w:t>
            </w:r>
          </w:p>
          <w:p w:rsidR="00716FDC" w:rsidRDefault="00716FDC">
            <w:pPr>
              <w:keepNext/>
              <w:rPr>
                <w:rFonts w:ascii="Arial Narrow" w:hAnsi="Arial Narrow"/>
                <w:sz w:val="20"/>
              </w:rPr>
            </w:pP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19"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PBS indication:</w:t>
            </w:r>
          </w:p>
        </w:tc>
        <w:tc>
          <w:tcPr>
            <w:tcW w:w="3781"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Asthma</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19"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Category/Program:</w:t>
            </w:r>
          </w:p>
        </w:tc>
        <w:tc>
          <w:tcPr>
            <w:tcW w:w="3781"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Authority Required (Streamlined)</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19"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Clinical criteria:</w:t>
            </w:r>
          </w:p>
        </w:tc>
        <w:tc>
          <w:tcPr>
            <w:tcW w:w="3781" w:type="pct"/>
            <w:gridSpan w:val="6"/>
            <w:tcBorders>
              <w:top w:val="single" w:sz="4" w:space="0" w:color="auto"/>
              <w:left w:val="single" w:sz="4" w:space="0" w:color="auto"/>
              <w:bottom w:val="single" w:sz="4" w:space="0" w:color="auto"/>
              <w:right w:val="single" w:sz="4" w:space="0" w:color="auto"/>
            </w:tcBorders>
          </w:tcPr>
          <w:p w:rsidR="00716FDC" w:rsidRDefault="00C83C33">
            <w:pPr>
              <w:pStyle w:val="NormalWeb"/>
              <w:numPr>
                <w:ilvl w:val="0"/>
                <w:numId w:val="4"/>
              </w:numPr>
              <w:spacing w:before="0" w:after="0"/>
              <w:ind w:left="375"/>
              <w:rPr>
                <w:rFonts w:ascii="Arial Narrow" w:hAnsi="Arial Narrow" w:cs="Arial"/>
                <w:color w:val="222222"/>
                <w:sz w:val="20"/>
                <w:szCs w:val="20"/>
              </w:rPr>
            </w:pPr>
            <w:r>
              <w:rPr>
                <w:rFonts w:ascii="Arial Narrow" w:hAnsi="Arial Narrow" w:cs="Arial"/>
                <w:strike/>
                <w:color w:val="222222"/>
                <w:sz w:val="20"/>
                <w:szCs w:val="20"/>
              </w:rPr>
              <w:t>Patient must have previously had frequent episodes of asthma while receiving treatment with oral corticosteroids or optimal doses of inhaled corticosteroids</w:t>
            </w:r>
            <w:r>
              <w:rPr>
                <w:rFonts w:ascii="Arial Narrow" w:hAnsi="Arial Narrow" w:cs="Arial"/>
                <w:color w:val="222222"/>
                <w:sz w:val="20"/>
                <w:szCs w:val="20"/>
              </w:rPr>
              <w:t>;</w:t>
            </w:r>
          </w:p>
          <w:p w:rsidR="00716FDC" w:rsidRDefault="00C83C33">
            <w:pPr>
              <w:pStyle w:val="NormalWeb"/>
              <w:numPr>
                <w:ilvl w:val="0"/>
                <w:numId w:val="4"/>
              </w:numPr>
              <w:spacing w:before="0" w:after="0"/>
              <w:ind w:left="375"/>
              <w:rPr>
                <w:rFonts w:ascii="Arial Narrow" w:hAnsi="Arial Narrow" w:cs="Arial"/>
                <w:color w:val="222222"/>
                <w:sz w:val="20"/>
                <w:szCs w:val="20"/>
              </w:rPr>
            </w:pPr>
            <w:r>
              <w:rPr>
                <w:rFonts w:ascii="Arial Narrow" w:hAnsi="Arial Narrow" w:cs="Arial"/>
                <w:b/>
                <w:color w:val="222222"/>
                <w:sz w:val="20"/>
                <w:szCs w:val="20"/>
              </w:rPr>
              <w:t>Patient must have asthma and require an anti</w:t>
            </w:r>
            <w:r>
              <w:rPr>
                <w:rFonts w:ascii="Arial Narrow" w:hAnsi="Arial Narrow" w:cs="Arial"/>
                <w:b/>
                <w:color w:val="222222"/>
                <w:sz w:val="20"/>
                <w:szCs w:val="20"/>
              </w:rPr>
              <w:noBreakHyphen/>
              <w:t>inflammatory reliever therapy</w:t>
            </w:r>
            <w:r>
              <w:rPr>
                <w:rFonts w:ascii="Arial Narrow" w:hAnsi="Arial Narrow" w:cs="Arial"/>
                <w:color w:val="222222"/>
                <w:sz w:val="20"/>
                <w:szCs w:val="20"/>
              </w:rPr>
              <w:t xml:space="preserve"> OR </w:t>
            </w:r>
          </w:p>
          <w:p w:rsidR="00716FDC" w:rsidRDefault="00C83C33">
            <w:pPr>
              <w:widowControl/>
              <w:numPr>
                <w:ilvl w:val="0"/>
                <w:numId w:val="4"/>
              </w:numPr>
              <w:ind w:left="375"/>
              <w:jc w:val="left"/>
              <w:rPr>
                <w:rFonts w:ascii="Arial Narrow" w:hAnsi="Arial Narrow"/>
                <w:color w:val="222222"/>
                <w:sz w:val="20"/>
                <w:szCs w:val="20"/>
                <w:lang w:eastAsia="en-AU"/>
              </w:rPr>
            </w:pPr>
            <w:r>
              <w:rPr>
                <w:rFonts w:ascii="Arial Narrow" w:hAnsi="Arial Narrow"/>
                <w:color w:val="222222"/>
                <w:sz w:val="20"/>
                <w:szCs w:val="20"/>
                <w:lang w:eastAsia="en-AU"/>
              </w:rPr>
              <w:t>Patient must have experienced frequent asthma symptoms while receiving treatment with oral or inhaled corticosteroids and require single maintenance and reliever therapy; OR</w:t>
            </w:r>
          </w:p>
          <w:p w:rsidR="00716FDC" w:rsidRDefault="00C83C33">
            <w:pPr>
              <w:widowControl/>
              <w:numPr>
                <w:ilvl w:val="0"/>
                <w:numId w:val="4"/>
              </w:numPr>
              <w:ind w:left="375"/>
              <w:jc w:val="left"/>
              <w:rPr>
                <w:rFonts w:ascii="Arial Narrow" w:hAnsi="Arial Narrow"/>
                <w:color w:val="222222"/>
                <w:sz w:val="20"/>
                <w:szCs w:val="20"/>
                <w:lang w:eastAsia="en-AU"/>
              </w:rPr>
            </w:pPr>
            <w:r>
              <w:rPr>
                <w:rFonts w:ascii="Arial Narrow" w:hAnsi="Arial Narrow"/>
                <w:color w:val="222222"/>
                <w:sz w:val="20"/>
                <w:szCs w:val="20"/>
                <w:lang w:eastAsia="en-AU"/>
              </w:rPr>
              <w:t>Patient must have experienced frequent asthma symptoms while receiving treatment with a combination of an inhaled corticosteroid and long acting beta</w:t>
            </w:r>
            <w:r>
              <w:rPr>
                <w:rFonts w:ascii="Arial Narrow" w:hAnsi="Arial Narrow"/>
                <w:color w:val="222222"/>
                <w:sz w:val="20"/>
                <w:szCs w:val="20"/>
                <w:lang w:eastAsia="en-AU"/>
              </w:rPr>
              <w:noBreakHyphen/>
              <w:t>2 agonist and require single maintenance and reliever therapy.</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19" w:type="pct"/>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Population criteria:</w:t>
            </w:r>
          </w:p>
        </w:tc>
        <w:tc>
          <w:tcPr>
            <w:tcW w:w="3781"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color w:val="000000"/>
                <w:szCs w:val="24"/>
                <w:lang w:val="en-AU" w:eastAsia="en-AU"/>
              </w:rPr>
            </w:pPr>
            <w:r>
              <w:rPr>
                <w:szCs w:val="22"/>
                <w:lang w:val="en-AU"/>
              </w:rPr>
              <w:t>Patient must be aged 12 years or over.</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19"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Note:</w:t>
            </w:r>
          </w:p>
        </w:tc>
        <w:tc>
          <w:tcPr>
            <w:tcW w:w="3781" w:type="pct"/>
            <w:gridSpan w:val="6"/>
            <w:tcBorders>
              <w:top w:val="single" w:sz="4" w:space="0" w:color="auto"/>
              <w:left w:val="single" w:sz="4" w:space="0" w:color="auto"/>
              <w:bottom w:val="single" w:sz="4" w:space="0" w:color="auto"/>
              <w:right w:val="single" w:sz="4" w:space="0" w:color="auto"/>
            </w:tcBorders>
          </w:tcPr>
          <w:p w:rsidR="00716FDC" w:rsidRDefault="00C83C33">
            <w:pPr>
              <w:pStyle w:val="NormalWeb"/>
              <w:spacing w:before="0" w:after="0"/>
              <w:rPr>
                <w:rFonts w:ascii="Arial Narrow" w:hAnsi="Arial Narrow" w:cs="Arial"/>
                <w:strike/>
                <w:sz w:val="20"/>
                <w:szCs w:val="20"/>
              </w:rPr>
            </w:pPr>
            <w:r>
              <w:rPr>
                <w:rFonts w:ascii="Arial Narrow" w:hAnsi="Arial Narrow" w:cs="Arial"/>
                <w:strike/>
                <w:sz w:val="20"/>
                <w:szCs w:val="20"/>
              </w:rPr>
              <w:t>This product is not indicated for the initiation of treatment in asthma</w:t>
            </w:r>
          </w:p>
          <w:p w:rsidR="00716FDC" w:rsidRDefault="00C83C33">
            <w:pPr>
              <w:pStyle w:val="NormalWeb"/>
              <w:widowControl w:val="0"/>
              <w:spacing w:before="0" w:after="0"/>
              <w:rPr>
                <w:rFonts w:ascii="Arial Narrow" w:hAnsi="Arial Narrow" w:cs="Arial"/>
                <w:sz w:val="20"/>
                <w:szCs w:val="20"/>
              </w:rPr>
            </w:pPr>
            <w:r>
              <w:rPr>
                <w:rFonts w:ascii="Arial Narrow" w:hAnsi="Arial Narrow" w:cs="Arial"/>
                <w:sz w:val="20"/>
                <w:szCs w:val="20"/>
              </w:rPr>
              <w:t xml:space="preserve">This drug is not PBS-subsidised for the treatment of </w:t>
            </w:r>
            <w:r>
              <w:rPr>
                <w:rFonts w:ascii="Arial Narrow" w:hAnsi="Arial Narrow" w:cs="Arial"/>
                <w:i/>
                <w:sz w:val="20"/>
                <w:szCs w:val="20"/>
                <w:highlight w:val="lightGray"/>
              </w:rPr>
              <w:t>chronic obstructive pulmonary disease</w:t>
            </w:r>
            <w:r>
              <w:rPr>
                <w:rFonts w:ascii="Arial Narrow" w:hAnsi="Arial Narrow" w:cs="Arial"/>
                <w:sz w:val="20"/>
                <w:szCs w:val="20"/>
              </w:rPr>
              <w:t xml:space="preserve"> </w:t>
            </w:r>
            <w:r>
              <w:rPr>
                <w:rFonts w:ascii="Arial Narrow" w:hAnsi="Arial Narrow" w:cs="Arial"/>
                <w:i/>
                <w:sz w:val="20"/>
                <w:szCs w:val="20"/>
                <w:highlight w:val="lightGray"/>
              </w:rPr>
              <w:t>(</w:t>
            </w:r>
            <w:r>
              <w:rPr>
                <w:rFonts w:ascii="Arial Narrow" w:hAnsi="Arial Narrow" w:cs="Arial"/>
                <w:sz w:val="20"/>
                <w:szCs w:val="20"/>
              </w:rPr>
              <w:t>COPD</w:t>
            </w:r>
            <w:r>
              <w:rPr>
                <w:rFonts w:ascii="Arial Narrow" w:hAnsi="Arial Narrow" w:cs="Arial"/>
                <w:i/>
                <w:sz w:val="20"/>
                <w:szCs w:val="20"/>
                <w:highlight w:val="lightGray"/>
              </w:rPr>
              <w:t>)</w:t>
            </w:r>
            <w:r>
              <w:rPr>
                <w:rFonts w:ascii="Arial Narrow" w:hAnsi="Arial Narrow" w:cs="Arial"/>
                <w:sz w:val="20"/>
                <w:szCs w:val="20"/>
              </w:rPr>
              <w:t>.</w:t>
            </w:r>
          </w:p>
          <w:p w:rsidR="00716FDC" w:rsidRDefault="00C83C33">
            <w:pPr>
              <w:pStyle w:val="NormalWeb"/>
              <w:spacing w:before="0" w:after="0"/>
              <w:rPr>
                <w:rFonts w:ascii="Arial Narrow" w:hAnsi="Arial Narrow" w:cs="Arial"/>
                <w:sz w:val="20"/>
                <w:szCs w:val="20"/>
              </w:rPr>
            </w:pPr>
            <w:r>
              <w:rPr>
                <w:rFonts w:ascii="Arial Narrow" w:hAnsi="Arial Narrow" w:cs="Arial"/>
                <w:sz w:val="20"/>
                <w:szCs w:val="20"/>
              </w:rPr>
              <w:t>The patient must not be on a concomitant single long-acting-beta-2-agonist (LABA)</w:t>
            </w:r>
          </w:p>
          <w:p w:rsidR="00716FDC" w:rsidRDefault="00C83C33">
            <w:pPr>
              <w:pStyle w:val="NormalWeb"/>
              <w:spacing w:before="0" w:after="0"/>
              <w:rPr>
                <w:rFonts w:ascii="Arial Narrow" w:hAnsi="Arial Narrow" w:cs="Arial"/>
                <w:sz w:val="20"/>
                <w:szCs w:val="20"/>
              </w:rPr>
            </w:pPr>
            <w:r>
              <w:rPr>
                <w:rFonts w:ascii="Arial Narrow" w:hAnsi="Arial Narrow" w:cs="Arial"/>
                <w:sz w:val="20"/>
                <w:szCs w:val="20"/>
              </w:rPr>
              <w:t>A LABA includes olodaterol, indacaterol, salmeterol, formoterol or vilanterol</w:t>
            </w:r>
          </w:p>
          <w:p w:rsidR="00716FDC" w:rsidRDefault="00C83C33">
            <w:pPr>
              <w:pStyle w:val="Tabletext"/>
              <w:rPr>
                <w:rFonts w:cs="Arial"/>
                <w:lang w:val="en-AU"/>
              </w:rPr>
            </w:pPr>
            <w:r>
              <w:rPr>
                <w:rFonts w:cs="Arial"/>
                <w:lang w:val="en-AU"/>
              </w:rPr>
              <w:lastRenderedPageBreak/>
              <w:t>Adherence to current treatment and device (inhaler) technique should be reviewed at each clinical visit and before ‘stepping up’ a patient’s medication regimen.</w:t>
            </w:r>
          </w:p>
          <w:p w:rsidR="00716FDC" w:rsidRDefault="00716FDC">
            <w:pPr>
              <w:pStyle w:val="Tabletext"/>
              <w:rPr>
                <w:rFonts w:cs="Arial"/>
                <w:lang w:val="en-AU"/>
              </w:rPr>
            </w:pPr>
          </w:p>
          <w:p w:rsidR="00716FDC" w:rsidRDefault="00C83C33">
            <w:pPr>
              <w:pStyle w:val="Tabletext"/>
              <w:widowControl w:val="0"/>
              <w:rPr>
                <w:rFonts w:cs="Arial"/>
                <w:i/>
              </w:rPr>
            </w:pPr>
            <w:r>
              <w:rPr>
                <w:rFonts w:cs="Arial"/>
                <w:i/>
                <w:highlight w:val="lightGray"/>
                <w:lang w:val="en-GB"/>
              </w:rPr>
              <w:t>Pharmaceutical benefits that have the brand DuoResp Spiromax 200/6 powder for inhalation, 120 actuations and pharmaceutical benefits that have the brand Symbicort Turbuhaler 200/6 powder for inhalation, 120 actuations are equivalent for the purposes of substitution.</w:t>
            </w:r>
          </w:p>
        </w:tc>
      </w:tr>
    </w:tbl>
    <w:p w:rsidR="00716FDC" w:rsidRDefault="00716FDC"/>
    <w:p w:rsidR="00716FDC" w:rsidRDefault="00C83C33">
      <w:pPr>
        <w:keepNext/>
        <w:jc w:val="left"/>
      </w:pPr>
      <w:r>
        <w:rPr>
          <w:rFonts w:ascii="Arial Narrow" w:hAnsi="Arial Narrow"/>
          <w:sz w:val="20"/>
        </w:rPr>
        <w:t xml:space="preserve"> </w:t>
      </w:r>
      <w:r>
        <w:rPr>
          <w:rFonts w:ascii="Arial Narrow" w:hAnsi="Arial Narrow"/>
          <w:b/>
          <w:sz w:val="20"/>
        </w:rPr>
        <w:t>Symbicort Rapihaler 100/3</w:t>
      </w:r>
    </w:p>
    <w:tbl>
      <w:tblPr>
        <w:tblW w:w="4977" w:type="pct"/>
        <w:tblInd w:w="28" w:type="dxa"/>
        <w:tblCellMar>
          <w:left w:w="28" w:type="dxa"/>
          <w:right w:w="28" w:type="dxa"/>
        </w:tblCellMar>
        <w:tblLook w:val="0000" w:firstRow="0" w:lastRow="0" w:firstColumn="0" w:lastColumn="0" w:noHBand="0" w:noVBand="0"/>
      </w:tblPr>
      <w:tblGrid>
        <w:gridCol w:w="2167"/>
        <w:gridCol w:w="1044"/>
        <w:gridCol w:w="1003"/>
        <w:gridCol w:w="760"/>
        <w:gridCol w:w="1432"/>
        <w:gridCol w:w="1170"/>
        <w:gridCol w:w="1409"/>
      </w:tblGrid>
      <w:tr w:rsidR="00716FDC">
        <w:trPr>
          <w:cantSplit/>
          <w:trHeight w:val="463"/>
        </w:trPr>
        <w:tc>
          <w:tcPr>
            <w:tcW w:w="1787" w:type="pct"/>
            <w:gridSpan w:val="2"/>
            <w:tcBorders>
              <w:top w:val="single" w:sz="4" w:space="0" w:color="auto"/>
              <w:bottom w:val="single" w:sz="4" w:space="0" w:color="auto"/>
            </w:tcBorders>
            <w:vAlign w:val="center"/>
          </w:tcPr>
          <w:p w:rsidR="00716FDC" w:rsidRDefault="00C83C33">
            <w:pPr>
              <w:keepNext/>
              <w:jc w:val="left"/>
              <w:rPr>
                <w:rFonts w:ascii="Arial Narrow" w:hAnsi="Arial Narrow"/>
                <w:b/>
                <w:sz w:val="20"/>
              </w:rPr>
            </w:pPr>
            <w:r>
              <w:rPr>
                <w:rFonts w:ascii="Arial Narrow" w:hAnsi="Arial Narrow"/>
                <w:b/>
                <w:sz w:val="20"/>
              </w:rPr>
              <w:t>Name, Restriction,</w:t>
            </w:r>
          </w:p>
          <w:p w:rsidR="00716FDC" w:rsidRDefault="00C83C33">
            <w:pPr>
              <w:keepNext/>
              <w:jc w:val="left"/>
              <w:rPr>
                <w:rFonts w:ascii="Arial Narrow" w:hAnsi="Arial Narrow"/>
                <w:b/>
                <w:sz w:val="20"/>
              </w:rPr>
            </w:pPr>
            <w:r>
              <w:rPr>
                <w:rFonts w:ascii="Arial Narrow" w:hAnsi="Arial Narrow"/>
                <w:b/>
                <w:sz w:val="20"/>
              </w:rPr>
              <w:t>Manner of administration and form</w:t>
            </w:r>
          </w:p>
        </w:tc>
        <w:tc>
          <w:tcPr>
            <w:tcW w:w="558"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b/>
                <w:sz w:val="20"/>
              </w:rPr>
              <w:t>Max.</w:t>
            </w:r>
          </w:p>
          <w:p w:rsidR="00716FDC" w:rsidRDefault="00C83C33">
            <w:pPr>
              <w:keepNext/>
              <w:jc w:val="center"/>
              <w:rPr>
                <w:rFonts w:ascii="Arial Narrow" w:hAnsi="Arial Narrow"/>
                <w:b/>
                <w:sz w:val="20"/>
              </w:rPr>
            </w:pPr>
            <w:r>
              <w:rPr>
                <w:rFonts w:ascii="Arial Narrow" w:hAnsi="Arial Narrow"/>
                <w:b/>
                <w:sz w:val="20"/>
              </w:rPr>
              <w:t>Qty</w:t>
            </w:r>
          </w:p>
        </w:tc>
        <w:tc>
          <w:tcPr>
            <w:tcW w:w="423"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716FDC" w:rsidRDefault="00C83C33">
            <w:pPr>
              <w:keepNext/>
              <w:jc w:val="center"/>
              <w:rPr>
                <w:rFonts w:ascii="Arial Narrow" w:hAnsi="Arial Narrow"/>
                <w:b/>
                <w:sz w:val="20"/>
              </w:rPr>
            </w:pPr>
            <w:r>
              <w:rPr>
                <w:rFonts w:ascii="Arial Narrow" w:hAnsi="Arial Narrow"/>
                <w:b/>
                <w:sz w:val="20"/>
              </w:rPr>
              <w:t>Rpts</w:t>
            </w:r>
          </w:p>
        </w:tc>
        <w:tc>
          <w:tcPr>
            <w:tcW w:w="797" w:type="pct"/>
            <w:tcBorders>
              <w:top w:val="single" w:sz="4" w:space="0" w:color="auto"/>
              <w:bottom w:val="single" w:sz="4" w:space="0" w:color="auto"/>
            </w:tcBorders>
            <w:vAlign w:val="center"/>
          </w:tcPr>
          <w:p w:rsidR="00716FDC" w:rsidRDefault="00C83C33">
            <w:pPr>
              <w:keepNext/>
              <w:jc w:val="center"/>
              <w:rPr>
                <w:rFonts w:ascii="Arial Narrow" w:hAnsi="Arial Narrow"/>
                <w:b/>
                <w:sz w:val="20"/>
              </w:rPr>
            </w:pPr>
            <w:r>
              <w:rPr>
                <w:rFonts w:ascii="Arial Narrow" w:hAnsi="Arial Narrow"/>
                <w:b/>
                <w:sz w:val="20"/>
              </w:rPr>
              <w:t xml:space="preserve">Dispensed Price for Max. Qty </w:t>
            </w:r>
          </w:p>
        </w:tc>
        <w:tc>
          <w:tcPr>
            <w:tcW w:w="1435" w:type="pct"/>
            <w:gridSpan w:val="2"/>
            <w:tcBorders>
              <w:top w:val="single" w:sz="4" w:space="0" w:color="auto"/>
              <w:bottom w:val="single" w:sz="4" w:space="0" w:color="auto"/>
            </w:tcBorders>
            <w:vAlign w:val="center"/>
          </w:tcPr>
          <w:p w:rsidR="00716FDC" w:rsidRDefault="00C83C33">
            <w:pPr>
              <w:keepNext/>
              <w:jc w:val="center"/>
              <w:rPr>
                <w:rFonts w:ascii="Arial Narrow" w:hAnsi="Arial Narrow"/>
                <w:b/>
                <w:sz w:val="20"/>
                <w:lang w:val="fr-FR"/>
              </w:rPr>
            </w:pPr>
            <w:r>
              <w:rPr>
                <w:rFonts w:ascii="Arial Narrow" w:hAnsi="Arial Narrow"/>
                <w:b/>
                <w:sz w:val="20"/>
              </w:rPr>
              <w:t>Proprietary Name and Manufacturer</w:t>
            </w:r>
          </w:p>
        </w:tc>
      </w:tr>
      <w:tr w:rsidR="00716FDC">
        <w:trPr>
          <w:cantSplit/>
          <w:trHeight w:val="567"/>
        </w:trPr>
        <w:tc>
          <w:tcPr>
            <w:tcW w:w="1787" w:type="pct"/>
            <w:gridSpan w:val="2"/>
            <w:vAlign w:val="center"/>
          </w:tcPr>
          <w:p w:rsidR="00716FDC" w:rsidRDefault="00C83C33">
            <w:pPr>
              <w:keepNext/>
              <w:jc w:val="left"/>
              <w:rPr>
                <w:rFonts w:ascii="Arial Narrow" w:hAnsi="Arial Narrow"/>
                <w:sz w:val="20"/>
              </w:rPr>
            </w:pPr>
            <w:r>
              <w:rPr>
                <w:rFonts w:ascii="Arial Narrow" w:hAnsi="Arial Narrow"/>
                <w:sz w:val="20"/>
              </w:rPr>
              <w:t>BUDESONIDE + FORMOTEROL, budesonide 100 microgram/actuation + formoterol fumarate dihydrate 3 microgram/actuation inhalation</w:t>
            </w:r>
          </w:p>
        </w:tc>
        <w:tc>
          <w:tcPr>
            <w:tcW w:w="558" w:type="pct"/>
            <w:vAlign w:val="center"/>
          </w:tcPr>
          <w:p w:rsidR="00716FDC" w:rsidRDefault="00C83C33">
            <w:pPr>
              <w:keepNext/>
              <w:jc w:val="center"/>
              <w:rPr>
                <w:rFonts w:ascii="Arial Narrow" w:hAnsi="Arial Narrow"/>
                <w:sz w:val="20"/>
              </w:rPr>
            </w:pPr>
            <w:r>
              <w:rPr>
                <w:rFonts w:ascii="Arial Narrow" w:hAnsi="Arial Narrow"/>
                <w:sz w:val="20"/>
              </w:rPr>
              <w:t>2</w:t>
            </w:r>
          </w:p>
        </w:tc>
        <w:tc>
          <w:tcPr>
            <w:tcW w:w="423" w:type="pct"/>
            <w:vAlign w:val="center"/>
          </w:tcPr>
          <w:p w:rsidR="00716FDC" w:rsidRDefault="00C83C33">
            <w:pPr>
              <w:keepNext/>
              <w:jc w:val="center"/>
              <w:rPr>
                <w:rFonts w:ascii="Arial Narrow" w:hAnsi="Arial Narrow"/>
                <w:sz w:val="20"/>
              </w:rPr>
            </w:pPr>
            <w:r>
              <w:rPr>
                <w:rFonts w:ascii="Arial Narrow" w:hAnsi="Arial Narrow"/>
                <w:sz w:val="20"/>
              </w:rPr>
              <w:t>5</w:t>
            </w:r>
          </w:p>
        </w:tc>
        <w:tc>
          <w:tcPr>
            <w:tcW w:w="797" w:type="pct"/>
            <w:vAlign w:val="center"/>
          </w:tcPr>
          <w:p w:rsidR="00716FDC" w:rsidRDefault="00C83C33">
            <w:pPr>
              <w:keepNext/>
              <w:jc w:val="center"/>
              <w:rPr>
                <w:rFonts w:ascii="Arial Narrow" w:hAnsi="Arial Narrow"/>
                <w:sz w:val="20"/>
              </w:rPr>
            </w:pPr>
            <w:r>
              <w:rPr>
                <w:rFonts w:ascii="Arial Narrow" w:hAnsi="Arial Narrow"/>
                <w:sz w:val="20"/>
              </w:rPr>
              <w:t>$49.31</w:t>
            </w:r>
          </w:p>
        </w:tc>
        <w:tc>
          <w:tcPr>
            <w:tcW w:w="651" w:type="pct"/>
            <w:vAlign w:val="center"/>
          </w:tcPr>
          <w:p w:rsidR="00716FDC" w:rsidRDefault="00C83C33">
            <w:pPr>
              <w:keepNext/>
              <w:jc w:val="center"/>
              <w:rPr>
                <w:rFonts w:ascii="Arial Narrow" w:hAnsi="Arial Narrow"/>
                <w:sz w:val="20"/>
              </w:rPr>
            </w:pPr>
            <w:r>
              <w:rPr>
                <w:rFonts w:ascii="Arial Narrow" w:hAnsi="Arial Narrow"/>
                <w:sz w:val="20"/>
              </w:rPr>
              <w:t xml:space="preserve">SYMBICORT </w:t>
            </w:r>
            <w:r>
              <w:rPr>
                <w:rFonts w:ascii="Arial Narrow" w:hAnsi="Arial Narrow" w:cs="Times New Roman"/>
                <w:snapToGrid/>
                <w:sz w:val="20"/>
              </w:rPr>
              <w:t>Rapihaler100/3</w:t>
            </w:r>
          </w:p>
        </w:tc>
        <w:tc>
          <w:tcPr>
            <w:tcW w:w="784" w:type="pct"/>
            <w:vAlign w:val="center"/>
          </w:tcPr>
          <w:p w:rsidR="00716FDC" w:rsidRDefault="00716FDC">
            <w:pPr>
              <w:keepNext/>
              <w:jc w:val="center"/>
              <w:rPr>
                <w:rFonts w:ascii="Arial Narrow" w:hAnsi="Arial Narrow" w:cs="Times New Roman"/>
                <w:snapToGrid/>
                <w:sz w:val="20"/>
              </w:rPr>
            </w:pPr>
          </w:p>
          <w:p w:rsidR="00716FDC" w:rsidRDefault="00C83C33">
            <w:pPr>
              <w:keepNext/>
              <w:jc w:val="center"/>
              <w:rPr>
                <w:rFonts w:ascii="Arial Narrow" w:hAnsi="Arial Narrow" w:cs="Times New Roman"/>
                <w:snapToGrid/>
                <w:sz w:val="20"/>
              </w:rPr>
            </w:pPr>
            <w:r>
              <w:rPr>
                <w:rFonts w:ascii="Arial Narrow" w:hAnsi="Arial Narrow" w:cs="Times New Roman"/>
                <w:snapToGrid/>
                <w:sz w:val="20"/>
              </w:rPr>
              <w:t>AstraZeneca Pty Ltd</w:t>
            </w:r>
          </w:p>
          <w:p w:rsidR="00716FDC" w:rsidRDefault="00716FDC">
            <w:pPr>
              <w:keepNext/>
              <w:rPr>
                <w:rFonts w:ascii="Arial Narrow" w:hAnsi="Arial Narrow"/>
                <w:sz w:val="20"/>
              </w:rPr>
            </w:pP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PBS indication:</w:t>
            </w:r>
          </w:p>
        </w:tc>
        <w:tc>
          <w:tcPr>
            <w:tcW w:w="3794"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Asthma</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Category/Program:</w:t>
            </w:r>
          </w:p>
        </w:tc>
        <w:tc>
          <w:tcPr>
            <w:tcW w:w="3794"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Authority Required (Streamlined)</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Clinical criteria:</w:t>
            </w:r>
          </w:p>
        </w:tc>
        <w:tc>
          <w:tcPr>
            <w:tcW w:w="3794" w:type="pct"/>
            <w:gridSpan w:val="6"/>
            <w:tcBorders>
              <w:top w:val="single" w:sz="4" w:space="0" w:color="auto"/>
              <w:left w:val="single" w:sz="4" w:space="0" w:color="auto"/>
              <w:bottom w:val="single" w:sz="4" w:space="0" w:color="auto"/>
              <w:right w:val="single" w:sz="4" w:space="0" w:color="auto"/>
            </w:tcBorders>
          </w:tcPr>
          <w:p w:rsidR="00716FDC" w:rsidRDefault="00C83C33">
            <w:pPr>
              <w:pStyle w:val="NormalWeb"/>
              <w:numPr>
                <w:ilvl w:val="0"/>
                <w:numId w:val="4"/>
              </w:numPr>
              <w:spacing w:before="0" w:after="0"/>
              <w:ind w:left="375"/>
              <w:rPr>
                <w:rFonts w:ascii="Arial Narrow" w:hAnsi="Arial Narrow" w:cs="Arial"/>
                <w:color w:val="222222"/>
                <w:sz w:val="20"/>
                <w:szCs w:val="20"/>
              </w:rPr>
            </w:pPr>
            <w:r>
              <w:rPr>
                <w:rFonts w:ascii="Arial Narrow" w:hAnsi="Arial Narrow" w:cs="Arial"/>
                <w:strike/>
                <w:color w:val="222222"/>
                <w:sz w:val="20"/>
                <w:szCs w:val="20"/>
              </w:rPr>
              <w:t>Patient must have previously had frequent episodes of asthma while receiving treatment with oral corticosteroids or optimal doses of inhaled corticosteroids</w:t>
            </w:r>
            <w:r>
              <w:rPr>
                <w:rFonts w:ascii="Arial Narrow" w:hAnsi="Arial Narrow" w:cs="Arial"/>
                <w:color w:val="222222"/>
                <w:sz w:val="20"/>
                <w:szCs w:val="20"/>
              </w:rPr>
              <w:t>;</w:t>
            </w:r>
          </w:p>
          <w:p w:rsidR="00716FDC" w:rsidRDefault="00C83C33">
            <w:pPr>
              <w:pStyle w:val="NormalWeb"/>
              <w:numPr>
                <w:ilvl w:val="0"/>
                <w:numId w:val="4"/>
              </w:numPr>
              <w:spacing w:before="0" w:after="0"/>
              <w:ind w:left="375"/>
              <w:rPr>
                <w:rFonts w:ascii="Arial Narrow" w:hAnsi="Arial Narrow" w:cs="Arial"/>
                <w:color w:val="222222"/>
                <w:sz w:val="20"/>
                <w:szCs w:val="20"/>
              </w:rPr>
            </w:pPr>
            <w:r>
              <w:rPr>
                <w:rFonts w:ascii="Arial Narrow" w:hAnsi="Arial Narrow" w:cs="Arial"/>
                <w:b/>
                <w:color w:val="222222"/>
                <w:sz w:val="20"/>
                <w:szCs w:val="20"/>
              </w:rPr>
              <w:t>Patient must have asthma and require an anti</w:t>
            </w:r>
            <w:r>
              <w:rPr>
                <w:rFonts w:ascii="Arial Narrow" w:hAnsi="Arial Narrow" w:cs="Arial"/>
                <w:b/>
                <w:color w:val="222222"/>
                <w:sz w:val="20"/>
                <w:szCs w:val="20"/>
              </w:rPr>
              <w:noBreakHyphen/>
              <w:t>inflammatory reliever therapy</w:t>
            </w:r>
            <w:r>
              <w:rPr>
                <w:rFonts w:ascii="Arial Narrow" w:hAnsi="Arial Narrow" w:cs="Arial"/>
                <w:color w:val="222222"/>
                <w:sz w:val="20"/>
                <w:szCs w:val="20"/>
              </w:rPr>
              <w:t xml:space="preserve"> OR </w:t>
            </w:r>
          </w:p>
          <w:p w:rsidR="00716FDC" w:rsidRDefault="00C83C33">
            <w:pPr>
              <w:widowControl/>
              <w:numPr>
                <w:ilvl w:val="0"/>
                <w:numId w:val="4"/>
              </w:numPr>
              <w:ind w:left="375"/>
              <w:jc w:val="left"/>
              <w:rPr>
                <w:rFonts w:ascii="Arial Narrow" w:hAnsi="Arial Narrow"/>
                <w:color w:val="222222"/>
                <w:sz w:val="20"/>
                <w:szCs w:val="20"/>
                <w:lang w:eastAsia="en-AU"/>
              </w:rPr>
            </w:pPr>
            <w:r>
              <w:rPr>
                <w:rFonts w:ascii="Arial Narrow" w:hAnsi="Arial Narrow"/>
                <w:color w:val="222222"/>
                <w:sz w:val="20"/>
                <w:szCs w:val="20"/>
                <w:lang w:eastAsia="en-AU"/>
              </w:rPr>
              <w:t>Patient must have experienced frequent asthma symptoms while receiving treatment with oral or inhaled corticosteroids and require single maintenance and reliever therapy; OR</w:t>
            </w:r>
          </w:p>
          <w:p w:rsidR="00716FDC" w:rsidRDefault="00C83C33">
            <w:pPr>
              <w:widowControl/>
              <w:numPr>
                <w:ilvl w:val="0"/>
                <w:numId w:val="4"/>
              </w:numPr>
              <w:ind w:left="375"/>
              <w:jc w:val="left"/>
              <w:rPr>
                <w:lang w:eastAsia="en-AU"/>
              </w:rPr>
            </w:pPr>
            <w:r>
              <w:rPr>
                <w:rFonts w:ascii="Arial Narrow" w:hAnsi="Arial Narrow"/>
                <w:color w:val="222222"/>
                <w:sz w:val="20"/>
                <w:szCs w:val="20"/>
                <w:lang w:eastAsia="en-AU"/>
              </w:rPr>
              <w:t>Patient must have experienced frequent asthma symptoms while receiving treatment with a combination of an inhaled corticosteroid and long acting beta</w:t>
            </w:r>
            <w:r>
              <w:rPr>
                <w:rFonts w:ascii="Arial Narrow" w:hAnsi="Arial Narrow"/>
                <w:color w:val="222222"/>
                <w:sz w:val="20"/>
                <w:szCs w:val="20"/>
                <w:lang w:eastAsia="en-AU"/>
              </w:rPr>
              <w:noBreakHyphen/>
              <w:t xml:space="preserve">2 agonist </w:t>
            </w:r>
            <w:r>
              <w:rPr>
                <w:rFonts w:ascii="Arial Narrow" w:hAnsi="Arial Narrow"/>
                <w:strike/>
                <w:color w:val="222222"/>
                <w:sz w:val="20"/>
                <w:szCs w:val="20"/>
                <w:highlight w:val="lightGray"/>
                <w:lang w:eastAsia="en-AU"/>
              </w:rPr>
              <w:t>and require single maintenance and reliever therapy.</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tcPr>
          <w:p w:rsidR="00716FDC" w:rsidRDefault="00C83C33">
            <w:pPr>
              <w:pStyle w:val="Tabletext"/>
              <w:rPr>
                <w:szCs w:val="22"/>
                <w:lang w:val="en-AU" w:eastAsia="en-AU"/>
              </w:rPr>
            </w:pPr>
            <w:r>
              <w:rPr>
                <w:szCs w:val="22"/>
                <w:lang w:val="en-AU" w:eastAsia="en-AU"/>
              </w:rPr>
              <w:t>Population criteria:</w:t>
            </w:r>
          </w:p>
        </w:tc>
        <w:tc>
          <w:tcPr>
            <w:tcW w:w="3794" w:type="pct"/>
            <w:gridSpan w:val="6"/>
            <w:tcBorders>
              <w:top w:val="single" w:sz="4" w:space="0" w:color="auto"/>
              <w:left w:val="single" w:sz="4" w:space="0" w:color="auto"/>
              <w:bottom w:val="single" w:sz="4" w:space="0" w:color="auto"/>
              <w:right w:val="single" w:sz="4" w:space="0" w:color="auto"/>
            </w:tcBorders>
          </w:tcPr>
          <w:p w:rsidR="00716FDC" w:rsidRDefault="00C83C33">
            <w:pPr>
              <w:pStyle w:val="Tabletext"/>
              <w:rPr>
                <w:color w:val="000000"/>
                <w:szCs w:val="24"/>
                <w:lang w:val="en-AU" w:eastAsia="en-AU"/>
              </w:rPr>
            </w:pPr>
            <w:r>
              <w:rPr>
                <w:szCs w:val="22"/>
                <w:lang w:val="en-AU"/>
              </w:rPr>
              <w:t>Patient must be aged 12 years or over.</w:t>
            </w:r>
          </w:p>
        </w:tc>
      </w:tr>
      <w:tr w:rsidR="0071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06" w:type="pct"/>
            <w:tcBorders>
              <w:top w:val="single" w:sz="4" w:space="0" w:color="auto"/>
              <w:left w:val="single" w:sz="4" w:space="0" w:color="auto"/>
              <w:bottom w:val="single" w:sz="4" w:space="0" w:color="auto"/>
              <w:right w:val="single" w:sz="4" w:space="0" w:color="auto"/>
            </w:tcBorders>
            <w:hideMark/>
          </w:tcPr>
          <w:p w:rsidR="00716FDC" w:rsidRDefault="00C83C33">
            <w:pPr>
              <w:pStyle w:val="Tabletext"/>
              <w:rPr>
                <w:szCs w:val="22"/>
                <w:lang w:val="en-AU" w:eastAsia="en-AU"/>
              </w:rPr>
            </w:pPr>
            <w:r>
              <w:rPr>
                <w:szCs w:val="22"/>
                <w:lang w:val="en-AU" w:eastAsia="en-AU"/>
              </w:rPr>
              <w:t>Note:</w:t>
            </w:r>
          </w:p>
        </w:tc>
        <w:tc>
          <w:tcPr>
            <w:tcW w:w="3794" w:type="pct"/>
            <w:gridSpan w:val="6"/>
            <w:tcBorders>
              <w:top w:val="single" w:sz="4" w:space="0" w:color="auto"/>
              <w:left w:val="single" w:sz="4" w:space="0" w:color="auto"/>
              <w:bottom w:val="single" w:sz="4" w:space="0" w:color="auto"/>
              <w:right w:val="single" w:sz="4" w:space="0" w:color="auto"/>
            </w:tcBorders>
          </w:tcPr>
          <w:p w:rsidR="00716FDC" w:rsidRDefault="00C83C33">
            <w:pPr>
              <w:pStyle w:val="NormalWeb"/>
              <w:spacing w:before="0" w:after="0"/>
              <w:rPr>
                <w:rFonts w:ascii="Arial Narrow" w:hAnsi="Arial Narrow" w:cs="Arial"/>
                <w:strike/>
                <w:sz w:val="20"/>
                <w:szCs w:val="20"/>
              </w:rPr>
            </w:pPr>
            <w:r>
              <w:rPr>
                <w:rFonts w:ascii="Arial Narrow" w:hAnsi="Arial Narrow" w:cs="Arial"/>
                <w:strike/>
                <w:sz w:val="20"/>
                <w:szCs w:val="20"/>
              </w:rPr>
              <w:t>This product is not indicated for the initiation of treatment in asthma</w:t>
            </w:r>
          </w:p>
          <w:p w:rsidR="00716FDC" w:rsidRDefault="00C83C33">
            <w:pPr>
              <w:pStyle w:val="NormalWeb"/>
              <w:widowControl w:val="0"/>
              <w:spacing w:before="0" w:after="0"/>
              <w:rPr>
                <w:rFonts w:ascii="Arial Narrow" w:hAnsi="Arial Narrow" w:cs="Arial"/>
                <w:sz w:val="20"/>
                <w:szCs w:val="20"/>
              </w:rPr>
            </w:pPr>
            <w:r>
              <w:rPr>
                <w:rFonts w:ascii="Arial Narrow" w:hAnsi="Arial Narrow" w:cs="Arial"/>
                <w:sz w:val="20"/>
                <w:szCs w:val="20"/>
              </w:rPr>
              <w:t xml:space="preserve">This drug is not PBS-subsidised for the treatment of </w:t>
            </w:r>
            <w:r>
              <w:rPr>
                <w:rFonts w:ascii="Arial Narrow" w:hAnsi="Arial Narrow" w:cs="Arial"/>
                <w:i/>
                <w:sz w:val="20"/>
                <w:szCs w:val="20"/>
                <w:highlight w:val="lightGray"/>
              </w:rPr>
              <w:t>chronic obstructive pulmonary disease</w:t>
            </w:r>
            <w:r>
              <w:rPr>
                <w:rFonts w:ascii="Arial Narrow" w:hAnsi="Arial Narrow" w:cs="Arial"/>
                <w:sz w:val="20"/>
                <w:szCs w:val="20"/>
              </w:rPr>
              <w:t xml:space="preserve"> </w:t>
            </w:r>
            <w:r>
              <w:rPr>
                <w:rFonts w:ascii="Arial Narrow" w:hAnsi="Arial Narrow" w:cs="Arial"/>
                <w:i/>
                <w:sz w:val="20"/>
                <w:szCs w:val="20"/>
                <w:highlight w:val="lightGray"/>
              </w:rPr>
              <w:t>(</w:t>
            </w:r>
            <w:r>
              <w:rPr>
                <w:rFonts w:ascii="Arial Narrow" w:hAnsi="Arial Narrow" w:cs="Arial"/>
                <w:sz w:val="20"/>
                <w:szCs w:val="20"/>
              </w:rPr>
              <w:t>COPD</w:t>
            </w:r>
            <w:r>
              <w:rPr>
                <w:rFonts w:ascii="Arial Narrow" w:hAnsi="Arial Narrow" w:cs="Arial"/>
                <w:i/>
                <w:sz w:val="20"/>
                <w:szCs w:val="20"/>
                <w:highlight w:val="lightGray"/>
              </w:rPr>
              <w:t>)</w:t>
            </w:r>
            <w:r>
              <w:rPr>
                <w:rFonts w:ascii="Arial Narrow" w:hAnsi="Arial Narrow" w:cs="Arial"/>
                <w:sz w:val="20"/>
                <w:szCs w:val="20"/>
              </w:rPr>
              <w:t>.</w:t>
            </w:r>
          </w:p>
          <w:p w:rsidR="00716FDC" w:rsidRDefault="00C83C33">
            <w:pPr>
              <w:pStyle w:val="NormalWeb"/>
              <w:spacing w:before="0" w:after="0"/>
              <w:rPr>
                <w:rFonts w:ascii="Arial Narrow" w:hAnsi="Arial Narrow" w:cs="Arial"/>
                <w:sz w:val="20"/>
                <w:szCs w:val="20"/>
              </w:rPr>
            </w:pPr>
            <w:r>
              <w:rPr>
                <w:rFonts w:ascii="Arial Narrow" w:hAnsi="Arial Narrow" w:cs="Arial"/>
                <w:sz w:val="20"/>
                <w:szCs w:val="20"/>
              </w:rPr>
              <w:t>The patient must not be on a concomitant single long-acting-beta-2-agonist (LABA)</w:t>
            </w:r>
          </w:p>
          <w:p w:rsidR="00716FDC" w:rsidRDefault="00C83C33">
            <w:pPr>
              <w:pStyle w:val="NormalWeb"/>
              <w:spacing w:before="0" w:after="0"/>
              <w:rPr>
                <w:rFonts w:ascii="Arial Narrow" w:hAnsi="Arial Narrow" w:cs="Arial"/>
                <w:sz w:val="20"/>
                <w:szCs w:val="20"/>
              </w:rPr>
            </w:pPr>
            <w:r>
              <w:rPr>
                <w:rFonts w:ascii="Arial Narrow" w:hAnsi="Arial Narrow" w:cs="Arial"/>
                <w:sz w:val="20"/>
                <w:szCs w:val="20"/>
              </w:rPr>
              <w:t>A LABA includes olodaterol, indacaterol, salmeterol, formoterol or vilanterol</w:t>
            </w:r>
          </w:p>
          <w:p w:rsidR="00716FDC" w:rsidRDefault="00C83C33">
            <w:pPr>
              <w:pStyle w:val="Tabletext"/>
              <w:rPr>
                <w:color w:val="000000"/>
                <w:szCs w:val="24"/>
                <w:lang w:val="en-AU" w:eastAsia="en-AU"/>
              </w:rPr>
            </w:pPr>
            <w:r>
              <w:rPr>
                <w:rFonts w:cs="Arial"/>
                <w:lang w:val="en-AU"/>
              </w:rPr>
              <w:t>Adherence to current treatment and device (inhaler) technique should be reviewed at each clinical visit and before ‘stepping up’ a patient’s medication regimen.</w:t>
            </w:r>
          </w:p>
        </w:tc>
      </w:tr>
    </w:tbl>
    <w:p w:rsidR="00716FDC" w:rsidRDefault="00C83C33">
      <w:pPr>
        <w:pStyle w:val="TableFooter"/>
      </w:pPr>
      <w:r>
        <w:t>Source: Table 1.4.2, p19 of the submission</w:t>
      </w:r>
    </w:p>
    <w:p w:rsidR="00716FDC" w:rsidRDefault="00716FDC"/>
    <w:p w:rsidR="00716FDC" w:rsidRDefault="00C83C33">
      <w:pPr>
        <w:pStyle w:val="ListParagraph"/>
        <w:numPr>
          <w:ilvl w:val="1"/>
          <w:numId w:val="2"/>
        </w:numPr>
        <w:rPr>
          <w:rFonts w:asciiTheme="minorHAnsi" w:hAnsiTheme="minorHAnsi" w:cstheme="minorHAnsi"/>
          <w:sz w:val="24"/>
          <w:szCs w:val="24"/>
        </w:rPr>
      </w:pPr>
      <w:bookmarkStart w:id="3" w:name="_Hlk8736535"/>
      <w:r>
        <w:rPr>
          <w:rFonts w:asciiTheme="minorHAnsi" w:hAnsiTheme="minorHAnsi" w:cstheme="minorHAnsi"/>
          <w:sz w:val="24"/>
          <w:szCs w:val="24"/>
        </w:rPr>
        <w:t xml:space="preserve">The requested change to the PBS restriction would extend the current PBS listings for Symbicort Turbuhaler 200/6 and Symbicort Rapihaler 100/3 for asthma by allowing these products to be used in an earlier line of therapy and to be used for the initiation of treatment in asthma. </w:t>
      </w:r>
      <w:bookmarkStart w:id="4" w:name="_Hlk8966112"/>
    </w:p>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 xml:space="preserve">The requested restriction appeared to be consistent with the proposed TGA indication. </w:t>
      </w:r>
    </w:p>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The</w:t>
      </w:r>
      <w:r>
        <w:rPr>
          <w:rFonts w:asciiTheme="minorHAnsi" w:hAnsiTheme="minorHAnsi" w:cstheme="minorHAnsi"/>
          <w:sz w:val="24"/>
          <w:szCs w:val="24"/>
          <w:lang w:val="en-AU"/>
        </w:rPr>
        <w:t xml:space="preserve"> </w:t>
      </w:r>
      <w:r>
        <w:rPr>
          <w:rFonts w:asciiTheme="minorHAnsi" w:hAnsiTheme="minorHAnsi" w:cstheme="minorHAnsi"/>
          <w:sz w:val="24"/>
          <w:szCs w:val="24"/>
        </w:rPr>
        <w:t xml:space="preserve">requested restriction </w:t>
      </w:r>
      <w:r>
        <w:rPr>
          <w:rFonts w:asciiTheme="minorHAnsi" w:hAnsiTheme="minorHAnsi" w:cstheme="minorHAnsi"/>
          <w:sz w:val="24"/>
          <w:szCs w:val="24"/>
          <w:lang w:val="en-AU"/>
        </w:rPr>
        <w:t>wa</w:t>
      </w:r>
      <w:r>
        <w:rPr>
          <w:rFonts w:asciiTheme="minorHAnsi" w:hAnsiTheme="minorHAnsi" w:cstheme="minorHAnsi"/>
          <w:sz w:val="24"/>
          <w:szCs w:val="24"/>
        </w:rPr>
        <w:t xml:space="preserve">s inconsistent with the PICO </w:t>
      </w:r>
      <w:r>
        <w:rPr>
          <w:rFonts w:ascii="Calibri" w:hAnsi="Calibri" w:cs="Calibri"/>
          <w:sz w:val="24"/>
          <w:lang w:val="en-AU"/>
        </w:rPr>
        <w:t xml:space="preserve">(Population, Intervention, Comparison and Outcome description) </w:t>
      </w:r>
      <w:r>
        <w:rPr>
          <w:rFonts w:asciiTheme="minorHAnsi" w:hAnsiTheme="minorHAnsi" w:cstheme="minorHAnsi"/>
          <w:sz w:val="24"/>
          <w:szCs w:val="24"/>
        </w:rPr>
        <w:t>and trial population</w:t>
      </w:r>
      <w:r>
        <w:rPr>
          <w:rFonts w:asciiTheme="minorHAnsi" w:hAnsiTheme="minorHAnsi" w:cstheme="minorHAnsi"/>
          <w:sz w:val="24"/>
          <w:szCs w:val="24"/>
          <w:lang w:val="en-AU"/>
        </w:rPr>
        <w:t>s</w:t>
      </w:r>
      <w:r>
        <w:rPr>
          <w:rFonts w:asciiTheme="minorHAnsi" w:hAnsiTheme="minorHAnsi" w:cstheme="minorHAnsi"/>
          <w:sz w:val="24"/>
          <w:szCs w:val="24"/>
        </w:rPr>
        <w:t xml:space="preserve">, who were patients aged 12 years and over with asthma who are uncontrolled on SABA or controlled on a regimen of ICS+SABA.  The requested listing does not explicitly mention that patients must be failed on SABA as needed or controlled on ICS+SABA. With the proposed wording of </w:t>
      </w:r>
      <w:r>
        <w:rPr>
          <w:rFonts w:asciiTheme="minorHAnsi" w:hAnsiTheme="minorHAnsi" w:cstheme="minorHAnsi"/>
          <w:sz w:val="24"/>
          <w:szCs w:val="24"/>
          <w:lang w:val="en-AU"/>
        </w:rPr>
        <w:t xml:space="preserve">the </w:t>
      </w:r>
      <w:r>
        <w:rPr>
          <w:rFonts w:asciiTheme="minorHAnsi" w:hAnsiTheme="minorHAnsi" w:cstheme="minorHAnsi"/>
          <w:sz w:val="24"/>
          <w:szCs w:val="24"/>
        </w:rPr>
        <w:t>PBS restriction, as needed Symbicort could be potentially used in the treatment-naïve mild-asthma patients. The trial population</w:t>
      </w:r>
      <w:r>
        <w:rPr>
          <w:rFonts w:asciiTheme="minorHAnsi" w:hAnsiTheme="minorHAnsi" w:cstheme="minorHAnsi"/>
          <w:sz w:val="24"/>
          <w:szCs w:val="24"/>
          <w:lang w:val="en-AU"/>
        </w:rPr>
        <w:t>s</w:t>
      </w:r>
      <w:r>
        <w:rPr>
          <w:rFonts w:asciiTheme="minorHAnsi" w:hAnsiTheme="minorHAnsi" w:cstheme="minorHAnsi"/>
          <w:sz w:val="24"/>
          <w:szCs w:val="24"/>
        </w:rPr>
        <w:t xml:space="preserve"> presented in the </w:t>
      </w:r>
      <w:r>
        <w:rPr>
          <w:rFonts w:asciiTheme="minorHAnsi" w:hAnsiTheme="minorHAnsi" w:cstheme="minorHAnsi"/>
          <w:sz w:val="24"/>
          <w:szCs w:val="24"/>
        </w:rPr>
        <w:lastRenderedPageBreak/>
        <w:t>submission do not include treatment-naïve mild asthma patients.</w:t>
      </w:r>
      <w:r>
        <w:rPr>
          <w:rFonts w:asciiTheme="minorHAnsi" w:hAnsiTheme="minorHAnsi" w:cstheme="minorHAnsi"/>
          <w:sz w:val="24"/>
          <w:szCs w:val="24"/>
          <w:lang w:val="en-AU"/>
        </w:rPr>
        <w:t xml:space="preserve"> The Pre-Sub-Committee Response (PSCR)  stated that the intention of the proposed changes to the PBS restriction wording was to allow Symbicort to be reimbursed as an alternative to ICS+SABA in patients requiring step 2 (i.e. an ICS) based on the National Asthma Council Australia (NAC) guidelines, and not for patients with very mild asthma that (under current NAC guidelines) should receive only a SABA. The PSCR  stated that if Symbicort is accepted by the PBAC as being as effective as ICS+SABA, then the proposed restriction wording should reflect Symbicort and ICS+SABA having equitable access on the PBS for patients requiring step 2 therapy according to NAC guidelines. </w:t>
      </w:r>
      <w:r>
        <w:rPr>
          <w:rFonts w:asciiTheme="minorHAnsi" w:hAnsiTheme="minorHAnsi" w:cstheme="minorHAnsi"/>
          <w:sz w:val="24"/>
          <w:szCs w:val="24"/>
        </w:rPr>
        <w:t xml:space="preserve"> </w:t>
      </w:r>
      <w:bookmarkStart w:id="5" w:name="_Hlk8736583"/>
      <w:bookmarkEnd w:id="3"/>
      <w:bookmarkEnd w:id="4"/>
    </w:p>
    <w:bookmarkEnd w:id="5"/>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 xml:space="preserve">The </w:t>
      </w:r>
      <w:r>
        <w:rPr>
          <w:rFonts w:asciiTheme="minorHAnsi" w:hAnsiTheme="minorHAnsi" w:cstheme="minorHAnsi"/>
          <w:sz w:val="24"/>
          <w:szCs w:val="24"/>
          <w:lang w:val="en-AU"/>
        </w:rPr>
        <w:t xml:space="preserve">ESC noted that the </w:t>
      </w:r>
      <w:r>
        <w:rPr>
          <w:rFonts w:asciiTheme="minorHAnsi" w:hAnsiTheme="minorHAnsi" w:cstheme="minorHAnsi"/>
          <w:sz w:val="24"/>
          <w:szCs w:val="24"/>
        </w:rPr>
        <w:t>current PBS restriction is generally in line with the NAC guidelines step 3 and above treatment</w:t>
      </w:r>
      <w:r>
        <w:rPr>
          <w:rFonts w:asciiTheme="minorHAnsi" w:hAnsiTheme="minorHAnsi" w:cstheme="minorHAnsi"/>
          <w:sz w:val="24"/>
          <w:szCs w:val="24"/>
          <w:lang w:val="en-AU"/>
        </w:rPr>
        <w:t xml:space="preserve"> and considered that the</w:t>
      </w:r>
      <w:r>
        <w:rPr>
          <w:rFonts w:asciiTheme="minorHAnsi" w:hAnsiTheme="minorHAnsi" w:cstheme="minorHAnsi"/>
          <w:sz w:val="24"/>
          <w:szCs w:val="24"/>
        </w:rPr>
        <w:t xml:space="preserve"> proposed PBS restriction appeared to be in line with </w:t>
      </w:r>
      <w:r>
        <w:rPr>
          <w:rFonts w:asciiTheme="minorHAnsi" w:hAnsiTheme="minorHAnsi" w:cstheme="minorHAnsi"/>
          <w:sz w:val="24"/>
          <w:szCs w:val="24"/>
          <w:lang w:val="en-AU"/>
        </w:rPr>
        <w:t>s</w:t>
      </w:r>
      <w:r>
        <w:rPr>
          <w:rFonts w:asciiTheme="minorHAnsi" w:hAnsiTheme="minorHAnsi" w:cstheme="minorHAnsi"/>
          <w:sz w:val="24"/>
          <w:szCs w:val="24"/>
        </w:rPr>
        <w:t xml:space="preserve">tep 2 of the NAC (2019) guidelines. The </w:t>
      </w:r>
      <w:r>
        <w:rPr>
          <w:rFonts w:asciiTheme="minorHAnsi" w:hAnsiTheme="minorHAnsi" w:cstheme="minorHAnsi"/>
          <w:sz w:val="24"/>
          <w:szCs w:val="24"/>
          <w:lang w:val="en-AU"/>
        </w:rPr>
        <w:t xml:space="preserve">ESC noted that the </w:t>
      </w:r>
      <w:r>
        <w:rPr>
          <w:rFonts w:asciiTheme="minorHAnsi" w:hAnsiTheme="minorHAnsi" w:cstheme="minorHAnsi"/>
          <w:sz w:val="24"/>
          <w:szCs w:val="24"/>
        </w:rPr>
        <w:t xml:space="preserve">guidelines emphasise that most patients with mild asthma would initiate treatment with ICS+SABA (i.e. step 2) rather than use SABA as needed monotherapy (step 1). The </w:t>
      </w:r>
      <w:r>
        <w:rPr>
          <w:rFonts w:asciiTheme="minorHAnsi" w:hAnsiTheme="minorHAnsi" w:cstheme="minorHAnsi"/>
          <w:sz w:val="24"/>
          <w:szCs w:val="24"/>
          <w:lang w:val="en-AU"/>
        </w:rPr>
        <w:t xml:space="preserve">ESC considered that the </w:t>
      </w:r>
      <w:r>
        <w:rPr>
          <w:rFonts w:asciiTheme="minorHAnsi" w:hAnsiTheme="minorHAnsi" w:cstheme="minorHAnsi"/>
          <w:sz w:val="24"/>
          <w:szCs w:val="24"/>
        </w:rPr>
        <w:t xml:space="preserve">patient population at </w:t>
      </w:r>
      <w:r>
        <w:rPr>
          <w:rFonts w:asciiTheme="minorHAnsi" w:hAnsiTheme="minorHAnsi" w:cstheme="minorHAnsi"/>
          <w:sz w:val="24"/>
          <w:szCs w:val="24"/>
          <w:lang w:val="en-AU"/>
        </w:rPr>
        <w:t>s</w:t>
      </w:r>
      <w:r>
        <w:rPr>
          <w:rFonts w:asciiTheme="minorHAnsi" w:hAnsiTheme="minorHAnsi" w:cstheme="minorHAnsi"/>
          <w:sz w:val="24"/>
          <w:szCs w:val="24"/>
        </w:rPr>
        <w:t xml:space="preserve">tep 2 of the NAC guidelines is broader than the trial population presented in the submission.  </w:t>
      </w:r>
    </w:p>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rPr>
        <w:t xml:space="preserve">The proposed restriction is in line with the newly released Global Initiative for Asthma 2019 (GINA 2019) </w:t>
      </w:r>
      <w:r>
        <w:rPr>
          <w:rFonts w:asciiTheme="minorHAnsi" w:hAnsiTheme="minorHAnsi" w:cstheme="minorHAnsi"/>
          <w:sz w:val="24"/>
          <w:szCs w:val="24"/>
          <w:lang w:val="en-AU"/>
        </w:rPr>
        <w:t>framework</w:t>
      </w:r>
      <w:r>
        <w:rPr>
          <w:rFonts w:asciiTheme="minorHAnsi" w:hAnsiTheme="minorHAnsi" w:cstheme="minorHAnsi"/>
          <w:sz w:val="24"/>
          <w:szCs w:val="24"/>
        </w:rPr>
        <w:t xml:space="preserve"> which has removed SABA as needed treatment in step 1 and now recommends as needed ICS-formoterol (e.g. Symbicort) use in both step 1 and 2 of the treatment algorithm. </w:t>
      </w:r>
    </w:p>
    <w:p w:rsidR="00716FDC" w:rsidRDefault="00C83C33">
      <w:pPr>
        <w:pStyle w:val="ListParagraph"/>
        <w:numPr>
          <w:ilvl w:val="1"/>
          <w:numId w:val="2"/>
        </w:numPr>
        <w:rPr>
          <w:rFonts w:asciiTheme="minorHAnsi" w:hAnsiTheme="minorHAnsi" w:cstheme="minorHAnsi"/>
          <w:sz w:val="24"/>
          <w:szCs w:val="24"/>
        </w:rPr>
      </w:pPr>
      <w:r>
        <w:rPr>
          <w:rFonts w:asciiTheme="minorHAnsi" w:hAnsiTheme="minorHAnsi" w:cstheme="minorHAnsi"/>
          <w:sz w:val="24"/>
          <w:szCs w:val="24"/>
          <w:lang w:val="en-AU"/>
        </w:rPr>
        <w:t xml:space="preserve">DUSC noted that the TGA clinical evaluator’s report (2nd round) indicates that Symbicort as needed may not be appropriate for prevention of allergen or exercise-induced bronchoconstriction, but the requested restriction did not exclude this population. </w:t>
      </w:r>
    </w:p>
    <w:p w:rsidR="00716FDC" w:rsidRDefault="00C83C33">
      <w:pPr>
        <w:pStyle w:val="ListParagraph"/>
        <w:widowControl/>
        <w:numPr>
          <w:ilvl w:val="1"/>
          <w:numId w:val="2"/>
        </w:numPr>
        <w:rPr>
          <w:rFonts w:cs="Calibri"/>
        </w:rPr>
      </w:pPr>
      <w:r>
        <w:rPr>
          <w:rFonts w:asciiTheme="minorHAnsi" w:hAnsiTheme="minorHAnsi" w:cstheme="minorHAnsi"/>
          <w:sz w:val="24"/>
          <w:szCs w:val="24"/>
          <w:lang w:val="en-AU"/>
        </w:rPr>
        <w:t xml:space="preserve">The ESC noted that Symbicort Turbuhaler 200/6 is interchangeable with DuoResp Spiromax 200/6 with these two products considered as brand equivalent (‘a’ flagged) for the purposes of substitution on the PBS. The ESC noted that the Symbicort Rapihaler 100/3 does not have an alternative product considered as brand equivalent listed on the PBS. </w:t>
      </w:r>
    </w:p>
    <w:p w:rsidR="00716FDC" w:rsidRDefault="00C83C33">
      <w:pPr>
        <w:pStyle w:val="ListParagraph"/>
        <w:widowControl/>
        <w:rPr>
          <w:rFonts w:asciiTheme="minorHAnsi" w:hAnsiTheme="minorHAnsi" w:cstheme="minorHAnsi"/>
          <w:i/>
          <w:sz w:val="24"/>
          <w:szCs w:val="24"/>
          <w:lang w:val="en-AU"/>
        </w:rPr>
      </w:pPr>
      <w:r>
        <w:rPr>
          <w:rFonts w:asciiTheme="minorHAnsi" w:hAnsiTheme="minorHAnsi" w:cstheme="minorHAnsi"/>
          <w:i/>
          <w:sz w:val="24"/>
          <w:szCs w:val="24"/>
          <w:lang w:val="en-AU"/>
        </w:rPr>
        <w:t xml:space="preserve">For more detail on PBAC’s view, see section 7 PBAC outcome. </w:t>
      </w:r>
    </w:p>
    <w:p w:rsidR="00716FDC" w:rsidRDefault="00C83C33">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6" w:name="_Toc8973946"/>
      <w:r>
        <w:rPr>
          <w:rFonts w:asciiTheme="minorHAnsi" w:eastAsiaTheme="majorEastAsia" w:hAnsiTheme="minorHAnsi" w:cstheme="majorBidi"/>
          <w:caps w:val="0"/>
          <w:snapToGrid/>
          <w:szCs w:val="28"/>
        </w:rPr>
        <w:tab/>
        <w:t>Background</w:t>
      </w:r>
      <w:bookmarkEnd w:id="6"/>
    </w:p>
    <w:p w:rsidR="00716FDC" w:rsidRDefault="00C83C33">
      <w:pPr>
        <w:rPr>
          <w:b/>
          <w:i/>
          <w:sz w:val="28"/>
          <w:szCs w:val="28"/>
        </w:rPr>
      </w:pPr>
      <w:r>
        <w:rPr>
          <w:b/>
          <w:i/>
          <w:sz w:val="28"/>
          <w:szCs w:val="28"/>
        </w:rPr>
        <w:br/>
        <w:t>Registration status</w:t>
      </w:r>
    </w:p>
    <w:p w:rsidR="00716FDC" w:rsidRDefault="00716FDC"/>
    <w:p w:rsidR="00716FDC" w:rsidRDefault="00C83C33">
      <w:pPr>
        <w:pStyle w:val="ListParagraph"/>
        <w:numPr>
          <w:ilvl w:val="1"/>
          <w:numId w:val="16"/>
        </w:numPr>
        <w:rPr>
          <w:rFonts w:asciiTheme="minorHAnsi" w:hAnsiTheme="minorHAnsi" w:cstheme="minorHAnsi"/>
          <w:sz w:val="24"/>
          <w:szCs w:val="24"/>
        </w:rPr>
      </w:pPr>
      <w:r>
        <w:rPr>
          <w:rFonts w:asciiTheme="minorHAnsi" w:hAnsiTheme="minorHAnsi" w:cstheme="minorHAnsi"/>
          <w:sz w:val="24"/>
          <w:szCs w:val="24"/>
        </w:rPr>
        <w:t xml:space="preserve">The submission was made under TGA/PBAC Parallel Process. The TGA submission applied to the Symbicort 200/6 Turbuhaler and the Symbicort 100/3 Rapihaler only. At the time of evaluation, the clinical evaluator’s report (2nd round) was available. The clinical evaluator recommended approval of the indication: “Symbicort Turbuhaler is indicated for the treatment of asthma, to achieve overall asthma control, including </w:t>
      </w:r>
      <w:r>
        <w:rPr>
          <w:rFonts w:asciiTheme="minorHAnsi" w:hAnsiTheme="minorHAnsi" w:cstheme="minorHAnsi"/>
          <w:sz w:val="24"/>
          <w:szCs w:val="24"/>
        </w:rPr>
        <w:lastRenderedPageBreak/>
        <w:t>the relief of symptoms and the reduction of the risk of exacerbations. Symbicort is suitable for any asthma severity, where the use of inhaled corticosteroids is appropriate.”</w:t>
      </w:r>
      <w:r>
        <w:rPr>
          <w:rFonts w:asciiTheme="minorHAnsi" w:hAnsiTheme="minorHAnsi" w:cstheme="minorHAnsi"/>
          <w:sz w:val="24"/>
          <w:szCs w:val="24"/>
          <w:lang w:val="en-AU"/>
        </w:rPr>
        <w:t xml:space="preserve"> </w:t>
      </w:r>
      <w:r>
        <w:rPr>
          <w:rFonts w:ascii="Calibri" w:hAnsi="Calibri" w:cs="Calibri"/>
          <w:sz w:val="24"/>
          <w:szCs w:val="24"/>
        </w:rPr>
        <w:t>Further,</w:t>
      </w:r>
      <w:r>
        <w:rPr>
          <w:rFonts w:ascii="Calibri" w:hAnsi="Calibri" w:cs="Calibri"/>
          <w:sz w:val="24"/>
          <w:szCs w:val="24"/>
          <w:lang w:val="en-AU"/>
        </w:rPr>
        <w:t xml:space="preserve"> the</w:t>
      </w:r>
      <w:r>
        <w:rPr>
          <w:rFonts w:ascii="Calibri" w:hAnsi="Calibri" w:cs="Calibri"/>
          <w:sz w:val="24"/>
          <w:szCs w:val="24"/>
        </w:rPr>
        <w:t xml:space="preserve"> clinical evaluator noted that TGA has previously considered that bridging between Symbicort Turbuhaler and Symbicort Rapihaler was already approved. It implied that Symbicort Rapihaler and Symbicort Turbuhaler at corresponding strengths (i.e., 100/3 and 200/6, respectively) would</w:t>
      </w:r>
      <w:r>
        <w:rPr>
          <w:rFonts w:ascii="Calibri" w:hAnsi="Calibri" w:cs="Calibri"/>
          <w:sz w:val="24"/>
          <w:szCs w:val="24"/>
          <w:lang w:val="en-GB"/>
        </w:rPr>
        <w:t xml:space="preserve"> also</w:t>
      </w:r>
      <w:r>
        <w:rPr>
          <w:rFonts w:ascii="Calibri" w:hAnsi="Calibri" w:cs="Calibri"/>
          <w:sz w:val="24"/>
          <w:szCs w:val="24"/>
        </w:rPr>
        <w:t xml:space="preserve"> be therapeutically equivalent in mild asthma. </w:t>
      </w:r>
      <w:r>
        <w:rPr>
          <w:rFonts w:asciiTheme="minorHAnsi" w:hAnsiTheme="minorHAnsi" w:cstheme="minorHAnsi"/>
          <w:sz w:val="24"/>
          <w:szCs w:val="24"/>
          <w:lang w:val="en-AU"/>
        </w:rPr>
        <w:t xml:space="preserve">The PBAC noted that the Delegate’s decision is expected on 13 September 2019. </w:t>
      </w:r>
    </w:p>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The current TGA registered indication for the Symbicort 200/6 Turbuhaler and the Symbicort 100/3 Rapihaler is: </w:t>
      </w:r>
      <w:r>
        <w:rPr>
          <w:rFonts w:ascii="Calibri" w:hAnsi="Calibri" w:cs="Calibri"/>
          <w:sz w:val="24"/>
          <w:lang w:val="en-AU"/>
        </w:rPr>
        <w:t>“</w:t>
      </w:r>
      <w:r>
        <w:rPr>
          <w:rFonts w:ascii="Calibri" w:hAnsi="Calibri" w:cs="Calibri"/>
          <w:sz w:val="24"/>
        </w:rPr>
        <w:t>for the treatment of asthma where use of a combination (ICS and long acting beta-agonist)</w:t>
      </w:r>
      <w:r>
        <w:rPr>
          <w:rFonts w:ascii="Calibri" w:hAnsi="Calibri" w:cs="Calibri"/>
          <w:sz w:val="24"/>
          <w:lang w:val="en-AU"/>
        </w:rPr>
        <w:t xml:space="preserve"> </w:t>
      </w:r>
      <w:r>
        <w:rPr>
          <w:rFonts w:ascii="Calibri" w:hAnsi="Calibri" w:cs="Calibri"/>
          <w:sz w:val="24"/>
        </w:rPr>
        <w:t xml:space="preserve">is appropriate. This includes: patients who are symptomatic on </w:t>
      </w:r>
      <w:r>
        <w:rPr>
          <w:rFonts w:ascii="Calibri" w:hAnsi="Calibri" w:cs="Calibri"/>
          <w:sz w:val="24"/>
          <w:lang w:val="en-AU"/>
        </w:rPr>
        <w:t>ICS</w:t>
      </w:r>
      <w:r>
        <w:rPr>
          <w:rFonts w:ascii="Calibri" w:hAnsi="Calibri" w:cs="Calibri"/>
          <w:sz w:val="24"/>
        </w:rPr>
        <w:t xml:space="preserve"> therapy; patients who are established on regular long acting</w:t>
      </w:r>
      <w:r>
        <w:rPr>
          <w:rFonts w:ascii="Calibri" w:hAnsi="Calibri" w:cs="Calibri"/>
          <w:sz w:val="24"/>
          <w:lang w:val="en-AU"/>
        </w:rPr>
        <w:t xml:space="preserve"> </w:t>
      </w:r>
      <w:r>
        <w:rPr>
          <w:rFonts w:ascii="Calibri" w:hAnsi="Calibri" w:cs="Calibri"/>
          <w:sz w:val="24"/>
        </w:rPr>
        <w:t xml:space="preserve">beta-agonist and </w:t>
      </w:r>
      <w:r>
        <w:rPr>
          <w:rFonts w:ascii="Calibri" w:hAnsi="Calibri" w:cs="Calibri"/>
          <w:sz w:val="24"/>
          <w:lang w:val="en-AU"/>
        </w:rPr>
        <w:t>ICS</w:t>
      </w:r>
      <w:r>
        <w:rPr>
          <w:rFonts w:ascii="Calibri" w:hAnsi="Calibri" w:cs="Calibri"/>
          <w:sz w:val="24"/>
        </w:rPr>
        <w:t xml:space="preserve"> therapy. There are two alternative treatment regimens: Symbicort maintenance and reliever therapy; Symbicort</w:t>
      </w:r>
      <w:r>
        <w:rPr>
          <w:rFonts w:ascii="Calibri" w:hAnsi="Calibri" w:cs="Calibri"/>
          <w:sz w:val="24"/>
          <w:lang w:val="en-AU"/>
        </w:rPr>
        <w:t xml:space="preserve"> </w:t>
      </w:r>
      <w:r>
        <w:rPr>
          <w:rFonts w:ascii="Calibri" w:hAnsi="Calibri" w:cs="Calibri"/>
          <w:sz w:val="24"/>
        </w:rPr>
        <w:t>maintenance therapy.</w:t>
      </w:r>
      <w:r>
        <w:rPr>
          <w:rFonts w:ascii="Calibri" w:hAnsi="Calibri" w:cs="Calibri"/>
          <w:sz w:val="24"/>
        </w:rPr>
        <w:br/>
      </w:r>
      <w:r>
        <w:rPr>
          <w:rFonts w:ascii="Calibri" w:hAnsi="Calibri" w:cs="Calibri"/>
          <w:i/>
          <w:sz w:val="24"/>
          <w:lang w:val="en-AU"/>
        </w:rPr>
        <w:br/>
        <w:t xml:space="preserve">For more detail on PBAC’s view, see section 7 PBAC outcome. </w:t>
      </w:r>
    </w:p>
    <w:p w:rsidR="00716FDC" w:rsidRDefault="00C83C33">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7" w:name="_Toc8973947"/>
      <w:r>
        <w:rPr>
          <w:rFonts w:asciiTheme="minorHAnsi" w:eastAsiaTheme="majorEastAsia" w:hAnsiTheme="minorHAnsi" w:cstheme="majorBidi"/>
          <w:caps w:val="0"/>
          <w:snapToGrid/>
          <w:szCs w:val="28"/>
        </w:rPr>
        <w:tab/>
        <w:t>Population and disease</w:t>
      </w:r>
      <w:bookmarkEnd w:id="7"/>
    </w:p>
    <w:p w:rsidR="00716FDC" w:rsidRDefault="00716FDC"/>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Asthma is a chronic inflammatory disorder of the airways with typical symptoms of recurrent episodes of wheezing, breathlessness, chest tightness and coughing. Asthma symptoms frequently cause sleeplessness, daytime fatigue, reduced activity levels, and school and work absenteeism.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Asthma severity is determined by the type and amount of treatment needed to maintain adequate symptom control, with more serious disease requiring a greater intensity of treatment.</w:t>
      </w:r>
      <w:bookmarkStart w:id="8" w:name="_Hlk8737205"/>
      <w:r>
        <w:rPr>
          <w:rFonts w:ascii="Calibri" w:hAnsi="Calibri" w:cs="Calibri"/>
          <w:sz w:val="24"/>
          <w:szCs w:val="24"/>
        </w:rPr>
        <w:t xml:space="preserve"> Based on the current NAC (2019) guidelines, a stepped treatment approach dependent on asthma control is central to asthma management, with the recommended treatments for adults and adolescents at each step presented below:</w:t>
      </w:r>
    </w:p>
    <w:bookmarkEnd w:id="8"/>
    <w:p w:rsidR="00716FDC" w:rsidRDefault="00C83C33">
      <w:pPr>
        <w:pStyle w:val="ListParagraph"/>
        <w:widowControl/>
        <w:numPr>
          <w:ilvl w:val="0"/>
          <w:numId w:val="9"/>
        </w:numPr>
        <w:ind w:left="1077" w:hanging="357"/>
        <w:rPr>
          <w:rFonts w:ascii="Calibri" w:hAnsi="Calibri" w:cs="Calibri"/>
          <w:sz w:val="28"/>
          <w:lang w:val="en-US"/>
        </w:rPr>
      </w:pPr>
      <w:r>
        <w:rPr>
          <w:rFonts w:ascii="Calibri" w:hAnsi="Calibri" w:cs="Calibri"/>
          <w:sz w:val="24"/>
        </w:rPr>
        <w:t xml:space="preserve">Step 1: SABA monotherapy is appropriate for patients with symptoms less than twice a month and no flare ups that required oral corticosteroids (OCS) within previous 12 months. </w:t>
      </w:r>
      <w:r>
        <w:rPr>
          <w:rFonts w:ascii="Calibri" w:hAnsi="Calibri" w:cs="Calibri"/>
          <w:sz w:val="24"/>
          <w:lang w:val="en-AU"/>
        </w:rPr>
        <w:t>The ESC noted that, a</w:t>
      </w:r>
      <w:r>
        <w:rPr>
          <w:rFonts w:ascii="Calibri" w:hAnsi="Calibri" w:cs="Calibri"/>
          <w:sz w:val="24"/>
        </w:rPr>
        <w:t>s of March 2019, revisions were made</w:t>
      </w:r>
      <w:r>
        <w:rPr>
          <w:rFonts w:ascii="Calibri" w:hAnsi="Calibri" w:cs="Calibri"/>
          <w:i/>
          <w:sz w:val="24"/>
        </w:rPr>
        <w:t xml:space="preserve"> </w:t>
      </w:r>
      <w:r>
        <w:rPr>
          <w:rFonts w:ascii="Calibri" w:hAnsi="Calibri" w:cs="Calibri"/>
          <w:sz w:val="24"/>
        </w:rPr>
        <w:t xml:space="preserve">to the stepped approach </w:t>
      </w:r>
      <w:r>
        <w:rPr>
          <w:rFonts w:ascii="Calibri" w:hAnsi="Calibri" w:cs="Calibri"/>
          <w:sz w:val="24"/>
          <w:lang w:val="en-AU"/>
        </w:rPr>
        <w:t xml:space="preserve">algorithm </w:t>
      </w:r>
      <w:r>
        <w:rPr>
          <w:rFonts w:ascii="Calibri" w:hAnsi="Calibri" w:cs="Calibri"/>
          <w:sz w:val="24"/>
        </w:rPr>
        <w:t xml:space="preserve">to emphasise that most patients with mild asthma would initiate treatment with ICS+SABA and only a small proportion of patients should manage asthma with as-needed </w:t>
      </w:r>
      <w:r>
        <w:rPr>
          <w:rFonts w:ascii="Calibri" w:hAnsi="Calibri" w:cs="Calibri"/>
          <w:sz w:val="24"/>
          <w:lang w:val="en-AU"/>
        </w:rPr>
        <w:t>SABA monotherapy (see Figure 1)</w:t>
      </w:r>
      <w:r>
        <w:rPr>
          <w:rFonts w:ascii="Calibri" w:hAnsi="Calibri" w:cs="Calibri"/>
          <w:sz w:val="24"/>
        </w:rPr>
        <w:t>.</w:t>
      </w:r>
    </w:p>
    <w:p w:rsidR="00716FDC" w:rsidRDefault="00C83C33">
      <w:pPr>
        <w:pStyle w:val="ListParagraph"/>
        <w:numPr>
          <w:ilvl w:val="0"/>
          <w:numId w:val="9"/>
        </w:numPr>
        <w:ind w:left="1077" w:hanging="357"/>
        <w:rPr>
          <w:rFonts w:ascii="Calibri" w:hAnsi="Calibri" w:cs="Calibri"/>
          <w:sz w:val="24"/>
        </w:rPr>
      </w:pPr>
      <w:r>
        <w:rPr>
          <w:rFonts w:ascii="Calibri" w:hAnsi="Calibri" w:cs="Calibri"/>
          <w:sz w:val="24"/>
        </w:rPr>
        <w:t xml:space="preserve">Step 2: A low dose ICS daily maintenance regimen is recommended for patients who do not meet the symptom control criteria at step 1. Based on the guidelines, most patients should </w:t>
      </w:r>
      <w:r>
        <w:rPr>
          <w:rFonts w:ascii="Calibri" w:hAnsi="Calibri" w:cs="Calibri"/>
          <w:sz w:val="24"/>
          <w:lang w:val="en-AU"/>
        </w:rPr>
        <w:t>initiate treatment</w:t>
      </w:r>
      <w:r>
        <w:rPr>
          <w:rFonts w:ascii="Calibri" w:hAnsi="Calibri" w:cs="Calibri"/>
          <w:sz w:val="24"/>
        </w:rPr>
        <w:t xml:space="preserve"> on an ICS twice daily and SABA as needed (referred to as ICS+SABA).</w:t>
      </w:r>
    </w:p>
    <w:p w:rsidR="00716FDC" w:rsidRDefault="00C83C33">
      <w:pPr>
        <w:pStyle w:val="ListParagraph"/>
        <w:numPr>
          <w:ilvl w:val="0"/>
          <w:numId w:val="9"/>
        </w:numPr>
        <w:ind w:left="1077" w:hanging="357"/>
        <w:rPr>
          <w:rFonts w:ascii="Calibri" w:hAnsi="Calibri" w:cs="Calibri"/>
          <w:sz w:val="24"/>
          <w:lang w:val="en-US"/>
        </w:rPr>
      </w:pPr>
      <w:r>
        <w:rPr>
          <w:rFonts w:ascii="Calibri" w:hAnsi="Calibri" w:cs="Calibri"/>
          <w:sz w:val="24"/>
        </w:rPr>
        <w:lastRenderedPageBreak/>
        <w:t>Step 3</w:t>
      </w:r>
      <w:r>
        <w:rPr>
          <w:rFonts w:ascii="Calibri" w:hAnsi="Calibri" w:cs="Calibri"/>
          <w:sz w:val="24"/>
          <w:lang w:val="en-US"/>
        </w:rPr>
        <w:t>-5: ICS/LABA fixed dose combinations are reserved for patients who continue to have frequent episodes of asthma while receiving treatment with OCS or ICS+SABA.</w:t>
      </w:r>
    </w:p>
    <w:p w:rsidR="00716FDC" w:rsidRPr="006D01D6" w:rsidRDefault="006D01D6" w:rsidP="006D01D6">
      <w:pPr>
        <w:pStyle w:val="TableHeading0"/>
        <w:rPr>
          <w:rStyle w:val="CommentReference"/>
          <w:rFonts w:asciiTheme="minorHAnsi" w:hAnsiTheme="minorHAnsi" w:cstheme="minorHAnsi"/>
          <w:b/>
          <w:szCs w:val="24"/>
        </w:rPr>
      </w:pPr>
      <w:bookmarkStart w:id="9" w:name="_Ref2081112"/>
      <w:bookmarkStart w:id="10" w:name="_Toc3287171"/>
      <w:r>
        <w:t xml:space="preserve">Figure </w:t>
      </w:r>
      <w:r>
        <w:fldChar w:fldCharType="begin"/>
      </w:r>
      <w:r>
        <w:instrText xml:space="preserve"> SEQ Figure \* ARABIC </w:instrText>
      </w:r>
      <w:r>
        <w:fldChar w:fldCharType="separate"/>
      </w:r>
      <w:r w:rsidR="00D2464D">
        <w:rPr>
          <w:noProof/>
        </w:rPr>
        <w:t>1</w:t>
      </w:r>
      <w:r>
        <w:fldChar w:fldCharType="end"/>
      </w:r>
      <w:r w:rsidRPr="00D07A26">
        <w:tab/>
        <w:t>Stepped approach to adjusting ASTHMA MEDICATION – Australian Asthma Guidelines (NAC)</w:t>
      </w:r>
      <w:bookmarkEnd w:id="9"/>
      <w:bookmarkEnd w:id="10"/>
    </w:p>
    <w:p w:rsidR="006D01D6" w:rsidRDefault="00C83C33" w:rsidP="006D01D6">
      <w:pPr>
        <w:keepNext/>
        <w:widowControl/>
        <w:jc w:val="center"/>
      </w:pPr>
      <w:r>
        <w:rPr>
          <w:noProof/>
          <w:lang w:eastAsia="en-AU"/>
        </w:rPr>
        <w:drawing>
          <wp:inline distT="0" distB="0" distL="0" distR="0">
            <wp:extent cx="5651039" cy="3895725"/>
            <wp:effectExtent l="0" t="0" r="6985" b="0"/>
            <wp:docPr id="14" name="Picture 14" title="Figure 1 Stepped approach to adjusting ASTHMA MEDICATION – Australian Asthma Guidelines (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1339" cy="3902826"/>
                    </a:xfrm>
                    <a:prstGeom prst="rect">
                      <a:avLst/>
                    </a:prstGeom>
                    <a:noFill/>
                  </pic:spPr>
                </pic:pic>
              </a:graphicData>
            </a:graphic>
          </wp:inline>
        </w:drawing>
      </w:r>
    </w:p>
    <w:p w:rsidR="00716FDC" w:rsidRDefault="00C83C33">
      <w:pPr>
        <w:pStyle w:val="TableFooter"/>
        <w:spacing w:after="240"/>
        <w:rPr>
          <w:lang w:val="en-AU"/>
        </w:rPr>
      </w:pPr>
      <w:r>
        <w:rPr>
          <w:lang w:val="en-AU"/>
        </w:rPr>
        <w:t>Source: Figure 1, p 13 of the submission</w:t>
      </w:r>
    </w:p>
    <w:p w:rsidR="00716FDC" w:rsidRDefault="00C83C33">
      <w:pPr>
        <w:pStyle w:val="ListParagraph"/>
        <w:widowControl/>
        <w:numPr>
          <w:ilvl w:val="1"/>
          <w:numId w:val="2"/>
        </w:numPr>
        <w:rPr>
          <w:rFonts w:asciiTheme="minorHAnsi" w:hAnsiTheme="minorHAnsi" w:cstheme="minorHAnsi"/>
          <w:sz w:val="24"/>
          <w:szCs w:val="24"/>
        </w:rPr>
      </w:pPr>
      <w:r>
        <w:rPr>
          <w:rFonts w:ascii="Calibri" w:hAnsi="Calibri" w:cs="Calibri"/>
          <w:sz w:val="24"/>
          <w:lang w:val="en-US"/>
        </w:rPr>
        <w:t xml:space="preserve">For the proposed population in the PICO, patients aged ≥ 12 years with asthma who are uncontrolled on SABA or controlled on a regimen of low dose ICS+SABA, the current standard of care according to the NAC (2019) guidelines is a low dose ICS maintenance regimen plus SABA as needed. The PBAC agreed with the ESC that the PICO population is a subset of patients within step 2 of the NAC (2019) guidelines as treatment-naïve patients may also be eligible for step 2 treatment options. </w:t>
      </w:r>
    </w:p>
    <w:p w:rsidR="00716FDC" w:rsidRDefault="00C83C33">
      <w:pPr>
        <w:pStyle w:val="ListParagraph"/>
        <w:widowControl/>
        <w:rPr>
          <w:rFonts w:ascii="Calibri" w:hAnsi="Calibri" w:cs="Calibri"/>
          <w:b/>
          <w:sz w:val="24"/>
          <w:u w:val="single"/>
          <w:lang w:val="en-AU"/>
        </w:rPr>
      </w:pPr>
      <w:r>
        <w:rPr>
          <w:rFonts w:ascii="Calibri" w:hAnsi="Calibri" w:cs="Calibri"/>
          <w:b/>
          <w:sz w:val="24"/>
          <w:u w:val="single"/>
          <w:lang w:val="en-AU"/>
        </w:rPr>
        <w:t>Updated GINA 2019 Framework</w:t>
      </w:r>
    </w:p>
    <w:p w:rsidR="00716FDC" w:rsidRDefault="00C83C33">
      <w:pPr>
        <w:pStyle w:val="ListParagraph"/>
        <w:widowControl/>
        <w:numPr>
          <w:ilvl w:val="1"/>
          <w:numId w:val="2"/>
        </w:numPr>
        <w:rPr>
          <w:rFonts w:ascii="Calibri" w:hAnsi="Calibri" w:cs="Calibri"/>
          <w:sz w:val="24"/>
        </w:rPr>
      </w:pPr>
      <w:r>
        <w:rPr>
          <w:rFonts w:ascii="Calibri" w:hAnsi="Calibri" w:cs="Calibri"/>
          <w:sz w:val="24"/>
        </w:rPr>
        <w:t>During the evaluation period, GINA released an updated “Pocket Guide for Asthma Management and Prevention” in April 2019 (the full guidelines were not released during the period of evaluation). The updated guidelines included a major change to the GINA asthma treatment strategy for mild asthma. The change relates to step 1 and step 2 with the new recommendations presented below:</w:t>
      </w:r>
    </w:p>
    <w:p w:rsidR="00716FDC" w:rsidRDefault="00C83C33">
      <w:pPr>
        <w:pStyle w:val="ListParagraph"/>
        <w:numPr>
          <w:ilvl w:val="0"/>
          <w:numId w:val="9"/>
        </w:numPr>
        <w:ind w:left="1077" w:hanging="357"/>
        <w:rPr>
          <w:rFonts w:ascii="Calibri" w:hAnsi="Calibri" w:cs="Calibri"/>
          <w:sz w:val="24"/>
        </w:rPr>
      </w:pPr>
      <w:r>
        <w:rPr>
          <w:rFonts w:ascii="Calibri" w:hAnsi="Calibri" w:cs="Calibri"/>
          <w:sz w:val="24"/>
        </w:rPr>
        <w:t xml:space="preserve">Step 1: </w:t>
      </w:r>
      <w:r>
        <w:rPr>
          <w:rFonts w:ascii="Calibri" w:hAnsi="Calibri" w:cs="Calibri"/>
          <w:sz w:val="24"/>
          <w:lang w:val="en-AU"/>
        </w:rPr>
        <w:t>A</w:t>
      </w:r>
      <w:r>
        <w:rPr>
          <w:rFonts w:ascii="Calibri" w:hAnsi="Calibri" w:cs="Calibri"/>
          <w:sz w:val="24"/>
        </w:rPr>
        <w:t>s needed low dose ICS-formoterol (off-label)</w:t>
      </w:r>
      <w:r>
        <w:rPr>
          <w:rFonts w:ascii="Calibri" w:hAnsi="Calibri" w:cs="Calibri"/>
          <w:sz w:val="24"/>
          <w:lang w:val="en-AU"/>
        </w:rPr>
        <w:t xml:space="preserve"> as the p</w:t>
      </w:r>
      <w:r>
        <w:rPr>
          <w:rFonts w:ascii="Calibri" w:hAnsi="Calibri" w:cs="Calibri"/>
          <w:sz w:val="24"/>
        </w:rPr>
        <w:t>referred controller</w:t>
      </w:r>
      <w:r>
        <w:rPr>
          <w:rFonts w:ascii="Calibri" w:hAnsi="Calibri" w:cs="Calibri"/>
          <w:sz w:val="24"/>
          <w:lang w:val="en-AU"/>
        </w:rPr>
        <w:t>, with l</w:t>
      </w:r>
      <w:r>
        <w:rPr>
          <w:rFonts w:ascii="Calibri" w:hAnsi="Calibri" w:cs="Calibri"/>
          <w:sz w:val="24"/>
        </w:rPr>
        <w:t>ow dose ICS taken whenever SABA is taken (off-label)</w:t>
      </w:r>
      <w:r>
        <w:rPr>
          <w:rFonts w:ascii="Calibri" w:hAnsi="Calibri" w:cs="Calibri"/>
          <w:sz w:val="24"/>
          <w:lang w:val="en-AU"/>
        </w:rPr>
        <w:t xml:space="preserve"> as the other</w:t>
      </w:r>
      <w:r>
        <w:rPr>
          <w:rFonts w:ascii="Calibri" w:hAnsi="Calibri" w:cs="Calibri"/>
          <w:sz w:val="24"/>
        </w:rPr>
        <w:t xml:space="preserve"> controller option. </w:t>
      </w:r>
    </w:p>
    <w:p w:rsidR="00716FDC" w:rsidRDefault="00C83C33">
      <w:pPr>
        <w:pStyle w:val="ListParagraph"/>
        <w:numPr>
          <w:ilvl w:val="0"/>
          <w:numId w:val="9"/>
        </w:numPr>
        <w:ind w:left="1077" w:hanging="357"/>
        <w:rPr>
          <w:rFonts w:ascii="Calibri" w:hAnsi="Calibri" w:cs="Calibri"/>
          <w:sz w:val="24"/>
        </w:rPr>
      </w:pPr>
      <w:r>
        <w:rPr>
          <w:rFonts w:ascii="Calibri" w:hAnsi="Calibri" w:cs="Calibri"/>
          <w:sz w:val="24"/>
        </w:rPr>
        <w:lastRenderedPageBreak/>
        <w:t>Step 2: Daily low dose ICS plus as needed SABA</w:t>
      </w:r>
      <w:r>
        <w:rPr>
          <w:rFonts w:ascii="Calibri" w:hAnsi="Calibri" w:cs="Calibri"/>
          <w:sz w:val="24"/>
          <w:lang w:val="en-AU"/>
        </w:rPr>
        <w:t xml:space="preserve"> </w:t>
      </w:r>
      <w:r>
        <w:rPr>
          <w:rFonts w:ascii="Calibri" w:hAnsi="Calibri" w:cs="Calibri"/>
          <w:sz w:val="24"/>
        </w:rPr>
        <w:t>OR as needed low dose</w:t>
      </w:r>
      <w:r>
        <w:rPr>
          <w:rFonts w:ascii="Calibri" w:hAnsi="Calibri" w:cs="Calibri"/>
          <w:sz w:val="24"/>
          <w:lang w:val="en-AU"/>
        </w:rPr>
        <w:t xml:space="preserve"> </w:t>
      </w:r>
      <w:r>
        <w:rPr>
          <w:rFonts w:ascii="Calibri" w:hAnsi="Calibri" w:cs="Calibri"/>
          <w:sz w:val="24"/>
        </w:rPr>
        <w:t>ICS-formoterol (off-label)</w:t>
      </w:r>
      <w:r>
        <w:rPr>
          <w:rFonts w:ascii="Calibri" w:hAnsi="Calibri" w:cs="Calibri"/>
          <w:sz w:val="24"/>
          <w:lang w:val="en-AU"/>
        </w:rPr>
        <w:t xml:space="preserve"> as the p</w:t>
      </w:r>
      <w:r>
        <w:rPr>
          <w:rFonts w:ascii="Calibri" w:hAnsi="Calibri" w:cs="Calibri"/>
          <w:sz w:val="24"/>
        </w:rPr>
        <w:t>referred controller</w:t>
      </w:r>
      <w:r>
        <w:rPr>
          <w:rFonts w:ascii="Calibri" w:hAnsi="Calibri" w:cs="Calibri"/>
          <w:sz w:val="24"/>
          <w:lang w:val="en-AU"/>
        </w:rPr>
        <w:t>s, with l</w:t>
      </w:r>
      <w:r>
        <w:rPr>
          <w:rFonts w:ascii="Calibri" w:hAnsi="Calibri" w:cs="Calibri"/>
          <w:sz w:val="24"/>
        </w:rPr>
        <w:t>ow dose ICS taken whenever SABA is taken (off-label) OR leukotriene receptor antagonists (LTRA)</w:t>
      </w:r>
      <w:r>
        <w:rPr>
          <w:rFonts w:ascii="Calibri" w:hAnsi="Calibri" w:cs="Calibri"/>
          <w:sz w:val="24"/>
          <w:lang w:val="en-AU"/>
        </w:rPr>
        <w:t xml:space="preserve"> as the other controller options</w:t>
      </w:r>
      <w:r>
        <w:rPr>
          <w:rFonts w:ascii="Calibri" w:hAnsi="Calibri" w:cs="Calibri"/>
          <w:sz w:val="24"/>
        </w:rPr>
        <w:t>.</w:t>
      </w:r>
    </w:p>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The major change was that SABA as needed treatment in </w:t>
      </w:r>
      <w:r>
        <w:rPr>
          <w:rFonts w:ascii="Calibri" w:hAnsi="Calibri" w:cs="Calibri"/>
          <w:sz w:val="24"/>
          <w:lang w:val="en-US"/>
        </w:rPr>
        <w:t>step</w:t>
      </w:r>
      <w:r>
        <w:rPr>
          <w:rFonts w:ascii="Calibri" w:hAnsi="Calibri" w:cs="Calibri"/>
          <w:sz w:val="24"/>
        </w:rPr>
        <w:t xml:space="preserve"> 1 is no longer recommended as over-use of SABA is associated with an increased risk of severe exacerbations, and dispensing of ≥ 12 canisters in a year is associated with increased risk of asthma-related death. Instead, GINA recommends that all adults and adolescents with asthma should receive ICS-containing controller treatment, to reduce the risk of serious exacerbations and to control symptoms. </w:t>
      </w:r>
      <w:r>
        <w:rPr>
          <w:rFonts w:ascii="Calibri" w:hAnsi="Calibri" w:cs="Calibri"/>
          <w:sz w:val="24"/>
          <w:lang w:val="en-AU"/>
        </w:rPr>
        <w:t>The ESC noted, a</w:t>
      </w:r>
      <w:r>
        <w:rPr>
          <w:rFonts w:ascii="Calibri" w:hAnsi="Calibri" w:cs="Calibri"/>
          <w:sz w:val="24"/>
        </w:rPr>
        <w:t xml:space="preserve">s outlined above, low dose ICS-formoterol is stated as the preferred controller at </w:t>
      </w:r>
      <w:r>
        <w:rPr>
          <w:rFonts w:ascii="Calibri" w:hAnsi="Calibri" w:cs="Calibri"/>
          <w:sz w:val="24"/>
          <w:lang w:val="en-US"/>
        </w:rPr>
        <w:t>step</w:t>
      </w:r>
      <w:r>
        <w:rPr>
          <w:rFonts w:ascii="Calibri" w:hAnsi="Calibri" w:cs="Calibri"/>
          <w:sz w:val="24"/>
        </w:rPr>
        <w:t xml:space="preserve"> 1</w:t>
      </w:r>
      <w:r>
        <w:rPr>
          <w:rFonts w:ascii="Calibri" w:hAnsi="Calibri" w:cs="Calibri"/>
          <w:sz w:val="24"/>
          <w:lang w:val="en-AU"/>
        </w:rPr>
        <w:t xml:space="preserve"> of the GINA (2019) framework</w:t>
      </w:r>
      <w:r>
        <w:rPr>
          <w:rFonts w:ascii="Calibri" w:hAnsi="Calibri" w:cs="Calibri"/>
          <w:sz w:val="24"/>
        </w:rPr>
        <w:t>.</w:t>
      </w:r>
      <w:r>
        <w:rPr>
          <w:rFonts w:ascii="Calibri" w:hAnsi="Calibri" w:cs="Calibri"/>
          <w:sz w:val="24"/>
          <w:lang w:val="en-AU"/>
        </w:rPr>
        <w:t xml:space="preserve"> The ESC noted that this change in recommendation is specific to ICS-formoterol due to the rapid onset of action of formoterol compared to other LABAs.  </w:t>
      </w:r>
      <w:r>
        <w:rPr>
          <w:rFonts w:ascii="Calibri" w:hAnsi="Calibri" w:cs="Calibri"/>
          <w:sz w:val="24"/>
        </w:rPr>
        <w:t xml:space="preserve"> </w:t>
      </w:r>
    </w:p>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The </w:t>
      </w:r>
      <w:r>
        <w:rPr>
          <w:rFonts w:ascii="Calibri" w:hAnsi="Calibri" w:cs="Calibri"/>
          <w:sz w:val="24"/>
          <w:lang w:val="en-AU"/>
        </w:rPr>
        <w:t>ESC noted that the revised GINA framework</w:t>
      </w:r>
      <w:r>
        <w:rPr>
          <w:rFonts w:ascii="Calibri" w:hAnsi="Calibri" w:cs="Calibri"/>
          <w:sz w:val="24"/>
        </w:rPr>
        <w:t xml:space="preserve"> states that th</w:t>
      </w:r>
      <w:r>
        <w:rPr>
          <w:rFonts w:ascii="Calibri" w:hAnsi="Calibri" w:cs="Calibri"/>
          <w:sz w:val="24"/>
          <w:lang w:val="en-AU"/>
        </w:rPr>
        <w:t>e recommendation of ICS-formoterol as the preferred controller at step 1</w:t>
      </w:r>
      <w:r>
        <w:rPr>
          <w:rFonts w:ascii="Calibri" w:hAnsi="Calibri" w:cs="Calibri"/>
          <w:sz w:val="24"/>
        </w:rPr>
        <w:t xml:space="preserve"> was based on: indirect evidence from the SYGMA 1 trial (i.e. Symbicort compared with SABA-only treatment in patients eligible for </w:t>
      </w:r>
      <w:r>
        <w:rPr>
          <w:rFonts w:ascii="Calibri" w:hAnsi="Calibri" w:cs="Calibri"/>
          <w:sz w:val="24"/>
          <w:lang w:val="en-US"/>
        </w:rPr>
        <w:t>step</w:t>
      </w:r>
      <w:r>
        <w:rPr>
          <w:rFonts w:ascii="Calibri" w:hAnsi="Calibri" w:cs="Calibri"/>
          <w:sz w:val="24"/>
        </w:rPr>
        <w:t xml:space="preserve"> 2 therapy); that </w:t>
      </w:r>
      <w:r>
        <w:rPr>
          <w:rFonts w:ascii="Calibri" w:hAnsi="Calibri" w:cs="Calibri"/>
          <w:sz w:val="24"/>
          <w:lang w:val="en-AU"/>
        </w:rPr>
        <w:t xml:space="preserve">overuse of </w:t>
      </w:r>
      <w:r>
        <w:rPr>
          <w:rFonts w:ascii="Calibri" w:hAnsi="Calibri" w:cs="Calibri"/>
          <w:sz w:val="24"/>
        </w:rPr>
        <w:t xml:space="preserve">SABA as needed treatment </w:t>
      </w:r>
      <w:r>
        <w:rPr>
          <w:rFonts w:ascii="Calibri" w:hAnsi="Calibri" w:cs="Calibri"/>
          <w:sz w:val="24"/>
          <w:lang w:val="en-AU"/>
        </w:rPr>
        <w:t xml:space="preserve">is associated with an </w:t>
      </w:r>
      <w:r>
        <w:rPr>
          <w:rFonts w:ascii="Calibri" w:hAnsi="Calibri" w:cs="Calibri"/>
          <w:sz w:val="24"/>
        </w:rPr>
        <w:t>increase</w:t>
      </w:r>
      <w:r>
        <w:rPr>
          <w:rFonts w:ascii="Calibri" w:hAnsi="Calibri" w:cs="Calibri"/>
          <w:sz w:val="24"/>
          <w:lang w:val="en-AU"/>
        </w:rPr>
        <w:t>d</w:t>
      </w:r>
      <w:r>
        <w:rPr>
          <w:rFonts w:ascii="Calibri" w:hAnsi="Calibri" w:cs="Calibri"/>
          <w:sz w:val="24"/>
        </w:rPr>
        <w:t xml:space="preserve"> risk of severe exacerbations; and that adding ICS significantly reduces the risk of severe exacerbations.</w:t>
      </w:r>
      <w:r>
        <w:rPr>
          <w:rFonts w:ascii="Calibri" w:hAnsi="Calibri" w:cs="Calibri"/>
          <w:sz w:val="24"/>
          <w:lang w:val="en-AU"/>
        </w:rPr>
        <w:t xml:space="preserve"> </w:t>
      </w:r>
    </w:p>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For </w:t>
      </w:r>
      <w:r>
        <w:rPr>
          <w:rFonts w:ascii="Calibri" w:hAnsi="Calibri" w:cs="Calibri"/>
          <w:sz w:val="24"/>
          <w:lang w:val="en-US"/>
        </w:rPr>
        <w:t>step</w:t>
      </w:r>
      <w:r>
        <w:rPr>
          <w:rFonts w:ascii="Calibri" w:hAnsi="Calibri" w:cs="Calibri"/>
          <w:sz w:val="24"/>
        </w:rPr>
        <w:t xml:space="preserve"> 2 treatment, as needed ICS plus formoterol (off-label) is now added as an additional preferred controller alongside ICS+SABA which is the current standard of care in Australia. The guideline acknowledged that the evidence is only currently available for low dose budesonide with formoterol, but low dose beclometasone with formoterol could be potentially used in a similar way. The </w:t>
      </w:r>
      <w:r>
        <w:rPr>
          <w:rFonts w:ascii="Calibri" w:hAnsi="Calibri" w:cs="Calibri"/>
          <w:sz w:val="24"/>
          <w:lang w:val="en-AU"/>
        </w:rPr>
        <w:t xml:space="preserve">ESC noted that the </w:t>
      </w:r>
      <w:r>
        <w:rPr>
          <w:rFonts w:ascii="Calibri" w:hAnsi="Calibri" w:cs="Calibri"/>
          <w:sz w:val="24"/>
        </w:rPr>
        <w:t xml:space="preserve">guideline states that this change was based on evidence from the SYGMA 1 and SYGMA 2 trials. </w:t>
      </w:r>
    </w:p>
    <w:p w:rsidR="00716FDC" w:rsidRDefault="00C83C33">
      <w:pPr>
        <w:pStyle w:val="ListParagraph"/>
        <w:widowControl/>
        <w:rPr>
          <w:rFonts w:ascii="Calibri" w:hAnsi="Calibri" w:cs="Calibri"/>
          <w:i/>
          <w:sz w:val="24"/>
          <w:lang w:val="en-AU"/>
        </w:rPr>
      </w:pPr>
      <w:r>
        <w:rPr>
          <w:rFonts w:ascii="Calibri" w:hAnsi="Calibri" w:cs="Calibri"/>
          <w:i/>
          <w:sz w:val="24"/>
          <w:lang w:val="en-AU"/>
        </w:rPr>
        <w:t xml:space="preserve">For more detail on PBAC’s view, see section 7 PBAC outcome. </w:t>
      </w:r>
    </w:p>
    <w:p w:rsidR="00716FDC" w:rsidRDefault="00C83C33">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11" w:name="_Toc8973948"/>
      <w:r>
        <w:rPr>
          <w:rFonts w:asciiTheme="minorHAnsi" w:eastAsiaTheme="majorEastAsia" w:hAnsiTheme="minorHAnsi" w:cstheme="majorBidi"/>
          <w:caps w:val="0"/>
          <w:snapToGrid/>
          <w:szCs w:val="28"/>
        </w:rPr>
        <w:t>Comparator</w:t>
      </w:r>
      <w:bookmarkEnd w:id="11"/>
    </w:p>
    <w:p w:rsidR="00716FDC" w:rsidRDefault="00716FDC"/>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The submission nominated </w:t>
      </w:r>
      <w:r>
        <w:rPr>
          <w:rFonts w:ascii="Calibri" w:hAnsi="Calibri" w:cs="Calibri"/>
          <w:sz w:val="24"/>
          <w:lang w:val="en-AU"/>
        </w:rPr>
        <w:t xml:space="preserve">twice </w:t>
      </w:r>
      <w:r>
        <w:rPr>
          <w:rFonts w:ascii="Calibri" w:hAnsi="Calibri" w:cs="Calibri"/>
          <w:sz w:val="24"/>
          <w:lang w:val="en-US"/>
        </w:rPr>
        <w:t xml:space="preserve">daily </w:t>
      </w:r>
      <w:r>
        <w:rPr>
          <w:rFonts w:ascii="Calibri" w:hAnsi="Calibri" w:cs="Calibri"/>
          <w:sz w:val="24"/>
        </w:rPr>
        <w:t>low dose ICS maintenance regimen with SABA as needed (ICS+SABA) as the main comparator</w:t>
      </w:r>
      <w:r>
        <w:rPr>
          <w:rFonts w:ascii="Calibri" w:hAnsi="Calibri" w:cs="Calibri"/>
          <w:sz w:val="24"/>
          <w:lang w:val="en-AU"/>
        </w:rPr>
        <w:t>. This is</w:t>
      </w:r>
      <w:r>
        <w:rPr>
          <w:rFonts w:ascii="Calibri" w:hAnsi="Calibri" w:cs="Calibri"/>
          <w:sz w:val="24"/>
          <w:lang w:val="en-US"/>
        </w:rPr>
        <w:t xml:space="preserve"> in line with </w:t>
      </w:r>
      <w:r>
        <w:rPr>
          <w:rFonts w:ascii="Calibri" w:hAnsi="Calibri" w:cs="Calibri"/>
          <w:sz w:val="24"/>
          <w:lang w:val="en-AU"/>
        </w:rPr>
        <w:t>step</w:t>
      </w:r>
      <w:r>
        <w:rPr>
          <w:rFonts w:ascii="Calibri" w:hAnsi="Calibri" w:cs="Calibri"/>
          <w:sz w:val="24"/>
          <w:lang w:val="en-US"/>
        </w:rPr>
        <w:t xml:space="preserve"> 2 treatment of NAC (2019) guidelines and GINA (2019) framework</w:t>
      </w:r>
      <w:r>
        <w:rPr>
          <w:rFonts w:ascii="Calibri" w:hAnsi="Calibri" w:cs="Calibri"/>
          <w:sz w:val="24"/>
        </w:rPr>
        <w:t>.</w:t>
      </w:r>
      <w:r>
        <w:rPr>
          <w:rFonts w:ascii="Calibri" w:hAnsi="Calibri" w:cs="Calibri"/>
          <w:sz w:val="24"/>
          <w:lang w:val="en-AU"/>
        </w:rPr>
        <w:t xml:space="preserve"> The ESC considered that the nominated main comparator was appropriate.  </w:t>
      </w:r>
    </w:p>
    <w:p w:rsidR="00716FDC" w:rsidRDefault="00C83C33">
      <w:pPr>
        <w:pStyle w:val="ListParagraph"/>
        <w:widowControl/>
        <w:numPr>
          <w:ilvl w:val="1"/>
          <w:numId w:val="2"/>
        </w:numPr>
        <w:rPr>
          <w:rFonts w:ascii="Calibri" w:hAnsi="Calibri" w:cs="Calibri"/>
          <w:sz w:val="24"/>
          <w:lang w:val="en-US"/>
        </w:rPr>
      </w:pPr>
      <w:r>
        <w:rPr>
          <w:rFonts w:ascii="Calibri" w:hAnsi="Calibri" w:cs="Calibri"/>
          <w:sz w:val="24"/>
          <w:szCs w:val="24"/>
        </w:rPr>
        <w:t xml:space="preserve">The submission also nominated SABA as needed as the secondary comparator. </w:t>
      </w:r>
      <w:r>
        <w:rPr>
          <w:rFonts w:ascii="Calibri" w:hAnsi="Calibri" w:cs="Calibri"/>
          <w:sz w:val="24"/>
          <w:szCs w:val="24"/>
          <w:lang w:val="en-AU"/>
        </w:rPr>
        <w:t>The</w:t>
      </w:r>
      <w:r>
        <w:rPr>
          <w:rFonts w:ascii="Calibri" w:hAnsi="Calibri" w:cs="Calibri"/>
          <w:sz w:val="24"/>
          <w:szCs w:val="24"/>
        </w:rPr>
        <w:t xml:space="preserve"> main rationale for</w:t>
      </w:r>
      <w:r>
        <w:rPr>
          <w:rFonts w:ascii="Calibri" w:hAnsi="Calibri" w:cs="Calibri"/>
          <w:sz w:val="24"/>
          <w:szCs w:val="24"/>
          <w:lang w:val="en-AU"/>
        </w:rPr>
        <w:t xml:space="preserve"> the</w:t>
      </w:r>
      <w:r>
        <w:rPr>
          <w:rFonts w:ascii="Calibri" w:hAnsi="Calibri" w:cs="Calibri"/>
          <w:sz w:val="24"/>
          <w:szCs w:val="24"/>
        </w:rPr>
        <w:t xml:space="preserve"> nominat</w:t>
      </w:r>
      <w:r>
        <w:rPr>
          <w:rFonts w:ascii="Calibri" w:hAnsi="Calibri" w:cs="Calibri"/>
          <w:sz w:val="24"/>
          <w:szCs w:val="24"/>
          <w:lang w:val="en-AU"/>
        </w:rPr>
        <w:t>ion</w:t>
      </w:r>
      <w:r>
        <w:rPr>
          <w:rFonts w:ascii="Calibri" w:hAnsi="Calibri" w:cs="Calibri"/>
          <w:sz w:val="24"/>
          <w:szCs w:val="24"/>
        </w:rPr>
        <w:t xml:space="preserve"> was that </w:t>
      </w:r>
      <w:r>
        <w:rPr>
          <w:rFonts w:ascii="Calibri" w:hAnsi="Calibri" w:cs="Calibri"/>
          <w:sz w:val="24"/>
          <w:szCs w:val="24"/>
          <w:lang w:val="en-AU"/>
        </w:rPr>
        <w:t>a significant proportion of patients with mild asthma use SABA. In addition, the submission proposed that many patients were</w:t>
      </w:r>
      <w:r>
        <w:rPr>
          <w:rFonts w:ascii="Calibri" w:hAnsi="Calibri" w:cs="Calibri"/>
          <w:sz w:val="24"/>
          <w:szCs w:val="24"/>
        </w:rPr>
        <w:t xml:space="preserve"> non-complaint </w:t>
      </w:r>
      <w:r>
        <w:rPr>
          <w:rFonts w:ascii="Calibri" w:hAnsi="Calibri" w:cs="Calibri"/>
          <w:sz w:val="24"/>
          <w:szCs w:val="24"/>
          <w:lang w:val="en-AU"/>
        </w:rPr>
        <w:t>with</w:t>
      </w:r>
      <w:r>
        <w:rPr>
          <w:rFonts w:ascii="Calibri" w:hAnsi="Calibri" w:cs="Calibri"/>
          <w:sz w:val="24"/>
          <w:szCs w:val="24"/>
        </w:rPr>
        <w:t xml:space="preserve"> daily ICS</w:t>
      </w:r>
      <w:r>
        <w:rPr>
          <w:rFonts w:ascii="Calibri" w:hAnsi="Calibri" w:cs="Calibri"/>
          <w:sz w:val="24"/>
          <w:szCs w:val="24"/>
          <w:lang w:val="en-AU"/>
        </w:rPr>
        <w:t xml:space="preserve"> and thus over-relied on SABA as needed</w:t>
      </w:r>
      <w:r>
        <w:rPr>
          <w:rFonts w:ascii="Calibri" w:hAnsi="Calibri" w:cs="Calibri"/>
          <w:sz w:val="24"/>
          <w:szCs w:val="24"/>
        </w:rPr>
        <w:t>. Therefore, the submission stated that Symbicort would replace currently PBS-listed SABA</w:t>
      </w:r>
      <w:r>
        <w:rPr>
          <w:rFonts w:ascii="Calibri" w:hAnsi="Calibri" w:cs="Calibri"/>
          <w:sz w:val="24"/>
          <w:szCs w:val="24"/>
          <w:lang w:val="en-AU"/>
        </w:rPr>
        <w:t xml:space="preserve"> among this group of patients</w:t>
      </w:r>
      <w:r>
        <w:rPr>
          <w:rFonts w:ascii="Calibri" w:hAnsi="Calibri" w:cs="Calibri"/>
          <w:sz w:val="24"/>
          <w:szCs w:val="24"/>
        </w:rPr>
        <w:t xml:space="preserve">. </w:t>
      </w:r>
      <w:r>
        <w:rPr>
          <w:rFonts w:ascii="Calibri" w:hAnsi="Calibri" w:cs="Calibri"/>
          <w:sz w:val="24"/>
          <w:lang w:val="en-US"/>
        </w:rPr>
        <w:t xml:space="preserve">For the population specified in the PICO of the submission (uncontrolled on SABA or controlled on a regimen of ICS+SABA), this would not be an </w:t>
      </w:r>
      <w:r>
        <w:rPr>
          <w:rFonts w:ascii="Calibri" w:hAnsi="Calibri" w:cs="Calibri"/>
          <w:sz w:val="24"/>
          <w:lang w:val="en-US"/>
        </w:rPr>
        <w:lastRenderedPageBreak/>
        <w:t xml:space="preserve">appropriate comparator because, in the absence of Symbicort being available on the PBS in the proposed population, patients uncontrolled on SABA would otherwise switch to ICS+SABA. </w:t>
      </w:r>
      <w:r>
        <w:rPr>
          <w:rFonts w:ascii="Calibri" w:hAnsi="Calibri" w:cs="Calibri"/>
          <w:sz w:val="24"/>
          <w:szCs w:val="24"/>
        </w:rPr>
        <w:t>The ESC considered the comparison with SABA may not be appropriate given the intention</w:t>
      </w:r>
      <w:r>
        <w:rPr>
          <w:rFonts w:ascii="Calibri" w:hAnsi="Calibri" w:cs="Calibri"/>
          <w:sz w:val="24"/>
          <w:szCs w:val="24"/>
          <w:lang w:val="en-AU"/>
        </w:rPr>
        <w:t xml:space="preserve"> (as restated in the PSCR)</w:t>
      </w:r>
      <w:r>
        <w:rPr>
          <w:rFonts w:ascii="Calibri" w:hAnsi="Calibri" w:cs="Calibri"/>
          <w:sz w:val="24"/>
          <w:szCs w:val="24"/>
        </w:rPr>
        <w:t xml:space="preserve"> that Symbicort be used at step 2 of the NAC guidelines, where an ICS is indicated</w:t>
      </w:r>
      <w:r>
        <w:t>.</w:t>
      </w:r>
    </w:p>
    <w:p w:rsidR="00716FDC" w:rsidRDefault="00C83C33">
      <w:pPr>
        <w:pStyle w:val="ListParagraph"/>
        <w:widowControl/>
        <w:numPr>
          <w:ilvl w:val="1"/>
          <w:numId w:val="2"/>
        </w:numPr>
        <w:spacing w:after="0"/>
        <w:rPr>
          <w:rFonts w:ascii="Calibri" w:hAnsi="Calibri" w:cs="Calibri"/>
          <w:sz w:val="24"/>
          <w:szCs w:val="24"/>
        </w:rPr>
      </w:pPr>
      <w:r>
        <w:rPr>
          <w:rFonts w:ascii="Calibri" w:hAnsi="Calibri" w:cs="Calibri"/>
          <w:sz w:val="24"/>
          <w:lang w:val="en-US"/>
        </w:rPr>
        <w:t>However, with the recent update of the GINA framework, SABA as needed treatment is no longer recommended at step 1 and as such, patients at any disease severity would likely be initiated on Symbicort in place of SABA or would switch from SABA to Symbicort. The ESC noted that there was no clinical evidence presented to support the use of Symbicort in this population or to conduct an economic evaluation in this line of therapy.</w:t>
      </w:r>
    </w:p>
    <w:p w:rsidR="00716FDC" w:rsidRDefault="00C83C33">
      <w:pPr>
        <w:widowControl/>
        <w:ind w:left="709"/>
        <w:rPr>
          <w:rFonts w:cs="Calibri"/>
          <w:i/>
          <w:lang w:val="en-US"/>
        </w:rPr>
      </w:pPr>
      <w:r>
        <w:rPr>
          <w:rFonts w:cs="Calibri"/>
          <w:lang w:val="en-US"/>
        </w:rPr>
        <w:br/>
      </w:r>
      <w:r>
        <w:rPr>
          <w:rFonts w:cs="Calibri"/>
          <w:i/>
          <w:lang w:val="en-US"/>
        </w:rPr>
        <w:t xml:space="preserve">For more detail on PBAC’s view, see section 7 PBAC outcome. </w:t>
      </w:r>
    </w:p>
    <w:p w:rsidR="00716FDC" w:rsidRDefault="00716FDC">
      <w:pPr>
        <w:widowControl/>
        <w:ind w:left="709"/>
        <w:rPr>
          <w:rFonts w:cs="Calibri"/>
          <w:szCs w:val="24"/>
        </w:rPr>
      </w:pPr>
    </w:p>
    <w:p w:rsidR="00716FDC" w:rsidRDefault="00C83C33">
      <w:pPr>
        <w:pStyle w:val="Heading1"/>
        <w:keepNext/>
        <w:keepLines/>
        <w:widowControl/>
        <w:numPr>
          <w:ilvl w:val="0"/>
          <w:numId w:val="2"/>
        </w:numPr>
        <w:ind w:left="709" w:hanging="709"/>
        <w:rPr>
          <w:rFonts w:asciiTheme="minorHAnsi" w:eastAsiaTheme="majorEastAsia" w:hAnsiTheme="minorHAnsi" w:cstheme="majorBidi"/>
          <w:caps w:val="0"/>
          <w:snapToGrid/>
          <w:szCs w:val="28"/>
        </w:rPr>
      </w:pPr>
      <w:bookmarkStart w:id="12" w:name="_Toc8973949"/>
      <w:r>
        <w:rPr>
          <w:rFonts w:asciiTheme="minorHAnsi" w:eastAsiaTheme="majorEastAsia" w:hAnsiTheme="minorHAnsi" w:cstheme="majorBidi"/>
          <w:caps w:val="0"/>
          <w:snapToGrid/>
          <w:szCs w:val="28"/>
        </w:rPr>
        <w:t>Consideration of the evidence</w:t>
      </w:r>
      <w:bookmarkEnd w:id="12"/>
    </w:p>
    <w:p w:rsidR="00716FDC" w:rsidRDefault="00C83C33">
      <w:pPr>
        <w:pStyle w:val="Heading2"/>
        <w:keepLines/>
        <w:spacing w:before="240" w:after="120"/>
        <w:rPr>
          <w:rFonts w:asciiTheme="minorHAnsi" w:eastAsiaTheme="majorEastAsia" w:hAnsiTheme="minorHAnsi" w:cstheme="majorBidi"/>
          <w:szCs w:val="28"/>
        </w:rPr>
      </w:pPr>
      <w:r>
        <w:rPr>
          <w:rFonts w:asciiTheme="minorHAnsi" w:eastAsiaTheme="majorEastAsia" w:hAnsiTheme="minorHAnsi" w:cstheme="majorBidi"/>
          <w:szCs w:val="28"/>
        </w:rPr>
        <w:t>Sponsor hearing</w:t>
      </w:r>
    </w:p>
    <w:p w:rsidR="00716FDC" w:rsidRDefault="00C83C33">
      <w:pPr>
        <w:widowControl/>
        <w:numPr>
          <w:ilvl w:val="1"/>
          <w:numId w:val="2"/>
        </w:numPr>
        <w:spacing w:after="120"/>
        <w:rPr>
          <w:rFonts w:asciiTheme="minorHAnsi" w:hAnsiTheme="minorHAnsi"/>
          <w:bCs/>
        </w:rPr>
      </w:pPr>
      <w:r>
        <w:rPr>
          <w:rFonts w:asciiTheme="minorHAnsi" w:hAnsiTheme="minorHAnsi"/>
          <w:bCs/>
        </w:rPr>
        <w:t xml:space="preserve"> There was no hearing for this item.</w:t>
      </w:r>
    </w:p>
    <w:p w:rsidR="00716FDC" w:rsidRDefault="00C83C33">
      <w:pPr>
        <w:pStyle w:val="Heading2"/>
        <w:keepLines/>
        <w:spacing w:before="240" w:after="120"/>
        <w:rPr>
          <w:rFonts w:asciiTheme="minorHAnsi" w:eastAsiaTheme="majorEastAsia" w:hAnsiTheme="minorHAnsi" w:cstheme="majorBidi"/>
          <w:szCs w:val="28"/>
        </w:rPr>
      </w:pPr>
      <w:r>
        <w:rPr>
          <w:rFonts w:asciiTheme="minorHAnsi" w:eastAsiaTheme="majorEastAsia" w:hAnsiTheme="minorHAnsi" w:cstheme="majorBidi"/>
          <w:szCs w:val="28"/>
        </w:rPr>
        <w:t>Consumer comments</w:t>
      </w:r>
    </w:p>
    <w:p w:rsidR="00716FDC" w:rsidRDefault="00C83C33">
      <w:pPr>
        <w:widowControl/>
        <w:numPr>
          <w:ilvl w:val="1"/>
          <w:numId w:val="2"/>
        </w:numPr>
        <w:spacing w:after="120"/>
        <w:rPr>
          <w:rFonts w:asciiTheme="minorHAnsi" w:hAnsiTheme="minorHAnsi"/>
          <w:bCs/>
        </w:rPr>
      </w:pPr>
      <w:r>
        <w:rPr>
          <w:rFonts w:asciiTheme="minorHAnsi" w:hAnsiTheme="minorHAnsi"/>
          <w:bCs/>
        </w:rPr>
        <w:t xml:space="preserve">The PBAC noted and welcomed the input from individuals (1), health care professionals (3) and organisations (3). Some of the comments described the benefits of treatment with Symbicort, including less reliance on short-acting reliever therapy and better control of asthma symptoms. However, the PBAC also noted the advice received from Asthma Australia, who raised concerns over how the requested listing would be implemented in practice. Particularly whether Symbicort would be used first line in place of SABA and concerns around ‘as needed’ use and the potential for increased ICS exposure in adolescents.  </w:t>
      </w:r>
    </w:p>
    <w:p w:rsidR="00716FDC" w:rsidRDefault="00C83C33">
      <w:pPr>
        <w:pStyle w:val="Heading2"/>
        <w:keepNext/>
        <w:keepLines/>
      </w:pPr>
      <w:r>
        <w:t>Clinical trials</w:t>
      </w:r>
    </w:p>
    <w:p w:rsidR="00716FDC" w:rsidRDefault="00716FDC">
      <w:pPr>
        <w:keepNext/>
      </w:pPr>
    </w:p>
    <w:p w:rsidR="00716FDC" w:rsidRDefault="00C83C33">
      <w:pPr>
        <w:pStyle w:val="ListParagraph"/>
        <w:keepNext/>
        <w:widowControl/>
        <w:numPr>
          <w:ilvl w:val="1"/>
          <w:numId w:val="2"/>
        </w:numPr>
        <w:rPr>
          <w:rFonts w:asciiTheme="minorHAnsi" w:hAnsiTheme="minorHAnsi" w:cstheme="minorHAnsi"/>
          <w:sz w:val="24"/>
        </w:rPr>
      </w:pPr>
      <w:r>
        <w:rPr>
          <w:rFonts w:asciiTheme="minorHAnsi" w:hAnsiTheme="minorHAnsi" w:cstheme="minorHAnsi"/>
          <w:sz w:val="24"/>
          <w:lang w:val="en-AU"/>
        </w:rPr>
        <w:t xml:space="preserve">The </w:t>
      </w:r>
      <w:r>
        <w:rPr>
          <w:rFonts w:asciiTheme="minorHAnsi" w:hAnsiTheme="minorHAnsi" w:cstheme="minorHAnsi"/>
          <w:snapToGrid/>
          <w:sz w:val="24"/>
          <w:szCs w:val="24"/>
          <w:lang w:eastAsia="en-AU"/>
        </w:rPr>
        <w:t xml:space="preserve">submission was based on two head-to-head randomised trials </w:t>
      </w:r>
      <w:r>
        <w:rPr>
          <w:rFonts w:asciiTheme="minorHAnsi" w:hAnsiTheme="minorHAnsi" w:cstheme="minorHAnsi"/>
          <w:snapToGrid/>
          <w:sz w:val="24"/>
          <w:szCs w:val="24"/>
          <w:lang w:val="en-AU" w:eastAsia="en-AU"/>
        </w:rPr>
        <w:t>(</w:t>
      </w:r>
      <w:r>
        <w:rPr>
          <w:rFonts w:asciiTheme="minorHAnsi" w:hAnsiTheme="minorHAnsi" w:cstheme="minorHAnsi"/>
          <w:snapToGrid/>
          <w:sz w:val="24"/>
          <w:szCs w:val="24"/>
          <w:lang w:val="en-US" w:eastAsia="en-AU"/>
        </w:rPr>
        <w:t xml:space="preserve">SYGMA 1 and 2) comparing </w:t>
      </w:r>
      <w:r>
        <w:rPr>
          <w:rFonts w:asciiTheme="minorHAnsi" w:hAnsiTheme="minorHAnsi" w:cstheme="minorHAnsi"/>
          <w:sz w:val="24"/>
          <w:szCs w:val="24"/>
        </w:rPr>
        <w:t xml:space="preserve">Symbicort </w:t>
      </w:r>
      <w:r>
        <w:rPr>
          <w:rFonts w:asciiTheme="minorHAnsi" w:hAnsiTheme="minorHAnsi" w:cstheme="minorHAnsi"/>
          <w:sz w:val="24"/>
          <w:szCs w:val="24"/>
          <w:lang w:val="en-AU"/>
        </w:rPr>
        <w:t>as needed</w:t>
      </w:r>
      <w:r>
        <w:rPr>
          <w:rFonts w:asciiTheme="minorHAnsi" w:hAnsiTheme="minorHAnsi" w:cstheme="minorHAnsi"/>
          <w:i/>
          <w:sz w:val="24"/>
          <w:szCs w:val="24"/>
          <w:lang w:val="en-AU"/>
        </w:rPr>
        <w:t xml:space="preserve"> </w:t>
      </w:r>
      <w:r>
        <w:rPr>
          <w:rFonts w:asciiTheme="minorHAnsi" w:hAnsiTheme="minorHAnsi" w:cstheme="minorHAnsi"/>
          <w:sz w:val="24"/>
          <w:szCs w:val="24"/>
          <w:lang w:val="en-US"/>
        </w:rPr>
        <w:t xml:space="preserve">with daily low dose ICS plus SABA as needed </w:t>
      </w:r>
      <w:r>
        <w:rPr>
          <w:rFonts w:asciiTheme="minorHAnsi" w:hAnsiTheme="minorHAnsi" w:cstheme="minorHAnsi"/>
          <w:sz w:val="24"/>
          <w:szCs w:val="24"/>
        </w:rPr>
        <w:t xml:space="preserve">in </w:t>
      </w:r>
      <w:r>
        <w:rPr>
          <w:rFonts w:asciiTheme="minorHAnsi" w:hAnsiTheme="minorHAnsi" w:cstheme="minorHAnsi"/>
          <w:sz w:val="24"/>
          <w:szCs w:val="24"/>
          <w:lang w:val="en-AU"/>
        </w:rPr>
        <w:t xml:space="preserve">patients with </w:t>
      </w:r>
      <w:r>
        <w:rPr>
          <w:rFonts w:asciiTheme="minorHAnsi" w:hAnsiTheme="minorHAnsi" w:cstheme="minorHAnsi"/>
          <w:sz w:val="24"/>
          <w:szCs w:val="24"/>
        </w:rPr>
        <w:t>mild asthma aged 12 years or more</w:t>
      </w:r>
      <w:r>
        <w:rPr>
          <w:rFonts w:asciiTheme="minorHAnsi" w:hAnsiTheme="minorHAnsi" w:cstheme="minorHAnsi"/>
          <w:sz w:val="24"/>
          <w:szCs w:val="24"/>
          <w:lang w:val="en-US"/>
        </w:rPr>
        <w:t xml:space="preserve">. </w:t>
      </w:r>
      <w:r>
        <w:rPr>
          <w:rFonts w:asciiTheme="minorHAnsi" w:hAnsiTheme="minorHAnsi" w:cstheme="minorHAnsi"/>
          <w:snapToGrid/>
          <w:sz w:val="24"/>
          <w:szCs w:val="24"/>
          <w:lang w:val="en-US" w:eastAsia="en-AU"/>
        </w:rPr>
        <w:t xml:space="preserve">SYGMA 1 also </w:t>
      </w:r>
      <w:r>
        <w:rPr>
          <w:rFonts w:asciiTheme="minorHAnsi" w:hAnsiTheme="minorHAnsi" w:cstheme="minorHAnsi"/>
          <w:sz w:val="24"/>
          <w:szCs w:val="24"/>
          <w:lang w:val="en-US"/>
        </w:rPr>
        <w:t>included an additional</w:t>
      </w:r>
      <w:r>
        <w:rPr>
          <w:rFonts w:asciiTheme="minorHAnsi" w:hAnsiTheme="minorHAnsi" w:cstheme="minorHAnsi"/>
          <w:sz w:val="24"/>
          <w:szCs w:val="24"/>
        </w:rPr>
        <w:t xml:space="preserve"> SABA as needed</w:t>
      </w:r>
      <w:r>
        <w:rPr>
          <w:rFonts w:asciiTheme="minorHAnsi" w:hAnsiTheme="minorHAnsi" w:cstheme="minorHAnsi"/>
          <w:sz w:val="24"/>
          <w:szCs w:val="24"/>
          <w:lang w:val="en-AU"/>
        </w:rPr>
        <w:t xml:space="preserve"> only arm</w:t>
      </w:r>
      <w:r>
        <w:rPr>
          <w:rFonts w:asciiTheme="minorHAnsi" w:hAnsiTheme="minorHAnsi" w:cstheme="minorHAnsi"/>
          <w:sz w:val="24"/>
          <w:szCs w:val="24"/>
        </w:rPr>
        <w:t>.</w:t>
      </w:r>
    </w:p>
    <w:p w:rsidR="00716FDC" w:rsidRDefault="00C83C33">
      <w:pPr>
        <w:pStyle w:val="ListParagraph"/>
        <w:widowControl/>
        <w:numPr>
          <w:ilvl w:val="1"/>
          <w:numId w:val="2"/>
        </w:numPr>
        <w:rPr>
          <w:rFonts w:asciiTheme="minorHAnsi" w:hAnsiTheme="minorHAnsi" w:cstheme="minorHAnsi"/>
          <w:sz w:val="24"/>
        </w:rPr>
      </w:pPr>
      <w:r>
        <w:rPr>
          <w:rFonts w:asciiTheme="minorHAnsi" w:hAnsiTheme="minorHAnsi" w:cstheme="minorHAnsi"/>
          <w:snapToGrid/>
          <w:sz w:val="24"/>
          <w:szCs w:val="24"/>
          <w:lang w:eastAsia="en-AU"/>
        </w:rPr>
        <w:t xml:space="preserve">Details of the trials presented in the submission are provided in </w:t>
      </w:r>
      <w:r>
        <w:rPr>
          <w:rFonts w:asciiTheme="minorHAnsi" w:hAnsiTheme="minorHAnsi" w:cstheme="minorHAnsi"/>
          <w:snapToGrid/>
          <w:sz w:val="24"/>
          <w:szCs w:val="24"/>
          <w:lang w:val="en-AU" w:eastAsia="en-AU"/>
        </w:rPr>
        <w:t>T</w:t>
      </w:r>
      <w:r>
        <w:rPr>
          <w:rFonts w:asciiTheme="minorHAnsi" w:hAnsiTheme="minorHAnsi" w:cstheme="minorHAnsi"/>
          <w:snapToGrid/>
          <w:sz w:val="24"/>
          <w:szCs w:val="24"/>
          <w:lang w:eastAsia="en-AU"/>
        </w:rPr>
        <w:t xml:space="preserve">able </w:t>
      </w:r>
      <w:r>
        <w:rPr>
          <w:rFonts w:asciiTheme="minorHAnsi" w:hAnsiTheme="minorHAnsi" w:cstheme="minorHAnsi"/>
          <w:snapToGrid/>
          <w:sz w:val="24"/>
          <w:szCs w:val="24"/>
          <w:lang w:val="en-AU" w:eastAsia="en-AU"/>
        </w:rPr>
        <w:t>2</w:t>
      </w:r>
      <w:r>
        <w:rPr>
          <w:rFonts w:asciiTheme="minorHAnsi" w:hAnsiTheme="minorHAnsi" w:cstheme="minorHAnsi"/>
          <w:snapToGrid/>
          <w:sz w:val="24"/>
          <w:szCs w:val="24"/>
          <w:lang w:eastAsia="en-AU"/>
        </w:rPr>
        <w:t xml:space="preserve">.  </w:t>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2</w:t>
      </w:r>
      <w:r>
        <w:fldChar w:fldCharType="end"/>
      </w:r>
      <w:r w:rsidRPr="00FE33D0">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716FDC">
        <w:trPr>
          <w:tblHeader/>
        </w:trPr>
        <w:tc>
          <w:tcPr>
            <w:tcW w:w="796" w:type="pct"/>
            <w:tcBorders>
              <w:bottom w:val="single" w:sz="4" w:space="0" w:color="auto"/>
            </w:tcBorders>
            <w:vAlign w:val="center"/>
          </w:tcPr>
          <w:p w:rsidR="00716FDC" w:rsidRDefault="00C83C33">
            <w:pPr>
              <w:pStyle w:val="Tabletext"/>
              <w:keepNext/>
              <w:keepLines/>
              <w:rPr>
                <w:b/>
                <w:szCs w:val="22"/>
                <w:lang w:val="en-AU"/>
              </w:rPr>
            </w:pPr>
            <w:r>
              <w:rPr>
                <w:b/>
                <w:szCs w:val="22"/>
                <w:lang w:val="en-AU"/>
              </w:rPr>
              <w:t>Trial ID</w:t>
            </w:r>
          </w:p>
        </w:tc>
        <w:tc>
          <w:tcPr>
            <w:tcW w:w="3027" w:type="pct"/>
            <w:tcBorders>
              <w:bottom w:val="single" w:sz="4" w:space="0" w:color="auto"/>
            </w:tcBorders>
            <w:vAlign w:val="center"/>
          </w:tcPr>
          <w:p w:rsidR="00716FDC" w:rsidRDefault="00C83C33">
            <w:pPr>
              <w:pStyle w:val="Tabletext"/>
              <w:keepNext/>
              <w:keepLines/>
              <w:jc w:val="center"/>
              <w:rPr>
                <w:b/>
                <w:szCs w:val="22"/>
                <w:lang w:val="en-AU"/>
              </w:rPr>
            </w:pPr>
            <w:r>
              <w:rPr>
                <w:b/>
                <w:szCs w:val="22"/>
                <w:lang w:val="en-AU"/>
              </w:rPr>
              <w:t>Protocol title/ Publication title</w:t>
            </w:r>
          </w:p>
        </w:tc>
        <w:tc>
          <w:tcPr>
            <w:tcW w:w="1177" w:type="pct"/>
            <w:tcBorders>
              <w:bottom w:val="single" w:sz="4" w:space="0" w:color="auto"/>
            </w:tcBorders>
            <w:vAlign w:val="center"/>
          </w:tcPr>
          <w:p w:rsidR="00716FDC" w:rsidRDefault="00C83C33">
            <w:pPr>
              <w:pStyle w:val="Tabletext"/>
              <w:keepNext/>
              <w:keepLines/>
              <w:jc w:val="center"/>
              <w:rPr>
                <w:b/>
                <w:szCs w:val="22"/>
                <w:lang w:val="en-AU"/>
              </w:rPr>
            </w:pPr>
            <w:r>
              <w:rPr>
                <w:b/>
                <w:szCs w:val="22"/>
                <w:lang w:val="en-AU"/>
              </w:rPr>
              <w:t>Publication citation</w:t>
            </w:r>
          </w:p>
        </w:tc>
      </w:tr>
      <w:tr w:rsidR="00716FDC">
        <w:tc>
          <w:tcPr>
            <w:tcW w:w="796" w:type="pct"/>
            <w:vMerge w:val="restart"/>
            <w:vAlign w:val="center"/>
          </w:tcPr>
          <w:p w:rsidR="00716FDC" w:rsidRDefault="00C83C33">
            <w:pPr>
              <w:pStyle w:val="Tabletext"/>
              <w:keepNext/>
              <w:keepLines/>
              <w:rPr>
                <w:rFonts w:ascii="Times" w:hAnsi="Times"/>
                <w:szCs w:val="22"/>
                <w:lang w:val="en-AU"/>
              </w:rPr>
            </w:pPr>
            <w:r>
              <w:rPr>
                <w:szCs w:val="22"/>
                <w:lang w:val="en-AU"/>
              </w:rPr>
              <w:t>SYGMA 1</w:t>
            </w:r>
          </w:p>
        </w:tc>
        <w:tc>
          <w:tcPr>
            <w:tcW w:w="3027" w:type="pct"/>
            <w:vMerge w:val="restart"/>
            <w:vAlign w:val="center"/>
          </w:tcPr>
          <w:p w:rsidR="00716FDC" w:rsidRDefault="00C83C33">
            <w:pPr>
              <w:pStyle w:val="Tabletext"/>
              <w:keepNext/>
              <w:keepLines/>
              <w:jc w:val="both"/>
              <w:rPr>
                <w:szCs w:val="18"/>
                <w:lang w:val="en-AU"/>
              </w:rPr>
            </w:pPr>
            <w:r>
              <w:rPr>
                <w:szCs w:val="18"/>
                <w:lang w:val="en-AU"/>
              </w:rPr>
              <w:t xml:space="preserve">A 52- week, double blind, randomised, multi centre, parallel group, Phase III study in patients 12 years and older with asthma, evaluating the efficacy and safety of Symbicort (budesonide/formoterol) Turbuhaler 160/4.5 mg as needed compared with SABA Turbuhaler 0.4 mg ‘as needed’ and with Pulmicort (budesonide) Turbuhaler 200 μg twice daily plus SABA Turbuhaler 0.4 mg as needed. </w:t>
            </w:r>
          </w:p>
          <w:p w:rsidR="00716FDC" w:rsidRDefault="00716FDC">
            <w:pPr>
              <w:pStyle w:val="Tabletext"/>
              <w:keepNext/>
              <w:keepLines/>
              <w:jc w:val="both"/>
              <w:rPr>
                <w:szCs w:val="18"/>
                <w:lang w:val="en-AU"/>
              </w:rPr>
            </w:pPr>
          </w:p>
          <w:p w:rsidR="00716FDC" w:rsidRDefault="00C83C33">
            <w:pPr>
              <w:pStyle w:val="Tabletext"/>
              <w:keepNext/>
              <w:keepLines/>
              <w:jc w:val="both"/>
              <w:rPr>
                <w:szCs w:val="18"/>
                <w:lang w:val="en-AU"/>
              </w:rPr>
            </w:pPr>
            <w:r>
              <w:rPr>
                <w:szCs w:val="18"/>
                <w:lang w:val="en-AU" w:eastAsia="en-AU"/>
              </w:rPr>
              <w:t>O’Byrne PM, FitzGerald M, Bateman ED, et al. Inhaled combined budesonide plus formoterol as needed in mild asthma.</w:t>
            </w:r>
          </w:p>
        </w:tc>
        <w:tc>
          <w:tcPr>
            <w:tcW w:w="1177" w:type="pct"/>
            <w:tcBorders>
              <w:bottom w:val="nil"/>
            </w:tcBorders>
            <w:vAlign w:val="center"/>
          </w:tcPr>
          <w:p w:rsidR="00716FDC" w:rsidRDefault="00C83C33">
            <w:pPr>
              <w:pStyle w:val="Tabletext"/>
              <w:keepNext/>
              <w:keepLines/>
              <w:jc w:val="center"/>
              <w:rPr>
                <w:rFonts w:ascii="Times" w:hAnsi="Times"/>
                <w:szCs w:val="22"/>
                <w:lang w:val="en-AU"/>
              </w:rPr>
            </w:pPr>
            <w:r>
              <w:rPr>
                <w:szCs w:val="18"/>
                <w:lang w:val="en-AU"/>
              </w:rPr>
              <w:t>February 2018</w:t>
            </w:r>
          </w:p>
        </w:tc>
      </w:tr>
      <w:tr w:rsidR="00716FDC">
        <w:tc>
          <w:tcPr>
            <w:tcW w:w="796" w:type="pct"/>
            <w:vMerge/>
            <w:tcBorders>
              <w:bottom w:val="nil"/>
            </w:tcBorders>
            <w:vAlign w:val="center"/>
          </w:tcPr>
          <w:p w:rsidR="00716FDC" w:rsidRDefault="00716FDC">
            <w:pPr>
              <w:pStyle w:val="Tabletext"/>
              <w:keepNext/>
              <w:keepLines/>
              <w:rPr>
                <w:szCs w:val="22"/>
                <w:lang w:val="en-AU"/>
              </w:rPr>
            </w:pPr>
          </w:p>
        </w:tc>
        <w:tc>
          <w:tcPr>
            <w:tcW w:w="3027" w:type="pct"/>
            <w:vMerge/>
            <w:tcBorders>
              <w:bottom w:val="nil"/>
            </w:tcBorders>
            <w:vAlign w:val="center"/>
          </w:tcPr>
          <w:p w:rsidR="00716FDC" w:rsidRDefault="00716FDC">
            <w:pPr>
              <w:pStyle w:val="Tabletext"/>
              <w:keepNext/>
              <w:keepLines/>
              <w:rPr>
                <w:szCs w:val="18"/>
                <w:lang w:val="en-AU" w:eastAsia="en-AU"/>
              </w:rPr>
            </w:pPr>
          </w:p>
        </w:tc>
        <w:tc>
          <w:tcPr>
            <w:tcW w:w="1177" w:type="pct"/>
            <w:tcBorders>
              <w:top w:val="nil"/>
              <w:bottom w:val="single" w:sz="4" w:space="0" w:color="auto"/>
            </w:tcBorders>
            <w:vAlign w:val="center"/>
          </w:tcPr>
          <w:p w:rsidR="00716FDC" w:rsidRDefault="00716FDC">
            <w:pPr>
              <w:pStyle w:val="Tabletext"/>
              <w:keepNext/>
              <w:keepLines/>
              <w:rPr>
                <w:i/>
                <w:szCs w:val="18"/>
                <w:lang w:val="en-AU" w:eastAsia="en-AU"/>
              </w:rPr>
            </w:pPr>
          </w:p>
          <w:p w:rsidR="00716FDC" w:rsidRDefault="00716FDC">
            <w:pPr>
              <w:pStyle w:val="Tabletext"/>
              <w:keepNext/>
              <w:keepLines/>
              <w:rPr>
                <w:i/>
                <w:szCs w:val="18"/>
                <w:lang w:val="en-AU" w:eastAsia="en-AU"/>
              </w:rPr>
            </w:pPr>
          </w:p>
          <w:p w:rsidR="00716FDC" w:rsidRDefault="00716FDC">
            <w:pPr>
              <w:pStyle w:val="Tabletext"/>
              <w:keepNext/>
              <w:keepLines/>
              <w:rPr>
                <w:i/>
                <w:szCs w:val="18"/>
                <w:lang w:val="en-AU" w:eastAsia="en-AU"/>
              </w:rPr>
            </w:pPr>
          </w:p>
          <w:p w:rsidR="00716FDC" w:rsidRDefault="00716FDC">
            <w:pPr>
              <w:pStyle w:val="Tabletext"/>
              <w:keepNext/>
              <w:keepLines/>
              <w:rPr>
                <w:i/>
                <w:szCs w:val="18"/>
                <w:lang w:val="en-AU" w:eastAsia="en-AU"/>
              </w:rPr>
            </w:pPr>
          </w:p>
          <w:p w:rsidR="00716FDC" w:rsidRDefault="00716FDC">
            <w:pPr>
              <w:pStyle w:val="Tabletext"/>
              <w:keepNext/>
              <w:keepLines/>
              <w:rPr>
                <w:i/>
                <w:szCs w:val="18"/>
                <w:lang w:val="en-AU" w:eastAsia="en-AU"/>
              </w:rPr>
            </w:pPr>
          </w:p>
          <w:p w:rsidR="00716FDC" w:rsidRDefault="00716FDC">
            <w:pPr>
              <w:pStyle w:val="Tabletext"/>
              <w:keepNext/>
              <w:keepLines/>
              <w:rPr>
                <w:i/>
                <w:szCs w:val="18"/>
                <w:lang w:val="en-AU" w:eastAsia="en-AU"/>
              </w:rPr>
            </w:pPr>
          </w:p>
          <w:p w:rsidR="00716FDC" w:rsidRDefault="00C83C33">
            <w:pPr>
              <w:pStyle w:val="Tabletext"/>
              <w:keepNext/>
              <w:keepLines/>
              <w:jc w:val="center"/>
              <w:rPr>
                <w:szCs w:val="18"/>
                <w:lang w:val="en-AU" w:eastAsia="en-AU"/>
              </w:rPr>
            </w:pPr>
            <w:r>
              <w:rPr>
                <w:i/>
                <w:szCs w:val="18"/>
                <w:lang w:val="en-AU" w:eastAsia="en-AU"/>
              </w:rPr>
              <w:t>NEJM</w:t>
            </w:r>
            <w:r>
              <w:rPr>
                <w:szCs w:val="18"/>
                <w:lang w:val="en-AU" w:eastAsia="en-AU"/>
              </w:rPr>
              <w:t xml:space="preserve"> 2018; 378:1865-76.</w:t>
            </w:r>
          </w:p>
        </w:tc>
      </w:tr>
      <w:tr w:rsidR="00716FDC">
        <w:tc>
          <w:tcPr>
            <w:tcW w:w="796" w:type="pct"/>
            <w:vMerge w:val="restart"/>
            <w:vAlign w:val="center"/>
          </w:tcPr>
          <w:p w:rsidR="00716FDC" w:rsidRDefault="00C83C33">
            <w:pPr>
              <w:pStyle w:val="Tabletext"/>
              <w:keepNext/>
              <w:keepLines/>
              <w:rPr>
                <w:rFonts w:ascii="Times" w:hAnsi="Times"/>
                <w:szCs w:val="22"/>
                <w:lang w:val="en-AU"/>
              </w:rPr>
            </w:pPr>
            <w:r>
              <w:rPr>
                <w:szCs w:val="22"/>
                <w:lang w:val="en-AU" w:eastAsia="en-AU"/>
              </w:rPr>
              <w:t>SYGMA 2</w:t>
            </w:r>
          </w:p>
        </w:tc>
        <w:tc>
          <w:tcPr>
            <w:tcW w:w="3027" w:type="pct"/>
            <w:vMerge w:val="restart"/>
            <w:vAlign w:val="center"/>
          </w:tcPr>
          <w:p w:rsidR="00716FDC" w:rsidRDefault="00C83C33">
            <w:pPr>
              <w:pStyle w:val="Tabletext"/>
              <w:keepNext/>
              <w:keepLines/>
              <w:jc w:val="both"/>
              <w:rPr>
                <w:szCs w:val="18"/>
                <w:lang w:val="en-AU"/>
              </w:rPr>
            </w:pPr>
            <w:r>
              <w:rPr>
                <w:szCs w:val="18"/>
                <w:lang w:val="en-AU"/>
              </w:rPr>
              <w:t>A 52-week, double blind, randomised, multi centre, phase III, parallel group study in patients 12 years and older with asthma, evaluating the efficacy and safety of Symbicort (budesonide/formoterol) Turbuhaler 160/4.5 μg ‘as needed’ compared with Pulmicort (budesonide) Turbuhaler 200 μg twice daily plus SABA Turbuhaler 0.4 mg ‘as needed’.</w:t>
            </w:r>
          </w:p>
          <w:p w:rsidR="00716FDC" w:rsidRDefault="00716FDC">
            <w:pPr>
              <w:pStyle w:val="Tabletext"/>
              <w:keepNext/>
              <w:keepLines/>
              <w:jc w:val="both"/>
              <w:rPr>
                <w:szCs w:val="18"/>
                <w:lang w:val="en-AU"/>
              </w:rPr>
            </w:pPr>
          </w:p>
          <w:p w:rsidR="00716FDC" w:rsidRDefault="00C83C33">
            <w:pPr>
              <w:pStyle w:val="Tabletext"/>
              <w:keepNext/>
              <w:keepLines/>
              <w:jc w:val="both"/>
              <w:rPr>
                <w:rFonts w:ascii="Times" w:hAnsi="Times"/>
                <w:szCs w:val="22"/>
                <w:lang w:val="en-AU"/>
              </w:rPr>
            </w:pPr>
            <w:r>
              <w:rPr>
                <w:szCs w:val="18"/>
                <w:lang w:val="en-AU"/>
              </w:rPr>
              <w:t xml:space="preserve">Bateman ED, Reddel HK, O’Byrne PM, et al. As needed budesonide formoterol versus maintenance budesonide in mild asthma. </w:t>
            </w:r>
          </w:p>
        </w:tc>
        <w:tc>
          <w:tcPr>
            <w:tcW w:w="1177" w:type="pct"/>
            <w:tcBorders>
              <w:bottom w:val="nil"/>
            </w:tcBorders>
            <w:vAlign w:val="center"/>
          </w:tcPr>
          <w:p w:rsidR="00716FDC" w:rsidRDefault="00C83C33">
            <w:pPr>
              <w:pStyle w:val="Tabletext"/>
              <w:keepNext/>
              <w:keepLines/>
              <w:jc w:val="center"/>
              <w:rPr>
                <w:szCs w:val="22"/>
                <w:lang w:val="en-AU"/>
              </w:rPr>
            </w:pPr>
            <w:r>
              <w:rPr>
                <w:szCs w:val="18"/>
                <w:lang w:val="en-AU"/>
              </w:rPr>
              <w:t>February 2018</w:t>
            </w:r>
          </w:p>
        </w:tc>
      </w:tr>
      <w:tr w:rsidR="00716FDC">
        <w:tc>
          <w:tcPr>
            <w:tcW w:w="796" w:type="pct"/>
            <w:vMerge/>
            <w:tcBorders>
              <w:bottom w:val="single" w:sz="4" w:space="0" w:color="auto"/>
            </w:tcBorders>
            <w:vAlign w:val="center"/>
          </w:tcPr>
          <w:p w:rsidR="00716FDC" w:rsidRDefault="00716FDC">
            <w:pPr>
              <w:pStyle w:val="Tabletext"/>
              <w:keepNext/>
              <w:keepLines/>
              <w:rPr>
                <w:szCs w:val="22"/>
                <w:lang w:val="en-AU"/>
              </w:rPr>
            </w:pPr>
          </w:p>
        </w:tc>
        <w:tc>
          <w:tcPr>
            <w:tcW w:w="3027" w:type="pct"/>
            <w:vMerge/>
            <w:tcBorders>
              <w:bottom w:val="single" w:sz="4" w:space="0" w:color="auto"/>
            </w:tcBorders>
            <w:vAlign w:val="center"/>
          </w:tcPr>
          <w:p w:rsidR="00716FDC" w:rsidRDefault="00716FDC">
            <w:pPr>
              <w:pStyle w:val="Tabletext"/>
              <w:keepNext/>
              <w:keepLines/>
              <w:rPr>
                <w:szCs w:val="18"/>
                <w:lang w:val="en-AU"/>
              </w:rPr>
            </w:pPr>
          </w:p>
        </w:tc>
        <w:tc>
          <w:tcPr>
            <w:tcW w:w="1177" w:type="pct"/>
            <w:tcBorders>
              <w:top w:val="nil"/>
              <w:bottom w:val="single" w:sz="4" w:space="0" w:color="auto"/>
            </w:tcBorders>
            <w:vAlign w:val="center"/>
          </w:tcPr>
          <w:p w:rsidR="00716FDC" w:rsidRDefault="00716FDC">
            <w:pPr>
              <w:pStyle w:val="Tabletext"/>
              <w:keepNext/>
              <w:keepLines/>
              <w:rPr>
                <w:i/>
                <w:szCs w:val="18"/>
                <w:lang w:val="en-AU"/>
              </w:rPr>
            </w:pPr>
          </w:p>
          <w:p w:rsidR="00716FDC" w:rsidRDefault="00716FDC">
            <w:pPr>
              <w:pStyle w:val="Tabletext"/>
              <w:keepNext/>
              <w:keepLines/>
              <w:rPr>
                <w:i/>
                <w:szCs w:val="18"/>
                <w:lang w:val="en-AU"/>
              </w:rPr>
            </w:pPr>
          </w:p>
          <w:p w:rsidR="00716FDC" w:rsidRDefault="00716FDC">
            <w:pPr>
              <w:pStyle w:val="Tabletext"/>
              <w:keepNext/>
              <w:keepLines/>
              <w:rPr>
                <w:i/>
                <w:szCs w:val="18"/>
                <w:lang w:val="en-AU"/>
              </w:rPr>
            </w:pPr>
          </w:p>
          <w:p w:rsidR="00716FDC" w:rsidRDefault="00716FDC">
            <w:pPr>
              <w:pStyle w:val="Tabletext"/>
              <w:keepNext/>
              <w:keepLines/>
              <w:rPr>
                <w:i/>
                <w:szCs w:val="18"/>
                <w:lang w:val="en-AU"/>
              </w:rPr>
            </w:pPr>
          </w:p>
          <w:p w:rsidR="00716FDC" w:rsidRDefault="00C83C33">
            <w:pPr>
              <w:pStyle w:val="Tabletext"/>
              <w:keepNext/>
              <w:keepLines/>
              <w:jc w:val="center"/>
              <w:rPr>
                <w:i/>
                <w:szCs w:val="22"/>
                <w:lang w:val="en-AU"/>
              </w:rPr>
            </w:pPr>
            <w:r>
              <w:rPr>
                <w:i/>
                <w:szCs w:val="18"/>
                <w:lang w:val="en-AU"/>
              </w:rPr>
              <w:t xml:space="preserve">NEJM </w:t>
            </w:r>
            <w:r>
              <w:rPr>
                <w:szCs w:val="18"/>
                <w:lang w:val="en-AU"/>
              </w:rPr>
              <w:t>2018; 378:1877-87.</w:t>
            </w:r>
          </w:p>
        </w:tc>
      </w:tr>
    </w:tbl>
    <w:p w:rsidR="00716FDC" w:rsidRDefault="00C83C33">
      <w:pPr>
        <w:pStyle w:val="TableFooter"/>
        <w:keepNext/>
        <w:keepLines/>
        <w:rPr>
          <w:sz w:val="20"/>
        </w:rPr>
      </w:pPr>
      <w:r>
        <w:t>Source: Table 2.2.1, p24 of the submission</w:t>
      </w:r>
    </w:p>
    <w:p w:rsidR="00716FDC" w:rsidRDefault="00C83C33">
      <w:pPr>
        <w:pStyle w:val="TableFooter"/>
        <w:keepNext/>
        <w:keepLines/>
        <w:rPr>
          <w:lang w:val="en-AU"/>
        </w:rPr>
      </w:pPr>
      <w:r>
        <w:t xml:space="preserve">SABA = </w:t>
      </w:r>
      <w:r>
        <w:rPr>
          <w:lang w:val="en-AU"/>
        </w:rPr>
        <w:t>short-acting</w:t>
      </w:r>
      <w:r>
        <w:t xml:space="preserve"> beta2 agonists</w:t>
      </w:r>
    </w:p>
    <w:p w:rsidR="00716FDC" w:rsidRDefault="00716FDC">
      <w:pPr>
        <w:snapToGrid w:val="0"/>
      </w:pP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Patients </w:t>
      </w:r>
      <w:r>
        <w:rPr>
          <w:rFonts w:ascii="Calibri" w:hAnsi="Calibri" w:cs="Calibri"/>
          <w:sz w:val="24"/>
          <w:szCs w:val="24"/>
          <w:lang w:val="en-AU"/>
        </w:rPr>
        <w:t xml:space="preserve">in </w:t>
      </w:r>
      <w:r>
        <w:rPr>
          <w:rFonts w:ascii="Calibri" w:hAnsi="Calibri" w:cs="Calibri"/>
          <w:sz w:val="24"/>
          <w:szCs w:val="24"/>
        </w:rPr>
        <w:t xml:space="preserve">both trials were enrolled </w:t>
      </w:r>
      <w:r>
        <w:rPr>
          <w:rFonts w:ascii="Calibri" w:hAnsi="Calibri" w:cs="Calibri"/>
          <w:sz w:val="24"/>
          <w:szCs w:val="24"/>
          <w:lang w:val="en-US"/>
        </w:rPr>
        <w:t>if they were aged</w:t>
      </w:r>
      <w:r>
        <w:rPr>
          <w:rFonts w:ascii="Calibri" w:hAnsi="Calibri" w:cs="Calibri"/>
          <w:sz w:val="24"/>
          <w:szCs w:val="24"/>
          <w:shd w:val="clear" w:color="auto" w:fill="FFFFFF"/>
        </w:rPr>
        <w:t xml:space="preserve"> 12 years or older </w:t>
      </w:r>
      <w:r>
        <w:rPr>
          <w:rFonts w:asciiTheme="minorHAnsi" w:hAnsiTheme="minorHAnsi" w:cstheme="minorHAnsi"/>
          <w:sz w:val="24"/>
          <w:szCs w:val="24"/>
          <w:lang w:val="en-AU"/>
        </w:rPr>
        <w:t>and were uncontrolled on SABA or controlled on a regimen of ICS+SABA</w:t>
      </w:r>
      <w:r>
        <w:rPr>
          <w:rFonts w:ascii="Calibri" w:hAnsi="Calibri" w:cs="Calibri"/>
          <w:sz w:val="24"/>
          <w:szCs w:val="24"/>
          <w:shd w:val="clear" w:color="auto" w:fill="FFFFFF"/>
          <w:lang w:val="en-US"/>
        </w:rPr>
        <w:t>. They were</w:t>
      </w:r>
      <w:r>
        <w:rPr>
          <w:rFonts w:ascii="Calibri" w:hAnsi="Calibri" w:cs="Calibri"/>
          <w:sz w:val="24"/>
          <w:szCs w:val="24"/>
          <w:shd w:val="clear" w:color="auto" w:fill="FFFFFF"/>
        </w:rPr>
        <w:t xml:space="preserve"> </w:t>
      </w:r>
      <w:r>
        <w:rPr>
          <w:rFonts w:ascii="Calibri" w:hAnsi="Calibri" w:cs="Calibri"/>
          <w:sz w:val="24"/>
          <w:szCs w:val="24"/>
          <w:shd w:val="clear" w:color="auto" w:fill="FFFFFF"/>
          <w:lang w:val="en-US"/>
        </w:rPr>
        <w:t xml:space="preserve">assessed as eligible for </w:t>
      </w:r>
      <w:r>
        <w:rPr>
          <w:rFonts w:ascii="Calibri" w:hAnsi="Calibri" w:cs="Calibri"/>
          <w:sz w:val="24"/>
          <w:szCs w:val="24"/>
          <w:shd w:val="clear" w:color="auto" w:fill="FFFFFF"/>
          <w:lang w:val="en-AU"/>
        </w:rPr>
        <w:t>step</w:t>
      </w:r>
      <w:r>
        <w:rPr>
          <w:rFonts w:ascii="Calibri" w:hAnsi="Calibri" w:cs="Calibri"/>
          <w:sz w:val="24"/>
          <w:szCs w:val="24"/>
          <w:shd w:val="clear" w:color="auto" w:fill="FFFFFF"/>
        </w:rPr>
        <w:t xml:space="preserve"> 2 treatment</w:t>
      </w:r>
      <w:r>
        <w:rPr>
          <w:rFonts w:ascii="Calibri" w:hAnsi="Calibri" w:cs="Calibri"/>
          <w:sz w:val="24"/>
          <w:szCs w:val="24"/>
          <w:shd w:val="clear" w:color="auto" w:fill="FFFFFF"/>
          <w:lang w:val="en-AU"/>
        </w:rPr>
        <w:t xml:space="preserve"> (daily low dose ICS plus SABA as needed)</w:t>
      </w:r>
      <w:r>
        <w:rPr>
          <w:rFonts w:ascii="Calibri" w:hAnsi="Calibri" w:cs="Calibri"/>
          <w:sz w:val="24"/>
          <w:szCs w:val="24"/>
          <w:shd w:val="clear" w:color="auto" w:fill="FFFFFF"/>
        </w:rPr>
        <w:t xml:space="preserve"> </w:t>
      </w:r>
      <w:r>
        <w:rPr>
          <w:rFonts w:ascii="Calibri" w:hAnsi="Calibri" w:cs="Calibri"/>
          <w:sz w:val="24"/>
          <w:szCs w:val="24"/>
          <w:shd w:val="clear" w:color="auto" w:fill="FFFFFF"/>
          <w:lang w:val="en-US"/>
        </w:rPr>
        <w:t xml:space="preserve">as per </w:t>
      </w:r>
      <w:r>
        <w:rPr>
          <w:rFonts w:ascii="Calibri" w:hAnsi="Calibri" w:cs="Calibri"/>
          <w:sz w:val="24"/>
          <w:szCs w:val="24"/>
          <w:shd w:val="clear" w:color="auto" w:fill="FFFFFF"/>
        </w:rPr>
        <w:t xml:space="preserve">GINA </w:t>
      </w:r>
      <w:r>
        <w:rPr>
          <w:rFonts w:ascii="Calibri" w:hAnsi="Calibri" w:cs="Calibri"/>
          <w:sz w:val="24"/>
          <w:szCs w:val="24"/>
          <w:shd w:val="clear" w:color="auto" w:fill="FFFFFF"/>
          <w:lang w:val="en-AU"/>
        </w:rPr>
        <w:t>(</w:t>
      </w:r>
      <w:r>
        <w:rPr>
          <w:rFonts w:ascii="Calibri" w:hAnsi="Calibri" w:cs="Calibri"/>
          <w:sz w:val="24"/>
          <w:szCs w:val="24"/>
          <w:shd w:val="clear" w:color="auto" w:fill="FFFFFF"/>
          <w:lang w:val="en-US"/>
        </w:rPr>
        <w:t xml:space="preserve">2012) framework. </w:t>
      </w:r>
    </w:p>
    <w:p w:rsidR="00716FDC" w:rsidRDefault="00C83C33">
      <w:pPr>
        <w:pStyle w:val="ListParagraph"/>
        <w:widowControl/>
        <w:numPr>
          <w:ilvl w:val="1"/>
          <w:numId w:val="2"/>
        </w:numPr>
        <w:rPr>
          <w:rFonts w:ascii="Calibri" w:hAnsi="Calibri" w:cs="Calibri"/>
          <w:sz w:val="24"/>
        </w:rPr>
      </w:pPr>
      <w:r>
        <w:rPr>
          <w:rFonts w:ascii="Calibri" w:hAnsi="Calibri" w:cs="Calibri"/>
          <w:sz w:val="24"/>
        </w:rPr>
        <w:t xml:space="preserve">The trial populations were consistent with the proposed population in the PICO.  </w:t>
      </w:r>
      <w:r>
        <w:rPr>
          <w:rFonts w:ascii="Calibri" w:hAnsi="Calibri" w:cs="Calibri"/>
          <w:sz w:val="24"/>
          <w:lang w:val="en-AU"/>
        </w:rPr>
        <w:t>However, the</w:t>
      </w:r>
      <w:r>
        <w:rPr>
          <w:rFonts w:ascii="Calibri" w:hAnsi="Calibri" w:cs="Calibri"/>
          <w:sz w:val="24"/>
        </w:rPr>
        <w:t xml:space="preserve"> trial populations were a subset of the population eligible to receive treatment at step 2 of the NAC </w:t>
      </w:r>
      <w:r>
        <w:rPr>
          <w:rFonts w:ascii="Calibri" w:hAnsi="Calibri" w:cs="Calibri"/>
          <w:sz w:val="24"/>
          <w:lang w:val="en-AU"/>
        </w:rPr>
        <w:t>(</w:t>
      </w:r>
      <w:r>
        <w:rPr>
          <w:rFonts w:ascii="Calibri" w:hAnsi="Calibri" w:cs="Calibri"/>
          <w:sz w:val="24"/>
        </w:rPr>
        <w:t>2019</w:t>
      </w:r>
      <w:r>
        <w:rPr>
          <w:rFonts w:ascii="Calibri" w:hAnsi="Calibri" w:cs="Calibri"/>
          <w:sz w:val="24"/>
          <w:lang w:val="en-AU"/>
        </w:rPr>
        <w:t xml:space="preserve">) </w:t>
      </w:r>
      <w:r>
        <w:rPr>
          <w:rFonts w:ascii="Calibri" w:hAnsi="Calibri" w:cs="Calibri"/>
          <w:sz w:val="24"/>
        </w:rPr>
        <w:t>guidelines, as treatment-naïve patients may also be eligible for step 2 treatment options. Further, the trial populations were narrower than the requested PBS restriction, where Symbicort may be used at any asthma severity. The appropriate trial population to support the requested restriction would be all patients with mild asthma. However, no evidence was presented to support the use of Symbicort, compared to SABA as needed, as initial therapy in mild asthma patients naïve to treatment.</w:t>
      </w:r>
      <w:r>
        <w:rPr>
          <w:rFonts w:ascii="Calibri" w:hAnsi="Calibri" w:cs="Calibri"/>
          <w:sz w:val="24"/>
          <w:lang w:val="en-AU"/>
        </w:rPr>
        <w:t xml:space="preserve"> As outlined above in paragraph 2.4, the PSCR stated the intention was to use Symbicort in patients who have mild asthma and require an ICS, and not for patients with very mild asthma that, under current NAC guidelines, should receive SABA alone. In addition, the </w:t>
      </w:r>
      <w:r w:rsidR="00AA3285">
        <w:rPr>
          <w:rFonts w:ascii="Calibri" w:hAnsi="Calibri" w:cs="Calibri"/>
          <w:sz w:val="24"/>
          <w:lang w:val="en-AU"/>
        </w:rPr>
        <w:t>PSCR argued</w:t>
      </w:r>
      <w:r>
        <w:rPr>
          <w:rFonts w:ascii="Calibri" w:hAnsi="Calibri" w:cs="Calibri"/>
          <w:sz w:val="24"/>
          <w:lang w:val="en-AU"/>
        </w:rPr>
        <w:t xml:space="preserve"> that in the Australian context where SABA is available over the counter it would be extremely unlikely to find a patient with a diagnosis of asthma who had never received a SABA. The ESC noted that according to step 2 of the NAC guidelines most patients would initiate treatment with ICS+SABA rather than SABA as needed monotherapy. Hence, the ESC considered that data on treatment-naïve patients would be informative, although the ESC acknowledged that it may be difficult to collect this data in the Australian population due to the existing over the counter SABA market.</w:t>
      </w:r>
    </w:p>
    <w:p w:rsidR="00716FDC" w:rsidRPr="00E37F58" w:rsidRDefault="00C83C33" w:rsidP="00A6770E">
      <w:pPr>
        <w:pStyle w:val="ListParagraph"/>
        <w:widowControl/>
        <w:numPr>
          <w:ilvl w:val="1"/>
          <w:numId w:val="2"/>
        </w:numPr>
        <w:rPr>
          <w:rFonts w:asciiTheme="minorHAnsi" w:hAnsiTheme="minorHAnsi" w:cstheme="minorHAnsi"/>
          <w:sz w:val="24"/>
        </w:rPr>
      </w:pPr>
      <w:r w:rsidRPr="00E37F58">
        <w:rPr>
          <w:rFonts w:ascii="Calibri" w:hAnsi="Calibri" w:cs="Calibri"/>
          <w:sz w:val="24"/>
        </w:rPr>
        <w:t>The participants were generally well balanced between treatment arms in terms of baseline demographics, disease severity and pre-study treatment.</w:t>
      </w:r>
      <w:r w:rsidRPr="00E37F58">
        <w:rPr>
          <w:rFonts w:ascii="Calibri" w:hAnsi="Calibri" w:cs="Calibri"/>
          <w:sz w:val="24"/>
          <w:lang w:val="en-AU"/>
        </w:rPr>
        <w:t xml:space="preserve"> The PBAC noted </w:t>
      </w:r>
      <w:r w:rsidRPr="00E37F58">
        <w:rPr>
          <w:rFonts w:ascii="Calibri" w:hAnsi="Calibri" w:cs="Calibri"/>
          <w:sz w:val="24"/>
          <w:lang w:val="en-AU"/>
        </w:rPr>
        <w:lastRenderedPageBreak/>
        <w:t>that there were substantial differences in smoking status of the trial populations at baseline and Australian population (SYGMA 1 smoking status: never 87.0%, former 10.3%, current 2.7%; SYGMA 2 smoking status: never 84.3%, former 13.1%, current 2.6%; ABS National Health Survey, 2014–15</w:t>
      </w:r>
      <w:r>
        <w:rPr>
          <w:rStyle w:val="FootnoteReference"/>
          <w:rFonts w:ascii="Calibri" w:hAnsi="Calibri" w:cs="Calibri"/>
          <w:sz w:val="24"/>
          <w:lang w:val="en-AU"/>
        </w:rPr>
        <w:footnoteReference w:id="1"/>
      </w:r>
      <w:r w:rsidRPr="00E37F58">
        <w:rPr>
          <w:rFonts w:ascii="Calibri" w:hAnsi="Calibri" w:cs="Calibri"/>
          <w:sz w:val="24"/>
          <w:lang w:val="en-AU"/>
        </w:rPr>
        <w:t xml:space="preserve"> people over 18 with asthma smoking status: never 47.5%, former 35.8%, current 15.4%).</w:t>
      </w:r>
      <w:r w:rsidR="00E37F58">
        <w:rPr>
          <w:rFonts w:ascii="Calibri" w:hAnsi="Calibri" w:cs="Calibri"/>
          <w:sz w:val="24"/>
          <w:lang w:val="en-AU"/>
        </w:rPr>
        <w:t xml:space="preserve"> </w:t>
      </w:r>
      <w:r w:rsidRPr="00E37F58">
        <w:rPr>
          <w:rFonts w:asciiTheme="minorHAnsi" w:hAnsiTheme="minorHAnsi" w:cstheme="minorHAnsi"/>
          <w:sz w:val="24"/>
        </w:rPr>
        <w:t xml:space="preserve">The key features of the direct randomised trials are summarised in </w:t>
      </w:r>
      <w:r w:rsidRPr="00E37F58">
        <w:rPr>
          <w:rFonts w:asciiTheme="minorHAnsi" w:hAnsiTheme="minorHAnsi" w:cstheme="minorHAnsi"/>
          <w:sz w:val="24"/>
          <w:lang w:val="en-AU"/>
        </w:rPr>
        <w:t>T</w:t>
      </w:r>
      <w:r w:rsidRPr="00E37F58">
        <w:rPr>
          <w:rFonts w:asciiTheme="minorHAnsi" w:hAnsiTheme="minorHAnsi" w:cstheme="minorHAnsi"/>
          <w:sz w:val="24"/>
        </w:rPr>
        <w:t xml:space="preserve">able </w:t>
      </w:r>
      <w:r w:rsidRPr="00E37F58">
        <w:rPr>
          <w:rFonts w:asciiTheme="minorHAnsi" w:hAnsiTheme="minorHAnsi" w:cstheme="minorHAnsi"/>
          <w:sz w:val="24"/>
          <w:lang w:val="en-AU"/>
        </w:rPr>
        <w:t>3</w:t>
      </w:r>
      <w:r w:rsidRPr="00E37F58">
        <w:rPr>
          <w:rFonts w:asciiTheme="minorHAnsi" w:hAnsiTheme="minorHAnsi" w:cstheme="minorHAnsi"/>
          <w:sz w:val="24"/>
        </w:rPr>
        <w:t xml:space="preserve">.  </w:t>
      </w:r>
    </w:p>
    <w:p w:rsidR="006D01D6" w:rsidRDefault="006D01D6" w:rsidP="006D01D6">
      <w:pPr>
        <w:pStyle w:val="TableHeading0"/>
      </w:pPr>
      <w:r>
        <w:t xml:space="preserve">Table </w:t>
      </w:r>
      <w:r>
        <w:fldChar w:fldCharType="begin"/>
      </w:r>
      <w:r>
        <w:instrText xml:space="preserve"> SEQ Table \* ARABIC </w:instrText>
      </w:r>
      <w:r>
        <w:fldChar w:fldCharType="separate"/>
      </w:r>
      <w:r w:rsidR="00D2464D">
        <w:rPr>
          <w:noProof/>
        </w:rPr>
        <w:t>3</w:t>
      </w:r>
      <w:r>
        <w:fldChar w:fldCharType="end"/>
      </w:r>
      <w:r w:rsidRPr="001F641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46"/>
        <w:gridCol w:w="801"/>
        <w:gridCol w:w="1371"/>
        <w:gridCol w:w="1078"/>
        <w:gridCol w:w="1506"/>
        <w:gridCol w:w="1661"/>
        <w:gridCol w:w="1354"/>
      </w:tblGrid>
      <w:tr w:rsidR="00716FDC" w:rsidTr="006D01D6">
        <w:trPr>
          <w:tblHeader/>
        </w:trPr>
        <w:tc>
          <w:tcPr>
            <w:tcW w:w="691" w:type="pct"/>
            <w:shd w:val="clear" w:color="auto" w:fill="auto"/>
            <w:vAlign w:val="center"/>
          </w:tcPr>
          <w:p w:rsidR="00716FDC" w:rsidRDefault="00C83C33">
            <w:pPr>
              <w:pStyle w:val="Tabletext"/>
              <w:rPr>
                <w:b/>
                <w:szCs w:val="22"/>
                <w:lang w:val="en-AU"/>
              </w:rPr>
            </w:pPr>
            <w:r>
              <w:rPr>
                <w:b/>
                <w:szCs w:val="22"/>
                <w:lang w:val="en-AU"/>
              </w:rPr>
              <w:t>Trial</w:t>
            </w:r>
          </w:p>
        </w:tc>
        <w:tc>
          <w:tcPr>
            <w:tcW w:w="444" w:type="pct"/>
            <w:shd w:val="clear" w:color="auto" w:fill="auto"/>
            <w:vAlign w:val="center"/>
          </w:tcPr>
          <w:p w:rsidR="00716FDC" w:rsidRDefault="00C83C33">
            <w:pPr>
              <w:pStyle w:val="Tabletext"/>
              <w:jc w:val="center"/>
              <w:rPr>
                <w:b/>
                <w:szCs w:val="22"/>
                <w:lang w:val="en-AU"/>
              </w:rPr>
            </w:pPr>
            <w:r>
              <w:rPr>
                <w:b/>
                <w:szCs w:val="22"/>
                <w:lang w:val="en-AU"/>
              </w:rPr>
              <w:t>N</w:t>
            </w:r>
          </w:p>
        </w:tc>
        <w:tc>
          <w:tcPr>
            <w:tcW w:w="760" w:type="pct"/>
            <w:shd w:val="clear" w:color="auto" w:fill="auto"/>
            <w:vAlign w:val="center"/>
          </w:tcPr>
          <w:p w:rsidR="00716FDC" w:rsidRDefault="00C83C33">
            <w:pPr>
              <w:pStyle w:val="Tabletext"/>
              <w:jc w:val="center"/>
              <w:rPr>
                <w:b/>
                <w:szCs w:val="22"/>
                <w:lang w:val="en-AU"/>
              </w:rPr>
            </w:pPr>
            <w:r>
              <w:rPr>
                <w:b/>
                <w:szCs w:val="22"/>
                <w:lang w:val="en-AU"/>
              </w:rPr>
              <w:t>Design/ duration</w:t>
            </w:r>
          </w:p>
        </w:tc>
        <w:tc>
          <w:tcPr>
            <w:tcW w:w="598" w:type="pct"/>
            <w:shd w:val="clear" w:color="auto" w:fill="auto"/>
            <w:vAlign w:val="center"/>
          </w:tcPr>
          <w:p w:rsidR="00716FDC" w:rsidRDefault="00C83C33">
            <w:pPr>
              <w:pStyle w:val="Tabletext"/>
              <w:jc w:val="center"/>
              <w:rPr>
                <w:b/>
                <w:szCs w:val="22"/>
                <w:lang w:val="en-AU"/>
              </w:rPr>
            </w:pPr>
            <w:r>
              <w:rPr>
                <w:b/>
                <w:szCs w:val="22"/>
                <w:lang w:val="en-AU"/>
              </w:rPr>
              <w:t>Risk of bias</w:t>
            </w:r>
          </w:p>
        </w:tc>
        <w:tc>
          <w:tcPr>
            <w:tcW w:w="835" w:type="pct"/>
            <w:shd w:val="clear" w:color="auto" w:fill="auto"/>
            <w:vAlign w:val="center"/>
          </w:tcPr>
          <w:p w:rsidR="00716FDC" w:rsidRDefault="00C83C33">
            <w:pPr>
              <w:pStyle w:val="Tabletext"/>
              <w:jc w:val="center"/>
              <w:rPr>
                <w:b/>
                <w:szCs w:val="22"/>
                <w:lang w:val="en-AU"/>
              </w:rPr>
            </w:pPr>
            <w:r>
              <w:rPr>
                <w:b/>
                <w:szCs w:val="22"/>
                <w:lang w:val="en-AU"/>
              </w:rPr>
              <w:t>Patient population</w:t>
            </w:r>
          </w:p>
        </w:tc>
        <w:tc>
          <w:tcPr>
            <w:tcW w:w="921" w:type="pct"/>
            <w:shd w:val="clear" w:color="auto" w:fill="auto"/>
            <w:vAlign w:val="center"/>
          </w:tcPr>
          <w:p w:rsidR="00716FDC" w:rsidRDefault="00C83C33">
            <w:pPr>
              <w:pStyle w:val="Tabletext"/>
              <w:jc w:val="center"/>
              <w:rPr>
                <w:b/>
                <w:szCs w:val="22"/>
                <w:lang w:val="en-AU"/>
              </w:rPr>
            </w:pPr>
            <w:r>
              <w:rPr>
                <w:b/>
                <w:szCs w:val="22"/>
                <w:lang w:val="en-AU"/>
              </w:rPr>
              <w:t>Key Outcomes</w:t>
            </w:r>
          </w:p>
        </w:tc>
        <w:tc>
          <w:tcPr>
            <w:tcW w:w="751" w:type="pct"/>
            <w:shd w:val="clear" w:color="auto" w:fill="auto"/>
            <w:vAlign w:val="center"/>
          </w:tcPr>
          <w:p w:rsidR="00716FDC" w:rsidRDefault="00C83C33">
            <w:pPr>
              <w:pStyle w:val="Tabletext"/>
              <w:jc w:val="center"/>
              <w:rPr>
                <w:b/>
                <w:szCs w:val="22"/>
                <w:lang w:val="en-AU"/>
              </w:rPr>
            </w:pPr>
            <w:r>
              <w:rPr>
                <w:b/>
                <w:szCs w:val="22"/>
                <w:lang w:val="en-AU"/>
              </w:rPr>
              <w:t>Use in modelled evaluation</w:t>
            </w:r>
          </w:p>
        </w:tc>
      </w:tr>
      <w:tr w:rsidR="00716FDC" w:rsidTr="006D01D6">
        <w:trPr>
          <w:tblHeader/>
        </w:trPr>
        <w:tc>
          <w:tcPr>
            <w:tcW w:w="5000" w:type="pct"/>
            <w:gridSpan w:val="7"/>
            <w:shd w:val="clear" w:color="auto" w:fill="auto"/>
            <w:vAlign w:val="center"/>
          </w:tcPr>
          <w:p w:rsidR="00716FDC" w:rsidRDefault="00C83C33">
            <w:pPr>
              <w:pStyle w:val="Tabletext"/>
              <w:rPr>
                <w:b/>
                <w:szCs w:val="22"/>
                <w:lang w:val="en-AU"/>
              </w:rPr>
            </w:pPr>
            <w:r>
              <w:rPr>
                <w:b/>
                <w:szCs w:val="22"/>
                <w:lang w:val="en-AU"/>
              </w:rPr>
              <w:t>Symbicort vs. ICS+SABA</w:t>
            </w:r>
          </w:p>
        </w:tc>
      </w:tr>
      <w:tr w:rsidR="00716FDC" w:rsidTr="006D01D6">
        <w:trPr>
          <w:tblHeader/>
        </w:trPr>
        <w:tc>
          <w:tcPr>
            <w:tcW w:w="691" w:type="pct"/>
            <w:shd w:val="clear" w:color="auto" w:fill="auto"/>
            <w:vAlign w:val="center"/>
          </w:tcPr>
          <w:p w:rsidR="00716FDC" w:rsidRDefault="00C83C33">
            <w:pPr>
              <w:pStyle w:val="Tabletext"/>
              <w:rPr>
                <w:szCs w:val="22"/>
                <w:lang w:val="en-AU"/>
              </w:rPr>
            </w:pPr>
            <w:r>
              <w:rPr>
                <w:szCs w:val="22"/>
                <w:lang w:val="en-AU"/>
              </w:rPr>
              <w:t>SYGMA 1</w:t>
            </w:r>
          </w:p>
        </w:tc>
        <w:tc>
          <w:tcPr>
            <w:tcW w:w="444" w:type="pct"/>
            <w:shd w:val="clear" w:color="auto" w:fill="auto"/>
            <w:vAlign w:val="center"/>
          </w:tcPr>
          <w:p w:rsidR="00716FDC" w:rsidRDefault="00C83C33">
            <w:pPr>
              <w:pStyle w:val="Tabletext"/>
              <w:jc w:val="center"/>
              <w:rPr>
                <w:szCs w:val="22"/>
                <w:lang w:val="en-AU"/>
              </w:rPr>
            </w:pPr>
            <w:r>
              <w:rPr>
                <w:szCs w:val="22"/>
                <w:lang w:val="en-AU"/>
              </w:rPr>
              <w:t>3849</w:t>
            </w:r>
          </w:p>
        </w:tc>
        <w:tc>
          <w:tcPr>
            <w:tcW w:w="760" w:type="pct"/>
            <w:shd w:val="clear" w:color="auto" w:fill="auto"/>
            <w:vAlign w:val="center"/>
          </w:tcPr>
          <w:p w:rsidR="00716FDC" w:rsidRDefault="00C83C33">
            <w:pPr>
              <w:pStyle w:val="Tabletext"/>
              <w:jc w:val="center"/>
              <w:rPr>
                <w:szCs w:val="22"/>
                <w:lang w:val="en-AU"/>
              </w:rPr>
            </w:pPr>
            <w:r>
              <w:rPr>
                <w:szCs w:val="22"/>
                <w:lang w:val="en-AU"/>
              </w:rPr>
              <w:t>R, MC, DB, PG</w:t>
            </w:r>
          </w:p>
          <w:p w:rsidR="00716FDC" w:rsidRDefault="00C83C33">
            <w:pPr>
              <w:pStyle w:val="Tabletext"/>
              <w:jc w:val="center"/>
              <w:rPr>
                <w:szCs w:val="22"/>
                <w:lang w:val="en-AU"/>
              </w:rPr>
            </w:pPr>
            <w:r>
              <w:rPr>
                <w:szCs w:val="22"/>
                <w:lang w:val="en-AU"/>
              </w:rPr>
              <w:t>52 weeks</w:t>
            </w:r>
          </w:p>
        </w:tc>
        <w:tc>
          <w:tcPr>
            <w:tcW w:w="598" w:type="pct"/>
            <w:shd w:val="clear" w:color="auto" w:fill="auto"/>
            <w:vAlign w:val="center"/>
          </w:tcPr>
          <w:p w:rsidR="00716FDC" w:rsidRDefault="00C83C33">
            <w:pPr>
              <w:pStyle w:val="Tabletext"/>
              <w:jc w:val="center"/>
              <w:rPr>
                <w:szCs w:val="22"/>
                <w:lang w:val="en-AU"/>
              </w:rPr>
            </w:pPr>
            <w:r>
              <w:rPr>
                <w:szCs w:val="22"/>
                <w:lang w:val="en-AU"/>
              </w:rPr>
              <w:t>Low</w:t>
            </w:r>
          </w:p>
        </w:tc>
        <w:tc>
          <w:tcPr>
            <w:tcW w:w="835" w:type="pct"/>
            <w:shd w:val="clear" w:color="auto" w:fill="auto"/>
            <w:vAlign w:val="center"/>
          </w:tcPr>
          <w:p w:rsidR="00716FDC" w:rsidRDefault="00C83C33">
            <w:pPr>
              <w:pStyle w:val="Tabletext"/>
              <w:jc w:val="center"/>
              <w:rPr>
                <w:szCs w:val="22"/>
                <w:lang w:val="en-AU"/>
              </w:rPr>
            </w:pPr>
            <w:r>
              <w:rPr>
                <w:szCs w:val="22"/>
                <w:lang w:val="en-AU"/>
              </w:rPr>
              <w:t>Adolescents and adults, 12 year or more, mild asthma</w:t>
            </w:r>
          </w:p>
        </w:tc>
        <w:tc>
          <w:tcPr>
            <w:tcW w:w="921" w:type="pct"/>
            <w:shd w:val="clear" w:color="auto" w:fill="auto"/>
            <w:vAlign w:val="center"/>
          </w:tcPr>
          <w:p w:rsidR="00716FDC" w:rsidRDefault="00C83C33">
            <w:pPr>
              <w:pStyle w:val="Tabletext"/>
              <w:jc w:val="center"/>
              <w:rPr>
                <w:szCs w:val="22"/>
                <w:lang w:val="en-AU"/>
              </w:rPr>
            </w:pPr>
            <w:r>
              <w:rPr>
                <w:szCs w:val="22"/>
                <w:lang w:val="en-AU"/>
              </w:rPr>
              <w:t>WCAW, Rate of severe exacerbations, ACQ-5, utilisation of ICS</w:t>
            </w:r>
          </w:p>
        </w:tc>
        <w:tc>
          <w:tcPr>
            <w:tcW w:w="751" w:type="pct"/>
            <w:shd w:val="clear" w:color="auto" w:fill="auto"/>
            <w:vAlign w:val="center"/>
          </w:tcPr>
          <w:p w:rsidR="00716FDC" w:rsidRDefault="00C83C33">
            <w:pPr>
              <w:pStyle w:val="Tabletext"/>
              <w:jc w:val="center"/>
              <w:rPr>
                <w:szCs w:val="22"/>
                <w:lang w:val="en-AU"/>
              </w:rPr>
            </w:pPr>
            <w:r>
              <w:rPr>
                <w:szCs w:val="22"/>
                <w:lang w:val="en-AU"/>
              </w:rPr>
              <w:t>Not used</w:t>
            </w:r>
          </w:p>
        </w:tc>
      </w:tr>
      <w:tr w:rsidR="00716FDC" w:rsidTr="006D01D6">
        <w:trPr>
          <w:tblHeader/>
        </w:trPr>
        <w:tc>
          <w:tcPr>
            <w:tcW w:w="691" w:type="pct"/>
            <w:shd w:val="clear" w:color="auto" w:fill="auto"/>
            <w:vAlign w:val="center"/>
          </w:tcPr>
          <w:p w:rsidR="00716FDC" w:rsidRDefault="00C83C33">
            <w:pPr>
              <w:pStyle w:val="Tabletext"/>
              <w:rPr>
                <w:szCs w:val="22"/>
                <w:lang w:val="en-AU"/>
              </w:rPr>
            </w:pPr>
            <w:r>
              <w:rPr>
                <w:szCs w:val="22"/>
                <w:lang w:val="en-AU"/>
              </w:rPr>
              <w:t>SYGMA 2</w:t>
            </w:r>
          </w:p>
        </w:tc>
        <w:tc>
          <w:tcPr>
            <w:tcW w:w="444" w:type="pct"/>
            <w:shd w:val="clear" w:color="auto" w:fill="auto"/>
            <w:vAlign w:val="center"/>
          </w:tcPr>
          <w:p w:rsidR="00716FDC" w:rsidRDefault="00C83C33">
            <w:pPr>
              <w:pStyle w:val="Tabletext"/>
              <w:jc w:val="center"/>
              <w:rPr>
                <w:szCs w:val="22"/>
                <w:lang w:val="en-AU"/>
              </w:rPr>
            </w:pPr>
            <w:r>
              <w:rPr>
                <w:szCs w:val="22"/>
                <w:lang w:val="en-AU"/>
              </w:rPr>
              <w:t>4215</w:t>
            </w:r>
          </w:p>
        </w:tc>
        <w:tc>
          <w:tcPr>
            <w:tcW w:w="760" w:type="pct"/>
            <w:shd w:val="clear" w:color="auto" w:fill="auto"/>
            <w:vAlign w:val="center"/>
          </w:tcPr>
          <w:p w:rsidR="00716FDC" w:rsidRDefault="00C83C33">
            <w:pPr>
              <w:pStyle w:val="Tabletext"/>
              <w:jc w:val="center"/>
              <w:rPr>
                <w:szCs w:val="22"/>
                <w:lang w:val="en-AU"/>
              </w:rPr>
            </w:pPr>
            <w:r>
              <w:rPr>
                <w:szCs w:val="22"/>
                <w:lang w:val="en-AU"/>
              </w:rPr>
              <w:t>R, MC, DB, PG</w:t>
            </w:r>
          </w:p>
          <w:p w:rsidR="00716FDC" w:rsidRDefault="00C83C33">
            <w:pPr>
              <w:pStyle w:val="Tabletext"/>
              <w:jc w:val="center"/>
              <w:rPr>
                <w:szCs w:val="22"/>
                <w:lang w:val="en-AU"/>
              </w:rPr>
            </w:pPr>
            <w:r>
              <w:rPr>
                <w:szCs w:val="22"/>
                <w:lang w:val="en-AU"/>
              </w:rPr>
              <w:t>52 weeks</w:t>
            </w:r>
          </w:p>
        </w:tc>
        <w:tc>
          <w:tcPr>
            <w:tcW w:w="598" w:type="pct"/>
            <w:shd w:val="clear" w:color="auto" w:fill="auto"/>
            <w:vAlign w:val="center"/>
          </w:tcPr>
          <w:p w:rsidR="00716FDC" w:rsidRDefault="00C83C33">
            <w:pPr>
              <w:pStyle w:val="Tabletext"/>
              <w:jc w:val="center"/>
              <w:rPr>
                <w:szCs w:val="22"/>
                <w:lang w:val="en-AU"/>
              </w:rPr>
            </w:pPr>
            <w:r>
              <w:rPr>
                <w:szCs w:val="22"/>
                <w:lang w:val="en-AU"/>
              </w:rPr>
              <w:t>Low</w:t>
            </w:r>
          </w:p>
        </w:tc>
        <w:tc>
          <w:tcPr>
            <w:tcW w:w="835" w:type="pct"/>
            <w:shd w:val="clear" w:color="auto" w:fill="auto"/>
            <w:vAlign w:val="center"/>
          </w:tcPr>
          <w:p w:rsidR="00716FDC" w:rsidRDefault="00C83C33">
            <w:pPr>
              <w:pStyle w:val="Tabletext"/>
              <w:jc w:val="center"/>
              <w:rPr>
                <w:szCs w:val="22"/>
                <w:lang w:val="en-AU"/>
              </w:rPr>
            </w:pPr>
            <w:r>
              <w:rPr>
                <w:szCs w:val="22"/>
                <w:lang w:val="en-AU"/>
              </w:rPr>
              <w:t>Adolescents and adults, 12 year or more, mild asthma</w:t>
            </w:r>
          </w:p>
        </w:tc>
        <w:tc>
          <w:tcPr>
            <w:tcW w:w="921" w:type="pct"/>
            <w:shd w:val="clear" w:color="auto" w:fill="auto"/>
            <w:vAlign w:val="center"/>
          </w:tcPr>
          <w:p w:rsidR="00716FDC" w:rsidRDefault="00C83C33">
            <w:pPr>
              <w:pStyle w:val="Tabletext"/>
              <w:jc w:val="center"/>
              <w:rPr>
                <w:szCs w:val="22"/>
                <w:lang w:val="en-AU"/>
              </w:rPr>
            </w:pPr>
            <w:r>
              <w:rPr>
                <w:szCs w:val="22"/>
                <w:lang w:val="en-AU"/>
              </w:rPr>
              <w:t>Rate of severe exacerbations, ACQ-5, utilisation of ICS</w:t>
            </w:r>
          </w:p>
        </w:tc>
        <w:tc>
          <w:tcPr>
            <w:tcW w:w="751" w:type="pct"/>
            <w:shd w:val="clear" w:color="auto" w:fill="auto"/>
            <w:vAlign w:val="center"/>
          </w:tcPr>
          <w:p w:rsidR="00716FDC" w:rsidRDefault="00C83C33">
            <w:pPr>
              <w:pStyle w:val="Tabletext"/>
              <w:jc w:val="center"/>
              <w:rPr>
                <w:szCs w:val="22"/>
                <w:lang w:val="en-AU"/>
              </w:rPr>
            </w:pPr>
            <w:r>
              <w:rPr>
                <w:szCs w:val="22"/>
                <w:lang w:val="en-AU"/>
              </w:rPr>
              <w:t>Not used</w:t>
            </w:r>
          </w:p>
        </w:tc>
      </w:tr>
      <w:tr w:rsidR="00716FDC" w:rsidTr="006D01D6">
        <w:trPr>
          <w:tblHeader/>
        </w:trPr>
        <w:tc>
          <w:tcPr>
            <w:tcW w:w="5000" w:type="pct"/>
            <w:gridSpan w:val="7"/>
            <w:shd w:val="clear" w:color="auto" w:fill="auto"/>
            <w:vAlign w:val="center"/>
          </w:tcPr>
          <w:p w:rsidR="00716FDC" w:rsidRDefault="00C83C33">
            <w:pPr>
              <w:pStyle w:val="Tabletext"/>
              <w:rPr>
                <w:szCs w:val="22"/>
                <w:lang w:val="en-AU"/>
              </w:rPr>
            </w:pPr>
            <w:r>
              <w:rPr>
                <w:b/>
                <w:szCs w:val="22"/>
                <w:lang w:val="en-AU"/>
              </w:rPr>
              <w:t>Symbicort vs. SABA</w:t>
            </w:r>
          </w:p>
        </w:tc>
      </w:tr>
      <w:tr w:rsidR="00716FDC" w:rsidTr="006D01D6">
        <w:trPr>
          <w:tblHeader/>
        </w:trPr>
        <w:tc>
          <w:tcPr>
            <w:tcW w:w="691" w:type="pct"/>
            <w:shd w:val="clear" w:color="auto" w:fill="auto"/>
            <w:vAlign w:val="center"/>
          </w:tcPr>
          <w:p w:rsidR="00716FDC" w:rsidRDefault="00C83C33">
            <w:pPr>
              <w:pStyle w:val="Tabletext"/>
              <w:rPr>
                <w:szCs w:val="22"/>
                <w:lang w:val="en-AU"/>
              </w:rPr>
            </w:pPr>
            <w:r>
              <w:rPr>
                <w:szCs w:val="22"/>
                <w:lang w:val="en-AU"/>
              </w:rPr>
              <w:t>SYGMA 1</w:t>
            </w:r>
          </w:p>
        </w:tc>
        <w:tc>
          <w:tcPr>
            <w:tcW w:w="444" w:type="pct"/>
            <w:shd w:val="clear" w:color="auto" w:fill="auto"/>
            <w:vAlign w:val="center"/>
          </w:tcPr>
          <w:p w:rsidR="00716FDC" w:rsidRDefault="00C83C33">
            <w:pPr>
              <w:pStyle w:val="Tabletext"/>
              <w:jc w:val="center"/>
              <w:rPr>
                <w:szCs w:val="22"/>
                <w:lang w:val="en-AU"/>
              </w:rPr>
            </w:pPr>
            <w:r>
              <w:rPr>
                <w:szCs w:val="22"/>
                <w:lang w:val="en-AU"/>
              </w:rPr>
              <w:t>3849</w:t>
            </w:r>
          </w:p>
        </w:tc>
        <w:tc>
          <w:tcPr>
            <w:tcW w:w="760" w:type="pct"/>
            <w:shd w:val="clear" w:color="auto" w:fill="auto"/>
            <w:vAlign w:val="center"/>
          </w:tcPr>
          <w:p w:rsidR="00716FDC" w:rsidRDefault="00C83C33">
            <w:pPr>
              <w:pStyle w:val="Tabletext"/>
              <w:jc w:val="center"/>
              <w:rPr>
                <w:szCs w:val="22"/>
                <w:lang w:val="en-AU"/>
              </w:rPr>
            </w:pPr>
            <w:r>
              <w:rPr>
                <w:szCs w:val="22"/>
                <w:lang w:val="en-AU"/>
              </w:rPr>
              <w:t>R, MC, DB, PG</w:t>
            </w:r>
          </w:p>
          <w:p w:rsidR="00716FDC" w:rsidRDefault="00C83C33">
            <w:pPr>
              <w:pStyle w:val="Tabletext"/>
              <w:jc w:val="center"/>
              <w:rPr>
                <w:szCs w:val="22"/>
                <w:lang w:val="en-AU"/>
              </w:rPr>
            </w:pPr>
            <w:r>
              <w:rPr>
                <w:szCs w:val="22"/>
                <w:lang w:val="en-AU"/>
              </w:rPr>
              <w:t>52 weeks</w:t>
            </w:r>
          </w:p>
        </w:tc>
        <w:tc>
          <w:tcPr>
            <w:tcW w:w="598" w:type="pct"/>
            <w:shd w:val="clear" w:color="auto" w:fill="auto"/>
            <w:vAlign w:val="center"/>
          </w:tcPr>
          <w:p w:rsidR="00716FDC" w:rsidRDefault="00C83C33">
            <w:pPr>
              <w:pStyle w:val="Tabletext"/>
              <w:jc w:val="center"/>
              <w:rPr>
                <w:szCs w:val="22"/>
                <w:lang w:val="en-AU"/>
              </w:rPr>
            </w:pPr>
            <w:r>
              <w:rPr>
                <w:szCs w:val="22"/>
                <w:lang w:val="en-AU"/>
              </w:rPr>
              <w:t>Low</w:t>
            </w:r>
          </w:p>
        </w:tc>
        <w:tc>
          <w:tcPr>
            <w:tcW w:w="835" w:type="pct"/>
            <w:shd w:val="clear" w:color="auto" w:fill="auto"/>
            <w:vAlign w:val="center"/>
          </w:tcPr>
          <w:p w:rsidR="00716FDC" w:rsidRDefault="00C83C33">
            <w:pPr>
              <w:pStyle w:val="Tabletext"/>
              <w:jc w:val="center"/>
              <w:rPr>
                <w:szCs w:val="22"/>
                <w:lang w:val="en-AU"/>
              </w:rPr>
            </w:pPr>
            <w:r>
              <w:rPr>
                <w:szCs w:val="22"/>
                <w:lang w:val="en-AU"/>
              </w:rPr>
              <w:t>Adolescents and adults, 12 year or more, mild asthma</w:t>
            </w:r>
          </w:p>
        </w:tc>
        <w:tc>
          <w:tcPr>
            <w:tcW w:w="921" w:type="pct"/>
            <w:shd w:val="clear" w:color="auto" w:fill="auto"/>
            <w:vAlign w:val="center"/>
          </w:tcPr>
          <w:p w:rsidR="00716FDC" w:rsidRDefault="00C83C33">
            <w:pPr>
              <w:pStyle w:val="Tabletext"/>
              <w:jc w:val="center"/>
              <w:rPr>
                <w:szCs w:val="22"/>
                <w:lang w:val="en-AU"/>
              </w:rPr>
            </w:pPr>
            <w:r>
              <w:rPr>
                <w:szCs w:val="22"/>
                <w:lang w:val="en-AU"/>
              </w:rPr>
              <w:t>WCAW, severe exacerbations, ACQ-5, utilisation of ICS</w:t>
            </w:r>
          </w:p>
        </w:tc>
        <w:tc>
          <w:tcPr>
            <w:tcW w:w="751" w:type="pct"/>
            <w:shd w:val="clear" w:color="auto" w:fill="auto"/>
            <w:vAlign w:val="center"/>
          </w:tcPr>
          <w:p w:rsidR="00716FDC" w:rsidRDefault="00C83C33">
            <w:pPr>
              <w:pStyle w:val="Tabletext"/>
              <w:jc w:val="center"/>
              <w:rPr>
                <w:szCs w:val="22"/>
                <w:lang w:val="en-AU"/>
              </w:rPr>
            </w:pPr>
            <w:r>
              <w:rPr>
                <w:szCs w:val="22"/>
                <w:lang w:val="en-AU"/>
              </w:rPr>
              <w:t>Rate of severe and moderate exacerbations</w:t>
            </w:r>
          </w:p>
        </w:tc>
      </w:tr>
    </w:tbl>
    <w:p w:rsidR="00716FDC" w:rsidRDefault="00C83C33">
      <w:pPr>
        <w:pStyle w:val="TableFooter"/>
        <w:rPr>
          <w:sz w:val="20"/>
        </w:rPr>
      </w:pPr>
      <w:r>
        <w:t>Source: Compiled during the evaluation based on p29-34 of the submission</w:t>
      </w:r>
    </w:p>
    <w:p w:rsidR="00716FDC" w:rsidRDefault="00C83C33">
      <w:pPr>
        <w:pStyle w:val="TableFooter"/>
      </w:pPr>
      <w:r>
        <w:t xml:space="preserve">ACQ-5= </w:t>
      </w:r>
      <w:r>
        <w:rPr>
          <w:lang w:val="en-AU"/>
        </w:rPr>
        <w:t>asthma control</w:t>
      </w:r>
      <w:r>
        <w:t xml:space="preserve"> questionnaire (5 items); DB</w:t>
      </w:r>
      <w:r>
        <w:rPr>
          <w:lang w:val="en-AU"/>
        </w:rPr>
        <w:t xml:space="preserve"> </w:t>
      </w:r>
      <w:r>
        <w:t>=</w:t>
      </w:r>
      <w:r>
        <w:rPr>
          <w:lang w:val="en-AU"/>
        </w:rPr>
        <w:t xml:space="preserve"> </w:t>
      </w:r>
      <w:r>
        <w:t>double blind; MC</w:t>
      </w:r>
      <w:r>
        <w:rPr>
          <w:lang w:val="en-AU"/>
        </w:rPr>
        <w:t xml:space="preserve"> </w:t>
      </w:r>
      <w:r>
        <w:t>=</w:t>
      </w:r>
      <w:r>
        <w:rPr>
          <w:lang w:val="en-AU"/>
        </w:rPr>
        <w:t xml:space="preserve"> </w:t>
      </w:r>
      <w:r>
        <w:t>multi-centre; R</w:t>
      </w:r>
      <w:r>
        <w:rPr>
          <w:lang w:val="en-AU"/>
        </w:rPr>
        <w:t xml:space="preserve"> </w:t>
      </w:r>
      <w:r>
        <w:t>=</w:t>
      </w:r>
      <w:r>
        <w:rPr>
          <w:lang w:val="en-AU"/>
        </w:rPr>
        <w:t xml:space="preserve"> </w:t>
      </w:r>
      <w:r>
        <w:t>randomized; PG</w:t>
      </w:r>
      <w:r>
        <w:rPr>
          <w:lang w:val="en-AU"/>
        </w:rPr>
        <w:t xml:space="preserve"> </w:t>
      </w:r>
      <w:r>
        <w:t>=</w:t>
      </w:r>
      <w:r>
        <w:rPr>
          <w:lang w:val="en-AU"/>
        </w:rPr>
        <w:t xml:space="preserve"> </w:t>
      </w:r>
      <w:r>
        <w:t>parallel group; WCAW</w:t>
      </w:r>
      <w:r>
        <w:rPr>
          <w:lang w:val="en-AU"/>
        </w:rPr>
        <w:t xml:space="preserve"> </w:t>
      </w:r>
      <w:r>
        <w:t>= well-controlled asthma week</w:t>
      </w:r>
      <w:r>
        <w:rPr>
          <w:lang w:val="en-AU"/>
        </w:rPr>
        <w:t>s</w:t>
      </w:r>
    </w:p>
    <w:p w:rsidR="00716FDC" w:rsidRDefault="00716FDC"/>
    <w:p w:rsidR="00716FDC" w:rsidRDefault="00C83C33">
      <w:pPr>
        <w:pStyle w:val="ListParagraph"/>
        <w:widowControl/>
        <w:numPr>
          <w:ilvl w:val="1"/>
          <w:numId w:val="2"/>
        </w:numPr>
        <w:rPr>
          <w:rFonts w:ascii="Calibri" w:hAnsi="Calibri" w:cs="Calibri"/>
          <w:i/>
          <w:snapToGrid/>
          <w:sz w:val="28"/>
          <w:szCs w:val="24"/>
          <w:lang w:eastAsia="en-AU"/>
        </w:rPr>
      </w:pPr>
      <w:r>
        <w:rPr>
          <w:rFonts w:ascii="Calibri" w:hAnsi="Calibri" w:cs="Calibri"/>
          <w:snapToGrid/>
          <w:color w:val="000000"/>
          <w:sz w:val="24"/>
          <w:szCs w:val="24"/>
          <w:lang w:val="en-AU" w:eastAsia="en-AU"/>
        </w:rPr>
        <w:t xml:space="preserve">The PBAC noted the difference in primary outcomes between the trials, that is, well-controlled asthma weeks (WCAW) for SYGMA 1 and rate of severe exacerbations for SYGMA 2. With respect to SYGMA 1, the PBAC noted that the primary outcome was WCAW for the comparison of Symbicort versus SABA, while the comparison of Symbicort versus ICS+SABA (for WCAW) was a secondary outcome. </w:t>
      </w:r>
    </w:p>
    <w:p w:rsidR="00716FDC" w:rsidRDefault="00C83C33">
      <w:pPr>
        <w:pStyle w:val="ListParagraph"/>
        <w:widowControl/>
        <w:numPr>
          <w:ilvl w:val="1"/>
          <w:numId w:val="2"/>
        </w:numPr>
        <w:rPr>
          <w:rFonts w:ascii="Calibri" w:hAnsi="Calibri" w:cs="Calibri"/>
          <w:i/>
          <w:snapToGrid/>
          <w:sz w:val="28"/>
          <w:szCs w:val="24"/>
          <w:lang w:eastAsia="en-AU"/>
        </w:rPr>
      </w:pPr>
      <w:r>
        <w:rPr>
          <w:rFonts w:ascii="Calibri" w:hAnsi="Calibri" w:cs="Calibri"/>
          <w:snapToGrid/>
          <w:color w:val="000000"/>
          <w:sz w:val="24"/>
          <w:szCs w:val="24"/>
          <w:lang w:val="en-AU" w:eastAsia="en-AU"/>
        </w:rPr>
        <w:t>The submission presented the rate of severe asthma exacerbations and the change from baseline in asthma symptom score (ACQ-5) as the key outcomes of interest</w:t>
      </w:r>
      <w:r>
        <w:rPr>
          <w:rFonts w:ascii="Calibri" w:hAnsi="Calibri" w:cs="Calibri"/>
          <w:i/>
          <w:snapToGrid/>
          <w:color w:val="000000"/>
          <w:sz w:val="24"/>
          <w:szCs w:val="24"/>
          <w:lang w:val="en-AU" w:eastAsia="en-AU"/>
        </w:rPr>
        <w:t xml:space="preserve">. </w:t>
      </w:r>
    </w:p>
    <w:p w:rsidR="00716FDC" w:rsidRDefault="00C83C33">
      <w:pPr>
        <w:pStyle w:val="ListParagraph"/>
        <w:widowControl/>
        <w:numPr>
          <w:ilvl w:val="1"/>
          <w:numId w:val="2"/>
        </w:numPr>
        <w:rPr>
          <w:rFonts w:ascii="Calibri" w:hAnsi="Calibri" w:cs="Calibri"/>
          <w:snapToGrid/>
          <w:sz w:val="28"/>
          <w:szCs w:val="24"/>
          <w:lang w:eastAsia="en-AU"/>
        </w:rPr>
      </w:pPr>
      <w:r>
        <w:rPr>
          <w:rFonts w:ascii="Calibri" w:hAnsi="Calibri" w:cs="Calibri"/>
          <w:snapToGrid/>
          <w:color w:val="000000"/>
          <w:sz w:val="24"/>
          <w:szCs w:val="24"/>
          <w:lang w:eastAsia="en-AU"/>
        </w:rPr>
        <w:t>The key outcomes of interest presented in the submission were previously considered to be clinically relevant by the PBAC in submissions related to asthma (Paragraph 8, Symbicort March 2007 PSD &amp; Paragraph 6.7, Omalizumab July 2016 PSD). It is arguable whether ACQ-5, instead of severe asthma exacerbation, should be the more appropriate primary outcome in this group of patients with mild asthma. Total ICS dose from SYGMA 2 was used in the cost-minimisation analyses</w:t>
      </w:r>
      <w:r>
        <w:rPr>
          <w:rFonts w:ascii="Calibri" w:hAnsi="Calibri" w:cs="Calibri"/>
          <w:snapToGrid/>
          <w:color w:val="000000"/>
          <w:sz w:val="24"/>
          <w:szCs w:val="24"/>
          <w:lang w:val="en-AU" w:eastAsia="en-AU"/>
        </w:rPr>
        <w:t>.</w:t>
      </w:r>
    </w:p>
    <w:p w:rsidR="00716FDC" w:rsidRDefault="00C83C33">
      <w:pPr>
        <w:pStyle w:val="ListParagraph"/>
        <w:widowControl/>
        <w:numPr>
          <w:ilvl w:val="1"/>
          <w:numId w:val="2"/>
        </w:numPr>
        <w:rPr>
          <w:rFonts w:ascii="Calibri" w:hAnsi="Calibri" w:cs="Calibri"/>
          <w:snapToGrid/>
          <w:color w:val="000000"/>
          <w:sz w:val="24"/>
          <w:szCs w:val="24"/>
          <w:lang w:eastAsia="en-AU"/>
        </w:rPr>
      </w:pPr>
      <w:r>
        <w:rPr>
          <w:rFonts w:ascii="Calibri" w:hAnsi="Calibri" w:cs="Calibri"/>
          <w:color w:val="000000"/>
          <w:sz w:val="24"/>
          <w:szCs w:val="24"/>
        </w:rPr>
        <w:t xml:space="preserve">Table </w:t>
      </w:r>
      <w:r>
        <w:rPr>
          <w:rFonts w:ascii="Calibri" w:hAnsi="Calibri" w:cs="Calibri"/>
          <w:color w:val="000000"/>
          <w:sz w:val="24"/>
          <w:szCs w:val="24"/>
          <w:lang w:val="en-AU"/>
        </w:rPr>
        <w:t xml:space="preserve">4 </w:t>
      </w:r>
      <w:r>
        <w:rPr>
          <w:rFonts w:ascii="Calibri" w:hAnsi="Calibri" w:cs="Calibri"/>
          <w:color w:val="000000"/>
          <w:sz w:val="24"/>
          <w:szCs w:val="24"/>
        </w:rPr>
        <w:t>summarise</w:t>
      </w:r>
      <w:r>
        <w:rPr>
          <w:rFonts w:ascii="Calibri" w:hAnsi="Calibri" w:cs="Calibri"/>
          <w:color w:val="000000"/>
          <w:sz w:val="24"/>
          <w:szCs w:val="24"/>
          <w:lang w:val="en-AU"/>
        </w:rPr>
        <w:t>s</w:t>
      </w:r>
      <w:r>
        <w:rPr>
          <w:rFonts w:ascii="Calibri" w:hAnsi="Calibri" w:cs="Calibri"/>
          <w:color w:val="000000"/>
          <w:sz w:val="24"/>
          <w:szCs w:val="24"/>
        </w:rPr>
        <w:t xml:space="preserve"> the definitions </w:t>
      </w:r>
      <w:r>
        <w:rPr>
          <w:rFonts w:ascii="Calibri" w:hAnsi="Calibri" w:cs="Calibri"/>
          <w:color w:val="000000"/>
          <w:sz w:val="24"/>
          <w:szCs w:val="24"/>
          <w:lang w:val="en-AU"/>
        </w:rPr>
        <w:t xml:space="preserve">and methods of analysis </w:t>
      </w:r>
      <w:r>
        <w:rPr>
          <w:rFonts w:ascii="Calibri" w:hAnsi="Calibri" w:cs="Calibri"/>
          <w:color w:val="000000"/>
          <w:sz w:val="24"/>
          <w:szCs w:val="24"/>
        </w:rPr>
        <w:t>for the outcomes</w:t>
      </w:r>
      <w:r>
        <w:rPr>
          <w:rFonts w:ascii="Calibri" w:hAnsi="Calibri" w:cs="Calibri"/>
          <w:color w:val="000000"/>
          <w:sz w:val="24"/>
          <w:szCs w:val="24"/>
          <w:lang w:val="en-AU"/>
        </w:rPr>
        <w:t xml:space="preserve"> </w:t>
      </w:r>
      <w:r>
        <w:rPr>
          <w:rFonts w:ascii="Calibri" w:hAnsi="Calibri" w:cs="Calibri"/>
          <w:color w:val="000000"/>
          <w:sz w:val="24"/>
          <w:szCs w:val="24"/>
        </w:rPr>
        <w:t>presented in the submission.</w:t>
      </w:r>
      <w:r>
        <w:rPr>
          <w:rFonts w:ascii="Calibri" w:hAnsi="Calibri" w:cs="Calibri"/>
          <w:color w:val="000000"/>
          <w:sz w:val="24"/>
          <w:szCs w:val="24"/>
          <w:lang w:val="en-AU"/>
        </w:rPr>
        <w:t xml:space="preserve"> </w:t>
      </w:r>
      <w:r>
        <w:rPr>
          <w:rFonts w:ascii="Calibri" w:hAnsi="Calibri" w:cs="Calibri"/>
          <w:snapToGrid/>
          <w:color w:val="000000"/>
          <w:sz w:val="24"/>
          <w:szCs w:val="24"/>
          <w:lang w:eastAsia="en-AU"/>
        </w:rPr>
        <w:t>Overall, the statistical methods were largely appropriate.</w:t>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4</w:t>
      </w:r>
      <w:r>
        <w:fldChar w:fldCharType="end"/>
      </w:r>
      <w:r w:rsidRPr="00682486">
        <w:t>: Definition of the outcomes, unit of measure and method of analysis</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Definition of the outcomes, unit of measure and method of analysis"/>
      </w:tblPr>
      <w:tblGrid>
        <w:gridCol w:w="1271"/>
        <w:gridCol w:w="3825"/>
        <w:gridCol w:w="996"/>
        <w:gridCol w:w="2925"/>
      </w:tblGrid>
      <w:tr w:rsidR="00716FDC" w:rsidTr="006D01D6">
        <w:trPr>
          <w:tblHeader/>
        </w:trPr>
        <w:tc>
          <w:tcPr>
            <w:tcW w:w="1271" w:type="dxa"/>
            <w:vAlign w:val="center"/>
          </w:tcPr>
          <w:p w:rsidR="00716FDC" w:rsidRDefault="00C83C33">
            <w:pPr>
              <w:pStyle w:val="Tabletext"/>
              <w:rPr>
                <w:b/>
                <w:szCs w:val="22"/>
                <w:lang w:val="en-AU"/>
              </w:rPr>
            </w:pPr>
            <w:r>
              <w:rPr>
                <w:b/>
                <w:szCs w:val="22"/>
                <w:lang w:val="en-AU"/>
              </w:rPr>
              <w:t>Outcome</w:t>
            </w:r>
          </w:p>
        </w:tc>
        <w:tc>
          <w:tcPr>
            <w:tcW w:w="3825" w:type="dxa"/>
            <w:vAlign w:val="center"/>
          </w:tcPr>
          <w:p w:rsidR="00716FDC" w:rsidRDefault="00C83C33">
            <w:pPr>
              <w:pStyle w:val="Tabletext"/>
              <w:jc w:val="center"/>
              <w:rPr>
                <w:b/>
                <w:szCs w:val="22"/>
                <w:lang w:val="en-AU"/>
              </w:rPr>
            </w:pPr>
            <w:r>
              <w:rPr>
                <w:b/>
                <w:szCs w:val="22"/>
                <w:lang w:val="en-AU"/>
              </w:rPr>
              <w:t>Definition</w:t>
            </w:r>
          </w:p>
        </w:tc>
        <w:tc>
          <w:tcPr>
            <w:tcW w:w="996" w:type="dxa"/>
          </w:tcPr>
          <w:p w:rsidR="00716FDC" w:rsidRDefault="00C83C33">
            <w:pPr>
              <w:pStyle w:val="Tabletext"/>
              <w:jc w:val="center"/>
              <w:rPr>
                <w:b/>
                <w:szCs w:val="22"/>
                <w:lang w:val="en-AU"/>
              </w:rPr>
            </w:pPr>
            <w:r>
              <w:rPr>
                <w:b/>
                <w:szCs w:val="22"/>
                <w:lang w:val="en-AU"/>
              </w:rPr>
              <w:t>U</w:t>
            </w:r>
            <w:r>
              <w:rPr>
                <w:b/>
                <w:szCs w:val="22"/>
              </w:rPr>
              <w:t>n</w:t>
            </w:r>
            <w:r>
              <w:rPr>
                <w:b/>
                <w:szCs w:val="22"/>
                <w:lang w:val="en-AU"/>
              </w:rPr>
              <w:t>i</w:t>
            </w:r>
            <w:r>
              <w:rPr>
                <w:b/>
                <w:szCs w:val="22"/>
              </w:rPr>
              <w:t>t</w:t>
            </w:r>
            <w:r>
              <w:rPr>
                <w:b/>
                <w:szCs w:val="22"/>
                <w:lang w:val="en-AU"/>
              </w:rPr>
              <w:t xml:space="preserve"> </w:t>
            </w:r>
            <w:r>
              <w:rPr>
                <w:b/>
                <w:szCs w:val="22"/>
              </w:rPr>
              <w:t>o</w:t>
            </w:r>
            <w:r>
              <w:rPr>
                <w:b/>
                <w:szCs w:val="22"/>
                <w:lang w:val="en-AU"/>
              </w:rPr>
              <w:t>f</w:t>
            </w:r>
            <w:r>
              <w:rPr>
                <w:b/>
                <w:szCs w:val="22"/>
              </w:rPr>
              <w:t xml:space="preserve"> </w:t>
            </w:r>
            <w:r>
              <w:rPr>
                <w:b/>
                <w:szCs w:val="22"/>
                <w:lang w:val="en-AU"/>
              </w:rPr>
              <w:t>m</w:t>
            </w:r>
            <w:r>
              <w:rPr>
                <w:b/>
                <w:szCs w:val="22"/>
              </w:rPr>
              <w:t>e</w:t>
            </w:r>
            <w:r>
              <w:rPr>
                <w:b/>
                <w:szCs w:val="22"/>
                <w:lang w:val="en-AU"/>
              </w:rPr>
              <w:t>a</w:t>
            </w:r>
            <w:r>
              <w:rPr>
                <w:b/>
                <w:szCs w:val="22"/>
              </w:rPr>
              <w:t>s</w:t>
            </w:r>
            <w:r>
              <w:rPr>
                <w:b/>
                <w:szCs w:val="22"/>
                <w:lang w:val="en-AU"/>
              </w:rPr>
              <w:t>u</w:t>
            </w:r>
            <w:r>
              <w:rPr>
                <w:b/>
                <w:szCs w:val="22"/>
              </w:rPr>
              <w:t>r</w:t>
            </w:r>
            <w:r>
              <w:rPr>
                <w:b/>
                <w:szCs w:val="22"/>
                <w:lang w:val="en-AU"/>
              </w:rPr>
              <w:t>e</w:t>
            </w:r>
          </w:p>
        </w:tc>
        <w:tc>
          <w:tcPr>
            <w:tcW w:w="2925" w:type="dxa"/>
          </w:tcPr>
          <w:p w:rsidR="00716FDC" w:rsidRDefault="00C83C33">
            <w:pPr>
              <w:pStyle w:val="Tabletext"/>
              <w:jc w:val="center"/>
              <w:rPr>
                <w:b/>
                <w:szCs w:val="22"/>
                <w:lang w:val="en-AU"/>
              </w:rPr>
            </w:pPr>
            <w:r>
              <w:rPr>
                <w:b/>
                <w:szCs w:val="22"/>
                <w:lang w:val="en-AU"/>
              </w:rPr>
              <w:t>Method of analysis</w:t>
            </w:r>
          </w:p>
        </w:tc>
      </w:tr>
      <w:tr w:rsidR="00716FDC">
        <w:trPr>
          <w:trHeight w:val="295"/>
        </w:trPr>
        <w:tc>
          <w:tcPr>
            <w:tcW w:w="9017" w:type="dxa"/>
            <w:gridSpan w:val="4"/>
            <w:vAlign w:val="center"/>
          </w:tcPr>
          <w:p w:rsidR="00716FDC" w:rsidRDefault="00C83C33">
            <w:pPr>
              <w:pStyle w:val="Tabletext"/>
              <w:rPr>
                <w:b/>
                <w:szCs w:val="22"/>
                <w:lang w:val="en-AU"/>
              </w:rPr>
            </w:pPr>
            <w:r>
              <w:rPr>
                <w:b/>
                <w:szCs w:val="22"/>
                <w:lang w:val="en-AU"/>
              </w:rPr>
              <w:t>Asthma exacerbations</w:t>
            </w:r>
          </w:p>
        </w:tc>
      </w:tr>
      <w:tr w:rsidR="00716FDC" w:rsidTr="006D01D6">
        <w:trPr>
          <w:trHeight w:val="586"/>
        </w:trPr>
        <w:tc>
          <w:tcPr>
            <w:tcW w:w="1271" w:type="dxa"/>
            <w:vAlign w:val="center"/>
          </w:tcPr>
          <w:p w:rsidR="00716FDC" w:rsidRDefault="00C83C33">
            <w:pPr>
              <w:widowControl/>
              <w:shd w:val="clear" w:color="auto" w:fill="FFFFFF"/>
              <w:jc w:val="left"/>
            </w:pPr>
            <w:r>
              <w:rPr>
                <w:rFonts w:ascii="Arial Narrow" w:hAnsi="Arial Narrow" w:cs="Times New Roman"/>
                <w:snapToGrid/>
                <w:sz w:val="20"/>
              </w:rPr>
              <w:t>Annual severe asthma exacerbations</w:t>
            </w:r>
          </w:p>
        </w:tc>
        <w:tc>
          <w:tcPr>
            <w:tcW w:w="3825" w:type="dxa"/>
            <w:vAlign w:val="center"/>
          </w:tcPr>
          <w:p w:rsidR="00716FDC" w:rsidRDefault="00C83C33">
            <w:pPr>
              <w:widowControl/>
              <w:shd w:val="clear" w:color="auto" w:fill="FFFFFF"/>
              <w:jc w:val="left"/>
              <w:rPr>
                <w:rFonts w:ascii="Arial Narrow" w:hAnsi="Arial Narrow" w:cs="Times New Roman"/>
                <w:i/>
                <w:snapToGrid/>
                <w:sz w:val="20"/>
              </w:rPr>
            </w:pPr>
            <w:r>
              <w:rPr>
                <w:rFonts w:ascii="Arial Narrow" w:hAnsi="Arial Narrow" w:cs="Times New Roman"/>
                <w:snapToGrid/>
                <w:sz w:val="20"/>
              </w:rPr>
              <w:t>Deterioration of asthma requiring one or more of the following: (i) use of OCS for 3 days or more (ii) in-patient hospitalisation or (iii) Emergency Department visit that required systemic steroids.</w:t>
            </w:r>
            <w:r>
              <w:t xml:space="preserve"> </w:t>
            </w:r>
          </w:p>
        </w:tc>
        <w:tc>
          <w:tcPr>
            <w:tcW w:w="996" w:type="dxa"/>
          </w:tcPr>
          <w:p w:rsidR="00716FDC" w:rsidRDefault="00C83C33">
            <w:pPr>
              <w:widowControl/>
              <w:shd w:val="clear" w:color="auto" w:fill="FFFFFF"/>
              <w:jc w:val="left"/>
              <w:rPr>
                <w:rFonts w:ascii="Arial Narrow" w:hAnsi="Arial Narrow" w:cs="Times New Roman"/>
                <w:snapToGrid/>
                <w:sz w:val="20"/>
              </w:rPr>
            </w:pPr>
            <w:r>
              <w:rPr>
                <w:rFonts w:ascii="Arial Narrow" w:hAnsi="Arial Narrow" w:cs="Times New Roman"/>
                <w:snapToGrid/>
                <w:sz w:val="20"/>
              </w:rPr>
              <w:t>Annual exacerbation rate</w:t>
            </w:r>
          </w:p>
        </w:tc>
        <w:tc>
          <w:tcPr>
            <w:tcW w:w="2925" w:type="dxa"/>
            <w:vMerge w:val="restart"/>
          </w:tcPr>
          <w:p w:rsidR="00716FDC" w:rsidRDefault="00C83C33">
            <w:pPr>
              <w:widowControl/>
              <w:shd w:val="clear" w:color="auto" w:fill="FFFFFF"/>
              <w:jc w:val="left"/>
              <w:rPr>
                <w:rFonts w:ascii="Arial Narrow" w:hAnsi="Arial Narrow" w:cs="Times New Roman"/>
                <w:snapToGrid/>
                <w:sz w:val="20"/>
              </w:rPr>
            </w:pPr>
            <w:r>
              <w:rPr>
                <w:rFonts w:ascii="Arial Narrow" w:hAnsi="Arial Narrow" w:cs="Times New Roman"/>
                <w:snapToGrid/>
                <w:sz w:val="20"/>
              </w:rPr>
              <w:t xml:space="preserve">Exacerbations were analysed using negative binomial model adjusted for randomised treatment, pre-study treatment group and region and number of severe adverse events in prior 12 months (0 or ≥ 1) and offset for follow-up time. It was expressed as rate ratio (RR) with corresponding 1-sided 95% CI. </w:t>
            </w:r>
          </w:p>
        </w:tc>
      </w:tr>
      <w:tr w:rsidR="00716FDC" w:rsidTr="006D01D6">
        <w:trPr>
          <w:trHeight w:val="586"/>
        </w:trPr>
        <w:tc>
          <w:tcPr>
            <w:tcW w:w="1271" w:type="dxa"/>
            <w:vAlign w:val="center"/>
          </w:tcPr>
          <w:p w:rsidR="00716FDC" w:rsidRDefault="00C83C33">
            <w:pPr>
              <w:widowControl/>
              <w:shd w:val="clear" w:color="auto" w:fill="FFFFFF"/>
              <w:jc w:val="left"/>
              <w:rPr>
                <w:rFonts w:ascii="Arial Narrow" w:hAnsi="Arial Narrow" w:cs="Times New Roman"/>
                <w:snapToGrid/>
                <w:sz w:val="20"/>
              </w:rPr>
            </w:pPr>
            <w:r>
              <w:rPr>
                <w:rFonts w:ascii="Arial Narrow" w:hAnsi="Arial Narrow" w:cs="Times New Roman"/>
                <w:snapToGrid/>
                <w:sz w:val="20"/>
              </w:rPr>
              <w:t>Moderate exacerbation</w:t>
            </w:r>
          </w:p>
        </w:tc>
        <w:tc>
          <w:tcPr>
            <w:tcW w:w="3825" w:type="dxa"/>
            <w:vAlign w:val="center"/>
          </w:tcPr>
          <w:p w:rsidR="00716FDC" w:rsidRDefault="00C83C33">
            <w:pPr>
              <w:widowControl/>
              <w:shd w:val="clear" w:color="auto" w:fill="FFFFFF"/>
              <w:jc w:val="left"/>
              <w:rPr>
                <w:rFonts w:ascii="Arial Narrow" w:hAnsi="Arial Narrow" w:cs="Times New Roman"/>
                <w:snapToGrid/>
                <w:sz w:val="20"/>
              </w:rPr>
            </w:pPr>
            <w:r>
              <w:rPr>
                <w:rFonts w:ascii="Arial Narrow" w:hAnsi="Arial Narrow" w:cs="Times New Roman"/>
                <w:snapToGrid/>
                <w:sz w:val="20"/>
              </w:rPr>
              <w:t>Deterioration of asthma requiring a change in treatment i.e. initiation of prescribed ICS to avoid progression of the worsening of asthma to severe exacerbation.</w:t>
            </w:r>
          </w:p>
        </w:tc>
        <w:tc>
          <w:tcPr>
            <w:tcW w:w="996" w:type="dxa"/>
          </w:tcPr>
          <w:p w:rsidR="00716FDC" w:rsidRDefault="00C83C33">
            <w:pPr>
              <w:widowControl/>
              <w:shd w:val="clear" w:color="auto" w:fill="FFFFFF"/>
              <w:jc w:val="left"/>
              <w:rPr>
                <w:rFonts w:ascii="Arial Narrow" w:hAnsi="Arial Narrow" w:cs="Times New Roman"/>
                <w:snapToGrid/>
                <w:sz w:val="20"/>
              </w:rPr>
            </w:pPr>
            <w:r>
              <w:rPr>
                <w:rFonts w:ascii="Arial Narrow" w:hAnsi="Arial Narrow" w:cs="Times New Roman"/>
                <w:snapToGrid/>
                <w:sz w:val="20"/>
              </w:rPr>
              <w:t>Annual exacerbation rate</w:t>
            </w:r>
          </w:p>
        </w:tc>
        <w:tc>
          <w:tcPr>
            <w:tcW w:w="2925" w:type="dxa"/>
            <w:vMerge/>
          </w:tcPr>
          <w:p w:rsidR="00716FDC" w:rsidRDefault="00716FDC">
            <w:pPr>
              <w:widowControl/>
              <w:shd w:val="clear" w:color="auto" w:fill="FFFFFF"/>
              <w:jc w:val="left"/>
              <w:rPr>
                <w:rFonts w:ascii="Arial Narrow" w:hAnsi="Arial Narrow" w:cs="Times New Roman"/>
                <w:snapToGrid/>
                <w:sz w:val="20"/>
              </w:rPr>
            </w:pPr>
          </w:p>
        </w:tc>
      </w:tr>
      <w:tr w:rsidR="00716FDC">
        <w:tc>
          <w:tcPr>
            <w:tcW w:w="9017" w:type="dxa"/>
            <w:gridSpan w:val="4"/>
            <w:vAlign w:val="center"/>
          </w:tcPr>
          <w:p w:rsidR="00716FDC" w:rsidRDefault="00C83C33">
            <w:pPr>
              <w:pStyle w:val="Tabletext"/>
              <w:rPr>
                <w:b/>
                <w:szCs w:val="22"/>
                <w:lang w:val="en-AU"/>
              </w:rPr>
            </w:pPr>
            <w:r>
              <w:rPr>
                <w:b/>
                <w:szCs w:val="22"/>
                <w:lang w:val="en-AU"/>
              </w:rPr>
              <w:t>Asthma symptom control</w:t>
            </w:r>
          </w:p>
        </w:tc>
      </w:tr>
      <w:tr w:rsidR="00716FDC" w:rsidTr="006D01D6">
        <w:tc>
          <w:tcPr>
            <w:tcW w:w="1271" w:type="dxa"/>
            <w:vAlign w:val="center"/>
          </w:tcPr>
          <w:p w:rsidR="00716FDC" w:rsidRDefault="00C83C33">
            <w:pPr>
              <w:widowControl/>
              <w:shd w:val="clear" w:color="auto" w:fill="FFFFFF"/>
              <w:jc w:val="left"/>
            </w:pPr>
            <w:r>
              <w:rPr>
                <w:rFonts w:ascii="Arial Narrow" w:hAnsi="Arial Narrow" w:cs="Times New Roman"/>
                <w:snapToGrid/>
                <w:sz w:val="20"/>
              </w:rPr>
              <w:t>ACQ-5</w:t>
            </w:r>
          </w:p>
        </w:tc>
        <w:tc>
          <w:tcPr>
            <w:tcW w:w="3825" w:type="dxa"/>
            <w:vAlign w:val="center"/>
          </w:tcPr>
          <w:p w:rsidR="00716FDC" w:rsidRDefault="00C83C33">
            <w:pPr>
              <w:pStyle w:val="Tabletext"/>
              <w:rPr>
                <w:szCs w:val="22"/>
                <w:lang w:val="en-AU"/>
              </w:rPr>
            </w:pPr>
            <w:r>
              <w:rPr>
                <w:szCs w:val="22"/>
                <w:lang w:val="en-AU"/>
              </w:rPr>
              <w:t>ACQ-5 includes five items</w:t>
            </w:r>
            <w:r>
              <w:rPr>
                <w:szCs w:val="22"/>
                <w:vertAlign w:val="superscript"/>
                <w:lang w:val="en-AU"/>
              </w:rPr>
              <w:t>a</w:t>
            </w:r>
            <w:r>
              <w:rPr>
                <w:szCs w:val="22"/>
                <w:lang w:val="en-AU"/>
              </w:rPr>
              <w:t xml:space="preserve"> about symptoms based on a 7-day recall period: measured on a 7-point scale from 0 (well controlled) to 6 (extremely poorly controlled). Responders were defined as patients with an improvement of ≥ 0.5 from baseline for the total ACQ score at end of treatment (52 weeks). </w:t>
            </w:r>
          </w:p>
        </w:tc>
        <w:tc>
          <w:tcPr>
            <w:tcW w:w="996" w:type="dxa"/>
          </w:tcPr>
          <w:p w:rsidR="00716FDC" w:rsidRDefault="00C83C33">
            <w:pPr>
              <w:pStyle w:val="Tabletext"/>
              <w:rPr>
                <w:szCs w:val="22"/>
                <w:lang w:val="en-AU"/>
              </w:rPr>
            </w:pPr>
            <w:r>
              <w:rPr>
                <w:szCs w:val="22"/>
                <w:lang w:val="en-AU"/>
              </w:rPr>
              <w:t>Mean score</w:t>
            </w:r>
          </w:p>
        </w:tc>
        <w:tc>
          <w:tcPr>
            <w:tcW w:w="2925" w:type="dxa"/>
          </w:tcPr>
          <w:p w:rsidR="00716FDC" w:rsidRDefault="00C83C33">
            <w:pPr>
              <w:pStyle w:val="Tabletext"/>
              <w:rPr>
                <w:szCs w:val="22"/>
                <w:lang w:val="en-AU"/>
              </w:rPr>
            </w:pPr>
            <w:r>
              <w:rPr>
                <w:szCs w:val="22"/>
                <w:lang w:val="en-AU"/>
              </w:rPr>
              <w:t>ACQ-5 change score were analysed with the use of a mixed model for repeated measures adjusted for</w:t>
            </w:r>
            <w:r>
              <w:t xml:space="preserve"> treatment group, pre-study treatment, region, baseline FEV1, visit, and visit by randomized treatment group interaction</w:t>
            </w:r>
            <w:r>
              <w:rPr>
                <w:lang w:val="en-US"/>
              </w:rPr>
              <w:t>.</w:t>
            </w:r>
          </w:p>
        </w:tc>
      </w:tr>
      <w:tr w:rsidR="00716FDC" w:rsidTr="006D01D6">
        <w:tc>
          <w:tcPr>
            <w:tcW w:w="1271" w:type="dxa"/>
            <w:vAlign w:val="center"/>
          </w:tcPr>
          <w:p w:rsidR="00716FDC" w:rsidRDefault="00C83C33">
            <w:pPr>
              <w:pStyle w:val="TableText0"/>
              <w:spacing w:before="100" w:beforeAutospacing="1" w:after="60" w:line="240" w:lineRule="auto"/>
              <w:contextualSpacing/>
              <w:rPr>
                <w:lang w:val="en-AU"/>
              </w:rPr>
            </w:pPr>
            <w:r>
              <w:rPr>
                <w:lang w:val="en-AU"/>
              </w:rPr>
              <w:t>Well</w:t>
            </w:r>
            <w:r>
              <w:rPr>
                <w:lang w:val="en-AU"/>
              </w:rPr>
              <w:noBreakHyphen/>
              <w:t>controlled asthma weeks</w:t>
            </w:r>
          </w:p>
          <w:p w:rsidR="00716FDC" w:rsidRDefault="00C83C33">
            <w:pPr>
              <w:pStyle w:val="TableText0"/>
              <w:spacing w:before="100" w:beforeAutospacing="1" w:after="60" w:line="240" w:lineRule="auto"/>
              <w:contextualSpacing/>
              <w:rPr>
                <w:lang w:val="en-AU"/>
              </w:rPr>
            </w:pPr>
            <w:r>
              <w:rPr>
                <w:lang w:val="en-AU"/>
              </w:rPr>
              <w:t>(WCAW)</w:t>
            </w:r>
          </w:p>
        </w:tc>
        <w:tc>
          <w:tcPr>
            <w:tcW w:w="3825" w:type="dxa"/>
            <w:vAlign w:val="center"/>
          </w:tcPr>
          <w:p w:rsidR="00716FDC" w:rsidRDefault="00C83C33">
            <w:pPr>
              <w:pStyle w:val="TableText0"/>
              <w:spacing w:before="100" w:beforeAutospacing="1" w:after="60"/>
              <w:contextualSpacing/>
              <w:rPr>
                <w:lang w:val="en-AU"/>
              </w:rPr>
            </w:pPr>
            <w:r>
              <w:rPr>
                <w:lang w:val="en-AU"/>
              </w:rPr>
              <w:t>A composite measure. A week was considered well controlled if the following criteria were met:</w:t>
            </w:r>
          </w:p>
          <w:p w:rsidR="00716FDC" w:rsidRDefault="00C83C33">
            <w:pPr>
              <w:pStyle w:val="TableText0"/>
              <w:spacing w:before="100" w:beforeAutospacing="1" w:after="60"/>
              <w:contextualSpacing/>
              <w:rPr>
                <w:lang w:val="en-AU"/>
              </w:rPr>
            </w:pPr>
            <w:r>
              <w:rPr>
                <w:lang w:val="en-AU"/>
              </w:rPr>
              <w:t>(i) Two or more from the following: no more than 2 days with a daily asthma symptom score &gt;1; no more than 2 days of as needed medication use, up to a maximum of 4 occasions per week (multiple occasions per day should be regarded as separate occasions); morning PEF ≥ 80% of PN every day</w:t>
            </w:r>
          </w:p>
          <w:p w:rsidR="00716FDC" w:rsidRDefault="00C83C33">
            <w:pPr>
              <w:pStyle w:val="TableText0"/>
              <w:spacing w:before="100" w:beforeAutospacing="1" w:after="60"/>
              <w:contextualSpacing/>
              <w:rPr>
                <w:lang w:val="en-AU"/>
              </w:rPr>
            </w:pPr>
            <w:r>
              <w:rPr>
                <w:lang w:val="en-AU"/>
              </w:rPr>
              <w:t>(ii) Both of the following criteria are fulfilled: no night time awakenings due to asthma; no additional inhaled and/or systemic GCS treatment due to asthma</w:t>
            </w:r>
          </w:p>
        </w:tc>
        <w:tc>
          <w:tcPr>
            <w:tcW w:w="996" w:type="dxa"/>
          </w:tcPr>
          <w:p w:rsidR="00716FDC" w:rsidRDefault="00C83C33">
            <w:pPr>
              <w:pStyle w:val="TableText0"/>
              <w:spacing w:before="100" w:beforeAutospacing="1" w:after="60" w:line="240" w:lineRule="auto"/>
              <w:contextualSpacing/>
              <w:rPr>
                <w:lang w:val="en-AU"/>
              </w:rPr>
            </w:pPr>
            <w:r>
              <w:rPr>
                <w:lang w:val="en-AU"/>
              </w:rPr>
              <w:t>Mean % of weeks</w:t>
            </w:r>
          </w:p>
        </w:tc>
        <w:tc>
          <w:tcPr>
            <w:tcW w:w="2925" w:type="dxa"/>
          </w:tcPr>
          <w:p w:rsidR="00716FDC" w:rsidRDefault="00C83C33">
            <w:pPr>
              <w:pStyle w:val="TableText0"/>
              <w:spacing w:before="100" w:beforeAutospacing="1" w:after="60" w:line="240" w:lineRule="auto"/>
              <w:contextualSpacing/>
              <w:rPr>
                <w:lang w:val="en-AU"/>
              </w:rPr>
            </w:pPr>
            <w:r>
              <w:rPr>
                <w:rFonts w:cs="Times New Roman"/>
                <w:lang w:val="en-AU"/>
              </w:rPr>
              <w:t>Average portion of WCAW analysed by a repeated measure, logistic regression with randomised treatment, pre study treatment, region and study week as fixed effects, with study week included as a categorical variable. Estimated as ORs of achieving a WCAW and corresponding 95% CIs</w:t>
            </w:r>
          </w:p>
        </w:tc>
      </w:tr>
      <w:tr w:rsidR="00716FDC">
        <w:tc>
          <w:tcPr>
            <w:tcW w:w="9017" w:type="dxa"/>
            <w:gridSpan w:val="4"/>
            <w:vAlign w:val="center"/>
          </w:tcPr>
          <w:p w:rsidR="00716FDC" w:rsidRDefault="00C83C33">
            <w:pPr>
              <w:pStyle w:val="TableText0"/>
              <w:spacing w:before="100" w:beforeAutospacing="1" w:after="60" w:line="240" w:lineRule="auto"/>
              <w:contextualSpacing/>
              <w:rPr>
                <w:b/>
                <w:lang w:val="en-AU"/>
              </w:rPr>
            </w:pPr>
            <w:r>
              <w:rPr>
                <w:b/>
                <w:lang w:val="en-AU"/>
              </w:rPr>
              <w:t>Utilisation of medications</w:t>
            </w:r>
          </w:p>
        </w:tc>
      </w:tr>
      <w:tr w:rsidR="00716FDC" w:rsidTr="006D01D6">
        <w:tc>
          <w:tcPr>
            <w:tcW w:w="1271" w:type="dxa"/>
            <w:vAlign w:val="center"/>
          </w:tcPr>
          <w:p w:rsidR="00716FDC" w:rsidRDefault="00C83C33">
            <w:pPr>
              <w:pStyle w:val="TableText0"/>
              <w:spacing w:before="100" w:beforeAutospacing="1" w:after="60" w:line="240" w:lineRule="auto"/>
              <w:contextualSpacing/>
              <w:rPr>
                <w:lang w:val="en-AU"/>
              </w:rPr>
            </w:pPr>
            <w:r>
              <w:rPr>
                <w:lang w:val="en-AU"/>
              </w:rPr>
              <w:t>As needed medication</w:t>
            </w:r>
          </w:p>
        </w:tc>
        <w:tc>
          <w:tcPr>
            <w:tcW w:w="3825" w:type="dxa"/>
            <w:vAlign w:val="center"/>
          </w:tcPr>
          <w:p w:rsidR="00716FDC" w:rsidRDefault="00C83C33">
            <w:pPr>
              <w:pStyle w:val="TableText0"/>
              <w:spacing w:before="100" w:beforeAutospacing="1" w:after="60"/>
              <w:contextualSpacing/>
              <w:rPr>
                <w:lang w:val="en-AU"/>
              </w:rPr>
            </w:pPr>
            <w:r>
              <w:rPr>
                <w:lang w:val="en-AU"/>
              </w:rPr>
              <w:t xml:space="preserve">SYGMA 1 </w:t>
            </w:r>
          </w:p>
          <w:p w:rsidR="00716FDC" w:rsidRDefault="00C83C33">
            <w:pPr>
              <w:pStyle w:val="TableText0"/>
              <w:spacing w:before="100" w:beforeAutospacing="1" w:after="60"/>
              <w:contextualSpacing/>
              <w:rPr>
                <w:lang w:val="en-AU"/>
              </w:rPr>
            </w:pPr>
            <w:r>
              <w:rPr>
                <w:lang w:val="en-AU"/>
              </w:rPr>
              <w:t>•Symbicort in the Symbicort arm</w:t>
            </w:r>
          </w:p>
          <w:p w:rsidR="00716FDC" w:rsidRDefault="00C83C33">
            <w:pPr>
              <w:pStyle w:val="TableText0"/>
              <w:spacing w:before="100" w:beforeAutospacing="1" w:after="60"/>
              <w:contextualSpacing/>
              <w:rPr>
                <w:lang w:val="en-AU"/>
              </w:rPr>
            </w:pPr>
            <w:r>
              <w:rPr>
                <w:lang w:val="en-AU"/>
              </w:rPr>
              <w:t>•SABA in the ICS+SABA and SABA arms</w:t>
            </w:r>
          </w:p>
          <w:p w:rsidR="00716FDC" w:rsidRDefault="00C83C33">
            <w:pPr>
              <w:pStyle w:val="TableText0"/>
              <w:spacing w:before="100" w:beforeAutospacing="1" w:after="60"/>
              <w:contextualSpacing/>
              <w:rPr>
                <w:lang w:val="en-AU"/>
              </w:rPr>
            </w:pPr>
            <w:r>
              <w:rPr>
                <w:lang w:val="en-AU"/>
              </w:rPr>
              <w:t>SYGMA 2:</w:t>
            </w:r>
          </w:p>
          <w:p w:rsidR="00716FDC" w:rsidRDefault="00C83C33">
            <w:pPr>
              <w:pStyle w:val="TableText0"/>
              <w:spacing w:before="100" w:beforeAutospacing="1" w:after="60"/>
              <w:contextualSpacing/>
              <w:rPr>
                <w:lang w:val="en-AU"/>
              </w:rPr>
            </w:pPr>
            <w:r>
              <w:rPr>
                <w:lang w:val="en-AU"/>
              </w:rPr>
              <w:t>•Symbicort in the Symbicort arm</w:t>
            </w:r>
          </w:p>
          <w:p w:rsidR="00716FDC" w:rsidRDefault="00C83C33">
            <w:pPr>
              <w:pStyle w:val="TableText0"/>
              <w:spacing w:before="100" w:beforeAutospacing="1" w:after="60" w:line="240" w:lineRule="auto"/>
              <w:contextualSpacing/>
              <w:rPr>
                <w:lang w:val="en-AU"/>
              </w:rPr>
            </w:pPr>
            <w:r>
              <w:rPr>
                <w:lang w:val="en-AU"/>
              </w:rPr>
              <w:t>•SABA in the ICS+SABA arm</w:t>
            </w:r>
          </w:p>
        </w:tc>
        <w:tc>
          <w:tcPr>
            <w:tcW w:w="996" w:type="dxa"/>
          </w:tcPr>
          <w:p w:rsidR="00716FDC" w:rsidRDefault="00C83C33">
            <w:pPr>
              <w:pStyle w:val="TableText0"/>
              <w:spacing w:before="100" w:beforeAutospacing="1" w:after="60" w:line="240" w:lineRule="auto"/>
              <w:contextualSpacing/>
              <w:rPr>
                <w:lang w:val="en-AU"/>
              </w:rPr>
            </w:pPr>
            <w:r>
              <w:rPr>
                <w:lang w:val="en-AU"/>
              </w:rPr>
              <w:t>Mean days</w:t>
            </w:r>
          </w:p>
        </w:tc>
        <w:tc>
          <w:tcPr>
            <w:tcW w:w="2925" w:type="dxa"/>
          </w:tcPr>
          <w:p w:rsidR="00716FDC" w:rsidRDefault="00C83C33">
            <w:pPr>
              <w:pStyle w:val="TableText0"/>
              <w:spacing w:before="100" w:beforeAutospacing="1" w:after="60" w:line="240" w:lineRule="auto"/>
              <w:contextualSpacing/>
              <w:rPr>
                <w:lang w:val="en-AU"/>
              </w:rPr>
            </w:pPr>
            <w:r>
              <w:rPr>
                <w:lang w:val="en-AU"/>
              </w:rPr>
              <w:t>Summary statistics presented and change from baseline analysed. Changes from baseline and free days were analysed using covariance (ANCOVA)</w:t>
            </w:r>
          </w:p>
        </w:tc>
      </w:tr>
      <w:tr w:rsidR="00716FDC" w:rsidTr="006D01D6">
        <w:tc>
          <w:tcPr>
            <w:tcW w:w="1271" w:type="dxa"/>
            <w:vAlign w:val="center"/>
          </w:tcPr>
          <w:p w:rsidR="00716FDC" w:rsidRDefault="00C83C33">
            <w:pPr>
              <w:pStyle w:val="TableText0"/>
              <w:spacing w:before="100" w:beforeAutospacing="1" w:after="60" w:line="240" w:lineRule="auto"/>
              <w:contextualSpacing/>
              <w:rPr>
                <w:lang w:val="en-AU"/>
              </w:rPr>
            </w:pPr>
            <w:r>
              <w:rPr>
                <w:lang w:val="en-AU"/>
              </w:rPr>
              <w:t>Maintenance medication</w:t>
            </w:r>
          </w:p>
        </w:tc>
        <w:tc>
          <w:tcPr>
            <w:tcW w:w="3825" w:type="dxa"/>
            <w:vAlign w:val="center"/>
          </w:tcPr>
          <w:p w:rsidR="00716FDC" w:rsidRDefault="00C83C33">
            <w:pPr>
              <w:pStyle w:val="TableText0"/>
              <w:spacing w:before="100" w:beforeAutospacing="1" w:after="60" w:line="240" w:lineRule="auto"/>
              <w:contextualSpacing/>
              <w:rPr>
                <w:lang w:val="en-AU"/>
              </w:rPr>
            </w:pPr>
            <w:r>
              <w:rPr>
                <w:lang w:val="en-AU"/>
              </w:rPr>
              <w:t>SYGMA 1:</w:t>
            </w:r>
          </w:p>
          <w:p w:rsidR="00716FDC" w:rsidRDefault="00C83C33">
            <w:pPr>
              <w:pStyle w:val="TableText0"/>
              <w:spacing w:before="100" w:beforeAutospacing="1" w:after="60" w:line="240" w:lineRule="auto"/>
              <w:contextualSpacing/>
              <w:rPr>
                <w:lang w:val="en-AU"/>
              </w:rPr>
            </w:pPr>
            <w:r>
              <w:rPr>
                <w:lang w:val="en-AU"/>
              </w:rPr>
              <w:t>•Placebo in the Symbicort and SABA arms</w:t>
            </w:r>
          </w:p>
          <w:p w:rsidR="00716FDC" w:rsidRDefault="00C83C33">
            <w:pPr>
              <w:pStyle w:val="TableText0"/>
              <w:spacing w:before="100" w:beforeAutospacing="1" w:after="60" w:line="240" w:lineRule="auto"/>
              <w:contextualSpacing/>
              <w:rPr>
                <w:lang w:val="en-AU"/>
              </w:rPr>
            </w:pPr>
            <w:r>
              <w:rPr>
                <w:lang w:val="en-AU"/>
              </w:rPr>
              <w:t>•Budesonide in the ICS+SABA arm</w:t>
            </w:r>
          </w:p>
          <w:p w:rsidR="00716FDC" w:rsidRDefault="00C83C33">
            <w:pPr>
              <w:pStyle w:val="TableText0"/>
              <w:spacing w:before="100" w:beforeAutospacing="1" w:after="60" w:line="240" w:lineRule="auto"/>
              <w:contextualSpacing/>
              <w:rPr>
                <w:lang w:val="en-AU"/>
              </w:rPr>
            </w:pPr>
            <w:r>
              <w:rPr>
                <w:lang w:val="en-AU"/>
              </w:rPr>
              <w:t>SYGMA 2:</w:t>
            </w:r>
          </w:p>
          <w:p w:rsidR="00716FDC" w:rsidRDefault="00C83C33">
            <w:pPr>
              <w:pStyle w:val="TableText0"/>
              <w:spacing w:before="100" w:beforeAutospacing="1" w:after="60" w:line="240" w:lineRule="auto"/>
              <w:contextualSpacing/>
              <w:rPr>
                <w:lang w:val="en-AU"/>
              </w:rPr>
            </w:pPr>
            <w:r>
              <w:rPr>
                <w:lang w:val="en-AU"/>
              </w:rPr>
              <w:t>•Placebo in the Symbicort arm</w:t>
            </w:r>
          </w:p>
          <w:p w:rsidR="00716FDC" w:rsidRDefault="00C83C33">
            <w:pPr>
              <w:pStyle w:val="TableText0"/>
              <w:spacing w:before="100" w:beforeAutospacing="1" w:after="60"/>
              <w:contextualSpacing/>
              <w:rPr>
                <w:lang w:val="en-AU"/>
              </w:rPr>
            </w:pPr>
            <w:r>
              <w:rPr>
                <w:lang w:val="en-AU"/>
              </w:rPr>
              <w:t>•Budesonide in the ICS+SABA arm</w:t>
            </w:r>
          </w:p>
        </w:tc>
        <w:tc>
          <w:tcPr>
            <w:tcW w:w="996" w:type="dxa"/>
          </w:tcPr>
          <w:p w:rsidR="00716FDC" w:rsidRDefault="00C83C33">
            <w:pPr>
              <w:pStyle w:val="TableText0"/>
              <w:spacing w:before="100" w:beforeAutospacing="1" w:after="60" w:line="240" w:lineRule="auto"/>
              <w:contextualSpacing/>
              <w:rPr>
                <w:lang w:val="en-AU"/>
              </w:rPr>
            </w:pPr>
            <w:r>
              <w:t>Mean daily dose</w:t>
            </w:r>
          </w:p>
        </w:tc>
        <w:tc>
          <w:tcPr>
            <w:tcW w:w="2925" w:type="dxa"/>
          </w:tcPr>
          <w:p w:rsidR="00716FDC" w:rsidRDefault="00C83C33">
            <w:pPr>
              <w:pStyle w:val="TableText0"/>
              <w:spacing w:before="100" w:beforeAutospacing="1" w:after="60" w:line="240" w:lineRule="auto"/>
              <w:contextualSpacing/>
              <w:rPr>
                <w:lang w:val="en-AU"/>
              </w:rPr>
            </w:pPr>
            <w:r>
              <w:rPr>
                <w:lang w:val="en-AU"/>
              </w:rPr>
              <w:t>Compliance with twice daily calculated as total actual inhalations divided by total expected inhalations over the randomised treatment period multiplied by 100. Summary statistics presented</w:t>
            </w:r>
          </w:p>
        </w:tc>
      </w:tr>
      <w:tr w:rsidR="00716FDC" w:rsidTr="006D01D6">
        <w:tc>
          <w:tcPr>
            <w:tcW w:w="1271" w:type="dxa"/>
            <w:vAlign w:val="center"/>
          </w:tcPr>
          <w:p w:rsidR="00716FDC" w:rsidRDefault="00C83C33">
            <w:pPr>
              <w:pStyle w:val="TableText0"/>
              <w:spacing w:before="100" w:beforeAutospacing="1" w:after="60" w:line="240" w:lineRule="auto"/>
              <w:contextualSpacing/>
              <w:rPr>
                <w:lang w:val="en-AU"/>
              </w:rPr>
            </w:pPr>
            <w:r>
              <w:rPr>
                <w:lang w:val="en-AU"/>
              </w:rPr>
              <w:t>ICS controller use and total ICS load</w:t>
            </w:r>
          </w:p>
        </w:tc>
        <w:tc>
          <w:tcPr>
            <w:tcW w:w="3825" w:type="dxa"/>
            <w:vAlign w:val="center"/>
          </w:tcPr>
          <w:p w:rsidR="00716FDC" w:rsidRDefault="00C83C33">
            <w:pPr>
              <w:pStyle w:val="TableText0"/>
              <w:spacing w:before="100" w:beforeAutospacing="1" w:after="60"/>
              <w:contextualSpacing/>
              <w:rPr>
                <w:lang w:val="en-AU"/>
              </w:rPr>
            </w:pPr>
            <w:r>
              <w:rPr>
                <w:lang w:val="en-AU"/>
              </w:rPr>
              <w:t xml:space="preserve">Budesonide component in Symbicort and ICS+SABA arm. </w:t>
            </w:r>
          </w:p>
          <w:p w:rsidR="00716FDC" w:rsidRDefault="00C83C33">
            <w:pPr>
              <w:pStyle w:val="TableText0"/>
              <w:spacing w:before="100" w:beforeAutospacing="1" w:after="60" w:line="240" w:lineRule="auto"/>
              <w:contextualSpacing/>
              <w:rPr>
                <w:lang w:val="en-AU"/>
              </w:rPr>
            </w:pPr>
            <w:r>
              <w:rPr>
                <w:lang w:val="en-AU"/>
              </w:rPr>
              <w:t>Any additional prescribed ICS</w:t>
            </w:r>
          </w:p>
        </w:tc>
        <w:tc>
          <w:tcPr>
            <w:tcW w:w="996" w:type="dxa"/>
          </w:tcPr>
          <w:p w:rsidR="00716FDC" w:rsidRDefault="00C83C33">
            <w:pPr>
              <w:pStyle w:val="TableText0"/>
              <w:spacing w:before="100" w:beforeAutospacing="1" w:after="60" w:line="240" w:lineRule="auto"/>
              <w:contextualSpacing/>
            </w:pPr>
            <w:r>
              <w:rPr>
                <w:lang w:val="en-AU"/>
              </w:rPr>
              <w:t>Mean daily dose</w:t>
            </w:r>
          </w:p>
        </w:tc>
        <w:tc>
          <w:tcPr>
            <w:tcW w:w="2925" w:type="dxa"/>
          </w:tcPr>
          <w:p w:rsidR="00716FDC" w:rsidRDefault="00C83C33">
            <w:pPr>
              <w:pStyle w:val="TableText0"/>
              <w:spacing w:before="100" w:beforeAutospacing="1" w:after="60" w:line="240" w:lineRule="auto"/>
              <w:contextualSpacing/>
              <w:rPr>
                <w:lang w:val="en-AU"/>
              </w:rPr>
            </w:pPr>
            <w:r>
              <w:rPr>
                <w:lang w:val="en-AU"/>
              </w:rPr>
              <w:t>The percentage of days an ICS controller was used was averaged over the treatment period and analysed using ANCOVA</w:t>
            </w:r>
          </w:p>
        </w:tc>
      </w:tr>
      <w:tr w:rsidR="00716FDC" w:rsidTr="006D01D6">
        <w:tc>
          <w:tcPr>
            <w:tcW w:w="1271" w:type="dxa"/>
            <w:vAlign w:val="center"/>
          </w:tcPr>
          <w:p w:rsidR="00716FDC" w:rsidRDefault="00C83C33">
            <w:pPr>
              <w:pStyle w:val="TableText0"/>
              <w:keepNext/>
              <w:keepLines/>
              <w:spacing w:before="100" w:beforeAutospacing="1" w:after="60" w:line="240" w:lineRule="auto"/>
              <w:contextualSpacing/>
              <w:rPr>
                <w:lang w:val="en-AU"/>
              </w:rPr>
            </w:pPr>
            <w:r>
              <w:rPr>
                <w:lang w:val="en-AU"/>
              </w:rPr>
              <w:lastRenderedPageBreak/>
              <w:t>Additional steroids (ICS and GCS)</w:t>
            </w:r>
          </w:p>
        </w:tc>
        <w:tc>
          <w:tcPr>
            <w:tcW w:w="3825" w:type="dxa"/>
            <w:vAlign w:val="center"/>
          </w:tcPr>
          <w:p w:rsidR="00716FDC" w:rsidRDefault="00C83C33">
            <w:pPr>
              <w:pStyle w:val="TableText0"/>
              <w:keepNext/>
              <w:keepLines/>
              <w:spacing w:before="100" w:beforeAutospacing="1" w:after="60" w:line="240" w:lineRule="auto"/>
              <w:contextualSpacing/>
              <w:rPr>
                <w:lang w:val="en-AU"/>
              </w:rPr>
            </w:pPr>
            <w:r>
              <w:rPr>
                <w:lang w:val="en-AU"/>
              </w:rPr>
              <w:t>All inhaled and OCS prescribed excluding study treatment</w:t>
            </w:r>
          </w:p>
        </w:tc>
        <w:tc>
          <w:tcPr>
            <w:tcW w:w="996" w:type="dxa"/>
          </w:tcPr>
          <w:p w:rsidR="00716FDC" w:rsidRDefault="00C83C33">
            <w:pPr>
              <w:pStyle w:val="TableText0"/>
              <w:keepNext/>
              <w:keepLines/>
              <w:spacing w:before="100" w:beforeAutospacing="1" w:after="60" w:line="240" w:lineRule="auto"/>
              <w:contextualSpacing/>
            </w:pPr>
            <w:r>
              <w:t>Mean days</w:t>
            </w:r>
          </w:p>
        </w:tc>
        <w:tc>
          <w:tcPr>
            <w:tcW w:w="2925" w:type="dxa"/>
          </w:tcPr>
          <w:p w:rsidR="00716FDC" w:rsidRDefault="00C83C33">
            <w:pPr>
              <w:pStyle w:val="TableText0"/>
              <w:keepNext/>
              <w:keepLines/>
              <w:spacing w:before="100" w:beforeAutospacing="1" w:after="60" w:line="240" w:lineRule="auto"/>
              <w:contextualSpacing/>
              <w:rPr>
                <w:lang w:val="en-AU"/>
              </w:rPr>
            </w:pPr>
            <w:r>
              <w:rPr>
                <w:lang w:val="en-AU"/>
              </w:rPr>
              <w:t>Summary statistics presented for total time to administration of additional steroids for asthma was calculated as the time from first dose of IP until the start date of administration of additional steroids for asthma</w:t>
            </w:r>
          </w:p>
        </w:tc>
      </w:tr>
    </w:tbl>
    <w:p w:rsidR="00716FDC" w:rsidRDefault="00C83C33">
      <w:pPr>
        <w:pStyle w:val="TableFooter"/>
        <w:keepNext/>
        <w:keepLines/>
      </w:pPr>
      <w:r>
        <w:t xml:space="preserve">Source: Table 2.4.3 </w:t>
      </w:r>
      <w:r>
        <w:rPr>
          <w:lang w:val="en-US"/>
        </w:rPr>
        <w:t>of</w:t>
      </w:r>
      <w:r>
        <w:t xml:space="preserve"> the submission &amp; p41 CSR SYGMA 1 </w:t>
      </w:r>
    </w:p>
    <w:p w:rsidR="00716FDC" w:rsidRDefault="00C83C33">
      <w:pPr>
        <w:pStyle w:val="TableFooter"/>
        <w:keepNext/>
        <w:keepLines/>
        <w:rPr>
          <w:lang w:val="en-AU"/>
        </w:rPr>
      </w:pPr>
      <w:r>
        <w:t xml:space="preserve">ACQ-5 = </w:t>
      </w:r>
      <w:r>
        <w:rPr>
          <w:lang w:val="en-AU"/>
        </w:rPr>
        <w:t>asthma control questionnaire</w:t>
      </w:r>
      <w:r>
        <w:t xml:space="preserve"> (5-item version)</w:t>
      </w:r>
      <w:r>
        <w:rPr>
          <w:lang w:val="en-AU"/>
        </w:rPr>
        <w:t>;</w:t>
      </w:r>
      <w:r>
        <w:t xml:space="preserve"> </w:t>
      </w:r>
      <w:r>
        <w:rPr>
          <w:lang w:val="en-AU"/>
        </w:rPr>
        <w:t xml:space="preserve">FAS = full-set analysis; </w:t>
      </w:r>
      <w:r>
        <w:t xml:space="preserve">FEV1 = </w:t>
      </w:r>
      <w:r>
        <w:rPr>
          <w:lang w:val="en-AU"/>
        </w:rPr>
        <w:t>forced</w:t>
      </w:r>
      <w:r>
        <w:t xml:space="preserve"> expiratory volume in 1 second</w:t>
      </w:r>
      <w:r>
        <w:rPr>
          <w:lang w:val="en-AU"/>
        </w:rPr>
        <w:t>; GCS = glucocorticoids; ICS = inhaled corticosteroid; SABA = short-acting beta2-agonist; OCS = oral corticosteroid; PEF = Peak expiratory flow; PN = predicted normal</w:t>
      </w:r>
    </w:p>
    <w:p w:rsidR="00716FDC" w:rsidRDefault="00C83C33">
      <w:pPr>
        <w:pStyle w:val="TableFooter"/>
      </w:pPr>
      <w:r>
        <w:rPr>
          <w:vertAlign w:val="superscript"/>
        </w:rPr>
        <w:t>a</w:t>
      </w:r>
      <w:r>
        <w:rPr>
          <w:vertAlign w:val="superscript"/>
          <w:lang w:val="en-AU"/>
        </w:rPr>
        <w:t xml:space="preserve"> </w:t>
      </w:r>
      <w:r>
        <w:rPr>
          <w:lang w:val="en-AU"/>
        </w:rPr>
        <w:t>Included</w:t>
      </w:r>
      <w:r>
        <w:t xml:space="preserve"> frequency of night-time awakening, severity of asthma symptoms upon awakening, extent of activity limitations, frequency of shortness of breath, and frequency of wheezing</w:t>
      </w:r>
      <w:r>
        <w:rPr>
          <w:lang w:val="en-AU"/>
        </w:rPr>
        <w:t>.</w:t>
      </w:r>
    </w:p>
    <w:p w:rsidR="00716FDC" w:rsidRDefault="00716FDC">
      <w:pPr>
        <w:widowControl/>
        <w:rPr>
          <w:color w:val="000000"/>
        </w:rPr>
      </w:pPr>
    </w:p>
    <w:p w:rsidR="00716FDC" w:rsidRPr="006D01D6" w:rsidRDefault="00C83C33" w:rsidP="006D01D6">
      <w:pPr>
        <w:pStyle w:val="ListParagraph"/>
        <w:widowControl/>
        <w:numPr>
          <w:ilvl w:val="1"/>
          <w:numId w:val="2"/>
        </w:numPr>
        <w:rPr>
          <w:rStyle w:val="CommentReference"/>
          <w:rFonts w:ascii="Calibri" w:hAnsi="Calibri" w:cs="Calibri"/>
          <w:b w:val="0"/>
          <w:color w:val="000000"/>
          <w:sz w:val="24"/>
          <w:szCs w:val="24"/>
        </w:rPr>
      </w:pPr>
      <w:r>
        <w:rPr>
          <w:rFonts w:ascii="Calibri" w:hAnsi="Calibri" w:cs="Calibri"/>
          <w:color w:val="000000"/>
          <w:sz w:val="24"/>
          <w:szCs w:val="24"/>
        </w:rPr>
        <w:t xml:space="preserve">To demonstrate superiority to comparators, the submission specified minimally clinically important differences (MCID) </w:t>
      </w:r>
      <w:r>
        <w:rPr>
          <w:rFonts w:ascii="Calibri" w:hAnsi="Calibri" w:cs="Calibri"/>
          <w:color w:val="000000"/>
          <w:sz w:val="24"/>
          <w:szCs w:val="24"/>
          <w:lang w:val="en-AU"/>
        </w:rPr>
        <w:t xml:space="preserve">and non-inferiority margins </w:t>
      </w:r>
      <w:r>
        <w:rPr>
          <w:rFonts w:ascii="Calibri" w:hAnsi="Calibri" w:cs="Calibri"/>
          <w:color w:val="000000"/>
          <w:sz w:val="24"/>
          <w:szCs w:val="24"/>
        </w:rPr>
        <w:t xml:space="preserve">for the key outcomes. These values and their rationale are summarised in </w:t>
      </w:r>
      <w:r>
        <w:rPr>
          <w:rFonts w:ascii="Calibri" w:hAnsi="Calibri" w:cs="Calibri"/>
          <w:color w:val="000000"/>
          <w:sz w:val="24"/>
          <w:szCs w:val="24"/>
          <w:lang w:val="en-AU"/>
        </w:rPr>
        <w:t>Table 5</w:t>
      </w:r>
      <w:r>
        <w:rPr>
          <w:rFonts w:ascii="Calibri" w:hAnsi="Calibri" w:cs="Calibri"/>
          <w:color w:val="000000"/>
          <w:sz w:val="24"/>
          <w:szCs w:val="24"/>
        </w:rPr>
        <w:t>.</w:t>
      </w:r>
    </w:p>
    <w:p w:rsidR="006D01D6" w:rsidRDefault="006D01D6" w:rsidP="006D01D6">
      <w:pPr>
        <w:pStyle w:val="TableHeading0"/>
      </w:pPr>
      <w:r>
        <w:t xml:space="preserve">Table </w:t>
      </w:r>
      <w:r>
        <w:fldChar w:fldCharType="begin"/>
      </w:r>
      <w:r>
        <w:instrText xml:space="preserve"> SEQ Table \* ARABIC </w:instrText>
      </w:r>
      <w:r>
        <w:fldChar w:fldCharType="separate"/>
      </w:r>
      <w:r w:rsidR="00D2464D">
        <w:rPr>
          <w:noProof/>
        </w:rPr>
        <w:t>5</w:t>
      </w:r>
      <w:r>
        <w:fldChar w:fldCharType="end"/>
      </w:r>
      <w:r w:rsidRPr="005B567E">
        <w:t>: Proposed MCID values and non-inferiority margins for the key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Proposed MCID values and non-inferiority margins for the key outcomes"/>
      </w:tblPr>
      <w:tblGrid>
        <w:gridCol w:w="2830"/>
        <w:gridCol w:w="2552"/>
        <w:gridCol w:w="3635"/>
      </w:tblGrid>
      <w:tr w:rsidR="00716FDC" w:rsidTr="006D01D6">
        <w:trPr>
          <w:tblHeader/>
        </w:trPr>
        <w:tc>
          <w:tcPr>
            <w:tcW w:w="2830" w:type="dxa"/>
            <w:shd w:val="clear" w:color="auto" w:fill="auto"/>
          </w:tcPr>
          <w:p w:rsidR="00716FDC" w:rsidRDefault="00C83C33">
            <w:pPr>
              <w:pStyle w:val="TableHeading0"/>
              <w:spacing w:before="0" w:after="0" w:line="240" w:lineRule="auto"/>
              <w:rPr>
                <w:lang w:val="en-AU"/>
              </w:rPr>
            </w:pPr>
            <w:r>
              <w:rPr>
                <w:lang w:val="en-AU"/>
              </w:rPr>
              <w:t>Proposed MCID</w:t>
            </w:r>
          </w:p>
        </w:tc>
        <w:tc>
          <w:tcPr>
            <w:tcW w:w="2552" w:type="dxa"/>
            <w:shd w:val="clear" w:color="auto" w:fill="auto"/>
          </w:tcPr>
          <w:p w:rsidR="00716FDC" w:rsidRDefault="00C83C33">
            <w:pPr>
              <w:pStyle w:val="TableHeading0"/>
              <w:spacing w:before="0" w:after="0" w:line="240" w:lineRule="auto"/>
              <w:jc w:val="center"/>
              <w:rPr>
                <w:lang w:val="en-AU"/>
              </w:rPr>
            </w:pPr>
            <w:r>
              <w:rPr>
                <w:lang w:val="en-AU"/>
              </w:rPr>
              <w:t>Proposed Non-inferiority margin</w:t>
            </w:r>
          </w:p>
        </w:tc>
        <w:tc>
          <w:tcPr>
            <w:tcW w:w="3635" w:type="dxa"/>
            <w:shd w:val="clear" w:color="auto" w:fill="auto"/>
          </w:tcPr>
          <w:p w:rsidR="00716FDC" w:rsidRDefault="00C83C33">
            <w:pPr>
              <w:pStyle w:val="TableHeading0"/>
              <w:spacing w:before="0" w:after="0" w:line="240" w:lineRule="auto"/>
              <w:jc w:val="center"/>
              <w:rPr>
                <w:lang w:val="en-AU"/>
              </w:rPr>
            </w:pPr>
            <w:r>
              <w:rPr>
                <w:lang w:val="en-AU"/>
              </w:rPr>
              <w:t>Submission’s rationale</w:t>
            </w:r>
          </w:p>
        </w:tc>
      </w:tr>
      <w:tr w:rsidR="00716FDC" w:rsidTr="006D01D6">
        <w:tc>
          <w:tcPr>
            <w:tcW w:w="9017" w:type="dxa"/>
            <w:gridSpan w:val="3"/>
            <w:shd w:val="clear" w:color="auto" w:fill="auto"/>
          </w:tcPr>
          <w:p w:rsidR="00716FDC" w:rsidRDefault="00C83C33">
            <w:pPr>
              <w:pStyle w:val="TableHeading0"/>
              <w:spacing w:before="0" w:after="0" w:line="240" w:lineRule="auto"/>
              <w:rPr>
                <w:lang w:val="en-AU"/>
              </w:rPr>
            </w:pPr>
            <w:r>
              <w:rPr>
                <w:lang w:val="en-AU"/>
              </w:rPr>
              <w:t>Reduction in severe asthma exacerbations</w:t>
            </w:r>
          </w:p>
        </w:tc>
      </w:tr>
      <w:tr w:rsidR="00716FDC" w:rsidTr="006D01D6">
        <w:tc>
          <w:tcPr>
            <w:tcW w:w="2830" w:type="dxa"/>
            <w:shd w:val="clear" w:color="auto" w:fill="auto"/>
          </w:tcPr>
          <w:p w:rsidR="00716FDC" w:rsidRDefault="00C83C33">
            <w:pPr>
              <w:pStyle w:val="TableText0"/>
              <w:keepNext/>
              <w:keepLines/>
              <w:spacing w:before="0" w:after="0" w:line="240" w:lineRule="auto"/>
              <w:rPr>
                <w:b/>
                <w:lang w:val="en-AU"/>
              </w:rPr>
            </w:pPr>
            <w:r>
              <w:rPr>
                <w:bCs/>
                <w:lang w:val="en-AU"/>
              </w:rPr>
              <w:t xml:space="preserve">≥ 20% difference in reduction in the annual rate of severe asthma exacerbations </w:t>
            </w:r>
          </w:p>
        </w:tc>
        <w:tc>
          <w:tcPr>
            <w:tcW w:w="2552" w:type="dxa"/>
            <w:shd w:val="clear" w:color="auto" w:fill="auto"/>
          </w:tcPr>
          <w:p w:rsidR="00716FDC" w:rsidRDefault="00C83C33">
            <w:pPr>
              <w:pStyle w:val="TableText0"/>
              <w:keepNext/>
              <w:keepLines/>
              <w:spacing w:before="0" w:after="0" w:line="240" w:lineRule="auto"/>
              <w:rPr>
                <w:bCs/>
                <w:lang w:val="en-AU"/>
              </w:rPr>
            </w:pPr>
            <w:r>
              <w:rPr>
                <w:bCs/>
                <w:lang w:val="en-AU"/>
              </w:rPr>
              <w:t xml:space="preserve">Non-inferiority was declared when the upper 95% CI of the exacerbation rate ratio (Symbicort vs ICS+SABA) was &lt; 1.20 </w:t>
            </w:r>
          </w:p>
        </w:tc>
        <w:tc>
          <w:tcPr>
            <w:tcW w:w="3635" w:type="dxa"/>
            <w:shd w:val="clear" w:color="auto" w:fill="auto"/>
          </w:tcPr>
          <w:p w:rsidR="00716FDC" w:rsidRDefault="00C83C33">
            <w:pPr>
              <w:pStyle w:val="TableText0"/>
              <w:keepNext/>
              <w:keepLines/>
              <w:spacing w:before="0" w:after="0" w:line="240" w:lineRule="auto"/>
              <w:rPr>
                <w:b/>
                <w:lang w:val="en-AU"/>
              </w:rPr>
            </w:pPr>
            <w:r>
              <w:rPr>
                <w:bCs/>
                <w:lang w:val="en-AU"/>
              </w:rPr>
              <w:t>The MCID was derived based on the expected exacerbation rates reported in the START and GOAL trials, which were conducted among patients with mild asthma and had a similar definition of severe exacerbation.</w:t>
            </w:r>
            <w:r>
              <w:rPr>
                <w:b/>
                <w:lang w:val="en-AU"/>
              </w:rPr>
              <w:t xml:space="preserve"> </w:t>
            </w:r>
          </w:p>
          <w:p w:rsidR="00716FDC" w:rsidRDefault="00716FDC">
            <w:pPr>
              <w:pStyle w:val="TableText0"/>
              <w:keepNext/>
              <w:keepLines/>
              <w:spacing w:before="0" w:after="0" w:line="240" w:lineRule="auto"/>
              <w:rPr>
                <w:b/>
                <w:lang w:val="en-AU"/>
              </w:rPr>
            </w:pPr>
          </w:p>
          <w:p w:rsidR="00716FDC" w:rsidRDefault="00C83C33">
            <w:pPr>
              <w:pStyle w:val="TableText0"/>
              <w:keepNext/>
              <w:keepLines/>
              <w:spacing w:before="0" w:after="0" w:line="240" w:lineRule="auto"/>
              <w:rPr>
                <w:lang w:val="en-AU"/>
              </w:rPr>
            </w:pPr>
            <w:r>
              <w:rPr>
                <w:lang w:val="en-AU"/>
              </w:rPr>
              <w:t xml:space="preserve">The non-inferiority margin was based on the advice from an expert panel to AstraZeneca after amendment of trial design from superior to non-inferior. </w:t>
            </w:r>
          </w:p>
        </w:tc>
      </w:tr>
      <w:tr w:rsidR="00716FDC" w:rsidTr="006D01D6">
        <w:tc>
          <w:tcPr>
            <w:tcW w:w="9017" w:type="dxa"/>
            <w:gridSpan w:val="3"/>
            <w:shd w:val="clear" w:color="auto" w:fill="auto"/>
          </w:tcPr>
          <w:p w:rsidR="00716FDC" w:rsidRDefault="00C83C33">
            <w:pPr>
              <w:pStyle w:val="TableText0"/>
              <w:keepNext/>
              <w:keepLines/>
              <w:spacing w:before="0" w:after="0" w:line="240" w:lineRule="auto"/>
              <w:rPr>
                <w:b/>
                <w:lang w:val="en-AU"/>
              </w:rPr>
            </w:pPr>
            <w:r>
              <w:rPr>
                <w:b/>
                <w:lang w:val="en-AU"/>
              </w:rPr>
              <w:t>Asthma symptoms (ACQ)</w:t>
            </w:r>
          </w:p>
        </w:tc>
      </w:tr>
      <w:tr w:rsidR="00716FDC" w:rsidTr="006D01D6">
        <w:tc>
          <w:tcPr>
            <w:tcW w:w="2830" w:type="dxa"/>
            <w:shd w:val="clear" w:color="auto" w:fill="auto"/>
          </w:tcPr>
          <w:p w:rsidR="00716FDC" w:rsidRDefault="00C83C33">
            <w:pPr>
              <w:pStyle w:val="TableText0"/>
              <w:keepNext/>
              <w:keepLines/>
              <w:spacing w:before="0" w:after="0" w:line="240" w:lineRule="auto"/>
              <w:rPr>
                <w:b/>
                <w:lang w:val="en-AU"/>
              </w:rPr>
            </w:pPr>
            <w:r>
              <w:rPr>
                <w:bCs/>
                <w:lang w:val="en-AU"/>
              </w:rPr>
              <w:noBreakHyphen/>
              <w:t>0.5 points change in the ACQ</w:t>
            </w:r>
            <w:r>
              <w:rPr>
                <w:bCs/>
                <w:lang w:val="en-AU"/>
              </w:rPr>
              <w:noBreakHyphen/>
              <w:t>5 from baseline</w:t>
            </w:r>
          </w:p>
        </w:tc>
        <w:tc>
          <w:tcPr>
            <w:tcW w:w="2552" w:type="dxa"/>
            <w:shd w:val="clear" w:color="auto" w:fill="auto"/>
          </w:tcPr>
          <w:p w:rsidR="00716FDC" w:rsidRDefault="00C83C33">
            <w:pPr>
              <w:pStyle w:val="TableText0"/>
              <w:keepNext/>
              <w:keepLines/>
              <w:spacing w:before="0" w:after="0" w:line="240" w:lineRule="auto"/>
              <w:rPr>
                <w:b/>
                <w:lang w:val="en-AU"/>
              </w:rPr>
            </w:pPr>
            <w:r>
              <w:rPr>
                <w:bCs/>
                <w:lang w:val="en-AU"/>
              </w:rPr>
              <w:t>Non-inferiority declared when the upper 95% CI of change in ACQ-5 score was less than 0.5 points</w:t>
            </w:r>
          </w:p>
        </w:tc>
        <w:tc>
          <w:tcPr>
            <w:tcW w:w="3635" w:type="dxa"/>
            <w:shd w:val="clear" w:color="auto" w:fill="auto"/>
          </w:tcPr>
          <w:p w:rsidR="00716FDC" w:rsidRDefault="00C83C33">
            <w:pPr>
              <w:pStyle w:val="TableText0"/>
              <w:keepNext/>
              <w:keepLines/>
              <w:spacing w:before="0" w:after="0" w:line="240" w:lineRule="auto"/>
              <w:rPr>
                <w:i/>
                <w:color w:val="000000"/>
                <w:lang w:val="en-AU"/>
              </w:rPr>
            </w:pPr>
            <w:r>
              <w:rPr>
                <w:bCs/>
                <w:lang w:val="en-AU"/>
              </w:rPr>
              <w:t>The submission proposed that the MCID for ACQ-5 is globally accepted for asthma developed by the American Academy of Allergy Asthma and Immunology (AAAAI) (Schatz 2009)</w:t>
            </w:r>
            <w:r>
              <w:rPr>
                <w:bCs/>
                <w:color w:val="000000"/>
                <w:lang w:val="en-AU"/>
              </w:rPr>
              <w:t xml:space="preserve">. </w:t>
            </w:r>
          </w:p>
        </w:tc>
      </w:tr>
    </w:tbl>
    <w:p w:rsidR="00716FDC" w:rsidRDefault="00C83C33">
      <w:pPr>
        <w:pStyle w:val="TableFooter"/>
        <w:keepNext/>
        <w:keepLines/>
      </w:pPr>
      <w:r>
        <w:t xml:space="preserve">Source: Compiled from p38 </w:t>
      </w:r>
      <w:r>
        <w:rPr>
          <w:lang w:val="en-AU"/>
        </w:rPr>
        <w:t>-</w:t>
      </w:r>
      <w:r>
        <w:t xml:space="preserve"> 39 &amp; Table 2.4.4 on p38 of the submission</w:t>
      </w:r>
    </w:p>
    <w:p w:rsidR="00716FDC" w:rsidRDefault="00C83C33">
      <w:pPr>
        <w:pStyle w:val="TableFooter"/>
        <w:keepNext/>
        <w:keepLines/>
        <w:rPr>
          <w:b/>
        </w:rPr>
      </w:pPr>
      <w:r>
        <w:rPr>
          <w:lang w:val="en-US"/>
        </w:rPr>
        <w:t>ACQ-5 = Asthma Control Questionnaire 5-item Version; CI = confidence interval; ICS = inhaled corticosteroids; MCID = minimally clinical important difference; SABA = short-acting beta2-agonist; START = Inhaled Steroid Treatment as Regular Therapy; GOAL = Gaining Optimal Asthma control</w:t>
      </w:r>
    </w:p>
    <w:p w:rsidR="00716FDC" w:rsidRDefault="00716FDC">
      <w:pPr>
        <w:pStyle w:val="TableFooter"/>
        <w:rPr>
          <w:lang w:val="en-US"/>
        </w:rPr>
      </w:pPr>
    </w:p>
    <w:p w:rsidR="00716FDC" w:rsidRDefault="00C83C33">
      <w:pPr>
        <w:pStyle w:val="ListParagraph"/>
        <w:widowControl/>
        <w:numPr>
          <w:ilvl w:val="1"/>
          <w:numId w:val="2"/>
        </w:numPr>
        <w:shd w:val="clear" w:color="auto" w:fill="FFFFFF"/>
        <w:rPr>
          <w:rFonts w:ascii="Calibri" w:hAnsi="Calibri" w:cs="Calibri"/>
          <w:bCs/>
          <w:sz w:val="24"/>
          <w:szCs w:val="24"/>
        </w:rPr>
      </w:pPr>
      <w:r>
        <w:rPr>
          <w:rFonts w:ascii="Calibri" w:hAnsi="Calibri" w:cs="Calibri"/>
          <w:color w:val="000000"/>
          <w:sz w:val="24"/>
          <w:szCs w:val="24"/>
        </w:rPr>
        <w:t>The MCID proposed for ACQ-5 score was developed by the American Academy of Allergy Asthma and Immunology (AAAAI) (Schatz 2009) for not well-controlled asthma based on ≥ 1.5 on the ACQ. This was appropriate given the mean ACQ scores at baseline were generally &gt;1.5. The PBAC has previously accepted a reduction of ≥ 0.5 ACQ total score as clinically meaningful for severe asthma (paragraph 7.5, tiotropium July 2015 PSD).</w:t>
      </w:r>
      <w:r>
        <w:rPr>
          <w:rFonts w:ascii="Calibri" w:hAnsi="Calibri" w:cs="Calibri"/>
          <w:sz w:val="24"/>
          <w:szCs w:val="24"/>
        </w:rPr>
        <w:t xml:space="preserve"> </w:t>
      </w:r>
    </w:p>
    <w:p w:rsidR="00716FDC" w:rsidRDefault="00C83C33">
      <w:pPr>
        <w:pStyle w:val="ListParagraph"/>
        <w:widowControl/>
        <w:numPr>
          <w:ilvl w:val="1"/>
          <w:numId w:val="2"/>
        </w:numPr>
        <w:rPr>
          <w:rFonts w:asciiTheme="minorHAnsi" w:hAnsiTheme="minorHAnsi" w:cstheme="minorHAnsi"/>
          <w:bCs/>
          <w:sz w:val="28"/>
          <w:szCs w:val="24"/>
        </w:rPr>
      </w:pPr>
      <w:r>
        <w:rPr>
          <w:rFonts w:asciiTheme="minorHAnsi" w:hAnsiTheme="minorHAnsi" w:cstheme="minorHAnsi"/>
          <w:color w:val="000000"/>
          <w:sz w:val="24"/>
          <w:szCs w:val="24"/>
        </w:rPr>
        <w:t xml:space="preserve">The </w:t>
      </w:r>
      <w:r>
        <w:rPr>
          <w:rFonts w:asciiTheme="minorHAnsi" w:hAnsiTheme="minorHAnsi" w:cstheme="minorHAnsi"/>
          <w:color w:val="000000"/>
          <w:sz w:val="24"/>
          <w:szCs w:val="24"/>
          <w:lang w:val="en-AU"/>
        </w:rPr>
        <w:t>proposed</w:t>
      </w:r>
      <w:r>
        <w:rPr>
          <w:rFonts w:asciiTheme="minorHAnsi" w:hAnsiTheme="minorHAnsi" w:cstheme="minorHAnsi"/>
          <w:color w:val="000000"/>
          <w:sz w:val="24"/>
          <w:szCs w:val="24"/>
        </w:rPr>
        <w:t xml:space="preserve"> MCID of 20% between-group difference in reduction on severe exacerbations</w:t>
      </w:r>
      <w:r>
        <w:rPr>
          <w:rFonts w:asciiTheme="minorHAnsi" w:hAnsiTheme="minorHAnsi" w:cstheme="minorHAnsi"/>
          <w:color w:val="000000"/>
          <w:sz w:val="24"/>
          <w:szCs w:val="24"/>
          <w:lang w:val="en-AU"/>
        </w:rPr>
        <w:t xml:space="preserve"> (</w:t>
      </w:r>
      <w:r>
        <w:rPr>
          <w:rFonts w:asciiTheme="minorHAnsi" w:hAnsiTheme="minorHAnsi" w:cstheme="minorHAnsi"/>
          <w:color w:val="000000"/>
          <w:sz w:val="24"/>
          <w:szCs w:val="24"/>
        </w:rPr>
        <w:t xml:space="preserve">based the results of the START (Inhaled Steroid Treatment as Regular </w:t>
      </w:r>
      <w:r>
        <w:rPr>
          <w:rFonts w:asciiTheme="minorHAnsi" w:hAnsiTheme="minorHAnsi" w:cstheme="minorHAnsi"/>
          <w:color w:val="000000"/>
          <w:sz w:val="24"/>
          <w:szCs w:val="24"/>
        </w:rPr>
        <w:lastRenderedPageBreak/>
        <w:t>Therapy) and GOAL (Gaining Optimal Asthma control)</w:t>
      </w:r>
      <w:r>
        <w:rPr>
          <w:rFonts w:asciiTheme="minorHAnsi" w:hAnsiTheme="minorHAnsi" w:cstheme="minorHAnsi"/>
          <w:color w:val="000000"/>
          <w:sz w:val="24"/>
          <w:szCs w:val="24"/>
          <w:lang w:val="en-AU"/>
        </w:rPr>
        <w:t>) trials</w:t>
      </w:r>
      <w:r>
        <w:rPr>
          <w:rFonts w:asciiTheme="minorHAnsi" w:hAnsiTheme="minorHAnsi" w:cstheme="minorHAnsi"/>
          <w:color w:val="000000"/>
          <w:sz w:val="24"/>
          <w:szCs w:val="24"/>
        </w:rPr>
        <w:t xml:space="preserve"> </w:t>
      </w:r>
      <w:r>
        <w:rPr>
          <w:rFonts w:asciiTheme="minorHAnsi" w:hAnsiTheme="minorHAnsi" w:cstheme="minorHAnsi"/>
          <w:color w:val="000000"/>
          <w:sz w:val="24"/>
          <w:szCs w:val="24"/>
          <w:lang w:val="en-AU"/>
        </w:rPr>
        <w:t>was</w:t>
      </w:r>
      <w:r>
        <w:rPr>
          <w:rFonts w:asciiTheme="minorHAnsi" w:hAnsiTheme="minorHAnsi" w:cstheme="minorHAnsi"/>
          <w:color w:val="000000"/>
          <w:sz w:val="24"/>
          <w:szCs w:val="24"/>
        </w:rPr>
        <w:t xml:space="preserve"> not </w:t>
      </w:r>
      <w:r>
        <w:rPr>
          <w:rFonts w:asciiTheme="minorHAnsi" w:hAnsiTheme="minorHAnsi" w:cstheme="minorHAnsi"/>
          <w:color w:val="000000"/>
          <w:sz w:val="24"/>
          <w:szCs w:val="24"/>
          <w:lang w:val="en-AU"/>
        </w:rPr>
        <w:t xml:space="preserve">well </w:t>
      </w:r>
      <w:r>
        <w:rPr>
          <w:rFonts w:asciiTheme="minorHAnsi" w:hAnsiTheme="minorHAnsi" w:cstheme="minorHAnsi"/>
          <w:color w:val="000000"/>
          <w:sz w:val="24"/>
          <w:szCs w:val="24"/>
        </w:rPr>
        <w:t>justif</w:t>
      </w:r>
      <w:r>
        <w:rPr>
          <w:rFonts w:asciiTheme="minorHAnsi" w:hAnsiTheme="minorHAnsi" w:cstheme="minorHAnsi"/>
          <w:color w:val="000000"/>
          <w:sz w:val="24"/>
          <w:szCs w:val="24"/>
          <w:lang w:val="en-AU"/>
        </w:rPr>
        <w:t>ied</w:t>
      </w:r>
      <w:r>
        <w:rPr>
          <w:rFonts w:asciiTheme="minorHAnsi" w:hAnsiTheme="minorHAnsi" w:cstheme="minorHAnsi"/>
          <w:color w:val="000000"/>
          <w:sz w:val="24"/>
          <w:szCs w:val="24"/>
        </w:rPr>
        <w:t>.</w:t>
      </w:r>
      <w:r>
        <w:rPr>
          <w:rFonts w:asciiTheme="minorHAnsi" w:hAnsiTheme="minorHAnsi" w:cstheme="minorHAnsi"/>
          <w:color w:val="000000"/>
          <w:sz w:val="24"/>
          <w:szCs w:val="24"/>
          <w:lang w:val="en-AU"/>
        </w:rPr>
        <w:t xml:space="preserve"> </w:t>
      </w:r>
      <w:r>
        <w:rPr>
          <w:rFonts w:asciiTheme="minorHAnsi" w:hAnsiTheme="minorHAnsi" w:cstheme="minorHAnsi"/>
          <w:sz w:val="24"/>
          <w:szCs w:val="24"/>
        </w:rPr>
        <w:t>The</w:t>
      </w:r>
      <w:r>
        <w:rPr>
          <w:rFonts w:asciiTheme="minorHAnsi" w:hAnsiTheme="minorHAnsi" w:cstheme="minorHAnsi"/>
          <w:sz w:val="24"/>
          <w:szCs w:val="24"/>
          <w:lang w:val="en-AU"/>
        </w:rPr>
        <w:t xml:space="preserve"> PSCR  stated that that there is no commonly accepted MCID in the literature for the reduction in severe asthma exacerbations and no previously accepted MCID by the PBAC that is relevant to both the trial population and the proposed indication. The</w:t>
      </w:r>
      <w:r>
        <w:rPr>
          <w:rFonts w:asciiTheme="minorHAnsi" w:hAnsiTheme="minorHAnsi" w:cstheme="minorHAnsi"/>
          <w:sz w:val="24"/>
          <w:szCs w:val="24"/>
        </w:rPr>
        <w:t xml:space="preserve"> ESC </w:t>
      </w:r>
      <w:r>
        <w:rPr>
          <w:rFonts w:asciiTheme="minorHAnsi" w:hAnsiTheme="minorHAnsi" w:cstheme="minorHAnsi"/>
          <w:sz w:val="24"/>
          <w:szCs w:val="24"/>
          <w:lang w:val="en-AU"/>
        </w:rPr>
        <w:t xml:space="preserve">noted that the frequency of severe exacerbations was not overly common in the proposed PBS population. The ESC considered that, in terms of clinical relevance, smaller than a 20% reduction in severe exacerbation rates may represent a clinically meaningful difference, given the seriousness of the exacerbations. </w:t>
      </w:r>
    </w:p>
    <w:p w:rsidR="00716FDC" w:rsidRDefault="00C83C33">
      <w:pPr>
        <w:pStyle w:val="ListParagraph"/>
        <w:widowControl/>
        <w:numPr>
          <w:ilvl w:val="1"/>
          <w:numId w:val="2"/>
        </w:numPr>
        <w:rPr>
          <w:rFonts w:ascii="Calibri" w:hAnsi="Calibri" w:cs="Calibri"/>
          <w:color w:val="000000"/>
          <w:sz w:val="24"/>
          <w:szCs w:val="24"/>
        </w:rPr>
      </w:pPr>
      <w:r>
        <w:rPr>
          <w:rFonts w:ascii="Calibri" w:hAnsi="Calibri" w:cs="Calibri"/>
          <w:sz w:val="24"/>
          <w:lang w:val="en-AU"/>
        </w:rPr>
        <w:t xml:space="preserve">The </w:t>
      </w:r>
      <w:r>
        <w:rPr>
          <w:rFonts w:ascii="Calibri" w:hAnsi="Calibri" w:cs="Calibri"/>
          <w:sz w:val="24"/>
        </w:rPr>
        <w:t>SYGMA 2 trial was initially designed as a superiority trial. However, a pre-specified sample size review revealed that the sample size was insufficient to demonstrate superiority, due to a less than anticipated exacerbation rate and a higher than expected adherence to maintenance treatment. As a result, a protocol amendment was made to change the trial objective from demonstrating superiority to non-inferiority. In such instances EMA guidelines recommend that if one-sided confidence intervals are used they should be used with a coverage probability of 97.5%.</w:t>
      </w:r>
      <w:r>
        <w:rPr>
          <w:rStyle w:val="FootnoteReference"/>
          <w:rFonts w:ascii="Calibri" w:hAnsi="Calibri" w:cs="Calibri"/>
          <w:sz w:val="24"/>
        </w:rPr>
        <w:footnoteReference w:id="2"/>
      </w:r>
      <w:r>
        <w:rPr>
          <w:rFonts w:ascii="Calibri" w:hAnsi="Calibri" w:cs="Calibri"/>
          <w:sz w:val="24"/>
        </w:rPr>
        <w:t xml:space="preserve"> The submission used a coverage probability of 95%.</w:t>
      </w:r>
      <w:r>
        <w:rPr>
          <w:rFonts w:ascii="Calibri" w:hAnsi="Calibri" w:cs="Calibri"/>
          <w:sz w:val="24"/>
          <w:lang w:val="en-AU"/>
        </w:rPr>
        <w:t xml:space="preserve"> The ESC considered that use of the wider confidence interval would have been more appropriate. </w:t>
      </w:r>
      <w:r>
        <w:rPr>
          <w:rFonts w:ascii="Calibri" w:hAnsi="Calibri" w:cs="Calibri"/>
          <w:sz w:val="24"/>
        </w:rPr>
        <w:t xml:space="preserve"> </w:t>
      </w:r>
      <w:r>
        <w:rPr>
          <w:rFonts w:ascii="Calibri" w:hAnsi="Calibri" w:cs="Calibri"/>
          <w:sz w:val="24"/>
          <w:lang w:val="en-AU"/>
        </w:rPr>
        <w:t xml:space="preserve"> </w:t>
      </w:r>
      <w:r>
        <w:rPr>
          <w:rFonts w:ascii="Calibri" w:hAnsi="Calibri" w:cs="Calibri"/>
          <w:bCs/>
          <w:sz w:val="24"/>
          <w:szCs w:val="24"/>
        </w:rPr>
        <w:t xml:space="preserve">Further, </w:t>
      </w:r>
      <w:r>
        <w:rPr>
          <w:rFonts w:ascii="Calibri" w:hAnsi="Calibri" w:cs="Calibri"/>
          <w:bCs/>
          <w:sz w:val="24"/>
          <w:szCs w:val="24"/>
          <w:lang w:val="en-AU"/>
        </w:rPr>
        <w:t xml:space="preserve">the ESC noted that </w:t>
      </w:r>
      <w:r>
        <w:rPr>
          <w:rFonts w:ascii="Calibri" w:hAnsi="Calibri" w:cs="Calibri"/>
          <w:bCs/>
          <w:sz w:val="24"/>
          <w:szCs w:val="24"/>
        </w:rPr>
        <w:t>no results from per-protocol analyses w</w:t>
      </w:r>
      <w:r>
        <w:rPr>
          <w:rFonts w:ascii="Calibri" w:hAnsi="Calibri" w:cs="Calibri"/>
          <w:bCs/>
          <w:sz w:val="24"/>
          <w:szCs w:val="24"/>
          <w:lang w:val="en-AU"/>
        </w:rPr>
        <w:t>ere</w:t>
      </w:r>
      <w:r>
        <w:rPr>
          <w:rFonts w:ascii="Calibri" w:hAnsi="Calibri" w:cs="Calibri"/>
          <w:bCs/>
          <w:sz w:val="24"/>
          <w:szCs w:val="24"/>
        </w:rPr>
        <w:t xml:space="preserve"> presented in the trials, which would be informative in non-inferiority trials.</w:t>
      </w:r>
    </w:p>
    <w:p w:rsidR="00716FDC" w:rsidRDefault="00C83C33">
      <w:pPr>
        <w:pStyle w:val="Heading2"/>
      </w:pPr>
      <w:bookmarkStart w:id="13" w:name="_Toc8973950"/>
      <w:r>
        <w:t>Comparative effectiveness</w:t>
      </w:r>
      <w:bookmarkEnd w:id="13"/>
    </w:p>
    <w:p w:rsidR="00716FDC" w:rsidRDefault="00716FDC">
      <w:pPr>
        <w:rPr>
          <w:lang w:val="x-none"/>
        </w:rPr>
      </w:pPr>
    </w:p>
    <w:p w:rsidR="00716FDC" w:rsidRDefault="00C83C33">
      <w:pPr>
        <w:widowControl/>
        <w:spacing w:after="120"/>
        <w:rPr>
          <w:rFonts w:cs="Calibri"/>
          <w:color w:val="000000"/>
          <w:szCs w:val="24"/>
          <w:u w:val="single"/>
        </w:rPr>
      </w:pPr>
      <w:r>
        <w:rPr>
          <w:rFonts w:cs="Calibri"/>
          <w:color w:val="000000"/>
          <w:szCs w:val="24"/>
          <w:u w:val="single"/>
        </w:rPr>
        <w:t>Asthma exacerbations</w:t>
      </w:r>
    </w:p>
    <w:p w:rsidR="00716FDC" w:rsidRDefault="00C83C33">
      <w:pPr>
        <w:pStyle w:val="ListParagraph"/>
        <w:widowControl/>
        <w:numPr>
          <w:ilvl w:val="1"/>
          <w:numId w:val="2"/>
        </w:numPr>
      </w:pPr>
      <w:r>
        <w:rPr>
          <w:rFonts w:ascii="Calibri" w:hAnsi="Calibri" w:cs="Calibri"/>
          <w:color w:val="000000"/>
          <w:sz w:val="24"/>
          <w:szCs w:val="24"/>
        </w:rPr>
        <w:t xml:space="preserve">Table 6 presents the results </w:t>
      </w:r>
      <w:r>
        <w:rPr>
          <w:rFonts w:ascii="Calibri" w:hAnsi="Calibri" w:cs="Calibri"/>
          <w:color w:val="000000"/>
          <w:sz w:val="24"/>
          <w:szCs w:val="24"/>
          <w:lang w:val="en-AU"/>
        </w:rPr>
        <w:t>for the endpoints ‘severe’ annual exacerbation rates (SYGMA 1 and SYGMA 2) and ‘moderate or severe’ (SYGMA 1 only) annual exacerbation rates</w:t>
      </w:r>
      <w:r>
        <w:rPr>
          <w:rFonts w:ascii="Calibri" w:hAnsi="Calibri" w:cs="Calibri"/>
          <w:color w:val="000000"/>
          <w:sz w:val="24"/>
          <w:szCs w:val="24"/>
        </w:rPr>
        <w:t xml:space="preserve">. </w:t>
      </w:r>
    </w:p>
    <w:p w:rsidR="006D01D6" w:rsidRDefault="006D01D6" w:rsidP="006D01D6">
      <w:pPr>
        <w:pStyle w:val="TableHeading0"/>
      </w:pPr>
      <w:r>
        <w:t xml:space="preserve">Table </w:t>
      </w:r>
      <w:r>
        <w:fldChar w:fldCharType="begin"/>
      </w:r>
      <w:r>
        <w:instrText xml:space="preserve"> SEQ Table \* ARABIC </w:instrText>
      </w:r>
      <w:r>
        <w:fldChar w:fldCharType="separate"/>
      </w:r>
      <w:r w:rsidR="00D2464D">
        <w:rPr>
          <w:noProof/>
        </w:rPr>
        <w:t>6</w:t>
      </w:r>
      <w:r>
        <w:fldChar w:fldCharType="end"/>
      </w:r>
      <w:r w:rsidRPr="001876FF">
        <w:t>:  Annual rate of asthma exacerbations (Full analyses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Annual rate of asthma exacerbations (Full analyses set)"/>
      </w:tblPr>
      <w:tblGrid>
        <w:gridCol w:w="1259"/>
        <w:gridCol w:w="863"/>
        <w:gridCol w:w="1093"/>
        <w:gridCol w:w="891"/>
        <w:gridCol w:w="1134"/>
        <w:gridCol w:w="1134"/>
        <w:gridCol w:w="567"/>
        <w:gridCol w:w="992"/>
        <w:gridCol w:w="1084"/>
      </w:tblGrid>
      <w:tr w:rsidR="00716FDC" w:rsidTr="006D01D6">
        <w:trPr>
          <w:trHeight w:val="227"/>
          <w:tblHeader/>
        </w:trPr>
        <w:tc>
          <w:tcPr>
            <w:tcW w:w="1259" w:type="dxa"/>
            <w:vMerge w:val="restart"/>
            <w:vAlign w:val="center"/>
          </w:tcPr>
          <w:p w:rsidR="00716FDC" w:rsidRDefault="00C83C33">
            <w:pPr>
              <w:pStyle w:val="Tabletext"/>
              <w:widowControl w:val="0"/>
              <w:rPr>
                <w:b/>
                <w:szCs w:val="22"/>
                <w:lang w:val="en-AU"/>
              </w:rPr>
            </w:pPr>
            <w:r>
              <w:rPr>
                <w:b/>
                <w:szCs w:val="22"/>
                <w:lang w:val="en-AU"/>
              </w:rPr>
              <w:t xml:space="preserve">Trial </w:t>
            </w:r>
          </w:p>
        </w:tc>
        <w:tc>
          <w:tcPr>
            <w:tcW w:w="1956" w:type="dxa"/>
            <w:gridSpan w:val="2"/>
          </w:tcPr>
          <w:p w:rsidR="00716FDC" w:rsidRDefault="00C83C33">
            <w:pPr>
              <w:pStyle w:val="Tabletext"/>
              <w:widowControl w:val="0"/>
              <w:jc w:val="center"/>
              <w:rPr>
                <w:b/>
                <w:szCs w:val="22"/>
                <w:lang w:val="en-AU"/>
              </w:rPr>
            </w:pPr>
            <w:r>
              <w:rPr>
                <w:b/>
                <w:szCs w:val="22"/>
                <w:lang w:val="en-AU"/>
              </w:rPr>
              <w:t>Symbicort</w:t>
            </w:r>
          </w:p>
        </w:tc>
        <w:tc>
          <w:tcPr>
            <w:tcW w:w="3159" w:type="dxa"/>
            <w:gridSpan w:val="3"/>
          </w:tcPr>
          <w:p w:rsidR="00716FDC" w:rsidRDefault="00C83C33">
            <w:pPr>
              <w:pStyle w:val="Tabletext"/>
              <w:widowControl w:val="0"/>
              <w:jc w:val="center"/>
              <w:rPr>
                <w:b/>
                <w:szCs w:val="22"/>
                <w:lang w:val="en-AU"/>
              </w:rPr>
            </w:pPr>
            <w:r>
              <w:rPr>
                <w:b/>
                <w:szCs w:val="22"/>
                <w:lang w:val="en-AU"/>
              </w:rPr>
              <w:t>ICS+SABA</w:t>
            </w:r>
          </w:p>
        </w:tc>
        <w:tc>
          <w:tcPr>
            <w:tcW w:w="2643" w:type="dxa"/>
            <w:gridSpan w:val="3"/>
          </w:tcPr>
          <w:p w:rsidR="00716FDC" w:rsidRDefault="00C83C33">
            <w:pPr>
              <w:pStyle w:val="Tabletext"/>
              <w:widowControl w:val="0"/>
              <w:jc w:val="center"/>
              <w:rPr>
                <w:b/>
                <w:szCs w:val="22"/>
                <w:lang w:val="en-AU"/>
              </w:rPr>
            </w:pPr>
            <w:r>
              <w:rPr>
                <w:b/>
                <w:szCs w:val="22"/>
                <w:lang w:val="en-AU"/>
              </w:rPr>
              <w:t>SABA</w:t>
            </w:r>
          </w:p>
        </w:tc>
      </w:tr>
      <w:tr w:rsidR="00716FDC" w:rsidTr="006D01D6">
        <w:trPr>
          <w:trHeight w:val="380"/>
          <w:tblHeader/>
        </w:trPr>
        <w:tc>
          <w:tcPr>
            <w:tcW w:w="1259" w:type="dxa"/>
            <w:vMerge/>
            <w:tcBorders>
              <w:bottom w:val="single" w:sz="4" w:space="0" w:color="auto"/>
            </w:tcBorders>
            <w:vAlign w:val="center"/>
          </w:tcPr>
          <w:p w:rsidR="00716FDC" w:rsidRDefault="00716FDC">
            <w:pPr>
              <w:pStyle w:val="Tabletext"/>
              <w:widowControl w:val="0"/>
              <w:rPr>
                <w:szCs w:val="22"/>
                <w:lang w:val="en-AU"/>
              </w:rPr>
            </w:pPr>
          </w:p>
        </w:tc>
        <w:tc>
          <w:tcPr>
            <w:tcW w:w="863" w:type="dxa"/>
            <w:tcBorders>
              <w:bottom w:val="single" w:sz="4" w:space="0" w:color="auto"/>
            </w:tcBorders>
          </w:tcPr>
          <w:p w:rsidR="00716FDC" w:rsidRDefault="00716FDC">
            <w:pPr>
              <w:jc w:val="center"/>
              <w:rPr>
                <w:rFonts w:ascii="Arial Narrow" w:hAnsi="Arial Narrow"/>
                <w:b/>
                <w:sz w:val="20"/>
                <w:szCs w:val="20"/>
              </w:rPr>
            </w:pPr>
          </w:p>
          <w:p w:rsidR="00716FDC" w:rsidRDefault="00C83C33">
            <w:pPr>
              <w:jc w:val="center"/>
              <w:rPr>
                <w:rFonts w:ascii="Arial Narrow" w:hAnsi="Arial Narrow"/>
                <w:b/>
                <w:sz w:val="20"/>
                <w:szCs w:val="20"/>
              </w:rPr>
            </w:pPr>
            <w:r>
              <w:rPr>
                <w:rFonts w:ascii="Arial Narrow" w:hAnsi="Arial Narrow"/>
                <w:b/>
                <w:sz w:val="20"/>
                <w:szCs w:val="20"/>
              </w:rPr>
              <w:t>N</w:t>
            </w:r>
          </w:p>
        </w:tc>
        <w:tc>
          <w:tcPr>
            <w:tcW w:w="1093" w:type="dxa"/>
            <w:tcBorders>
              <w:bottom w:val="single" w:sz="4" w:space="0" w:color="auto"/>
            </w:tcBorders>
            <w:vAlign w:val="center"/>
          </w:tcPr>
          <w:p w:rsidR="00716FDC" w:rsidRDefault="00C83C33">
            <w:pPr>
              <w:jc w:val="center"/>
              <w:rPr>
                <w:rFonts w:ascii="Arial Narrow" w:hAnsi="Arial Narrow"/>
                <w:b/>
                <w:sz w:val="20"/>
                <w:szCs w:val="20"/>
              </w:rPr>
            </w:pPr>
            <w:r>
              <w:rPr>
                <w:rFonts w:ascii="Arial Narrow" w:hAnsi="Arial Narrow"/>
                <w:b/>
                <w:sz w:val="20"/>
                <w:szCs w:val="20"/>
              </w:rPr>
              <w:t>Annual rate</w:t>
            </w:r>
          </w:p>
          <w:p w:rsidR="00716FDC" w:rsidRDefault="00C83C33">
            <w:pPr>
              <w:pStyle w:val="Tabletext"/>
              <w:widowControl w:val="0"/>
              <w:jc w:val="center"/>
              <w:rPr>
                <w:szCs w:val="22"/>
                <w:lang w:val="en-AU"/>
              </w:rPr>
            </w:pPr>
            <w:r>
              <w:rPr>
                <w:b/>
                <w:lang w:val="en-AU"/>
              </w:rPr>
              <w:t>(95% CI)</w:t>
            </w:r>
          </w:p>
        </w:tc>
        <w:tc>
          <w:tcPr>
            <w:tcW w:w="891" w:type="dxa"/>
            <w:tcBorders>
              <w:bottom w:val="single" w:sz="4" w:space="0" w:color="auto"/>
            </w:tcBorders>
          </w:tcPr>
          <w:p w:rsidR="00716FDC" w:rsidRDefault="00716FDC">
            <w:pPr>
              <w:jc w:val="center"/>
              <w:rPr>
                <w:rFonts w:ascii="Arial Narrow" w:hAnsi="Arial Narrow"/>
                <w:b/>
                <w:sz w:val="20"/>
                <w:szCs w:val="20"/>
              </w:rPr>
            </w:pPr>
          </w:p>
          <w:p w:rsidR="00716FDC" w:rsidRDefault="00C83C33">
            <w:pPr>
              <w:jc w:val="center"/>
              <w:rPr>
                <w:rFonts w:ascii="Arial Narrow" w:hAnsi="Arial Narrow"/>
                <w:b/>
                <w:sz w:val="20"/>
                <w:szCs w:val="20"/>
              </w:rPr>
            </w:pPr>
            <w:r>
              <w:rPr>
                <w:rFonts w:ascii="Arial Narrow" w:hAnsi="Arial Narrow"/>
                <w:b/>
                <w:sz w:val="20"/>
                <w:szCs w:val="20"/>
              </w:rPr>
              <w:t>N</w:t>
            </w:r>
          </w:p>
        </w:tc>
        <w:tc>
          <w:tcPr>
            <w:tcW w:w="1134" w:type="dxa"/>
            <w:tcBorders>
              <w:bottom w:val="single" w:sz="4" w:space="0" w:color="auto"/>
            </w:tcBorders>
            <w:vAlign w:val="center"/>
          </w:tcPr>
          <w:p w:rsidR="00716FDC" w:rsidRDefault="00C83C33">
            <w:pPr>
              <w:jc w:val="center"/>
              <w:rPr>
                <w:rFonts w:ascii="Arial Narrow" w:hAnsi="Arial Narrow"/>
                <w:b/>
                <w:sz w:val="20"/>
                <w:szCs w:val="20"/>
              </w:rPr>
            </w:pPr>
            <w:r>
              <w:rPr>
                <w:rFonts w:ascii="Arial Narrow" w:hAnsi="Arial Narrow"/>
                <w:b/>
                <w:sz w:val="20"/>
                <w:szCs w:val="20"/>
              </w:rPr>
              <w:t>Annual rate</w:t>
            </w:r>
          </w:p>
          <w:p w:rsidR="00716FDC" w:rsidRDefault="00C83C33">
            <w:pPr>
              <w:pStyle w:val="Tabletext"/>
              <w:widowControl w:val="0"/>
              <w:jc w:val="center"/>
              <w:rPr>
                <w:szCs w:val="22"/>
                <w:lang w:val="en-AU"/>
              </w:rPr>
            </w:pPr>
            <w:r>
              <w:rPr>
                <w:b/>
                <w:lang w:val="en-AU"/>
              </w:rPr>
              <w:t>(95% CI)</w:t>
            </w:r>
          </w:p>
        </w:tc>
        <w:tc>
          <w:tcPr>
            <w:tcW w:w="1134" w:type="dxa"/>
            <w:tcBorders>
              <w:bottom w:val="single" w:sz="4" w:space="0" w:color="auto"/>
            </w:tcBorders>
            <w:vAlign w:val="center"/>
          </w:tcPr>
          <w:p w:rsidR="00716FDC" w:rsidRDefault="00C83C33">
            <w:pPr>
              <w:pStyle w:val="Tabletext"/>
              <w:widowControl w:val="0"/>
              <w:jc w:val="center"/>
              <w:rPr>
                <w:b/>
                <w:lang w:val="en-AU"/>
              </w:rPr>
            </w:pPr>
            <w:r>
              <w:rPr>
                <w:b/>
                <w:lang w:val="en-AU"/>
              </w:rPr>
              <w:t xml:space="preserve">Rate Ratio </w:t>
            </w:r>
          </w:p>
          <w:p w:rsidR="00716FDC" w:rsidRDefault="00C83C33">
            <w:pPr>
              <w:pStyle w:val="Tabletext"/>
              <w:widowControl w:val="0"/>
              <w:jc w:val="center"/>
              <w:rPr>
                <w:szCs w:val="22"/>
                <w:lang w:val="en-AU"/>
              </w:rPr>
            </w:pPr>
            <w:r>
              <w:rPr>
                <w:b/>
                <w:lang w:val="en-AU"/>
              </w:rPr>
              <w:t>(95% CI)</w:t>
            </w:r>
            <w:r>
              <w:rPr>
                <w:b/>
                <w:vertAlign w:val="superscript"/>
                <w:lang w:val="en-AU"/>
              </w:rPr>
              <w:t>a</w:t>
            </w:r>
          </w:p>
        </w:tc>
        <w:tc>
          <w:tcPr>
            <w:tcW w:w="567" w:type="dxa"/>
            <w:tcBorders>
              <w:bottom w:val="single" w:sz="4" w:space="0" w:color="auto"/>
            </w:tcBorders>
          </w:tcPr>
          <w:p w:rsidR="00716FDC" w:rsidRDefault="00716FDC">
            <w:pPr>
              <w:jc w:val="center"/>
              <w:rPr>
                <w:rFonts w:ascii="Arial Narrow" w:hAnsi="Arial Narrow"/>
                <w:b/>
                <w:sz w:val="20"/>
                <w:szCs w:val="20"/>
              </w:rPr>
            </w:pPr>
          </w:p>
          <w:p w:rsidR="00716FDC" w:rsidRDefault="00C83C33">
            <w:pPr>
              <w:jc w:val="center"/>
              <w:rPr>
                <w:rFonts w:ascii="Arial Narrow" w:hAnsi="Arial Narrow"/>
                <w:b/>
                <w:sz w:val="20"/>
                <w:szCs w:val="20"/>
              </w:rPr>
            </w:pPr>
            <w:r>
              <w:rPr>
                <w:rFonts w:ascii="Arial Narrow" w:hAnsi="Arial Narrow"/>
                <w:b/>
                <w:sz w:val="20"/>
                <w:szCs w:val="20"/>
              </w:rPr>
              <w:t>N</w:t>
            </w:r>
          </w:p>
        </w:tc>
        <w:tc>
          <w:tcPr>
            <w:tcW w:w="992" w:type="dxa"/>
            <w:tcBorders>
              <w:bottom w:val="single" w:sz="4" w:space="0" w:color="auto"/>
            </w:tcBorders>
            <w:vAlign w:val="center"/>
          </w:tcPr>
          <w:p w:rsidR="00716FDC" w:rsidRDefault="00C83C33">
            <w:pPr>
              <w:jc w:val="center"/>
              <w:rPr>
                <w:rFonts w:ascii="Arial Narrow" w:hAnsi="Arial Narrow"/>
                <w:b/>
                <w:sz w:val="20"/>
                <w:szCs w:val="20"/>
              </w:rPr>
            </w:pPr>
            <w:r>
              <w:rPr>
                <w:rFonts w:ascii="Arial Narrow" w:hAnsi="Arial Narrow"/>
                <w:b/>
                <w:sz w:val="20"/>
                <w:szCs w:val="20"/>
              </w:rPr>
              <w:t>Annual rate</w:t>
            </w:r>
          </w:p>
          <w:p w:rsidR="00716FDC" w:rsidRDefault="00C83C33">
            <w:pPr>
              <w:pStyle w:val="Tabletext"/>
              <w:widowControl w:val="0"/>
              <w:jc w:val="center"/>
              <w:rPr>
                <w:szCs w:val="22"/>
                <w:lang w:val="en-AU"/>
              </w:rPr>
            </w:pPr>
            <w:r>
              <w:rPr>
                <w:b/>
                <w:lang w:val="en-AU"/>
              </w:rPr>
              <w:t>(95% CI)</w:t>
            </w:r>
          </w:p>
        </w:tc>
        <w:tc>
          <w:tcPr>
            <w:tcW w:w="1084" w:type="dxa"/>
            <w:tcBorders>
              <w:bottom w:val="single" w:sz="4" w:space="0" w:color="auto"/>
            </w:tcBorders>
            <w:vAlign w:val="center"/>
          </w:tcPr>
          <w:p w:rsidR="00716FDC" w:rsidRDefault="00C83C33">
            <w:pPr>
              <w:pStyle w:val="Tabletext"/>
              <w:widowControl w:val="0"/>
              <w:jc w:val="center"/>
              <w:rPr>
                <w:szCs w:val="22"/>
                <w:lang w:val="en-AU"/>
              </w:rPr>
            </w:pPr>
            <w:r>
              <w:rPr>
                <w:b/>
                <w:lang w:val="en-AU"/>
              </w:rPr>
              <w:t>Rate Ratio (95% CI)</w:t>
            </w:r>
            <w:r>
              <w:rPr>
                <w:b/>
                <w:vertAlign w:val="superscript"/>
                <w:lang w:val="en-AU"/>
              </w:rPr>
              <w:t>a</w:t>
            </w:r>
          </w:p>
        </w:tc>
      </w:tr>
      <w:tr w:rsidR="00716FDC" w:rsidTr="006D01D6">
        <w:trPr>
          <w:trHeight w:val="371"/>
        </w:trPr>
        <w:tc>
          <w:tcPr>
            <w:tcW w:w="3215" w:type="dxa"/>
            <w:gridSpan w:val="3"/>
            <w:tcBorders>
              <w:right w:val="nil"/>
            </w:tcBorders>
            <w:vAlign w:val="center"/>
          </w:tcPr>
          <w:p w:rsidR="00716FDC" w:rsidRDefault="00C83C33">
            <w:pPr>
              <w:pStyle w:val="Tabletext"/>
              <w:widowControl w:val="0"/>
              <w:rPr>
                <w:b/>
                <w:lang w:val="en-AU"/>
              </w:rPr>
            </w:pPr>
            <w:r>
              <w:rPr>
                <w:b/>
                <w:lang w:val="en-AU"/>
              </w:rPr>
              <w:t>Severe asthma exacerbations</w:t>
            </w:r>
          </w:p>
        </w:tc>
        <w:tc>
          <w:tcPr>
            <w:tcW w:w="5802" w:type="dxa"/>
            <w:gridSpan w:val="6"/>
            <w:tcBorders>
              <w:left w:val="nil"/>
            </w:tcBorders>
            <w:vAlign w:val="center"/>
          </w:tcPr>
          <w:p w:rsidR="00716FDC" w:rsidRDefault="00716FDC">
            <w:pPr>
              <w:pStyle w:val="Tabletext"/>
              <w:widowControl w:val="0"/>
              <w:rPr>
                <w:b/>
                <w:lang w:val="en-AU"/>
              </w:rPr>
            </w:pPr>
          </w:p>
        </w:tc>
      </w:tr>
      <w:tr w:rsidR="00716FDC" w:rsidTr="006D01D6">
        <w:trPr>
          <w:trHeight w:val="371"/>
        </w:trPr>
        <w:tc>
          <w:tcPr>
            <w:tcW w:w="1259" w:type="dxa"/>
            <w:vAlign w:val="center"/>
          </w:tcPr>
          <w:p w:rsidR="00716FDC" w:rsidRDefault="00C83C33">
            <w:pPr>
              <w:pStyle w:val="Tabletext"/>
              <w:widowControl w:val="0"/>
              <w:rPr>
                <w:b/>
                <w:szCs w:val="22"/>
                <w:lang w:val="en-AU"/>
              </w:rPr>
            </w:pPr>
            <w:r>
              <w:rPr>
                <w:b/>
                <w:szCs w:val="22"/>
                <w:lang w:val="en-AU"/>
              </w:rPr>
              <w:t xml:space="preserve">SYGMA 1 </w:t>
            </w:r>
          </w:p>
        </w:tc>
        <w:tc>
          <w:tcPr>
            <w:tcW w:w="863" w:type="dxa"/>
          </w:tcPr>
          <w:p w:rsidR="00716FDC" w:rsidRDefault="00C83C33">
            <w:pPr>
              <w:pStyle w:val="Tabletext"/>
              <w:widowControl w:val="0"/>
              <w:jc w:val="center"/>
              <w:rPr>
                <w:lang w:val="en-AU"/>
              </w:rPr>
            </w:pPr>
            <w:r>
              <w:rPr>
                <w:lang w:val="en-AU"/>
              </w:rPr>
              <w:t>1277</w:t>
            </w:r>
          </w:p>
        </w:tc>
        <w:tc>
          <w:tcPr>
            <w:tcW w:w="1093" w:type="dxa"/>
            <w:vAlign w:val="center"/>
          </w:tcPr>
          <w:p w:rsidR="00716FDC" w:rsidRDefault="00C83C33">
            <w:pPr>
              <w:pStyle w:val="Tabletext"/>
              <w:widowControl w:val="0"/>
              <w:jc w:val="center"/>
              <w:rPr>
                <w:lang w:val="en-AU"/>
              </w:rPr>
            </w:pPr>
            <w:r>
              <w:rPr>
                <w:lang w:val="en-AU"/>
              </w:rPr>
              <w:t>0.07</w:t>
            </w:r>
          </w:p>
          <w:p w:rsidR="00716FDC" w:rsidRDefault="00C83C33">
            <w:pPr>
              <w:pStyle w:val="Tabletext"/>
              <w:widowControl w:val="0"/>
              <w:jc w:val="center"/>
              <w:rPr>
                <w:szCs w:val="22"/>
                <w:lang w:val="en-AU"/>
              </w:rPr>
            </w:pPr>
            <w:r>
              <w:rPr>
                <w:lang w:val="en-AU"/>
              </w:rPr>
              <w:t>(0.06, 0.09)</w:t>
            </w:r>
          </w:p>
        </w:tc>
        <w:tc>
          <w:tcPr>
            <w:tcW w:w="891" w:type="dxa"/>
          </w:tcPr>
          <w:p w:rsidR="00716FDC" w:rsidRDefault="00C83C33">
            <w:pPr>
              <w:pStyle w:val="Tabletext"/>
              <w:widowControl w:val="0"/>
              <w:jc w:val="center"/>
              <w:rPr>
                <w:lang w:val="en-AU"/>
              </w:rPr>
            </w:pPr>
            <w:r>
              <w:rPr>
                <w:lang w:val="en-AU"/>
              </w:rPr>
              <w:t>1282</w:t>
            </w:r>
          </w:p>
        </w:tc>
        <w:tc>
          <w:tcPr>
            <w:tcW w:w="1134" w:type="dxa"/>
          </w:tcPr>
          <w:p w:rsidR="00716FDC" w:rsidRDefault="00C83C33">
            <w:pPr>
              <w:pStyle w:val="Tabletext"/>
              <w:widowControl w:val="0"/>
              <w:jc w:val="center"/>
              <w:rPr>
                <w:lang w:val="en-AU"/>
              </w:rPr>
            </w:pPr>
            <w:r>
              <w:rPr>
                <w:lang w:val="en-AU"/>
              </w:rPr>
              <w:t>0.09</w:t>
            </w:r>
          </w:p>
          <w:p w:rsidR="00716FDC" w:rsidRDefault="00C83C33">
            <w:pPr>
              <w:pStyle w:val="Tabletext"/>
              <w:widowControl w:val="0"/>
              <w:jc w:val="center"/>
              <w:rPr>
                <w:szCs w:val="22"/>
                <w:lang w:val="en-AU"/>
              </w:rPr>
            </w:pPr>
            <w:r>
              <w:rPr>
                <w:lang w:val="en-AU"/>
              </w:rPr>
              <w:t>(0.07, 0.11)</w:t>
            </w:r>
          </w:p>
        </w:tc>
        <w:tc>
          <w:tcPr>
            <w:tcW w:w="1134" w:type="dxa"/>
          </w:tcPr>
          <w:p w:rsidR="00716FDC" w:rsidRDefault="00C83C33">
            <w:pPr>
              <w:pStyle w:val="Tabletext"/>
              <w:widowControl w:val="0"/>
              <w:jc w:val="center"/>
              <w:rPr>
                <w:lang w:val="en-AU"/>
              </w:rPr>
            </w:pPr>
            <w:r>
              <w:rPr>
                <w:lang w:val="en-AU"/>
              </w:rPr>
              <w:t>0.83</w:t>
            </w:r>
          </w:p>
          <w:p w:rsidR="00716FDC" w:rsidRDefault="00C83C33">
            <w:pPr>
              <w:pStyle w:val="Tabletext"/>
              <w:widowControl w:val="0"/>
              <w:jc w:val="center"/>
              <w:rPr>
                <w:szCs w:val="22"/>
                <w:highlight w:val="yellow"/>
                <w:lang w:val="en-AU"/>
              </w:rPr>
            </w:pPr>
            <w:r>
              <w:rPr>
                <w:lang w:val="en-AU"/>
              </w:rPr>
              <w:t>(0.59,1.16)</w:t>
            </w:r>
          </w:p>
        </w:tc>
        <w:tc>
          <w:tcPr>
            <w:tcW w:w="567" w:type="dxa"/>
          </w:tcPr>
          <w:p w:rsidR="00716FDC" w:rsidRDefault="00C83C33">
            <w:pPr>
              <w:pStyle w:val="Tabletext"/>
              <w:widowControl w:val="0"/>
              <w:jc w:val="center"/>
              <w:rPr>
                <w:lang w:val="en-AU"/>
              </w:rPr>
            </w:pPr>
            <w:r>
              <w:rPr>
                <w:lang w:val="en-AU"/>
              </w:rPr>
              <w:t>1277</w:t>
            </w:r>
          </w:p>
        </w:tc>
        <w:tc>
          <w:tcPr>
            <w:tcW w:w="992" w:type="dxa"/>
            <w:vAlign w:val="center"/>
          </w:tcPr>
          <w:p w:rsidR="00716FDC" w:rsidRDefault="00C83C33">
            <w:pPr>
              <w:pStyle w:val="Tabletext"/>
              <w:widowControl w:val="0"/>
              <w:jc w:val="center"/>
              <w:rPr>
                <w:lang w:val="en-AU"/>
              </w:rPr>
            </w:pPr>
            <w:r>
              <w:rPr>
                <w:lang w:val="en-AU"/>
              </w:rPr>
              <w:t>0.20</w:t>
            </w:r>
          </w:p>
          <w:p w:rsidR="00716FDC" w:rsidRDefault="00C83C33">
            <w:pPr>
              <w:pStyle w:val="Tabletext"/>
              <w:widowControl w:val="0"/>
              <w:jc w:val="center"/>
              <w:rPr>
                <w:szCs w:val="22"/>
                <w:lang w:val="en-AU"/>
              </w:rPr>
            </w:pPr>
            <w:r>
              <w:rPr>
                <w:lang w:val="en-AU"/>
              </w:rPr>
              <w:t>(0.16, 0.24)</w:t>
            </w:r>
          </w:p>
        </w:tc>
        <w:tc>
          <w:tcPr>
            <w:tcW w:w="1084" w:type="dxa"/>
            <w:vAlign w:val="center"/>
          </w:tcPr>
          <w:p w:rsidR="00716FDC" w:rsidRDefault="00C83C33">
            <w:pPr>
              <w:pStyle w:val="Tabletext"/>
              <w:widowControl w:val="0"/>
              <w:jc w:val="center"/>
              <w:rPr>
                <w:b/>
                <w:szCs w:val="22"/>
                <w:lang w:val="en-AU"/>
              </w:rPr>
            </w:pPr>
            <w:r>
              <w:rPr>
                <w:b/>
                <w:lang w:val="en-AU"/>
              </w:rPr>
              <w:t>0.36 (0.27,0.49)</w:t>
            </w:r>
          </w:p>
        </w:tc>
      </w:tr>
      <w:tr w:rsidR="00716FDC" w:rsidTr="006D01D6">
        <w:trPr>
          <w:trHeight w:val="185"/>
        </w:trPr>
        <w:tc>
          <w:tcPr>
            <w:tcW w:w="1259" w:type="dxa"/>
            <w:tcBorders>
              <w:bottom w:val="single" w:sz="4" w:space="0" w:color="auto"/>
            </w:tcBorders>
            <w:vAlign w:val="center"/>
          </w:tcPr>
          <w:p w:rsidR="00716FDC" w:rsidRDefault="00C83C33">
            <w:pPr>
              <w:pStyle w:val="Tabletext"/>
              <w:widowControl w:val="0"/>
              <w:rPr>
                <w:b/>
                <w:szCs w:val="22"/>
                <w:lang w:val="en-AU"/>
              </w:rPr>
            </w:pPr>
            <w:r>
              <w:rPr>
                <w:b/>
                <w:szCs w:val="22"/>
                <w:lang w:val="en-AU"/>
              </w:rPr>
              <w:t xml:space="preserve">SYGMA 2 </w:t>
            </w:r>
          </w:p>
        </w:tc>
        <w:tc>
          <w:tcPr>
            <w:tcW w:w="863" w:type="dxa"/>
            <w:tcBorders>
              <w:bottom w:val="single" w:sz="4" w:space="0" w:color="auto"/>
            </w:tcBorders>
          </w:tcPr>
          <w:p w:rsidR="00716FDC" w:rsidRDefault="00C83C33">
            <w:pPr>
              <w:pStyle w:val="Tabletext"/>
              <w:widowControl w:val="0"/>
              <w:jc w:val="center"/>
              <w:rPr>
                <w:lang w:val="en-AU"/>
              </w:rPr>
            </w:pPr>
            <w:r>
              <w:rPr>
                <w:lang w:val="en-AU"/>
              </w:rPr>
              <w:t>2084</w:t>
            </w:r>
          </w:p>
        </w:tc>
        <w:tc>
          <w:tcPr>
            <w:tcW w:w="1093" w:type="dxa"/>
            <w:tcBorders>
              <w:bottom w:val="single" w:sz="4" w:space="0" w:color="auto"/>
            </w:tcBorders>
            <w:vAlign w:val="center"/>
          </w:tcPr>
          <w:p w:rsidR="00716FDC" w:rsidRDefault="00C83C33">
            <w:pPr>
              <w:pStyle w:val="Tabletext"/>
              <w:widowControl w:val="0"/>
              <w:jc w:val="center"/>
              <w:rPr>
                <w:szCs w:val="22"/>
                <w:lang w:val="en-AU"/>
              </w:rPr>
            </w:pPr>
            <w:r>
              <w:rPr>
                <w:lang w:val="en-AU"/>
              </w:rPr>
              <w:t>0.11 (0.10,0.13)</w:t>
            </w:r>
          </w:p>
        </w:tc>
        <w:tc>
          <w:tcPr>
            <w:tcW w:w="891" w:type="dxa"/>
            <w:tcBorders>
              <w:bottom w:val="single" w:sz="4" w:space="0" w:color="auto"/>
            </w:tcBorders>
          </w:tcPr>
          <w:p w:rsidR="00716FDC" w:rsidRDefault="00C83C33">
            <w:pPr>
              <w:pStyle w:val="Tabletext"/>
              <w:widowControl w:val="0"/>
              <w:jc w:val="center"/>
              <w:rPr>
                <w:lang w:val="en-AU"/>
              </w:rPr>
            </w:pPr>
            <w:r>
              <w:rPr>
                <w:lang w:val="en-AU"/>
              </w:rPr>
              <w:t>2083</w:t>
            </w:r>
          </w:p>
        </w:tc>
        <w:tc>
          <w:tcPr>
            <w:tcW w:w="1134" w:type="dxa"/>
            <w:tcBorders>
              <w:bottom w:val="single" w:sz="4" w:space="0" w:color="auto"/>
            </w:tcBorders>
          </w:tcPr>
          <w:p w:rsidR="00716FDC" w:rsidRDefault="00C83C33">
            <w:pPr>
              <w:pStyle w:val="Tabletext"/>
              <w:widowControl w:val="0"/>
              <w:jc w:val="center"/>
              <w:rPr>
                <w:szCs w:val="22"/>
                <w:lang w:val="en-AU"/>
              </w:rPr>
            </w:pPr>
            <w:r>
              <w:rPr>
                <w:lang w:val="en-AU"/>
              </w:rPr>
              <w:t>0.12 (0.10,0.14)</w:t>
            </w:r>
          </w:p>
        </w:tc>
        <w:tc>
          <w:tcPr>
            <w:tcW w:w="1134" w:type="dxa"/>
            <w:tcBorders>
              <w:bottom w:val="single" w:sz="4" w:space="0" w:color="auto"/>
            </w:tcBorders>
            <w:shd w:val="clear" w:color="auto" w:fill="auto"/>
          </w:tcPr>
          <w:p w:rsidR="00716FDC" w:rsidRDefault="00C83C33">
            <w:pPr>
              <w:pStyle w:val="Tabletext"/>
              <w:widowControl w:val="0"/>
              <w:jc w:val="center"/>
              <w:rPr>
                <w:vertAlign w:val="superscript"/>
                <w:lang w:val="en-AU"/>
              </w:rPr>
            </w:pPr>
            <w:r>
              <w:rPr>
                <w:lang w:val="en-AU"/>
              </w:rPr>
              <w:t>0.97 (1.16)</w:t>
            </w:r>
            <w:r>
              <w:rPr>
                <w:vertAlign w:val="superscript"/>
                <w:lang w:val="en-AU"/>
              </w:rPr>
              <w:t>b</w:t>
            </w:r>
          </w:p>
          <w:p w:rsidR="00716FDC" w:rsidRDefault="00C83C33">
            <w:pPr>
              <w:pStyle w:val="Tabletext"/>
              <w:widowControl w:val="0"/>
              <w:jc w:val="center"/>
              <w:rPr>
                <w:szCs w:val="22"/>
                <w:lang w:val="en-AU"/>
              </w:rPr>
            </w:pPr>
            <w:r>
              <w:rPr>
                <w:szCs w:val="22"/>
                <w:lang w:val="en-AU"/>
              </w:rPr>
              <w:t>0.97 (1.20)</w:t>
            </w:r>
            <w:r>
              <w:rPr>
                <w:vertAlign w:val="superscript"/>
                <w:lang w:val="en-AU"/>
              </w:rPr>
              <w:t>c</w:t>
            </w:r>
          </w:p>
        </w:tc>
        <w:tc>
          <w:tcPr>
            <w:tcW w:w="567" w:type="dxa"/>
            <w:tcBorders>
              <w:bottom w:val="single" w:sz="4" w:space="0" w:color="auto"/>
            </w:tcBorders>
          </w:tcPr>
          <w:p w:rsidR="00716FDC" w:rsidRDefault="00C83C33">
            <w:pPr>
              <w:pStyle w:val="Tabletext"/>
              <w:widowControl w:val="0"/>
              <w:jc w:val="center"/>
              <w:rPr>
                <w:szCs w:val="22"/>
                <w:lang w:val="en-AU"/>
              </w:rPr>
            </w:pPr>
            <w:r>
              <w:rPr>
                <w:szCs w:val="22"/>
                <w:lang w:val="en-AU"/>
              </w:rPr>
              <w:t xml:space="preserve">           -</w:t>
            </w:r>
          </w:p>
        </w:tc>
        <w:tc>
          <w:tcPr>
            <w:tcW w:w="992" w:type="dxa"/>
            <w:tcBorders>
              <w:bottom w:val="single" w:sz="4" w:space="0" w:color="auto"/>
            </w:tcBorders>
            <w:vAlign w:val="center"/>
          </w:tcPr>
          <w:p w:rsidR="00716FDC" w:rsidRDefault="00716FDC">
            <w:pPr>
              <w:pStyle w:val="Tabletext"/>
              <w:widowControl w:val="0"/>
              <w:jc w:val="center"/>
              <w:rPr>
                <w:szCs w:val="22"/>
                <w:lang w:val="en-AU"/>
              </w:rPr>
            </w:pPr>
          </w:p>
          <w:p w:rsidR="00716FDC" w:rsidRDefault="00C83C33">
            <w:pPr>
              <w:pStyle w:val="Tabletext"/>
              <w:widowControl w:val="0"/>
              <w:jc w:val="center"/>
              <w:rPr>
                <w:szCs w:val="22"/>
                <w:lang w:val="en-AU"/>
              </w:rPr>
            </w:pPr>
            <w:r>
              <w:rPr>
                <w:szCs w:val="22"/>
                <w:lang w:val="en-AU"/>
              </w:rPr>
              <w:t>-</w:t>
            </w:r>
          </w:p>
        </w:tc>
        <w:tc>
          <w:tcPr>
            <w:tcW w:w="1084" w:type="dxa"/>
            <w:tcBorders>
              <w:bottom w:val="single" w:sz="4" w:space="0" w:color="auto"/>
            </w:tcBorders>
            <w:vAlign w:val="center"/>
          </w:tcPr>
          <w:p w:rsidR="00716FDC" w:rsidRDefault="00716FDC">
            <w:pPr>
              <w:pStyle w:val="Tabletext"/>
              <w:widowControl w:val="0"/>
              <w:jc w:val="center"/>
              <w:rPr>
                <w:szCs w:val="22"/>
                <w:lang w:val="en-AU"/>
              </w:rPr>
            </w:pPr>
          </w:p>
          <w:p w:rsidR="00716FDC" w:rsidRDefault="00C83C33">
            <w:pPr>
              <w:pStyle w:val="Tabletext"/>
              <w:widowControl w:val="0"/>
              <w:jc w:val="center"/>
              <w:rPr>
                <w:szCs w:val="22"/>
                <w:lang w:val="en-AU"/>
              </w:rPr>
            </w:pPr>
            <w:r>
              <w:rPr>
                <w:szCs w:val="22"/>
                <w:lang w:val="en-AU"/>
              </w:rPr>
              <w:t>-</w:t>
            </w:r>
          </w:p>
        </w:tc>
      </w:tr>
      <w:tr w:rsidR="00716FDC" w:rsidTr="006D01D6">
        <w:trPr>
          <w:trHeight w:val="185"/>
        </w:trPr>
        <w:tc>
          <w:tcPr>
            <w:tcW w:w="9017" w:type="dxa"/>
            <w:gridSpan w:val="9"/>
            <w:shd w:val="clear" w:color="auto" w:fill="auto"/>
            <w:vAlign w:val="center"/>
          </w:tcPr>
          <w:p w:rsidR="00716FDC" w:rsidRDefault="00C83C33">
            <w:pPr>
              <w:pStyle w:val="Tabletext"/>
              <w:widowControl w:val="0"/>
              <w:rPr>
                <w:szCs w:val="22"/>
                <w:lang w:val="en-AU"/>
              </w:rPr>
            </w:pPr>
            <w:r>
              <w:rPr>
                <w:b/>
                <w:lang w:val="en-AU"/>
              </w:rPr>
              <w:t>Moderate or severe asthma exacerbations</w:t>
            </w:r>
          </w:p>
        </w:tc>
      </w:tr>
      <w:tr w:rsidR="00716FDC" w:rsidTr="006D01D6">
        <w:trPr>
          <w:trHeight w:val="185"/>
        </w:trPr>
        <w:tc>
          <w:tcPr>
            <w:tcW w:w="1259" w:type="dxa"/>
            <w:vAlign w:val="center"/>
          </w:tcPr>
          <w:p w:rsidR="00716FDC" w:rsidRDefault="00C83C33">
            <w:pPr>
              <w:pStyle w:val="Tabletext"/>
              <w:widowControl w:val="0"/>
              <w:rPr>
                <w:b/>
                <w:szCs w:val="22"/>
                <w:lang w:val="en-AU"/>
              </w:rPr>
            </w:pPr>
            <w:r>
              <w:rPr>
                <w:b/>
                <w:szCs w:val="22"/>
                <w:lang w:val="en-AU"/>
              </w:rPr>
              <w:t xml:space="preserve">SYGMA 1 </w:t>
            </w:r>
          </w:p>
        </w:tc>
        <w:tc>
          <w:tcPr>
            <w:tcW w:w="863" w:type="dxa"/>
          </w:tcPr>
          <w:p w:rsidR="00716FDC" w:rsidRDefault="00C83C33">
            <w:pPr>
              <w:pStyle w:val="Tabletext"/>
              <w:widowControl w:val="0"/>
              <w:jc w:val="center"/>
              <w:rPr>
                <w:lang w:val="en-AU"/>
              </w:rPr>
            </w:pPr>
            <w:r>
              <w:rPr>
                <w:lang w:val="en-AU"/>
              </w:rPr>
              <w:t>1277</w:t>
            </w:r>
          </w:p>
        </w:tc>
        <w:tc>
          <w:tcPr>
            <w:tcW w:w="1093" w:type="dxa"/>
            <w:vAlign w:val="center"/>
          </w:tcPr>
          <w:p w:rsidR="00716FDC" w:rsidRDefault="00C83C33">
            <w:pPr>
              <w:pStyle w:val="Tabletext"/>
              <w:widowControl w:val="0"/>
              <w:jc w:val="center"/>
              <w:rPr>
                <w:lang w:val="en-AU"/>
              </w:rPr>
            </w:pPr>
            <w:r>
              <w:rPr>
                <w:lang w:val="en-AU"/>
              </w:rPr>
              <w:t>0.14</w:t>
            </w:r>
          </w:p>
          <w:p w:rsidR="00716FDC" w:rsidRDefault="00C83C33">
            <w:pPr>
              <w:pStyle w:val="Tabletext"/>
              <w:widowControl w:val="0"/>
              <w:jc w:val="center"/>
              <w:rPr>
                <w:lang w:val="en-AU"/>
              </w:rPr>
            </w:pPr>
            <w:r>
              <w:rPr>
                <w:lang w:val="en-AU"/>
              </w:rPr>
              <w:t xml:space="preserve">(0.12, 0.17) </w:t>
            </w:r>
          </w:p>
        </w:tc>
        <w:tc>
          <w:tcPr>
            <w:tcW w:w="891" w:type="dxa"/>
          </w:tcPr>
          <w:p w:rsidR="00716FDC" w:rsidRDefault="00C83C33">
            <w:pPr>
              <w:pStyle w:val="Tabletext"/>
              <w:widowControl w:val="0"/>
              <w:jc w:val="center"/>
              <w:rPr>
                <w:lang w:val="en-AU"/>
              </w:rPr>
            </w:pPr>
            <w:r>
              <w:rPr>
                <w:lang w:val="en-AU"/>
              </w:rPr>
              <w:t>1282</w:t>
            </w:r>
          </w:p>
        </w:tc>
        <w:tc>
          <w:tcPr>
            <w:tcW w:w="1134" w:type="dxa"/>
          </w:tcPr>
          <w:p w:rsidR="00716FDC" w:rsidRDefault="00C83C33">
            <w:pPr>
              <w:pStyle w:val="Tabletext"/>
              <w:widowControl w:val="0"/>
              <w:jc w:val="center"/>
              <w:rPr>
                <w:lang w:val="en-AU"/>
              </w:rPr>
            </w:pPr>
            <w:r>
              <w:rPr>
                <w:lang w:val="en-AU"/>
              </w:rPr>
              <w:t xml:space="preserve">0.15 </w:t>
            </w:r>
          </w:p>
          <w:p w:rsidR="00716FDC" w:rsidRDefault="00C83C33">
            <w:pPr>
              <w:pStyle w:val="Tabletext"/>
              <w:widowControl w:val="0"/>
              <w:jc w:val="center"/>
              <w:rPr>
                <w:lang w:val="en-AU"/>
              </w:rPr>
            </w:pPr>
            <w:r>
              <w:rPr>
                <w:lang w:val="en-AU"/>
              </w:rPr>
              <w:t xml:space="preserve">(0.13, 0.18) </w:t>
            </w:r>
          </w:p>
        </w:tc>
        <w:tc>
          <w:tcPr>
            <w:tcW w:w="1134" w:type="dxa"/>
          </w:tcPr>
          <w:p w:rsidR="00716FDC" w:rsidRDefault="00C83C33">
            <w:pPr>
              <w:pStyle w:val="Tabletext"/>
              <w:widowControl w:val="0"/>
              <w:jc w:val="center"/>
              <w:rPr>
                <w:lang w:val="en-AU"/>
              </w:rPr>
            </w:pPr>
            <w:r>
              <w:rPr>
                <w:lang w:val="en-AU"/>
              </w:rPr>
              <w:t>0.95 (0.74,1.21)</w:t>
            </w:r>
          </w:p>
        </w:tc>
        <w:tc>
          <w:tcPr>
            <w:tcW w:w="567" w:type="dxa"/>
          </w:tcPr>
          <w:p w:rsidR="00716FDC" w:rsidRDefault="00C83C33">
            <w:pPr>
              <w:pStyle w:val="Tabletext"/>
              <w:widowControl w:val="0"/>
              <w:jc w:val="center"/>
              <w:rPr>
                <w:lang w:val="en-AU"/>
              </w:rPr>
            </w:pPr>
            <w:r>
              <w:rPr>
                <w:lang w:val="en-AU"/>
              </w:rPr>
              <w:t>1277</w:t>
            </w:r>
          </w:p>
        </w:tc>
        <w:tc>
          <w:tcPr>
            <w:tcW w:w="992" w:type="dxa"/>
            <w:vAlign w:val="center"/>
          </w:tcPr>
          <w:p w:rsidR="00716FDC" w:rsidRDefault="00C83C33">
            <w:pPr>
              <w:pStyle w:val="Tabletext"/>
              <w:widowControl w:val="0"/>
              <w:jc w:val="center"/>
              <w:rPr>
                <w:lang w:val="en-AU"/>
              </w:rPr>
            </w:pPr>
            <w:r>
              <w:rPr>
                <w:lang w:val="en-AU"/>
              </w:rPr>
              <w:t xml:space="preserve">0.36 </w:t>
            </w:r>
          </w:p>
          <w:p w:rsidR="00716FDC" w:rsidRDefault="00C83C33">
            <w:pPr>
              <w:pStyle w:val="Tabletext"/>
              <w:widowControl w:val="0"/>
              <w:jc w:val="center"/>
              <w:rPr>
                <w:lang w:val="en-AU"/>
              </w:rPr>
            </w:pPr>
            <w:r>
              <w:rPr>
                <w:lang w:val="en-AU"/>
              </w:rPr>
              <w:t xml:space="preserve">(0.31, 0.42) </w:t>
            </w:r>
          </w:p>
        </w:tc>
        <w:tc>
          <w:tcPr>
            <w:tcW w:w="1084" w:type="dxa"/>
            <w:vAlign w:val="center"/>
          </w:tcPr>
          <w:p w:rsidR="00716FDC" w:rsidRDefault="00C83C33">
            <w:pPr>
              <w:pStyle w:val="Default"/>
              <w:widowControl w:val="0"/>
              <w:jc w:val="center"/>
              <w:rPr>
                <w:rFonts w:ascii="Arial Narrow" w:hAnsi="Arial Narrow" w:cs="Times New Roman"/>
                <w:b/>
                <w:color w:val="auto"/>
                <w:sz w:val="20"/>
                <w:szCs w:val="20"/>
                <w:lang w:eastAsia="en-US"/>
              </w:rPr>
            </w:pPr>
            <w:r>
              <w:rPr>
                <w:rFonts w:ascii="Arial Narrow" w:hAnsi="Arial Narrow" w:cs="Times New Roman"/>
                <w:b/>
                <w:color w:val="auto"/>
                <w:sz w:val="20"/>
                <w:szCs w:val="20"/>
                <w:lang w:eastAsia="en-US"/>
              </w:rPr>
              <w:t xml:space="preserve">0.40 (0.32,0.49) </w:t>
            </w:r>
          </w:p>
        </w:tc>
      </w:tr>
    </w:tbl>
    <w:p w:rsidR="00716FDC" w:rsidRDefault="00C83C33">
      <w:pPr>
        <w:pStyle w:val="TableFooter"/>
      </w:pPr>
      <w:r>
        <w:t xml:space="preserve">Source: Table 2.5.1, p40 of the submission </w:t>
      </w:r>
      <w:r>
        <w:rPr>
          <w:lang w:val="en-US"/>
        </w:rPr>
        <w:t>&amp;</w:t>
      </w:r>
      <w:r>
        <w:t xml:space="preserve"> Table 30, p96 CSR3_SYGMA2</w:t>
      </w:r>
    </w:p>
    <w:p w:rsidR="00716FDC" w:rsidRDefault="00C83C33">
      <w:pPr>
        <w:pStyle w:val="TableFooter"/>
      </w:pPr>
      <w:r>
        <w:rPr>
          <w:b/>
        </w:rPr>
        <w:t>Bold</w:t>
      </w:r>
      <w:r>
        <w:t xml:space="preserve"> = statistically significant</w:t>
      </w:r>
      <w:r>
        <w:rPr>
          <w:lang w:val="en-AU"/>
        </w:rPr>
        <w:t xml:space="preserve">; </w:t>
      </w:r>
      <w:r>
        <w:t>CI</w:t>
      </w:r>
      <w:r>
        <w:rPr>
          <w:lang w:val="en-AU"/>
        </w:rPr>
        <w:t xml:space="preserve"> =</w:t>
      </w:r>
      <w:r>
        <w:t xml:space="preserve"> </w:t>
      </w:r>
      <w:r>
        <w:rPr>
          <w:lang w:val="en-AU"/>
        </w:rPr>
        <w:t>confidence interval; ICS = inhaled corticosteroid; SABA = short-acting beta2-agonist</w:t>
      </w:r>
      <w:r>
        <w:t xml:space="preserve">  </w:t>
      </w:r>
    </w:p>
    <w:p w:rsidR="00716FDC" w:rsidRDefault="00C83C33">
      <w:pPr>
        <w:pStyle w:val="TableFooter"/>
      </w:pPr>
      <w:r>
        <w:rPr>
          <w:vertAlign w:val="superscript"/>
        </w:rPr>
        <w:lastRenderedPageBreak/>
        <w:t>a</w:t>
      </w:r>
      <w:r>
        <w:t xml:space="preserve"> Rate ratio are reported with Symbicort as a reference</w:t>
      </w:r>
    </w:p>
    <w:p w:rsidR="00716FDC" w:rsidRDefault="00C83C33">
      <w:pPr>
        <w:pStyle w:val="TableFooter"/>
      </w:pPr>
      <w:r>
        <w:rPr>
          <w:vertAlign w:val="superscript"/>
          <w:lang w:val="en-AU"/>
        </w:rPr>
        <w:t>b</w:t>
      </w:r>
      <w:r>
        <w:t xml:space="preserve"> 1-sided upper 95% CI</w:t>
      </w:r>
    </w:p>
    <w:p w:rsidR="00716FDC" w:rsidRDefault="00C83C33">
      <w:pPr>
        <w:pStyle w:val="TableFooter"/>
      </w:pPr>
      <w:r>
        <w:rPr>
          <w:vertAlign w:val="superscript"/>
          <w:lang w:val="en-AU"/>
        </w:rPr>
        <w:t xml:space="preserve">c </w:t>
      </w:r>
      <w:r>
        <w:t xml:space="preserve">1-sided upper 97.5% CI </w:t>
      </w:r>
    </w:p>
    <w:p w:rsidR="00716FDC" w:rsidRDefault="00716FDC">
      <w:pPr>
        <w:pStyle w:val="TableFooter"/>
      </w:pPr>
    </w:p>
    <w:p w:rsidR="00716FDC" w:rsidRDefault="00C83C33">
      <w:pPr>
        <w:keepNext/>
        <w:keepLines/>
        <w:widowControl/>
        <w:spacing w:after="120"/>
        <w:rPr>
          <w:rFonts w:cs="Calibri"/>
          <w:i/>
          <w:color w:val="000000"/>
          <w:szCs w:val="24"/>
        </w:rPr>
      </w:pPr>
      <w:r>
        <w:rPr>
          <w:rFonts w:cs="Calibri"/>
          <w:i/>
          <w:color w:val="000000"/>
          <w:szCs w:val="24"/>
        </w:rPr>
        <w:t>Symbicort versus ICS+SABA</w:t>
      </w:r>
    </w:p>
    <w:p w:rsidR="00716FDC" w:rsidRDefault="00C83C33">
      <w:pPr>
        <w:pStyle w:val="ListParagraph"/>
        <w:keepNext/>
        <w:keepLines/>
        <w:widowControl/>
        <w:numPr>
          <w:ilvl w:val="1"/>
          <w:numId w:val="2"/>
        </w:numPr>
        <w:rPr>
          <w:rFonts w:ascii="Calibri" w:hAnsi="Calibri" w:cs="Calibri"/>
          <w:color w:val="000000"/>
          <w:sz w:val="24"/>
          <w:szCs w:val="24"/>
        </w:rPr>
      </w:pPr>
      <w:r>
        <w:rPr>
          <w:rFonts w:ascii="Calibri" w:hAnsi="Calibri" w:cs="Calibri"/>
          <w:sz w:val="24"/>
          <w:szCs w:val="24"/>
        </w:rPr>
        <w:t xml:space="preserve">In SYGMA 1, no significant difference in annual rate </w:t>
      </w:r>
      <w:r>
        <w:rPr>
          <w:rFonts w:ascii="Calibri" w:hAnsi="Calibri" w:cs="Calibri"/>
          <w:sz w:val="24"/>
          <w:szCs w:val="24"/>
          <w:lang w:val="en-AU"/>
        </w:rPr>
        <w:t xml:space="preserve">of </w:t>
      </w:r>
      <w:r>
        <w:rPr>
          <w:rFonts w:ascii="Calibri" w:hAnsi="Calibri" w:cs="Calibri"/>
          <w:sz w:val="24"/>
          <w:szCs w:val="24"/>
        </w:rPr>
        <w:t>severe asthma exacerbations was detected for Symbicort</w:t>
      </w:r>
      <w:r>
        <w:rPr>
          <w:rFonts w:ascii="Calibri" w:hAnsi="Calibri" w:cs="Calibri"/>
          <w:i/>
          <w:sz w:val="24"/>
          <w:szCs w:val="24"/>
        </w:rPr>
        <w:t xml:space="preserve"> </w:t>
      </w:r>
      <w:r>
        <w:rPr>
          <w:rFonts w:ascii="Calibri" w:hAnsi="Calibri" w:cs="Calibri"/>
          <w:sz w:val="24"/>
          <w:szCs w:val="24"/>
        </w:rPr>
        <w:t xml:space="preserve">and ICS+SABA arms (rate ratio (RR) = 0.83, 95% CI: 0.59, 1.16). Based on nominated MCID of 20%, the submission claimed that non-inferiority criteria were met because the annual severe exacerbation rate was 17% (less than 20%). However, </w:t>
      </w:r>
      <w:r>
        <w:rPr>
          <w:rFonts w:ascii="Calibri" w:hAnsi="Calibri" w:cs="Calibri"/>
          <w:sz w:val="24"/>
          <w:szCs w:val="24"/>
          <w:lang w:val="en-AU"/>
        </w:rPr>
        <w:t xml:space="preserve">a </w:t>
      </w:r>
      <w:r>
        <w:rPr>
          <w:rFonts w:ascii="Calibri" w:hAnsi="Calibri" w:cs="Calibri"/>
          <w:sz w:val="24"/>
          <w:szCs w:val="24"/>
        </w:rPr>
        <w:t>non-inferiority margin was not defined in SYGMA 1.</w:t>
      </w:r>
      <w:r>
        <w:rPr>
          <w:rFonts w:ascii="Calibri" w:hAnsi="Calibri" w:cs="Calibri"/>
          <w:i/>
          <w:sz w:val="24"/>
          <w:szCs w:val="24"/>
        </w:rPr>
        <w:t xml:space="preserve">   </w:t>
      </w:r>
    </w:p>
    <w:p w:rsidR="00716FDC" w:rsidRDefault="00C83C33">
      <w:pPr>
        <w:pStyle w:val="ListParagraph"/>
        <w:widowControl/>
        <w:numPr>
          <w:ilvl w:val="1"/>
          <w:numId w:val="2"/>
        </w:numPr>
        <w:rPr>
          <w:rFonts w:ascii="Calibri" w:hAnsi="Calibri" w:cs="Calibri"/>
          <w:color w:val="000000"/>
          <w:sz w:val="24"/>
          <w:szCs w:val="24"/>
        </w:rPr>
      </w:pPr>
      <w:r>
        <w:rPr>
          <w:rFonts w:ascii="Calibri" w:hAnsi="Calibri" w:cs="Calibri"/>
          <w:sz w:val="24"/>
          <w:szCs w:val="24"/>
        </w:rPr>
        <w:t xml:space="preserve">Similarly, </w:t>
      </w:r>
      <w:r>
        <w:rPr>
          <w:rFonts w:ascii="Calibri" w:hAnsi="Calibri" w:cs="Calibri"/>
          <w:sz w:val="24"/>
          <w:szCs w:val="24"/>
          <w:lang w:val="en-AU"/>
        </w:rPr>
        <w:t xml:space="preserve">no </w:t>
      </w:r>
      <w:r>
        <w:rPr>
          <w:rFonts w:ascii="Calibri" w:hAnsi="Calibri" w:cs="Calibri"/>
          <w:sz w:val="24"/>
          <w:szCs w:val="24"/>
        </w:rPr>
        <w:t>significant difference in the annual rate of severe asthma exacerbations between Symbicort and ICS+SABA arms (RR = 0.97, 1-sided upper 95% CI: 1.16)</w:t>
      </w:r>
      <w:r>
        <w:rPr>
          <w:rFonts w:ascii="Calibri" w:hAnsi="Calibri" w:cs="Calibri"/>
          <w:sz w:val="24"/>
          <w:szCs w:val="24"/>
          <w:lang w:val="en-AU"/>
        </w:rPr>
        <w:t xml:space="preserve"> was reported in SYGMA 2</w:t>
      </w:r>
      <w:r>
        <w:rPr>
          <w:rFonts w:ascii="Calibri" w:hAnsi="Calibri" w:cs="Calibri"/>
          <w:sz w:val="24"/>
          <w:szCs w:val="24"/>
        </w:rPr>
        <w:t xml:space="preserve">. The submission claimed that non-inferiority was met because the 1-sided 95% CI for the rate ratio was less than 1.2, the nominated non-inferiority margin. However, the EMA recommend that when </w:t>
      </w:r>
      <w:r>
        <w:rPr>
          <w:rFonts w:ascii="Calibri" w:hAnsi="Calibri" w:cs="Calibri"/>
          <w:bCs/>
          <w:sz w:val="24"/>
          <w:szCs w:val="24"/>
        </w:rPr>
        <w:t>switch</w:t>
      </w:r>
      <w:r>
        <w:rPr>
          <w:rFonts w:ascii="Calibri" w:hAnsi="Calibri" w:cs="Calibri"/>
          <w:bCs/>
          <w:sz w:val="24"/>
          <w:szCs w:val="24"/>
          <w:lang w:val="en-AU"/>
        </w:rPr>
        <w:t>ing</w:t>
      </w:r>
      <w:r>
        <w:rPr>
          <w:rFonts w:ascii="Calibri" w:hAnsi="Calibri" w:cs="Calibri"/>
          <w:bCs/>
          <w:sz w:val="24"/>
          <w:szCs w:val="24"/>
        </w:rPr>
        <w:t xml:space="preserve"> the trial objective from superiority to non-inferiority</w:t>
      </w:r>
      <w:r>
        <w:rPr>
          <w:rFonts w:ascii="Calibri" w:hAnsi="Calibri" w:cs="Calibri"/>
          <w:sz w:val="24"/>
          <w:szCs w:val="24"/>
        </w:rPr>
        <w:t xml:space="preserve"> </w:t>
      </w:r>
      <w:r>
        <w:rPr>
          <w:rFonts w:ascii="Calibri" w:hAnsi="Calibri" w:cs="Calibri"/>
          <w:sz w:val="24"/>
          <w:szCs w:val="24"/>
          <w:lang w:val="en-AU"/>
        </w:rPr>
        <w:t xml:space="preserve">as occurred in SYGMA 2, and </w:t>
      </w:r>
      <w:r>
        <w:rPr>
          <w:rFonts w:ascii="Calibri" w:hAnsi="Calibri" w:cs="Calibri"/>
          <w:sz w:val="24"/>
          <w:szCs w:val="24"/>
        </w:rPr>
        <w:t xml:space="preserve">using one-sided confidence intervals, </w:t>
      </w:r>
      <w:r>
        <w:rPr>
          <w:rFonts w:ascii="Calibri" w:hAnsi="Calibri" w:cs="Calibri"/>
          <w:sz w:val="24"/>
          <w:szCs w:val="24"/>
          <w:lang w:val="en-AU"/>
        </w:rPr>
        <w:t xml:space="preserve">a </w:t>
      </w:r>
      <w:r>
        <w:rPr>
          <w:rFonts w:ascii="Calibri" w:hAnsi="Calibri" w:cs="Calibri"/>
          <w:sz w:val="24"/>
          <w:szCs w:val="24"/>
        </w:rPr>
        <w:t xml:space="preserve">97.5% coverage probability should be used. </w:t>
      </w:r>
      <w:r>
        <w:rPr>
          <w:rFonts w:ascii="Calibri" w:hAnsi="Calibri" w:cs="Calibri"/>
          <w:sz w:val="24"/>
          <w:szCs w:val="24"/>
          <w:lang w:val="en-AU"/>
        </w:rPr>
        <w:t>U</w:t>
      </w:r>
      <w:r>
        <w:rPr>
          <w:rFonts w:ascii="Calibri" w:hAnsi="Calibri" w:cs="Calibri"/>
          <w:sz w:val="24"/>
          <w:szCs w:val="24"/>
        </w:rPr>
        <w:t>sin</w:t>
      </w:r>
      <w:r>
        <w:rPr>
          <w:rFonts w:ascii="Calibri" w:hAnsi="Calibri" w:cs="Calibri"/>
          <w:sz w:val="24"/>
          <w:szCs w:val="24"/>
          <w:lang w:val="en-AU"/>
        </w:rPr>
        <w:t xml:space="preserve">g the EMA recommendation the claim of non-inferiority was not met as the </w:t>
      </w:r>
      <w:r>
        <w:rPr>
          <w:rFonts w:ascii="Calibri" w:hAnsi="Calibri" w:cs="Calibri"/>
          <w:sz w:val="24"/>
          <w:szCs w:val="24"/>
        </w:rPr>
        <w:t xml:space="preserve">1-sided </w:t>
      </w:r>
      <w:r>
        <w:rPr>
          <w:rFonts w:ascii="Calibri" w:hAnsi="Calibri" w:cs="Calibri"/>
          <w:sz w:val="24"/>
          <w:szCs w:val="24"/>
          <w:lang w:val="en-AU"/>
        </w:rPr>
        <w:t xml:space="preserve">upper </w:t>
      </w:r>
      <w:r>
        <w:rPr>
          <w:rFonts w:ascii="Calibri" w:hAnsi="Calibri" w:cs="Calibri"/>
          <w:sz w:val="24"/>
          <w:szCs w:val="24"/>
        </w:rPr>
        <w:t>97.5% confidence interval</w:t>
      </w:r>
      <w:r>
        <w:rPr>
          <w:rFonts w:ascii="Calibri" w:hAnsi="Calibri" w:cs="Calibri"/>
          <w:sz w:val="24"/>
          <w:szCs w:val="24"/>
          <w:lang w:val="en-AU"/>
        </w:rPr>
        <w:t xml:space="preserve"> rate ratio was 1.2. </w:t>
      </w:r>
      <w:r>
        <w:rPr>
          <w:rFonts w:asciiTheme="minorHAnsi" w:hAnsiTheme="minorHAnsi" w:cstheme="minorHAnsi"/>
          <w:sz w:val="24"/>
          <w:szCs w:val="24"/>
          <w:lang w:val="en-AU"/>
        </w:rPr>
        <w:t>The PSCR  argued that the analysis using a 2.5% 1-sided test was not the primary analysis; it was only a supportive analysis. The PSCR  argued that the upper confidence interval fractionally exceeded the non-inferiority margin (RR 0.97; 97.5% upper CI 1.202) and that that focusing on this one supportive analysis is inappropriately selective. The ESC considered that the results were not very robust as the upper limit of the confidence interval was 1.16 (95% CI) in the primary analysis and 1.20 (97.5%</w:t>
      </w:r>
      <w:r>
        <w:rPr>
          <w:rFonts w:asciiTheme="minorHAnsi" w:hAnsiTheme="minorHAnsi" w:cstheme="minorHAnsi"/>
          <w:sz w:val="24"/>
          <w:szCs w:val="24"/>
        </w:rPr>
        <w:t xml:space="preserve"> </w:t>
      </w:r>
      <w:r>
        <w:rPr>
          <w:rFonts w:asciiTheme="minorHAnsi" w:hAnsiTheme="minorHAnsi" w:cstheme="minorHAnsi"/>
          <w:sz w:val="24"/>
          <w:szCs w:val="24"/>
          <w:lang w:val="en-AU"/>
        </w:rPr>
        <w:t>CI) in the supportive efficacy analysis.</w:t>
      </w:r>
      <w:r>
        <w:rPr>
          <w:szCs w:val="24"/>
          <w:lang w:val="en-AU"/>
        </w:rPr>
        <w:t xml:space="preserve"> </w:t>
      </w:r>
    </w:p>
    <w:p w:rsidR="00716FDC" w:rsidRDefault="00C83C33">
      <w:pPr>
        <w:keepNext/>
        <w:keepLines/>
        <w:widowControl/>
        <w:spacing w:after="120"/>
        <w:rPr>
          <w:rFonts w:cs="Calibri"/>
          <w:i/>
          <w:color w:val="000000"/>
          <w:szCs w:val="24"/>
        </w:rPr>
      </w:pPr>
      <w:r>
        <w:rPr>
          <w:rFonts w:cs="Calibri"/>
          <w:i/>
          <w:color w:val="000000"/>
          <w:szCs w:val="24"/>
        </w:rPr>
        <w:t>Symbicort versus SABA</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SYGMA 1 reported a statistically significant and clinically meaningful reduction of </w:t>
      </w:r>
      <w:r>
        <w:rPr>
          <w:rFonts w:ascii="Calibri" w:hAnsi="Calibri" w:cs="Calibri"/>
          <w:sz w:val="24"/>
          <w:szCs w:val="24"/>
          <w:lang w:val="en-AU"/>
        </w:rPr>
        <w:t xml:space="preserve">both </w:t>
      </w:r>
      <w:r>
        <w:rPr>
          <w:rFonts w:ascii="Calibri" w:hAnsi="Calibri" w:cs="Calibri"/>
          <w:sz w:val="24"/>
          <w:szCs w:val="24"/>
        </w:rPr>
        <w:t xml:space="preserve">annual </w:t>
      </w:r>
      <w:r>
        <w:rPr>
          <w:rFonts w:ascii="Calibri" w:hAnsi="Calibri" w:cs="Calibri"/>
          <w:sz w:val="24"/>
          <w:szCs w:val="24"/>
          <w:lang w:val="en-AU"/>
        </w:rPr>
        <w:t>‘</w:t>
      </w:r>
      <w:r>
        <w:rPr>
          <w:rFonts w:ascii="Calibri" w:hAnsi="Calibri" w:cs="Calibri"/>
          <w:sz w:val="24"/>
          <w:szCs w:val="24"/>
        </w:rPr>
        <w:t>severe asthma</w:t>
      </w:r>
      <w:r>
        <w:rPr>
          <w:rFonts w:ascii="Calibri" w:hAnsi="Calibri" w:cs="Calibri"/>
          <w:sz w:val="24"/>
          <w:szCs w:val="24"/>
          <w:lang w:val="en-AU"/>
        </w:rPr>
        <w:t xml:space="preserve"> exacerbations’</w:t>
      </w:r>
      <w:r>
        <w:rPr>
          <w:rFonts w:ascii="Calibri" w:hAnsi="Calibri" w:cs="Calibri"/>
          <w:sz w:val="24"/>
          <w:szCs w:val="24"/>
        </w:rPr>
        <w:t xml:space="preserve"> </w:t>
      </w:r>
      <w:r>
        <w:rPr>
          <w:rFonts w:ascii="Calibri" w:hAnsi="Calibri" w:cs="Calibri"/>
          <w:sz w:val="24"/>
          <w:szCs w:val="24"/>
          <w:lang w:val="en-AU"/>
        </w:rPr>
        <w:t xml:space="preserve">and ‘moderate or severe asthma </w:t>
      </w:r>
      <w:r>
        <w:rPr>
          <w:rFonts w:ascii="Calibri" w:hAnsi="Calibri" w:cs="Calibri"/>
          <w:sz w:val="24"/>
          <w:szCs w:val="24"/>
        </w:rPr>
        <w:t>exacerbations</w:t>
      </w:r>
      <w:r>
        <w:rPr>
          <w:rFonts w:ascii="Calibri" w:hAnsi="Calibri" w:cs="Calibri"/>
          <w:sz w:val="24"/>
          <w:szCs w:val="24"/>
          <w:lang w:val="en-AU"/>
        </w:rPr>
        <w:t>’</w:t>
      </w:r>
      <w:r>
        <w:rPr>
          <w:rFonts w:ascii="Calibri" w:hAnsi="Calibri" w:cs="Calibri"/>
          <w:sz w:val="24"/>
          <w:szCs w:val="24"/>
        </w:rPr>
        <w:t xml:space="preserve"> events favouring Symbicort. </w:t>
      </w:r>
    </w:p>
    <w:p w:rsidR="00716FDC" w:rsidRDefault="00C83C33">
      <w:pPr>
        <w:keepNext/>
        <w:keepLines/>
        <w:widowControl/>
        <w:spacing w:after="120"/>
        <w:rPr>
          <w:rFonts w:cs="Calibri"/>
          <w:color w:val="000000"/>
          <w:szCs w:val="24"/>
          <w:u w:val="single"/>
        </w:rPr>
      </w:pPr>
      <w:r>
        <w:rPr>
          <w:rFonts w:cs="Calibri"/>
          <w:color w:val="000000"/>
          <w:szCs w:val="24"/>
          <w:u w:val="single"/>
        </w:rPr>
        <w:t>Asthma symptom control</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Table 7 </w:t>
      </w:r>
      <w:r>
        <w:rPr>
          <w:rFonts w:ascii="Calibri" w:hAnsi="Calibri" w:cs="Calibri"/>
          <w:sz w:val="24"/>
          <w:szCs w:val="24"/>
          <w:lang w:val="en-AU"/>
        </w:rPr>
        <w:t xml:space="preserve">and 8 </w:t>
      </w:r>
      <w:r>
        <w:rPr>
          <w:rFonts w:ascii="Calibri" w:hAnsi="Calibri" w:cs="Calibri"/>
          <w:sz w:val="24"/>
          <w:szCs w:val="24"/>
        </w:rPr>
        <w:t>presents the results for asthma symptoms based on the ACQ-5</w:t>
      </w:r>
      <w:r>
        <w:rPr>
          <w:rFonts w:ascii="Calibri" w:hAnsi="Calibri" w:cs="Calibri"/>
          <w:sz w:val="24"/>
          <w:szCs w:val="24"/>
          <w:lang w:val="en-AU"/>
        </w:rPr>
        <w:t xml:space="preserve"> and WCAW</w:t>
      </w:r>
      <w:r>
        <w:rPr>
          <w:rFonts w:ascii="Calibri" w:hAnsi="Calibri" w:cs="Calibri"/>
          <w:sz w:val="24"/>
          <w:szCs w:val="24"/>
        </w:rPr>
        <w:t>.</w:t>
      </w:r>
    </w:p>
    <w:p w:rsidR="006D01D6" w:rsidRDefault="006D01D6" w:rsidP="006D01D6">
      <w:pPr>
        <w:pStyle w:val="TableHeading0"/>
      </w:pPr>
      <w:r>
        <w:t xml:space="preserve">Table </w:t>
      </w:r>
      <w:r>
        <w:fldChar w:fldCharType="begin"/>
      </w:r>
      <w:r>
        <w:instrText xml:space="preserve"> SEQ Table \* ARABIC </w:instrText>
      </w:r>
      <w:r>
        <w:fldChar w:fldCharType="separate"/>
      </w:r>
      <w:r w:rsidR="00D2464D">
        <w:rPr>
          <w:noProof/>
        </w:rPr>
        <w:t>7</w:t>
      </w:r>
      <w:r>
        <w:fldChar w:fldCharType="end"/>
      </w:r>
      <w:r w:rsidRPr="00C65B39">
        <w:t>: Results for ACQ-5 (Full analyses set)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Results for ACQ-5 (Full analyses set)"/>
      </w:tblPr>
      <w:tblGrid>
        <w:gridCol w:w="1271"/>
        <w:gridCol w:w="851"/>
        <w:gridCol w:w="1275"/>
        <w:gridCol w:w="567"/>
        <w:gridCol w:w="1134"/>
        <w:gridCol w:w="993"/>
        <w:gridCol w:w="708"/>
        <w:gridCol w:w="1134"/>
        <w:gridCol w:w="1134"/>
      </w:tblGrid>
      <w:tr w:rsidR="00716FDC">
        <w:trPr>
          <w:trHeight w:val="233"/>
          <w:tblHeader/>
        </w:trPr>
        <w:tc>
          <w:tcPr>
            <w:tcW w:w="1271" w:type="dxa"/>
            <w:vMerge w:val="restart"/>
            <w:vAlign w:val="center"/>
          </w:tcPr>
          <w:p w:rsidR="00716FDC" w:rsidRDefault="00C83C33">
            <w:pPr>
              <w:keepNext/>
              <w:keepLines/>
              <w:jc w:val="center"/>
              <w:rPr>
                <w:rFonts w:ascii="Arial Narrow" w:hAnsi="Arial Narrow"/>
                <w:b/>
                <w:sz w:val="20"/>
                <w:szCs w:val="20"/>
              </w:rPr>
            </w:pPr>
            <w:bookmarkStart w:id="14" w:name="_Hlk8120648"/>
            <w:r>
              <w:rPr>
                <w:rFonts w:ascii="Arial Narrow" w:hAnsi="Arial Narrow"/>
                <w:b/>
                <w:sz w:val="20"/>
                <w:szCs w:val="20"/>
              </w:rPr>
              <w:t xml:space="preserve">Trial </w:t>
            </w:r>
          </w:p>
        </w:tc>
        <w:tc>
          <w:tcPr>
            <w:tcW w:w="2126" w:type="dxa"/>
            <w:gridSpan w:val="2"/>
          </w:tcPr>
          <w:p w:rsidR="00716FDC" w:rsidRDefault="00C83C33">
            <w:pPr>
              <w:keepNext/>
              <w:keepLines/>
              <w:jc w:val="center"/>
              <w:rPr>
                <w:rFonts w:ascii="Arial Narrow" w:hAnsi="Arial Narrow"/>
                <w:b/>
                <w:sz w:val="20"/>
                <w:szCs w:val="20"/>
              </w:rPr>
            </w:pPr>
            <w:r>
              <w:rPr>
                <w:rFonts w:ascii="Arial Narrow" w:hAnsi="Arial Narrow"/>
                <w:b/>
                <w:sz w:val="20"/>
                <w:szCs w:val="20"/>
              </w:rPr>
              <w:t>Symbicort</w:t>
            </w:r>
          </w:p>
        </w:tc>
        <w:tc>
          <w:tcPr>
            <w:tcW w:w="2694" w:type="dxa"/>
            <w:gridSpan w:val="3"/>
          </w:tcPr>
          <w:p w:rsidR="00716FDC" w:rsidRDefault="00C83C33">
            <w:pPr>
              <w:keepNext/>
              <w:keepLines/>
              <w:jc w:val="center"/>
              <w:rPr>
                <w:rFonts w:ascii="Arial Narrow" w:hAnsi="Arial Narrow"/>
                <w:b/>
                <w:sz w:val="20"/>
                <w:szCs w:val="20"/>
              </w:rPr>
            </w:pPr>
            <w:r>
              <w:rPr>
                <w:rFonts w:ascii="Arial Narrow" w:hAnsi="Arial Narrow"/>
                <w:b/>
                <w:sz w:val="20"/>
                <w:szCs w:val="20"/>
              </w:rPr>
              <w:t>ICS+SABA</w:t>
            </w:r>
          </w:p>
        </w:tc>
        <w:tc>
          <w:tcPr>
            <w:tcW w:w="2976" w:type="dxa"/>
            <w:gridSpan w:val="3"/>
          </w:tcPr>
          <w:p w:rsidR="00716FDC" w:rsidRDefault="00C83C33">
            <w:pPr>
              <w:keepNext/>
              <w:keepLines/>
              <w:jc w:val="center"/>
              <w:rPr>
                <w:rFonts w:ascii="Arial Narrow" w:hAnsi="Arial Narrow"/>
                <w:b/>
                <w:sz w:val="20"/>
                <w:szCs w:val="20"/>
              </w:rPr>
            </w:pPr>
            <w:r>
              <w:rPr>
                <w:rFonts w:ascii="Arial Narrow" w:hAnsi="Arial Narrow"/>
                <w:b/>
                <w:sz w:val="20"/>
                <w:szCs w:val="20"/>
              </w:rPr>
              <w:t>SABA</w:t>
            </w:r>
          </w:p>
        </w:tc>
      </w:tr>
      <w:tr w:rsidR="00716FDC">
        <w:trPr>
          <w:trHeight w:val="380"/>
        </w:trPr>
        <w:tc>
          <w:tcPr>
            <w:tcW w:w="1271" w:type="dxa"/>
            <w:vMerge/>
            <w:vAlign w:val="center"/>
          </w:tcPr>
          <w:p w:rsidR="00716FDC" w:rsidRDefault="00716FDC">
            <w:pPr>
              <w:keepNext/>
              <w:keepLines/>
              <w:jc w:val="center"/>
              <w:rPr>
                <w:rFonts w:ascii="Arial Narrow" w:hAnsi="Arial Narrow"/>
                <w:b/>
                <w:sz w:val="20"/>
                <w:szCs w:val="20"/>
              </w:rPr>
            </w:pPr>
          </w:p>
        </w:tc>
        <w:tc>
          <w:tcPr>
            <w:tcW w:w="851" w:type="dxa"/>
          </w:tcPr>
          <w:p w:rsidR="00716FDC" w:rsidRDefault="00716FDC">
            <w:pPr>
              <w:keepNext/>
              <w:keepLines/>
              <w:jc w:val="center"/>
              <w:rPr>
                <w:rFonts w:ascii="Arial Narrow" w:hAnsi="Arial Narrow"/>
                <w:b/>
                <w:sz w:val="20"/>
                <w:szCs w:val="20"/>
              </w:rPr>
            </w:pPr>
          </w:p>
          <w:p w:rsidR="00716FDC" w:rsidRDefault="00C83C33">
            <w:pPr>
              <w:keepNext/>
              <w:keepLines/>
              <w:jc w:val="center"/>
              <w:rPr>
                <w:rFonts w:ascii="Arial Narrow" w:hAnsi="Arial Narrow"/>
                <w:b/>
                <w:sz w:val="20"/>
                <w:szCs w:val="20"/>
              </w:rPr>
            </w:pPr>
            <w:r>
              <w:rPr>
                <w:rFonts w:ascii="Arial Narrow" w:hAnsi="Arial Narrow"/>
                <w:b/>
                <w:sz w:val="20"/>
                <w:szCs w:val="20"/>
              </w:rPr>
              <w:t>N</w:t>
            </w:r>
          </w:p>
        </w:tc>
        <w:tc>
          <w:tcPr>
            <w:tcW w:w="1275" w:type="dxa"/>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LSM</w:t>
            </w:r>
          </w:p>
          <w:p w:rsidR="00716FDC" w:rsidRDefault="00C83C33">
            <w:pPr>
              <w:keepNext/>
              <w:keepLines/>
              <w:jc w:val="center"/>
              <w:rPr>
                <w:rFonts w:ascii="Arial Narrow" w:hAnsi="Arial Narrow"/>
                <w:b/>
                <w:sz w:val="20"/>
                <w:szCs w:val="20"/>
              </w:rPr>
            </w:pPr>
            <w:r>
              <w:rPr>
                <w:rFonts w:ascii="Arial Narrow" w:hAnsi="Arial Narrow"/>
                <w:b/>
                <w:sz w:val="20"/>
                <w:szCs w:val="20"/>
              </w:rPr>
              <w:t>(95% CI)</w:t>
            </w:r>
          </w:p>
        </w:tc>
        <w:tc>
          <w:tcPr>
            <w:tcW w:w="567" w:type="dxa"/>
          </w:tcPr>
          <w:p w:rsidR="00716FDC" w:rsidRDefault="00716FDC">
            <w:pPr>
              <w:keepNext/>
              <w:keepLines/>
              <w:jc w:val="center"/>
              <w:rPr>
                <w:rFonts w:ascii="Arial Narrow" w:hAnsi="Arial Narrow"/>
                <w:b/>
                <w:sz w:val="20"/>
                <w:szCs w:val="20"/>
              </w:rPr>
            </w:pPr>
          </w:p>
          <w:p w:rsidR="00716FDC" w:rsidRDefault="00C83C33">
            <w:pPr>
              <w:keepNext/>
              <w:keepLines/>
              <w:jc w:val="center"/>
              <w:rPr>
                <w:rFonts w:ascii="Arial Narrow" w:hAnsi="Arial Narrow"/>
                <w:b/>
                <w:sz w:val="20"/>
                <w:szCs w:val="20"/>
              </w:rPr>
            </w:pPr>
            <w:r>
              <w:rPr>
                <w:rFonts w:ascii="Arial Narrow" w:hAnsi="Arial Narrow"/>
                <w:b/>
                <w:sz w:val="20"/>
                <w:szCs w:val="20"/>
              </w:rPr>
              <w:t>N</w:t>
            </w:r>
          </w:p>
        </w:tc>
        <w:tc>
          <w:tcPr>
            <w:tcW w:w="1134" w:type="dxa"/>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 xml:space="preserve">LSM </w:t>
            </w:r>
          </w:p>
          <w:p w:rsidR="00716FDC" w:rsidRDefault="00C83C33">
            <w:pPr>
              <w:keepNext/>
              <w:keepLines/>
              <w:jc w:val="center"/>
              <w:rPr>
                <w:rFonts w:ascii="Arial Narrow" w:hAnsi="Arial Narrow"/>
                <w:b/>
                <w:sz w:val="20"/>
                <w:szCs w:val="20"/>
              </w:rPr>
            </w:pPr>
            <w:r>
              <w:rPr>
                <w:rFonts w:ascii="Arial Narrow" w:hAnsi="Arial Narrow"/>
                <w:b/>
                <w:sz w:val="20"/>
                <w:szCs w:val="20"/>
              </w:rPr>
              <w:t>(95% CI)</w:t>
            </w:r>
          </w:p>
        </w:tc>
        <w:tc>
          <w:tcPr>
            <w:tcW w:w="993" w:type="dxa"/>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LSM difference (95% CI)</w:t>
            </w:r>
          </w:p>
        </w:tc>
        <w:tc>
          <w:tcPr>
            <w:tcW w:w="708" w:type="dxa"/>
          </w:tcPr>
          <w:p w:rsidR="00716FDC" w:rsidRDefault="00716FDC">
            <w:pPr>
              <w:keepNext/>
              <w:keepLines/>
              <w:jc w:val="center"/>
              <w:rPr>
                <w:rFonts w:ascii="Arial Narrow" w:hAnsi="Arial Narrow"/>
                <w:b/>
                <w:sz w:val="20"/>
                <w:szCs w:val="20"/>
              </w:rPr>
            </w:pPr>
          </w:p>
          <w:p w:rsidR="00716FDC" w:rsidRDefault="00C83C33">
            <w:pPr>
              <w:keepNext/>
              <w:keepLines/>
              <w:jc w:val="center"/>
              <w:rPr>
                <w:rFonts w:ascii="Arial Narrow" w:hAnsi="Arial Narrow"/>
                <w:b/>
                <w:sz w:val="20"/>
                <w:szCs w:val="20"/>
              </w:rPr>
            </w:pPr>
            <w:r>
              <w:rPr>
                <w:rFonts w:ascii="Arial Narrow" w:hAnsi="Arial Narrow"/>
                <w:b/>
                <w:sz w:val="20"/>
                <w:szCs w:val="20"/>
              </w:rPr>
              <w:t>N</w:t>
            </w:r>
          </w:p>
        </w:tc>
        <w:tc>
          <w:tcPr>
            <w:tcW w:w="1134" w:type="dxa"/>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 xml:space="preserve">LSM </w:t>
            </w:r>
            <w:r>
              <w:rPr>
                <w:rFonts w:ascii="Arial Narrow" w:hAnsi="Arial Narrow"/>
                <w:b/>
                <w:sz w:val="20"/>
                <w:szCs w:val="20"/>
              </w:rPr>
              <w:br/>
              <w:t>(95% CI)</w:t>
            </w:r>
          </w:p>
        </w:tc>
        <w:tc>
          <w:tcPr>
            <w:tcW w:w="1134" w:type="dxa"/>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LSM difference (95% CI)</w:t>
            </w:r>
          </w:p>
        </w:tc>
      </w:tr>
      <w:tr w:rsidR="00716FDC">
        <w:trPr>
          <w:trHeight w:val="371"/>
        </w:trPr>
        <w:tc>
          <w:tcPr>
            <w:tcW w:w="1271" w:type="dxa"/>
            <w:vAlign w:val="center"/>
          </w:tcPr>
          <w:p w:rsidR="00716FDC" w:rsidRDefault="00C83C33">
            <w:pPr>
              <w:pStyle w:val="Tabletext"/>
              <w:keepLines/>
              <w:rPr>
                <w:b/>
                <w:szCs w:val="22"/>
                <w:lang w:val="en-AU"/>
              </w:rPr>
            </w:pPr>
            <w:r>
              <w:rPr>
                <w:b/>
              </w:rPr>
              <w:t>SYGMA</w:t>
            </w:r>
            <w:r>
              <w:rPr>
                <w:b/>
                <w:lang w:val="en-AU"/>
              </w:rPr>
              <w:t xml:space="preserve"> 1</w:t>
            </w:r>
          </w:p>
        </w:tc>
        <w:tc>
          <w:tcPr>
            <w:tcW w:w="851" w:type="dxa"/>
          </w:tcPr>
          <w:p w:rsidR="00716FDC" w:rsidRDefault="00C83C33">
            <w:pPr>
              <w:pStyle w:val="Tabletext"/>
              <w:keepLines/>
              <w:jc w:val="center"/>
              <w:rPr>
                <w:lang w:val="en-AU"/>
              </w:rPr>
            </w:pPr>
            <w:r>
              <w:rPr>
                <w:lang w:val="en-AU"/>
              </w:rPr>
              <w:t>1241</w:t>
            </w:r>
          </w:p>
        </w:tc>
        <w:tc>
          <w:tcPr>
            <w:tcW w:w="1275" w:type="dxa"/>
            <w:vAlign w:val="center"/>
          </w:tcPr>
          <w:p w:rsidR="00716FDC" w:rsidRDefault="00C83C33">
            <w:pPr>
              <w:pStyle w:val="Tabletext"/>
              <w:keepLines/>
              <w:jc w:val="center"/>
              <w:rPr>
                <w:szCs w:val="22"/>
                <w:lang w:val="en-AU"/>
              </w:rPr>
            </w:pPr>
            <w:r>
              <w:rPr>
                <w:szCs w:val="22"/>
                <w:lang w:val="en-AU"/>
              </w:rPr>
              <w:noBreakHyphen/>
              <w:t xml:space="preserve">0.33 </w:t>
            </w:r>
            <w:r>
              <w:rPr>
                <w:szCs w:val="22"/>
                <w:lang w:val="en-AU"/>
              </w:rPr>
              <w:br/>
              <w:t>(</w:t>
            </w:r>
            <w:r>
              <w:rPr>
                <w:szCs w:val="22"/>
                <w:lang w:val="en-AU"/>
              </w:rPr>
              <w:noBreakHyphen/>
              <w:t xml:space="preserve">0.36, </w:t>
            </w:r>
            <w:r>
              <w:rPr>
                <w:szCs w:val="22"/>
                <w:lang w:val="en-AU"/>
              </w:rPr>
              <w:noBreakHyphen/>
              <w:t>0.29)</w:t>
            </w:r>
          </w:p>
        </w:tc>
        <w:tc>
          <w:tcPr>
            <w:tcW w:w="567" w:type="dxa"/>
          </w:tcPr>
          <w:p w:rsidR="00716FDC" w:rsidRDefault="00C83C33">
            <w:pPr>
              <w:pStyle w:val="Tabletext"/>
              <w:keepLines/>
              <w:jc w:val="center"/>
              <w:rPr>
                <w:lang w:val="en-AU"/>
              </w:rPr>
            </w:pPr>
            <w:r>
              <w:rPr>
                <w:lang w:val="en-AU"/>
              </w:rPr>
              <w:t>1237</w:t>
            </w:r>
          </w:p>
        </w:tc>
        <w:tc>
          <w:tcPr>
            <w:tcW w:w="1134" w:type="dxa"/>
          </w:tcPr>
          <w:p w:rsidR="00716FDC" w:rsidRDefault="00C83C33">
            <w:pPr>
              <w:pStyle w:val="Tabletext"/>
              <w:keepLines/>
              <w:jc w:val="center"/>
              <w:rPr>
                <w:szCs w:val="22"/>
                <w:lang w:val="en-AU"/>
              </w:rPr>
            </w:pPr>
            <w:r>
              <w:rPr>
                <w:szCs w:val="22"/>
                <w:lang w:val="en-AU"/>
              </w:rPr>
              <w:noBreakHyphen/>
              <w:t xml:space="preserve">0.48 </w:t>
            </w:r>
            <w:r>
              <w:rPr>
                <w:szCs w:val="22"/>
                <w:lang w:val="en-AU"/>
              </w:rPr>
              <w:br/>
              <w:t>(</w:t>
            </w:r>
            <w:r>
              <w:rPr>
                <w:szCs w:val="22"/>
                <w:lang w:val="en-AU"/>
              </w:rPr>
              <w:noBreakHyphen/>
              <w:t xml:space="preserve">0.51, </w:t>
            </w:r>
            <w:r>
              <w:rPr>
                <w:szCs w:val="22"/>
                <w:lang w:val="en-AU"/>
              </w:rPr>
              <w:noBreakHyphen/>
              <w:t>0.44)</w:t>
            </w:r>
          </w:p>
        </w:tc>
        <w:tc>
          <w:tcPr>
            <w:tcW w:w="993" w:type="dxa"/>
          </w:tcPr>
          <w:p w:rsidR="00716FDC" w:rsidRDefault="00C83C33">
            <w:pPr>
              <w:pStyle w:val="Tabletext"/>
              <w:keepLines/>
              <w:jc w:val="center"/>
              <w:rPr>
                <w:b/>
                <w:lang w:val="en-AU"/>
              </w:rPr>
            </w:pPr>
            <w:r>
              <w:rPr>
                <w:b/>
                <w:lang w:val="en-AU"/>
              </w:rPr>
              <w:t xml:space="preserve">0.15 </w:t>
            </w:r>
          </w:p>
          <w:p w:rsidR="00716FDC" w:rsidRDefault="00C83C33">
            <w:pPr>
              <w:pStyle w:val="Tabletext"/>
              <w:keepLines/>
              <w:jc w:val="center"/>
              <w:rPr>
                <w:szCs w:val="22"/>
                <w:lang w:val="en-AU"/>
              </w:rPr>
            </w:pPr>
            <w:r>
              <w:rPr>
                <w:b/>
                <w:lang w:val="en-AU"/>
              </w:rPr>
              <w:t>(0.10, 0.20)</w:t>
            </w:r>
          </w:p>
        </w:tc>
        <w:tc>
          <w:tcPr>
            <w:tcW w:w="708" w:type="dxa"/>
          </w:tcPr>
          <w:p w:rsidR="00716FDC" w:rsidRDefault="00C83C33">
            <w:pPr>
              <w:pStyle w:val="Tabletext"/>
              <w:keepLines/>
              <w:jc w:val="center"/>
              <w:rPr>
                <w:lang w:val="en-AU"/>
              </w:rPr>
            </w:pPr>
            <w:r>
              <w:rPr>
                <w:lang w:val="en-AU"/>
              </w:rPr>
              <w:t>1225</w:t>
            </w:r>
          </w:p>
        </w:tc>
        <w:tc>
          <w:tcPr>
            <w:tcW w:w="1134" w:type="dxa"/>
            <w:vAlign w:val="center"/>
          </w:tcPr>
          <w:p w:rsidR="00716FDC" w:rsidRDefault="00C83C33">
            <w:pPr>
              <w:pStyle w:val="Tabletext"/>
              <w:keepLines/>
              <w:jc w:val="center"/>
              <w:rPr>
                <w:szCs w:val="22"/>
                <w:lang w:val="en-AU"/>
              </w:rPr>
            </w:pPr>
            <w:r>
              <w:rPr>
                <w:szCs w:val="22"/>
                <w:lang w:val="en-AU"/>
              </w:rPr>
              <w:noBreakHyphen/>
              <w:t xml:space="preserve">0.17 </w:t>
            </w:r>
            <w:r>
              <w:rPr>
                <w:szCs w:val="22"/>
                <w:lang w:val="en-AU"/>
              </w:rPr>
              <w:br/>
              <w:t>(</w:t>
            </w:r>
            <w:r>
              <w:rPr>
                <w:szCs w:val="22"/>
                <w:lang w:val="en-AU"/>
              </w:rPr>
              <w:noBreakHyphen/>
              <w:t xml:space="preserve">0.21, </w:t>
            </w:r>
            <w:r>
              <w:rPr>
                <w:szCs w:val="22"/>
                <w:lang w:val="en-AU"/>
              </w:rPr>
              <w:noBreakHyphen/>
              <w:t>0.14)</w:t>
            </w:r>
          </w:p>
        </w:tc>
        <w:tc>
          <w:tcPr>
            <w:tcW w:w="1134" w:type="dxa"/>
            <w:vAlign w:val="center"/>
          </w:tcPr>
          <w:p w:rsidR="00716FDC" w:rsidRDefault="00C83C33">
            <w:pPr>
              <w:pStyle w:val="Tabletext"/>
              <w:keepLines/>
              <w:jc w:val="center"/>
              <w:rPr>
                <w:b/>
                <w:lang w:val="en-AU"/>
              </w:rPr>
            </w:pPr>
            <w:r>
              <w:rPr>
                <w:b/>
                <w:lang w:val="en-AU"/>
              </w:rPr>
              <w:noBreakHyphen/>
              <w:t>0.15</w:t>
            </w:r>
          </w:p>
          <w:p w:rsidR="00716FDC" w:rsidRDefault="00C83C33">
            <w:pPr>
              <w:pStyle w:val="Tabletext"/>
              <w:keepLines/>
              <w:jc w:val="center"/>
              <w:rPr>
                <w:b/>
                <w:lang w:val="en-AU"/>
              </w:rPr>
            </w:pPr>
            <w:r>
              <w:rPr>
                <w:b/>
                <w:lang w:val="en-AU"/>
              </w:rPr>
              <w:t>(</w:t>
            </w:r>
            <w:r>
              <w:rPr>
                <w:b/>
                <w:lang w:val="en-AU"/>
              </w:rPr>
              <w:noBreakHyphen/>
              <w:t xml:space="preserve">0.20, </w:t>
            </w:r>
            <w:r>
              <w:rPr>
                <w:b/>
                <w:lang w:val="en-AU"/>
              </w:rPr>
              <w:noBreakHyphen/>
              <w:t>0.11)</w:t>
            </w:r>
          </w:p>
        </w:tc>
      </w:tr>
      <w:tr w:rsidR="00716FDC">
        <w:trPr>
          <w:trHeight w:val="185"/>
        </w:trPr>
        <w:tc>
          <w:tcPr>
            <w:tcW w:w="1271" w:type="dxa"/>
            <w:vAlign w:val="center"/>
          </w:tcPr>
          <w:p w:rsidR="00716FDC" w:rsidRDefault="00C83C33">
            <w:pPr>
              <w:pStyle w:val="Tabletext"/>
              <w:keepLines/>
              <w:rPr>
                <w:b/>
                <w:szCs w:val="22"/>
                <w:lang w:val="en-AU"/>
              </w:rPr>
            </w:pPr>
            <w:r>
              <w:rPr>
                <w:b/>
              </w:rPr>
              <w:t>SYGMA</w:t>
            </w:r>
            <w:r>
              <w:rPr>
                <w:b/>
                <w:lang w:val="en-AU"/>
              </w:rPr>
              <w:t xml:space="preserve"> 2</w:t>
            </w:r>
          </w:p>
        </w:tc>
        <w:tc>
          <w:tcPr>
            <w:tcW w:w="851" w:type="dxa"/>
          </w:tcPr>
          <w:p w:rsidR="00716FDC" w:rsidRDefault="00C83C33">
            <w:pPr>
              <w:pStyle w:val="Tabletext"/>
              <w:keepLines/>
              <w:jc w:val="center"/>
              <w:rPr>
                <w:lang w:val="en-AU"/>
              </w:rPr>
            </w:pPr>
            <w:r>
              <w:rPr>
                <w:lang w:val="en-AU"/>
              </w:rPr>
              <w:t>1963</w:t>
            </w:r>
          </w:p>
        </w:tc>
        <w:tc>
          <w:tcPr>
            <w:tcW w:w="1275" w:type="dxa"/>
            <w:vAlign w:val="center"/>
          </w:tcPr>
          <w:p w:rsidR="00716FDC" w:rsidRDefault="00C83C33">
            <w:pPr>
              <w:pStyle w:val="Tabletext"/>
              <w:keepLines/>
              <w:jc w:val="center"/>
              <w:rPr>
                <w:szCs w:val="22"/>
                <w:lang w:val="en-AU"/>
              </w:rPr>
            </w:pPr>
            <w:r>
              <w:rPr>
                <w:szCs w:val="22"/>
                <w:lang w:val="en-AU"/>
              </w:rPr>
              <w:noBreakHyphen/>
              <w:t xml:space="preserve">0.35 </w:t>
            </w:r>
            <w:r>
              <w:rPr>
                <w:szCs w:val="22"/>
                <w:lang w:val="en-AU"/>
              </w:rPr>
              <w:br/>
              <w:t>(</w:t>
            </w:r>
            <w:r>
              <w:rPr>
                <w:szCs w:val="22"/>
                <w:lang w:val="en-AU"/>
              </w:rPr>
              <w:noBreakHyphen/>
              <w:t xml:space="preserve">0.38, </w:t>
            </w:r>
            <w:r>
              <w:rPr>
                <w:szCs w:val="22"/>
                <w:lang w:val="en-AU"/>
              </w:rPr>
              <w:noBreakHyphen/>
              <w:t>0.32)</w:t>
            </w:r>
          </w:p>
        </w:tc>
        <w:tc>
          <w:tcPr>
            <w:tcW w:w="567" w:type="dxa"/>
          </w:tcPr>
          <w:p w:rsidR="00716FDC" w:rsidRDefault="00C83C33">
            <w:pPr>
              <w:pStyle w:val="Tabletext"/>
              <w:keepLines/>
              <w:jc w:val="center"/>
              <w:rPr>
                <w:lang w:val="en-AU"/>
              </w:rPr>
            </w:pPr>
            <w:r>
              <w:rPr>
                <w:lang w:val="en-AU"/>
              </w:rPr>
              <w:t>1947</w:t>
            </w:r>
          </w:p>
        </w:tc>
        <w:tc>
          <w:tcPr>
            <w:tcW w:w="1134" w:type="dxa"/>
          </w:tcPr>
          <w:p w:rsidR="00716FDC" w:rsidRDefault="00C83C33">
            <w:pPr>
              <w:pStyle w:val="Tabletext"/>
              <w:keepLines/>
              <w:jc w:val="center"/>
              <w:rPr>
                <w:szCs w:val="22"/>
                <w:lang w:val="en-AU"/>
              </w:rPr>
            </w:pPr>
            <w:r>
              <w:rPr>
                <w:szCs w:val="22"/>
                <w:lang w:val="en-AU"/>
              </w:rPr>
              <w:noBreakHyphen/>
              <w:t xml:space="preserve">0.46 </w:t>
            </w:r>
            <w:r>
              <w:rPr>
                <w:szCs w:val="22"/>
                <w:lang w:val="en-AU"/>
              </w:rPr>
              <w:br/>
              <w:t>(</w:t>
            </w:r>
            <w:r>
              <w:rPr>
                <w:szCs w:val="22"/>
                <w:lang w:val="en-AU"/>
              </w:rPr>
              <w:noBreakHyphen/>
              <w:t xml:space="preserve">0.49, </w:t>
            </w:r>
            <w:r>
              <w:rPr>
                <w:szCs w:val="22"/>
                <w:lang w:val="en-AU"/>
              </w:rPr>
              <w:noBreakHyphen/>
              <w:t>0.43)</w:t>
            </w:r>
          </w:p>
        </w:tc>
        <w:tc>
          <w:tcPr>
            <w:tcW w:w="993" w:type="dxa"/>
          </w:tcPr>
          <w:p w:rsidR="00716FDC" w:rsidRDefault="00C83C33">
            <w:pPr>
              <w:pStyle w:val="Tabletext"/>
              <w:keepLines/>
              <w:jc w:val="center"/>
              <w:rPr>
                <w:b/>
                <w:lang w:val="en-AU"/>
              </w:rPr>
            </w:pPr>
            <w:r>
              <w:rPr>
                <w:b/>
                <w:lang w:val="en-AU"/>
              </w:rPr>
              <w:t xml:space="preserve">0.11 </w:t>
            </w:r>
          </w:p>
          <w:p w:rsidR="00716FDC" w:rsidRDefault="00C83C33">
            <w:pPr>
              <w:pStyle w:val="Tabletext"/>
              <w:keepLines/>
              <w:jc w:val="center"/>
              <w:rPr>
                <w:szCs w:val="22"/>
                <w:lang w:val="en-AU"/>
              </w:rPr>
            </w:pPr>
            <w:r>
              <w:rPr>
                <w:b/>
                <w:lang w:val="en-AU"/>
              </w:rPr>
              <w:t>(0.07, 0.15)</w:t>
            </w:r>
          </w:p>
        </w:tc>
        <w:tc>
          <w:tcPr>
            <w:tcW w:w="708" w:type="dxa"/>
          </w:tcPr>
          <w:p w:rsidR="00716FDC" w:rsidRDefault="00716FDC">
            <w:pPr>
              <w:pStyle w:val="Tabletext"/>
              <w:keepLines/>
              <w:jc w:val="center"/>
              <w:rPr>
                <w:szCs w:val="22"/>
                <w:lang w:val="en-AU"/>
              </w:rPr>
            </w:pPr>
          </w:p>
          <w:p w:rsidR="00716FDC" w:rsidRDefault="00C83C33">
            <w:pPr>
              <w:pStyle w:val="Tabletext"/>
              <w:keepLines/>
              <w:jc w:val="center"/>
              <w:rPr>
                <w:szCs w:val="22"/>
                <w:lang w:val="en-AU"/>
              </w:rPr>
            </w:pPr>
            <w:r>
              <w:rPr>
                <w:szCs w:val="22"/>
                <w:lang w:val="en-AU"/>
              </w:rPr>
              <w:t>-</w:t>
            </w:r>
          </w:p>
        </w:tc>
        <w:tc>
          <w:tcPr>
            <w:tcW w:w="1134" w:type="dxa"/>
            <w:vAlign w:val="center"/>
          </w:tcPr>
          <w:p w:rsidR="00716FDC" w:rsidRDefault="00716FDC">
            <w:pPr>
              <w:pStyle w:val="Tabletext"/>
              <w:keepLines/>
              <w:jc w:val="center"/>
              <w:rPr>
                <w:szCs w:val="22"/>
                <w:lang w:val="en-AU"/>
              </w:rPr>
            </w:pPr>
          </w:p>
          <w:p w:rsidR="00716FDC" w:rsidRDefault="00C83C33">
            <w:pPr>
              <w:pStyle w:val="Tabletext"/>
              <w:keepLines/>
              <w:jc w:val="center"/>
              <w:rPr>
                <w:szCs w:val="22"/>
                <w:lang w:val="en-AU"/>
              </w:rPr>
            </w:pPr>
            <w:r>
              <w:rPr>
                <w:szCs w:val="22"/>
                <w:lang w:val="en-AU"/>
              </w:rPr>
              <w:t>-</w:t>
            </w:r>
          </w:p>
        </w:tc>
        <w:tc>
          <w:tcPr>
            <w:tcW w:w="1134" w:type="dxa"/>
            <w:vAlign w:val="center"/>
          </w:tcPr>
          <w:p w:rsidR="00716FDC" w:rsidRDefault="00716FDC">
            <w:pPr>
              <w:pStyle w:val="Tabletext"/>
              <w:keepLines/>
              <w:jc w:val="center"/>
              <w:rPr>
                <w:szCs w:val="22"/>
                <w:lang w:val="en-AU"/>
              </w:rPr>
            </w:pPr>
          </w:p>
          <w:p w:rsidR="00716FDC" w:rsidRDefault="00C83C33">
            <w:pPr>
              <w:pStyle w:val="Tabletext"/>
              <w:keepLines/>
              <w:jc w:val="center"/>
              <w:rPr>
                <w:szCs w:val="22"/>
                <w:lang w:val="en-AU"/>
              </w:rPr>
            </w:pPr>
            <w:r>
              <w:rPr>
                <w:szCs w:val="22"/>
                <w:lang w:val="en-AU"/>
              </w:rPr>
              <w:t>-</w:t>
            </w:r>
          </w:p>
        </w:tc>
      </w:tr>
    </w:tbl>
    <w:bookmarkEnd w:id="14"/>
    <w:p w:rsidR="00716FDC" w:rsidRDefault="00C83C33">
      <w:pPr>
        <w:pStyle w:val="TableFooter"/>
        <w:keepLines/>
      </w:pPr>
      <w:r>
        <w:t xml:space="preserve">Source: Table 2.5.3, p42 </w:t>
      </w:r>
      <w:r>
        <w:rPr>
          <w:lang w:val="en-US"/>
        </w:rPr>
        <w:t>of</w:t>
      </w:r>
      <w:r>
        <w:t xml:space="preserve"> the submission</w:t>
      </w:r>
    </w:p>
    <w:p w:rsidR="00716FDC" w:rsidRDefault="00C83C33">
      <w:pPr>
        <w:pStyle w:val="TableFooter"/>
        <w:keepLines/>
        <w:rPr>
          <w:lang w:val="en-US"/>
        </w:rPr>
      </w:pPr>
      <w:r>
        <w:t>ACQ</w:t>
      </w:r>
      <w:r>
        <w:rPr>
          <w:lang w:val="en-AU"/>
        </w:rPr>
        <w:t>-5</w:t>
      </w:r>
      <w:r>
        <w:t xml:space="preserve"> = </w:t>
      </w:r>
      <w:r>
        <w:rPr>
          <w:lang w:val="en-AU"/>
        </w:rPr>
        <w:t>asthma control questionnaire 5-item Version;</w:t>
      </w:r>
      <w:r>
        <w:t xml:space="preserve"> </w:t>
      </w:r>
      <w:r>
        <w:rPr>
          <w:b/>
        </w:rPr>
        <w:t>Bold</w:t>
      </w:r>
      <w:r>
        <w:t xml:space="preserve"> = statistically significant</w:t>
      </w:r>
      <w:r>
        <w:rPr>
          <w:lang w:val="en-US"/>
        </w:rPr>
        <w:t xml:space="preserve">; </w:t>
      </w:r>
      <w:r>
        <w:t xml:space="preserve">CI = </w:t>
      </w:r>
      <w:r>
        <w:rPr>
          <w:lang w:val="en-AU"/>
        </w:rPr>
        <w:t>confidence interval;</w:t>
      </w:r>
      <w:r>
        <w:t xml:space="preserve"> LSM= </w:t>
      </w:r>
      <w:r>
        <w:rPr>
          <w:lang w:val="en-AU"/>
        </w:rPr>
        <w:t>l</w:t>
      </w:r>
      <w:r>
        <w:t>east squared mean</w:t>
      </w:r>
    </w:p>
    <w:p w:rsidR="00716FDC" w:rsidRDefault="00716FDC">
      <w:pPr>
        <w:pStyle w:val="TableFooter"/>
      </w:pP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8</w:t>
      </w:r>
      <w:r>
        <w:fldChar w:fldCharType="end"/>
      </w:r>
      <w:r w:rsidRPr="007A3A03">
        <w:t>: Results for WCAW (Full analyses set)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Results for WCAW (Full analyses set)"/>
      </w:tblPr>
      <w:tblGrid>
        <w:gridCol w:w="982"/>
        <w:gridCol w:w="711"/>
        <w:gridCol w:w="991"/>
        <w:gridCol w:w="993"/>
        <w:gridCol w:w="711"/>
        <w:gridCol w:w="994"/>
        <w:gridCol w:w="1131"/>
        <w:gridCol w:w="711"/>
        <w:gridCol w:w="993"/>
        <w:gridCol w:w="991"/>
      </w:tblGrid>
      <w:tr w:rsidR="00716FDC">
        <w:trPr>
          <w:trHeight w:val="233"/>
          <w:tblHeader/>
        </w:trPr>
        <w:tc>
          <w:tcPr>
            <w:tcW w:w="533" w:type="pct"/>
            <w:vMerge w:val="restart"/>
            <w:vAlign w:val="center"/>
          </w:tcPr>
          <w:p w:rsidR="00716FDC" w:rsidRDefault="00C83C33">
            <w:pPr>
              <w:keepNext/>
              <w:keepLines/>
              <w:jc w:val="center"/>
              <w:rPr>
                <w:rFonts w:ascii="Arial Narrow" w:hAnsi="Arial Narrow"/>
                <w:b/>
                <w:sz w:val="20"/>
                <w:szCs w:val="20"/>
              </w:rPr>
            </w:pPr>
            <w:r>
              <w:rPr>
                <w:rFonts w:ascii="Arial Narrow" w:hAnsi="Arial Narrow"/>
                <w:b/>
                <w:sz w:val="20"/>
                <w:szCs w:val="20"/>
              </w:rPr>
              <w:t xml:space="preserve">Trial </w:t>
            </w:r>
          </w:p>
        </w:tc>
        <w:tc>
          <w:tcPr>
            <w:tcW w:w="1463" w:type="pct"/>
            <w:gridSpan w:val="3"/>
          </w:tcPr>
          <w:p w:rsidR="00716FDC" w:rsidRDefault="00C83C33">
            <w:pPr>
              <w:keepNext/>
              <w:keepLines/>
              <w:jc w:val="center"/>
              <w:rPr>
                <w:rFonts w:ascii="Arial Narrow" w:hAnsi="Arial Narrow"/>
                <w:b/>
                <w:sz w:val="20"/>
                <w:szCs w:val="20"/>
              </w:rPr>
            </w:pPr>
            <w:r>
              <w:rPr>
                <w:rFonts w:ascii="Arial Narrow" w:hAnsi="Arial Narrow"/>
                <w:b/>
                <w:sz w:val="20"/>
                <w:szCs w:val="20"/>
              </w:rPr>
              <w:t>SYMBICORT (N=1269)</w:t>
            </w:r>
          </w:p>
        </w:tc>
        <w:tc>
          <w:tcPr>
            <w:tcW w:w="1540" w:type="pct"/>
            <w:gridSpan w:val="3"/>
          </w:tcPr>
          <w:p w:rsidR="00716FDC" w:rsidRDefault="00C83C33">
            <w:pPr>
              <w:keepNext/>
              <w:keepLines/>
              <w:jc w:val="center"/>
              <w:rPr>
                <w:rFonts w:ascii="Arial Narrow" w:hAnsi="Arial Narrow"/>
                <w:b/>
                <w:sz w:val="20"/>
                <w:szCs w:val="20"/>
              </w:rPr>
            </w:pPr>
            <w:r>
              <w:rPr>
                <w:rFonts w:ascii="Arial Narrow" w:hAnsi="Arial Narrow"/>
                <w:b/>
                <w:sz w:val="20"/>
                <w:szCs w:val="20"/>
              </w:rPr>
              <w:t>ICS+SABA (N=1279)</w:t>
            </w:r>
          </w:p>
        </w:tc>
        <w:tc>
          <w:tcPr>
            <w:tcW w:w="1463" w:type="pct"/>
            <w:gridSpan w:val="3"/>
          </w:tcPr>
          <w:p w:rsidR="00716FDC" w:rsidRDefault="00C83C33">
            <w:pPr>
              <w:keepNext/>
              <w:keepLines/>
              <w:jc w:val="center"/>
              <w:rPr>
                <w:rFonts w:ascii="Arial Narrow" w:hAnsi="Arial Narrow"/>
                <w:b/>
                <w:sz w:val="20"/>
                <w:szCs w:val="20"/>
              </w:rPr>
            </w:pPr>
            <w:r>
              <w:rPr>
                <w:rFonts w:ascii="Arial Narrow" w:hAnsi="Arial Narrow"/>
                <w:b/>
                <w:sz w:val="20"/>
                <w:szCs w:val="20"/>
              </w:rPr>
              <w:t>SABA (N=1272)</w:t>
            </w:r>
          </w:p>
        </w:tc>
      </w:tr>
      <w:tr w:rsidR="00716FDC">
        <w:trPr>
          <w:trHeight w:val="380"/>
        </w:trPr>
        <w:tc>
          <w:tcPr>
            <w:tcW w:w="533" w:type="pct"/>
            <w:vMerge/>
            <w:vAlign w:val="center"/>
          </w:tcPr>
          <w:p w:rsidR="00716FDC" w:rsidRDefault="00716FDC">
            <w:pPr>
              <w:keepNext/>
              <w:keepLines/>
              <w:jc w:val="center"/>
              <w:rPr>
                <w:rFonts w:ascii="Arial Narrow" w:hAnsi="Arial Narrow"/>
                <w:b/>
                <w:sz w:val="20"/>
                <w:szCs w:val="20"/>
              </w:rPr>
            </w:pPr>
          </w:p>
        </w:tc>
        <w:tc>
          <w:tcPr>
            <w:tcW w:w="386" w:type="pct"/>
          </w:tcPr>
          <w:p w:rsidR="00716FDC" w:rsidRDefault="00C83C33">
            <w:pPr>
              <w:keepNext/>
              <w:keepLines/>
              <w:jc w:val="center"/>
              <w:rPr>
                <w:rFonts w:ascii="Arial Narrow" w:hAnsi="Arial Narrow"/>
                <w:b/>
                <w:sz w:val="20"/>
                <w:szCs w:val="20"/>
              </w:rPr>
            </w:pPr>
            <w:r>
              <w:rPr>
                <w:rFonts w:ascii="Arial Narrow" w:hAnsi="Arial Narrow"/>
                <w:b/>
                <w:sz w:val="20"/>
                <w:szCs w:val="20"/>
              </w:rPr>
              <w:t>N</w:t>
            </w:r>
          </w:p>
        </w:tc>
        <w:tc>
          <w:tcPr>
            <w:tcW w:w="538" w:type="pct"/>
          </w:tcPr>
          <w:p w:rsidR="00716FDC" w:rsidRDefault="00C83C33">
            <w:pPr>
              <w:keepNext/>
              <w:keepLines/>
              <w:jc w:val="center"/>
              <w:rPr>
                <w:rFonts w:ascii="Arial Narrow" w:hAnsi="Arial Narrow"/>
                <w:b/>
                <w:sz w:val="20"/>
                <w:szCs w:val="20"/>
              </w:rPr>
            </w:pPr>
            <w:r>
              <w:rPr>
                <w:rFonts w:ascii="Arial Narrow" w:hAnsi="Arial Narrow"/>
                <w:b/>
                <w:sz w:val="20"/>
                <w:szCs w:val="20"/>
              </w:rPr>
              <w:t>Mean % of WCAW per patient</w:t>
            </w:r>
          </w:p>
        </w:tc>
        <w:tc>
          <w:tcPr>
            <w:tcW w:w="539" w:type="pct"/>
            <w:vAlign w:val="center"/>
          </w:tcPr>
          <w:p w:rsidR="00716FDC" w:rsidRDefault="00C83C33">
            <w:pPr>
              <w:pStyle w:val="Tabletext"/>
              <w:keepNext/>
              <w:keepLines/>
              <w:jc w:val="center"/>
              <w:rPr>
                <w:b/>
                <w:lang w:val="en-AU"/>
              </w:rPr>
            </w:pPr>
            <w:r>
              <w:rPr>
                <w:b/>
                <w:lang w:val="en-AU"/>
              </w:rPr>
              <w:t xml:space="preserve">OR </w:t>
            </w:r>
            <w:r>
              <w:rPr>
                <w:b/>
                <w:lang w:val="en-AU"/>
              </w:rPr>
              <w:br/>
              <w:t>(95% CI)</w:t>
            </w:r>
          </w:p>
        </w:tc>
        <w:tc>
          <w:tcPr>
            <w:tcW w:w="386" w:type="pct"/>
          </w:tcPr>
          <w:p w:rsidR="00716FDC" w:rsidRDefault="00C83C33">
            <w:pPr>
              <w:pStyle w:val="Tabletext"/>
              <w:keepNext/>
              <w:keepLines/>
              <w:jc w:val="center"/>
              <w:rPr>
                <w:b/>
                <w:lang w:val="en-AU"/>
              </w:rPr>
            </w:pPr>
            <w:r>
              <w:rPr>
                <w:b/>
                <w:lang w:val="en-AU"/>
              </w:rPr>
              <w:t>N</w:t>
            </w:r>
          </w:p>
        </w:tc>
        <w:tc>
          <w:tcPr>
            <w:tcW w:w="540" w:type="pct"/>
          </w:tcPr>
          <w:p w:rsidR="00716FDC" w:rsidRDefault="00C83C33">
            <w:pPr>
              <w:pStyle w:val="Tabletext"/>
              <w:keepNext/>
              <w:keepLines/>
              <w:jc w:val="center"/>
              <w:rPr>
                <w:b/>
              </w:rPr>
            </w:pPr>
            <w:r>
              <w:rPr>
                <w:b/>
              </w:rPr>
              <w:t>Mean % of WCAW per patient</w:t>
            </w:r>
          </w:p>
        </w:tc>
        <w:tc>
          <w:tcPr>
            <w:tcW w:w="614" w:type="pct"/>
            <w:vAlign w:val="center"/>
          </w:tcPr>
          <w:p w:rsidR="00716FDC" w:rsidRDefault="00C83C33">
            <w:pPr>
              <w:pStyle w:val="Tabletext"/>
              <w:keepNext/>
              <w:keepLines/>
              <w:jc w:val="center"/>
              <w:rPr>
                <w:b/>
                <w:lang w:val="en-AU"/>
              </w:rPr>
            </w:pPr>
            <w:r>
              <w:rPr>
                <w:b/>
                <w:lang w:val="en-AU"/>
              </w:rPr>
              <w:t xml:space="preserve">OR </w:t>
            </w:r>
            <w:r>
              <w:rPr>
                <w:b/>
                <w:lang w:val="en-AU"/>
              </w:rPr>
              <w:br/>
              <w:t>(95% CI)</w:t>
            </w:r>
          </w:p>
        </w:tc>
        <w:tc>
          <w:tcPr>
            <w:tcW w:w="386" w:type="pct"/>
          </w:tcPr>
          <w:p w:rsidR="00716FDC" w:rsidRDefault="00C83C33">
            <w:pPr>
              <w:pStyle w:val="Tabletext"/>
              <w:keepNext/>
              <w:keepLines/>
              <w:jc w:val="center"/>
              <w:rPr>
                <w:b/>
              </w:rPr>
            </w:pPr>
            <w:r>
              <w:rPr>
                <w:b/>
                <w:lang w:val="en-AU"/>
              </w:rPr>
              <w:t>N</w:t>
            </w:r>
          </w:p>
        </w:tc>
        <w:tc>
          <w:tcPr>
            <w:tcW w:w="539" w:type="pct"/>
          </w:tcPr>
          <w:p w:rsidR="00716FDC" w:rsidRDefault="00C83C33">
            <w:pPr>
              <w:pStyle w:val="Tabletext"/>
              <w:keepNext/>
              <w:keepLines/>
              <w:jc w:val="center"/>
              <w:rPr>
                <w:b/>
              </w:rPr>
            </w:pPr>
            <w:r>
              <w:rPr>
                <w:b/>
              </w:rPr>
              <w:t>Mean % of WCAW per patient</w:t>
            </w:r>
          </w:p>
        </w:tc>
        <w:tc>
          <w:tcPr>
            <w:tcW w:w="538" w:type="pct"/>
            <w:vAlign w:val="center"/>
          </w:tcPr>
          <w:p w:rsidR="00716FDC" w:rsidRDefault="00C83C33">
            <w:pPr>
              <w:pStyle w:val="Tabletext"/>
              <w:keepNext/>
              <w:keepLines/>
              <w:jc w:val="center"/>
              <w:rPr>
                <w:b/>
                <w:lang w:val="en-AU"/>
              </w:rPr>
            </w:pPr>
            <w:r>
              <w:rPr>
                <w:b/>
              </w:rPr>
              <w:t>O</w:t>
            </w:r>
            <w:r>
              <w:rPr>
                <w:b/>
                <w:lang w:val="en-AU"/>
              </w:rPr>
              <w:t>R</w:t>
            </w:r>
            <w:r>
              <w:rPr>
                <w:b/>
              </w:rPr>
              <w:br/>
            </w:r>
            <w:r>
              <w:rPr>
                <w:b/>
                <w:lang w:val="en-AU"/>
              </w:rPr>
              <w:t>(95% CI)</w:t>
            </w:r>
          </w:p>
        </w:tc>
      </w:tr>
      <w:tr w:rsidR="00716FDC">
        <w:trPr>
          <w:trHeight w:val="371"/>
        </w:trPr>
        <w:tc>
          <w:tcPr>
            <w:tcW w:w="533" w:type="pct"/>
            <w:vAlign w:val="center"/>
          </w:tcPr>
          <w:p w:rsidR="00716FDC" w:rsidRDefault="00C83C33">
            <w:pPr>
              <w:pStyle w:val="Tabletext"/>
              <w:keepNext/>
              <w:keepLines/>
              <w:rPr>
                <w:b/>
              </w:rPr>
            </w:pPr>
            <w:r>
              <w:rPr>
                <w:b/>
              </w:rPr>
              <w:t>S</w:t>
            </w:r>
            <w:r>
              <w:rPr>
                <w:b/>
                <w:lang w:val="en-AU"/>
              </w:rPr>
              <w:t>Y</w:t>
            </w:r>
            <w:r>
              <w:rPr>
                <w:b/>
              </w:rPr>
              <w:t>G</w:t>
            </w:r>
            <w:r>
              <w:rPr>
                <w:b/>
                <w:lang w:val="en-AU"/>
              </w:rPr>
              <w:t>MA</w:t>
            </w:r>
            <w:r>
              <w:rPr>
                <w:b/>
              </w:rPr>
              <w:t xml:space="preserve"> 1</w:t>
            </w:r>
          </w:p>
        </w:tc>
        <w:tc>
          <w:tcPr>
            <w:tcW w:w="386" w:type="pct"/>
            <w:vAlign w:val="center"/>
          </w:tcPr>
          <w:p w:rsidR="00716FDC" w:rsidRDefault="00C83C33">
            <w:pPr>
              <w:pStyle w:val="Tabletext"/>
              <w:keepNext/>
              <w:keepLines/>
              <w:jc w:val="center"/>
              <w:rPr>
                <w:lang w:val="en-AU"/>
              </w:rPr>
            </w:pPr>
            <w:r>
              <w:rPr>
                <w:lang w:val="en-AU"/>
              </w:rPr>
              <w:t>1269</w:t>
            </w:r>
          </w:p>
        </w:tc>
        <w:tc>
          <w:tcPr>
            <w:tcW w:w="538" w:type="pct"/>
            <w:vAlign w:val="center"/>
          </w:tcPr>
          <w:p w:rsidR="00716FDC" w:rsidRDefault="00C83C33">
            <w:pPr>
              <w:pStyle w:val="Tabletext"/>
              <w:keepNext/>
              <w:keepLines/>
              <w:jc w:val="center"/>
            </w:pPr>
            <w:r>
              <w:t>34.4</w:t>
            </w:r>
          </w:p>
        </w:tc>
        <w:tc>
          <w:tcPr>
            <w:tcW w:w="539" w:type="pct"/>
            <w:vAlign w:val="center"/>
          </w:tcPr>
          <w:p w:rsidR="00716FDC" w:rsidRDefault="00C83C33">
            <w:pPr>
              <w:pStyle w:val="Tabletext"/>
              <w:keepNext/>
              <w:keepLines/>
              <w:jc w:val="center"/>
            </w:pPr>
            <w:r>
              <w:t>-</w:t>
            </w:r>
          </w:p>
        </w:tc>
        <w:tc>
          <w:tcPr>
            <w:tcW w:w="386" w:type="pct"/>
            <w:vAlign w:val="center"/>
          </w:tcPr>
          <w:p w:rsidR="00716FDC" w:rsidRDefault="00C83C33">
            <w:pPr>
              <w:pStyle w:val="Tabletext"/>
              <w:keepNext/>
              <w:keepLines/>
              <w:jc w:val="center"/>
              <w:rPr>
                <w:lang w:val="en-AU"/>
              </w:rPr>
            </w:pPr>
            <w:r>
              <w:rPr>
                <w:lang w:val="en-AU"/>
              </w:rPr>
              <w:t>1279</w:t>
            </w:r>
          </w:p>
        </w:tc>
        <w:tc>
          <w:tcPr>
            <w:tcW w:w="540" w:type="pct"/>
            <w:vAlign w:val="center"/>
          </w:tcPr>
          <w:p w:rsidR="00716FDC" w:rsidRDefault="00C83C33">
            <w:pPr>
              <w:pStyle w:val="Tabletext"/>
              <w:keepNext/>
              <w:keepLines/>
              <w:jc w:val="center"/>
            </w:pPr>
            <w:r>
              <w:t>44.4</w:t>
            </w:r>
          </w:p>
        </w:tc>
        <w:tc>
          <w:tcPr>
            <w:tcW w:w="614" w:type="pct"/>
            <w:vAlign w:val="center"/>
          </w:tcPr>
          <w:p w:rsidR="00716FDC" w:rsidRDefault="00C83C33">
            <w:pPr>
              <w:pStyle w:val="Tabletext"/>
              <w:keepNext/>
              <w:keepLines/>
              <w:jc w:val="center"/>
            </w:pPr>
            <w:r>
              <w:t>0.64</w:t>
            </w:r>
          </w:p>
          <w:p w:rsidR="00716FDC" w:rsidRDefault="00C83C33">
            <w:pPr>
              <w:pStyle w:val="Tabletext"/>
              <w:keepNext/>
              <w:keepLines/>
              <w:jc w:val="center"/>
            </w:pPr>
            <w:r>
              <w:t>(0.57,0.73)</w:t>
            </w:r>
          </w:p>
        </w:tc>
        <w:tc>
          <w:tcPr>
            <w:tcW w:w="386" w:type="pct"/>
            <w:vAlign w:val="center"/>
          </w:tcPr>
          <w:p w:rsidR="00716FDC" w:rsidRDefault="00C83C33">
            <w:pPr>
              <w:pStyle w:val="Tabletext"/>
              <w:keepNext/>
              <w:keepLines/>
              <w:jc w:val="center"/>
              <w:rPr>
                <w:lang w:val="en-AU"/>
              </w:rPr>
            </w:pPr>
            <w:r>
              <w:rPr>
                <w:lang w:val="en-AU"/>
              </w:rPr>
              <w:t>1272</w:t>
            </w:r>
          </w:p>
        </w:tc>
        <w:tc>
          <w:tcPr>
            <w:tcW w:w="539" w:type="pct"/>
            <w:vAlign w:val="center"/>
          </w:tcPr>
          <w:p w:rsidR="00716FDC" w:rsidRDefault="00C83C33">
            <w:pPr>
              <w:pStyle w:val="Tabletext"/>
              <w:keepNext/>
              <w:keepLines/>
              <w:jc w:val="center"/>
            </w:pPr>
            <w:r>
              <w:t>31.1</w:t>
            </w:r>
          </w:p>
        </w:tc>
        <w:tc>
          <w:tcPr>
            <w:tcW w:w="538" w:type="pct"/>
            <w:vAlign w:val="center"/>
          </w:tcPr>
          <w:p w:rsidR="00716FDC" w:rsidRDefault="00C83C33">
            <w:pPr>
              <w:pStyle w:val="Tabletext"/>
              <w:keepNext/>
              <w:keepLines/>
              <w:jc w:val="center"/>
              <w:rPr>
                <w:b/>
              </w:rPr>
            </w:pPr>
            <w:r>
              <w:rPr>
                <w:b/>
              </w:rPr>
              <w:t>1.14</w:t>
            </w:r>
          </w:p>
          <w:p w:rsidR="00716FDC" w:rsidRDefault="00C83C33">
            <w:pPr>
              <w:pStyle w:val="Tabletext"/>
              <w:keepNext/>
              <w:keepLines/>
              <w:jc w:val="center"/>
              <w:rPr>
                <w:b/>
              </w:rPr>
            </w:pPr>
            <w:r>
              <w:rPr>
                <w:b/>
              </w:rPr>
              <w:t>(1.0, 1.30)</w:t>
            </w:r>
          </w:p>
        </w:tc>
      </w:tr>
    </w:tbl>
    <w:p w:rsidR="00716FDC" w:rsidRDefault="00C83C33">
      <w:pPr>
        <w:pStyle w:val="TableFooter"/>
        <w:keepNext/>
        <w:keepLines/>
      </w:pPr>
      <w:r>
        <w:t xml:space="preserve">Source: Table 2.5.3, p42 </w:t>
      </w:r>
      <w:r>
        <w:rPr>
          <w:lang w:val="en-AU"/>
        </w:rPr>
        <w:t>of</w:t>
      </w:r>
      <w:r>
        <w:t xml:space="preserve"> the submission.</w:t>
      </w:r>
    </w:p>
    <w:p w:rsidR="00716FDC" w:rsidRDefault="00C83C33">
      <w:pPr>
        <w:pStyle w:val="TableFooter"/>
        <w:keepNext/>
        <w:keepLines/>
      </w:pPr>
      <w:r>
        <w:rPr>
          <w:b/>
        </w:rPr>
        <w:t>Bold</w:t>
      </w:r>
      <w:r>
        <w:t xml:space="preserve"> = statistically significant</w:t>
      </w:r>
      <w:r>
        <w:rPr>
          <w:lang w:val="en-AU"/>
        </w:rPr>
        <w:t xml:space="preserve"> (reported p=0.046)</w:t>
      </w:r>
      <w:r>
        <w:rPr>
          <w:lang w:val="en-US"/>
        </w:rPr>
        <w:t>;</w:t>
      </w:r>
      <w:r>
        <w:rPr>
          <w:lang w:val="en-AU"/>
        </w:rPr>
        <w:t xml:space="preserve"> </w:t>
      </w:r>
      <w:r>
        <w:t xml:space="preserve">CI = </w:t>
      </w:r>
      <w:r>
        <w:rPr>
          <w:lang w:val="en-AU"/>
        </w:rPr>
        <w:t>c</w:t>
      </w:r>
      <w:r>
        <w:t>confidence interval</w:t>
      </w:r>
      <w:r>
        <w:rPr>
          <w:lang w:val="en-AU"/>
        </w:rPr>
        <w:t xml:space="preserve">; ICS= inhaled corticosteroid; </w:t>
      </w:r>
      <w:r>
        <w:t>LS</w:t>
      </w:r>
      <w:r>
        <w:rPr>
          <w:lang w:val="en-AU"/>
        </w:rPr>
        <w:t xml:space="preserve"> </w:t>
      </w:r>
      <w:r>
        <w:t xml:space="preserve">= </w:t>
      </w:r>
      <w:r>
        <w:rPr>
          <w:lang w:val="en-AU"/>
        </w:rPr>
        <w:t>l</w:t>
      </w:r>
      <w:r>
        <w:t>east squared</w:t>
      </w:r>
      <w:r>
        <w:rPr>
          <w:lang w:val="en-US"/>
        </w:rPr>
        <w:t>; OR = odds ratio; WCAW = well controlled asthma weeks</w:t>
      </w:r>
      <w:r>
        <w:t xml:space="preserve"> </w:t>
      </w:r>
    </w:p>
    <w:p w:rsidR="00716FDC" w:rsidRDefault="00716FDC">
      <w:pPr>
        <w:pStyle w:val="TableFooter"/>
      </w:pPr>
    </w:p>
    <w:p w:rsidR="00716FDC" w:rsidRDefault="00C83C33">
      <w:pPr>
        <w:keepNext/>
        <w:keepLines/>
        <w:widowControl/>
        <w:spacing w:after="120"/>
        <w:rPr>
          <w:rFonts w:cs="Calibri"/>
          <w:i/>
          <w:color w:val="000000"/>
          <w:szCs w:val="24"/>
        </w:rPr>
      </w:pPr>
      <w:r>
        <w:rPr>
          <w:rFonts w:cs="Calibri"/>
          <w:i/>
          <w:color w:val="000000"/>
          <w:szCs w:val="24"/>
        </w:rPr>
        <w:t>Symbicort versus ICS+SABA</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Both SYGMA trials detected statistically significant differences in the change from baseline in the ACQ-5 score in favour of ICS+SABA compared to the Symbicort. However, the differences were not clinically meaningful as the changes in ACQ-5 scores were lower than the nominated MCID (i.e. </w:t>
      </w:r>
      <w:r>
        <w:rPr>
          <w:rFonts w:ascii="Calibri" w:hAnsi="Calibri" w:cs="Calibri"/>
          <w:sz w:val="24"/>
          <w:szCs w:val="24"/>
          <w:lang w:val="en-AU"/>
        </w:rPr>
        <w:t>-</w:t>
      </w:r>
      <w:r>
        <w:rPr>
          <w:rFonts w:ascii="Calibri" w:hAnsi="Calibri" w:cs="Calibri"/>
          <w:sz w:val="24"/>
          <w:szCs w:val="24"/>
        </w:rPr>
        <w:t xml:space="preserve">0.5) which has been </w:t>
      </w:r>
      <w:r>
        <w:rPr>
          <w:rFonts w:ascii="Calibri" w:hAnsi="Calibri" w:cs="Calibri"/>
          <w:color w:val="000000"/>
          <w:sz w:val="24"/>
          <w:szCs w:val="24"/>
        </w:rPr>
        <w:t>previously accepted by</w:t>
      </w:r>
      <w:r>
        <w:rPr>
          <w:rFonts w:ascii="Calibri" w:hAnsi="Calibri" w:cs="Calibri"/>
          <w:sz w:val="24"/>
          <w:szCs w:val="24"/>
        </w:rPr>
        <w:t xml:space="preserve"> the PBAC </w:t>
      </w:r>
      <w:r>
        <w:rPr>
          <w:rFonts w:ascii="Calibri" w:hAnsi="Calibri" w:cs="Calibri"/>
          <w:color w:val="000000"/>
          <w:sz w:val="24"/>
          <w:szCs w:val="24"/>
        </w:rPr>
        <w:t>as clinically meaningful for severe asthma (paragraph 7.5, tiotropium July 2015 PSD).</w:t>
      </w:r>
      <w:r>
        <w:rPr>
          <w:rFonts w:ascii="Calibri" w:hAnsi="Calibri" w:cs="Calibri"/>
          <w:sz w:val="24"/>
          <w:szCs w:val="24"/>
        </w:rPr>
        <w:t xml:space="preserve"> </w:t>
      </w:r>
      <w:r>
        <w:rPr>
          <w:rFonts w:ascii="Calibri" w:hAnsi="Calibri" w:cs="Calibri"/>
          <w:sz w:val="24"/>
          <w:szCs w:val="24"/>
          <w:lang w:val="en-AU"/>
        </w:rPr>
        <w:t xml:space="preserve">The PBAC noted the </w:t>
      </w:r>
      <w:r>
        <w:rPr>
          <w:rFonts w:ascii="Calibri" w:hAnsi="Calibri" w:cs="Calibri"/>
          <w:sz w:val="24"/>
          <w:szCs w:val="24"/>
        </w:rPr>
        <w:t>trials showed that both treatments improved ACQ-5 from baseline; however</w:t>
      </w:r>
      <w:r>
        <w:rPr>
          <w:rFonts w:ascii="Calibri" w:hAnsi="Calibri" w:cs="Calibri"/>
          <w:sz w:val="24"/>
          <w:szCs w:val="24"/>
          <w:lang w:val="en-AU"/>
        </w:rPr>
        <w:t>,</w:t>
      </w:r>
      <w:r>
        <w:rPr>
          <w:rFonts w:ascii="Calibri" w:hAnsi="Calibri" w:cs="Calibri"/>
          <w:sz w:val="24"/>
          <w:szCs w:val="24"/>
        </w:rPr>
        <w:t xml:space="preserve"> none of the improvement in ACQ-5 exceeded the MCID threshold of -0.5 points in any of the treatment arms.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lang w:val="en-AU"/>
        </w:rPr>
        <w:t>The</w:t>
      </w:r>
      <w:r>
        <w:rPr>
          <w:rFonts w:ascii="Calibri" w:hAnsi="Calibri" w:cs="Calibri"/>
          <w:sz w:val="24"/>
          <w:szCs w:val="24"/>
        </w:rPr>
        <w:t xml:space="preserve"> submission also presented results for WCAW from SYGMA 1. Symbicort </w:t>
      </w:r>
      <w:r>
        <w:rPr>
          <w:rFonts w:ascii="Calibri" w:hAnsi="Calibri" w:cs="Calibri"/>
          <w:sz w:val="24"/>
          <w:szCs w:val="24"/>
          <w:lang w:val="en-AU"/>
        </w:rPr>
        <w:t>had</w:t>
      </w:r>
      <w:r>
        <w:rPr>
          <w:rFonts w:ascii="Calibri" w:hAnsi="Calibri" w:cs="Calibri"/>
          <w:sz w:val="24"/>
          <w:szCs w:val="24"/>
        </w:rPr>
        <w:t xml:space="preserve"> 36% </w:t>
      </w:r>
      <w:r>
        <w:rPr>
          <w:rFonts w:ascii="Calibri" w:hAnsi="Calibri" w:cs="Calibri"/>
          <w:sz w:val="24"/>
          <w:szCs w:val="24"/>
          <w:lang w:val="en-AU"/>
        </w:rPr>
        <w:t>lower odds</w:t>
      </w:r>
      <w:r>
        <w:rPr>
          <w:rFonts w:ascii="Calibri" w:hAnsi="Calibri" w:cs="Calibri"/>
          <w:sz w:val="24"/>
          <w:szCs w:val="24"/>
        </w:rPr>
        <w:t xml:space="preserve"> </w:t>
      </w:r>
      <w:r>
        <w:rPr>
          <w:rFonts w:ascii="Calibri" w:hAnsi="Calibri" w:cs="Calibri"/>
          <w:sz w:val="24"/>
          <w:szCs w:val="24"/>
          <w:lang w:val="en-AU"/>
        </w:rPr>
        <w:t>of</w:t>
      </w:r>
      <w:r>
        <w:rPr>
          <w:rFonts w:ascii="Calibri" w:hAnsi="Calibri" w:cs="Calibri"/>
          <w:sz w:val="24"/>
          <w:szCs w:val="24"/>
        </w:rPr>
        <w:t xml:space="preserve"> achiev</w:t>
      </w:r>
      <w:r>
        <w:rPr>
          <w:rFonts w:ascii="Calibri" w:hAnsi="Calibri" w:cs="Calibri"/>
          <w:sz w:val="24"/>
          <w:szCs w:val="24"/>
          <w:lang w:val="en-AU"/>
        </w:rPr>
        <w:t xml:space="preserve">ing </w:t>
      </w:r>
      <w:r>
        <w:rPr>
          <w:rFonts w:ascii="Calibri" w:hAnsi="Calibri" w:cs="Calibri"/>
          <w:sz w:val="24"/>
          <w:szCs w:val="24"/>
        </w:rPr>
        <w:t>a WCAW compared to ICS+SABA during the study period (34.4% vs. 44.4%,</w:t>
      </w:r>
      <w:r>
        <w:rPr>
          <w:rFonts w:ascii="Calibri" w:hAnsi="Calibri" w:cs="Calibri"/>
          <w:color w:val="4D4D4D"/>
          <w:sz w:val="24"/>
          <w:szCs w:val="24"/>
          <w:shd w:val="clear" w:color="auto" w:fill="FFFFFF"/>
        </w:rPr>
        <w:t xml:space="preserve"> </w:t>
      </w:r>
      <w:r>
        <w:rPr>
          <w:rFonts w:ascii="Calibri" w:hAnsi="Calibri" w:cs="Calibri"/>
          <w:sz w:val="24"/>
          <w:szCs w:val="24"/>
        </w:rPr>
        <w:t>Odds Ratio</w:t>
      </w:r>
      <w:r>
        <w:rPr>
          <w:rFonts w:ascii="Calibri" w:hAnsi="Calibri" w:cs="Calibri"/>
          <w:sz w:val="24"/>
          <w:szCs w:val="24"/>
          <w:lang w:val="en-AU"/>
        </w:rPr>
        <w:t xml:space="preserve"> (OR)</w:t>
      </w:r>
      <w:r>
        <w:rPr>
          <w:rFonts w:ascii="Calibri" w:hAnsi="Calibri" w:cs="Calibri"/>
          <w:sz w:val="24"/>
          <w:szCs w:val="24"/>
        </w:rPr>
        <w:t xml:space="preserve"> 0.64, 95% CI: 0.57, 0.73). Although there was no MCID nominated for the outcome, the nearly 40% difference may represent a meaningful difference for patients.</w:t>
      </w:r>
      <w:r>
        <w:rPr>
          <w:rFonts w:ascii="Calibri" w:hAnsi="Calibri" w:cs="Calibri"/>
          <w:sz w:val="24"/>
          <w:szCs w:val="24"/>
          <w:lang w:val="en-AU"/>
        </w:rPr>
        <w:t xml:space="preserve"> The PBAC noted that a pre-planned additional analysis that removed the ‘as needed’ component from the WCAW composite measure still favoured ICS+SABA over Symbicort. The PBAC noted that only a post-hoc analysis where the first two inhalations used ‘as needed’ per day were not counted (i.e. the inhalations were included as if they had been taken as maintenance doses) showed comparable results between Symbicort and ICS+SABA.  </w:t>
      </w:r>
    </w:p>
    <w:p w:rsidR="00716FDC" w:rsidRDefault="00C83C33">
      <w:pPr>
        <w:widowControl/>
        <w:spacing w:after="120"/>
        <w:rPr>
          <w:rFonts w:cs="Calibri"/>
          <w:i/>
          <w:color w:val="000000"/>
          <w:szCs w:val="24"/>
        </w:rPr>
      </w:pPr>
      <w:r>
        <w:rPr>
          <w:rFonts w:cs="Calibri"/>
          <w:i/>
          <w:color w:val="000000"/>
          <w:szCs w:val="24"/>
        </w:rPr>
        <w:t>Symbicort versus SABA</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SYGMA 1 showed a statistically significant, but not clinically meaningful</w:t>
      </w:r>
      <w:r>
        <w:rPr>
          <w:rFonts w:ascii="Calibri" w:hAnsi="Calibri" w:cs="Calibri"/>
          <w:i/>
          <w:sz w:val="24"/>
          <w:szCs w:val="24"/>
        </w:rPr>
        <w:t>,</w:t>
      </w:r>
      <w:r>
        <w:rPr>
          <w:rFonts w:ascii="Calibri" w:hAnsi="Calibri" w:cs="Calibri"/>
          <w:sz w:val="24"/>
          <w:szCs w:val="24"/>
        </w:rPr>
        <w:t xml:space="preserve"> difference in the change from baseline in the ACQ-5 score in favour of Symbicort. In addition, SYGMA 1 also reported Symbicort </w:t>
      </w:r>
      <w:r>
        <w:rPr>
          <w:rFonts w:ascii="Calibri" w:hAnsi="Calibri" w:cs="Calibri"/>
          <w:sz w:val="24"/>
          <w:szCs w:val="24"/>
          <w:lang w:val="en-AU"/>
        </w:rPr>
        <w:t>had</w:t>
      </w:r>
      <w:r>
        <w:rPr>
          <w:rFonts w:ascii="Calibri" w:hAnsi="Calibri" w:cs="Calibri"/>
          <w:sz w:val="24"/>
          <w:szCs w:val="24"/>
        </w:rPr>
        <w:t xml:space="preserve"> 14% </w:t>
      </w:r>
      <w:r>
        <w:rPr>
          <w:rFonts w:ascii="Calibri" w:hAnsi="Calibri" w:cs="Calibri"/>
          <w:sz w:val="24"/>
          <w:szCs w:val="24"/>
          <w:lang w:val="en-AU"/>
        </w:rPr>
        <w:t>greater odds of</w:t>
      </w:r>
      <w:r>
        <w:rPr>
          <w:rFonts w:ascii="Calibri" w:hAnsi="Calibri" w:cs="Calibri"/>
          <w:sz w:val="24"/>
          <w:szCs w:val="24"/>
        </w:rPr>
        <w:t xml:space="preserve"> achiev</w:t>
      </w:r>
      <w:r>
        <w:rPr>
          <w:rFonts w:ascii="Calibri" w:hAnsi="Calibri" w:cs="Calibri"/>
          <w:sz w:val="24"/>
          <w:szCs w:val="24"/>
          <w:lang w:val="en-AU"/>
        </w:rPr>
        <w:t>ing</w:t>
      </w:r>
      <w:r>
        <w:rPr>
          <w:rFonts w:ascii="Calibri" w:hAnsi="Calibri" w:cs="Calibri"/>
          <w:sz w:val="24"/>
          <w:szCs w:val="24"/>
        </w:rPr>
        <w:t xml:space="preserve"> a WCAW compared to SABA during the study period (OR 1.14; 95% CI: 1.00, 1.30).</w:t>
      </w:r>
    </w:p>
    <w:p w:rsidR="00716FDC" w:rsidRDefault="00C83C33">
      <w:pPr>
        <w:widowControl/>
        <w:spacing w:after="120"/>
        <w:rPr>
          <w:rFonts w:cs="Calibri"/>
          <w:szCs w:val="24"/>
          <w:u w:val="single"/>
        </w:rPr>
      </w:pPr>
      <w:r>
        <w:rPr>
          <w:rFonts w:cs="Calibri"/>
          <w:szCs w:val="24"/>
          <w:u w:val="single"/>
        </w:rPr>
        <w:t>Utilisation of medications</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Table 9 presents the utilisation of ICS and OCS during the study period. </w:t>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9</w:t>
      </w:r>
      <w:r>
        <w:fldChar w:fldCharType="end"/>
      </w:r>
      <w:r w:rsidRPr="007A76D3">
        <w:t xml:space="preserve"> Utilisation of ICS and systematic OCS (Full analyses set)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Utilisation of ICS and systematic OCS (Full analyses set)"/>
      </w:tblPr>
      <w:tblGrid>
        <w:gridCol w:w="2547"/>
        <w:gridCol w:w="1276"/>
        <w:gridCol w:w="1417"/>
        <w:gridCol w:w="1276"/>
        <w:gridCol w:w="1200"/>
        <w:gridCol w:w="1351"/>
      </w:tblGrid>
      <w:tr w:rsidR="00716FDC">
        <w:trPr>
          <w:trHeight w:val="164"/>
          <w:tblHeader/>
        </w:trPr>
        <w:tc>
          <w:tcPr>
            <w:tcW w:w="2547" w:type="dxa"/>
            <w:vMerge w:val="restart"/>
            <w:shd w:val="clear" w:color="auto" w:fill="auto"/>
            <w:noWrap/>
            <w:vAlign w:val="bottom"/>
          </w:tcPr>
          <w:p w:rsidR="00716FDC" w:rsidRDefault="00716FDC">
            <w:pPr>
              <w:keepNext/>
              <w:keepLines/>
              <w:rPr>
                <w:rFonts w:ascii="Arial Narrow" w:hAnsi="Arial Narrow" w:cs="Times New Roman"/>
                <w:color w:val="000000"/>
                <w:sz w:val="20"/>
                <w:szCs w:val="20"/>
                <w:lang w:eastAsia="en-AU"/>
              </w:rPr>
            </w:pPr>
          </w:p>
        </w:tc>
        <w:tc>
          <w:tcPr>
            <w:tcW w:w="3969" w:type="dxa"/>
            <w:gridSpan w:val="3"/>
            <w:shd w:val="clear" w:color="auto" w:fill="auto"/>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SYGMA 1</w:t>
            </w:r>
          </w:p>
        </w:tc>
        <w:tc>
          <w:tcPr>
            <w:tcW w:w="2551" w:type="dxa"/>
            <w:gridSpan w:val="2"/>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SYGMA 2</w:t>
            </w:r>
          </w:p>
        </w:tc>
      </w:tr>
      <w:tr w:rsidR="00716FDC">
        <w:trPr>
          <w:trHeight w:val="293"/>
          <w:tblHeader/>
        </w:trPr>
        <w:tc>
          <w:tcPr>
            <w:tcW w:w="2547" w:type="dxa"/>
            <w:vMerge/>
            <w:shd w:val="clear" w:color="auto" w:fill="auto"/>
            <w:noWrap/>
            <w:vAlign w:val="bottom"/>
            <w:hideMark/>
          </w:tcPr>
          <w:p w:rsidR="00716FDC" w:rsidRDefault="00716FDC">
            <w:pPr>
              <w:keepNext/>
              <w:keepLines/>
              <w:rPr>
                <w:rFonts w:ascii="Arial Narrow" w:hAnsi="Arial Narrow" w:cs="Times New Roman"/>
                <w:color w:val="000000"/>
                <w:sz w:val="20"/>
                <w:szCs w:val="20"/>
                <w:lang w:eastAsia="en-AU"/>
              </w:rPr>
            </w:pPr>
          </w:p>
        </w:tc>
        <w:tc>
          <w:tcPr>
            <w:tcW w:w="1276" w:type="dxa"/>
            <w:shd w:val="clear" w:color="auto" w:fill="auto"/>
            <w:hideMark/>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Symbicort</w:t>
            </w:r>
          </w:p>
        </w:tc>
        <w:tc>
          <w:tcPr>
            <w:tcW w:w="1417" w:type="dxa"/>
            <w:shd w:val="clear" w:color="auto" w:fill="auto"/>
            <w:hideMark/>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ICS+SABA</w:t>
            </w:r>
          </w:p>
        </w:tc>
        <w:tc>
          <w:tcPr>
            <w:tcW w:w="1276" w:type="dxa"/>
            <w:shd w:val="clear" w:color="auto" w:fill="auto"/>
            <w:hideMark/>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SABA</w:t>
            </w:r>
          </w:p>
        </w:tc>
        <w:tc>
          <w:tcPr>
            <w:tcW w:w="1200" w:type="dxa"/>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 xml:space="preserve">Symbicort </w:t>
            </w:r>
          </w:p>
        </w:tc>
        <w:tc>
          <w:tcPr>
            <w:tcW w:w="1351" w:type="dxa"/>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sz w:val="20"/>
                <w:szCs w:val="20"/>
              </w:rPr>
              <w:t>ICS+SABA</w:t>
            </w:r>
          </w:p>
        </w:tc>
      </w:tr>
      <w:tr w:rsidR="00716FDC">
        <w:trPr>
          <w:trHeight w:val="269"/>
          <w:tblHeader/>
        </w:trPr>
        <w:tc>
          <w:tcPr>
            <w:tcW w:w="2547" w:type="dxa"/>
            <w:vMerge/>
            <w:shd w:val="clear" w:color="auto" w:fill="auto"/>
            <w:noWrap/>
            <w:vAlign w:val="bottom"/>
          </w:tcPr>
          <w:p w:rsidR="00716FDC" w:rsidRDefault="00716FDC">
            <w:pPr>
              <w:keepNext/>
              <w:keepLines/>
              <w:rPr>
                <w:rFonts w:ascii="Arial Narrow" w:hAnsi="Arial Narrow" w:cs="Times New Roman"/>
                <w:color w:val="000000"/>
                <w:sz w:val="20"/>
                <w:szCs w:val="20"/>
                <w:lang w:eastAsia="en-AU"/>
              </w:rPr>
            </w:pPr>
          </w:p>
        </w:tc>
        <w:tc>
          <w:tcPr>
            <w:tcW w:w="1276" w:type="dxa"/>
            <w:shd w:val="clear" w:color="auto" w:fill="auto"/>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N = 1277</w:t>
            </w:r>
          </w:p>
        </w:tc>
        <w:tc>
          <w:tcPr>
            <w:tcW w:w="1417" w:type="dxa"/>
            <w:shd w:val="clear" w:color="auto" w:fill="auto"/>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N = 1282</w:t>
            </w:r>
          </w:p>
        </w:tc>
        <w:tc>
          <w:tcPr>
            <w:tcW w:w="1276" w:type="dxa"/>
            <w:shd w:val="clear" w:color="auto" w:fill="auto"/>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N = 1277</w:t>
            </w:r>
          </w:p>
        </w:tc>
        <w:tc>
          <w:tcPr>
            <w:tcW w:w="1200" w:type="dxa"/>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N = 2089</w:t>
            </w:r>
          </w:p>
        </w:tc>
        <w:tc>
          <w:tcPr>
            <w:tcW w:w="1351" w:type="dxa"/>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2087</w:t>
            </w:r>
          </w:p>
        </w:tc>
      </w:tr>
      <w:tr w:rsidR="00716FDC">
        <w:trPr>
          <w:trHeight w:val="288"/>
        </w:trPr>
        <w:tc>
          <w:tcPr>
            <w:tcW w:w="9067" w:type="dxa"/>
            <w:gridSpan w:val="6"/>
            <w:shd w:val="clear" w:color="auto" w:fill="auto"/>
            <w:noWrap/>
            <w:vAlign w:val="center"/>
          </w:tcPr>
          <w:p w:rsidR="00716FDC" w:rsidRDefault="00C83C33">
            <w:pPr>
              <w:keepNext/>
              <w:keepLines/>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ICS use (daily ICS, mcg)</w:t>
            </w:r>
          </w:p>
        </w:tc>
      </w:tr>
      <w:tr w:rsidR="00716FDC">
        <w:trPr>
          <w:trHeight w:val="295"/>
        </w:trPr>
        <w:tc>
          <w:tcPr>
            <w:tcW w:w="2547" w:type="dxa"/>
            <w:shd w:val="clear" w:color="auto" w:fill="auto"/>
            <w:noWrap/>
            <w:vAlign w:val="center"/>
            <w:hideMark/>
          </w:tcPr>
          <w:p w:rsidR="00716FDC" w:rsidRDefault="00C83C33">
            <w:pPr>
              <w:keepNext/>
              <w:keepLines/>
              <w:tabs>
                <w:tab w:val="left" w:pos="284"/>
              </w:tabs>
              <w:jc w:val="lef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IP:</w:t>
            </w:r>
            <w:r>
              <w:rPr>
                <w:rFonts w:ascii="Arial Narrow" w:hAnsi="Arial Narrow" w:cs="Times New Roman"/>
                <w:color w:val="000000"/>
                <w:sz w:val="20"/>
                <w:szCs w:val="20"/>
                <w:lang w:eastAsia="en-AU"/>
              </w:rPr>
              <w:tab/>
            </w:r>
            <w:r>
              <w:rPr>
                <w:rFonts w:ascii="Arial Narrow" w:hAnsi="Arial Narrow" w:cs="Times New Roman"/>
                <w:color w:val="000000"/>
                <w:sz w:val="20"/>
                <w:szCs w:val="20"/>
                <w:lang w:eastAsia="en-AU"/>
              </w:rPr>
              <w:tab/>
              <w:t>Mean (SD)</w:t>
            </w:r>
          </w:p>
          <w:p w:rsidR="00716FDC" w:rsidRDefault="00C83C33" w:rsidP="00E37F58">
            <w:pPr>
              <w:keepNext/>
              <w:keepLines/>
              <w:tabs>
                <w:tab w:val="left" w:pos="284"/>
              </w:tabs>
              <w:jc w:val="lef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xml:space="preserve"> </w:t>
            </w:r>
            <w:r>
              <w:rPr>
                <w:rFonts w:ascii="Arial Narrow" w:hAnsi="Arial Narrow" w:cs="Times New Roman"/>
                <w:color w:val="000000"/>
                <w:sz w:val="20"/>
                <w:szCs w:val="20"/>
                <w:lang w:eastAsia="en-AU"/>
              </w:rPr>
              <w:tab/>
            </w:r>
            <w:r>
              <w:rPr>
                <w:rFonts w:ascii="Arial Narrow" w:hAnsi="Arial Narrow" w:cs="Times New Roman"/>
                <w:color w:val="000000"/>
                <w:sz w:val="20"/>
                <w:szCs w:val="20"/>
                <w:lang w:eastAsia="en-AU"/>
              </w:rPr>
              <w:tab/>
              <w:t xml:space="preserve">Median </w:t>
            </w:r>
          </w:p>
        </w:tc>
        <w:tc>
          <w:tcPr>
            <w:tcW w:w="1276"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74.4 (81.8)</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45.5</w:t>
            </w:r>
          </w:p>
        </w:tc>
        <w:tc>
          <w:tcPr>
            <w:tcW w:w="1417"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251.9 (71.3)</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271.8</w:t>
            </w:r>
          </w:p>
        </w:tc>
        <w:tc>
          <w:tcPr>
            <w:tcW w:w="1276"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NA</w:t>
            </w:r>
          </w:p>
        </w:tc>
        <w:tc>
          <w:tcPr>
            <w:tcW w:w="1200"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82.5 (87.5)</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52.5</w:t>
            </w:r>
          </w:p>
        </w:tc>
        <w:tc>
          <w:tcPr>
            <w:tcW w:w="1351"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200.5 (94.1)</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213.8</w:t>
            </w:r>
          </w:p>
        </w:tc>
      </w:tr>
      <w:tr w:rsidR="00716FDC">
        <w:trPr>
          <w:trHeight w:val="288"/>
        </w:trPr>
        <w:tc>
          <w:tcPr>
            <w:tcW w:w="2547" w:type="dxa"/>
            <w:shd w:val="clear" w:color="auto" w:fill="auto"/>
            <w:noWrap/>
            <w:vAlign w:val="center"/>
            <w:hideMark/>
          </w:tcPr>
          <w:p w:rsidR="00716FDC" w:rsidRDefault="00C83C33">
            <w:pPr>
              <w:keepNext/>
              <w:keepLines/>
              <w:tabs>
                <w:tab w:val="left" w:pos="284"/>
              </w:tabs>
              <w:jc w:val="lef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Total</w:t>
            </w:r>
            <w:r>
              <w:rPr>
                <w:rFonts w:ascii="Arial Narrow" w:hAnsi="Arial Narrow" w:cs="Times New Roman"/>
                <w:color w:val="000000"/>
                <w:sz w:val="20"/>
                <w:szCs w:val="20"/>
                <w:vertAlign w:val="superscript"/>
                <w:lang w:eastAsia="en-AU"/>
              </w:rPr>
              <w:t>a</w:t>
            </w:r>
            <w:r>
              <w:rPr>
                <w:rFonts w:ascii="Arial Narrow" w:hAnsi="Arial Narrow" w:cs="Times New Roman"/>
                <w:color w:val="000000"/>
                <w:sz w:val="20"/>
                <w:szCs w:val="20"/>
                <w:lang w:eastAsia="en-AU"/>
              </w:rPr>
              <w:t>:</w:t>
            </w:r>
            <w:r>
              <w:rPr>
                <w:rFonts w:ascii="Arial Narrow" w:hAnsi="Arial Narrow" w:cs="Times New Roman"/>
                <w:color w:val="000000"/>
                <w:sz w:val="20"/>
                <w:szCs w:val="20"/>
                <w:lang w:eastAsia="en-AU"/>
              </w:rPr>
              <w:tab/>
              <w:t xml:space="preserve">Mean (SD) </w:t>
            </w:r>
          </w:p>
          <w:p w:rsidR="00716FDC" w:rsidRDefault="00C83C33">
            <w:pPr>
              <w:keepNext/>
              <w:keepLines/>
              <w:jc w:val="lef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ab/>
              <w:t xml:space="preserve">Median </w:t>
            </w:r>
          </w:p>
        </w:tc>
        <w:tc>
          <w:tcPr>
            <w:tcW w:w="1276" w:type="dxa"/>
            <w:shd w:val="clear" w:color="auto" w:fill="auto"/>
            <w:noWrap/>
            <w:vAlign w:val="center"/>
            <w:hideMark/>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80.5 (90.4)</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48.3</w:t>
            </w:r>
          </w:p>
        </w:tc>
        <w:tc>
          <w:tcPr>
            <w:tcW w:w="1417" w:type="dxa"/>
            <w:shd w:val="clear" w:color="auto" w:fill="auto"/>
            <w:noWrap/>
            <w:vAlign w:val="center"/>
            <w:hideMark/>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259.5 (81.6)</w:t>
            </w:r>
          </w:p>
          <w:p w:rsidR="00716FDC" w:rsidRDefault="00C83C33">
            <w:pPr>
              <w:keepNext/>
              <w:keepLines/>
              <w:jc w:val="center"/>
              <w:rPr>
                <w:rFonts w:ascii="Arial Narrow" w:hAnsi="Arial Narrow" w:cs="Times New Roman"/>
                <w:sz w:val="20"/>
                <w:szCs w:val="20"/>
                <w:lang w:eastAsia="en-AU"/>
              </w:rPr>
            </w:pPr>
            <w:r>
              <w:rPr>
                <w:rFonts w:ascii="Arial Narrow" w:hAnsi="Arial Narrow" w:cs="Times New Roman"/>
                <w:sz w:val="20"/>
                <w:szCs w:val="20"/>
              </w:rPr>
              <w:t>276.2</w:t>
            </w:r>
          </w:p>
        </w:tc>
        <w:tc>
          <w:tcPr>
            <w:tcW w:w="1276" w:type="dxa"/>
            <w:shd w:val="clear" w:color="auto" w:fill="auto"/>
            <w:noWrap/>
            <w:vAlign w:val="center"/>
            <w:hideMark/>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22.6 (68.6)</w:t>
            </w:r>
          </w:p>
          <w:p w:rsidR="00716FDC" w:rsidRDefault="00C83C33">
            <w:pPr>
              <w:keepNext/>
              <w:keepLines/>
              <w:jc w:val="center"/>
              <w:rPr>
                <w:rFonts w:ascii="Arial Narrow" w:hAnsi="Arial Narrow" w:cs="Times New Roman"/>
                <w:sz w:val="20"/>
                <w:szCs w:val="20"/>
                <w:lang w:eastAsia="en-AU"/>
              </w:rPr>
            </w:pPr>
            <w:r>
              <w:rPr>
                <w:rFonts w:ascii="Arial Narrow" w:hAnsi="Arial Narrow" w:cs="Times New Roman"/>
                <w:sz w:val="20"/>
                <w:szCs w:val="20"/>
              </w:rPr>
              <w:t>0.0</w:t>
            </w:r>
          </w:p>
        </w:tc>
        <w:tc>
          <w:tcPr>
            <w:tcW w:w="1200"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83.2 (87.8)</w:t>
            </w:r>
          </w:p>
          <w:p w:rsidR="00716FDC" w:rsidRDefault="00C83C33">
            <w:pPr>
              <w:keepNext/>
              <w:keepLines/>
              <w:jc w:val="center"/>
              <w:rPr>
                <w:rFonts w:ascii="Arial Narrow" w:hAnsi="Arial Narrow" w:cs="Times New Roman"/>
                <w:sz w:val="20"/>
                <w:szCs w:val="20"/>
                <w:lang w:eastAsia="en-AU"/>
              </w:rPr>
            </w:pPr>
            <w:r>
              <w:rPr>
                <w:rFonts w:ascii="Arial Narrow" w:hAnsi="Arial Narrow" w:cs="Times New Roman"/>
                <w:color w:val="000000"/>
                <w:sz w:val="20"/>
                <w:szCs w:val="20"/>
                <w:lang w:eastAsia="en-AU"/>
              </w:rPr>
              <w:t>52.9</w:t>
            </w:r>
          </w:p>
        </w:tc>
        <w:tc>
          <w:tcPr>
            <w:tcW w:w="1351"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201.0 (94.2)</w:t>
            </w:r>
          </w:p>
          <w:p w:rsidR="00716FDC" w:rsidRDefault="00C83C33">
            <w:pPr>
              <w:keepNext/>
              <w:keepLines/>
              <w:jc w:val="center"/>
              <w:rPr>
                <w:rFonts w:ascii="Arial Narrow" w:hAnsi="Arial Narrow" w:cs="Times New Roman"/>
                <w:sz w:val="20"/>
                <w:szCs w:val="20"/>
                <w:lang w:eastAsia="en-AU"/>
              </w:rPr>
            </w:pPr>
            <w:r>
              <w:rPr>
                <w:rFonts w:ascii="Arial Narrow" w:hAnsi="Arial Narrow" w:cs="Times New Roman"/>
                <w:color w:val="000000"/>
                <w:sz w:val="20"/>
                <w:szCs w:val="20"/>
                <w:lang w:eastAsia="en-AU"/>
              </w:rPr>
              <w:t>214.1</w:t>
            </w:r>
          </w:p>
        </w:tc>
      </w:tr>
      <w:tr w:rsidR="00716FDC">
        <w:trPr>
          <w:trHeight w:val="183"/>
        </w:trPr>
        <w:tc>
          <w:tcPr>
            <w:tcW w:w="2547" w:type="dxa"/>
            <w:shd w:val="clear" w:color="auto" w:fill="auto"/>
            <w:noWrap/>
            <w:vAlign w:val="center"/>
            <w:hideMark/>
          </w:tcPr>
          <w:p w:rsidR="00716FDC" w:rsidRDefault="00C83C33">
            <w:pPr>
              <w:keepNext/>
              <w:keepLines/>
              <w:jc w:val="left"/>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Mean number 'rescue' inhalations/day</w:t>
            </w:r>
          </w:p>
        </w:tc>
        <w:tc>
          <w:tcPr>
            <w:tcW w:w="1276"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0.47</w:t>
            </w:r>
          </w:p>
        </w:tc>
        <w:tc>
          <w:tcPr>
            <w:tcW w:w="1417"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0.39</w:t>
            </w:r>
          </w:p>
        </w:tc>
        <w:tc>
          <w:tcPr>
            <w:tcW w:w="1276" w:type="dxa"/>
            <w:shd w:val="clear" w:color="auto" w:fill="auto"/>
            <w:noWrap/>
            <w:vAlign w:val="center"/>
            <w:hideMark/>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0.58</w:t>
            </w:r>
          </w:p>
        </w:tc>
        <w:tc>
          <w:tcPr>
            <w:tcW w:w="1200"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0.52</w:t>
            </w:r>
          </w:p>
        </w:tc>
        <w:tc>
          <w:tcPr>
            <w:tcW w:w="1351" w:type="dxa"/>
            <w:vAlign w:val="center"/>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0.49</w:t>
            </w:r>
          </w:p>
        </w:tc>
      </w:tr>
      <w:tr w:rsidR="00716FDC">
        <w:trPr>
          <w:trHeight w:val="146"/>
        </w:trPr>
        <w:tc>
          <w:tcPr>
            <w:tcW w:w="9067" w:type="dxa"/>
            <w:gridSpan w:val="6"/>
            <w:shd w:val="clear" w:color="auto" w:fill="auto"/>
            <w:noWrap/>
            <w:vAlign w:val="center"/>
          </w:tcPr>
          <w:p w:rsidR="00716FDC" w:rsidRDefault="00C83C33">
            <w:pPr>
              <w:keepNext/>
              <w:keepLines/>
              <w:rPr>
                <w:rFonts w:ascii="Arial Narrow" w:hAnsi="Arial Narrow" w:cs="Times New Roman"/>
                <w:b/>
                <w:sz w:val="20"/>
                <w:szCs w:val="20"/>
              </w:rPr>
            </w:pPr>
            <w:r>
              <w:rPr>
                <w:rFonts w:ascii="Arial Narrow" w:hAnsi="Arial Narrow" w:cs="Times New Roman"/>
                <w:b/>
                <w:sz w:val="20"/>
                <w:szCs w:val="20"/>
              </w:rPr>
              <w:t>OCS use</w:t>
            </w:r>
          </w:p>
        </w:tc>
      </w:tr>
      <w:tr w:rsidR="00716FDC">
        <w:trPr>
          <w:trHeight w:val="146"/>
        </w:trPr>
        <w:tc>
          <w:tcPr>
            <w:tcW w:w="2547" w:type="dxa"/>
            <w:shd w:val="clear" w:color="auto" w:fill="auto"/>
            <w:noWrap/>
            <w:vAlign w:val="center"/>
          </w:tcPr>
          <w:p w:rsidR="00716FDC" w:rsidRDefault="00C83C33">
            <w:pPr>
              <w:keepNext/>
              <w:keepLines/>
              <w:jc w:val="left"/>
              <w:rPr>
                <w:rFonts w:ascii="Arial Narrow" w:hAnsi="Arial Narrow" w:cs="Times New Roman"/>
                <w:sz w:val="20"/>
                <w:szCs w:val="20"/>
              </w:rPr>
            </w:pPr>
            <w:r>
              <w:rPr>
                <w:rFonts w:ascii="Arial Narrow" w:hAnsi="Arial Narrow" w:cs="Times New Roman"/>
                <w:sz w:val="20"/>
                <w:szCs w:val="20"/>
              </w:rPr>
              <w:t>No. of patients who had any</w:t>
            </w:r>
          </w:p>
        </w:tc>
        <w:tc>
          <w:tcPr>
            <w:tcW w:w="1276"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71</w:t>
            </w:r>
          </w:p>
        </w:tc>
        <w:tc>
          <w:tcPr>
            <w:tcW w:w="1417"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78</w:t>
            </w:r>
          </w:p>
        </w:tc>
        <w:tc>
          <w:tcPr>
            <w:tcW w:w="1276"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156</w:t>
            </w:r>
          </w:p>
        </w:tc>
        <w:tc>
          <w:tcPr>
            <w:tcW w:w="1200"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179</w:t>
            </w:r>
          </w:p>
        </w:tc>
        <w:tc>
          <w:tcPr>
            <w:tcW w:w="1351"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186</w:t>
            </w:r>
          </w:p>
        </w:tc>
      </w:tr>
      <w:tr w:rsidR="00716FDC">
        <w:trPr>
          <w:trHeight w:val="146"/>
        </w:trPr>
        <w:tc>
          <w:tcPr>
            <w:tcW w:w="2547" w:type="dxa"/>
            <w:shd w:val="clear" w:color="auto" w:fill="auto"/>
            <w:noWrap/>
            <w:vAlign w:val="center"/>
          </w:tcPr>
          <w:p w:rsidR="00716FDC" w:rsidRDefault="00C83C33">
            <w:pPr>
              <w:keepNext/>
              <w:keepLines/>
              <w:jc w:val="lef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Mean (SD) days</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6.55 (3.45)</w:t>
            </w:r>
          </w:p>
        </w:tc>
        <w:tc>
          <w:tcPr>
            <w:tcW w:w="1417"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6.41 (3.58)</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7.93 (6.52)</w:t>
            </w:r>
          </w:p>
        </w:tc>
        <w:tc>
          <w:tcPr>
            <w:tcW w:w="1200"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7.56 (5.48)</w:t>
            </w:r>
          </w:p>
        </w:tc>
        <w:tc>
          <w:tcPr>
            <w:tcW w:w="1351"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6.72 (3.89)</w:t>
            </w:r>
          </w:p>
        </w:tc>
      </w:tr>
      <w:tr w:rsidR="00716FDC">
        <w:trPr>
          <w:trHeight w:val="146"/>
        </w:trPr>
        <w:tc>
          <w:tcPr>
            <w:tcW w:w="2547" w:type="dxa"/>
            <w:shd w:val="clear" w:color="auto" w:fill="auto"/>
            <w:noWrap/>
            <w:vAlign w:val="center"/>
          </w:tcPr>
          <w:p w:rsidR="00716FDC" w:rsidRDefault="00C83C33">
            <w:pPr>
              <w:keepNext/>
              <w:keepLines/>
              <w:jc w:val="left"/>
              <w:rPr>
                <w:rFonts w:ascii="Arial Narrow" w:hAnsi="Arial Narrow" w:cs="Times New Roman"/>
                <w:color w:val="000000"/>
                <w:sz w:val="20"/>
                <w:szCs w:val="20"/>
                <w:lang w:eastAsia="en-AU"/>
              </w:rPr>
            </w:pPr>
            <w:r>
              <w:rPr>
                <w:rFonts w:ascii="Arial Narrow" w:hAnsi="Arial Narrow" w:cs="Times New Roman"/>
                <w:sz w:val="20"/>
                <w:szCs w:val="20"/>
              </w:rPr>
              <w:t>Median</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6.00</w:t>
            </w:r>
          </w:p>
        </w:tc>
        <w:tc>
          <w:tcPr>
            <w:tcW w:w="1417"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6.00</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sz w:val="20"/>
                <w:szCs w:val="20"/>
              </w:rPr>
              <w:t>6.00</w:t>
            </w:r>
          </w:p>
        </w:tc>
        <w:tc>
          <w:tcPr>
            <w:tcW w:w="1200"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6.00</w:t>
            </w:r>
          </w:p>
        </w:tc>
        <w:tc>
          <w:tcPr>
            <w:tcW w:w="1351"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6.00</w:t>
            </w:r>
          </w:p>
        </w:tc>
      </w:tr>
      <w:tr w:rsidR="00716FDC">
        <w:trPr>
          <w:trHeight w:val="146"/>
        </w:trPr>
        <w:tc>
          <w:tcPr>
            <w:tcW w:w="9067" w:type="dxa"/>
            <w:gridSpan w:val="6"/>
            <w:shd w:val="clear" w:color="auto" w:fill="auto"/>
            <w:noWrap/>
            <w:vAlign w:val="center"/>
          </w:tcPr>
          <w:p w:rsidR="00716FDC" w:rsidRDefault="00C83C33">
            <w:pPr>
              <w:keepNext/>
              <w:keepLines/>
              <w:jc w:val="left"/>
              <w:rPr>
                <w:rFonts w:ascii="Arial Narrow" w:hAnsi="Arial Narrow" w:cs="Times New Roman"/>
                <w:sz w:val="20"/>
                <w:szCs w:val="20"/>
              </w:rPr>
            </w:pPr>
            <w:r>
              <w:rPr>
                <w:rFonts w:ascii="Arial Narrow" w:hAnsi="Arial Narrow" w:cs="Times New Roman"/>
                <w:b/>
                <w:color w:val="000000"/>
                <w:sz w:val="20"/>
                <w:szCs w:val="20"/>
                <w:lang w:eastAsia="en-AU"/>
              </w:rPr>
              <w:t>ICS controller use days (%), ANCOVA model</w:t>
            </w:r>
          </w:p>
        </w:tc>
      </w:tr>
      <w:tr w:rsidR="00716FDC">
        <w:trPr>
          <w:trHeight w:val="146"/>
        </w:trPr>
        <w:tc>
          <w:tcPr>
            <w:tcW w:w="2547" w:type="dxa"/>
            <w:shd w:val="clear" w:color="auto" w:fill="auto"/>
            <w:noWrap/>
            <w:vAlign w:val="center"/>
          </w:tcPr>
          <w:p w:rsidR="00716FDC" w:rsidRDefault="00716FDC">
            <w:pPr>
              <w:keepNext/>
              <w:keepLines/>
              <w:jc w:val="left"/>
              <w:rPr>
                <w:rFonts w:ascii="Arial Narrow" w:hAnsi="Arial Narrow" w:cs="Times New Roman"/>
                <w:sz w:val="20"/>
                <w:szCs w:val="20"/>
              </w:rPr>
            </w:pPr>
          </w:p>
        </w:tc>
        <w:tc>
          <w:tcPr>
            <w:tcW w:w="1276"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1276</w:t>
            </w:r>
          </w:p>
        </w:tc>
        <w:tc>
          <w:tcPr>
            <w:tcW w:w="1417"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1281</w:t>
            </w:r>
          </w:p>
        </w:tc>
        <w:tc>
          <w:tcPr>
            <w:tcW w:w="1276"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1273</w:t>
            </w:r>
          </w:p>
        </w:tc>
        <w:tc>
          <w:tcPr>
            <w:tcW w:w="1200"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2089</w:t>
            </w:r>
          </w:p>
        </w:tc>
        <w:tc>
          <w:tcPr>
            <w:tcW w:w="1351"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N = 2084</w:t>
            </w:r>
          </w:p>
        </w:tc>
      </w:tr>
      <w:tr w:rsidR="00716FDC">
        <w:trPr>
          <w:trHeight w:val="146"/>
        </w:trPr>
        <w:tc>
          <w:tcPr>
            <w:tcW w:w="2547" w:type="dxa"/>
            <w:shd w:val="clear" w:color="auto" w:fill="auto"/>
            <w:noWrap/>
            <w:vAlign w:val="center"/>
          </w:tcPr>
          <w:p w:rsidR="00716FDC" w:rsidRDefault="00C83C33">
            <w:pPr>
              <w:keepNext/>
              <w:keepLines/>
              <w:jc w:val="left"/>
              <w:rPr>
                <w:rFonts w:ascii="Arial Narrow" w:hAnsi="Arial Narrow" w:cs="Times New Roman"/>
                <w:sz w:val="20"/>
                <w:szCs w:val="20"/>
              </w:rPr>
            </w:pPr>
            <w:r>
              <w:rPr>
                <w:rFonts w:ascii="Arial Narrow" w:hAnsi="Arial Narrow" w:cs="Times New Roman"/>
                <w:sz w:val="20"/>
                <w:szCs w:val="20"/>
              </w:rPr>
              <w:t>Mean (95% CI)</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xml:space="preserve">30.91 </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(29.68, 32.13)</w:t>
            </w:r>
          </w:p>
        </w:tc>
        <w:tc>
          <w:tcPr>
            <w:tcW w:w="1417"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xml:space="preserve">85.76 </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(84.54, 86.98)</w:t>
            </w:r>
          </w:p>
        </w:tc>
        <w:tc>
          <w:tcPr>
            <w:tcW w:w="1276" w:type="dxa"/>
            <w:shd w:val="clear" w:color="auto" w:fill="auto"/>
            <w:noWrap/>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xml:space="preserve">5.78 </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(4.56, 7.01)</w:t>
            </w:r>
          </w:p>
        </w:tc>
        <w:tc>
          <w:tcPr>
            <w:tcW w:w="1200" w:type="dxa"/>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30.45 (29.20,31.70)</w:t>
            </w:r>
          </w:p>
        </w:tc>
        <w:tc>
          <w:tcPr>
            <w:tcW w:w="1351" w:type="dxa"/>
            <w:vAlign w:val="bottom"/>
          </w:tcPr>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xml:space="preserve">67.92 </w:t>
            </w:r>
          </w:p>
          <w:p w:rsidR="00716FDC" w:rsidRDefault="00C83C33">
            <w:pPr>
              <w:keepNext/>
              <w:keepLines/>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(66.67, 69.17)</w:t>
            </w:r>
          </w:p>
        </w:tc>
      </w:tr>
      <w:tr w:rsidR="00716FDC">
        <w:trPr>
          <w:trHeight w:val="146"/>
        </w:trPr>
        <w:tc>
          <w:tcPr>
            <w:tcW w:w="2547" w:type="dxa"/>
            <w:shd w:val="clear" w:color="auto" w:fill="auto"/>
            <w:noWrap/>
            <w:vAlign w:val="center"/>
          </w:tcPr>
          <w:p w:rsidR="00716FDC" w:rsidRDefault="00C83C33">
            <w:pPr>
              <w:keepNext/>
              <w:keepLines/>
              <w:jc w:val="left"/>
              <w:rPr>
                <w:rFonts w:ascii="Arial Narrow" w:hAnsi="Arial Narrow" w:cs="Times New Roman"/>
                <w:sz w:val="20"/>
                <w:szCs w:val="20"/>
              </w:rPr>
            </w:pPr>
            <w:r>
              <w:rPr>
                <w:rFonts w:ascii="Arial Narrow" w:hAnsi="Arial Narrow" w:cs="Times New Roman"/>
                <w:sz w:val="20"/>
                <w:szCs w:val="20"/>
              </w:rPr>
              <w:t>Mean difference (95% CI)</w:t>
            </w:r>
          </w:p>
        </w:tc>
        <w:tc>
          <w:tcPr>
            <w:tcW w:w="1276"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w:t>
            </w:r>
          </w:p>
        </w:tc>
        <w:tc>
          <w:tcPr>
            <w:tcW w:w="1417" w:type="dxa"/>
            <w:shd w:val="clear" w:color="auto" w:fill="auto"/>
            <w:noWrap/>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b/>
                <w:color w:val="000000"/>
                <w:sz w:val="20"/>
                <w:szCs w:val="20"/>
                <w:lang w:eastAsia="en-AU"/>
              </w:rPr>
              <w:noBreakHyphen/>
              <w:t>54.85 (</w:t>
            </w:r>
            <w:r>
              <w:rPr>
                <w:rFonts w:ascii="Arial Narrow" w:hAnsi="Arial Narrow" w:cs="Times New Roman"/>
                <w:b/>
                <w:color w:val="000000"/>
                <w:sz w:val="20"/>
                <w:szCs w:val="20"/>
                <w:lang w:eastAsia="en-AU"/>
              </w:rPr>
              <w:noBreakHyphen/>
              <w:t xml:space="preserve">56.58, </w:t>
            </w:r>
            <w:r>
              <w:rPr>
                <w:rFonts w:ascii="Arial Narrow" w:hAnsi="Arial Narrow" w:cs="Times New Roman"/>
                <w:b/>
                <w:color w:val="000000"/>
                <w:sz w:val="20"/>
                <w:szCs w:val="20"/>
                <w:lang w:eastAsia="en-AU"/>
              </w:rPr>
              <w:noBreakHyphen/>
              <w:t>53.13)</w:t>
            </w:r>
          </w:p>
        </w:tc>
        <w:tc>
          <w:tcPr>
            <w:tcW w:w="1276" w:type="dxa"/>
            <w:shd w:val="clear" w:color="auto" w:fill="auto"/>
            <w:noWrap/>
            <w:vAlign w:val="bottom"/>
          </w:tcPr>
          <w:p w:rsidR="00716FDC" w:rsidRDefault="00C83C33">
            <w:pPr>
              <w:keepNext/>
              <w:keepLines/>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 xml:space="preserve">25.12 </w:t>
            </w:r>
          </w:p>
          <w:p w:rsidR="00716FDC" w:rsidRDefault="00C83C33">
            <w:pPr>
              <w:keepNext/>
              <w:keepLines/>
              <w:jc w:val="center"/>
              <w:rPr>
                <w:rFonts w:ascii="Arial Narrow" w:hAnsi="Arial Narrow" w:cs="Times New Roman"/>
                <w:b/>
                <w:sz w:val="20"/>
                <w:szCs w:val="20"/>
              </w:rPr>
            </w:pPr>
            <w:r>
              <w:rPr>
                <w:rFonts w:ascii="Arial Narrow" w:hAnsi="Arial Narrow" w:cs="Times New Roman"/>
                <w:b/>
                <w:color w:val="000000"/>
                <w:sz w:val="20"/>
                <w:szCs w:val="20"/>
                <w:lang w:eastAsia="en-AU"/>
              </w:rPr>
              <w:t xml:space="preserve">(23.4, 26.85) </w:t>
            </w:r>
          </w:p>
        </w:tc>
        <w:tc>
          <w:tcPr>
            <w:tcW w:w="1200"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sz w:val="20"/>
                <w:szCs w:val="20"/>
              </w:rPr>
              <w:t>-</w:t>
            </w:r>
          </w:p>
        </w:tc>
        <w:tc>
          <w:tcPr>
            <w:tcW w:w="1351" w:type="dxa"/>
            <w:vAlign w:val="bottom"/>
          </w:tcPr>
          <w:p w:rsidR="00716FDC" w:rsidRDefault="00C83C33">
            <w:pPr>
              <w:keepNext/>
              <w:keepLines/>
              <w:jc w:val="center"/>
              <w:rPr>
                <w:rFonts w:ascii="Arial Narrow" w:hAnsi="Arial Narrow" w:cs="Times New Roman"/>
                <w:sz w:val="20"/>
                <w:szCs w:val="20"/>
              </w:rPr>
            </w:pPr>
            <w:r>
              <w:rPr>
                <w:rFonts w:ascii="Arial Narrow" w:hAnsi="Arial Narrow" w:cs="Times New Roman"/>
                <w:b/>
                <w:color w:val="000000"/>
                <w:sz w:val="20"/>
                <w:szCs w:val="20"/>
                <w:lang w:eastAsia="en-AU"/>
              </w:rPr>
              <w:noBreakHyphen/>
              <w:t>37.48 (</w:t>
            </w:r>
            <w:r>
              <w:rPr>
                <w:rFonts w:ascii="Arial Narrow" w:hAnsi="Arial Narrow" w:cs="Times New Roman"/>
                <w:b/>
                <w:color w:val="000000"/>
                <w:sz w:val="20"/>
                <w:szCs w:val="20"/>
                <w:lang w:eastAsia="en-AU"/>
              </w:rPr>
              <w:noBreakHyphen/>
              <w:t xml:space="preserve">29.18, </w:t>
            </w:r>
            <w:r>
              <w:rPr>
                <w:rFonts w:ascii="Arial Narrow" w:hAnsi="Arial Narrow" w:cs="Times New Roman"/>
                <w:b/>
                <w:color w:val="000000"/>
                <w:sz w:val="20"/>
                <w:szCs w:val="20"/>
                <w:lang w:eastAsia="en-AU"/>
              </w:rPr>
              <w:noBreakHyphen/>
              <w:t>35.77)</w:t>
            </w:r>
          </w:p>
        </w:tc>
      </w:tr>
    </w:tbl>
    <w:p w:rsidR="00716FDC" w:rsidRDefault="00C83C33">
      <w:pPr>
        <w:pStyle w:val="TableFooter"/>
        <w:keepNext/>
        <w:keepLines/>
      </w:pPr>
      <w:r>
        <w:t xml:space="preserve">Source: Table 2.5.4 and 2.5.5, p43 </w:t>
      </w:r>
      <w:r>
        <w:rPr>
          <w:lang w:val="en-AU"/>
        </w:rPr>
        <w:t>of</w:t>
      </w:r>
      <w:r>
        <w:t xml:space="preserve"> the submission</w:t>
      </w:r>
    </w:p>
    <w:p w:rsidR="00716FDC" w:rsidRDefault="00C83C33">
      <w:pPr>
        <w:pStyle w:val="TableFooter"/>
        <w:keepNext/>
        <w:keepLines/>
        <w:rPr>
          <w:lang w:val="en-AU"/>
        </w:rPr>
      </w:pPr>
      <w:r>
        <w:rPr>
          <w:b/>
        </w:rPr>
        <w:t>Bold</w:t>
      </w:r>
      <w:r>
        <w:t xml:space="preserve"> = </w:t>
      </w:r>
      <w:r>
        <w:rPr>
          <w:lang w:val="en-AU"/>
        </w:rPr>
        <w:t>statistically</w:t>
      </w:r>
      <w:r>
        <w:t xml:space="preserve"> significant</w:t>
      </w:r>
      <w:r>
        <w:rPr>
          <w:lang w:val="en-AU"/>
        </w:rPr>
        <w:t xml:space="preserve">; CI = confidence interval; </w:t>
      </w:r>
      <w:r>
        <w:t>ICS = inhaled corticosteroids</w:t>
      </w:r>
      <w:r>
        <w:rPr>
          <w:lang w:val="en-AU"/>
        </w:rPr>
        <w:t xml:space="preserve">; </w:t>
      </w:r>
      <w:r>
        <w:t>IP = investigation product</w:t>
      </w:r>
      <w:r>
        <w:rPr>
          <w:lang w:val="en-AU"/>
        </w:rPr>
        <w:t>;</w:t>
      </w:r>
      <w:r>
        <w:t xml:space="preserve"> OCS = oral corticosteroid</w:t>
      </w:r>
      <w:r>
        <w:rPr>
          <w:lang w:val="en-AU"/>
        </w:rPr>
        <w:t>; SABA = short-acting beta2-agonist; SD = standard deviation</w:t>
      </w:r>
    </w:p>
    <w:p w:rsidR="00716FDC" w:rsidRDefault="00C83C33">
      <w:pPr>
        <w:pStyle w:val="TableFooter"/>
        <w:keepNext/>
        <w:keepLines/>
      </w:pPr>
      <w:r>
        <w:rPr>
          <w:vertAlign w:val="superscript"/>
          <w:lang w:val="en-AU"/>
        </w:rPr>
        <w:t xml:space="preserve">a </w:t>
      </w:r>
      <w:r>
        <w:rPr>
          <w:lang w:val="en-AU"/>
        </w:rPr>
        <w:t>Total = ICS administered as IP as well as any additional ICS prescribed.</w:t>
      </w:r>
    </w:p>
    <w:p w:rsidR="00716FDC" w:rsidRDefault="00716FDC">
      <w:pPr>
        <w:pStyle w:val="TableFooter"/>
        <w:rPr>
          <w:rStyle w:val="CommentReference"/>
        </w:rPr>
      </w:pPr>
    </w:p>
    <w:p w:rsidR="00716FDC" w:rsidRDefault="00C83C33">
      <w:pPr>
        <w:spacing w:after="120"/>
        <w:rPr>
          <w:szCs w:val="24"/>
        </w:rPr>
      </w:pPr>
      <w:r>
        <w:rPr>
          <w:rFonts w:cs="Calibri"/>
          <w:i/>
          <w:color w:val="000000"/>
          <w:szCs w:val="24"/>
        </w:rPr>
        <w:t>Symbicort versus ICS+SABA</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In both SYGMA trials, the total number of patients who took OCS treatment and the mean number </w:t>
      </w:r>
      <w:r>
        <w:rPr>
          <w:rFonts w:ascii="Calibri" w:hAnsi="Calibri" w:cs="Calibri"/>
          <w:sz w:val="24"/>
          <w:szCs w:val="24"/>
          <w:lang w:val="en-AU"/>
        </w:rPr>
        <w:t xml:space="preserve">of </w:t>
      </w:r>
      <w:r>
        <w:rPr>
          <w:rFonts w:ascii="Calibri" w:hAnsi="Calibri" w:cs="Calibri"/>
          <w:sz w:val="24"/>
          <w:szCs w:val="24"/>
        </w:rPr>
        <w:t xml:space="preserve">'rescue' inhalations per day were comparable between the Symbicort and ICS+SABA arms. However, both the </w:t>
      </w:r>
      <w:r>
        <w:rPr>
          <w:rFonts w:ascii="Calibri" w:hAnsi="Calibri" w:cs="Calibri"/>
          <w:sz w:val="24"/>
          <w:szCs w:val="24"/>
          <w:lang w:val="en-AU"/>
        </w:rPr>
        <w:t xml:space="preserve">use of </w:t>
      </w:r>
      <w:r>
        <w:rPr>
          <w:rFonts w:ascii="Calibri" w:hAnsi="Calibri" w:cs="Calibri"/>
          <w:sz w:val="24"/>
          <w:szCs w:val="24"/>
        </w:rPr>
        <w:t>investigational ICS (74.4 mcg versus 251.9 mcg in SYGMA 1 and 82.5 mcg versus 200.5 mcg in SYGMA 2, respectively) and total ICS (80.5 mcg versus 259.5 mcg in SYGMA 1 and 83.2 mcg versus 201.0 mcg in SYGMA 2, respectively) were lower in the Symbicort arm compared to ICS+SABA arm. Similarly, the mean percentage of ICS controller use days was 55% and 37% lower in Symbicort arm compared to ICS+SABA arm in SYGMA 1 and 2, respectively.</w:t>
      </w:r>
      <w:r>
        <w:rPr>
          <w:rFonts w:ascii="Calibri" w:hAnsi="Calibri" w:cs="Calibri"/>
          <w:sz w:val="24"/>
          <w:szCs w:val="24"/>
          <w:lang w:val="en-AU"/>
        </w:rPr>
        <w:t xml:space="preserve"> The ESC noted that the asthma exacerbation and symptom control outcomes reported for Symbicort were achieved with a lower level of ICS use than reported in the ICS+SABA arms of the SYGMA 1 and SYGMA 2 trials. The ESC considered that the finding that similar levels of control are achieved with Symbicort with lower levels of ICS use may be particularly beneficial for adolescents and pregnant women with mild asthma.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Patients in SYGMA 1, but not in SYGMA 2, were sent electronic reminders to comply with daily ICS maintenance therapy. Therefore, SYGMA 2 might be more reflective of a real world scenario of compliance with maintenance ICS than the compliance levels reported in SYGMA 1. </w:t>
      </w:r>
    </w:p>
    <w:p w:rsidR="00716FDC" w:rsidRDefault="00C83C33">
      <w:pPr>
        <w:keepNext/>
        <w:keepLines/>
        <w:widowControl/>
        <w:spacing w:after="120"/>
        <w:rPr>
          <w:rFonts w:cs="Calibri"/>
          <w:i/>
          <w:color w:val="000000"/>
          <w:szCs w:val="24"/>
        </w:rPr>
      </w:pPr>
      <w:r>
        <w:rPr>
          <w:rFonts w:cs="Calibri"/>
          <w:i/>
          <w:color w:val="000000"/>
          <w:szCs w:val="24"/>
        </w:rPr>
        <w:lastRenderedPageBreak/>
        <w:t>Symbicort versus SABA</w:t>
      </w:r>
    </w:p>
    <w:p w:rsidR="00716FDC" w:rsidRDefault="00C83C33">
      <w:pPr>
        <w:pStyle w:val="ListParagraph"/>
        <w:keepNext/>
        <w:keepLines/>
        <w:widowControl/>
        <w:numPr>
          <w:ilvl w:val="1"/>
          <w:numId w:val="2"/>
        </w:numPr>
        <w:rPr>
          <w:rFonts w:ascii="Calibri" w:hAnsi="Calibri" w:cs="Calibri"/>
          <w:sz w:val="24"/>
          <w:szCs w:val="24"/>
          <w:lang w:val="en-AU"/>
        </w:rPr>
      </w:pPr>
      <w:r>
        <w:rPr>
          <w:rFonts w:ascii="Calibri" w:hAnsi="Calibri" w:cs="Calibri"/>
          <w:sz w:val="24"/>
          <w:szCs w:val="24"/>
          <w:lang w:val="en-AU"/>
        </w:rPr>
        <w:t xml:space="preserve">The number of patients who took OCS for asthma in the Symbicort arm was approximately half that in the SABA arm. </w:t>
      </w:r>
    </w:p>
    <w:p w:rsidR="00716FDC" w:rsidRDefault="00C83C33">
      <w:pPr>
        <w:pStyle w:val="Heading2"/>
      </w:pPr>
      <w:bookmarkStart w:id="15" w:name="_Toc8973951"/>
      <w:r>
        <w:t>Comparative harms</w:t>
      </w:r>
      <w:bookmarkEnd w:id="15"/>
    </w:p>
    <w:p w:rsidR="00716FDC" w:rsidRDefault="00716FDC">
      <w:pPr>
        <w:rPr>
          <w:lang w:val="x-none"/>
        </w:rPr>
      </w:pP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rPr>
        <w:t>A summary of the adverse events reported in trials SYGMA 1 and SYGMA</w:t>
      </w:r>
      <w:r>
        <w:rPr>
          <w:rFonts w:ascii="Calibri" w:hAnsi="Calibri" w:cs="Calibri"/>
          <w:sz w:val="24"/>
          <w:lang w:val="en-AU"/>
        </w:rPr>
        <w:t xml:space="preserve"> </w:t>
      </w:r>
      <w:r>
        <w:rPr>
          <w:rFonts w:ascii="Calibri" w:hAnsi="Calibri" w:cs="Calibri"/>
          <w:sz w:val="24"/>
        </w:rPr>
        <w:t xml:space="preserve">2 are presented </w:t>
      </w:r>
      <w:r>
        <w:rPr>
          <w:rFonts w:ascii="Calibri" w:hAnsi="Calibri" w:cs="Calibri"/>
          <w:sz w:val="24"/>
          <w:lang w:val="en-AU"/>
        </w:rPr>
        <w:t>in Table 10</w:t>
      </w:r>
      <w:r>
        <w:rPr>
          <w:rFonts w:ascii="Calibri" w:hAnsi="Calibri" w:cs="Calibri"/>
          <w:sz w:val="24"/>
        </w:rPr>
        <w:t xml:space="preserve">. </w:t>
      </w:r>
      <w:r>
        <w:rPr>
          <w:rFonts w:ascii="Calibri" w:hAnsi="Calibri" w:cs="Calibri"/>
          <w:sz w:val="24"/>
          <w:szCs w:val="24"/>
        </w:rPr>
        <w:t xml:space="preserve">There were no noteworthy differences in the adverse-event profile between the treatments, except </w:t>
      </w:r>
      <w:r>
        <w:rPr>
          <w:rFonts w:ascii="Calibri" w:hAnsi="Calibri" w:cs="Calibri"/>
          <w:sz w:val="24"/>
          <w:szCs w:val="24"/>
          <w:lang w:val="en-AU"/>
        </w:rPr>
        <w:t xml:space="preserve">that </w:t>
      </w:r>
      <w:r>
        <w:rPr>
          <w:rFonts w:ascii="Calibri" w:hAnsi="Calibri" w:cs="Calibri"/>
          <w:sz w:val="24"/>
          <w:szCs w:val="24"/>
        </w:rPr>
        <w:t>any adverse event</w:t>
      </w:r>
      <w:r>
        <w:rPr>
          <w:rFonts w:ascii="Calibri" w:hAnsi="Calibri" w:cs="Calibri"/>
          <w:sz w:val="24"/>
          <w:szCs w:val="24"/>
          <w:lang w:val="en-AU"/>
        </w:rPr>
        <w:t>s</w:t>
      </w:r>
      <w:r>
        <w:rPr>
          <w:rFonts w:ascii="Calibri" w:hAnsi="Calibri" w:cs="Calibri"/>
          <w:sz w:val="24"/>
          <w:szCs w:val="24"/>
        </w:rPr>
        <w:t xml:space="preserve"> were more frequent with SABA </w:t>
      </w:r>
      <w:r>
        <w:rPr>
          <w:rFonts w:ascii="Calibri" w:hAnsi="Calibri" w:cs="Calibri"/>
          <w:sz w:val="24"/>
          <w:szCs w:val="24"/>
          <w:lang w:val="en-AU"/>
        </w:rPr>
        <w:t>compared with</w:t>
      </w:r>
      <w:r>
        <w:rPr>
          <w:rFonts w:ascii="Calibri" w:hAnsi="Calibri" w:cs="Calibri"/>
          <w:sz w:val="24"/>
          <w:szCs w:val="24"/>
        </w:rPr>
        <w:t xml:space="preserve"> Symbicort.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Upper respiratory tract infection and viral upper respiratory tract infection were the most commonly reported adverse events in the Symbicort and ICS+SABA/SABA arms of both trials.</w:t>
      </w:r>
    </w:p>
    <w:p w:rsidR="00716FDC" w:rsidRDefault="00C83C33">
      <w:pPr>
        <w:widowControl/>
        <w:jc w:val="left"/>
        <w:rPr>
          <w:rFonts w:cs="Calibri"/>
          <w:szCs w:val="24"/>
          <w:lang w:val="x-none"/>
        </w:rPr>
      </w:pPr>
      <w:r>
        <w:rPr>
          <w:rFonts w:cs="Calibri"/>
          <w:szCs w:val="24"/>
        </w:rPr>
        <w:br w:type="page"/>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10</w:t>
      </w:r>
      <w:r>
        <w:fldChar w:fldCharType="end"/>
      </w:r>
      <w:r w:rsidRPr="00C151FE">
        <w:t>:  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key adverse events in the trials"/>
      </w:tblPr>
      <w:tblGrid>
        <w:gridCol w:w="2473"/>
        <w:gridCol w:w="1253"/>
        <w:gridCol w:w="1392"/>
        <w:gridCol w:w="1115"/>
        <w:gridCol w:w="1392"/>
        <w:gridCol w:w="1392"/>
      </w:tblGrid>
      <w:tr w:rsidR="00716FDC">
        <w:trPr>
          <w:trHeight w:val="703"/>
        </w:trPr>
        <w:tc>
          <w:tcPr>
            <w:tcW w:w="1371" w:type="pct"/>
            <w:shd w:val="clear" w:color="auto" w:fill="auto"/>
          </w:tcPr>
          <w:p w:rsidR="00716FDC" w:rsidRDefault="00716FDC">
            <w:pPr>
              <w:keepNext/>
              <w:keepLines/>
              <w:rPr>
                <w:rFonts w:ascii="Arial Narrow" w:hAnsi="Arial Narrow"/>
              </w:rPr>
            </w:pPr>
          </w:p>
        </w:tc>
        <w:tc>
          <w:tcPr>
            <w:tcW w:w="695" w:type="pct"/>
            <w:shd w:val="clear" w:color="auto" w:fill="auto"/>
          </w:tcPr>
          <w:p w:rsidR="00716FDC" w:rsidRDefault="00C83C33">
            <w:pPr>
              <w:pStyle w:val="Tabletext"/>
              <w:keepNext/>
              <w:keepLines/>
              <w:jc w:val="center"/>
              <w:rPr>
                <w:b/>
                <w:szCs w:val="22"/>
                <w:lang w:val="en-AU"/>
              </w:rPr>
            </w:pPr>
            <w:r>
              <w:rPr>
                <w:b/>
                <w:szCs w:val="22"/>
                <w:lang w:val="en-AU"/>
              </w:rPr>
              <w:t>Symbicort</w:t>
            </w:r>
          </w:p>
        </w:tc>
        <w:tc>
          <w:tcPr>
            <w:tcW w:w="772" w:type="pct"/>
            <w:shd w:val="clear" w:color="auto" w:fill="auto"/>
          </w:tcPr>
          <w:p w:rsidR="00716FDC" w:rsidRDefault="00C83C33">
            <w:pPr>
              <w:pStyle w:val="Tabletext"/>
              <w:keepNext/>
              <w:keepLines/>
              <w:jc w:val="center"/>
              <w:rPr>
                <w:b/>
                <w:szCs w:val="22"/>
                <w:lang w:val="en-AU"/>
              </w:rPr>
            </w:pPr>
            <w:r>
              <w:rPr>
                <w:b/>
                <w:szCs w:val="22"/>
                <w:lang w:val="en-AU"/>
              </w:rPr>
              <w:t>ICS+SABA</w:t>
            </w:r>
          </w:p>
        </w:tc>
        <w:tc>
          <w:tcPr>
            <w:tcW w:w="618" w:type="pct"/>
            <w:shd w:val="clear" w:color="auto" w:fill="auto"/>
          </w:tcPr>
          <w:p w:rsidR="00716FDC" w:rsidRDefault="00C83C33">
            <w:pPr>
              <w:pStyle w:val="Tabletext"/>
              <w:keepNext/>
              <w:keepLines/>
              <w:jc w:val="center"/>
              <w:rPr>
                <w:b/>
                <w:szCs w:val="22"/>
                <w:lang w:val="en-AU"/>
              </w:rPr>
            </w:pPr>
            <w:r>
              <w:rPr>
                <w:b/>
                <w:szCs w:val="22"/>
                <w:lang w:val="en-AU"/>
              </w:rPr>
              <w:t>SABA</w:t>
            </w:r>
          </w:p>
        </w:tc>
        <w:tc>
          <w:tcPr>
            <w:tcW w:w="772" w:type="pct"/>
            <w:shd w:val="clear" w:color="auto" w:fill="auto"/>
          </w:tcPr>
          <w:p w:rsidR="00716FDC" w:rsidRDefault="00C83C33">
            <w:pPr>
              <w:pStyle w:val="Tabletext"/>
              <w:keepNext/>
              <w:keepLines/>
              <w:jc w:val="center"/>
              <w:rPr>
                <w:b/>
                <w:szCs w:val="22"/>
                <w:lang w:val="en-AU"/>
              </w:rPr>
            </w:pPr>
            <w:r>
              <w:rPr>
                <w:b/>
                <w:szCs w:val="22"/>
                <w:lang w:val="en-AU"/>
              </w:rPr>
              <w:t>RD vs.</w:t>
            </w:r>
          </w:p>
          <w:p w:rsidR="00716FDC" w:rsidRDefault="00C83C33">
            <w:pPr>
              <w:pStyle w:val="Tabletext"/>
              <w:keepNext/>
              <w:keepLines/>
              <w:jc w:val="center"/>
              <w:rPr>
                <w:b/>
                <w:szCs w:val="22"/>
                <w:lang w:val="en-AU"/>
              </w:rPr>
            </w:pPr>
            <w:r>
              <w:rPr>
                <w:b/>
                <w:szCs w:val="22"/>
                <w:lang w:val="en-AU"/>
              </w:rPr>
              <w:t>ICS+SABA</w:t>
            </w:r>
          </w:p>
          <w:p w:rsidR="00716FDC" w:rsidRDefault="00C83C33">
            <w:pPr>
              <w:pStyle w:val="Tabletext"/>
              <w:keepNext/>
              <w:keepLines/>
              <w:jc w:val="center"/>
              <w:rPr>
                <w:b/>
                <w:szCs w:val="22"/>
                <w:lang w:val="en-AU"/>
              </w:rPr>
            </w:pPr>
            <w:r>
              <w:rPr>
                <w:b/>
                <w:szCs w:val="22"/>
                <w:lang w:val="en-AU"/>
              </w:rPr>
              <w:t>(95% CI)</w:t>
            </w:r>
          </w:p>
        </w:tc>
        <w:tc>
          <w:tcPr>
            <w:tcW w:w="772" w:type="pct"/>
            <w:shd w:val="clear" w:color="auto" w:fill="auto"/>
          </w:tcPr>
          <w:p w:rsidR="00716FDC" w:rsidRDefault="00C83C33">
            <w:pPr>
              <w:pStyle w:val="Tabletext"/>
              <w:keepNext/>
              <w:keepLines/>
              <w:jc w:val="center"/>
              <w:rPr>
                <w:b/>
                <w:szCs w:val="22"/>
                <w:lang w:val="en-AU"/>
              </w:rPr>
            </w:pPr>
            <w:r>
              <w:rPr>
                <w:b/>
                <w:szCs w:val="22"/>
                <w:lang w:val="en-AU"/>
              </w:rPr>
              <w:t>RD vs.</w:t>
            </w:r>
          </w:p>
          <w:p w:rsidR="00716FDC" w:rsidRDefault="00C83C33">
            <w:pPr>
              <w:pStyle w:val="Tabletext"/>
              <w:keepNext/>
              <w:keepLines/>
              <w:jc w:val="center"/>
              <w:rPr>
                <w:b/>
                <w:szCs w:val="22"/>
                <w:lang w:val="en-AU"/>
              </w:rPr>
            </w:pPr>
            <w:r>
              <w:rPr>
                <w:b/>
                <w:szCs w:val="22"/>
                <w:lang w:val="en-AU"/>
              </w:rPr>
              <w:t>SABA</w:t>
            </w:r>
          </w:p>
          <w:p w:rsidR="00716FDC" w:rsidRDefault="00C83C33">
            <w:pPr>
              <w:pStyle w:val="Tabletext"/>
              <w:keepNext/>
              <w:keepLines/>
              <w:jc w:val="center"/>
              <w:rPr>
                <w:b/>
                <w:szCs w:val="22"/>
                <w:lang w:val="en-AU"/>
              </w:rPr>
            </w:pPr>
            <w:r>
              <w:rPr>
                <w:b/>
                <w:szCs w:val="22"/>
                <w:lang w:val="en-AU"/>
              </w:rPr>
              <w:t>(95% CI)</w:t>
            </w:r>
          </w:p>
        </w:tc>
      </w:tr>
      <w:tr w:rsidR="00716FDC">
        <w:tc>
          <w:tcPr>
            <w:tcW w:w="5000" w:type="pct"/>
            <w:gridSpan w:val="6"/>
            <w:shd w:val="clear" w:color="auto" w:fill="auto"/>
          </w:tcPr>
          <w:p w:rsidR="00716FDC" w:rsidRDefault="00C83C33">
            <w:pPr>
              <w:pStyle w:val="Tabletext"/>
              <w:keepNext/>
              <w:keepLines/>
              <w:rPr>
                <w:szCs w:val="22"/>
                <w:lang w:val="en-AU"/>
              </w:rPr>
            </w:pPr>
            <w:r>
              <w:rPr>
                <w:b/>
                <w:szCs w:val="22"/>
                <w:lang w:val="en-AU"/>
              </w:rPr>
              <w:t>SYGMA 1</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N</w:t>
            </w:r>
          </w:p>
        </w:tc>
        <w:tc>
          <w:tcPr>
            <w:tcW w:w="695" w:type="pct"/>
            <w:shd w:val="clear" w:color="auto" w:fill="auto"/>
          </w:tcPr>
          <w:p w:rsidR="00716FDC" w:rsidRDefault="00C83C33">
            <w:pPr>
              <w:pStyle w:val="Tabletext"/>
              <w:keepNext/>
              <w:keepLines/>
              <w:jc w:val="center"/>
              <w:rPr>
                <w:szCs w:val="22"/>
                <w:lang w:val="en-AU"/>
              </w:rPr>
            </w:pPr>
            <w:r>
              <w:rPr>
                <w:szCs w:val="22"/>
                <w:lang w:val="en-AU"/>
              </w:rPr>
              <w:t>1277</w:t>
            </w:r>
          </w:p>
        </w:tc>
        <w:tc>
          <w:tcPr>
            <w:tcW w:w="772" w:type="pct"/>
            <w:shd w:val="clear" w:color="auto" w:fill="auto"/>
          </w:tcPr>
          <w:p w:rsidR="00716FDC" w:rsidRDefault="00C83C33">
            <w:pPr>
              <w:pStyle w:val="Tabletext"/>
              <w:keepNext/>
              <w:keepLines/>
              <w:jc w:val="center"/>
              <w:rPr>
                <w:szCs w:val="22"/>
                <w:lang w:val="en-AU"/>
              </w:rPr>
            </w:pPr>
            <w:r>
              <w:rPr>
                <w:szCs w:val="22"/>
                <w:lang w:val="en-AU"/>
              </w:rPr>
              <w:t>1282</w:t>
            </w:r>
          </w:p>
        </w:tc>
        <w:tc>
          <w:tcPr>
            <w:tcW w:w="618" w:type="pct"/>
            <w:shd w:val="clear" w:color="auto" w:fill="auto"/>
          </w:tcPr>
          <w:p w:rsidR="00716FDC" w:rsidRDefault="00C83C33">
            <w:pPr>
              <w:pStyle w:val="Tabletext"/>
              <w:keepNext/>
              <w:keepLines/>
              <w:jc w:val="center"/>
              <w:rPr>
                <w:szCs w:val="22"/>
                <w:lang w:val="en-AU"/>
              </w:rPr>
            </w:pPr>
            <w:r>
              <w:rPr>
                <w:szCs w:val="22"/>
                <w:lang w:val="en-AU"/>
              </w:rPr>
              <w:t>1277</w:t>
            </w:r>
          </w:p>
        </w:tc>
        <w:tc>
          <w:tcPr>
            <w:tcW w:w="772"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Any AE, n (%)</w:t>
            </w:r>
          </w:p>
        </w:tc>
        <w:tc>
          <w:tcPr>
            <w:tcW w:w="695" w:type="pct"/>
            <w:shd w:val="clear" w:color="auto" w:fill="auto"/>
          </w:tcPr>
          <w:p w:rsidR="00716FDC" w:rsidRDefault="00C83C33">
            <w:pPr>
              <w:pStyle w:val="Tabletext"/>
              <w:keepNext/>
              <w:keepLines/>
              <w:jc w:val="center"/>
              <w:rPr>
                <w:szCs w:val="22"/>
                <w:lang w:val="en-AU"/>
              </w:rPr>
            </w:pPr>
            <w:r>
              <w:rPr>
                <w:szCs w:val="22"/>
                <w:lang w:val="en-AU"/>
              </w:rPr>
              <w:t>485 (38)</w:t>
            </w:r>
          </w:p>
        </w:tc>
        <w:tc>
          <w:tcPr>
            <w:tcW w:w="772" w:type="pct"/>
            <w:shd w:val="clear" w:color="auto" w:fill="auto"/>
          </w:tcPr>
          <w:p w:rsidR="00716FDC" w:rsidRDefault="00C83C33">
            <w:pPr>
              <w:pStyle w:val="Tabletext"/>
              <w:keepNext/>
              <w:keepLines/>
              <w:jc w:val="center"/>
              <w:rPr>
                <w:szCs w:val="22"/>
                <w:lang w:val="en-AU"/>
              </w:rPr>
            </w:pPr>
            <w:r>
              <w:rPr>
                <w:szCs w:val="22"/>
                <w:lang w:val="en-AU"/>
              </w:rPr>
              <w:t>512 (40)</w:t>
            </w:r>
          </w:p>
        </w:tc>
        <w:tc>
          <w:tcPr>
            <w:tcW w:w="618" w:type="pct"/>
            <w:shd w:val="clear" w:color="auto" w:fill="auto"/>
          </w:tcPr>
          <w:p w:rsidR="00716FDC" w:rsidRDefault="00C83C33">
            <w:pPr>
              <w:pStyle w:val="Tabletext"/>
              <w:keepNext/>
              <w:keepLines/>
              <w:jc w:val="center"/>
              <w:rPr>
                <w:szCs w:val="22"/>
                <w:lang w:val="en-AU"/>
              </w:rPr>
            </w:pPr>
            <w:r>
              <w:rPr>
                <w:szCs w:val="22"/>
                <w:lang w:val="en-AU"/>
              </w:rPr>
              <w:t>545 (43)</w:t>
            </w:r>
          </w:p>
        </w:tc>
        <w:tc>
          <w:tcPr>
            <w:tcW w:w="772" w:type="pct"/>
            <w:shd w:val="clear" w:color="auto" w:fill="auto"/>
          </w:tcPr>
          <w:p w:rsidR="00716FDC" w:rsidRDefault="00C83C33">
            <w:pPr>
              <w:pStyle w:val="Tabletext"/>
              <w:keepNext/>
              <w:keepLines/>
              <w:jc w:val="center"/>
              <w:rPr>
                <w:szCs w:val="22"/>
                <w:lang w:val="en-AU"/>
              </w:rPr>
            </w:pPr>
            <w:r>
              <w:rPr>
                <w:szCs w:val="22"/>
                <w:lang w:val="en-AU"/>
              </w:rPr>
              <w:noBreakHyphen/>
              <w:t>0.02</w:t>
            </w:r>
          </w:p>
          <w:p w:rsidR="00716FDC" w:rsidRDefault="00C83C33">
            <w:pPr>
              <w:pStyle w:val="Tabletext"/>
              <w:keepNext/>
              <w:keepLines/>
              <w:jc w:val="center"/>
              <w:rPr>
                <w:szCs w:val="22"/>
                <w:lang w:val="en-AU"/>
              </w:rPr>
            </w:pPr>
            <w:r>
              <w:rPr>
                <w:szCs w:val="22"/>
                <w:lang w:val="en-AU"/>
              </w:rPr>
              <w:t>(</w:t>
            </w:r>
            <w:r>
              <w:rPr>
                <w:szCs w:val="22"/>
                <w:lang w:val="en-AU"/>
              </w:rPr>
              <w:noBreakHyphen/>
              <w:t>0.06, 0.02)</w:t>
            </w:r>
          </w:p>
        </w:tc>
        <w:tc>
          <w:tcPr>
            <w:tcW w:w="772" w:type="pct"/>
            <w:shd w:val="clear" w:color="auto" w:fill="auto"/>
          </w:tcPr>
          <w:p w:rsidR="00716FDC" w:rsidRDefault="00C83C33">
            <w:pPr>
              <w:pStyle w:val="Tabletext"/>
              <w:keepNext/>
              <w:keepLines/>
              <w:jc w:val="center"/>
              <w:rPr>
                <w:b/>
                <w:szCs w:val="22"/>
                <w:lang w:val="en-AU"/>
              </w:rPr>
            </w:pPr>
            <w:r>
              <w:rPr>
                <w:b/>
                <w:szCs w:val="22"/>
                <w:lang w:val="en-AU"/>
              </w:rPr>
              <w:noBreakHyphen/>
              <w:t xml:space="preserve">0.05 </w:t>
            </w:r>
            <w:r>
              <w:rPr>
                <w:b/>
                <w:szCs w:val="22"/>
                <w:lang w:val="en-AU"/>
              </w:rPr>
              <w:br/>
              <w:t>(</w:t>
            </w:r>
            <w:r>
              <w:rPr>
                <w:b/>
                <w:szCs w:val="22"/>
                <w:lang w:val="en-AU"/>
              </w:rPr>
              <w:noBreakHyphen/>
              <w:t xml:space="preserve">0.08, </w:t>
            </w:r>
            <w:r>
              <w:rPr>
                <w:b/>
                <w:szCs w:val="22"/>
                <w:lang w:val="en-AU"/>
              </w:rPr>
              <w:noBreakHyphen/>
              <w:t>0.01)</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Any serious AE, n (%)</w:t>
            </w:r>
          </w:p>
        </w:tc>
        <w:tc>
          <w:tcPr>
            <w:tcW w:w="695" w:type="pct"/>
            <w:shd w:val="clear" w:color="auto" w:fill="auto"/>
          </w:tcPr>
          <w:p w:rsidR="00716FDC" w:rsidRDefault="00C83C33">
            <w:pPr>
              <w:pStyle w:val="Tabletext"/>
              <w:keepNext/>
              <w:keepLines/>
              <w:jc w:val="center"/>
              <w:rPr>
                <w:szCs w:val="22"/>
                <w:lang w:val="en-AU"/>
              </w:rPr>
            </w:pPr>
            <w:r>
              <w:rPr>
                <w:szCs w:val="22"/>
                <w:lang w:val="en-AU"/>
              </w:rPr>
              <w:t>38 (3)</w:t>
            </w:r>
          </w:p>
        </w:tc>
        <w:tc>
          <w:tcPr>
            <w:tcW w:w="772" w:type="pct"/>
            <w:shd w:val="clear" w:color="auto" w:fill="auto"/>
          </w:tcPr>
          <w:p w:rsidR="00716FDC" w:rsidRDefault="00C83C33">
            <w:pPr>
              <w:pStyle w:val="Tabletext"/>
              <w:keepNext/>
              <w:keepLines/>
              <w:jc w:val="center"/>
              <w:rPr>
                <w:szCs w:val="22"/>
                <w:lang w:val="en-AU"/>
              </w:rPr>
            </w:pPr>
            <w:r>
              <w:rPr>
                <w:szCs w:val="22"/>
                <w:lang w:val="en-AU"/>
              </w:rPr>
              <w:t>37 (3)</w:t>
            </w:r>
          </w:p>
        </w:tc>
        <w:tc>
          <w:tcPr>
            <w:tcW w:w="618" w:type="pct"/>
            <w:shd w:val="clear" w:color="auto" w:fill="auto"/>
          </w:tcPr>
          <w:p w:rsidR="00716FDC" w:rsidRDefault="00C83C33">
            <w:pPr>
              <w:pStyle w:val="Tabletext"/>
              <w:keepNext/>
              <w:keepLines/>
              <w:jc w:val="center"/>
              <w:rPr>
                <w:szCs w:val="22"/>
                <w:lang w:val="en-AU"/>
              </w:rPr>
            </w:pPr>
            <w:r>
              <w:rPr>
                <w:szCs w:val="22"/>
                <w:lang w:val="en-AU"/>
              </w:rPr>
              <w:t>50 (4)</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t>0.00</w:t>
            </w:r>
          </w:p>
          <w:p w:rsidR="00716FDC" w:rsidRDefault="00C83C33">
            <w:pPr>
              <w:pStyle w:val="Tabletext"/>
              <w:keepNext/>
              <w:keepLines/>
              <w:jc w:val="center"/>
              <w:rPr>
                <w:szCs w:val="22"/>
                <w:lang w:val="en-AU"/>
              </w:rPr>
            </w:pPr>
            <w:r>
              <w:rPr>
                <w:szCs w:val="22"/>
                <w:lang w:val="en-AU"/>
              </w:rPr>
              <w:t>(</w:t>
            </w:r>
            <w:r>
              <w:rPr>
                <w:szCs w:val="22"/>
                <w:lang w:val="en-AU"/>
              </w:rPr>
              <w:noBreakHyphen/>
              <w:t>0.01, 0.01)</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noBreakHyphen/>
              <w:t>0.01</w:t>
            </w:r>
          </w:p>
          <w:p w:rsidR="00716FDC" w:rsidRDefault="00C83C33">
            <w:pPr>
              <w:pStyle w:val="Tabletext"/>
              <w:keepNext/>
              <w:keepLines/>
              <w:jc w:val="center"/>
              <w:rPr>
                <w:szCs w:val="22"/>
                <w:lang w:val="en-AU"/>
              </w:rPr>
            </w:pPr>
            <w:r>
              <w:rPr>
                <w:szCs w:val="22"/>
                <w:lang w:val="en-AU"/>
              </w:rPr>
              <w:t>(</w:t>
            </w:r>
            <w:r>
              <w:rPr>
                <w:szCs w:val="22"/>
                <w:lang w:val="en-AU"/>
              </w:rPr>
              <w:noBreakHyphen/>
              <w:t>0.02, 0.00)</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AE leading to discontinuation, n (%)</w:t>
            </w:r>
          </w:p>
        </w:tc>
        <w:tc>
          <w:tcPr>
            <w:tcW w:w="695" w:type="pct"/>
            <w:shd w:val="clear" w:color="auto" w:fill="auto"/>
          </w:tcPr>
          <w:p w:rsidR="00716FDC" w:rsidRDefault="00C83C33">
            <w:pPr>
              <w:pStyle w:val="Tabletext"/>
              <w:keepNext/>
              <w:keepLines/>
              <w:jc w:val="center"/>
              <w:rPr>
                <w:szCs w:val="22"/>
                <w:lang w:val="en-AU"/>
              </w:rPr>
            </w:pPr>
            <w:r>
              <w:rPr>
                <w:szCs w:val="22"/>
                <w:lang w:val="en-AU"/>
              </w:rPr>
              <w:t>10 (1)</w:t>
            </w:r>
          </w:p>
        </w:tc>
        <w:tc>
          <w:tcPr>
            <w:tcW w:w="772" w:type="pct"/>
            <w:shd w:val="clear" w:color="auto" w:fill="auto"/>
          </w:tcPr>
          <w:p w:rsidR="00716FDC" w:rsidRDefault="00C83C33">
            <w:pPr>
              <w:pStyle w:val="Tabletext"/>
              <w:keepNext/>
              <w:keepLines/>
              <w:jc w:val="center"/>
              <w:rPr>
                <w:szCs w:val="22"/>
                <w:lang w:val="en-AU"/>
              </w:rPr>
            </w:pPr>
            <w:r>
              <w:rPr>
                <w:szCs w:val="22"/>
                <w:lang w:val="en-AU"/>
              </w:rPr>
              <w:t>15 (1)</w:t>
            </w:r>
          </w:p>
        </w:tc>
        <w:tc>
          <w:tcPr>
            <w:tcW w:w="618" w:type="pct"/>
            <w:shd w:val="clear" w:color="auto" w:fill="auto"/>
          </w:tcPr>
          <w:p w:rsidR="00716FDC" w:rsidRDefault="00C83C33">
            <w:pPr>
              <w:pStyle w:val="Tabletext"/>
              <w:keepNext/>
              <w:keepLines/>
              <w:jc w:val="center"/>
              <w:rPr>
                <w:szCs w:val="22"/>
                <w:lang w:val="en-AU"/>
              </w:rPr>
            </w:pPr>
            <w:r>
              <w:rPr>
                <w:szCs w:val="22"/>
                <w:lang w:val="en-AU"/>
              </w:rPr>
              <w:t>37 (3)</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noBreakHyphen/>
              <w:t>0.00</w:t>
            </w:r>
          </w:p>
          <w:p w:rsidR="00716FDC" w:rsidRDefault="00C83C33">
            <w:pPr>
              <w:pStyle w:val="Tabletext"/>
              <w:keepNext/>
              <w:keepLines/>
              <w:jc w:val="center"/>
              <w:rPr>
                <w:szCs w:val="22"/>
                <w:lang w:val="en-AU"/>
              </w:rPr>
            </w:pPr>
            <w:r>
              <w:rPr>
                <w:szCs w:val="22"/>
                <w:lang w:val="en-AU"/>
              </w:rPr>
              <w:t>(</w:t>
            </w:r>
            <w:r>
              <w:rPr>
                <w:szCs w:val="22"/>
                <w:lang w:val="en-AU"/>
              </w:rPr>
              <w:noBreakHyphen/>
              <w:t>0.01, 0.00)</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noBreakHyphen/>
              <w:t>0.02</w:t>
            </w:r>
          </w:p>
          <w:p w:rsidR="00716FDC" w:rsidRDefault="00C83C33">
            <w:pPr>
              <w:pStyle w:val="Tabletext"/>
              <w:keepNext/>
              <w:keepLines/>
              <w:jc w:val="center"/>
              <w:rPr>
                <w:szCs w:val="22"/>
                <w:lang w:val="en-AU"/>
              </w:rPr>
            </w:pPr>
            <w:r>
              <w:rPr>
                <w:szCs w:val="22"/>
                <w:lang w:val="en-AU"/>
              </w:rPr>
              <w:t>(</w:t>
            </w:r>
            <w:r>
              <w:rPr>
                <w:szCs w:val="22"/>
                <w:lang w:val="en-AU"/>
              </w:rPr>
              <w:noBreakHyphen/>
              <w:t>0.03, 0.01)</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Deaths, n (%)</w:t>
            </w:r>
          </w:p>
        </w:tc>
        <w:tc>
          <w:tcPr>
            <w:tcW w:w="695" w:type="pct"/>
            <w:shd w:val="clear" w:color="auto" w:fill="auto"/>
          </w:tcPr>
          <w:p w:rsidR="00716FDC" w:rsidRDefault="00C83C33">
            <w:pPr>
              <w:pStyle w:val="Tabletext"/>
              <w:keepNext/>
              <w:keepLines/>
              <w:jc w:val="center"/>
              <w:rPr>
                <w:szCs w:val="22"/>
                <w:lang w:val="en-AU"/>
              </w:rPr>
            </w:pPr>
            <w:r>
              <w:rPr>
                <w:szCs w:val="22"/>
                <w:lang w:val="en-AU"/>
              </w:rPr>
              <w:t>0</w:t>
            </w:r>
          </w:p>
        </w:tc>
        <w:tc>
          <w:tcPr>
            <w:tcW w:w="772" w:type="pct"/>
            <w:shd w:val="clear" w:color="auto" w:fill="auto"/>
          </w:tcPr>
          <w:p w:rsidR="00716FDC" w:rsidRDefault="00C83C33">
            <w:pPr>
              <w:pStyle w:val="Tabletext"/>
              <w:keepNext/>
              <w:keepLines/>
              <w:jc w:val="center"/>
              <w:rPr>
                <w:szCs w:val="22"/>
                <w:lang w:val="en-AU"/>
              </w:rPr>
            </w:pPr>
            <w:r>
              <w:rPr>
                <w:szCs w:val="22"/>
                <w:lang w:val="en-AU"/>
              </w:rPr>
              <w:t>2 (&lt;1%)</w:t>
            </w:r>
          </w:p>
        </w:tc>
        <w:tc>
          <w:tcPr>
            <w:tcW w:w="618" w:type="pct"/>
            <w:shd w:val="clear" w:color="auto" w:fill="auto"/>
          </w:tcPr>
          <w:p w:rsidR="00716FDC" w:rsidRDefault="00C83C33">
            <w:pPr>
              <w:pStyle w:val="Tabletext"/>
              <w:keepNext/>
              <w:keepLines/>
              <w:jc w:val="center"/>
              <w:rPr>
                <w:szCs w:val="22"/>
                <w:lang w:val="en-AU"/>
              </w:rPr>
            </w:pPr>
            <w:r>
              <w:rPr>
                <w:szCs w:val="22"/>
                <w:lang w:val="en-AU"/>
              </w:rPr>
              <w:t>0</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t>-</w:t>
            </w:r>
          </w:p>
        </w:tc>
        <w:tc>
          <w:tcPr>
            <w:tcW w:w="772" w:type="pct"/>
            <w:shd w:val="clear" w:color="auto" w:fill="auto"/>
          </w:tcPr>
          <w:p w:rsidR="00716FDC" w:rsidRDefault="00C83C33">
            <w:pPr>
              <w:keepNext/>
              <w:keepLines/>
              <w:jc w:val="center"/>
              <w:rPr>
                <w:rFonts w:ascii="Arial Narrow" w:hAnsi="Arial Narrow" w:cs="Times New Roman"/>
                <w:snapToGrid/>
                <w:sz w:val="20"/>
              </w:rPr>
            </w:pPr>
            <w:r>
              <w:rPr>
                <w:rFonts w:ascii="Arial Narrow" w:hAnsi="Arial Narrow" w:cs="Times New Roman"/>
                <w:snapToGrid/>
                <w:sz w:val="20"/>
              </w:rPr>
              <w:t>-</w:t>
            </w:r>
          </w:p>
        </w:tc>
      </w:tr>
      <w:tr w:rsidR="00716FDC">
        <w:tc>
          <w:tcPr>
            <w:tcW w:w="5000" w:type="pct"/>
            <w:gridSpan w:val="6"/>
            <w:shd w:val="clear" w:color="auto" w:fill="auto"/>
          </w:tcPr>
          <w:p w:rsidR="00716FDC" w:rsidRDefault="00C83C33">
            <w:pPr>
              <w:pStyle w:val="Tabletext"/>
              <w:keepNext/>
              <w:keepLines/>
              <w:rPr>
                <w:b/>
                <w:szCs w:val="22"/>
                <w:lang w:val="en-AU"/>
              </w:rPr>
            </w:pPr>
            <w:r>
              <w:rPr>
                <w:b/>
                <w:szCs w:val="22"/>
                <w:lang w:val="en-AU"/>
              </w:rPr>
              <w:t xml:space="preserve">AEs of special interest </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 xml:space="preserve">Any β2-agonist related AEs, </w:t>
            </w:r>
          </w:p>
          <w:p w:rsidR="00716FDC" w:rsidRDefault="00C83C33">
            <w:pPr>
              <w:pStyle w:val="Tabletext"/>
              <w:keepNext/>
              <w:keepLines/>
              <w:rPr>
                <w:szCs w:val="22"/>
                <w:lang w:val="en-AU"/>
              </w:rPr>
            </w:pPr>
            <w:r>
              <w:rPr>
                <w:szCs w:val="22"/>
                <w:lang w:val="en-AU"/>
              </w:rPr>
              <w:t>n (%)</w:t>
            </w:r>
          </w:p>
        </w:tc>
        <w:tc>
          <w:tcPr>
            <w:tcW w:w="695" w:type="pct"/>
            <w:shd w:val="clear" w:color="auto" w:fill="auto"/>
          </w:tcPr>
          <w:p w:rsidR="00716FDC" w:rsidRDefault="00C83C33">
            <w:pPr>
              <w:pStyle w:val="Tabletext"/>
              <w:keepNext/>
              <w:keepLines/>
              <w:jc w:val="center"/>
              <w:rPr>
                <w:szCs w:val="22"/>
                <w:lang w:val="en-AU"/>
              </w:rPr>
            </w:pPr>
            <w:r>
              <w:rPr>
                <w:szCs w:val="22"/>
                <w:lang w:val="en-AU"/>
              </w:rPr>
              <w:t>50 (4)</w:t>
            </w:r>
          </w:p>
        </w:tc>
        <w:tc>
          <w:tcPr>
            <w:tcW w:w="772" w:type="pct"/>
            <w:shd w:val="clear" w:color="auto" w:fill="auto"/>
          </w:tcPr>
          <w:p w:rsidR="00716FDC" w:rsidRDefault="00C83C33">
            <w:pPr>
              <w:pStyle w:val="Tabletext"/>
              <w:keepNext/>
              <w:keepLines/>
              <w:jc w:val="center"/>
              <w:rPr>
                <w:szCs w:val="22"/>
                <w:lang w:val="en-AU"/>
              </w:rPr>
            </w:pPr>
            <w:r>
              <w:rPr>
                <w:szCs w:val="22"/>
                <w:lang w:val="en-AU"/>
              </w:rPr>
              <w:t>49 (4)</w:t>
            </w:r>
          </w:p>
        </w:tc>
        <w:tc>
          <w:tcPr>
            <w:tcW w:w="618" w:type="pct"/>
            <w:shd w:val="clear" w:color="auto" w:fill="auto"/>
          </w:tcPr>
          <w:p w:rsidR="00716FDC" w:rsidRDefault="00C83C33">
            <w:pPr>
              <w:pStyle w:val="Tabletext"/>
              <w:keepNext/>
              <w:keepLines/>
              <w:jc w:val="center"/>
              <w:rPr>
                <w:szCs w:val="22"/>
                <w:lang w:val="en-AU"/>
              </w:rPr>
            </w:pPr>
            <w:r>
              <w:rPr>
                <w:szCs w:val="22"/>
                <w:lang w:val="en-AU"/>
              </w:rPr>
              <w:t>50 (4)</w:t>
            </w:r>
          </w:p>
        </w:tc>
        <w:tc>
          <w:tcPr>
            <w:tcW w:w="772" w:type="pct"/>
            <w:shd w:val="clear" w:color="auto" w:fill="auto"/>
          </w:tcPr>
          <w:p w:rsidR="00716FDC" w:rsidRDefault="00C83C33">
            <w:pPr>
              <w:pStyle w:val="Tabletext"/>
              <w:keepNext/>
              <w:keepLines/>
              <w:jc w:val="center"/>
              <w:rPr>
                <w:i/>
                <w:szCs w:val="22"/>
                <w:lang w:val="en-AU"/>
              </w:rPr>
            </w:pPr>
            <w:r>
              <w:rPr>
                <w:i/>
                <w:szCs w:val="22"/>
                <w:lang w:val="en-AU"/>
              </w:rPr>
              <w:t xml:space="preserve">0.00 </w:t>
            </w:r>
          </w:p>
          <w:p w:rsidR="00716FDC" w:rsidRDefault="00C83C33">
            <w:pPr>
              <w:pStyle w:val="Tabletext"/>
              <w:keepNext/>
              <w:keepLines/>
              <w:jc w:val="center"/>
              <w:rPr>
                <w:i/>
                <w:szCs w:val="22"/>
                <w:lang w:val="en-AU"/>
              </w:rPr>
            </w:pPr>
            <w:r>
              <w:rPr>
                <w:i/>
                <w:szCs w:val="22"/>
                <w:lang w:val="en-AU"/>
              </w:rPr>
              <w:t>(-0.01, 0.02)</w:t>
            </w:r>
          </w:p>
        </w:tc>
        <w:tc>
          <w:tcPr>
            <w:tcW w:w="772" w:type="pct"/>
            <w:shd w:val="clear" w:color="auto" w:fill="auto"/>
          </w:tcPr>
          <w:p w:rsidR="00716FDC" w:rsidRDefault="00C83C33">
            <w:pPr>
              <w:keepNext/>
              <w:keepLines/>
              <w:widowControl/>
              <w:jc w:val="center"/>
              <w:rPr>
                <w:rFonts w:ascii="Arial Narrow" w:hAnsi="Arial Narrow" w:cs="Times New Roman"/>
                <w:i/>
                <w:snapToGrid/>
                <w:sz w:val="20"/>
              </w:rPr>
            </w:pPr>
            <w:r>
              <w:rPr>
                <w:rFonts w:ascii="Arial Narrow" w:hAnsi="Arial Narrow" w:cs="Times New Roman"/>
                <w:i/>
                <w:snapToGrid/>
                <w:sz w:val="20"/>
              </w:rPr>
              <w:t xml:space="preserve">0.00 </w:t>
            </w:r>
          </w:p>
          <w:p w:rsidR="00716FDC" w:rsidRDefault="00C83C33">
            <w:pPr>
              <w:keepNext/>
              <w:keepLines/>
              <w:widowControl/>
              <w:jc w:val="center"/>
              <w:rPr>
                <w:rFonts w:ascii="Arial Narrow" w:hAnsi="Arial Narrow" w:cs="Times New Roman"/>
                <w:i/>
                <w:snapToGrid/>
                <w:sz w:val="20"/>
              </w:rPr>
            </w:pPr>
            <w:r>
              <w:rPr>
                <w:rFonts w:ascii="Arial Narrow" w:hAnsi="Arial Narrow" w:cs="Times New Roman"/>
                <w:i/>
                <w:snapToGrid/>
                <w:sz w:val="20"/>
              </w:rPr>
              <w:t>(-0.02, 0.02)</w:t>
            </w:r>
          </w:p>
          <w:p w:rsidR="00716FDC" w:rsidRDefault="00716FDC">
            <w:pPr>
              <w:keepNext/>
              <w:keepLines/>
              <w:jc w:val="center"/>
              <w:rPr>
                <w:rFonts w:ascii="Arial Narrow" w:hAnsi="Arial Narrow" w:cs="Times New Roman"/>
                <w:i/>
                <w:snapToGrid/>
                <w:sz w:val="20"/>
              </w:rPr>
            </w:pPr>
          </w:p>
        </w:tc>
      </w:tr>
      <w:tr w:rsidR="00716FDC">
        <w:tc>
          <w:tcPr>
            <w:tcW w:w="1371" w:type="pct"/>
            <w:shd w:val="clear" w:color="auto" w:fill="auto"/>
          </w:tcPr>
          <w:p w:rsidR="00716FDC" w:rsidRDefault="00C83C33">
            <w:pPr>
              <w:pStyle w:val="Tabletext"/>
              <w:keepNext/>
              <w:keepLines/>
              <w:rPr>
                <w:szCs w:val="22"/>
                <w:lang w:val="en-AU"/>
              </w:rPr>
            </w:pPr>
            <w:r>
              <w:rPr>
                <w:szCs w:val="22"/>
                <w:lang w:val="en-AU"/>
              </w:rPr>
              <w:t xml:space="preserve">Any steroid class related AEs, n (%) </w:t>
            </w:r>
          </w:p>
        </w:tc>
        <w:tc>
          <w:tcPr>
            <w:tcW w:w="695" w:type="pct"/>
            <w:shd w:val="clear" w:color="auto" w:fill="auto"/>
          </w:tcPr>
          <w:p w:rsidR="00716FDC" w:rsidRDefault="00C83C33">
            <w:pPr>
              <w:pStyle w:val="Tabletext"/>
              <w:keepNext/>
              <w:keepLines/>
              <w:jc w:val="center"/>
              <w:rPr>
                <w:szCs w:val="22"/>
                <w:lang w:val="en-AU"/>
              </w:rPr>
            </w:pPr>
            <w:r>
              <w:rPr>
                <w:szCs w:val="22"/>
                <w:lang w:val="en-AU"/>
              </w:rPr>
              <w:t>13 (1)</w:t>
            </w:r>
          </w:p>
        </w:tc>
        <w:tc>
          <w:tcPr>
            <w:tcW w:w="772" w:type="pct"/>
            <w:shd w:val="clear" w:color="auto" w:fill="auto"/>
          </w:tcPr>
          <w:p w:rsidR="00716FDC" w:rsidRDefault="00C83C33">
            <w:pPr>
              <w:pStyle w:val="Tabletext"/>
              <w:keepNext/>
              <w:keepLines/>
              <w:jc w:val="center"/>
              <w:rPr>
                <w:szCs w:val="22"/>
                <w:lang w:val="en-AU"/>
              </w:rPr>
            </w:pPr>
            <w:r>
              <w:rPr>
                <w:szCs w:val="22"/>
                <w:lang w:val="en-AU"/>
              </w:rPr>
              <w:t>19 (2)</w:t>
            </w:r>
          </w:p>
        </w:tc>
        <w:tc>
          <w:tcPr>
            <w:tcW w:w="618" w:type="pct"/>
            <w:shd w:val="clear" w:color="auto" w:fill="auto"/>
          </w:tcPr>
          <w:p w:rsidR="00716FDC" w:rsidRDefault="00C83C33">
            <w:pPr>
              <w:pStyle w:val="Tabletext"/>
              <w:keepNext/>
              <w:keepLines/>
              <w:jc w:val="center"/>
              <w:rPr>
                <w:szCs w:val="22"/>
                <w:lang w:val="en-AU"/>
              </w:rPr>
            </w:pPr>
            <w:r>
              <w:rPr>
                <w:szCs w:val="22"/>
                <w:lang w:val="en-AU"/>
              </w:rPr>
              <w:t>14 (1)</w:t>
            </w:r>
          </w:p>
        </w:tc>
        <w:tc>
          <w:tcPr>
            <w:tcW w:w="772" w:type="pct"/>
            <w:shd w:val="clear" w:color="auto" w:fill="auto"/>
          </w:tcPr>
          <w:p w:rsidR="00716FDC" w:rsidRDefault="00C83C33">
            <w:pPr>
              <w:pStyle w:val="Tabletext"/>
              <w:keepNext/>
              <w:keepLines/>
              <w:jc w:val="center"/>
              <w:rPr>
                <w:i/>
                <w:szCs w:val="22"/>
                <w:lang w:val="en-AU"/>
              </w:rPr>
            </w:pPr>
            <w:r>
              <w:rPr>
                <w:i/>
                <w:szCs w:val="22"/>
                <w:lang w:val="en-AU"/>
              </w:rPr>
              <w:t xml:space="preserve">0.00 </w:t>
            </w:r>
          </w:p>
          <w:p w:rsidR="00716FDC" w:rsidRDefault="00C83C33">
            <w:pPr>
              <w:pStyle w:val="Tabletext"/>
              <w:keepNext/>
              <w:keepLines/>
              <w:jc w:val="center"/>
              <w:rPr>
                <w:i/>
                <w:szCs w:val="22"/>
                <w:lang w:val="en-AU"/>
              </w:rPr>
            </w:pPr>
            <w:r>
              <w:rPr>
                <w:i/>
                <w:szCs w:val="22"/>
                <w:lang w:val="en-AU"/>
              </w:rPr>
              <w:t>(-0.01, 0.00)</w:t>
            </w:r>
          </w:p>
        </w:tc>
        <w:tc>
          <w:tcPr>
            <w:tcW w:w="772" w:type="pct"/>
            <w:shd w:val="clear" w:color="auto" w:fill="auto"/>
          </w:tcPr>
          <w:p w:rsidR="00716FDC" w:rsidRDefault="00C83C33">
            <w:pPr>
              <w:keepNext/>
              <w:keepLines/>
              <w:widowControl/>
              <w:jc w:val="center"/>
              <w:rPr>
                <w:rFonts w:ascii="Arial Narrow" w:hAnsi="Arial Narrow" w:cs="Times New Roman"/>
                <w:i/>
                <w:snapToGrid/>
                <w:sz w:val="20"/>
              </w:rPr>
            </w:pPr>
            <w:r>
              <w:rPr>
                <w:rFonts w:ascii="Arial Narrow" w:hAnsi="Arial Narrow" w:cs="Times New Roman"/>
                <w:i/>
                <w:snapToGrid/>
                <w:sz w:val="20"/>
              </w:rPr>
              <w:t xml:space="preserve">0.00 </w:t>
            </w:r>
          </w:p>
          <w:p w:rsidR="00716FDC" w:rsidRDefault="00C83C33">
            <w:pPr>
              <w:keepNext/>
              <w:keepLines/>
              <w:widowControl/>
              <w:jc w:val="center"/>
              <w:rPr>
                <w:rFonts w:ascii="Arial Narrow" w:hAnsi="Arial Narrow" w:cs="Times New Roman"/>
                <w:i/>
                <w:snapToGrid/>
                <w:sz w:val="20"/>
              </w:rPr>
            </w:pPr>
            <w:r>
              <w:rPr>
                <w:rFonts w:ascii="Arial Narrow" w:hAnsi="Arial Narrow" w:cs="Times New Roman"/>
                <w:i/>
                <w:snapToGrid/>
                <w:sz w:val="20"/>
              </w:rPr>
              <w:t>(-0.01, 0.01)</w:t>
            </w:r>
          </w:p>
        </w:tc>
      </w:tr>
      <w:tr w:rsidR="00716FDC">
        <w:tc>
          <w:tcPr>
            <w:tcW w:w="5000" w:type="pct"/>
            <w:gridSpan w:val="6"/>
            <w:shd w:val="clear" w:color="auto" w:fill="auto"/>
          </w:tcPr>
          <w:p w:rsidR="00716FDC" w:rsidRDefault="00C83C33">
            <w:pPr>
              <w:keepNext/>
              <w:keepLines/>
              <w:widowControl/>
              <w:jc w:val="left"/>
              <w:rPr>
                <w:rFonts w:ascii="Arial Narrow" w:hAnsi="Arial Narrow" w:cs="Times New Roman"/>
                <w:b/>
                <w:snapToGrid/>
                <w:sz w:val="20"/>
              </w:rPr>
            </w:pPr>
            <w:r>
              <w:rPr>
                <w:rFonts w:ascii="Arial Narrow" w:hAnsi="Arial Narrow" w:cs="Times New Roman"/>
                <w:b/>
                <w:snapToGrid/>
                <w:sz w:val="20"/>
              </w:rPr>
              <w:t>SYGMA 2</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N</w:t>
            </w:r>
          </w:p>
        </w:tc>
        <w:tc>
          <w:tcPr>
            <w:tcW w:w="695" w:type="pct"/>
            <w:shd w:val="clear" w:color="auto" w:fill="auto"/>
            <w:vAlign w:val="bottom"/>
          </w:tcPr>
          <w:p w:rsidR="00716FDC" w:rsidRDefault="00C83C33">
            <w:pPr>
              <w:pStyle w:val="Tabletext"/>
              <w:keepNext/>
              <w:keepLines/>
              <w:jc w:val="center"/>
              <w:rPr>
                <w:szCs w:val="22"/>
                <w:lang w:val="en-AU"/>
              </w:rPr>
            </w:pPr>
            <w:r>
              <w:rPr>
                <w:szCs w:val="22"/>
                <w:lang w:val="en-AU"/>
              </w:rPr>
              <w:t>2089</w:t>
            </w:r>
          </w:p>
        </w:tc>
        <w:tc>
          <w:tcPr>
            <w:tcW w:w="772" w:type="pct"/>
            <w:shd w:val="clear" w:color="auto" w:fill="auto"/>
            <w:vAlign w:val="bottom"/>
          </w:tcPr>
          <w:p w:rsidR="00716FDC" w:rsidRDefault="00C83C33">
            <w:pPr>
              <w:pStyle w:val="Tabletext"/>
              <w:keepNext/>
              <w:keepLines/>
              <w:jc w:val="center"/>
              <w:rPr>
                <w:szCs w:val="22"/>
                <w:lang w:val="en-AU"/>
              </w:rPr>
            </w:pPr>
            <w:r>
              <w:rPr>
                <w:szCs w:val="22"/>
                <w:lang w:val="en-AU"/>
              </w:rPr>
              <w:t>2087</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Any AE, n (%)</w:t>
            </w:r>
          </w:p>
        </w:tc>
        <w:tc>
          <w:tcPr>
            <w:tcW w:w="695" w:type="pct"/>
            <w:shd w:val="clear" w:color="auto" w:fill="auto"/>
          </w:tcPr>
          <w:p w:rsidR="00716FDC" w:rsidRDefault="00C83C33">
            <w:pPr>
              <w:pStyle w:val="Tabletext"/>
              <w:keepNext/>
              <w:keepLines/>
              <w:jc w:val="center"/>
              <w:rPr>
                <w:szCs w:val="22"/>
                <w:lang w:val="en-AU"/>
              </w:rPr>
            </w:pPr>
            <w:r>
              <w:rPr>
                <w:szCs w:val="22"/>
                <w:lang w:val="en-AU"/>
              </w:rPr>
              <w:t>887 (43)</w:t>
            </w:r>
          </w:p>
        </w:tc>
        <w:tc>
          <w:tcPr>
            <w:tcW w:w="772" w:type="pct"/>
            <w:shd w:val="clear" w:color="auto" w:fill="auto"/>
          </w:tcPr>
          <w:p w:rsidR="00716FDC" w:rsidRDefault="00C83C33">
            <w:pPr>
              <w:pStyle w:val="Tabletext"/>
              <w:keepNext/>
              <w:keepLines/>
              <w:jc w:val="center"/>
              <w:rPr>
                <w:szCs w:val="22"/>
                <w:lang w:val="en-AU"/>
              </w:rPr>
            </w:pPr>
            <w:r>
              <w:rPr>
                <w:szCs w:val="22"/>
                <w:lang w:val="en-AU"/>
              </w:rPr>
              <w:t>919 (44)</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noBreakHyphen/>
              <w:t>0.02</w:t>
            </w:r>
          </w:p>
          <w:p w:rsidR="00716FDC" w:rsidRDefault="00C83C33">
            <w:pPr>
              <w:pStyle w:val="Tabletext"/>
              <w:keepNext/>
              <w:keepLines/>
              <w:jc w:val="center"/>
              <w:rPr>
                <w:szCs w:val="22"/>
                <w:lang w:val="en-AU"/>
              </w:rPr>
            </w:pPr>
            <w:r>
              <w:rPr>
                <w:szCs w:val="22"/>
                <w:lang w:val="en-AU"/>
              </w:rPr>
              <w:t>(</w:t>
            </w:r>
            <w:r>
              <w:rPr>
                <w:szCs w:val="22"/>
                <w:lang w:val="en-AU"/>
              </w:rPr>
              <w:noBreakHyphen/>
              <w:t>0.05, 0.01)</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Any serious AE, n (%)</w:t>
            </w:r>
          </w:p>
        </w:tc>
        <w:tc>
          <w:tcPr>
            <w:tcW w:w="695" w:type="pct"/>
            <w:shd w:val="clear" w:color="auto" w:fill="auto"/>
          </w:tcPr>
          <w:p w:rsidR="00716FDC" w:rsidRDefault="00C83C33">
            <w:pPr>
              <w:pStyle w:val="Tabletext"/>
              <w:keepNext/>
              <w:keepLines/>
              <w:jc w:val="center"/>
              <w:rPr>
                <w:szCs w:val="22"/>
                <w:lang w:val="en-AU"/>
              </w:rPr>
            </w:pPr>
            <w:r>
              <w:rPr>
                <w:szCs w:val="22"/>
                <w:lang w:val="en-AU"/>
              </w:rPr>
              <w:t>66 (3)</w:t>
            </w:r>
          </w:p>
        </w:tc>
        <w:tc>
          <w:tcPr>
            <w:tcW w:w="772" w:type="pct"/>
            <w:shd w:val="clear" w:color="auto" w:fill="auto"/>
          </w:tcPr>
          <w:p w:rsidR="00716FDC" w:rsidRDefault="00C83C33">
            <w:pPr>
              <w:pStyle w:val="Tabletext"/>
              <w:keepNext/>
              <w:keepLines/>
              <w:jc w:val="center"/>
              <w:rPr>
                <w:szCs w:val="22"/>
                <w:lang w:val="en-AU"/>
              </w:rPr>
            </w:pPr>
            <w:r>
              <w:rPr>
                <w:szCs w:val="22"/>
                <w:lang w:val="en-AU"/>
              </w:rPr>
              <w:t>73 (4)</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noBreakHyphen/>
              <w:t>0.00</w:t>
            </w:r>
          </w:p>
          <w:p w:rsidR="00716FDC" w:rsidRDefault="00C83C33">
            <w:pPr>
              <w:pStyle w:val="Tabletext"/>
              <w:keepNext/>
              <w:keepLines/>
              <w:jc w:val="center"/>
              <w:rPr>
                <w:szCs w:val="22"/>
                <w:lang w:val="en-AU"/>
              </w:rPr>
            </w:pPr>
            <w:r>
              <w:rPr>
                <w:szCs w:val="22"/>
                <w:lang w:val="en-AU"/>
              </w:rPr>
              <w:t>(</w:t>
            </w:r>
            <w:r>
              <w:rPr>
                <w:szCs w:val="22"/>
                <w:lang w:val="en-AU"/>
              </w:rPr>
              <w:noBreakHyphen/>
              <w:t>0.01, 0.01)</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Leading to discontinuation, n (%)</w:t>
            </w:r>
          </w:p>
        </w:tc>
        <w:tc>
          <w:tcPr>
            <w:tcW w:w="695" w:type="pct"/>
            <w:shd w:val="clear" w:color="auto" w:fill="auto"/>
          </w:tcPr>
          <w:p w:rsidR="00716FDC" w:rsidRDefault="00C83C33">
            <w:pPr>
              <w:pStyle w:val="Tabletext"/>
              <w:keepNext/>
              <w:keepLines/>
              <w:jc w:val="center"/>
              <w:rPr>
                <w:szCs w:val="22"/>
                <w:lang w:val="en-AU"/>
              </w:rPr>
            </w:pPr>
            <w:r>
              <w:rPr>
                <w:szCs w:val="22"/>
                <w:lang w:val="en-AU"/>
              </w:rPr>
              <w:t>14 (1)</w:t>
            </w:r>
          </w:p>
        </w:tc>
        <w:tc>
          <w:tcPr>
            <w:tcW w:w="772" w:type="pct"/>
            <w:shd w:val="clear" w:color="auto" w:fill="auto"/>
          </w:tcPr>
          <w:p w:rsidR="00716FDC" w:rsidRDefault="00C83C33">
            <w:pPr>
              <w:pStyle w:val="Tabletext"/>
              <w:keepNext/>
              <w:keepLines/>
              <w:jc w:val="center"/>
              <w:rPr>
                <w:szCs w:val="22"/>
                <w:lang w:val="en-AU"/>
              </w:rPr>
            </w:pPr>
            <w:r>
              <w:rPr>
                <w:szCs w:val="22"/>
                <w:lang w:val="en-AU"/>
              </w:rPr>
              <w:t>23 (1)</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noBreakHyphen/>
              <w:t>0.00</w:t>
            </w:r>
          </w:p>
          <w:p w:rsidR="00716FDC" w:rsidRDefault="00C83C33">
            <w:pPr>
              <w:pStyle w:val="Tabletext"/>
              <w:keepNext/>
              <w:keepLines/>
              <w:jc w:val="center"/>
              <w:rPr>
                <w:szCs w:val="22"/>
                <w:lang w:val="en-AU"/>
              </w:rPr>
            </w:pPr>
            <w:r>
              <w:rPr>
                <w:szCs w:val="22"/>
                <w:lang w:val="en-AU"/>
              </w:rPr>
              <w:t>(</w:t>
            </w:r>
            <w:r>
              <w:rPr>
                <w:szCs w:val="22"/>
                <w:lang w:val="en-AU"/>
              </w:rPr>
              <w:noBreakHyphen/>
              <w:t>0.01, 0.00)</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Deaths, n (%)</w:t>
            </w:r>
          </w:p>
        </w:tc>
        <w:tc>
          <w:tcPr>
            <w:tcW w:w="695" w:type="pct"/>
            <w:shd w:val="clear" w:color="auto" w:fill="auto"/>
          </w:tcPr>
          <w:p w:rsidR="00716FDC" w:rsidRDefault="00C83C33">
            <w:pPr>
              <w:pStyle w:val="Tabletext"/>
              <w:keepNext/>
              <w:keepLines/>
              <w:jc w:val="center"/>
              <w:rPr>
                <w:szCs w:val="22"/>
                <w:lang w:val="en-AU"/>
              </w:rPr>
            </w:pPr>
            <w:r>
              <w:rPr>
                <w:szCs w:val="22"/>
                <w:lang w:val="en-AU"/>
              </w:rPr>
              <w:t>1 (&lt;1)</w:t>
            </w:r>
          </w:p>
        </w:tc>
        <w:tc>
          <w:tcPr>
            <w:tcW w:w="772" w:type="pct"/>
            <w:shd w:val="clear" w:color="auto" w:fill="auto"/>
          </w:tcPr>
          <w:p w:rsidR="00716FDC" w:rsidRDefault="00C83C33">
            <w:pPr>
              <w:pStyle w:val="Tabletext"/>
              <w:keepNext/>
              <w:keepLines/>
              <w:jc w:val="center"/>
              <w:rPr>
                <w:szCs w:val="22"/>
                <w:lang w:val="en-AU"/>
              </w:rPr>
            </w:pPr>
            <w:r>
              <w:rPr>
                <w:szCs w:val="22"/>
                <w:lang w:val="en-AU"/>
              </w:rPr>
              <w:t>1 (&lt;1)</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5000" w:type="pct"/>
            <w:gridSpan w:val="6"/>
            <w:shd w:val="clear" w:color="auto" w:fill="auto"/>
          </w:tcPr>
          <w:p w:rsidR="00716FDC" w:rsidRDefault="00C83C33">
            <w:pPr>
              <w:pStyle w:val="Tabletext"/>
              <w:keepNext/>
              <w:keepLines/>
              <w:rPr>
                <w:szCs w:val="22"/>
                <w:lang w:val="en-AU"/>
              </w:rPr>
            </w:pPr>
            <w:r>
              <w:rPr>
                <w:b/>
                <w:szCs w:val="22"/>
                <w:lang w:val="en-AU"/>
              </w:rPr>
              <w:t>AEs of special interest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 xml:space="preserve">Any β2-agonist related AEs, </w:t>
            </w:r>
          </w:p>
          <w:p w:rsidR="00716FDC" w:rsidRDefault="00C83C33">
            <w:pPr>
              <w:pStyle w:val="Tabletext"/>
              <w:keepNext/>
              <w:keepLines/>
              <w:rPr>
                <w:szCs w:val="22"/>
                <w:lang w:val="en-AU"/>
              </w:rPr>
            </w:pPr>
            <w:r>
              <w:rPr>
                <w:szCs w:val="22"/>
                <w:lang w:val="en-AU"/>
              </w:rPr>
              <w:t>n (%)</w:t>
            </w:r>
          </w:p>
        </w:tc>
        <w:tc>
          <w:tcPr>
            <w:tcW w:w="695" w:type="pct"/>
            <w:shd w:val="clear" w:color="auto" w:fill="auto"/>
          </w:tcPr>
          <w:p w:rsidR="00716FDC" w:rsidRDefault="00C83C33">
            <w:pPr>
              <w:pStyle w:val="Tabletext"/>
              <w:keepNext/>
              <w:keepLines/>
              <w:jc w:val="center"/>
              <w:rPr>
                <w:szCs w:val="22"/>
                <w:lang w:val="en-AU"/>
              </w:rPr>
            </w:pPr>
            <w:r>
              <w:rPr>
                <w:szCs w:val="22"/>
                <w:lang w:val="en-AU"/>
              </w:rPr>
              <w:t>103 (5)</w:t>
            </w:r>
          </w:p>
        </w:tc>
        <w:tc>
          <w:tcPr>
            <w:tcW w:w="772" w:type="pct"/>
            <w:shd w:val="clear" w:color="auto" w:fill="auto"/>
          </w:tcPr>
          <w:p w:rsidR="00716FDC" w:rsidRDefault="00C83C33">
            <w:pPr>
              <w:pStyle w:val="Tabletext"/>
              <w:keepNext/>
              <w:keepLines/>
              <w:jc w:val="center"/>
              <w:rPr>
                <w:szCs w:val="22"/>
                <w:lang w:val="en-AU"/>
              </w:rPr>
            </w:pPr>
            <w:r>
              <w:rPr>
                <w:szCs w:val="22"/>
                <w:lang w:val="en-AU"/>
              </w:rPr>
              <w:t>96 (5)</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pStyle w:val="Tabletext"/>
              <w:keepNext/>
              <w:keepLines/>
              <w:jc w:val="center"/>
              <w:rPr>
                <w:i/>
                <w:szCs w:val="22"/>
                <w:lang w:val="en-AU"/>
              </w:rPr>
            </w:pPr>
            <w:r>
              <w:rPr>
                <w:i/>
                <w:szCs w:val="22"/>
                <w:lang w:val="en-AU"/>
              </w:rPr>
              <w:t xml:space="preserve">0.00 </w:t>
            </w:r>
          </w:p>
          <w:p w:rsidR="00716FDC" w:rsidRDefault="00C83C33">
            <w:pPr>
              <w:pStyle w:val="Tabletext"/>
              <w:keepNext/>
              <w:keepLines/>
              <w:jc w:val="center"/>
              <w:rPr>
                <w:i/>
                <w:szCs w:val="22"/>
                <w:lang w:val="en-AU"/>
              </w:rPr>
            </w:pPr>
            <w:r>
              <w:rPr>
                <w:i/>
                <w:szCs w:val="22"/>
                <w:lang w:val="en-AU"/>
              </w:rPr>
              <w:t>(-0.01, 0.02)</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r w:rsidR="00716FDC">
        <w:tc>
          <w:tcPr>
            <w:tcW w:w="1371" w:type="pct"/>
            <w:shd w:val="clear" w:color="auto" w:fill="auto"/>
          </w:tcPr>
          <w:p w:rsidR="00716FDC" w:rsidRDefault="00C83C33">
            <w:pPr>
              <w:pStyle w:val="Tabletext"/>
              <w:keepNext/>
              <w:keepLines/>
              <w:rPr>
                <w:szCs w:val="22"/>
                <w:lang w:val="en-AU"/>
              </w:rPr>
            </w:pPr>
            <w:r>
              <w:rPr>
                <w:szCs w:val="22"/>
                <w:lang w:val="en-AU"/>
              </w:rPr>
              <w:t xml:space="preserve">Any steroid class related AEs, n (%) </w:t>
            </w:r>
          </w:p>
        </w:tc>
        <w:tc>
          <w:tcPr>
            <w:tcW w:w="695" w:type="pct"/>
            <w:shd w:val="clear" w:color="auto" w:fill="auto"/>
          </w:tcPr>
          <w:p w:rsidR="00716FDC" w:rsidRDefault="00C83C33">
            <w:pPr>
              <w:pStyle w:val="Tabletext"/>
              <w:keepNext/>
              <w:keepLines/>
              <w:jc w:val="center"/>
              <w:rPr>
                <w:szCs w:val="22"/>
                <w:lang w:val="en-AU"/>
              </w:rPr>
            </w:pPr>
            <w:r>
              <w:rPr>
                <w:szCs w:val="22"/>
                <w:lang w:val="en-AU"/>
              </w:rPr>
              <w:t>34 (2)</w:t>
            </w:r>
          </w:p>
        </w:tc>
        <w:tc>
          <w:tcPr>
            <w:tcW w:w="772" w:type="pct"/>
            <w:shd w:val="clear" w:color="auto" w:fill="auto"/>
          </w:tcPr>
          <w:p w:rsidR="00716FDC" w:rsidRDefault="00C83C33">
            <w:pPr>
              <w:pStyle w:val="Tabletext"/>
              <w:keepNext/>
              <w:keepLines/>
              <w:jc w:val="center"/>
              <w:rPr>
                <w:szCs w:val="22"/>
                <w:lang w:val="en-AU"/>
              </w:rPr>
            </w:pPr>
            <w:r>
              <w:rPr>
                <w:szCs w:val="22"/>
                <w:lang w:val="en-AU"/>
              </w:rPr>
              <w:t>38 (2)</w:t>
            </w:r>
          </w:p>
        </w:tc>
        <w:tc>
          <w:tcPr>
            <w:tcW w:w="618" w:type="pct"/>
            <w:shd w:val="clear" w:color="auto" w:fill="auto"/>
          </w:tcPr>
          <w:p w:rsidR="00716FDC" w:rsidRDefault="00C83C33">
            <w:pPr>
              <w:pStyle w:val="Tabletext"/>
              <w:keepNext/>
              <w:keepLines/>
              <w:jc w:val="center"/>
              <w:rPr>
                <w:szCs w:val="22"/>
                <w:lang w:val="en-AU"/>
              </w:rPr>
            </w:pPr>
            <w:r>
              <w:rPr>
                <w:szCs w:val="22"/>
                <w:lang w:val="en-AU"/>
              </w:rPr>
              <w:t>-</w:t>
            </w:r>
          </w:p>
        </w:tc>
        <w:tc>
          <w:tcPr>
            <w:tcW w:w="772" w:type="pct"/>
            <w:shd w:val="clear" w:color="auto" w:fill="auto"/>
          </w:tcPr>
          <w:p w:rsidR="00716FDC" w:rsidRDefault="00C83C33">
            <w:pPr>
              <w:keepNext/>
              <w:keepLines/>
              <w:widowControl/>
              <w:jc w:val="center"/>
              <w:rPr>
                <w:rFonts w:ascii="Arial Narrow" w:hAnsi="Arial Narrow" w:cs="Times New Roman"/>
                <w:i/>
                <w:snapToGrid/>
                <w:sz w:val="20"/>
              </w:rPr>
            </w:pPr>
            <w:r>
              <w:rPr>
                <w:rFonts w:ascii="Arial Narrow" w:hAnsi="Arial Narrow" w:cs="Times New Roman"/>
                <w:i/>
                <w:snapToGrid/>
                <w:sz w:val="20"/>
              </w:rPr>
              <w:t xml:space="preserve">0.00 </w:t>
            </w:r>
          </w:p>
          <w:p w:rsidR="00716FDC" w:rsidRDefault="00C83C33">
            <w:pPr>
              <w:keepNext/>
              <w:keepLines/>
              <w:widowControl/>
              <w:jc w:val="center"/>
              <w:rPr>
                <w:i/>
              </w:rPr>
            </w:pPr>
            <w:r>
              <w:rPr>
                <w:rFonts w:ascii="Arial Narrow" w:hAnsi="Arial Narrow" w:cs="Times New Roman"/>
                <w:i/>
                <w:snapToGrid/>
                <w:sz w:val="20"/>
              </w:rPr>
              <w:t>(-0.01, 0.01)</w:t>
            </w:r>
          </w:p>
        </w:tc>
        <w:tc>
          <w:tcPr>
            <w:tcW w:w="772" w:type="pct"/>
            <w:shd w:val="clear" w:color="auto" w:fill="auto"/>
          </w:tcPr>
          <w:p w:rsidR="00716FDC" w:rsidRDefault="00C83C33">
            <w:pPr>
              <w:keepNext/>
              <w:keepLines/>
              <w:widowControl/>
              <w:jc w:val="center"/>
              <w:rPr>
                <w:rFonts w:ascii="Arial Narrow" w:hAnsi="Arial Narrow" w:cs="Times New Roman"/>
                <w:snapToGrid/>
                <w:sz w:val="20"/>
              </w:rPr>
            </w:pPr>
            <w:r>
              <w:rPr>
                <w:rFonts w:ascii="Arial Narrow" w:hAnsi="Arial Narrow" w:cs="Times New Roman"/>
                <w:snapToGrid/>
                <w:sz w:val="20"/>
              </w:rPr>
              <w:t>-</w:t>
            </w:r>
          </w:p>
        </w:tc>
      </w:tr>
    </w:tbl>
    <w:p w:rsidR="00716FDC" w:rsidRDefault="00C83C33">
      <w:pPr>
        <w:pStyle w:val="TableFooter"/>
        <w:keepNext/>
        <w:keepLines/>
      </w:pPr>
      <w:r>
        <w:t xml:space="preserve">Source: Table 2.5.8, 2.5.9 &amp; 2.5.12, p45-48 </w:t>
      </w:r>
      <w:r>
        <w:rPr>
          <w:lang w:val="en-US"/>
        </w:rPr>
        <w:t>of</w:t>
      </w:r>
      <w:r>
        <w:t xml:space="preserve"> the submission</w:t>
      </w:r>
    </w:p>
    <w:p w:rsidR="00716FDC" w:rsidRDefault="00C83C33">
      <w:pPr>
        <w:pStyle w:val="TableFooter"/>
        <w:keepNext/>
        <w:keepLines/>
      </w:pPr>
      <w:r>
        <w:t>AE = adverse event</w:t>
      </w:r>
      <w:r>
        <w:rPr>
          <w:lang w:val="en-AU"/>
        </w:rPr>
        <w:t xml:space="preserve">; </w:t>
      </w:r>
      <w:r>
        <w:rPr>
          <w:b/>
          <w:lang w:val="en-AU"/>
        </w:rPr>
        <w:t>Bold</w:t>
      </w:r>
      <w:r>
        <w:rPr>
          <w:lang w:val="en-AU"/>
        </w:rPr>
        <w:t xml:space="preserve">= statistically significant; CI = confidence interval; ICS = inhaled corticosteroid; </w:t>
      </w:r>
      <w:r>
        <w:t>RD = risk difference</w:t>
      </w:r>
      <w:r>
        <w:rPr>
          <w:lang w:val="en-AU"/>
        </w:rPr>
        <w:t>;</w:t>
      </w:r>
      <w:r>
        <w:t xml:space="preserve"> SABA = </w:t>
      </w:r>
      <w:r>
        <w:rPr>
          <w:lang w:val="en-AU"/>
        </w:rPr>
        <w:t>short-acting</w:t>
      </w:r>
      <w:r>
        <w:t xml:space="preserve"> beta2</w:t>
      </w:r>
      <w:r>
        <w:rPr>
          <w:lang w:val="en-AU"/>
        </w:rPr>
        <w:t>-</w:t>
      </w:r>
      <w:r>
        <w:t>agonists</w:t>
      </w:r>
    </w:p>
    <w:p w:rsidR="00716FDC" w:rsidRDefault="00716FDC">
      <w:pPr>
        <w:pStyle w:val="TableFooter"/>
      </w:pPr>
    </w:p>
    <w:p w:rsidR="00716FDC" w:rsidRDefault="00716FDC">
      <w:pPr>
        <w:pStyle w:val="TableFooter"/>
      </w:pPr>
    </w:p>
    <w:p w:rsidR="00716FDC" w:rsidRDefault="00C83C33">
      <w:pPr>
        <w:pStyle w:val="Heading2"/>
      </w:pPr>
      <w:bookmarkStart w:id="16" w:name="_Toc8973952"/>
      <w:r>
        <w:t>Benefits/harms</w:t>
      </w:r>
      <w:bookmarkEnd w:id="16"/>
    </w:p>
    <w:p w:rsidR="00716FDC" w:rsidRDefault="00716FDC"/>
    <w:p w:rsidR="00716FDC" w:rsidRDefault="00C83C33">
      <w:pPr>
        <w:pStyle w:val="ListParagraph"/>
        <w:widowControl/>
        <w:numPr>
          <w:ilvl w:val="1"/>
          <w:numId w:val="2"/>
        </w:numPr>
        <w:rPr>
          <w:rFonts w:ascii="Calibri" w:hAnsi="Calibri" w:cs="Calibri"/>
          <w:sz w:val="24"/>
        </w:rPr>
      </w:pPr>
      <w:r>
        <w:rPr>
          <w:rFonts w:ascii="Calibri" w:hAnsi="Calibri" w:cs="Calibri"/>
          <w:sz w:val="24"/>
          <w:lang w:val="en-AU"/>
        </w:rPr>
        <w:t xml:space="preserve">The ESC noted that, as there were no significant differences reported between Symbicort and ICS+SABA, a benefits harms table was not presented. </w:t>
      </w:r>
    </w:p>
    <w:p w:rsidR="00716FDC" w:rsidRDefault="00C83C33">
      <w:pPr>
        <w:pStyle w:val="ListParagraph"/>
        <w:widowControl/>
        <w:numPr>
          <w:ilvl w:val="1"/>
          <w:numId w:val="2"/>
        </w:numPr>
        <w:rPr>
          <w:rFonts w:ascii="Calibri" w:hAnsi="Calibri" w:cs="Calibri"/>
          <w:sz w:val="24"/>
        </w:rPr>
      </w:pPr>
      <w:r>
        <w:rPr>
          <w:rFonts w:ascii="Calibri" w:hAnsi="Calibri" w:cs="Calibri"/>
          <w:sz w:val="24"/>
        </w:rPr>
        <w:t>A summary of the comparative benefits and harms for Symbicort</w:t>
      </w:r>
      <w:r>
        <w:rPr>
          <w:rFonts w:ascii="Calibri" w:hAnsi="Calibri" w:cs="Calibri"/>
          <w:i/>
          <w:sz w:val="24"/>
        </w:rPr>
        <w:t xml:space="preserve"> </w:t>
      </w:r>
      <w:r>
        <w:rPr>
          <w:rFonts w:ascii="Calibri" w:hAnsi="Calibri" w:cs="Calibri"/>
          <w:sz w:val="24"/>
        </w:rPr>
        <w:t xml:space="preserve">versus </w:t>
      </w:r>
      <w:r>
        <w:rPr>
          <w:rFonts w:ascii="Calibri" w:hAnsi="Calibri" w:cs="Calibri"/>
          <w:sz w:val="24"/>
          <w:lang w:val="en-AU"/>
        </w:rPr>
        <w:t>SABA</w:t>
      </w:r>
      <w:r>
        <w:rPr>
          <w:rFonts w:ascii="Calibri" w:hAnsi="Calibri" w:cs="Calibri"/>
          <w:sz w:val="24"/>
        </w:rPr>
        <w:t xml:space="preserve"> </w:t>
      </w:r>
      <w:r>
        <w:rPr>
          <w:rFonts w:ascii="Calibri" w:hAnsi="Calibri" w:cs="Calibri"/>
          <w:sz w:val="24"/>
          <w:lang w:val="en-US"/>
        </w:rPr>
        <w:t>are</w:t>
      </w:r>
      <w:r>
        <w:rPr>
          <w:rFonts w:ascii="Calibri" w:hAnsi="Calibri" w:cs="Calibri"/>
          <w:sz w:val="24"/>
        </w:rPr>
        <w:t xml:space="preserve"> presented in </w:t>
      </w:r>
      <w:r>
        <w:rPr>
          <w:rFonts w:ascii="Calibri" w:hAnsi="Calibri" w:cs="Calibri"/>
          <w:sz w:val="24"/>
          <w:lang w:val="en-AU"/>
        </w:rPr>
        <w:t>T</w:t>
      </w:r>
      <w:r>
        <w:rPr>
          <w:rFonts w:ascii="Calibri" w:hAnsi="Calibri" w:cs="Calibri"/>
          <w:sz w:val="24"/>
        </w:rPr>
        <w:t>able</w:t>
      </w:r>
      <w:r>
        <w:rPr>
          <w:rFonts w:ascii="Calibri" w:hAnsi="Calibri" w:cs="Calibri"/>
          <w:sz w:val="24"/>
          <w:lang w:val="en-AU"/>
        </w:rPr>
        <w:t xml:space="preserve"> 11</w:t>
      </w:r>
      <w:r>
        <w:rPr>
          <w:rFonts w:ascii="Calibri" w:hAnsi="Calibri" w:cs="Calibri"/>
          <w:sz w:val="24"/>
        </w:rPr>
        <w:t xml:space="preserve">. </w:t>
      </w:r>
    </w:p>
    <w:p w:rsidR="00716FDC" w:rsidRDefault="00C83C33">
      <w:pPr>
        <w:widowControl/>
        <w:jc w:val="left"/>
        <w:rPr>
          <w:rFonts w:cs="Calibri"/>
          <w:lang w:val="x-none"/>
        </w:rPr>
      </w:pPr>
      <w:r>
        <w:rPr>
          <w:rFonts w:cs="Calibri"/>
        </w:rPr>
        <w:br w:type="page"/>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11</w:t>
      </w:r>
      <w:r>
        <w:fldChar w:fldCharType="end"/>
      </w:r>
      <w:r>
        <w:rPr>
          <w:lang w:val="en-AU"/>
        </w:rPr>
        <w:t>:</w:t>
      </w:r>
      <w:r w:rsidRPr="00CC284B">
        <w:t xml:space="preserve"> Summary of comparative benefits and harms for Symbicort and SABA</w:t>
      </w:r>
    </w:p>
    <w:tbl>
      <w:tblPr>
        <w:tblW w:w="5000" w:type="pct"/>
        <w:tblCellMar>
          <w:left w:w="28" w:type="dxa"/>
          <w:right w:w="28" w:type="dxa"/>
        </w:tblCellMar>
        <w:tblLook w:val="04A0" w:firstRow="1" w:lastRow="0" w:firstColumn="1" w:lastColumn="0" w:noHBand="0" w:noVBand="1"/>
        <w:tblCaption w:val="Table 11: Summary of comparative benefits and harms for Symbicort and SABA"/>
      </w:tblPr>
      <w:tblGrid>
        <w:gridCol w:w="1141"/>
        <w:gridCol w:w="10"/>
        <w:gridCol w:w="688"/>
        <w:gridCol w:w="444"/>
        <w:gridCol w:w="8"/>
        <w:gridCol w:w="399"/>
        <w:gridCol w:w="887"/>
        <w:gridCol w:w="263"/>
        <w:gridCol w:w="839"/>
        <w:gridCol w:w="453"/>
        <w:gridCol w:w="393"/>
        <w:gridCol w:w="739"/>
        <w:gridCol w:w="90"/>
        <w:gridCol w:w="308"/>
        <w:gridCol w:w="821"/>
        <w:gridCol w:w="142"/>
        <w:gridCol w:w="1392"/>
      </w:tblGrid>
      <w:tr w:rsidR="00716FDC" w:rsidTr="006D01D6">
        <w:trPr>
          <w:cantSplit/>
          <w:trHeight w:val="150"/>
        </w:trPr>
        <w:tc>
          <w:tcPr>
            <w:tcW w:w="633" w:type="pct"/>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rPr>
                <w:rFonts w:ascii="Arial Narrow" w:hAnsi="Arial Narrow"/>
                <w:b/>
                <w:snapToGrid/>
                <w:color w:val="000000"/>
                <w:sz w:val="20"/>
                <w:szCs w:val="18"/>
              </w:rPr>
            </w:pPr>
            <w:r>
              <w:rPr>
                <w:rFonts w:ascii="Arial Narrow" w:hAnsi="Arial Narrow"/>
                <w:b/>
                <w:color w:val="000000"/>
                <w:sz w:val="20"/>
                <w:szCs w:val="18"/>
              </w:rPr>
              <w:t>Trial</w:t>
            </w:r>
          </w:p>
        </w:tc>
        <w:tc>
          <w:tcPr>
            <w:tcW w:w="63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jc w:val="center"/>
              <w:rPr>
                <w:rFonts w:ascii="Arial Narrow" w:hAnsi="Arial Narrow"/>
                <w:b/>
                <w:color w:val="000000"/>
                <w:sz w:val="20"/>
                <w:szCs w:val="18"/>
              </w:rPr>
            </w:pPr>
            <w:r>
              <w:rPr>
                <w:rStyle w:val="CommentReference"/>
              </w:rPr>
              <w:t xml:space="preserve">Symbicort </w:t>
            </w:r>
            <w:r>
              <w:rPr>
                <w:rFonts w:ascii="Arial Narrow" w:hAnsi="Arial Narrow"/>
                <w:b/>
                <w:color w:val="000000"/>
                <w:sz w:val="20"/>
                <w:szCs w:val="18"/>
              </w:rPr>
              <w:t>n/N</w:t>
            </w:r>
          </w:p>
        </w:tc>
        <w:tc>
          <w:tcPr>
            <w:tcW w:w="71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jc w:val="center"/>
              <w:rPr>
                <w:rFonts w:ascii="Arial Narrow" w:hAnsi="Arial Narrow"/>
                <w:b/>
                <w:color w:val="000000"/>
                <w:sz w:val="20"/>
                <w:szCs w:val="18"/>
              </w:rPr>
            </w:pPr>
            <w:r>
              <w:rPr>
                <w:rStyle w:val="CommentReference"/>
              </w:rPr>
              <w:t>SABA</w:t>
            </w:r>
            <w:r>
              <w:rPr>
                <w:rFonts w:ascii="Arial Narrow" w:hAnsi="Arial Narrow"/>
                <w:b/>
                <w:color w:val="000000"/>
                <w:sz w:val="20"/>
                <w:szCs w:val="18"/>
              </w:rPr>
              <w:t xml:space="preserve"> </w:t>
            </w:r>
          </w:p>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RR</w:t>
            </w:r>
          </w:p>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(95% CI)</w:t>
            </w:r>
          </w:p>
        </w:tc>
        <w:tc>
          <w:tcPr>
            <w:tcW w:w="1304" w:type="pct"/>
            <w:gridSpan w:val="5"/>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 xml:space="preserve">Event rate/100 patients/year </w:t>
            </w:r>
          </w:p>
        </w:tc>
        <w:tc>
          <w:tcPr>
            <w:tcW w:w="85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RD</w:t>
            </w:r>
          </w:p>
          <w:p w:rsidR="00716FDC" w:rsidRDefault="00C83C33">
            <w:pPr>
              <w:keepNext/>
              <w:keepLines/>
              <w:jc w:val="center"/>
              <w:rPr>
                <w:rFonts w:ascii="Arial Narrow" w:hAnsi="Arial Narrow"/>
                <w:b/>
                <w:color w:val="000000"/>
                <w:sz w:val="20"/>
                <w:szCs w:val="18"/>
              </w:rPr>
            </w:pPr>
            <w:r>
              <w:rPr>
                <w:rFonts w:ascii="Arial Narrow" w:hAnsi="Arial Narrow"/>
                <w:b/>
                <w:color w:val="000000"/>
                <w:sz w:val="20"/>
                <w:szCs w:val="18"/>
              </w:rPr>
              <w:t>(95% CI)</w:t>
            </w:r>
          </w:p>
        </w:tc>
      </w:tr>
      <w:tr w:rsidR="00716FDC" w:rsidTr="006D01D6">
        <w:trPr>
          <w:cantSplit/>
          <w:trHeight w:val="315"/>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632"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715"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678"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Symbicort</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SABA</w:t>
            </w:r>
            <w:r>
              <w:rPr>
                <w:rFonts w:ascii="Arial Narrow" w:hAnsi="Arial Narrow"/>
                <w:b/>
                <w:color w:val="000000"/>
                <w:sz w:val="20"/>
                <w:szCs w:val="18"/>
              </w:rPr>
              <w:t xml:space="preserve"> </w:t>
            </w:r>
          </w:p>
        </w:tc>
        <w:tc>
          <w:tcPr>
            <w:tcW w:w="854" w:type="pct"/>
            <w:gridSpan w:val="2"/>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r>
      <w:tr w:rsidR="00716FDC">
        <w:trPr>
          <w:cantSplit/>
        </w:trPr>
        <w:tc>
          <w:tcPr>
            <w:tcW w:w="5000" w:type="pct"/>
            <w:gridSpan w:val="17"/>
            <w:tcBorders>
              <w:top w:val="single" w:sz="4" w:space="0" w:color="auto"/>
              <w:left w:val="single" w:sz="4" w:space="0" w:color="auto"/>
              <w:bottom w:val="doub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Benefits</w:t>
            </w:r>
          </w:p>
        </w:tc>
      </w:tr>
      <w:tr w:rsidR="00716FDC">
        <w:trPr>
          <w:cantSplit/>
        </w:trPr>
        <w:tc>
          <w:tcPr>
            <w:tcW w:w="5000" w:type="pct"/>
            <w:gridSpan w:val="17"/>
            <w:tcBorders>
              <w:top w:val="doub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Rate of severe exacerbations</w:t>
            </w:r>
          </w:p>
        </w:tc>
      </w:tr>
      <w:tr w:rsidR="00716FDC" w:rsidTr="006D01D6">
        <w:trPr>
          <w:cantSplit/>
        </w:trPr>
        <w:tc>
          <w:tcPr>
            <w:tcW w:w="633"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color w:val="000000"/>
                <w:sz w:val="20"/>
                <w:szCs w:val="18"/>
              </w:rPr>
            </w:pPr>
            <w:r>
              <w:rPr>
                <w:rFonts w:ascii="Arial Narrow" w:hAnsi="Arial Narrow"/>
                <w:color w:val="000000"/>
                <w:sz w:val="20"/>
                <w:szCs w:val="18"/>
              </w:rPr>
              <w:t xml:space="preserve">SYGMA 1 </w:t>
            </w:r>
          </w:p>
        </w:tc>
        <w:tc>
          <w:tcPr>
            <w:tcW w:w="632"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77/1277</w:t>
            </w:r>
          </w:p>
        </w:tc>
        <w:tc>
          <w:tcPr>
            <w:tcW w:w="715"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188/1277</w:t>
            </w:r>
          </w:p>
        </w:tc>
        <w:tc>
          <w:tcPr>
            <w:tcW w:w="862"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0.36</w:t>
            </w:r>
          </w:p>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(0.27, 0.49)</w:t>
            </w:r>
          </w:p>
        </w:tc>
        <w:tc>
          <w:tcPr>
            <w:tcW w:w="678"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6.02</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14.72</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 xml:space="preserve">-0.09 </w:t>
            </w:r>
          </w:p>
          <w:p w:rsidR="00716FDC" w:rsidRDefault="00C83C33">
            <w:pPr>
              <w:keepLines/>
              <w:jc w:val="center"/>
              <w:rPr>
                <w:rFonts w:ascii="Arial Narrow" w:hAnsi="Arial Narrow"/>
                <w:color w:val="000000"/>
                <w:sz w:val="20"/>
                <w:szCs w:val="18"/>
              </w:rPr>
            </w:pPr>
            <w:r>
              <w:rPr>
                <w:rFonts w:ascii="Arial Narrow" w:hAnsi="Arial Narrow"/>
                <w:b/>
                <w:color w:val="000000"/>
                <w:sz w:val="20"/>
                <w:szCs w:val="18"/>
              </w:rPr>
              <w:t>(-0.11, -0.06)</w:t>
            </w:r>
          </w:p>
        </w:tc>
      </w:tr>
      <w:tr w:rsidR="00716FDC">
        <w:trPr>
          <w:cantSplit/>
        </w:trPr>
        <w:tc>
          <w:tcPr>
            <w:tcW w:w="5000" w:type="pct"/>
            <w:gridSpan w:val="17"/>
            <w:tcBorders>
              <w:top w:val="doub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Asthma Control Questionnaire: change from baseline (LSM)</w:t>
            </w:r>
          </w:p>
        </w:tc>
      </w:tr>
      <w:tr w:rsidR="00716FDC">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vAlign w:val="center"/>
          </w:tcPr>
          <w:p w:rsidR="00716FDC" w:rsidRDefault="00716FDC">
            <w:pPr>
              <w:keepLines/>
              <w:rPr>
                <w:rFonts w:ascii="Arial Narrow" w:hAnsi="Arial Narrow"/>
                <w:color w:val="000000"/>
                <w:sz w:val="20"/>
                <w:szCs w:val="18"/>
              </w:rPr>
            </w:pPr>
          </w:p>
        </w:tc>
        <w:tc>
          <w:tcPr>
            <w:tcW w:w="1496" w:type="pct"/>
            <w:gridSpan w:val="7"/>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Style w:val="CommentReference"/>
              </w:rPr>
              <w:t>Symbicort</w:t>
            </w:r>
          </w:p>
        </w:tc>
        <w:tc>
          <w:tcPr>
            <w:tcW w:w="1565" w:type="pct"/>
            <w:gridSpan w:val="6"/>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Style w:val="CommentReference"/>
              </w:rPr>
              <w:t>SABA</w:t>
            </w:r>
            <w:r>
              <w:rPr>
                <w:rFonts w:ascii="Arial Narrow" w:hAnsi="Arial Narrow"/>
                <w:b/>
                <w:color w:val="000000"/>
                <w:sz w:val="20"/>
                <w:szCs w:val="18"/>
              </w:rPr>
              <w:t xml:space="preserve"> </w:t>
            </w:r>
          </w:p>
        </w:tc>
        <w:tc>
          <w:tcPr>
            <w:tcW w:w="13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sz w:val="20"/>
                <w:szCs w:val="18"/>
              </w:rPr>
            </w:pPr>
            <w:r>
              <w:rPr>
                <w:rFonts w:ascii="Arial Narrow" w:hAnsi="Arial Narrow"/>
                <w:b/>
                <w:sz w:val="20"/>
                <w:szCs w:val="18"/>
              </w:rPr>
              <w:t xml:space="preserve">LSM difference: </w:t>
            </w:r>
          </w:p>
          <w:p w:rsidR="00716FDC" w:rsidRDefault="00C83C33">
            <w:pPr>
              <w:keepLines/>
              <w:jc w:val="center"/>
              <w:rPr>
                <w:rFonts w:ascii="Arial Narrow" w:hAnsi="Arial Narrow"/>
                <w:b/>
                <w:color w:val="000000"/>
                <w:sz w:val="20"/>
                <w:szCs w:val="18"/>
              </w:rPr>
            </w:pPr>
            <w:r>
              <w:rPr>
                <w:rStyle w:val="CommentReference"/>
              </w:rPr>
              <w:t xml:space="preserve">Symbicort </w:t>
            </w:r>
            <w:r>
              <w:rPr>
                <w:rFonts w:ascii="Arial Narrow" w:hAnsi="Arial Narrow"/>
                <w:b/>
                <w:sz w:val="20"/>
                <w:szCs w:val="18"/>
              </w:rPr>
              <w:t xml:space="preserve">vs. </w:t>
            </w:r>
            <w:r>
              <w:rPr>
                <w:rStyle w:val="CommentReference"/>
              </w:rPr>
              <w:t>SABA</w:t>
            </w:r>
            <w:r>
              <w:rPr>
                <w:rFonts w:ascii="Arial Narrow" w:hAnsi="Arial Narrow"/>
                <w:b/>
                <w:color w:val="000000"/>
                <w:sz w:val="20"/>
                <w:szCs w:val="18"/>
              </w:rPr>
              <w:t xml:space="preserve"> </w:t>
            </w:r>
          </w:p>
          <w:p w:rsidR="00716FDC" w:rsidRDefault="00C83C33">
            <w:pPr>
              <w:keepLines/>
              <w:jc w:val="center"/>
              <w:rPr>
                <w:rFonts w:ascii="Arial Narrow" w:hAnsi="Arial Narrow"/>
                <w:b/>
                <w:sz w:val="20"/>
                <w:szCs w:val="18"/>
              </w:rPr>
            </w:pPr>
            <w:r>
              <w:rPr>
                <w:rFonts w:ascii="Arial Narrow" w:hAnsi="Arial Narrow"/>
                <w:b/>
                <w:sz w:val="20"/>
                <w:szCs w:val="18"/>
              </w:rPr>
              <w:t>(95% CI)</w:t>
            </w:r>
          </w:p>
        </w:tc>
      </w:tr>
      <w:tr w:rsidR="00716FDC" w:rsidTr="006D01D6">
        <w:trPr>
          <w:cantSplit/>
          <w:trHeight w:val="225"/>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color w:val="000000"/>
                <w:sz w:val="20"/>
                <w:szCs w:val="18"/>
              </w:rPr>
            </w:pPr>
          </w:p>
        </w:tc>
        <w:tc>
          <w:tcPr>
            <w:tcW w:w="38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N</w:t>
            </w:r>
          </w:p>
        </w:tc>
        <w:tc>
          <w:tcPr>
            <w:tcW w:w="470"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sz w:val="20"/>
                <w:szCs w:val="18"/>
              </w:rPr>
            </w:pPr>
            <w:r>
              <w:rPr>
                <w:rFonts w:ascii="Arial Narrow" w:hAnsi="Arial Narrow"/>
                <w:b/>
                <w:sz w:val="20"/>
                <w:szCs w:val="18"/>
              </w:rPr>
              <w:t xml:space="preserve">Mean ∆ baseline LSM </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sz w:val="20"/>
                <w:szCs w:val="18"/>
              </w:rPr>
            </w:pPr>
            <w:r>
              <w:rPr>
                <w:rFonts w:ascii="Arial Narrow" w:hAnsi="Arial Narrow"/>
                <w:b/>
                <w:sz w:val="20"/>
                <w:szCs w:val="18"/>
              </w:rPr>
              <w:t>(95% CI)</w:t>
            </w:r>
          </w:p>
        </w:tc>
        <w:tc>
          <w:tcPr>
            <w:tcW w:w="465"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N</w:t>
            </w: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sz w:val="20"/>
                <w:szCs w:val="18"/>
              </w:rPr>
            </w:pPr>
            <w:r>
              <w:rPr>
                <w:rFonts w:ascii="Arial Narrow" w:hAnsi="Arial Narrow"/>
                <w:b/>
                <w:sz w:val="20"/>
                <w:szCs w:val="18"/>
              </w:rPr>
              <w:t>Mean ∆ baseline</w:t>
            </w:r>
          </w:p>
          <w:p w:rsidR="00716FDC" w:rsidRDefault="00C83C33">
            <w:pPr>
              <w:keepLines/>
              <w:jc w:val="center"/>
              <w:rPr>
                <w:rFonts w:ascii="Arial Narrow" w:hAnsi="Arial Narrow"/>
                <w:b/>
                <w:sz w:val="20"/>
                <w:szCs w:val="18"/>
              </w:rPr>
            </w:pPr>
            <w:r>
              <w:rPr>
                <w:rFonts w:ascii="Arial Narrow" w:hAnsi="Arial Narrow"/>
                <w:b/>
                <w:sz w:val="20"/>
                <w:szCs w:val="18"/>
              </w:rPr>
              <w:t>LSM</w:t>
            </w:r>
          </w:p>
        </w:tc>
        <w:tc>
          <w:tcPr>
            <w:tcW w:w="631"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sz w:val="20"/>
                <w:szCs w:val="18"/>
              </w:rPr>
            </w:pPr>
            <w:r>
              <w:rPr>
                <w:rFonts w:ascii="Arial Narrow" w:hAnsi="Arial Narrow"/>
                <w:b/>
                <w:sz w:val="20"/>
                <w:szCs w:val="18"/>
              </w:rPr>
              <w:t>(95% CI)</w:t>
            </w:r>
          </w:p>
        </w:tc>
        <w:tc>
          <w:tcPr>
            <w:tcW w:w="1306"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sz w:val="20"/>
                <w:szCs w:val="18"/>
              </w:rPr>
            </w:pPr>
          </w:p>
        </w:tc>
      </w:tr>
      <w:tr w:rsidR="00716FDC" w:rsidTr="006D01D6">
        <w:trPr>
          <w:cantSplit/>
        </w:trPr>
        <w:tc>
          <w:tcPr>
            <w:tcW w:w="633"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color w:val="000000"/>
                <w:sz w:val="20"/>
                <w:szCs w:val="18"/>
              </w:rPr>
            </w:pPr>
            <w:r>
              <w:rPr>
                <w:rFonts w:ascii="Arial Narrow" w:hAnsi="Arial Narrow"/>
                <w:color w:val="000000"/>
                <w:sz w:val="20"/>
                <w:szCs w:val="18"/>
              </w:rPr>
              <w:t xml:space="preserve">SYGMA 1 </w:t>
            </w:r>
          </w:p>
        </w:tc>
        <w:tc>
          <w:tcPr>
            <w:tcW w:w="38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1241</w:t>
            </w:r>
          </w:p>
        </w:tc>
        <w:tc>
          <w:tcPr>
            <w:tcW w:w="470"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-0.33</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 xml:space="preserve">(-0.36, -0.29) </w:t>
            </w:r>
          </w:p>
        </w:tc>
        <w:tc>
          <w:tcPr>
            <w:tcW w:w="465"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1225</w:t>
            </w:r>
          </w:p>
        </w:tc>
        <w:tc>
          <w:tcPr>
            <w:tcW w:w="469"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-0.17</w:t>
            </w:r>
          </w:p>
        </w:tc>
        <w:tc>
          <w:tcPr>
            <w:tcW w:w="631"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(-0.21, -0.14)</w:t>
            </w:r>
            <w:r>
              <w:t xml:space="preserve"> </w:t>
            </w:r>
          </w:p>
        </w:tc>
        <w:tc>
          <w:tcPr>
            <w:tcW w:w="1306"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 xml:space="preserve">-0.154 </w:t>
            </w:r>
          </w:p>
          <w:p w:rsidR="00716FDC" w:rsidRDefault="00C83C33">
            <w:pPr>
              <w:keepLines/>
              <w:jc w:val="center"/>
              <w:rPr>
                <w:rFonts w:ascii="Arial Narrow" w:hAnsi="Arial Narrow"/>
                <w:sz w:val="20"/>
                <w:szCs w:val="18"/>
              </w:rPr>
            </w:pPr>
            <w:r>
              <w:rPr>
                <w:rFonts w:ascii="Arial Narrow" w:hAnsi="Arial Narrow"/>
                <w:b/>
                <w:color w:val="000000"/>
                <w:sz w:val="20"/>
                <w:szCs w:val="18"/>
              </w:rPr>
              <w:t>(-0.203, -0.105)</w:t>
            </w:r>
            <w:r>
              <w:rPr>
                <w:sz w:val="20"/>
                <w:szCs w:val="20"/>
              </w:rPr>
              <w:t xml:space="preserve"> </w:t>
            </w:r>
            <w:r>
              <w:rPr>
                <w:rFonts w:ascii="Arial Narrow" w:hAnsi="Arial Narrow"/>
                <w:color w:val="000000"/>
                <w:sz w:val="20"/>
                <w:szCs w:val="18"/>
              </w:rPr>
              <w:t xml:space="preserve"> </w:t>
            </w:r>
          </w:p>
        </w:tc>
      </w:tr>
      <w:tr w:rsidR="00716FDC">
        <w:trPr>
          <w:cantSplit/>
        </w:trPr>
        <w:tc>
          <w:tcPr>
            <w:tcW w:w="5000" w:type="pct"/>
            <w:gridSpan w:val="17"/>
            <w:tcBorders>
              <w:top w:val="doub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 xml:space="preserve">Harms </w:t>
            </w:r>
          </w:p>
        </w:tc>
      </w:tr>
      <w:tr w:rsidR="00716FDC" w:rsidTr="006D01D6">
        <w:trPr>
          <w:cantSplit/>
          <w:trHeight w:val="70"/>
        </w:trPr>
        <w:tc>
          <w:tcPr>
            <w:tcW w:w="636" w:type="pct"/>
            <w:gridSpan w:val="2"/>
            <w:vMerge w:val="restart"/>
            <w:tcBorders>
              <w:top w:val="single" w:sz="4" w:space="0" w:color="auto"/>
              <w:left w:val="single" w:sz="4" w:space="0" w:color="auto"/>
              <w:bottom w:val="single" w:sz="4" w:space="0" w:color="auto"/>
              <w:right w:val="single" w:sz="4" w:space="0" w:color="auto"/>
            </w:tcBorders>
            <w:vAlign w:val="center"/>
          </w:tcPr>
          <w:p w:rsidR="00716FDC" w:rsidRDefault="00716FDC">
            <w:pPr>
              <w:keepLines/>
              <w:rPr>
                <w:rFonts w:ascii="Arial Narrow" w:hAnsi="Arial Narrow"/>
                <w:b/>
                <w:color w:val="000000"/>
                <w:sz w:val="20"/>
                <w:szCs w:val="18"/>
              </w:rPr>
            </w:pP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 xml:space="preserve">Symbicort </w:t>
            </w:r>
            <w:r>
              <w:rPr>
                <w:rFonts w:ascii="Arial Narrow" w:hAnsi="Arial Narrow"/>
                <w:b/>
                <w:color w:val="000000"/>
                <w:sz w:val="20"/>
                <w:szCs w:val="18"/>
              </w:rPr>
              <w:t>n/N</w:t>
            </w:r>
          </w:p>
        </w:tc>
        <w:tc>
          <w:tcPr>
            <w:tcW w:w="71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SABA</w:t>
            </w:r>
            <w:r>
              <w:rPr>
                <w:rFonts w:ascii="Arial Narrow" w:hAnsi="Arial Narrow"/>
                <w:b/>
                <w:color w:val="000000"/>
                <w:sz w:val="20"/>
                <w:szCs w:val="18"/>
              </w:rPr>
              <w:t xml:space="preserve"> </w:t>
            </w:r>
          </w:p>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RR</w:t>
            </w:r>
          </w:p>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(95% CI)</w:t>
            </w:r>
          </w:p>
        </w:tc>
        <w:tc>
          <w:tcPr>
            <w:tcW w:w="1383" w:type="pct"/>
            <w:gridSpan w:val="6"/>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 xml:space="preserve">Event rate/100 patients per year </w:t>
            </w:r>
          </w:p>
        </w:tc>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RD</w:t>
            </w:r>
          </w:p>
          <w:p w:rsidR="00716FDC" w:rsidRDefault="00C83C33">
            <w:pPr>
              <w:keepLines/>
              <w:jc w:val="center"/>
              <w:rPr>
                <w:rFonts w:ascii="Arial Narrow" w:hAnsi="Arial Narrow"/>
                <w:b/>
                <w:color w:val="000000"/>
                <w:sz w:val="20"/>
                <w:szCs w:val="18"/>
              </w:rPr>
            </w:pPr>
            <w:r>
              <w:rPr>
                <w:rFonts w:ascii="Arial Narrow" w:hAnsi="Arial Narrow"/>
                <w:b/>
                <w:color w:val="000000"/>
                <w:sz w:val="20"/>
                <w:szCs w:val="18"/>
              </w:rPr>
              <w:t>(95% CI)</w:t>
            </w:r>
          </w:p>
        </w:tc>
      </w:tr>
      <w:tr w:rsidR="00716FDC" w:rsidTr="006D01D6">
        <w:trPr>
          <w:cantSplit/>
          <w:trHeight w:val="390"/>
        </w:trPr>
        <w:tc>
          <w:tcPr>
            <w:tcW w:w="636" w:type="pct"/>
            <w:gridSpan w:val="2"/>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629" w:type="pct"/>
            <w:gridSpan w:val="2"/>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715"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Symbicort</w:t>
            </w:r>
          </w:p>
        </w:tc>
        <w:tc>
          <w:tcPr>
            <w:tcW w:w="755" w:type="pct"/>
            <w:gridSpan w:val="4"/>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b/>
                <w:color w:val="000000"/>
                <w:sz w:val="20"/>
                <w:szCs w:val="18"/>
              </w:rPr>
            </w:pPr>
            <w:r>
              <w:rPr>
                <w:rStyle w:val="CommentReference"/>
              </w:rPr>
              <w:t>SABA</w:t>
            </w:r>
          </w:p>
        </w:tc>
        <w:tc>
          <w:tcPr>
            <w:tcW w:w="775" w:type="pct"/>
            <w:vMerge/>
            <w:tcBorders>
              <w:top w:val="single" w:sz="4" w:space="0" w:color="auto"/>
              <w:left w:val="single" w:sz="4" w:space="0" w:color="auto"/>
              <w:bottom w:val="single" w:sz="4" w:space="0" w:color="auto"/>
              <w:right w:val="single" w:sz="4" w:space="0" w:color="auto"/>
            </w:tcBorders>
            <w:vAlign w:val="center"/>
            <w:hideMark/>
          </w:tcPr>
          <w:p w:rsidR="00716FDC" w:rsidRDefault="00716FDC">
            <w:pPr>
              <w:keepLines/>
              <w:widowControl/>
              <w:jc w:val="left"/>
              <w:rPr>
                <w:rFonts w:ascii="Arial Narrow" w:hAnsi="Arial Narrow"/>
                <w:b/>
                <w:color w:val="000000"/>
                <w:sz w:val="20"/>
                <w:szCs w:val="18"/>
              </w:rPr>
            </w:pPr>
          </w:p>
        </w:tc>
      </w:tr>
      <w:tr w:rsidR="00716FDC">
        <w:trPr>
          <w:cantSplit/>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Upper respiratory tract infection</w:t>
            </w:r>
          </w:p>
        </w:tc>
      </w:tr>
      <w:tr w:rsidR="00716FDC" w:rsidTr="006D01D6">
        <w:trPr>
          <w:cantSplit/>
        </w:trPr>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color w:val="000000"/>
                <w:sz w:val="20"/>
                <w:szCs w:val="18"/>
              </w:rPr>
            </w:pPr>
            <w:r>
              <w:rPr>
                <w:rFonts w:ascii="Arial Narrow" w:hAnsi="Arial Narrow"/>
                <w:color w:val="000000"/>
                <w:sz w:val="20"/>
                <w:szCs w:val="18"/>
              </w:rPr>
              <w:t xml:space="preserve">SYGMA 1 </w:t>
            </w:r>
          </w:p>
        </w:tc>
        <w:tc>
          <w:tcPr>
            <w:tcW w:w="630"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71/1277</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76/1277</w:t>
            </w:r>
          </w:p>
        </w:tc>
        <w:tc>
          <w:tcPr>
            <w:tcW w:w="862"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 xml:space="preserve">0.93 </w:t>
            </w:r>
          </w:p>
          <w:p w:rsidR="00716FDC" w:rsidRDefault="00C83C33">
            <w:pPr>
              <w:keepLines/>
              <w:jc w:val="center"/>
              <w:rPr>
                <w:rFonts w:ascii="Arial Narrow" w:hAnsi="Arial Narrow"/>
                <w:color w:val="000000"/>
                <w:sz w:val="20"/>
                <w:szCs w:val="18"/>
              </w:rPr>
            </w:pPr>
            <w:r>
              <w:rPr>
                <w:rFonts w:ascii="Arial Narrow" w:hAnsi="Arial Narrow"/>
                <w:color w:val="000000"/>
                <w:sz w:val="20"/>
                <w:szCs w:val="18"/>
              </w:rPr>
              <w:t>(0.68, 1.28)</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5.55</w:t>
            </w:r>
          </w:p>
        </w:tc>
        <w:tc>
          <w:tcPr>
            <w:tcW w:w="755" w:type="pct"/>
            <w:gridSpan w:val="4"/>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5.95</w:t>
            </w:r>
          </w:p>
        </w:tc>
        <w:tc>
          <w:tcPr>
            <w:tcW w:w="775" w:type="pct"/>
            <w:tcBorders>
              <w:top w:val="single" w:sz="4" w:space="0" w:color="auto"/>
              <w:left w:val="single" w:sz="4" w:space="0" w:color="auto"/>
              <w:bottom w:val="single" w:sz="4" w:space="0" w:color="auto"/>
              <w:right w:val="single" w:sz="4" w:space="0" w:color="auto"/>
            </w:tcBorders>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 xml:space="preserve">0.00 </w:t>
            </w:r>
          </w:p>
          <w:p w:rsidR="00716FDC" w:rsidRDefault="00C83C33">
            <w:pPr>
              <w:keepLines/>
              <w:jc w:val="center"/>
              <w:rPr>
                <w:rFonts w:ascii="Arial Narrow" w:hAnsi="Arial Narrow"/>
                <w:color w:val="000000"/>
                <w:sz w:val="20"/>
                <w:szCs w:val="18"/>
              </w:rPr>
            </w:pPr>
            <w:r>
              <w:rPr>
                <w:rFonts w:ascii="Arial Narrow" w:hAnsi="Arial Narrow"/>
                <w:color w:val="000000"/>
                <w:sz w:val="20"/>
                <w:szCs w:val="18"/>
              </w:rPr>
              <w:t>(-0.02, 0.01)</w:t>
            </w:r>
          </w:p>
        </w:tc>
      </w:tr>
      <w:tr w:rsidR="00716FDC">
        <w:trPr>
          <w:cantSplit/>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b/>
                <w:color w:val="000000"/>
                <w:sz w:val="20"/>
                <w:szCs w:val="18"/>
              </w:rPr>
            </w:pPr>
            <w:r>
              <w:rPr>
                <w:rFonts w:ascii="Arial Narrow" w:hAnsi="Arial Narrow"/>
                <w:b/>
                <w:color w:val="000000"/>
                <w:sz w:val="20"/>
                <w:szCs w:val="18"/>
              </w:rPr>
              <w:t>Viral upper respiratory tract infection</w:t>
            </w:r>
          </w:p>
        </w:tc>
      </w:tr>
      <w:tr w:rsidR="00716FDC" w:rsidTr="006D01D6">
        <w:trPr>
          <w:cantSplit/>
        </w:trPr>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rPr>
                <w:rFonts w:ascii="Arial Narrow" w:hAnsi="Arial Narrow"/>
                <w:color w:val="000000"/>
                <w:sz w:val="20"/>
                <w:szCs w:val="18"/>
              </w:rPr>
            </w:pPr>
            <w:r>
              <w:rPr>
                <w:rFonts w:ascii="Arial Narrow" w:hAnsi="Arial Narrow"/>
                <w:color w:val="000000"/>
                <w:sz w:val="20"/>
                <w:szCs w:val="18"/>
              </w:rPr>
              <w:t xml:space="preserve">SYGMA 1 </w:t>
            </w:r>
          </w:p>
        </w:tc>
        <w:tc>
          <w:tcPr>
            <w:tcW w:w="630"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75/1277</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79/1277</w:t>
            </w:r>
          </w:p>
        </w:tc>
        <w:tc>
          <w:tcPr>
            <w:tcW w:w="862" w:type="pct"/>
            <w:gridSpan w:val="3"/>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0.95</w:t>
            </w:r>
          </w:p>
          <w:p w:rsidR="00716FDC" w:rsidRDefault="00C83C33">
            <w:pPr>
              <w:keepLines/>
              <w:jc w:val="center"/>
              <w:rPr>
                <w:rFonts w:ascii="Arial Narrow" w:hAnsi="Arial Narrow"/>
                <w:color w:val="000000"/>
                <w:sz w:val="20"/>
                <w:szCs w:val="18"/>
              </w:rPr>
            </w:pPr>
            <w:r>
              <w:rPr>
                <w:rFonts w:ascii="Arial Narrow" w:hAnsi="Arial Narrow"/>
                <w:color w:val="000000"/>
                <w:sz w:val="20"/>
                <w:szCs w:val="18"/>
              </w:rPr>
              <w:t xml:space="preserve"> (0.70, 1.29)</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5.87</w:t>
            </w:r>
          </w:p>
        </w:tc>
        <w:tc>
          <w:tcPr>
            <w:tcW w:w="755" w:type="pct"/>
            <w:gridSpan w:val="4"/>
            <w:tcBorders>
              <w:top w:val="single" w:sz="4" w:space="0" w:color="auto"/>
              <w:left w:val="single" w:sz="4" w:space="0" w:color="auto"/>
              <w:bottom w:val="single" w:sz="4" w:space="0" w:color="auto"/>
              <w:right w:val="single" w:sz="4" w:space="0" w:color="auto"/>
            </w:tcBorders>
            <w:vAlign w:val="center"/>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6.18</w:t>
            </w:r>
          </w:p>
        </w:tc>
        <w:tc>
          <w:tcPr>
            <w:tcW w:w="775" w:type="pct"/>
            <w:tcBorders>
              <w:top w:val="single" w:sz="4" w:space="0" w:color="auto"/>
              <w:left w:val="single" w:sz="4" w:space="0" w:color="auto"/>
              <w:bottom w:val="single" w:sz="4" w:space="0" w:color="auto"/>
              <w:right w:val="single" w:sz="4" w:space="0" w:color="auto"/>
            </w:tcBorders>
            <w:hideMark/>
          </w:tcPr>
          <w:p w:rsidR="00716FDC" w:rsidRDefault="00C83C33">
            <w:pPr>
              <w:keepLines/>
              <w:jc w:val="center"/>
              <w:rPr>
                <w:rFonts w:ascii="Arial Narrow" w:hAnsi="Arial Narrow"/>
                <w:color w:val="000000"/>
                <w:sz w:val="20"/>
                <w:szCs w:val="18"/>
              </w:rPr>
            </w:pPr>
            <w:r>
              <w:rPr>
                <w:rFonts w:ascii="Arial Narrow" w:hAnsi="Arial Narrow"/>
                <w:color w:val="000000"/>
                <w:sz w:val="20"/>
                <w:szCs w:val="18"/>
              </w:rPr>
              <w:t xml:space="preserve">0.00 </w:t>
            </w:r>
          </w:p>
          <w:p w:rsidR="00716FDC" w:rsidRDefault="00C83C33">
            <w:pPr>
              <w:keepLines/>
              <w:jc w:val="center"/>
              <w:rPr>
                <w:rFonts w:ascii="Arial Narrow" w:hAnsi="Arial Narrow"/>
                <w:color w:val="000000"/>
                <w:sz w:val="20"/>
                <w:szCs w:val="18"/>
              </w:rPr>
            </w:pPr>
            <w:r>
              <w:rPr>
                <w:rFonts w:ascii="Arial Narrow" w:hAnsi="Arial Narrow"/>
                <w:color w:val="000000"/>
                <w:sz w:val="20"/>
                <w:szCs w:val="18"/>
              </w:rPr>
              <w:t>(-0.02, 0.02)</w:t>
            </w:r>
          </w:p>
        </w:tc>
      </w:tr>
    </w:tbl>
    <w:p w:rsidR="00716FDC" w:rsidRDefault="00C83C33">
      <w:pPr>
        <w:pStyle w:val="TableFooter"/>
        <w:keepLines/>
        <w:rPr>
          <w:snapToGrid/>
        </w:rPr>
      </w:pPr>
      <w:r>
        <w:t>Source: Table 2.5.1, 2.5.3 and 2.5.11</w:t>
      </w:r>
      <w:r>
        <w:rPr>
          <w:lang w:val="en-US"/>
        </w:rPr>
        <w:t>, p40,42,47</w:t>
      </w:r>
      <w:r>
        <w:t xml:space="preserve">  of the submission</w:t>
      </w:r>
    </w:p>
    <w:p w:rsidR="00716FDC" w:rsidRDefault="00C83C33">
      <w:pPr>
        <w:pStyle w:val="TableFooter"/>
        <w:keepLines/>
        <w:rPr>
          <w:lang w:val="en-AU"/>
        </w:rPr>
      </w:pPr>
      <w:r>
        <w:rPr>
          <w:b/>
        </w:rPr>
        <w:t>Bold</w:t>
      </w:r>
      <w:r>
        <w:t xml:space="preserve"> = statistically significant</w:t>
      </w:r>
      <w:r>
        <w:rPr>
          <w:lang w:val="en-US"/>
        </w:rPr>
        <w:t xml:space="preserve">; CI = confidence interval; </w:t>
      </w:r>
      <w:r>
        <w:t>LS</w:t>
      </w:r>
      <w:r>
        <w:rPr>
          <w:lang w:val="en-US"/>
        </w:rPr>
        <w:t>M</w:t>
      </w:r>
      <w:r>
        <w:t xml:space="preserve"> = </w:t>
      </w:r>
      <w:r>
        <w:rPr>
          <w:lang w:val="en-AU"/>
        </w:rPr>
        <w:t>l</w:t>
      </w:r>
      <w:r>
        <w:t>east squared</w:t>
      </w:r>
      <w:r>
        <w:rPr>
          <w:lang w:val="en-US"/>
        </w:rPr>
        <w:t xml:space="preserve"> mean</w:t>
      </w:r>
      <w:r>
        <w:rPr>
          <w:lang w:val="en-AU"/>
        </w:rPr>
        <w:t>;</w:t>
      </w:r>
      <w:r>
        <w:t xml:space="preserve"> </w:t>
      </w:r>
      <w:r>
        <w:rPr>
          <w:lang w:val="en-AU"/>
        </w:rPr>
        <w:t xml:space="preserve">RD = risk difference; </w:t>
      </w:r>
      <w:r>
        <w:t>RR = rate ratio</w:t>
      </w:r>
      <w:r>
        <w:rPr>
          <w:lang w:val="en-AU"/>
        </w:rPr>
        <w:t>; SABA = short-acting beta2-agonist</w:t>
      </w:r>
    </w:p>
    <w:p w:rsidR="00716FDC" w:rsidRDefault="00716FDC">
      <w:pPr>
        <w:keepLines/>
      </w:pPr>
    </w:p>
    <w:p w:rsidR="00716FDC" w:rsidRDefault="00C83C33">
      <w:pPr>
        <w:pStyle w:val="ListParagraph"/>
        <w:widowControl/>
        <w:numPr>
          <w:ilvl w:val="1"/>
          <w:numId w:val="2"/>
        </w:numPr>
        <w:spacing w:after="0"/>
        <w:rPr>
          <w:rFonts w:ascii="Calibri" w:hAnsi="Calibri" w:cs="Calibri"/>
          <w:sz w:val="24"/>
        </w:rPr>
      </w:pPr>
      <w:r>
        <w:rPr>
          <w:rFonts w:ascii="Calibri" w:hAnsi="Calibri" w:cs="Calibri"/>
          <w:sz w:val="24"/>
        </w:rPr>
        <w:t xml:space="preserve">On the basis of the direct comparison evidence presented by the submission, for every 100 patients treated with </w:t>
      </w:r>
      <w:r>
        <w:rPr>
          <w:rFonts w:ascii="Calibri" w:hAnsi="Calibri" w:cs="Calibri"/>
          <w:sz w:val="24"/>
          <w:lang w:val="en-AU"/>
        </w:rPr>
        <w:t>Symbicort</w:t>
      </w:r>
      <w:r>
        <w:rPr>
          <w:rFonts w:ascii="Calibri" w:hAnsi="Calibri" w:cs="Calibri"/>
          <w:i/>
          <w:sz w:val="24"/>
        </w:rPr>
        <w:t xml:space="preserve"> </w:t>
      </w:r>
      <w:r>
        <w:rPr>
          <w:rFonts w:ascii="Calibri" w:hAnsi="Calibri" w:cs="Calibri"/>
          <w:sz w:val="24"/>
        </w:rPr>
        <w:t xml:space="preserve">in comparison to SABA and over a </w:t>
      </w:r>
      <w:r>
        <w:rPr>
          <w:rFonts w:ascii="Calibri" w:hAnsi="Calibri" w:cs="Calibri"/>
          <w:sz w:val="24"/>
          <w:lang w:val="en-AU"/>
        </w:rPr>
        <w:t xml:space="preserve">1-year </w:t>
      </w:r>
      <w:r>
        <w:rPr>
          <w:rFonts w:ascii="Calibri" w:hAnsi="Calibri" w:cs="Calibri"/>
          <w:sz w:val="24"/>
        </w:rPr>
        <w:t>duration:</w:t>
      </w:r>
    </w:p>
    <w:p w:rsidR="00716FDC" w:rsidRDefault="00C83C33">
      <w:pPr>
        <w:pStyle w:val="ListParagraph"/>
        <w:widowControl/>
        <w:numPr>
          <w:ilvl w:val="0"/>
          <w:numId w:val="1"/>
        </w:numPr>
        <w:spacing w:after="120"/>
        <w:ind w:left="993" w:hanging="284"/>
        <w:rPr>
          <w:rFonts w:ascii="Calibri" w:hAnsi="Calibri" w:cs="Calibri"/>
          <w:sz w:val="24"/>
        </w:rPr>
      </w:pPr>
      <w:r>
        <w:rPr>
          <w:rFonts w:ascii="Calibri" w:hAnsi="Calibri" w:cs="Calibri"/>
          <w:sz w:val="24"/>
        </w:rPr>
        <w:t xml:space="preserve">approximately 64 fewer patients would have a severe asthma exacerbation (flare-up). The submission considered that an improvement of 20 fewer patients experiencing a severe exacerbation was clinically meaningful. </w:t>
      </w:r>
    </w:p>
    <w:p w:rsidR="00716FDC" w:rsidRDefault="00C83C33">
      <w:pPr>
        <w:pStyle w:val="ListParagraph"/>
        <w:widowControl/>
        <w:numPr>
          <w:ilvl w:val="1"/>
          <w:numId w:val="2"/>
        </w:numPr>
        <w:spacing w:after="0"/>
        <w:rPr>
          <w:rFonts w:ascii="Calibri" w:hAnsi="Calibri" w:cs="Calibri"/>
          <w:sz w:val="24"/>
        </w:rPr>
      </w:pPr>
      <w:r>
        <w:rPr>
          <w:rFonts w:ascii="Calibri" w:hAnsi="Calibri" w:cs="Calibri"/>
          <w:sz w:val="24"/>
        </w:rPr>
        <w:t xml:space="preserve">On the basis of the direct comparison evidence presented by the submission, for every 100 patients treated with </w:t>
      </w:r>
      <w:r>
        <w:rPr>
          <w:rFonts w:ascii="Calibri" w:hAnsi="Calibri" w:cs="Calibri"/>
          <w:sz w:val="24"/>
          <w:lang w:val="en-AU"/>
        </w:rPr>
        <w:t>Symbicort</w:t>
      </w:r>
      <w:r>
        <w:rPr>
          <w:rFonts w:ascii="Calibri" w:hAnsi="Calibri" w:cs="Calibri"/>
          <w:i/>
          <w:sz w:val="24"/>
        </w:rPr>
        <w:t xml:space="preserve"> </w:t>
      </w:r>
      <w:r>
        <w:rPr>
          <w:rFonts w:ascii="Calibri" w:hAnsi="Calibri" w:cs="Calibri"/>
          <w:sz w:val="24"/>
        </w:rPr>
        <w:t xml:space="preserve">in comparison to SABA and over a </w:t>
      </w:r>
      <w:r>
        <w:rPr>
          <w:rFonts w:ascii="Calibri" w:hAnsi="Calibri" w:cs="Calibri"/>
          <w:sz w:val="24"/>
          <w:lang w:val="en-AU"/>
        </w:rPr>
        <w:t xml:space="preserve">1-year </w:t>
      </w:r>
      <w:r>
        <w:rPr>
          <w:rFonts w:ascii="Calibri" w:hAnsi="Calibri" w:cs="Calibri"/>
          <w:sz w:val="24"/>
        </w:rPr>
        <w:t>duration:</w:t>
      </w:r>
    </w:p>
    <w:p w:rsidR="00716FDC" w:rsidRDefault="00C83C33">
      <w:pPr>
        <w:pStyle w:val="ListParagraph"/>
        <w:widowControl/>
        <w:numPr>
          <w:ilvl w:val="0"/>
          <w:numId w:val="1"/>
        </w:numPr>
        <w:spacing w:after="0"/>
        <w:ind w:left="993" w:hanging="284"/>
        <w:rPr>
          <w:rFonts w:ascii="Calibri" w:hAnsi="Calibri" w:cs="Calibri"/>
          <w:sz w:val="24"/>
        </w:rPr>
      </w:pPr>
      <w:r>
        <w:rPr>
          <w:rFonts w:ascii="Calibri" w:hAnsi="Calibri" w:cs="Calibri"/>
          <w:sz w:val="24"/>
          <w:lang w:val="en-AU"/>
        </w:rPr>
        <w:t>there</w:t>
      </w:r>
      <w:r>
        <w:rPr>
          <w:rFonts w:ascii="Calibri" w:hAnsi="Calibri" w:cs="Calibri"/>
          <w:sz w:val="24"/>
        </w:rPr>
        <w:t xml:space="preserve"> would be no difference in the proportion of patients who developed upper respiratory tract infection</w:t>
      </w:r>
      <w:r>
        <w:rPr>
          <w:rFonts w:ascii="Calibri" w:hAnsi="Calibri" w:cs="Calibri"/>
          <w:sz w:val="24"/>
          <w:lang w:val="en-AU"/>
        </w:rPr>
        <w:t>; and</w:t>
      </w:r>
      <w:r>
        <w:rPr>
          <w:rFonts w:ascii="Calibri" w:hAnsi="Calibri" w:cs="Calibri"/>
          <w:sz w:val="24"/>
        </w:rPr>
        <w:t xml:space="preserve"> </w:t>
      </w:r>
    </w:p>
    <w:p w:rsidR="00716FDC" w:rsidRDefault="00C83C33">
      <w:pPr>
        <w:pStyle w:val="ListParagraph"/>
        <w:widowControl/>
        <w:numPr>
          <w:ilvl w:val="0"/>
          <w:numId w:val="1"/>
        </w:numPr>
        <w:spacing w:after="0"/>
        <w:ind w:left="993" w:hanging="284"/>
        <w:rPr>
          <w:rFonts w:ascii="Calibri" w:hAnsi="Calibri" w:cs="Calibri"/>
          <w:sz w:val="24"/>
        </w:rPr>
      </w:pPr>
      <w:r>
        <w:rPr>
          <w:rFonts w:ascii="Calibri" w:hAnsi="Calibri" w:cs="Calibri"/>
          <w:sz w:val="24"/>
          <w:lang w:val="en-AU"/>
        </w:rPr>
        <w:t>there</w:t>
      </w:r>
      <w:r>
        <w:rPr>
          <w:rFonts w:ascii="Calibri" w:hAnsi="Calibri" w:cs="Calibri"/>
          <w:sz w:val="24"/>
        </w:rPr>
        <w:t xml:space="preserve"> would be no difference in the proportion of patients who developed a viral upper respiratory tract infection. </w:t>
      </w:r>
    </w:p>
    <w:p w:rsidR="00716FDC" w:rsidRDefault="00716FDC"/>
    <w:p w:rsidR="00716FDC" w:rsidRDefault="00C83C33">
      <w:pPr>
        <w:widowControl/>
        <w:jc w:val="left"/>
        <w:rPr>
          <w:rFonts w:cs="Times New Roman"/>
          <w:b/>
          <w:i/>
          <w:sz w:val="28"/>
          <w:lang w:val="x-none"/>
        </w:rPr>
      </w:pPr>
      <w:bookmarkStart w:id="17" w:name="_Toc8973953"/>
      <w:r>
        <w:br w:type="page"/>
      </w:r>
    </w:p>
    <w:p w:rsidR="00716FDC" w:rsidRDefault="00C83C33">
      <w:pPr>
        <w:pStyle w:val="Heading2"/>
      </w:pPr>
      <w:r>
        <w:lastRenderedPageBreak/>
        <w:t>Clinical claim</w:t>
      </w:r>
      <w:bookmarkEnd w:id="17"/>
    </w:p>
    <w:p w:rsidR="00716FDC" w:rsidRDefault="00716FDC">
      <w:pPr>
        <w:widowControl/>
        <w:rPr>
          <w:rFonts w:asciiTheme="minorHAnsi" w:hAnsiTheme="minorHAnsi" w:cstheme="minorHAnsi"/>
          <w:szCs w:val="24"/>
        </w:rPr>
      </w:pPr>
    </w:p>
    <w:p w:rsidR="00716FDC" w:rsidRDefault="00C83C33">
      <w:pPr>
        <w:pStyle w:val="ListParagraph"/>
        <w:widowControl/>
        <w:numPr>
          <w:ilvl w:val="1"/>
          <w:numId w:val="2"/>
        </w:numPr>
        <w:rPr>
          <w:rFonts w:asciiTheme="minorHAnsi" w:hAnsiTheme="minorHAnsi" w:cstheme="minorHAnsi"/>
          <w:sz w:val="24"/>
          <w:szCs w:val="24"/>
        </w:rPr>
      </w:pPr>
      <w:r>
        <w:rPr>
          <w:rFonts w:ascii="Calibri" w:hAnsi="Calibri" w:cs="Calibri"/>
          <w:sz w:val="24"/>
          <w:szCs w:val="24"/>
          <w:lang w:val="en-AU"/>
        </w:rPr>
        <w:t xml:space="preserve">The submission claimed that </w:t>
      </w:r>
      <w:r>
        <w:rPr>
          <w:rFonts w:ascii="Calibri" w:hAnsi="Calibri" w:cs="Calibri"/>
          <w:sz w:val="24"/>
          <w:szCs w:val="24"/>
        </w:rPr>
        <w:t xml:space="preserve">Symbicort used </w:t>
      </w:r>
      <w:r>
        <w:rPr>
          <w:rFonts w:ascii="Calibri" w:hAnsi="Calibri" w:cs="Calibri"/>
          <w:sz w:val="24"/>
          <w:szCs w:val="24"/>
          <w:lang w:val="en-AU"/>
        </w:rPr>
        <w:t xml:space="preserve">as </w:t>
      </w:r>
      <w:r>
        <w:rPr>
          <w:rFonts w:ascii="Calibri" w:hAnsi="Calibri" w:cs="Calibri"/>
          <w:sz w:val="24"/>
          <w:lang w:val="en-AU"/>
        </w:rPr>
        <w:t xml:space="preserve">an anti-inflammatory reliever, </w:t>
      </w:r>
      <w:r>
        <w:rPr>
          <w:rFonts w:ascii="Calibri" w:hAnsi="Calibri" w:cs="Calibri"/>
          <w:sz w:val="24"/>
          <w:szCs w:val="24"/>
        </w:rPr>
        <w:t>as needed</w:t>
      </w:r>
      <w:r>
        <w:rPr>
          <w:rFonts w:ascii="Calibri" w:hAnsi="Calibri" w:cs="Calibri"/>
          <w:sz w:val="24"/>
          <w:szCs w:val="24"/>
          <w:lang w:val="en-AU"/>
        </w:rPr>
        <w:t xml:space="preserve">, </w:t>
      </w:r>
      <w:r>
        <w:rPr>
          <w:rFonts w:ascii="Calibri" w:hAnsi="Calibri" w:cs="Calibri"/>
          <w:sz w:val="24"/>
          <w:lang w:val="en-AU"/>
        </w:rPr>
        <w:t>in patients with mild asthma</w:t>
      </w:r>
      <w:r>
        <w:rPr>
          <w:rFonts w:ascii="Calibri" w:hAnsi="Calibri" w:cs="Calibri"/>
          <w:sz w:val="24"/>
          <w:szCs w:val="24"/>
        </w:rPr>
        <w:t xml:space="preserve"> is equivalent (i.e. non</w:t>
      </w:r>
      <w:r>
        <w:rPr>
          <w:rFonts w:ascii="Calibri" w:hAnsi="Calibri" w:cs="Calibri"/>
          <w:sz w:val="24"/>
          <w:szCs w:val="24"/>
        </w:rPr>
        <w:noBreakHyphen/>
        <w:t>inferior) to ICS+SABA in terms of comparative effectiveness and comparative safety.</w:t>
      </w:r>
      <w:r>
        <w:rPr>
          <w:rFonts w:ascii="Calibri" w:hAnsi="Calibri" w:cs="Calibri"/>
          <w:sz w:val="24"/>
          <w:szCs w:val="24"/>
          <w:lang w:val="en-AU"/>
        </w:rPr>
        <w:t xml:space="preserve"> </w:t>
      </w:r>
    </w:p>
    <w:p w:rsidR="00716FDC" w:rsidRDefault="00C83C33">
      <w:pPr>
        <w:pStyle w:val="ListParagraph"/>
        <w:widowControl/>
        <w:numPr>
          <w:ilvl w:val="1"/>
          <w:numId w:val="2"/>
        </w:numPr>
        <w:rPr>
          <w:rFonts w:asciiTheme="minorHAnsi" w:hAnsiTheme="minorHAnsi" w:cstheme="minorHAnsi"/>
          <w:sz w:val="24"/>
          <w:szCs w:val="24"/>
        </w:rPr>
      </w:pPr>
      <w:r>
        <w:rPr>
          <w:rFonts w:asciiTheme="minorHAnsi" w:hAnsiTheme="minorHAnsi" w:cstheme="minorHAnsi"/>
          <w:sz w:val="24"/>
          <w:szCs w:val="24"/>
        </w:rPr>
        <w:t>The therapeutic claim of non-</w:t>
      </w:r>
      <w:r>
        <w:rPr>
          <w:rFonts w:ascii="Calibri" w:hAnsi="Calibri" w:cs="Calibri"/>
          <w:sz w:val="24"/>
          <w:szCs w:val="24"/>
        </w:rPr>
        <w:t>inferiority</w:t>
      </w:r>
      <w:r>
        <w:rPr>
          <w:rFonts w:ascii="Calibri" w:hAnsi="Calibri" w:cs="Calibri"/>
          <w:sz w:val="24"/>
          <w:szCs w:val="24"/>
          <w:lang w:val="en-AU"/>
        </w:rPr>
        <w:t xml:space="preserve"> </w:t>
      </w:r>
      <w:r>
        <w:rPr>
          <w:rFonts w:ascii="Calibri" w:hAnsi="Calibri" w:cs="Calibri"/>
          <w:sz w:val="24"/>
          <w:szCs w:val="24"/>
        </w:rPr>
        <w:t xml:space="preserve">in terms of comparative effectiveness </w:t>
      </w:r>
      <w:r>
        <w:rPr>
          <w:rFonts w:ascii="Calibri" w:hAnsi="Calibri" w:cs="Calibri"/>
          <w:sz w:val="24"/>
          <w:szCs w:val="24"/>
          <w:lang w:val="en-AU"/>
        </w:rPr>
        <w:t xml:space="preserve">versus ICS+SABA </w:t>
      </w:r>
      <w:r>
        <w:rPr>
          <w:rFonts w:ascii="Calibri" w:hAnsi="Calibri" w:cs="Calibri"/>
          <w:sz w:val="24"/>
          <w:szCs w:val="24"/>
        </w:rPr>
        <w:t xml:space="preserve">may not be supported by </w:t>
      </w:r>
      <w:r>
        <w:rPr>
          <w:rFonts w:ascii="Calibri" w:hAnsi="Calibri" w:cs="Calibri"/>
          <w:sz w:val="24"/>
          <w:szCs w:val="24"/>
          <w:lang w:val="en-AU"/>
        </w:rPr>
        <w:t xml:space="preserve">the </w:t>
      </w:r>
      <w:r>
        <w:rPr>
          <w:rFonts w:ascii="Calibri" w:hAnsi="Calibri" w:cs="Calibri"/>
          <w:sz w:val="24"/>
          <w:szCs w:val="24"/>
        </w:rPr>
        <w:t>evidence</w:t>
      </w:r>
      <w:r>
        <w:rPr>
          <w:rFonts w:ascii="Calibri" w:hAnsi="Calibri" w:cs="Calibri"/>
          <w:sz w:val="24"/>
          <w:szCs w:val="24"/>
          <w:lang w:val="en-US"/>
        </w:rPr>
        <w:t xml:space="preserve"> presented</w:t>
      </w:r>
      <w:r>
        <w:rPr>
          <w:rFonts w:ascii="Calibri" w:hAnsi="Calibri" w:cs="Calibri"/>
          <w:sz w:val="24"/>
          <w:szCs w:val="24"/>
        </w:rPr>
        <w:t xml:space="preserve"> </w:t>
      </w:r>
      <w:r>
        <w:rPr>
          <w:rFonts w:ascii="Calibri" w:hAnsi="Calibri" w:cs="Calibri"/>
          <w:sz w:val="24"/>
          <w:szCs w:val="24"/>
          <w:lang w:val="en-AU"/>
        </w:rPr>
        <w:t>because</w:t>
      </w:r>
      <w:r>
        <w:rPr>
          <w:rFonts w:ascii="Calibri" w:hAnsi="Calibri" w:cs="Calibri"/>
          <w:sz w:val="24"/>
          <w:szCs w:val="24"/>
          <w:lang w:val="en-US"/>
        </w:rPr>
        <w:t>:</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non-inferiority in the SYGMA 2 trial was claimed as the one-sided 95% CIs of the rate ratio for severe asthma exacerbation was less than the nominated non-inferior margin of &lt;1.20. However, when using the one-sided 97.5% CI for non-inferior trials as recommended by EMA, the non-inferiority margin of 1.20 was not met.  </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SYGMA 1 was designed as a superiority trial, and hence no non-inferiority margin was specified. The submission claimed non-inferiority based on the non-significant difference in severe asthma exacerbations between Symbicort and ICS+SABA, and the upper 95% CIs was less than the MCID (i.e. 20%).</w:t>
      </w:r>
    </w:p>
    <w:p w:rsidR="00716FDC" w:rsidRDefault="00C83C33">
      <w:pPr>
        <w:pStyle w:val="ListParagraph"/>
        <w:widowControl/>
        <w:numPr>
          <w:ilvl w:val="1"/>
          <w:numId w:val="2"/>
        </w:numPr>
        <w:rPr>
          <w:rFonts w:asciiTheme="minorHAnsi" w:hAnsiTheme="minorHAnsi" w:cstheme="minorHAnsi"/>
          <w:sz w:val="24"/>
          <w:szCs w:val="24"/>
        </w:rPr>
      </w:pPr>
      <w:r>
        <w:rPr>
          <w:rFonts w:asciiTheme="minorHAnsi" w:hAnsiTheme="minorHAnsi" w:cstheme="minorHAnsi"/>
          <w:sz w:val="24"/>
          <w:szCs w:val="24"/>
        </w:rPr>
        <w:t xml:space="preserve">The PSCR  argued that the analysis using a 2.5% 1-sided test was not the primary analysis and that that focusing on this one supportive analysis is inappropriately selective. The ESC considered that the data used to support the claim of non-inferior comparative effectiveness was not very robust as the upper limit of the confidence interval was 1.16 (95% CI) in the primary analysis and 1.20 (97.5% CI) in the supportive efficacy analysis. The ESC acknowledged that the treatment effect was generally consistent across the treatment arms in this comparison. However, the ESC considered that the Australian population for which Symbicort is proposed to be used is likely to be a population with milder asthma compared to the populations included in the SYGMA trials as the Australian setting would include treatment-naïve patients.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The ESC agreed with the </w:t>
      </w:r>
      <w:r>
        <w:rPr>
          <w:rFonts w:ascii="Calibri" w:hAnsi="Calibri" w:cs="Calibri"/>
          <w:sz w:val="24"/>
          <w:szCs w:val="24"/>
          <w:lang w:val="en-AU"/>
        </w:rPr>
        <w:t>evaluation</w:t>
      </w:r>
      <w:r>
        <w:rPr>
          <w:rFonts w:ascii="Calibri" w:hAnsi="Calibri" w:cs="Calibri"/>
          <w:sz w:val="24"/>
          <w:szCs w:val="24"/>
        </w:rPr>
        <w:t xml:space="preserve"> that the claim of comparable safety versus ICS+SABA as needed was reasonable.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lang w:val="en-AU"/>
        </w:rPr>
        <w:t xml:space="preserve">The submission also claimed that </w:t>
      </w:r>
      <w:r>
        <w:rPr>
          <w:rFonts w:ascii="Calibri" w:hAnsi="Calibri" w:cs="Calibri"/>
          <w:sz w:val="24"/>
          <w:szCs w:val="24"/>
        </w:rPr>
        <w:t xml:space="preserve">Symbicort used as </w:t>
      </w:r>
      <w:r>
        <w:rPr>
          <w:rFonts w:ascii="Calibri" w:hAnsi="Calibri" w:cs="Calibri"/>
          <w:sz w:val="24"/>
          <w:lang w:val="en-AU"/>
        </w:rPr>
        <w:t>an anti-inflammatory reliever, as needed, in patients with mild asthma</w:t>
      </w:r>
      <w:r>
        <w:rPr>
          <w:rFonts w:ascii="Calibri" w:hAnsi="Calibri" w:cs="Calibri"/>
          <w:sz w:val="24"/>
          <w:szCs w:val="24"/>
        </w:rPr>
        <w:t xml:space="preserve"> is superior to SABA as needed in terms of comparative effectiveness and </w:t>
      </w:r>
      <w:r>
        <w:rPr>
          <w:rFonts w:ascii="Calibri" w:hAnsi="Calibri" w:cs="Calibri"/>
          <w:sz w:val="24"/>
          <w:szCs w:val="24"/>
          <w:lang w:val="en-AU"/>
        </w:rPr>
        <w:t>non-inferior</w:t>
      </w:r>
      <w:r>
        <w:rPr>
          <w:rFonts w:ascii="Calibri" w:hAnsi="Calibri" w:cs="Calibri"/>
          <w:sz w:val="24"/>
          <w:szCs w:val="24"/>
        </w:rPr>
        <w:t xml:space="preserve"> in terms of safety.</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lang w:val="en-AU"/>
        </w:rPr>
        <w:t>Although</w:t>
      </w:r>
      <w:r>
        <w:rPr>
          <w:rFonts w:ascii="Calibri" w:hAnsi="Calibri" w:cs="Calibri"/>
          <w:sz w:val="24"/>
          <w:szCs w:val="24"/>
        </w:rPr>
        <w:t xml:space="preserve"> the superiority claim </w:t>
      </w:r>
      <w:r>
        <w:rPr>
          <w:rFonts w:ascii="Calibri" w:hAnsi="Calibri" w:cs="Calibri"/>
          <w:sz w:val="24"/>
          <w:szCs w:val="24"/>
          <w:lang w:val="en-AU"/>
        </w:rPr>
        <w:t xml:space="preserve">versus SABA </w:t>
      </w:r>
      <w:r>
        <w:rPr>
          <w:rFonts w:ascii="Calibri" w:hAnsi="Calibri" w:cs="Calibri"/>
          <w:sz w:val="24"/>
          <w:szCs w:val="24"/>
        </w:rPr>
        <w:t xml:space="preserve">appeared to be supported by </w:t>
      </w:r>
      <w:r>
        <w:rPr>
          <w:rFonts w:ascii="Calibri" w:hAnsi="Calibri" w:cs="Calibri"/>
          <w:sz w:val="24"/>
          <w:szCs w:val="24"/>
          <w:lang w:val="en-AU"/>
        </w:rPr>
        <w:t xml:space="preserve">the </w:t>
      </w:r>
      <w:r>
        <w:rPr>
          <w:rFonts w:ascii="Calibri" w:hAnsi="Calibri" w:cs="Calibri"/>
          <w:sz w:val="24"/>
          <w:szCs w:val="24"/>
        </w:rPr>
        <w:t xml:space="preserve">evidence presented, the evidence was not relevant </w:t>
      </w:r>
      <w:r>
        <w:rPr>
          <w:rFonts w:ascii="Calibri" w:hAnsi="Calibri" w:cs="Calibri"/>
          <w:sz w:val="24"/>
          <w:szCs w:val="24"/>
          <w:lang w:val="en-AU"/>
        </w:rPr>
        <w:t xml:space="preserve">for this comparison as </w:t>
      </w:r>
      <w:r>
        <w:rPr>
          <w:rFonts w:ascii="Calibri" w:hAnsi="Calibri" w:cs="Calibri"/>
          <w:sz w:val="24"/>
          <w:szCs w:val="24"/>
        </w:rPr>
        <w:t xml:space="preserve">the trial population </w:t>
      </w:r>
      <w:r>
        <w:rPr>
          <w:rFonts w:ascii="Calibri" w:hAnsi="Calibri" w:cs="Calibri"/>
          <w:sz w:val="24"/>
          <w:szCs w:val="24"/>
          <w:lang w:val="en-AU"/>
        </w:rPr>
        <w:t>was inappropriate</w:t>
      </w:r>
      <w:r>
        <w:rPr>
          <w:rFonts w:ascii="Calibri" w:hAnsi="Calibri" w:cs="Calibri"/>
          <w:sz w:val="24"/>
          <w:szCs w:val="24"/>
        </w:rPr>
        <w:t xml:space="preserve">. The appropriate population for the comparison should be all patients with mild asthma including those who are treatment-naïve and eligible for step 2 treatment according to the NAC (2019) guidelines. However, the </w:t>
      </w:r>
      <w:r>
        <w:rPr>
          <w:rFonts w:ascii="Calibri" w:hAnsi="Calibri" w:cs="Calibri"/>
          <w:sz w:val="24"/>
          <w:szCs w:val="24"/>
          <w:lang w:val="en-AU"/>
        </w:rPr>
        <w:t xml:space="preserve">SYGMA </w:t>
      </w:r>
      <w:r>
        <w:rPr>
          <w:rFonts w:ascii="Calibri" w:hAnsi="Calibri" w:cs="Calibri"/>
          <w:sz w:val="24"/>
          <w:szCs w:val="24"/>
        </w:rPr>
        <w:t xml:space="preserve">trials only included a subset of patients eligible for step 2 treatment (patients with mild asthma uncontrolled on SABA or controlled on ICS+SABA). No trials of asthma patients naïve to treatment were presented in the submission to support the claim. Under the trial population presented in the submission, the results are highly likely to be biased </w:t>
      </w:r>
      <w:r>
        <w:rPr>
          <w:rFonts w:ascii="Calibri" w:hAnsi="Calibri" w:cs="Calibri"/>
          <w:sz w:val="24"/>
          <w:szCs w:val="24"/>
        </w:rPr>
        <w:lastRenderedPageBreak/>
        <w:t xml:space="preserve">towards Symbicort, as the included patients have already failed SABA as needed therapy and should all be on ICS+SABA therapy. </w:t>
      </w:r>
      <w:r>
        <w:rPr>
          <w:rFonts w:ascii="Calibri" w:hAnsi="Calibri" w:cs="Calibri"/>
          <w:sz w:val="24"/>
          <w:szCs w:val="24"/>
          <w:lang w:val="en-AU"/>
        </w:rPr>
        <w:t>The ESC agreed with the evaluation that the evidence presented for the comparison with SABA may not be relevant given the intention that Symbicort be used at step 2 of the NAC guidelines, which includes patients who are treatment-naïve. In addition, although</w:t>
      </w:r>
      <w:r>
        <w:rPr>
          <w:rFonts w:ascii="Calibri" w:hAnsi="Calibri" w:cs="Calibri"/>
          <w:sz w:val="24"/>
          <w:szCs w:val="24"/>
        </w:rPr>
        <w:t xml:space="preserve"> </w:t>
      </w:r>
      <w:r>
        <w:rPr>
          <w:rFonts w:ascii="Calibri" w:hAnsi="Calibri" w:cs="Calibri"/>
          <w:sz w:val="24"/>
          <w:szCs w:val="24"/>
          <w:lang w:val="en-AU"/>
        </w:rPr>
        <w:t xml:space="preserve">the </w:t>
      </w:r>
      <w:r w:rsidR="00AA3285">
        <w:rPr>
          <w:rFonts w:ascii="Calibri" w:hAnsi="Calibri" w:cs="Calibri"/>
          <w:sz w:val="24"/>
          <w:szCs w:val="24"/>
          <w:lang w:val="en-AU"/>
        </w:rPr>
        <w:t>PSCR stated</w:t>
      </w:r>
      <w:r>
        <w:rPr>
          <w:rFonts w:ascii="Calibri" w:hAnsi="Calibri" w:cs="Calibri"/>
          <w:sz w:val="24"/>
          <w:szCs w:val="24"/>
          <w:lang w:val="en-AU"/>
        </w:rPr>
        <w:t xml:space="preserve"> that Symbicort is not intended for use in patients at </w:t>
      </w:r>
      <w:r>
        <w:rPr>
          <w:rFonts w:ascii="Calibri" w:hAnsi="Calibri" w:cs="Calibri"/>
          <w:sz w:val="24"/>
          <w:szCs w:val="24"/>
        </w:rPr>
        <w:t xml:space="preserve">step 1 </w:t>
      </w:r>
      <w:r>
        <w:rPr>
          <w:rFonts w:ascii="Calibri" w:hAnsi="Calibri" w:cs="Calibri"/>
          <w:sz w:val="24"/>
          <w:szCs w:val="24"/>
          <w:lang w:val="en-AU"/>
        </w:rPr>
        <w:t>of the NAC guidelines</w:t>
      </w:r>
      <w:r>
        <w:rPr>
          <w:rFonts w:ascii="Calibri" w:hAnsi="Calibri" w:cs="Calibri"/>
          <w:sz w:val="24"/>
          <w:szCs w:val="24"/>
        </w:rPr>
        <w:t xml:space="preserve">, the ESC considered that the lack of data in treatment-naïve patients raised concerns </w:t>
      </w:r>
      <w:r>
        <w:rPr>
          <w:rFonts w:ascii="Calibri" w:hAnsi="Calibri" w:cs="Calibri"/>
          <w:sz w:val="24"/>
          <w:szCs w:val="24"/>
          <w:lang w:val="en-AU"/>
        </w:rPr>
        <w:t xml:space="preserve">regarding the effects of potential use in those with </w:t>
      </w:r>
      <w:r>
        <w:rPr>
          <w:rFonts w:ascii="Calibri" w:hAnsi="Calibri" w:cs="Calibri"/>
          <w:sz w:val="24"/>
          <w:szCs w:val="24"/>
        </w:rPr>
        <w:t xml:space="preserve">very mild asthma (symptoms less than twice </w:t>
      </w:r>
      <w:r>
        <w:rPr>
          <w:rFonts w:ascii="Calibri" w:hAnsi="Calibri" w:cs="Calibri"/>
          <w:sz w:val="24"/>
          <w:szCs w:val="24"/>
          <w:lang w:val="en-AU"/>
        </w:rPr>
        <w:t xml:space="preserve">per </w:t>
      </w:r>
      <w:r>
        <w:rPr>
          <w:rFonts w:ascii="Calibri" w:hAnsi="Calibri" w:cs="Calibri"/>
          <w:sz w:val="24"/>
          <w:szCs w:val="24"/>
        </w:rPr>
        <w:t>month)</w:t>
      </w:r>
      <w:r>
        <w:rPr>
          <w:rFonts w:ascii="Calibri" w:hAnsi="Calibri" w:cs="Calibri"/>
          <w:sz w:val="24"/>
          <w:szCs w:val="24"/>
          <w:lang w:val="en-AU"/>
        </w:rPr>
        <w:t xml:space="preserve">. While it is unknown, the ESC considered it likely that the treatment effects of Symbicort in patients with very mild asthma would be similar to those of SABA.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The ESC agreed with the </w:t>
      </w:r>
      <w:r>
        <w:rPr>
          <w:rFonts w:ascii="Calibri" w:hAnsi="Calibri" w:cs="Calibri"/>
          <w:sz w:val="24"/>
          <w:szCs w:val="24"/>
          <w:lang w:val="en-AU"/>
        </w:rPr>
        <w:t>evaluation</w:t>
      </w:r>
      <w:r>
        <w:rPr>
          <w:rFonts w:ascii="Calibri" w:hAnsi="Calibri" w:cs="Calibri"/>
          <w:sz w:val="24"/>
          <w:szCs w:val="24"/>
        </w:rPr>
        <w:t xml:space="preserve"> that the claim of </w:t>
      </w:r>
      <w:r>
        <w:rPr>
          <w:rFonts w:ascii="Calibri" w:hAnsi="Calibri" w:cs="Calibri"/>
          <w:sz w:val="24"/>
          <w:szCs w:val="24"/>
          <w:lang w:val="en-AU"/>
        </w:rPr>
        <w:t xml:space="preserve">non-inferior </w:t>
      </w:r>
      <w:r>
        <w:rPr>
          <w:rFonts w:ascii="Calibri" w:hAnsi="Calibri" w:cs="Calibri"/>
          <w:sz w:val="24"/>
          <w:szCs w:val="24"/>
        </w:rPr>
        <w:t>safety versus SABA as needed was reasonable.</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lang w:val="en-AU"/>
        </w:rPr>
        <w:t xml:space="preserve">The PBAC considered that the claim of non-inferior comparative effectiveness versus ICS+SABA was not adequately supported by the data.  The PBAC considered that the claim of superior comparative effectiveness versus SABA was not adequately supported by the data as SABA is not a relevant comparator for the trial population and proposed indication.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lang w:val="en-AU"/>
        </w:rPr>
        <w:t xml:space="preserve">The PBAC considered that the claim of non-inferior comparative safety (versus both ICS+SABA and SABA only) was reasonable. </w:t>
      </w:r>
    </w:p>
    <w:p w:rsidR="00716FDC" w:rsidRDefault="00C83C33">
      <w:pPr>
        <w:pStyle w:val="Heading2"/>
      </w:pPr>
      <w:bookmarkStart w:id="18" w:name="_Toc8973954"/>
      <w:r>
        <w:t>Economic analysis</w:t>
      </w:r>
      <w:bookmarkEnd w:id="18"/>
    </w:p>
    <w:p w:rsidR="00716FDC" w:rsidRDefault="00716FDC">
      <w:pPr>
        <w:rPr>
          <w:lang w:val="x-none"/>
        </w:rPr>
      </w:pP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The submission </w:t>
      </w:r>
      <w:r>
        <w:rPr>
          <w:rFonts w:ascii="Calibri" w:hAnsi="Calibri" w:cs="Calibri"/>
          <w:sz w:val="24"/>
          <w:szCs w:val="24"/>
          <w:lang w:val="en-AU"/>
        </w:rPr>
        <w:t xml:space="preserve">presented two economic analyses: a cost-minimisation approach comparing Symbicort and ICS+SABA; and a cost-utility analysis comparing Symbicort to SABA. </w:t>
      </w:r>
    </w:p>
    <w:p w:rsidR="00716FDC" w:rsidRDefault="00C83C33">
      <w:pPr>
        <w:pStyle w:val="ListParagraph"/>
        <w:widowControl/>
        <w:ind w:left="0"/>
        <w:rPr>
          <w:rFonts w:asciiTheme="minorHAnsi" w:hAnsiTheme="minorHAnsi" w:cstheme="minorHAnsi"/>
          <w:sz w:val="24"/>
          <w:szCs w:val="24"/>
          <w:u w:val="single"/>
        </w:rPr>
      </w:pPr>
      <w:r>
        <w:rPr>
          <w:rFonts w:asciiTheme="minorHAnsi" w:hAnsiTheme="minorHAnsi" w:cstheme="minorHAnsi"/>
          <w:sz w:val="24"/>
          <w:szCs w:val="24"/>
          <w:u w:val="single"/>
        </w:rPr>
        <w:t>Cost-minimisation analysis</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The cost</w:t>
      </w:r>
      <w:r>
        <w:rPr>
          <w:rFonts w:ascii="Calibri" w:hAnsi="Calibri" w:cs="Calibri"/>
          <w:sz w:val="24"/>
          <w:szCs w:val="24"/>
          <w:lang w:val="en-AU"/>
        </w:rPr>
        <w:t>-</w:t>
      </w:r>
      <w:r>
        <w:rPr>
          <w:rFonts w:ascii="Calibri" w:hAnsi="Calibri" w:cs="Calibri"/>
          <w:sz w:val="24"/>
          <w:szCs w:val="24"/>
        </w:rPr>
        <w:t xml:space="preserve">minimisation analysis </w:t>
      </w:r>
      <w:r>
        <w:rPr>
          <w:rFonts w:ascii="Calibri" w:hAnsi="Calibri" w:cs="Calibri"/>
          <w:sz w:val="24"/>
          <w:szCs w:val="24"/>
          <w:lang w:val="en-AU"/>
        </w:rPr>
        <w:t xml:space="preserve">presented in the submission comparing </w:t>
      </w:r>
      <w:r>
        <w:rPr>
          <w:rFonts w:ascii="Calibri" w:hAnsi="Calibri" w:cs="Calibri"/>
          <w:sz w:val="24"/>
          <w:szCs w:val="24"/>
        </w:rPr>
        <w:t xml:space="preserve"> Symbicort with ICS+SABA was only reasonable if the non-inferiority of Symbicort versus ICS+SABA was considered established. The ESC noted that </w:t>
      </w:r>
      <w:r>
        <w:rPr>
          <w:rFonts w:ascii="Calibri" w:hAnsi="Calibri" w:cs="Calibri"/>
          <w:sz w:val="24"/>
          <w:szCs w:val="24"/>
          <w:lang w:val="en-AU"/>
        </w:rPr>
        <w:t xml:space="preserve">the </w:t>
      </w:r>
      <w:r>
        <w:rPr>
          <w:rFonts w:ascii="Calibri" w:hAnsi="Calibri" w:cs="Calibri"/>
          <w:sz w:val="24"/>
          <w:szCs w:val="24"/>
        </w:rPr>
        <w:t xml:space="preserve">SYGMA 1 </w:t>
      </w:r>
      <w:r>
        <w:rPr>
          <w:rFonts w:ascii="Calibri" w:hAnsi="Calibri" w:cs="Calibri"/>
          <w:sz w:val="24"/>
          <w:szCs w:val="24"/>
          <w:lang w:val="en-AU"/>
        </w:rPr>
        <w:t xml:space="preserve">trial </w:t>
      </w:r>
      <w:r>
        <w:rPr>
          <w:rFonts w:ascii="Calibri" w:hAnsi="Calibri" w:cs="Calibri"/>
          <w:sz w:val="24"/>
          <w:szCs w:val="24"/>
        </w:rPr>
        <w:t>was designed as a superiority trial</w:t>
      </w:r>
      <w:r>
        <w:rPr>
          <w:rFonts w:ascii="Calibri" w:hAnsi="Calibri" w:cs="Calibri"/>
          <w:sz w:val="24"/>
          <w:szCs w:val="24"/>
          <w:lang w:val="en-AU"/>
        </w:rPr>
        <w:t xml:space="preserve"> and expressed concern with the use of studies not specifically designed to show the equivalence of treatments as the basis for a </w:t>
      </w:r>
      <w:r>
        <w:rPr>
          <w:rFonts w:ascii="Calibri" w:hAnsi="Calibri" w:cs="Calibri"/>
          <w:sz w:val="24"/>
          <w:szCs w:val="24"/>
        </w:rPr>
        <w:t xml:space="preserve"> cost-minimisation analyses</w:t>
      </w:r>
      <w:r>
        <w:rPr>
          <w:rFonts w:ascii="Calibri" w:hAnsi="Calibri" w:cs="Calibri"/>
          <w:sz w:val="24"/>
          <w:szCs w:val="24"/>
          <w:lang w:val="en-AU"/>
        </w:rPr>
        <w:t xml:space="preserve">. The ESC also considered that the claim of non-inferiority based on the </w:t>
      </w:r>
      <w:r>
        <w:rPr>
          <w:rFonts w:ascii="Calibri" w:hAnsi="Calibri" w:cs="Calibri"/>
          <w:sz w:val="24"/>
          <w:szCs w:val="24"/>
        </w:rPr>
        <w:t>annual rate of severe asthma exacerbations</w:t>
      </w:r>
      <w:r>
        <w:rPr>
          <w:rFonts w:ascii="Calibri" w:hAnsi="Calibri" w:cs="Calibri"/>
          <w:sz w:val="24"/>
          <w:szCs w:val="24"/>
          <w:lang w:val="en-AU"/>
        </w:rPr>
        <w:t xml:space="preserve"> was borderline based on the 97.5% confidence interval recommended by EMA. The PBAC considered that due to concerns regarding the claim of non-inferiority a cost-minimisation analysis would only be appropriate if it was sufficiently confident that the cost of Symbicort to the health system is, at most, equivalent to ICS+SABA.  </w:t>
      </w: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The key components and assumption of cost-minimisation analysis are presented in Table </w:t>
      </w:r>
      <w:r>
        <w:rPr>
          <w:rFonts w:ascii="Calibri" w:hAnsi="Calibri" w:cs="Calibri"/>
          <w:sz w:val="24"/>
          <w:szCs w:val="24"/>
          <w:lang w:val="en-AU"/>
        </w:rPr>
        <w:t>12</w:t>
      </w:r>
      <w:r>
        <w:rPr>
          <w:rFonts w:ascii="Calibri" w:hAnsi="Calibri" w:cs="Calibri"/>
          <w:sz w:val="24"/>
          <w:szCs w:val="24"/>
        </w:rPr>
        <w:t>.</w:t>
      </w:r>
    </w:p>
    <w:p w:rsidR="006D01D6" w:rsidRDefault="006D01D6" w:rsidP="006D01D6">
      <w:pPr>
        <w:pStyle w:val="TableHeading0"/>
      </w:pPr>
      <w:r>
        <w:lastRenderedPageBreak/>
        <w:t xml:space="preserve">Table </w:t>
      </w:r>
      <w:r>
        <w:fldChar w:fldCharType="begin"/>
      </w:r>
      <w:r>
        <w:instrText xml:space="preserve"> SEQ Table \* ARABIC </w:instrText>
      </w:r>
      <w:r>
        <w:fldChar w:fldCharType="separate"/>
      </w:r>
      <w:r w:rsidR="00D2464D">
        <w:rPr>
          <w:noProof/>
        </w:rPr>
        <w:t>12</w:t>
      </w:r>
      <w:r>
        <w:fldChar w:fldCharType="end"/>
      </w:r>
      <w:r w:rsidRPr="002A22F3">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components and assumptions of the cost-minimisation analysis"/>
      </w:tblPr>
      <w:tblGrid>
        <w:gridCol w:w="2660"/>
        <w:gridCol w:w="6520"/>
      </w:tblGrid>
      <w:tr w:rsidR="00716FDC">
        <w:tc>
          <w:tcPr>
            <w:tcW w:w="2660" w:type="dxa"/>
            <w:vAlign w:val="center"/>
          </w:tcPr>
          <w:p w:rsidR="00716FDC" w:rsidRDefault="00C83C33">
            <w:pPr>
              <w:pStyle w:val="Tabletext"/>
              <w:keepNext/>
              <w:keepLines/>
              <w:rPr>
                <w:b/>
                <w:szCs w:val="22"/>
                <w:lang w:val="en-AU"/>
              </w:rPr>
            </w:pPr>
            <w:r>
              <w:rPr>
                <w:b/>
                <w:szCs w:val="22"/>
                <w:lang w:val="en-AU"/>
              </w:rPr>
              <w:t>Component</w:t>
            </w:r>
          </w:p>
        </w:tc>
        <w:tc>
          <w:tcPr>
            <w:tcW w:w="6520" w:type="dxa"/>
            <w:vAlign w:val="center"/>
          </w:tcPr>
          <w:p w:rsidR="00716FDC" w:rsidRDefault="00C83C33">
            <w:pPr>
              <w:pStyle w:val="Tabletext"/>
              <w:keepNext/>
              <w:keepLines/>
              <w:jc w:val="center"/>
              <w:rPr>
                <w:b/>
                <w:szCs w:val="22"/>
                <w:lang w:val="en-AU"/>
              </w:rPr>
            </w:pPr>
            <w:r>
              <w:rPr>
                <w:b/>
                <w:szCs w:val="22"/>
                <w:lang w:val="en-AU"/>
              </w:rPr>
              <w:t>Claim or assumption</w:t>
            </w:r>
          </w:p>
        </w:tc>
      </w:tr>
      <w:tr w:rsidR="00716FDC">
        <w:tc>
          <w:tcPr>
            <w:tcW w:w="2660" w:type="dxa"/>
            <w:vAlign w:val="center"/>
          </w:tcPr>
          <w:p w:rsidR="00716FDC" w:rsidRDefault="00C83C33">
            <w:pPr>
              <w:pStyle w:val="Tabletext"/>
              <w:keepNext/>
              <w:keepLines/>
              <w:rPr>
                <w:szCs w:val="22"/>
                <w:lang w:val="en-AU"/>
              </w:rPr>
            </w:pPr>
            <w:r>
              <w:rPr>
                <w:szCs w:val="22"/>
                <w:lang w:val="en-AU"/>
              </w:rPr>
              <w:t>Therapeutic claim: effectiveness</w:t>
            </w:r>
          </w:p>
        </w:tc>
        <w:tc>
          <w:tcPr>
            <w:tcW w:w="6520" w:type="dxa"/>
            <w:vAlign w:val="center"/>
          </w:tcPr>
          <w:p w:rsidR="00716FDC" w:rsidRDefault="00C83C33">
            <w:pPr>
              <w:pStyle w:val="Tabletext"/>
              <w:keepNext/>
              <w:keepLines/>
              <w:rPr>
                <w:szCs w:val="22"/>
                <w:lang w:val="en-AU"/>
              </w:rPr>
            </w:pPr>
            <w:r>
              <w:rPr>
                <w:szCs w:val="22"/>
                <w:lang w:val="en-AU"/>
              </w:rPr>
              <w:t xml:space="preserve">Based on the SYGMA 1 and SYGMA 2 trials, effectiveness was assumed to be non-inferior to ICS+SABA. This was reasonable </w:t>
            </w:r>
            <w:r>
              <w:rPr>
                <w:color w:val="000000"/>
              </w:rPr>
              <w:t>if the non-inferiority of Symbicort versus ICS+SABA was considered established</w:t>
            </w:r>
            <w:r>
              <w:rPr>
                <w:szCs w:val="22"/>
                <w:lang w:val="en-AU"/>
              </w:rPr>
              <w:t>.</w:t>
            </w:r>
          </w:p>
        </w:tc>
      </w:tr>
      <w:tr w:rsidR="00716FDC">
        <w:tc>
          <w:tcPr>
            <w:tcW w:w="2660" w:type="dxa"/>
            <w:vAlign w:val="center"/>
          </w:tcPr>
          <w:p w:rsidR="00716FDC" w:rsidRDefault="00C83C33">
            <w:pPr>
              <w:pStyle w:val="Tabletext"/>
              <w:keepNext/>
              <w:keepLines/>
              <w:rPr>
                <w:szCs w:val="22"/>
                <w:lang w:val="en-AU"/>
              </w:rPr>
            </w:pPr>
            <w:r>
              <w:rPr>
                <w:szCs w:val="22"/>
                <w:lang w:val="en-AU"/>
              </w:rPr>
              <w:t>Therapeutic claim: safety</w:t>
            </w:r>
          </w:p>
        </w:tc>
        <w:tc>
          <w:tcPr>
            <w:tcW w:w="6520" w:type="dxa"/>
            <w:vAlign w:val="center"/>
          </w:tcPr>
          <w:p w:rsidR="00716FDC" w:rsidRDefault="00C83C33">
            <w:pPr>
              <w:pStyle w:val="Tabletext"/>
              <w:keepNext/>
              <w:keepLines/>
              <w:rPr>
                <w:szCs w:val="22"/>
                <w:lang w:val="en-AU"/>
              </w:rPr>
            </w:pPr>
            <w:r>
              <w:rPr>
                <w:szCs w:val="22"/>
                <w:lang w:val="en-AU"/>
              </w:rPr>
              <w:t>Based on the SYGMA 1 and SYGMA 2 trials, safety was assumed to be non-inferior to ICS+SABA. This was reasonable.</w:t>
            </w:r>
          </w:p>
        </w:tc>
      </w:tr>
      <w:tr w:rsidR="00716FDC">
        <w:tc>
          <w:tcPr>
            <w:tcW w:w="2660" w:type="dxa"/>
            <w:vAlign w:val="center"/>
          </w:tcPr>
          <w:p w:rsidR="00716FDC" w:rsidRDefault="00C83C33">
            <w:pPr>
              <w:pStyle w:val="Tabletext"/>
              <w:keepNext/>
              <w:keepLines/>
              <w:rPr>
                <w:szCs w:val="22"/>
                <w:lang w:val="en-AU"/>
              </w:rPr>
            </w:pPr>
            <w:r>
              <w:rPr>
                <w:szCs w:val="22"/>
                <w:lang w:val="en-AU"/>
              </w:rPr>
              <w:t>Evidence base</w:t>
            </w:r>
          </w:p>
        </w:tc>
        <w:tc>
          <w:tcPr>
            <w:tcW w:w="6520" w:type="dxa"/>
            <w:vAlign w:val="center"/>
          </w:tcPr>
          <w:p w:rsidR="00716FDC" w:rsidRDefault="00C83C33">
            <w:pPr>
              <w:pStyle w:val="Tabletext"/>
              <w:keepNext/>
              <w:keepLines/>
              <w:rPr>
                <w:szCs w:val="22"/>
                <w:lang w:val="en-AU"/>
              </w:rPr>
            </w:pPr>
            <w:r>
              <w:rPr>
                <w:szCs w:val="22"/>
                <w:lang w:val="en-AU"/>
              </w:rPr>
              <w:t>2 direct head-to-head trials: SYGMA 1 and SYGMA 2</w:t>
            </w:r>
          </w:p>
        </w:tc>
      </w:tr>
      <w:tr w:rsidR="00716FDC">
        <w:tc>
          <w:tcPr>
            <w:tcW w:w="2660" w:type="dxa"/>
            <w:vAlign w:val="center"/>
          </w:tcPr>
          <w:p w:rsidR="00716FDC" w:rsidRDefault="00C83C33">
            <w:pPr>
              <w:pStyle w:val="Tabletext"/>
              <w:keepNext/>
              <w:keepLines/>
              <w:rPr>
                <w:szCs w:val="22"/>
                <w:lang w:val="en-AU"/>
              </w:rPr>
            </w:pPr>
            <w:r>
              <w:rPr>
                <w:szCs w:val="22"/>
                <w:lang w:val="en-AU"/>
              </w:rPr>
              <w:t>Equi-effective doses</w:t>
            </w:r>
          </w:p>
        </w:tc>
        <w:tc>
          <w:tcPr>
            <w:tcW w:w="6520" w:type="dxa"/>
            <w:vAlign w:val="center"/>
          </w:tcPr>
          <w:p w:rsidR="00716FDC" w:rsidRDefault="00C83C33">
            <w:pPr>
              <w:pStyle w:val="Tabletext"/>
              <w:keepNext/>
              <w:keepLines/>
              <w:rPr>
                <w:szCs w:val="22"/>
                <w:lang w:val="en-AU"/>
              </w:rPr>
            </w:pPr>
            <w:r>
              <w:rPr>
                <w:szCs w:val="22"/>
                <w:lang w:val="en-AU"/>
              </w:rPr>
              <w:t xml:space="preserve">Based on SYGMA 2 trial total mean daily ICS dose: </w:t>
            </w:r>
          </w:p>
          <w:p w:rsidR="00716FDC" w:rsidRDefault="00C83C33">
            <w:pPr>
              <w:pStyle w:val="Tabletext"/>
              <w:keepNext/>
              <w:keepLines/>
              <w:rPr>
                <w:szCs w:val="22"/>
                <w:lang w:val="en-AU"/>
              </w:rPr>
            </w:pPr>
            <w:r>
              <w:rPr>
                <w:szCs w:val="22"/>
                <w:lang w:val="en-AU"/>
              </w:rPr>
              <w:t>83.2 mcg/day of budesonide</w:t>
            </w:r>
            <w:r>
              <w:rPr>
                <w:szCs w:val="22"/>
                <w:vertAlign w:val="superscript"/>
                <w:lang w:val="en-AU"/>
              </w:rPr>
              <w:t>a</w:t>
            </w:r>
            <w:r>
              <w:rPr>
                <w:szCs w:val="22"/>
                <w:lang w:val="en-AU"/>
              </w:rPr>
              <w:t xml:space="preserve"> in Symbicort Turbuhaler 200/6 = 201.0 mcg/day budesonide + 196 mcg/day terbutaline which is equivalent to 49 mcg/day (78.4 mcg per day)</w:t>
            </w:r>
            <w:r>
              <w:rPr>
                <w:szCs w:val="22"/>
                <w:vertAlign w:val="superscript"/>
                <w:lang w:val="en-AU"/>
              </w:rPr>
              <w:t>b</w:t>
            </w:r>
            <w:r>
              <w:rPr>
                <w:szCs w:val="22"/>
                <w:lang w:val="en-AU"/>
              </w:rPr>
              <w:t xml:space="preserve"> salbutamol.</w:t>
            </w:r>
          </w:p>
          <w:p w:rsidR="00716FDC" w:rsidRDefault="00716FDC">
            <w:pPr>
              <w:pStyle w:val="Tabletext"/>
              <w:keepNext/>
              <w:keepLines/>
              <w:rPr>
                <w:szCs w:val="22"/>
                <w:lang w:val="en-AU"/>
              </w:rPr>
            </w:pPr>
          </w:p>
          <w:p w:rsidR="00716FDC" w:rsidRDefault="00C83C33">
            <w:pPr>
              <w:pStyle w:val="Tabletext"/>
              <w:keepNext/>
              <w:keepLines/>
              <w:rPr>
                <w:szCs w:val="22"/>
                <w:lang w:val="en-AU"/>
              </w:rPr>
            </w:pPr>
            <w:r>
              <w:rPr>
                <w:szCs w:val="22"/>
                <w:lang w:val="en-AU"/>
              </w:rPr>
              <w:t xml:space="preserve">The ICS used in the SYGMA trials, budesonide, was used in the CMA. Terbutaline was the SABA used in the SYGMA trials. However, salbutamol was used in the CMA. The submission stated that salbutamol is the most commonly used SABA in Australia. </w:t>
            </w:r>
          </w:p>
        </w:tc>
      </w:tr>
      <w:tr w:rsidR="00716FDC">
        <w:tc>
          <w:tcPr>
            <w:tcW w:w="2660" w:type="dxa"/>
            <w:vAlign w:val="center"/>
          </w:tcPr>
          <w:p w:rsidR="00716FDC" w:rsidRDefault="00C83C33">
            <w:pPr>
              <w:pStyle w:val="Tabletext"/>
              <w:keepNext/>
              <w:keepLines/>
              <w:rPr>
                <w:szCs w:val="22"/>
                <w:lang w:val="en-AU"/>
              </w:rPr>
            </w:pPr>
            <w:r>
              <w:rPr>
                <w:szCs w:val="22"/>
                <w:lang w:val="en-AU"/>
              </w:rPr>
              <w:t>Direct medicine costs</w:t>
            </w:r>
          </w:p>
        </w:tc>
        <w:tc>
          <w:tcPr>
            <w:tcW w:w="6520" w:type="dxa"/>
            <w:vAlign w:val="center"/>
          </w:tcPr>
          <w:p w:rsidR="00716FDC" w:rsidRDefault="00C83C33">
            <w:pPr>
              <w:pStyle w:val="Tabletext"/>
              <w:keepNext/>
              <w:keepLines/>
              <w:rPr>
                <w:szCs w:val="22"/>
                <w:lang w:val="en-AU"/>
              </w:rPr>
            </w:pPr>
            <w:r>
              <w:rPr>
                <w:szCs w:val="22"/>
                <w:lang w:val="en-AU"/>
              </w:rPr>
              <w:t>Based on equi-effective doses, per year the cost of Symbicort was more than ICS+SABA. Asthma is a chronic illness and the costs are presented per patient per year. The submission’s claim of cost-minimisation was not met.</w:t>
            </w:r>
          </w:p>
        </w:tc>
      </w:tr>
      <w:tr w:rsidR="00716FDC">
        <w:tc>
          <w:tcPr>
            <w:tcW w:w="2660" w:type="dxa"/>
            <w:vAlign w:val="center"/>
          </w:tcPr>
          <w:p w:rsidR="00716FDC" w:rsidRDefault="00C83C33">
            <w:pPr>
              <w:pStyle w:val="Tabletext"/>
              <w:keepNext/>
              <w:keepLines/>
              <w:rPr>
                <w:szCs w:val="22"/>
                <w:lang w:val="en-AU"/>
              </w:rPr>
            </w:pPr>
            <w:r>
              <w:rPr>
                <w:szCs w:val="22"/>
                <w:lang w:val="en-AU"/>
              </w:rPr>
              <w:t>Other costs or cost offsets</w:t>
            </w:r>
          </w:p>
        </w:tc>
        <w:tc>
          <w:tcPr>
            <w:tcW w:w="6520" w:type="dxa"/>
            <w:vAlign w:val="center"/>
          </w:tcPr>
          <w:p w:rsidR="00716FDC" w:rsidRDefault="00C83C33">
            <w:pPr>
              <w:pStyle w:val="Tabletext"/>
              <w:keepNext/>
              <w:keepLines/>
              <w:rPr>
                <w:szCs w:val="22"/>
                <w:lang w:val="en-AU"/>
              </w:rPr>
            </w:pPr>
            <w:r>
              <w:rPr>
                <w:szCs w:val="22"/>
                <w:lang w:val="en-AU"/>
              </w:rPr>
              <w:t>Not applicable</w:t>
            </w:r>
          </w:p>
        </w:tc>
      </w:tr>
    </w:tbl>
    <w:p w:rsidR="00716FDC" w:rsidRDefault="00C83C33">
      <w:pPr>
        <w:pStyle w:val="TableFooter"/>
        <w:keepNext/>
        <w:keepLines/>
      </w:pPr>
      <w:r>
        <w:t>Source: Table 3.1, p54 in the submission</w:t>
      </w:r>
    </w:p>
    <w:p w:rsidR="00716FDC" w:rsidRDefault="00C83C33">
      <w:pPr>
        <w:pStyle w:val="TableFooter"/>
        <w:keepNext/>
        <w:keepLines/>
        <w:rPr>
          <w:szCs w:val="18"/>
          <w:lang w:val="en-AU"/>
        </w:rPr>
      </w:pPr>
      <w:r>
        <w:rPr>
          <w:szCs w:val="18"/>
          <w:lang w:val="en-AU"/>
        </w:rPr>
        <w:t>CMA = cost minimisation analysis; ICS = inhaled corticosteroid; SABA = short-acting beta2-agonist</w:t>
      </w:r>
    </w:p>
    <w:p w:rsidR="00716FDC" w:rsidRDefault="00C83C33">
      <w:pPr>
        <w:pStyle w:val="TableFooter"/>
        <w:keepNext/>
        <w:keepLines/>
        <w:rPr>
          <w:szCs w:val="18"/>
          <w:lang w:val="en-AU"/>
        </w:rPr>
      </w:pPr>
      <w:r>
        <w:rPr>
          <w:szCs w:val="18"/>
          <w:vertAlign w:val="superscript"/>
          <w:lang w:val="en-AU"/>
        </w:rPr>
        <w:t>a</w:t>
      </w:r>
      <w:r>
        <w:rPr>
          <w:szCs w:val="18"/>
          <w:lang w:val="en-AU"/>
        </w:rPr>
        <w:t xml:space="preserve"> 83.2 mcg/day of budesonide and 2.5 mcg/day of formoterol in Symbicort Turbuhaler 200/6</w:t>
      </w:r>
    </w:p>
    <w:p w:rsidR="00716FDC" w:rsidRDefault="00C83C33">
      <w:pPr>
        <w:pStyle w:val="TableFooter"/>
        <w:keepNext/>
        <w:keepLines/>
        <w:rPr>
          <w:szCs w:val="18"/>
          <w:lang w:val="en-AU"/>
        </w:rPr>
      </w:pPr>
      <w:r>
        <w:rPr>
          <w:szCs w:val="18"/>
          <w:vertAlign w:val="superscript"/>
          <w:lang w:val="en-AU"/>
        </w:rPr>
        <w:t>b</w:t>
      </w:r>
      <w:r>
        <w:rPr>
          <w:szCs w:val="18"/>
          <w:lang w:val="en-AU"/>
        </w:rPr>
        <w:t xml:space="preserve"> The submission incorrectly calculated the therapeutic equivalent dose of salbutamol as 49 mcg/day instead of 78.4 mcg/day. </w:t>
      </w:r>
    </w:p>
    <w:p w:rsidR="00716FDC" w:rsidRDefault="00716FDC">
      <w:pPr>
        <w:pStyle w:val="TableFooter"/>
      </w:pPr>
    </w:p>
    <w:p w:rsidR="00716FDC" w:rsidRDefault="00C83C33">
      <w:pPr>
        <w:pStyle w:val="ListParagraph"/>
        <w:widowControl/>
        <w:numPr>
          <w:ilvl w:val="1"/>
          <w:numId w:val="2"/>
        </w:numPr>
        <w:rPr>
          <w:rFonts w:ascii="Calibri" w:hAnsi="Calibri" w:cs="Calibri"/>
          <w:sz w:val="24"/>
          <w:szCs w:val="24"/>
        </w:rPr>
      </w:pPr>
      <w:r>
        <w:rPr>
          <w:rFonts w:ascii="Calibri" w:hAnsi="Calibri" w:cs="Calibri"/>
          <w:sz w:val="24"/>
          <w:szCs w:val="24"/>
        </w:rPr>
        <w:t xml:space="preserve">The submission incorrectly used DMPQ and private prices in the cost-minimisation analysis. During the evaluation, using AEMP, applying correct therapeutic equivalent dose of salbutamol and without any private prices, the cost per patient per year for Symbicort was $6.79 more than ICS+SABA in mild asthma. The PSCR  </w:t>
      </w:r>
      <w:r>
        <w:rPr>
          <w:rFonts w:ascii="Calibri" w:hAnsi="Calibri" w:cs="Calibri"/>
          <w:sz w:val="24"/>
          <w:szCs w:val="24"/>
          <w:lang w:val="en-AU"/>
        </w:rPr>
        <w:t xml:space="preserve">argued that the submission correctly applied the DPMQ in the cost-minimisation analysis based on the Guidelines for preparing submissions to the PBAC, Version 5.0, and that when DPMQ is used, and when the equi-effective dose of salbutamol is used, Symbicort ($71.14/year) is less costly than ICS+SABA ($79.30). The ESC noted that pricing agreements are made by Government under the </w:t>
      </w:r>
      <w:r>
        <w:rPr>
          <w:rFonts w:ascii="Calibri" w:hAnsi="Calibri" w:cs="Calibri"/>
          <w:i/>
          <w:sz w:val="24"/>
          <w:szCs w:val="24"/>
          <w:lang w:val="en-AU"/>
        </w:rPr>
        <w:t>National Health Act 1953</w:t>
      </w:r>
      <w:r>
        <w:rPr>
          <w:rFonts w:ascii="Calibri" w:hAnsi="Calibri" w:cs="Calibri"/>
          <w:sz w:val="24"/>
          <w:szCs w:val="24"/>
          <w:lang w:val="en-AU"/>
        </w:rPr>
        <w:t xml:space="preserve"> at the ex-manufacturer level and, as such, the prices would be agreed on this basis. It is not usually the case that pharmacy and wholesaler mark-ups are considered for the purpose of cost-minimisation as they do not relate to the cost of the medicine. The pre-PBAC response  continued to argue that their approach using DPMQ for the cost-minimisation analysis was appropriate and consistent with other examples. </w:t>
      </w:r>
      <w:r>
        <w:rPr>
          <w:rFonts w:ascii="Calibri" w:hAnsi="Calibri" w:cs="Calibri"/>
          <w:sz w:val="24"/>
          <w:szCs w:val="24"/>
        </w:rPr>
        <w:t xml:space="preserve">The PBAC </w:t>
      </w:r>
      <w:r>
        <w:rPr>
          <w:rFonts w:ascii="Calibri" w:hAnsi="Calibri" w:cs="Calibri"/>
          <w:sz w:val="24"/>
          <w:szCs w:val="24"/>
          <w:lang w:val="en-AU"/>
        </w:rPr>
        <w:t xml:space="preserve">agreed with the ESC and </w:t>
      </w:r>
      <w:r>
        <w:rPr>
          <w:rFonts w:ascii="Calibri" w:hAnsi="Calibri" w:cs="Calibri"/>
          <w:sz w:val="24"/>
          <w:szCs w:val="24"/>
        </w:rPr>
        <w:t xml:space="preserve">supported the analysis based on ex-manufacturer prices.  </w:t>
      </w:r>
    </w:p>
    <w:p w:rsidR="00716FDC" w:rsidRDefault="00C83C33">
      <w:pPr>
        <w:pStyle w:val="ListParagraph"/>
        <w:widowControl/>
        <w:numPr>
          <w:ilvl w:val="1"/>
          <w:numId w:val="2"/>
        </w:numPr>
        <w:rPr>
          <w:rFonts w:cs="Calibri"/>
          <w:u w:val="single"/>
        </w:rPr>
      </w:pPr>
      <w:r>
        <w:rPr>
          <w:rFonts w:ascii="Calibri" w:hAnsi="Calibri" w:cs="Calibri"/>
          <w:sz w:val="24"/>
          <w:szCs w:val="24"/>
        </w:rPr>
        <w:t xml:space="preserve">The ESC considered that, while the </w:t>
      </w:r>
      <w:r>
        <w:rPr>
          <w:rFonts w:ascii="Calibri" w:hAnsi="Calibri" w:cs="Calibri"/>
          <w:sz w:val="24"/>
          <w:szCs w:val="24"/>
          <w:lang w:val="en-AU"/>
        </w:rPr>
        <w:t xml:space="preserve">claim of </w:t>
      </w:r>
      <w:r>
        <w:rPr>
          <w:rFonts w:ascii="Calibri" w:hAnsi="Calibri" w:cs="Calibri"/>
          <w:sz w:val="24"/>
          <w:szCs w:val="24"/>
        </w:rPr>
        <w:t xml:space="preserve">non-inferiority </w:t>
      </w:r>
      <w:r>
        <w:rPr>
          <w:rFonts w:ascii="Calibri" w:hAnsi="Calibri" w:cs="Calibri"/>
          <w:sz w:val="24"/>
          <w:szCs w:val="24"/>
          <w:lang w:val="en-AU"/>
        </w:rPr>
        <w:t xml:space="preserve">was </w:t>
      </w:r>
      <w:r>
        <w:rPr>
          <w:rFonts w:ascii="Calibri" w:hAnsi="Calibri" w:cs="Calibri"/>
          <w:sz w:val="24"/>
          <w:szCs w:val="24"/>
        </w:rPr>
        <w:t>not robust, the cost-minimisation analysis</w:t>
      </w:r>
      <w:r>
        <w:rPr>
          <w:rFonts w:ascii="Calibri" w:hAnsi="Calibri" w:cs="Calibri"/>
          <w:sz w:val="24"/>
          <w:szCs w:val="24"/>
          <w:lang w:val="en-AU"/>
        </w:rPr>
        <w:t>,</w:t>
      </w:r>
      <w:r>
        <w:rPr>
          <w:rFonts w:ascii="Calibri" w:hAnsi="Calibri" w:cs="Calibri"/>
          <w:sz w:val="24"/>
          <w:szCs w:val="24"/>
        </w:rPr>
        <w:t xml:space="preserve"> </w:t>
      </w:r>
      <w:r>
        <w:rPr>
          <w:rFonts w:ascii="Calibri" w:hAnsi="Calibri" w:cs="Calibri"/>
          <w:sz w:val="24"/>
          <w:szCs w:val="24"/>
          <w:lang w:val="en-AU"/>
        </w:rPr>
        <w:t xml:space="preserve">rather than the cost-utility analysis, was the most appropriate economic analysis for this submission. The ESC noted that the cost-minimisation analysis should aim to </w:t>
      </w:r>
      <w:r>
        <w:rPr>
          <w:rFonts w:ascii="Calibri" w:hAnsi="Calibri" w:cs="Calibri"/>
          <w:sz w:val="24"/>
          <w:szCs w:val="24"/>
        </w:rPr>
        <w:t>achiev</w:t>
      </w:r>
      <w:r>
        <w:rPr>
          <w:rFonts w:ascii="Calibri" w:hAnsi="Calibri" w:cs="Calibri"/>
          <w:sz w:val="24"/>
          <w:szCs w:val="24"/>
          <w:lang w:val="en-AU"/>
        </w:rPr>
        <w:t>e</w:t>
      </w:r>
      <w:r>
        <w:rPr>
          <w:rFonts w:ascii="Calibri" w:hAnsi="Calibri" w:cs="Calibri"/>
          <w:sz w:val="24"/>
          <w:szCs w:val="24"/>
        </w:rPr>
        <w:t xml:space="preserve"> a cost that is no greater than the cost of the comparator ICS+SABA. With this focus in mind, the ESC considered that patients who use as needed asthma therapy are likely to have more than one </w:t>
      </w:r>
      <w:r>
        <w:rPr>
          <w:rFonts w:ascii="Calibri" w:hAnsi="Calibri" w:cs="Calibri"/>
          <w:sz w:val="24"/>
          <w:szCs w:val="24"/>
          <w:lang w:val="en-AU"/>
        </w:rPr>
        <w:t xml:space="preserve">Symbicort </w:t>
      </w:r>
      <w:r>
        <w:rPr>
          <w:rFonts w:ascii="Calibri" w:hAnsi="Calibri" w:cs="Calibri"/>
          <w:sz w:val="24"/>
          <w:szCs w:val="24"/>
        </w:rPr>
        <w:t xml:space="preserve">inhaler </w:t>
      </w:r>
      <w:r>
        <w:rPr>
          <w:rFonts w:ascii="Calibri" w:hAnsi="Calibri" w:cs="Calibri"/>
          <w:sz w:val="24"/>
          <w:szCs w:val="24"/>
          <w:lang w:val="en-AU"/>
        </w:rPr>
        <w:t xml:space="preserve">in use </w:t>
      </w:r>
      <w:r>
        <w:rPr>
          <w:rFonts w:ascii="Calibri" w:hAnsi="Calibri" w:cs="Calibri"/>
          <w:sz w:val="24"/>
          <w:szCs w:val="24"/>
        </w:rPr>
        <w:t>at a time</w:t>
      </w:r>
      <w:r>
        <w:rPr>
          <w:rFonts w:ascii="Calibri" w:hAnsi="Calibri" w:cs="Calibri"/>
          <w:sz w:val="24"/>
          <w:szCs w:val="24"/>
          <w:lang w:val="en-AU"/>
        </w:rPr>
        <w:t xml:space="preserve"> as is often the case with SABAs (e.g. patients may have an inhaler at home and one in their bag or car)</w:t>
      </w:r>
      <w:r>
        <w:rPr>
          <w:rFonts w:ascii="Calibri" w:hAnsi="Calibri" w:cs="Calibri"/>
          <w:sz w:val="24"/>
          <w:szCs w:val="24"/>
        </w:rPr>
        <w:t xml:space="preserve">, which may affect the </w:t>
      </w:r>
      <w:r>
        <w:rPr>
          <w:rFonts w:ascii="Calibri" w:hAnsi="Calibri" w:cs="Calibri"/>
          <w:sz w:val="24"/>
          <w:szCs w:val="24"/>
          <w:lang w:val="en-AU"/>
        </w:rPr>
        <w:t xml:space="preserve">results of the </w:t>
      </w:r>
      <w:r>
        <w:rPr>
          <w:rFonts w:ascii="Calibri" w:hAnsi="Calibri" w:cs="Calibri"/>
          <w:sz w:val="24"/>
          <w:szCs w:val="24"/>
        </w:rPr>
        <w:t xml:space="preserve">cost-minimisation analysis. </w:t>
      </w:r>
      <w:r>
        <w:rPr>
          <w:rFonts w:ascii="Calibri" w:hAnsi="Calibri" w:cs="Calibri"/>
          <w:sz w:val="24"/>
          <w:szCs w:val="24"/>
          <w:lang w:val="en-AU"/>
        </w:rPr>
        <w:lastRenderedPageBreak/>
        <w:t xml:space="preserve">The PBAC noted the proposed Symbicort product information states that patients should be advised to always have Symbicort available for relief of symptoms and that a separate short-acting bronchodilator for relief of symptoms is not required. As such, the PBAC agreed with the ESC that patients are likely to have more than one Symbicort inhaler in use at a time and considered that this would affect the results of the cost-minimisation analysis presented. </w:t>
      </w:r>
    </w:p>
    <w:p w:rsidR="00716FDC" w:rsidRDefault="00C83C33">
      <w:pPr>
        <w:keepNext/>
        <w:widowControl/>
        <w:spacing w:after="120"/>
        <w:rPr>
          <w:rFonts w:cs="Calibri"/>
          <w:u w:val="single"/>
        </w:rPr>
      </w:pPr>
      <w:r>
        <w:rPr>
          <w:rFonts w:cs="Calibri"/>
          <w:u w:val="single"/>
        </w:rPr>
        <w:t>Cost-utility analysis</w:t>
      </w:r>
    </w:p>
    <w:p w:rsidR="00716FDC" w:rsidRDefault="00C83C33">
      <w:pPr>
        <w:pStyle w:val="ListParagraph"/>
        <w:keepNext/>
        <w:widowControl/>
        <w:numPr>
          <w:ilvl w:val="1"/>
          <w:numId w:val="2"/>
        </w:numPr>
        <w:rPr>
          <w:rFonts w:ascii="Calibri" w:hAnsi="Calibri" w:cs="Calibri"/>
          <w:sz w:val="24"/>
          <w:lang w:val="en-AU"/>
        </w:rPr>
      </w:pPr>
      <w:r>
        <w:rPr>
          <w:rFonts w:ascii="Calibri" w:hAnsi="Calibri" w:cs="Calibri"/>
          <w:sz w:val="24"/>
          <w:lang w:val="en-AU"/>
        </w:rPr>
        <w:t>The submission presented a cost-utility analysis in the form of a trial-based expected cohort analysis to compare Symbicort to SABA. The submission’s modelling approach did not appear to be reflective of the chronic nature of the disease. Longer time horizons are required to sufficiently demonstrate all related risks and benefits in such conditions.</w:t>
      </w:r>
      <w:r>
        <w:rPr>
          <w:rStyle w:val="FootnoteReference"/>
          <w:rFonts w:ascii="Calibri" w:hAnsi="Calibri" w:cs="Calibri"/>
          <w:sz w:val="24"/>
          <w:lang w:val="en-AU"/>
        </w:rPr>
        <w:footnoteReference w:id="3"/>
      </w:r>
      <w:r>
        <w:rPr>
          <w:rFonts w:ascii="Calibri" w:hAnsi="Calibri" w:cs="Calibri"/>
          <w:sz w:val="24"/>
          <w:lang w:val="en-AU"/>
        </w:rPr>
        <w:t xml:space="preserve"> </w:t>
      </w:r>
    </w:p>
    <w:p w:rsidR="00716FDC" w:rsidRDefault="00C83C33">
      <w:pPr>
        <w:pStyle w:val="ListParagraph"/>
        <w:widowControl/>
        <w:numPr>
          <w:ilvl w:val="1"/>
          <w:numId w:val="2"/>
        </w:numPr>
        <w:rPr>
          <w:rFonts w:ascii="Calibri" w:hAnsi="Calibri" w:cs="Calibri"/>
          <w:sz w:val="24"/>
          <w:lang w:val="en-AU"/>
        </w:rPr>
      </w:pPr>
      <w:r>
        <w:rPr>
          <w:rFonts w:ascii="Calibri" w:hAnsi="Calibri" w:cs="Calibri"/>
          <w:sz w:val="24"/>
          <w:lang w:val="en-AU"/>
        </w:rPr>
        <w:t xml:space="preserve">The trial population was not reflective of the PBS population in which Symbicort would replace SABA and thus was of limited value in determining the incremental cost effectiveness of Symbicort over SABA. The appropriate trial population should be all patients with mild asthma; however, the patients in the trials did not include treatment-naïve patients to allow the evaluation of treatment initiation with Symbicort. </w:t>
      </w:r>
    </w:p>
    <w:p w:rsidR="00716FDC" w:rsidRDefault="00C83C33">
      <w:pPr>
        <w:pStyle w:val="ListParagraph"/>
        <w:widowControl/>
        <w:numPr>
          <w:ilvl w:val="1"/>
          <w:numId w:val="2"/>
        </w:numPr>
        <w:rPr>
          <w:rFonts w:ascii="Calibri" w:hAnsi="Calibri" w:cs="Calibri"/>
          <w:sz w:val="24"/>
          <w:lang w:val="en-AU"/>
        </w:rPr>
      </w:pPr>
      <w:r>
        <w:rPr>
          <w:rFonts w:ascii="Calibri" w:hAnsi="Calibri" w:cs="Calibri"/>
          <w:sz w:val="24"/>
          <w:lang w:val="en-AU"/>
        </w:rPr>
        <w:t>Based on exacerbations alone, Symbicort appeared to be dominant, mainly driven by reduced moderate and severe exacerbations resulting in reduced hospitalisations and emergency department visits.</w:t>
      </w:r>
    </w:p>
    <w:p w:rsidR="00716FDC" w:rsidRDefault="00C83C33">
      <w:pPr>
        <w:pStyle w:val="ListParagraph"/>
        <w:widowControl/>
        <w:numPr>
          <w:ilvl w:val="1"/>
          <w:numId w:val="2"/>
        </w:numPr>
        <w:rPr>
          <w:sz w:val="28"/>
          <w:szCs w:val="24"/>
        </w:rPr>
      </w:pPr>
      <w:r>
        <w:rPr>
          <w:rFonts w:ascii="Calibri" w:hAnsi="Calibri" w:cs="Calibri"/>
          <w:sz w:val="24"/>
          <w:lang w:val="en-AU"/>
        </w:rPr>
        <w:t xml:space="preserve">No price advantage for Symbicort was claimed based on the cost-utility analysis and hence it may be considered supplementary. </w:t>
      </w:r>
    </w:p>
    <w:p w:rsidR="00716FDC" w:rsidRDefault="00C83C33">
      <w:pPr>
        <w:pStyle w:val="ListParagraph"/>
        <w:widowControl/>
        <w:numPr>
          <w:ilvl w:val="1"/>
          <w:numId w:val="2"/>
        </w:numPr>
        <w:rPr>
          <w:sz w:val="28"/>
          <w:szCs w:val="24"/>
        </w:rPr>
      </w:pPr>
      <w:r>
        <w:rPr>
          <w:rFonts w:ascii="Calibri" w:hAnsi="Calibri" w:cs="Calibri"/>
          <w:sz w:val="24"/>
          <w:lang w:val="en-AU"/>
        </w:rPr>
        <w:t xml:space="preserve">The </w:t>
      </w:r>
      <w:r w:rsidR="00AA3285">
        <w:rPr>
          <w:rFonts w:ascii="Calibri" w:hAnsi="Calibri" w:cs="Calibri"/>
          <w:sz w:val="24"/>
          <w:lang w:val="en-AU"/>
        </w:rPr>
        <w:t>PSCR argued</w:t>
      </w:r>
      <w:r>
        <w:rPr>
          <w:rFonts w:ascii="Calibri" w:hAnsi="Calibri" w:cs="Calibri"/>
          <w:sz w:val="24"/>
          <w:lang w:val="en-AU"/>
        </w:rPr>
        <w:t xml:space="preserve"> that the cost-utility analysis comparing Symbicort to SABA should be considered relevant as the trial population was appropriate. The ESC noted the results of the analysis but agreed with the evaluation that they were of limited value, due to the inappropriate (more severe) trial population for the comparison. </w:t>
      </w:r>
    </w:p>
    <w:p w:rsidR="00716FDC" w:rsidRDefault="00C83C33">
      <w:pPr>
        <w:widowControl/>
        <w:jc w:val="left"/>
        <w:rPr>
          <w:rFonts w:cs="Times New Roman"/>
          <w:b/>
          <w:i/>
          <w:sz w:val="28"/>
          <w:lang w:val="x-none"/>
        </w:rPr>
      </w:pPr>
      <w:bookmarkStart w:id="19" w:name="_Toc8973955"/>
      <w:r>
        <w:br w:type="page"/>
      </w:r>
    </w:p>
    <w:p w:rsidR="00716FDC" w:rsidRDefault="00C83C33">
      <w:pPr>
        <w:pStyle w:val="Heading2"/>
      </w:pPr>
      <w:r>
        <w:lastRenderedPageBreak/>
        <w:t>Drug cost/patient: $49.49 per year</w:t>
      </w:r>
      <w:bookmarkEnd w:id="19"/>
    </w:p>
    <w:p w:rsidR="00716FDC" w:rsidRDefault="00716FDC">
      <w:pPr>
        <w:keepNext/>
        <w:widowControl/>
      </w:pPr>
    </w:p>
    <w:p w:rsidR="00716FDC" w:rsidRDefault="00C83C33">
      <w:pPr>
        <w:pStyle w:val="ListParagraph"/>
        <w:keepNext/>
        <w:widowControl/>
        <w:numPr>
          <w:ilvl w:val="1"/>
          <w:numId w:val="2"/>
        </w:numPr>
        <w:rPr>
          <w:rFonts w:ascii="Calibri" w:hAnsi="Calibri" w:cs="Calibri"/>
          <w:sz w:val="24"/>
          <w:szCs w:val="24"/>
        </w:rPr>
      </w:pPr>
      <w:r>
        <w:rPr>
          <w:rFonts w:ascii="Calibri" w:hAnsi="Calibri" w:cs="Calibri"/>
          <w:sz w:val="24"/>
          <w:szCs w:val="24"/>
          <w:lang w:val="en-AU"/>
        </w:rPr>
        <w:t>Applying the AEMP and excluding non-PBS prices for the comparators, the</w:t>
      </w:r>
      <w:r>
        <w:rPr>
          <w:rFonts w:ascii="Calibri" w:hAnsi="Calibri" w:cs="Calibri"/>
          <w:sz w:val="24"/>
          <w:szCs w:val="24"/>
        </w:rPr>
        <w:t xml:space="preserve"> annual cost per patient was $</w:t>
      </w:r>
      <w:r>
        <w:rPr>
          <w:rFonts w:ascii="Calibri" w:hAnsi="Calibri" w:cs="Calibri"/>
          <w:sz w:val="24"/>
          <w:szCs w:val="24"/>
          <w:lang w:val="en-US"/>
        </w:rPr>
        <w:t>49.49</w:t>
      </w:r>
      <w:r>
        <w:rPr>
          <w:rFonts w:ascii="Calibri" w:hAnsi="Calibri" w:cs="Calibri"/>
          <w:sz w:val="24"/>
          <w:szCs w:val="24"/>
        </w:rPr>
        <w:t xml:space="preserve"> for Symbicort. </w:t>
      </w:r>
    </w:p>
    <w:p w:rsidR="00716FDC" w:rsidRDefault="00C83C33">
      <w:pPr>
        <w:pStyle w:val="ListParagraph"/>
        <w:widowControl/>
        <w:numPr>
          <w:ilvl w:val="1"/>
          <w:numId w:val="2"/>
        </w:numPr>
        <w:rPr>
          <w:rFonts w:ascii="Calibri" w:hAnsi="Calibri" w:cs="Calibri"/>
          <w:sz w:val="24"/>
          <w:lang w:val="en-AU"/>
        </w:rPr>
      </w:pPr>
      <w:r>
        <w:rPr>
          <w:rFonts w:ascii="Calibri" w:hAnsi="Calibri" w:cs="Calibri"/>
          <w:sz w:val="24"/>
          <w:lang w:val="en-AU"/>
        </w:rPr>
        <w:t>Table 13 presents the differences between costs and doses in trial compared to the model and financial estimates.</w:t>
      </w:r>
    </w:p>
    <w:p w:rsidR="006D01D6" w:rsidRDefault="006D01D6" w:rsidP="006D01D6">
      <w:pPr>
        <w:pStyle w:val="TableHeading0"/>
      </w:pPr>
      <w:r>
        <w:t xml:space="preserve">Table </w:t>
      </w:r>
      <w:r>
        <w:fldChar w:fldCharType="begin"/>
      </w:r>
      <w:r>
        <w:instrText xml:space="preserve"> SEQ Table \* ARABIC </w:instrText>
      </w:r>
      <w:r>
        <w:fldChar w:fldCharType="separate"/>
      </w:r>
      <w:r w:rsidR="00D2464D">
        <w:rPr>
          <w:noProof/>
        </w:rPr>
        <w:t>13</w:t>
      </w:r>
      <w:r>
        <w:fldChar w:fldCharType="end"/>
      </w:r>
      <w:r w:rsidRPr="0071721A">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proposed and comparator drugs"/>
      </w:tblPr>
      <w:tblGrid>
        <w:gridCol w:w="1469"/>
        <w:gridCol w:w="1257"/>
        <w:gridCol w:w="1255"/>
        <w:gridCol w:w="1259"/>
        <w:gridCol w:w="1255"/>
        <w:gridCol w:w="1261"/>
        <w:gridCol w:w="1261"/>
      </w:tblGrid>
      <w:tr w:rsidR="00716FD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716FDC" w:rsidRDefault="00716FDC">
            <w:pPr>
              <w:keepNext/>
              <w:widowControl/>
              <w:jc w:val="left"/>
              <w:rPr>
                <w:szCs w:val="20"/>
                <w:lang w:val="en-US"/>
              </w:rPr>
            </w:pPr>
          </w:p>
        </w:tc>
        <w:tc>
          <w:tcPr>
            <w:tcW w:w="697"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 xml:space="preserve">Symbicort </w:t>
            </w:r>
          </w:p>
          <w:p w:rsidR="00716FDC" w:rsidRDefault="00C83C33">
            <w:pPr>
              <w:keepNext/>
              <w:widowControl/>
              <w:jc w:val="center"/>
              <w:rPr>
                <w:rFonts w:ascii="Arial Narrow" w:hAnsi="Arial Narrow"/>
                <w:b/>
                <w:sz w:val="20"/>
                <w:lang w:val="en-US"/>
              </w:rPr>
            </w:pPr>
            <w:r>
              <w:rPr>
                <w:rFonts w:ascii="Arial Narrow" w:hAnsi="Arial Narrow"/>
                <w:b/>
                <w:sz w:val="20"/>
                <w:lang w:val="en-US"/>
              </w:rPr>
              <w:t xml:space="preserve">Trial dose </w:t>
            </w:r>
          </w:p>
        </w:tc>
        <w:tc>
          <w:tcPr>
            <w:tcW w:w="696"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 xml:space="preserve">Symbicort </w:t>
            </w:r>
          </w:p>
          <w:p w:rsidR="00716FDC" w:rsidRDefault="00C83C33">
            <w:pPr>
              <w:keepNext/>
              <w:widowControl/>
              <w:jc w:val="center"/>
              <w:rPr>
                <w:rFonts w:ascii="Arial Narrow" w:hAnsi="Arial Narrow"/>
                <w:b/>
                <w:sz w:val="20"/>
                <w:lang w:val="en-US"/>
              </w:rPr>
            </w:pPr>
            <w:r>
              <w:rPr>
                <w:rFonts w:ascii="Arial Narrow" w:hAnsi="Arial Narrow"/>
                <w:b/>
                <w:sz w:val="20"/>
                <w:lang w:val="en-US"/>
              </w:rPr>
              <w:t>Cost min AEMP</w:t>
            </w:r>
          </w:p>
        </w:tc>
        <w:tc>
          <w:tcPr>
            <w:tcW w:w="698"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Proposed drug</w:t>
            </w:r>
          </w:p>
          <w:p w:rsidR="00716FDC" w:rsidRDefault="00C83C33">
            <w:pPr>
              <w:keepNext/>
              <w:widowControl/>
              <w:jc w:val="center"/>
              <w:rPr>
                <w:rFonts w:ascii="Arial Narrow" w:hAnsi="Arial Narrow"/>
                <w:b/>
                <w:sz w:val="20"/>
                <w:lang w:val="en-US"/>
              </w:rPr>
            </w:pPr>
            <w:r>
              <w:rPr>
                <w:rFonts w:ascii="Arial Narrow" w:hAnsi="Arial Narrow"/>
                <w:b/>
                <w:sz w:val="20"/>
                <w:lang w:val="en-US"/>
              </w:rPr>
              <w:t>Financial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Budesonide/</w:t>
            </w:r>
            <w:r>
              <w:t xml:space="preserve"> </w:t>
            </w:r>
            <w:r>
              <w:rPr>
                <w:rFonts w:ascii="Arial Narrow" w:hAnsi="Arial Narrow"/>
                <w:b/>
                <w:sz w:val="20"/>
                <w:lang w:val="en-US"/>
              </w:rPr>
              <w:t xml:space="preserve">terbutaline Trial dose </w:t>
            </w:r>
          </w:p>
        </w:tc>
        <w:tc>
          <w:tcPr>
            <w:tcW w:w="699"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Budesonide/</w:t>
            </w:r>
            <w:r>
              <w:t xml:space="preserve"> </w:t>
            </w:r>
            <w:r>
              <w:rPr>
                <w:rFonts w:ascii="Arial Narrow" w:hAnsi="Arial Narrow"/>
                <w:b/>
                <w:sz w:val="20"/>
                <w:lang w:val="en-US"/>
              </w:rPr>
              <w:t>salbutamol Cost min AEMP</w:t>
            </w:r>
          </w:p>
        </w:tc>
        <w:tc>
          <w:tcPr>
            <w:tcW w:w="699" w:type="pct"/>
            <w:tcBorders>
              <w:top w:val="single" w:sz="4" w:space="0" w:color="auto"/>
              <w:left w:val="single" w:sz="4" w:space="0" w:color="auto"/>
              <w:bottom w:val="single" w:sz="4" w:space="0" w:color="auto"/>
              <w:right w:val="single" w:sz="4" w:space="0" w:color="auto"/>
            </w:tcBorders>
            <w:hideMark/>
          </w:tcPr>
          <w:p w:rsidR="00716FDC" w:rsidRDefault="00C83C33">
            <w:pPr>
              <w:keepNext/>
              <w:widowControl/>
              <w:jc w:val="center"/>
              <w:rPr>
                <w:rFonts w:ascii="Arial Narrow" w:hAnsi="Arial Narrow"/>
                <w:b/>
                <w:sz w:val="20"/>
                <w:lang w:val="en-US"/>
              </w:rPr>
            </w:pPr>
            <w:r>
              <w:rPr>
                <w:rFonts w:ascii="Arial Narrow" w:hAnsi="Arial Narrow"/>
                <w:b/>
                <w:sz w:val="20"/>
                <w:lang w:val="en-US"/>
              </w:rPr>
              <w:t>Comparator</w:t>
            </w:r>
          </w:p>
          <w:p w:rsidR="00716FDC" w:rsidRDefault="00C83C33">
            <w:pPr>
              <w:keepNext/>
              <w:widowControl/>
              <w:jc w:val="center"/>
              <w:rPr>
                <w:rFonts w:ascii="Arial Narrow" w:hAnsi="Arial Narrow"/>
                <w:b/>
                <w:sz w:val="20"/>
                <w:lang w:val="en-US"/>
              </w:rPr>
            </w:pPr>
            <w:r>
              <w:rPr>
                <w:rFonts w:ascii="Arial Narrow" w:hAnsi="Arial Narrow"/>
                <w:b/>
                <w:sz w:val="20"/>
                <w:lang w:val="en-US"/>
              </w:rPr>
              <w:t>Financial estimates</w:t>
            </w:r>
          </w:p>
        </w:tc>
      </w:tr>
      <w:tr w:rsidR="00716FDC">
        <w:trPr>
          <w:jc w:val="center"/>
        </w:trPr>
        <w:tc>
          <w:tcPr>
            <w:tcW w:w="815"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left"/>
              <w:rPr>
                <w:rFonts w:ascii="Arial Narrow" w:hAnsi="Arial Narrow"/>
                <w:sz w:val="20"/>
                <w:lang w:val="en-US"/>
              </w:rPr>
            </w:pPr>
            <w:r>
              <w:rPr>
                <w:rFonts w:ascii="Arial Narrow" w:hAnsi="Arial Narrow"/>
                <w:sz w:val="20"/>
                <w:lang w:val="en-US"/>
              </w:rPr>
              <w:t>Total mean dose</w:t>
            </w:r>
          </w:p>
        </w:tc>
        <w:tc>
          <w:tcPr>
            <w:tcW w:w="697"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83.2 mcg per day</w:t>
            </w:r>
          </w:p>
        </w:tc>
        <w:tc>
          <w:tcPr>
            <w:tcW w:w="696"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83.2 mcg per day</w:t>
            </w:r>
          </w:p>
        </w:tc>
        <w:tc>
          <w:tcPr>
            <w:tcW w:w="698"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83.2 mcg per day</w:t>
            </w:r>
          </w:p>
        </w:tc>
        <w:tc>
          <w:tcPr>
            <w:tcW w:w="696"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201/196 mcg per day</w:t>
            </w:r>
          </w:p>
        </w:tc>
        <w:tc>
          <w:tcPr>
            <w:tcW w:w="699"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201/49 mcg per day</w:t>
            </w:r>
          </w:p>
        </w:tc>
        <w:tc>
          <w:tcPr>
            <w:tcW w:w="699" w:type="pct"/>
            <w:tcBorders>
              <w:top w:val="single" w:sz="4" w:space="0" w:color="auto"/>
              <w:left w:val="single" w:sz="4" w:space="0" w:color="auto"/>
              <w:bottom w:val="single" w:sz="4" w:space="0" w:color="auto"/>
              <w:right w:val="single" w:sz="4" w:space="0" w:color="auto"/>
            </w:tcBorders>
          </w:tcPr>
          <w:p w:rsidR="00716FDC" w:rsidRDefault="00C83C33">
            <w:pPr>
              <w:keepNext/>
              <w:widowControl/>
              <w:jc w:val="center"/>
              <w:rPr>
                <w:rFonts w:ascii="Arial Narrow" w:hAnsi="Arial Narrow"/>
                <w:sz w:val="20"/>
                <w:lang w:val="en-US"/>
              </w:rPr>
            </w:pPr>
            <w:r>
              <w:rPr>
                <w:rFonts w:ascii="Arial Narrow" w:hAnsi="Arial Narrow"/>
                <w:sz w:val="20"/>
                <w:lang w:val="en-US"/>
              </w:rPr>
              <w:t>Multiple drugs</w:t>
            </w:r>
          </w:p>
        </w:tc>
      </w:tr>
      <w:tr w:rsidR="00716FDC">
        <w:trPr>
          <w:jc w:val="center"/>
        </w:trPr>
        <w:tc>
          <w:tcPr>
            <w:tcW w:w="815" w:type="pct"/>
            <w:tcBorders>
              <w:top w:val="single" w:sz="4" w:space="0" w:color="auto"/>
              <w:left w:val="single" w:sz="4" w:space="0" w:color="auto"/>
              <w:bottom w:val="single" w:sz="4" w:space="0" w:color="auto"/>
              <w:right w:val="single" w:sz="4" w:space="0" w:color="auto"/>
            </w:tcBorders>
            <w:vAlign w:val="center"/>
            <w:hideMark/>
          </w:tcPr>
          <w:p w:rsidR="00716FDC" w:rsidRDefault="00C83C33">
            <w:pPr>
              <w:keepNext/>
              <w:widowControl/>
              <w:jc w:val="left"/>
              <w:rPr>
                <w:rFonts w:ascii="Arial Narrow" w:hAnsi="Arial Narrow"/>
                <w:sz w:val="20"/>
                <w:lang w:val="en-US"/>
              </w:rPr>
            </w:pPr>
            <w:r>
              <w:rPr>
                <w:rFonts w:ascii="Arial Narrow" w:hAnsi="Arial Narrow"/>
                <w:sz w:val="20"/>
                <w:lang w:val="en-US"/>
              </w:rPr>
              <w:t xml:space="preserve">Cost/patient/year </w:t>
            </w:r>
          </w:p>
        </w:tc>
        <w:tc>
          <w:tcPr>
            <w:tcW w:w="697" w:type="pct"/>
            <w:tcBorders>
              <w:top w:val="single" w:sz="4" w:space="0" w:color="auto"/>
              <w:left w:val="single" w:sz="4" w:space="0" w:color="auto"/>
              <w:bottom w:val="single" w:sz="4" w:space="0" w:color="auto"/>
              <w:right w:val="single" w:sz="4" w:space="0" w:color="auto"/>
            </w:tcBorders>
            <w:vAlign w:val="center"/>
          </w:tcPr>
          <w:p w:rsidR="00716FDC" w:rsidRDefault="00716FDC">
            <w:pPr>
              <w:keepNext/>
              <w:widowControl/>
              <w:jc w:val="center"/>
              <w:rPr>
                <w:rFonts w:ascii="Arial Narrow" w:hAnsi="Arial Narrow"/>
                <w:sz w:val="20"/>
                <w:lang w:val="en-US"/>
              </w:rPr>
            </w:pPr>
          </w:p>
        </w:tc>
        <w:tc>
          <w:tcPr>
            <w:tcW w:w="696"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vertAlign w:val="superscript"/>
                <w:lang w:val="en-US"/>
              </w:rPr>
            </w:pPr>
            <w:r>
              <w:rPr>
                <w:rFonts w:ascii="Arial Narrow" w:hAnsi="Arial Narrow"/>
                <w:sz w:val="20"/>
                <w:lang w:val="en-US"/>
              </w:rPr>
              <w:t>$49.49</w:t>
            </w:r>
            <w:r>
              <w:rPr>
                <w:rFonts w:ascii="Arial Narrow" w:hAnsi="Arial Narrow"/>
                <w:sz w:val="20"/>
                <w:vertAlign w:val="superscript"/>
                <w:lang w:val="en-US"/>
              </w:rPr>
              <w:t>a</w:t>
            </w:r>
          </w:p>
        </w:tc>
        <w:tc>
          <w:tcPr>
            <w:tcW w:w="698"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lang w:val="en-US"/>
              </w:rPr>
            </w:pPr>
            <w:r>
              <w:rPr>
                <w:rFonts w:ascii="Arial Narrow" w:hAnsi="Arial Narrow"/>
                <w:sz w:val="20"/>
                <w:lang w:val="en-US"/>
              </w:rPr>
              <w:t>$44.64</w:t>
            </w:r>
            <w:r>
              <w:rPr>
                <w:rFonts w:ascii="Arial Narrow" w:hAnsi="Arial Narrow"/>
                <w:sz w:val="20"/>
                <w:vertAlign w:val="superscript"/>
                <w:lang w:val="en-US"/>
              </w:rPr>
              <w:t>b</w:t>
            </w:r>
            <w:r>
              <w:rPr>
                <w:rFonts w:ascii="Arial Narrow" w:hAnsi="Arial Narrow"/>
                <w:sz w:val="20"/>
                <w:lang w:val="en-US"/>
              </w:rPr>
              <w:t>/$49.31</w:t>
            </w:r>
            <w:r>
              <w:rPr>
                <w:rFonts w:ascii="Arial Narrow" w:hAnsi="Arial Narrow"/>
                <w:sz w:val="20"/>
                <w:vertAlign w:val="superscript"/>
                <w:lang w:val="en-US"/>
              </w:rPr>
              <w:t>c</w:t>
            </w:r>
          </w:p>
        </w:tc>
        <w:tc>
          <w:tcPr>
            <w:tcW w:w="696" w:type="pct"/>
            <w:tcBorders>
              <w:top w:val="single" w:sz="4" w:space="0" w:color="auto"/>
              <w:left w:val="single" w:sz="4" w:space="0" w:color="auto"/>
              <w:bottom w:val="single" w:sz="4" w:space="0" w:color="auto"/>
              <w:right w:val="single" w:sz="4" w:space="0" w:color="auto"/>
            </w:tcBorders>
            <w:vAlign w:val="center"/>
          </w:tcPr>
          <w:p w:rsidR="00716FDC" w:rsidRDefault="00716FDC">
            <w:pPr>
              <w:keepNext/>
              <w:widowControl/>
              <w:jc w:val="center"/>
              <w:rPr>
                <w:rFonts w:ascii="Arial Narrow" w:hAnsi="Arial Narrow"/>
                <w:i/>
                <w:sz w:val="20"/>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rsidR="00716FDC" w:rsidRDefault="00C83C33">
            <w:pPr>
              <w:keepNext/>
              <w:widowControl/>
              <w:jc w:val="center"/>
              <w:rPr>
                <w:rFonts w:ascii="Arial Narrow" w:hAnsi="Arial Narrow"/>
                <w:sz w:val="20"/>
                <w:vertAlign w:val="superscript"/>
                <w:lang w:val="en-US"/>
              </w:rPr>
            </w:pPr>
            <w:r>
              <w:rPr>
                <w:rFonts w:ascii="Arial Narrow" w:hAnsi="Arial Narrow"/>
                <w:sz w:val="20"/>
                <w:lang w:val="en-US"/>
              </w:rPr>
              <w:t>$42.70</w:t>
            </w:r>
            <w:r>
              <w:rPr>
                <w:rFonts w:ascii="Arial Narrow" w:hAnsi="Arial Narrow"/>
                <w:sz w:val="20"/>
                <w:vertAlign w:val="superscript"/>
                <w:lang w:val="en-US"/>
              </w:rPr>
              <w:t>a</w:t>
            </w:r>
          </w:p>
        </w:tc>
        <w:tc>
          <w:tcPr>
            <w:tcW w:w="699" w:type="pct"/>
            <w:tcBorders>
              <w:top w:val="single" w:sz="4" w:space="0" w:color="auto"/>
              <w:left w:val="single" w:sz="4" w:space="0" w:color="auto"/>
              <w:bottom w:val="single" w:sz="4" w:space="0" w:color="auto"/>
              <w:right w:val="single" w:sz="4" w:space="0" w:color="auto"/>
            </w:tcBorders>
          </w:tcPr>
          <w:p w:rsidR="00716FDC" w:rsidRDefault="00C83C33">
            <w:pPr>
              <w:keepNext/>
              <w:widowControl/>
              <w:jc w:val="center"/>
              <w:rPr>
                <w:rFonts w:ascii="Arial Narrow" w:hAnsi="Arial Narrow"/>
                <w:sz w:val="20"/>
                <w:lang w:val="en-US"/>
              </w:rPr>
            </w:pPr>
            <w:r>
              <w:rPr>
                <w:rFonts w:ascii="Arial Narrow" w:hAnsi="Arial Narrow"/>
                <w:sz w:val="20"/>
                <w:lang w:val="en-US"/>
              </w:rPr>
              <w:t>Multiple drugs</w:t>
            </w:r>
          </w:p>
        </w:tc>
      </w:tr>
    </w:tbl>
    <w:p w:rsidR="00716FDC" w:rsidRDefault="00C83C33">
      <w:pPr>
        <w:pStyle w:val="TableFooter"/>
        <w:widowControl/>
        <w:rPr>
          <w:i/>
          <w:lang w:val="en-AU"/>
        </w:rPr>
      </w:pPr>
      <w:r>
        <w:t xml:space="preserve">Source: Table 3.5, p60 of the submission </w:t>
      </w:r>
      <w:r>
        <w:rPr>
          <w:lang w:val="en-AU"/>
        </w:rPr>
        <w:t>and Compiled during evaluation</w:t>
      </w:r>
    </w:p>
    <w:p w:rsidR="00716FDC" w:rsidRDefault="00C83C33">
      <w:pPr>
        <w:pStyle w:val="TableFooter"/>
        <w:widowControl/>
        <w:rPr>
          <w:rFonts w:cs="Arial"/>
          <w:lang w:val="en-AU"/>
        </w:rPr>
      </w:pPr>
      <w:r>
        <w:rPr>
          <w:rFonts w:cs="Arial"/>
          <w:vertAlign w:val="superscript"/>
          <w:lang w:val="en-AU"/>
        </w:rPr>
        <w:t>a</w:t>
      </w:r>
      <w:r>
        <w:rPr>
          <w:rFonts w:cs="Arial"/>
          <w:lang w:val="en-AU"/>
        </w:rPr>
        <w:t>Compiled during evaluation</w:t>
      </w:r>
    </w:p>
    <w:p w:rsidR="00716FDC" w:rsidRDefault="00C83C33">
      <w:pPr>
        <w:pStyle w:val="TableFooter"/>
        <w:widowControl/>
        <w:rPr>
          <w:rFonts w:cs="Arial"/>
          <w:lang w:val="en-AU"/>
        </w:rPr>
      </w:pPr>
      <w:r>
        <w:rPr>
          <w:rFonts w:cs="Arial"/>
          <w:vertAlign w:val="superscript"/>
          <w:lang w:val="en-AU"/>
        </w:rPr>
        <w:t>b</w:t>
      </w:r>
      <w:r>
        <w:rPr>
          <w:rFonts w:cs="Arial"/>
          <w:lang w:val="en-AU"/>
        </w:rPr>
        <w:t>DPMQ for Symbicort Turbuhaler 200/6</w:t>
      </w:r>
      <w:r>
        <w:rPr>
          <w:rFonts w:cs="Arial"/>
          <w:lang w:val="en-AU"/>
        </w:rPr>
        <w:cr/>
      </w:r>
      <w:r>
        <w:rPr>
          <w:rFonts w:cs="Arial"/>
          <w:vertAlign w:val="superscript"/>
          <w:lang w:val="en-AU"/>
        </w:rPr>
        <w:t>c</w:t>
      </w:r>
      <w:r>
        <w:rPr>
          <w:rFonts w:cs="Arial"/>
          <w:lang w:val="en-AU"/>
        </w:rPr>
        <w:t>DPMQ for Symbicort Rapihaler 100/3</w:t>
      </w:r>
      <w:r>
        <w:rPr>
          <w:rFonts w:cs="Arial"/>
          <w:lang w:val="en-AU"/>
        </w:rPr>
        <w:cr/>
      </w:r>
    </w:p>
    <w:p w:rsidR="00716FDC" w:rsidRDefault="00C83C33">
      <w:pPr>
        <w:pStyle w:val="Heading2"/>
        <w:keepNext/>
        <w:keepLines/>
        <w:widowControl/>
      </w:pPr>
      <w:bookmarkStart w:id="20" w:name="_Toc8973956"/>
      <w:r>
        <w:t>Estimated PBS usage &amp; financial implications</w:t>
      </w:r>
      <w:bookmarkEnd w:id="20"/>
    </w:p>
    <w:p w:rsidR="00716FDC" w:rsidRDefault="00716FDC">
      <w:pPr>
        <w:keepNext/>
        <w:keepLines/>
        <w:widowControl/>
        <w:ind w:left="720" w:hanging="720"/>
        <w:rPr>
          <w:rFonts w:cs="Calibri"/>
          <w:b/>
          <w:i/>
          <w:sz w:val="28"/>
          <w:highlight w:val="yellow"/>
        </w:rPr>
      </w:pPr>
    </w:p>
    <w:p w:rsidR="00716FDC" w:rsidRDefault="00C83C33">
      <w:pPr>
        <w:pStyle w:val="ListParagraph"/>
        <w:keepNext/>
        <w:widowControl/>
        <w:numPr>
          <w:ilvl w:val="1"/>
          <w:numId w:val="2"/>
        </w:numPr>
        <w:rPr>
          <w:rFonts w:ascii="Calibri" w:hAnsi="Calibri" w:cs="Calibri"/>
          <w:sz w:val="24"/>
          <w:szCs w:val="24"/>
        </w:rPr>
      </w:pPr>
      <w:bookmarkStart w:id="21" w:name="_Toc8973957"/>
      <w:r>
        <w:rPr>
          <w:rFonts w:ascii="Calibri" w:hAnsi="Calibri" w:cs="Calibri"/>
          <w:sz w:val="24"/>
          <w:szCs w:val="24"/>
        </w:rPr>
        <w:t xml:space="preserve">This submission was considered by DUSC. </w:t>
      </w:r>
    </w:p>
    <w:p w:rsidR="00716FDC" w:rsidRDefault="00C83C33">
      <w:pPr>
        <w:pStyle w:val="ListParagraph"/>
        <w:keepNext/>
        <w:widowControl/>
        <w:numPr>
          <w:ilvl w:val="1"/>
          <w:numId w:val="2"/>
        </w:numPr>
        <w:rPr>
          <w:rFonts w:ascii="Calibri" w:hAnsi="Calibri" w:cs="Calibri"/>
          <w:sz w:val="24"/>
          <w:szCs w:val="24"/>
        </w:rPr>
      </w:pPr>
      <w:r>
        <w:rPr>
          <w:rFonts w:ascii="Calibri" w:hAnsi="Calibri" w:cs="Calibri"/>
          <w:sz w:val="24"/>
          <w:szCs w:val="24"/>
        </w:rPr>
        <w:t xml:space="preserve">To estimate the financial impact of listing Symbicort on the PBS/RPBS, the submission presented an epidemiological approach to estimate the number of patients uncontrolled on SABA as needed who would be eligible for Symbicort and a market share approach to determine the eligible population who would switch to Symbicort from ICS+SABA.  </w:t>
      </w:r>
    </w:p>
    <w:p w:rsidR="00716FDC" w:rsidRDefault="00C83C33">
      <w:pPr>
        <w:pStyle w:val="ListParagraph"/>
        <w:keepNext/>
        <w:widowControl/>
        <w:numPr>
          <w:ilvl w:val="1"/>
          <w:numId w:val="2"/>
        </w:numPr>
        <w:rPr>
          <w:rFonts w:ascii="Calibri" w:hAnsi="Calibri" w:cs="Calibri"/>
          <w:sz w:val="24"/>
          <w:szCs w:val="24"/>
        </w:rPr>
      </w:pPr>
      <w:r>
        <w:rPr>
          <w:rFonts w:ascii="Calibri" w:hAnsi="Calibri" w:cs="Calibri"/>
          <w:sz w:val="24"/>
          <w:szCs w:val="24"/>
          <w:lang w:val="en-AU"/>
        </w:rPr>
        <w:t xml:space="preserve">The submission used Australian population and asthma prevalence data along with a population based cross-sectional survey (Reddel 2017) to determine the number of patients uncontrolled on SABA as needed who presented for a healthcare visit and had the opportunity to be offered Symbicort. An uptake rate of </w:t>
      </w:r>
      <w:r w:rsidR="005D40D2">
        <w:rPr>
          <w:rFonts w:ascii="Calibri" w:hAnsi="Calibri" w:cs="Calibri"/>
          <w:noProof/>
          <w:color w:val="000000"/>
          <w:sz w:val="24"/>
          <w:szCs w:val="24"/>
          <w:highlight w:val="black"/>
          <w:lang w:val="en-AU"/>
        </w:rPr>
        <w:t>'''''</w:t>
      </w:r>
      <w:r>
        <w:rPr>
          <w:rFonts w:ascii="Calibri" w:hAnsi="Calibri" w:cs="Calibri"/>
          <w:sz w:val="24"/>
          <w:szCs w:val="24"/>
          <w:lang w:val="en-AU"/>
        </w:rPr>
        <w:t xml:space="preserve">% in year </w:t>
      </w:r>
      <w:r w:rsidRPr="000840BE">
        <w:rPr>
          <w:rFonts w:ascii="Calibri" w:hAnsi="Calibri" w:cs="Calibri"/>
          <w:sz w:val="24"/>
          <w:szCs w:val="24"/>
          <w:lang w:val="en-AU"/>
        </w:rPr>
        <w:t xml:space="preserve">1, </w:t>
      </w:r>
      <w:r w:rsidR="005D40D2">
        <w:rPr>
          <w:rFonts w:ascii="Calibri" w:hAnsi="Calibri" w:cs="Calibri"/>
          <w:noProof/>
          <w:color w:val="000000"/>
          <w:sz w:val="24"/>
          <w:szCs w:val="24"/>
          <w:highlight w:val="black"/>
          <w:lang w:val="en-AU"/>
        </w:rPr>
        <w:t>'''''</w:t>
      </w:r>
      <w:r>
        <w:rPr>
          <w:rFonts w:ascii="Calibri" w:hAnsi="Calibri" w:cs="Calibri"/>
          <w:sz w:val="24"/>
          <w:szCs w:val="24"/>
          <w:lang w:val="en-AU"/>
        </w:rPr>
        <w:t xml:space="preserve">% in year 2, </w:t>
      </w:r>
      <w:r w:rsidR="005D40D2">
        <w:rPr>
          <w:rFonts w:ascii="Calibri" w:hAnsi="Calibri" w:cs="Calibri"/>
          <w:noProof/>
          <w:color w:val="000000"/>
          <w:sz w:val="24"/>
          <w:szCs w:val="24"/>
          <w:highlight w:val="black"/>
          <w:lang w:val="en-AU"/>
        </w:rPr>
        <w:t>'''''</w:t>
      </w:r>
      <w:r>
        <w:rPr>
          <w:rFonts w:ascii="Calibri" w:hAnsi="Calibri" w:cs="Calibri"/>
          <w:sz w:val="24"/>
          <w:szCs w:val="24"/>
          <w:lang w:val="en-AU"/>
        </w:rPr>
        <w:t xml:space="preserve">% in year 3 and </w:t>
      </w:r>
      <w:r w:rsidR="005D40D2">
        <w:rPr>
          <w:rFonts w:ascii="Calibri" w:hAnsi="Calibri" w:cs="Calibri"/>
          <w:noProof/>
          <w:color w:val="000000"/>
          <w:sz w:val="24"/>
          <w:szCs w:val="24"/>
          <w:highlight w:val="black"/>
          <w:lang w:val="en-AU"/>
        </w:rPr>
        <w:t>'''''</w:t>
      </w:r>
      <w:r>
        <w:rPr>
          <w:rFonts w:ascii="Calibri" w:hAnsi="Calibri" w:cs="Calibri"/>
          <w:sz w:val="24"/>
          <w:szCs w:val="24"/>
          <w:lang w:val="en-AU"/>
        </w:rPr>
        <w:t xml:space="preserve">% in years 4 to 6 was then applied. </w:t>
      </w:r>
    </w:p>
    <w:p w:rsidR="00716FDC" w:rsidRDefault="00C83C33">
      <w:pPr>
        <w:pStyle w:val="ListParagraph"/>
        <w:keepNext/>
        <w:widowControl/>
        <w:numPr>
          <w:ilvl w:val="1"/>
          <w:numId w:val="2"/>
        </w:numPr>
        <w:rPr>
          <w:rFonts w:ascii="Calibri" w:hAnsi="Calibri" w:cs="Calibri"/>
          <w:sz w:val="24"/>
          <w:szCs w:val="24"/>
        </w:rPr>
      </w:pPr>
      <w:r>
        <w:rPr>
          <w:rFonts w:ascii="Calibri" w:hAnsi="Calibri" w:cs="Calibri"/>
          <w:sz w:val="24"/>
          <w:szCs w:val="24"/>
          <w:lang w:val="en-AU"/>
        </w:rPr>
        <w:t xml:space="preserve">The submission used 10% PBS sample data for five low dose ICS products and applied assumptions regarding switching rates to determine the number of eligible ICS+SABA patients. </w:t>
      </w:r>
    </w:p>
    <w:p w:rsidR="00716FDC" w:rsidRDefault="00C83C33">
      <w:pPr>
        <w:pStyle w:val="ListParagraph"/>
        <w:widowControl/>
        <w:numPr>
          <w:ilvl w:val="1"/>
          <w:numId w:val="2"/>
        </w:numPr>
        <w:rPr>
          <w:rFonts w:ascii="Calibri" w:hAnsi="Calibri" w:cs="Calibri"/>
          <w:sz w:val="24"/>
        </w:rPr>
      </w:pPr>
      <w:r>
        <w:rPr>
          <w:rFonts w:ascii="Calibri" w:hAnsi="Calibri" w:cs="Calibri"/>
          <w:sz w:val="24"/>
          <w:lang w:val="en-US"/>
        </w:rPr>
        <w:t>Table 14 provides the estimated use and financial implications of PBS listing Symbicort.</w:t>
      </w:r>
    </w:p>
    <w:p w:rsidR="007F0489" w:rsidRDefault="007F0489" w:rsidP="007F0489">
      <w:pPr>
        <w:pStyle w:val="TableHeading0"/>
      </w:pPr>
      <w:r>
        <w:lastRenderedPageBreak/>
        <w:t xml:space="preserve">Table </w:t>
      </w:r>
      <w:r>
        <w:fldChar w:fldCharType="begin"/>
      </w:r>
      <w:r>
        <w:instrText xml:space="preserve"> SEQ Table \* ARABIC </w:instrText>
      </w:r>
      <w:r>
        <w:fldChar w:fldCharType="separate"/>
      </w:r>
      <w:r w:rsidR="00D2464D">
        <w:rPr>
          <w:noProof/>
        </w:rPr>
        <w:t>14</w:t>
      </w:r>
      <w:r>
        <w:fldChar w:fldCharType="end"/>
      </w:r>
      <w:r w:rsidRPr="00A91A90">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1977"/>
        <w:gridCol w:w="1127"/>
        <w:gridCol w:w="1129"/>
        <w:gridCol w:w="1129"/>
        <w:gridCol w:w="1129"/>
        <w:gridCol w:w="1300"/>
        <w:gridCol w:w="1226"/>
      </w:tblGrid>
      <w:tr w:rsidR="00716FDC" w:rsidTr="007F0489">
        <w:trPr>
          <w:trHeight w:val="242"/>
          <w:tblHeader/>
        </w:trPr>
        <w:tc>
          <w:tcPr>
            <w:tcW w:w="1096" w:type="pct"/>
            <w:shd w:val="clear" w:color="auto" w:fill="auto"/>
            <w:vAlign w:val="center"/>
          </w:tcPr>
          <w:p w:rsidR="00716FDC" w:rsidRDefault="00716FDC">
            <w:pPr>
              <w:pStyle w:val="Tabletext"/>
              <w:keepNext/>
              <w:keepLines/>
              <w:rPr>
                <w:szCs w:val="22"/>
                <w:lang w:val="en-AU"/>
              </w:rPr>
            </w:pPr>
          </w:p>
        </w:tc>
        <w:tc>
          <w:tcPr>
            <w:tcW w:w="625" w:type="pct"/>
            <w:shd w:val="clear" w:color="auto" w:fill="auto"/>
            <w:vAlign w:val="center"/>
          </w:tcPr>
          <w:p w:rsidR="00716FDC" w:rsidRDefault="00C83C33">
            <w:pPr>
              <w:pStyle w:val="Tabletext"/>
              <w:keepNext/>
              <w:keepLines/>
              <w:jc w:val="center"/>
              <w:rPr>
                <w:b/>
                <w:szCs w:val="22"/>
                <w:lang w:val="en-AU"/>
              </w:rPr>
            </w:pPr>
            <w:r>
              <w:rPr>
                <w:b/>
                <w:szCs w:val="22"/>
                <w:lang w:val="en-AU"/>
              </w:rPr>
              <w:t>Year 1</w:t>
            </w:r>
          </w:p>
        </w:tc>
        <w:tc>
          <w:tcPr>
            <w:tcW w:w="626" w:type="pct"/>
            <w:shd w:val="clear" w:color="auto" w:fill="auto"/>
            <w:vAlign w:val="center"/>
          </w:tcPr>
          <w:p w:rsidR="00716FDC" w:rsidRDefault="00C83C33">
            <w:pPr>
              <w:pStyle w:val="Tabletext"/>
              <w:keepNext/>
              <w:keepLines/>
              <w:jc w:val="center"/>
              <w:rPr>
                <w:b/>
                <w:szCs w:val="22"/>
                <w:lang w:val="en-AU"/>
              </w:rPr>
            </w:pPr>
            <w:r>
              <w:rPr>
                <w:b/>
                <w:szCs w:val="22"/>
                <w:lang w:val="en-AU"/>
              </w:rPr>
              <w:t>Year 2</w:t>
            </w:r>
          </w:p>
        </w:tc>
        <w:tc>
          <w:tcPr>
            <w:tcW w:w="626" w:type="pct"/>
            <w:shd w:val="clear" w:color="auto" w:fill="auto"/>
            <w:vAlign w:val="center"/>
          </w:tcPr>
          <w:p w:rsidR="00716FDC" w:rsidRDefault="00C83C33">
            <w:pPr>
              <w:pStyle w:val="Tabletext"/>
              <w:keepNext/>
              <w:keepLines/>
              <w:jc w:val="center"/>
              <w:rPr>
                <w:b/>
                <w:szCs w:val="22"/>
                <w:lang w:val="en-AU"/>
              </w:rPr>
            </w:pPr>
            <w:r>
              <w:rPr>
                <w:b/>
                <w:szCs w:val="22"/>
                <w:lang w:val="en-AU"/>
              </w:rPr>
              <w:t>Year 3</w:t>
            </w:r>
          </w:p>
        </w:tc>
        <w:tc>
          <w:tcPr>
            <w:tcW w:w="626" w:type="pct"/>
            <w:shd w:val="clear" w:color="auto" w:fill="auto"/>
            <w:vAlign w:val="center"/>
          </w:tcPr>
          <w:p w:rsidR="00716FDC" w:rsidRDefault="00C83C33">
            <w:pPr>
              <w:pStyle w:val="Tabletext"/>
              <w:keepNext/>
              <w:keepLines/>
              <w:jc w:val="center"/>
              <w:rPr>
                <w:b/>
                <w:szCs w:val="22"/>
                <w:lang w:val="en-AU"/>
              </w:rPr>
            </w:pPr>
            <w:r>
              <w:rPr>
                <w:b/>
                <w:szCs w:val="22"/>
                <w:lang w:val="en-AU"/>
              </w:rPr>
              <w:t>Year 4</w:t>
            </w:r>
          </w:p>
        </w:tc>
        <w:tc>
          <w:tcPr>
            <w:tcW w:w="721" w:type="pct"/>
            <w:shd w:val="clear" w:color="auto" w:fill="auto"/>
            <w:vAlign w:val="center"/>
          </w:tcPr>
          <w:p w:rsidR="00716FDC" w:rsidRDefault="00C83C33">
            <w:pPr>
              <w:pStyle w:val="Tabletext"/>
              <w:keepNext/>
              <w:keepLines/>
              <w:jc w:val="center"/>
              <w:rPr>
                <w:b/>
                <w:szCs w:val="22"/>
                <w:lang w:val="en-AU"/>
              </w:rPr>
            </w:pPr>
            <w:r>
              <w:rPr>
                <w:b/>
                <w:szCs w:val="22"/>
                <w:lang w:val="en-AU"/>
              </w:rPr>
              <w:t>Year 5</w:t>
            </w:r>
          </w:p>
        </w:tc>
        <w:tc>
          <w:tcPr>
            <w:tcW w:w="680" w:type="pct"/>
          </w:tcPr>
          <w:p w:rsidR="00716FDC" w:rsidRDefault="00C83C33">
            <w:pPr>
              <w:pStyle w:val="Tabletext"/>
              <w:keepNext/>
              <w:keepLines/>
              <w:jc w:val="center"/>
              <w:rPr>
                <w:b/>
                <w:szCs w:val="22"/>
                <w:lang w:val="en-AU"/>
              </w:rPr>
            </w:pPr>
            <w:r>
              <w:rPr>
                <w:b/>
                <w:szCs w:val="22"/>
                <w:lang w:val="en-AU"/>
              </w:rPr>
              <w:t>Year 6</w:t>
            </w:r>
          </w:p>
        </w:tc>
      </w:tr>
      <w:tr w:rsidR="00716FDC">
        <w:trPr>
          <w:trHeight w:val="242"/>
        </w:trPr>
        <w:tc>
          <w:tcPr>
            <w:tcW w:w="5000" w:type="pct"/>
            <w:gridSpan w:val="7"/>
            <w:shd w:val="clear" w:color="auto" w:fill="auto"/>
            <w:vAlign w:val="center"/>
          </w:tcPr>
          <w:p w:rsidR="00716FDC" w:rsidRDefault="00C83C33">
            <w:pPr>
              <w:pStyle w:val="Tabletext"/>
              <w:keepNext/>
              <w:keepLines/>
              <w:rPr>
                <w:b/>
                <w:bCs/>
                <w:color w:val="000000"/>
                <w:szCs w:val="22"/>
                <w:lang w:val="en-AU"/>
              </w:rPr>
            </w:pPr>
            <w:r>
              <w:rPr>
                <w:b/>
                <w:bCs/>
                <w:color w:val="000000"/>
                <w:szCs w:val="22"/>
                <w:lang w:val="en-AU"/>
              </w:rPr>
              <w:t>Estimated extent of use</w:t>
            </w:r>
          </w:p>
        </w:tc>
      </w:tr>
      <w:tr w:rsidR="00716FDC" w:rsidTr="007F0489">
        <w:trPr>
          <w:trHeight w:val="242"/>
        </w:trPr>
        <w:tc>
          <w:tcPr>
            <w:tcW w:w="1096" w:type="pct"/>
            <w:shd w:val="clear" w:color="auto" w:fill="auto"/>
            <w:vAlign w:val="center"/>
          </w:tcPr>
          <w:p w:rsidR="00716FDC" w:rsidRDefault="00C83C33">
            <w:pPr>
              <w:pStyle w:val="Tabletext"/>
              <w:keepNext/>
              <w:keepLines/>
              <w:rPr>
                <w:rFonts w:ascii="Times" w:hAnsi="Times"/>
                <w:szCs w:val="22"/>
                <w:lang w:val="en-AU"/>
              </w:rPr>
            </w:pPr>
            <w:r>
              <w:rPr>
                <w:szCs w:val="22"/>
                <w:lang w:val="en-AU"/>
              </w:rPr>
              <w:t>Number of patients treated</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r>
      <w:tr w:rsidR="00716FDC" w:rsidTr="007F0489">
        <w:trPr>
          <w:trHeight w:val="484"/>
        </w:trPr>
        <w:tc>
          <w:tcPr>
            <w:tcW w:w="1096" w:type="pct"/>
            <w:shd w:val="clear" w:color="auto" w:fill="auto"/>
            <w:vAlign w:val="center"/>
          </w:tcPr>
          <w:p w:rsidR="00716FDC" w:rsidRDefault="00C83C33">
            <w:pPr>
              <w:pStyle w:val="Tabletext"/>
              <w:keepNext/>
              <w:keepLines/>
              <w:rPr>
                <w:rFonts w:ascii="Times" w:hAnsi="Times"/>
                <w:szCs w:val="22"/>
                <w:lang w:val="en-AU"/>
              </w:rPr>
            </w:pPr>
            <w:r>
              <w:rPr>
                <w:szCs w:val="22"/>
                <w:lang w:val="en-AU"/>
              </w:rPr>
              <w:t>Number of scripts dispensed</w:t>
            </w:r>
            <w:r>
              <w:rPr>
                <w:szCs w:val="22"/>
                <w:vertAlign w:val="superscript"/>
                <w:lang w:val="en-AU"/>
              </w:rPr>
              <w:t>a</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r>
      <w:tr w:rsidR="00716FDC">
        <w:trPr>
          <w:trHeight w:val="242"/>
        </w:trPr>
        <w:tc>
          <w:tcPr>
            <w:tcW w:w="5000" w:type="pct"/>
            <w:gridSpan w:val="7"/>
            <w:shd w:val="clear" w:color="auto" w:fill="auto"/>
            <w:vAlign w:val="center"/>
          </w:tcPr>
          <w:p w:rsidR="00716FDC" w:rsidRDefault="00C83C33">
            <w:pPr>
              <w:pStyle w:val="Tabletext"/>
              <w:keepNext/>
              <w:keepLines/>
              <w:rPr>
                <w:bCs/>
                <w:color w:val="000000"/>
                <w:szCs w:val="22"/>
                <w:vertAlign w:val="superscript"/>
                <w:lang w:val="en-AU"/>
              </w:rPr>
            </w:pPr>
            <w:r>
              <w:rPr>
                <w:b/>
                <w:bCs/>
                <w:color w:val="000000"/>
                <w:szCs w:val="22"/>
                <w:lang w:val="en-AU"/>
              </w:rPr>
              <w:t>Estimated financial implications of Symbicort</w:t>
            </w:r>
            <w:r>
              <w:rPr>
                <w:bCs/>
                <w:color w:val="000000"/>
                <w:szCs w:val="22"/>
                <w:vertAlign w:val="superscript"/>
                <w:lang w:val="en-AU"/>
              </w:rPr>
              <w:t>b</w:t>
            </w:r>
          </w:p>
        </w:tc>
      </w:tr>
      <w:tr w:rsidR="00716FDC" w:rsidTr="007F0489">
        <w:trPr>
          <w:trHeight w:val="500"/>
        </w:trPr>
        <w:tc>
          <w:tcPr>
            <w:tcW w:w="1096" w:type="pct"/>
            <w:shd w:val="clear" w:color="auto" w:fill="auto"/>
            <w:vAlign w:val="center"/>
          </w:tcPr>
          <w:p w:rsidR="00716FDC" w:rsidRDefault="00C83C33">
            <w:pPr>
              <w:pStyle w:val="Tabletext"/>
              <w:keepNext/>
              <w:keepLines/>
              <w:rPr>
                <w:sz w:val="19"/>
                <w:szCs w:val="19"/>
                <w:vertAlign w:val="superscript"/>
                <w:lang w:val="en-AU"/>
              </w:rPr>
            </w:pPr>
            <w:r>
              <w:rPr>
                <w:lang w:val="en-AU"/>
              </w:rPr>
              <w:t>C</w:t>
            </w:r>
            <w:r>
              <w:t>ost to the PBS/RPBS</w:t>
            </w:r>
          </w:p>
        </w:tc>
        <w:tc>
          <w:tcPr>
            <w:tcW w:w="625"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721"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80" w:type="pct"/>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r>
      <w:tr w:rsidR="00716FDC" w:rsidTr="007F0489">
        <w:trPr>
          <w:trHeight w:val="484"/>
        </w:trPr>
        <w:tc>
          <w:tcPr>
            <w:tcW w:w="1096" w:type="pct"/>
            <w:shd w:val="clear" w:color="auto" w:fill="auto"/>
            <w:vAlign w:val="center"/>
          </w:tcPr>
          <w:p w:rsidR="00716FDC" w:rsidRDefault="00C83C33">
            <w:pPr>
              <w:pStyle w:val="Tabletext"/>
              <w:keepNext/>
              <w:keepLines/>
              <w:rPr>
                <w:sz w:val="19"/>
                <w:szCs w:val="19"/>
                <w:lang w:val="en-AU"/>
              </w:rPr>
            </w:pPr>
            <w:r>
              <w:rPr>
                <w:sz w:val="19"/>
                <w:szCs w:val="19"/>
                <w:lang w:val="en-AU"/>
              </w:rPr>
              <w:t>Copayments</w:t>
            </w:r>
          </w:p>
        </w:tc>
        <w:tc>
          <w:tcPr>
            <w:tcW w:w="625"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721" w:type="pct"/>
            <w:shd w:val="clear" w:color="auto" w:fill="auto"/>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c>
          <w:tcPr>
            <w:tcW w:w="680" w:type="pct"/>
            <w:vAlign w:val="center"/>
          </w:tcPr>
          <w:p w:rsidR="00716FDC" w:rsidRPr="005D40D2" w:rsidRDefault="005D40D2">
            <w:pPr>
              <w:pStyle w:val="Tabletext"/>
              <w:keepNext/>
              <w:keepLines/>
              <w:jc w:val="center"/>
              <w:rPr>
                <w:rFonts w:cs="Arial"/>
                <w:bCs/>
                <w:color w:val="000000"/>
                <w:highlight w:val="black"/>
                <w:lang w:val="en-AU"/>
              </w:rPr>
            </w:pPr>
            <w:r>
              <w:rPr>
                <w:rFonts w:cs="Arial"/>
                <w:bCs/>
                <w:noProof/>
                <w:color w:val="000000"/>
                <w:highlight w:val="black"/>
                <w:lang w:val="en-AU"/>
              </w:rPr>
              <w:t>''''''''''''''''''''''''''''</w:t>
            </w:r>
          </w:p>
        </w:tc>
      </w:tr>
      <w:tr w:rsidR="00716FDC" w:rsidTr="007F0489">
        <w:trPr>
          <w:trHeight w:val="484"/>
        </w:trPr>
        <w:tc>
          <w:tcPr>
            <w:tcW w:w="1096" w:type="pct"/>
            <w:shd w:val="clear" w:color="auto" w:fill="auto"/>
            <w:vAlign w:val="center"/>
          </w:tcPr>
          <w:p w:rsidR="00716FDC" w:rsidRDefault="00C83C33">
            <w:pPr>
              <w:pStyle w:val="Tabletext"/>
              <w:keepNext/>
              <w:keepLines/>
              <w:rPr>
                <w:sz w:val="19"/>
                <w:szCs w:val="19"/>
                <w:lang w:val="en-AU"/>
              </w:rPr>
            </w:pPr>
            <w:r>
              <w:rPr>
                <w:sz w:val="19"/>
                <w:szCs w:val="19"/>
                <w:lang w:val="en-AU"/>
              </w:rPr>
              <w:t>Cost to PBS/RPBS less copayments</w:t>
            </w:r>
          </w:p>
        </w:tc>
        <w:tc>
          <w:tcPr>
            <w:tcW w:w="625" w:type="pct"/>
            <w:shd w:val="clear" w:color="auto" w:fill="auto"/>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c>
          <w:tcPr>
            <w:tcW w:w="626" w:type="pct"/>
            <w:shd w:val="clear" w:color="auto" w:fill="auto"/>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c>
          <w:tcPr>
            <w:tcW w:w="721" w:type="pct"/>
            <w:shd w:val="clear" w:color="auto" w:fill="auto"/>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c>
          <w:tcPr>
            <w:tcW w:w="680" w:type="pct"/>
            <w:vAlign w:val="center"/>
          </w:tcPr>
          <w:p w:rsidR="00716FDC" w:rsidRPr="005D40D2" w:rsidRDefault="005D40D2">
            <w:pPr>
              <w:pStyle w:val="Tabletext"/>
              <w:keepNext/>
              <w:keepLines/>
              <w:jc w:val="center"/>
              <w:rPr>
                <w:rFonts w:cs="Arial"/>
                <w:bCs/>
                <w:color w:val="000000"/>
                <w:highlight w:val="black"/>
              </w:rPr>
            </w:pPr>
            <w:r>
              <w:rPr>
                <w:rFonts w:cs="Arial"/>
                <w:bCs/>
                <w:noProof/>
                <w:color w:val="000000"/>
                <w:highlight w:val="black"/>
              </w:rPr>
              <w:t>''''''''''''''''''''''''</w:t>
            </w:r>
          </w:p>
          <w:p w:rsidR="00716FDC" w:rsidRDefault="00716FDC">
            <w:pPr>
              <w:pStyle w:val="Tabletext"/>
              <w:keepNext/>
              <w:keepLines/>
              <w:jc w:val="center"/>
              <w:rPr>
                <w:bCs/>
                <w:color w:val="000000"/>
                <w:szCs w:val="22"/>
                <w:lang w:val="en-AU"/>
              </w:rPr>
            </w:pPr>
          </w:p>
        </w:tc>
      </w:tr>
      <w:tr w:rsidR="00716FDC">
        <w:trPr>
          <w:trHeight w:val="242"/>
        </w:trPr>
        <w:tc>
          <w:tcPr>
            <w:tcW w:w="5000" w:type="pct"/>
            <w:gridSpan w:val="7"/>
            <w:shd w:val="clear" w:color="auto" w:fill="auto"/>
            <w:vAlign w:val="center"/>
          </w:tcPr>
          <w:p w:rsidR="00716FDC" w:rsidRDefault="00C83C33">
            <w:pPr>
              <w:pStyle w:val="Tabletext"/>
              <w:keepNext/>
              <w:keepLines/>
              <w:rPr>
                <w:bCs/>
                <w:color w:val="000000"/>
                <w:szCs w:val="22"/>
                <w:lang w:val="en-AU"/>
              </w:rPr>
            </w:pPr>
            <w:r>
              <w:rPr>
                <w:b/>
                <w:bCs/>
                <w:color w:val="000000"/>
                <w:szCs w:val="22"/>
                <w:lang w:val="en-AU"/>
              </w:rPr>
              <w:t>Estimated financial implications for ICS</w:t>
            </w:r>
          </w:p>
        </w:tc>
      </w:tr>
      <w:tr w:rsidR="00716FDC" w:rsidTr="007F0489">
        <w:trPr>
          <w:trHeight w:val="242"/>
        </w:trPr>
        <w:tc>
          <w:tcPr>
            <w:tcW w:w="1096" w:type="pct"/>
            <w:shd w:val="clear" w:color="auto" w:fill="auto"/>
            <w:vAlign w:val="center"/>
          </w:tcPr>
          <w:p w:rsidR="00716FDC" w:rsidRDefault="00C83C33">
            <w:pPr>
              <w:pStyle w:val="Tabletext"/>
              <w:keepNext/>
              <w:keepLines/>
              <w:rPr>
                <w:sz w:val="19"/>
                <w:szCs w:val="19"/>
                <w:lang w:val="en-AU"/>
              </w:rPr>
            </w:pPr>
            <w:r>
              <w:rPr>
                <w:rFonts w:cs="Arial"/>
              </w:rPr>
              <w:t>Cost-offsets to PBS/RPBS</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r>
      <w:tr w:rsidR="00716FDC">
        <w:trPr>
          <w:trHeight w:val="242"/>
        </w:trPr>
        <w:tc>
          <w:tcPr>
            <w:tcW w:w="5000" w:type="pct"/>
            <w:gridSpan w:val="7"/>
            <w:shd w:val="clear" w:color="auto" w:fill="auto"/>
            <w:vAlign w:val="center"/>
          </w:tcPr>
          <w:p w:rsidR="00716FDC" w:rsidRDefault="00C83C33">
            <w:pPr>
              <w:pStyle w:val="Tabletext"/>
              <w:keepNext/>
              <w:keepLines/>
              <w:rPr>
                <w:b/>
                <w:bCs/>
                <w:color w:val="000000"/>
                <w:szCs w:val="22"/>
                <w:lang w:val="en-AU"/>
              </w:rPr>
            </w:pPr>
            <w:r>
              <w:rPr>
                <w:b/>
                <w:bCs/>
                <w:color w:val="000000"/>
                <w:szCs w:val="22"/>
                <w:lang w:val="en-AU"/>
              </w:rPr>
              <w:t>Net financial implications</w:t>
            </w:r>
            <w:r>
              <w:rPr>
                <w:bCs/>
                <w:color w:val="000000"/>
                <w:szCs w:val="22"/>
                <w:vertAlign w:val="superscript"/>
                <w:lang w:val="en-AU"/>
              </w:rPr>
              <w:t>b</w:t>
            </w:r>
          </w:p>
        </w:tc>
      </w:tr>
      <w:tr w:rsidR="00716FDC" w:rsidTr="007F0489">
        <w:trPr>
          <w:trHeight w:val="517"/>
        </w:trPr>
        <w:tc>
          <w:tcPr>
            <w:tcW w:w="1096" w:type="pct"/>
            <w:shd w:val="clear" w:color="auto" w:fill="auto"/>
            <w:vAlign w:val="center"/>
          </w:tcPr>
          <w:p w:rsidR="00716FDC" w:rsidRDefault="00C83C33">
            <w:pPr>
              <w:pStyle w:val="Tabletext"/>
              <w:keepNext/>
              <w:keepLines/>
              <w:rPr>
                <w:sz w:val="19"/>
                <w:szCs w:val="19"/>
                <w:lang w:val="en-AU"/>
              </w:rPr>
            </w:pPr>
            <w:r>
              <w:rPr>
                <w:sz w:val="19"/>
                <w:szCs w:val="19"/>
                <w:lang w:val="en-AU"/>
              </w:rPr>
              <w:t>Net cost to PBS/RPBS</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rPr>
              <w:t>'''''''''''''''''''''''''</w:t>
            </w:r>
          </w:p>
        </w:tc>
      </w:tr>
      <w:tr w:rsidR="00716FDC" w:rsidTr="007F0489">
        <w:trPr>
          <w:trHeight w:val="242"/>
        </w:trPr>
        <w:tc>
          <w:tcPr>
            <w:tcW w:w="1096" w:type="pct"/>
            <w:shd w:val="clear" w:color="auto" w:fill="auto"/>
            <w:vAlign w:val="center"/>
          </w:tcPr>
          <w:p w:rsidR="00716FDC" w:rsidRDefault="00C83C33">
            <w:pPr>
              <w:pStyle w:val="Tabletext"/>
              <w:keepNext/>
              <w:keepLines/>
              <w:rPr>
                <w:rFonts w:ascii="Times" w:hAnsi="Times"/>
                <w:szCs w:val="22"/>
                <w:lang w:val="en-AU"/>
              </w:rPr>
            </w:pPr>
            <w:r>
              <w:rPr>
                <w:sz w:val="19"/>
                <w:szCs w:val="19"/>
                <w:lang w:val="en-AU"/>
              </w:rPr>
              <w:t>Net Government health budgets saving excl. GP</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r w:rsidR="00716FDC" w:rsidTr="007F0489">
        <w:trPr>
          <w:trHeight w:val="743"/>
        </w:trPr>
        <w:tc>
          <w:tcPr>
            <w:tcW w:w="1096" w:type="pct"/>
            <w:shd w:val="clear" w:color="auto" w:fill="auto"/>
            <w:vAlign w:val="center"/>
          </w:tcPr>
          <w:p w:rsidR="00716FDC" w:rsidRDefault="00C83C33">
            <w:pPr>
              <w:pStyle w:val="Tabletext"/>
              <w:keepNext/>
              <w:keepLines/>
              <w:rPr>
                <w:sz w:val="19"/>
                <w:szCs w:val="19"/>
                <w:lang w:val="en-AU"/>
              </w:rPr>
            </w:pPr>
            <w:r>
              <w:rPr>
                <w:rFonts w:cs="Arial"/>
              </w:rPr>
              <w:t>Net impact on Government health budgets</w:t>
            </w:r>
          </w:p>
        </w:tc>
        <w:tc>
          <w:tcPr>
            <w:tcW w:w="625"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c>
          <w:tcPr>
            <w:tcW w:w="626"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c>
          <w:tcPr>
            <w:tcW w:w="721"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c>
          <w:tcPr>
            <w:tcW w:w="680" w:type="pct"/>
            <w:vAlign w:val="center"/>
          </w:tcPr>
          <w:p w:rsidR="00716FDC" w:rsidRPr="005D40D2" w:rsidRDefault="005D40D2">
            <w:pPr>
              <w:pStyle w:val="Tabletext"/>
              <w:keepNext/>
              <w:keepLines/>
              <w:jc w:val="center"/>
              <w:rPr>
                <w:bCs/>
                <w:color w:val="000000"/>
                <w:szCs w:val="22"/>
                <w:highlight w:val="black"/>
                <w:lang w:val="en-AU"/>
              </w:rPr>
            </w:pPr>
            <w:r>
              <w:rPr>
                <w:rFonts w:cs="Arial"/>
                <w:noProof/>
                <w:color w:val="000000"/>
                <w:highlight w:val="black"/>
                <w:lang w:val="en-AU"/>
              </w:rPr>
              <w:t>''''''''''''''''''''''''''''</w:t>
            </w:r>
          </w:p>
        </w:tc>
      </w:tr>
    </w:tbl>
    <w:p w:rsidR="00716FDC" w:rsidRDefault="00C83C33">
      <w:pPr>
        <w:pStyle w:val="TableFooter"/>
        <w:keepNext/>
        <w:keepLines/>
        <w:jc w:val="left"/>
      </w:pPr>
      <w:r>
        <w:t>Source: Table 4.</w:t>
      </w:r>
      <w:r>
        <w:rPr>
          <w:lang w:val="en-AU"/>
        </w:rPr>
        <w:t>2.2</w:t>
      </w:r>
      <w:r>
        <w:t xml:space="preserve"> – 4.4.3, p</w:t>
      </w:r>
      <w:r>
        <w:rPr>
          <w:lang w:val="en-AU"/>
        </w:rPr>
        <w:t>76</w:t>
      </w:r>
      <w:r>
        <w:t xml:space="preserve">-84 </w:t>
      </w:r>
      <w:r>
        <w:rPr>
          <w:lang w:val="en-US"/>
        </w:rPr>
        <w:t>of</w:t>
      </w:r>
      <w:r>
        <w:t xml:space="preserve"> the submission</w:t>
      </w:r>
      <w:r>
        <w:rPr>
          <w:lang w:val="en-AU"/>
        </w:rPr>
        <w:t>, and calculated during evaluation using the correct co-payment (see note b below)</w:t>
      </w:r>
      <w:r>
        <w:t xml:space="preserve"> </w:t>
      </w:r>
    </w:p>
    <w:p w:rsidR="00716FDC" w:rsidRDefault="00C83C33">
      <w:pPr>
        <w:pStyle w:val="TableFooter"/>
        <w:keepNext/>
        <w:keepLines/>
        <w:jc w:val="left"/>
        <w:rPr>
          <w:lang w:val="en-AU"/>
        </w:rPr>
      </w:pPr>
      <w:r>
        <w:rPr>
          <w:lang w:val="en-AU"/>
        </w:rPr>
        <w:t>ICS</w:t>
      </w:r>
      <w:r>
        <w:t xml:space="preserve"> = </w:t>
      </w:r>
      <w:r>
        <w:rPr>
          <w:lang w:val="en-AU"/>
        </w:rPr>
        <w:t xml:space="preserve">inhaled corticosteroid; </w:t>
      </w:r>
      <w:r>
        <w:t>PBS = pharmaceutical benefits scheme</w:t>
      </w:r>
      <w:r>
        <w:rPr>
          <w:lang w:val="en-AU"/>
        </w:rPr>
        <w:t xml:space="preserve">; </w:t>
      </w:r>
      <w:r>
        <w:t>RPBS = repatriation pharmaceutical benefits scheme</w:t>
      </w:r>
    </w:p>
    <w:p w:rsidR="00716FDC" w:rsidRDefault="00C83C33">
      <w:pPr>
        <w:pStyle w:val="TableFooter"/>
        <w:keepNext/>
        <w:keepLines/>
      </w:pPr>
      <w:r>
        <w:rPr>
          <w:vertAlign w:val="superscript"/>
        </w:rPr>
        <w:t>a</w:t>
      </w:r>
      <w:r>
        <w:rPr>
          <w:vertAlign w:val="superscript"/>
          <w:lang w:val="en-AU"/>
        </w:rPr>
        <w:t xml:space="preserve"> </w:t>
      </w:r>
      <w:r>
        <w:rPr>
          <w:lang w:val="en-AU"/>
        </w:rPr>
        <w:t>A</w:t>
      </w:r>
      <w:r>
        <w:t xml:space="preserve">verage number of units per year </w:t>
      </w:r>
      <w:r>
        <w:rPr>
          <w:lang w:val="en-AU"/>
        </w:rPr>
        <w:t xml:space="preserve">(1.58) </w:t>
      </w:r>
      <w:r>
        <w:t>based on the average dose (83.2mcg/day) in SYGMA 2 trial and inhalations per Symbicort pack</w:t>
      </w:r>
    </w:p>
    <w:p w:rsidR="00716FDC" w:rsidRDefault="00C83C33">
      <w:pPr>
        <w:pStyle w:val="TableFooter"/>
        <w:keepNext/>
        <w:keepLines/>
        <w:rPr>
          <w:lang w:val="en-AU"/>
        </w:rPr>
      </w:pPr>
      <w:r>
        <w:rPr>
          <w:vertAlign w:val="superscript"/>
          <w:lang w:val="en-AU"/>
        </w:rPr>
        <w:t xml:space="preserve">b </w:t>
      </w:r>
      <w:r>
        <w:rPr>
          <w:lang w:val="en-AU"/>
        </w:rPr>
        <w:t>The split between the beneficiary types of RPBS services for Symbicort Rapihaler 100/3 (item code 10015D) and Turbuhaler 200/6 (item code 8625Y) was corrected during the evaluation to 74.42% and 25.58% (J27 and K27 in Sheet 2b excel workbook)</w:t>
      </w:r>
      <w:r w:rsidR="00E37F58">
        <w:rPr>
          <w:lang w:val="en-AU"/>
        </w:rPr>
        <w:t xml:space="preserve"> </w:t>
      </w:r>
    </w:p>
    <w:p w:rsidR="00716FDC" w:rsidRDefault="00716FDC">
      <w:pPr>
        <w:pStyle w:val="TableFooter"/>
      </w:pPr>
    </w:p>
    <w:p w:rsidR="00716FDC" w:rsidRDefault="00C83C33">
      <w:pPr>
        <w:pStyle w:val="ListParagraph"/>
        <w:widowControl/>
        <w:numPr>
          <w:ilvl w:val="1"/>
          <w:numId w:val="2"/>
        </w:numPr>
        <w:rPr>
          <w:rFonts w:ascii="Calibri" w:hAnsi="Calibri" w:cs="Calibri"/>
          <w:sz w:val="24"/>
          <w:lang w:val="en-US"/>
        </w:rPr>
      </w:pPr>
      <w:r>
        <w:rPr>
          <w:rFonts w:ascii="Calibri" w:hAnsi="Calibri" w:cs="Calibri"/>
          <w:sz w:val="24"/>
          <w:szCs w:val="24"/>
          <w:lang w:val="en-AU"/>
        </w:rPr>
        <w:t>At year 6, the estimated number of patients was 100,000-</w:t>
      </w:r>
      <w:r w:rsidR="00AA3285">
        <w:rPr>
          <w:rFonts w:ascii="Calibri" w:hAnsi="Calibri" w:cs="Calibri"/>
          <w:sz w:val="24"/>
          <w:szCs w:val="24"/>
          <w:lang w:val="en-AU"/>
        </w:rPr>
        <w:t>200,000 and</w:t>
      </w:r>
      <w:r>
        <w:rPr>
          <w:rFonts w:ascii="Calibri" w:hAnsi="Calibri" w:cs="Calibri"/>
          <w:sz w:val="24"/>
          <w:szCs w:val="24"/>
          <w:lang w:val="en-AU"/>
        </w:rPr>
        <w:t xml:space="preserve"> the estimated cost of Symbicort to the PBS/RPBS would be less than $10 million. </w:t>
      </w:r>
      <w:r>
        <w:rPr>
          <w:rFonts w:ascii="Calibri" w:hAnsi="Calibri" w:cs="Calibri"/>
          <w:sz w:val="24"/>
          <w:lang w:val="en-US"/>
        </w:rPr>
        <w:t>The estimated financial implications for the PBS/RPBS and the government health budget of listing Symbicort were uncertain as:</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The uptake rate for patients uncontrolled on SABA may be underestimated given that patients who are uncontrolled and present with the opportunity to switch to Symbicort may be more inclined to take up an as needed therapy rather than a daily ICS therapy. The uptake rate for patients uncontrolled on SABA may also be an underestimate in light of the high use of ICS+LABA FDC therapy in comparison to the use of ICS. </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A larger patient population would be eligible for Symbicort under the GINA (2019) framework. This was addressed in the scenario analysis. </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The switch rates for ICS+SABA to Symbicort might be lower than estimated as those patents compliant with daily ICS would be unlikely to switch to Symbicort. Alternatively, the switch rates may be higher for some patients for whom the </w:t>
      </w:r>
      <w:r>
        <w:rPr>
          <w:rFonts w:ascii="Calibri" w:hAnsi="Calibri" w:cs="Calibri"/>
          <w:sz w:val="24"/>
          <w:lang w:val="en-AU"/>
        </w:rPr>
        <w:lastRenderedPageBreak/>
        <w:t>convenience of using one inhaler (Symbicort) when needed rather than two separate inhalers (ICS daily and SABA as needed) is preferable.</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The cost-savings were largely uncertain as the reduced healthcare resource utilisation applied, mainly due to fewer exacerbations in patients treated with Symbicort compared to SABA, were sourced from SYGMA 1. The SYGMA 1 trial only included patients uncontrolled on SABA as needed or controlled on ICS+SABA and hence it does not include all patients eligible for Step 2 treatment according to the NAC (2019) guidelines. The cost saving is therefore likely to be an overestimate, as the proposed PBS population is likely to include patients with less frequent asthma symptoms.</w:t>
      </w:r>
    </w:p>
    <w:p w:rsidR="00716FDC" w:rsidRDefault="00C83C33">
      <w:pPr>
        <w:pStyle w:val="ListParagraph"/>
        <w:widowControl/>
        <w:numPr>
          <w:ilvl w:val="1"/>
          <w:numId w:val="2"/>
        </w:numPr>
        <w:spacing w:before="120"/>
        <w:rPr>
          <w:rFonts w:asciiTheme="minorHAnsi" w:hAnsiTheme="minorHAnsi" w:cstheme="minorHAnsi"/>
          <w:sz w:val="24"/>
        </w:rPr>
      </w:pPr>
      <w:r>
        <w:rPr>
          <w:rFonts w:asciiTheme="minorHAnsi" w:hAnsiTheme="minorHAnsi" w:cstheme="minorHAnsi"/>
          <w:sz w:val="24"/>
        </w:rPr>
        <w:t>DUSC considered the estimates presented in the submission to be underestimated. The main issues are:</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The requested change to the PBS restriction would allow Symbicort to be used as initiation therapy in asthma of any severity where use of an ICS is appropriate. This is consistent with the proposed TGA indication and the GINA (2019) framework, which no longer recommend the use of SABA without an ICS. However, it was inconsistent with the population presented in the PICO, and the clinical trial evidence presented, which was patients uncontrolled on SABA or controlled on ICS+SABA.</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The proportion of people who purchase SABA over-the-counter (OTC) only who would present to a GP for review with the availability of Symbicort as needed may depend on asthma counselling in pharmacies.</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The uptake rates for patients uncontrolled on SABA were not justified. Despite the likely promotion of Symbicort as needed, the uptake is probably overestimated in year one, but would likely be higher than estimated by year six. Price is likely to be a factor for some patients, as Symbicort is more expensive than OTC SABA.</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Assumed MBS cost offsets for decreased GP visits may not be realised, as MBS costs for patients who were previously not seeing a GP for their asthma were not included. </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 xml:space="preserve">The number of packs dispensed is likely to be higher than predicted due to more frequent dosing than expected and some patients requiring additional inhalers to keep in different locations. </w:t>
      </w:r>
    </w:p>
    <w:p w:rsidR="00716FDC" w:rsidRDefault="00C83C33">
      <w:pPr>
        <w:pStyle w:val="ListParagraph"/>
        <w:widowControl/>
        <w:numPr>
          <w:ilvl w:val="0"/>
          <w:numId w:val="1"/>
        </w:numPr>
        <w:spacing w:before="120"/>
        <w:ind w:left="993" w:hanging="284"/>
        <w:rPr>
          <w:rFonts w:ascii="Calibri" w:hAnsi="Calibri" w:cs="Calibri"/>
          <w:sz w:val="24"/>
          <w:lang w:val="en-AU"/>
        </w:rPr>
      </w:pPr>
      <w:r>
        <w:rPr>
          <w:rFonts w:ascii="Calibri" w:hAnsi="Calibri" w:cs="Calibri"/>
          <w:sz w:val="24"/>
          <w:lang w:val="en-AU"/>
        </w:rPr>
        <w:t>The split between Symbicort Turbuhaler 200/6 and Symbicort Rapihaler 100/3 was assumed to be 93% and 7%, respectively. Patients who are familiar with a SABA aerosol puffer may prefer the Rapihaler as it is a more similar device.</w:t>
      </w:r>
    </w:p>
    <w:p w:rsidR="00716FDC" w:rsidRDefault="00C83C33">
      <w:pPr>
        <w:pStyle w:val="ListParagraph"/>
        <w:widowControl/>
        <w:numPr>
          <w:ilvl w:val="1"/>
          <w:numId w:val="2"/>
        </w:numPr>
        <w:rPr>
          <w:rFonts w:asciiTheme="minorHAnsi" w:eastAsia="Calibri" w:hAnsiTheme="minorHAnsi" w:cstheme="minorHAnsi"/>
          <w:snapToGrid/>
          <w:sz w:val="24"/>
          <w:lang w:val="en-AU" w:eastAsia="en-AU"/>
        </w:rPr>
      </w:pPr>
      <w:r>
        <w:rPr>
          <w:rFonts w:asciiTheme="minorHAnsi" w:eastAsia="Calibri" w:hAnsiTheme="minorHAnsi" w:cstheme="minorHAnsi"/>
          <w:snapToGrid/>
          <w:sz w:val="24"/>
          <w:lang w:val="en-AU" w:eastAsia="en-AU"/>
        </w:rPr>
        <w:t xml:space="preserve">The pre-PBAC response  argued that the number of packs estimated was appropriate as the average number of Symbicort packs per patient per year (1.58) was based on the utilisation of ICS in the Symbicort arm of SYGMA 2 (i.e. mean 83.2 mcg/day) and </w:t>
      </w:r>
      <w:r>
        <w:rPr>
          <w:rFonts w:asciiTheme="minorHAnsi" w:eastAsia="Calibri" w:hAnsiTheme="minorHAnsi" w:cstheme="minorHAnsi"/>
          <w:snapToGrid/>
          <w:sz w:val="24"/>
          <w:lang w:val="en-AU" w:eastAsia="en-AU"/>
        </w:rPr>
        <w:lastRenderedPageBreak/>
        <w:t>the number of inhalations per Symbicort pack (i.e. 160 mcg per inhalation and there are 120 inhalations per pack). The PBAC disagreed with the pre-PBAC response that the average number of packs per patient per year proposed was appropriate. The PBAC agreed with the DUSC that patients are likely to have more than one Symbicort inhaler in use at a time and considered that this would affect the financial estimates.</w:t>
      </w:r>
    </w:p>
    <w:p w:rsidR="00716FDC" w:rsidRDefault="00C83C33">
      <w:pPr>
        <w:pStyle w:val="ListParagraph"/>
        <w:widowControl/>
        <w:numPr>
          <w:ilvl w:val="1"/>
          <w:numId w:val="2"/>
        </w:numPr>
        <w:rPr>
          <w:rFonts w:asciiTheme="minorHAnsi" w:eastAsia="Calibri" w:hAnsiTheme="minorHAnsi" w:cstheme="minorHAnsi"/>
          <w:snapToGrid/>
          <w:sz w:val="24"/>
          <w:lang w:val="en-AU" w:eastAsia="en-AU"/>
        </w:rPr>
      </w:pPr>
      <w:r>
        <w:rPr>
          <w:rFonts w:asciiTheme="minorHAnsi" w:eastAsia="Calibri" w:hAnsiTheme="minorHAnsi" w:cstheme="minorHAnsi"/>
          <w:snapToGrid/>
          <w:sz w:val="24"/>
          <w:lang w:val="en-AU" w:eastAsia="en-AU"/>
        </w:rPr>
        <w:t xml:space="preserve">The PBAC also considered that the risk of inappropriate use of Symbicort as needed on a seasonal basis in the management of upper respiratory tract infections in patients without asthma was high. </w:t>
      </w:r>
    </w:p>
    <w:p w:rsidR="00716FDC" w:rsidRDefault="00C83C33">
      <w:pPr>
        <w:widowControl/>
        <w:rPr>
          <w:rFonts w:cs="Calibri"/>
          <w:u w:val="single"/>
          <w:lang w:val="en-US"/>
        </w:rPr>
      </w:pPr>
      <w:r>
        <w:rPr>
          <w:rFonts w:cs="Calibri"/>
          <w:u w:val="single"/>
          <w:lang w:val="en-US"/>
        </w:rPr>
        <w:t>Estimated PBS usage and financial implications considering the updated GINA (2019) framework</w:t>
      </w:r>
    </w:p>
    <w:p w:rsidR="00716FDC" w:rsidRDefault="00716FDC">
      <w:pPr>
        <w:widowControl/>
        <w:rPr>
          <w:rFonts w:cs="Calibri"/>
          <w:u w:val="single"/>
          <w:lang w:val="en-US"/>
        </w:rPr>
      </w:pPr>
    </w:p>
    <w:p w:rsidR="00716FDC" w:rsidRDefault="00C83C33">
      <w:pPr>
        <w:pStyle w:val="ListParagraph"/>
        <w:widowControl/>
        <w:numPr>
          <w:ilvl w:val="1"/>
          <w:numId w:val="2"/>
        </w:numPr>
        <w:rPr>
          <w:rFonts w:asciiTheme="minorHAnsi" w:hAnsiTheme="minorHAnsi" w:cstheme="minorHAnsi"/>
          <w:sz w:val="24"/>
          <w:szCs w:val="24"/>
          <w:lang w:val="en-US"/>
        </w:rPr>
      </w:pPr>
      <w:r>
        <w:rPr>
          <w:rFonts w:asciiTheme="minorHAnsi" w:hAnsiTheme="minorHAnsi" w:cstheme="minorHAnsi"/>
          <w:sz w:val="24"/>
          <w:szCs w:val="24"/>
          <w:lang w:val="en-US"/>
        </w:rPr>
        <w:t xml:space="preserve">A scenario analysis was conducted during the evaluation based on the updated GINA (2019) framework, which no longer recommend SABA </w:t>
      </w:r>
      <w:r>
        <w:rPr>
          <w:rFonts w:asciiTheme="minorHAnsi" w:hAnsiTheme="minorHAnsi" w:cstheme="minorHAnsi"/>
          <w:sz w:val="24"/>
          <w:szCs w:val="24"/>
        </w:rPr>
        <w:t xml:space="preserve">as needed </w:t>
      </w:r>
      <w:r>
        <w:rPr>
          <w:rFonts w:asciiTheme="minorHAnsi" w:hAnsiTheme="minorHAnsi" w:cstheme="minorHAnsi"/>
          <w:sz w:val="24"/>
          <w:szCs w:val="24"/>
          <w:lang w:val="en-US"/>
        </w:rPr>
        <w:t>in step 1 treatment, is presented in Table 15. The assumptions used in the scenario analysis were:</w:t>
      </w:r>
    </w:p>
    <w:p w:rsidR="00716FDC" w:rsidRDefault="00C83C33">
      <w:pPr>
        <w:pStyle w:val="ListParagraph"/>
        <w:widowControl/>
        <w:numPr>
          <w:ilvl w:val="0"/>
          <w:numId w:val="1"/>
        </w:numPr>
        <w:spacing w:before="120" w:after="120"/>
        <w:ind w:left="993" w:hanging="284"/>
        <w:rPr>
          <w:rFonts w:ascii="Calibri" w:hAnsi="Calibri" w:cs="Calibri"/>
          <w:sz w:val="24"/>
          <w:lang w:val="en-AU"/>
        </w:rPr>
      </w:pPr>
      <w:r>
        <w:rPr>
          <w:rFonts w:ascii="Calibri" w:hAnsi="Calibri" w:cs="Calibri"/>
          <w:sz w:val="24"/>
          <w:lang w:val="en-AU"/>
        </w:rPr>
        <w:t>all patients with mild asthma who are on SABA as needed would be eligible for Symbicort;</w:t>
      </w:r>
    </w:p>
    <w:p w:rsidR="00716FDC" w:rsidRDefault="00C83C33">
      <w:pPr>
        <w:pStyle w:val="ListParagraph"/>
        <w:widowControl/>
        <w:numPr>
          <w:ilvl w:val="0"/>
          <w:numId w:val="1"/>
        </w:numPr>
        <w:spacing w:before="120" w:after="120"/>
        <w:ind w:left="993" w:hanging="284"/>
        <w:rPr>
          <w:rFonts w:ascii="Calibri" w:hAnsi="Calibri" w:cs="Calibri"/>
          <w:sz w:val="24"/>
          <w:lang w:val="en-AU"/>
        </w:rPr>
      </w:pPr>
      <w:r>
        <w:rPr>
          <w:rFonts w:ascii="Calibri" w:hAnsi="Calibri" w:cs="Calibri"/>
          <w:sz w:val="24"/>
          <w:lang w:val="en-AU"/>
        </w:rPr>
        <w:t>100% of eligible patients will have the opportunity to use Symbicort (i.e. visit to GP or emergency room) since it was the only preferred step 1 treatment;</w:t>
      </w:r>
    </w:p>
    <w:p w:rsidR="00716FDC" w:rsidRDefault="00C83C33">
      <w:pPr>
        <w:pStyle w:val="ListParagraph"/>
        <w:widowControl/>
        <w:numPr>
          <w:ilvl w:val="0"/>
          <w:numId w:val="1"/>
        </w:numPr>
        <w:spacing w:before="120" w:after="120"/>
        <w:ind w:left="993" w:hanging="284"/>
        <w:rPr>
          <w:rFonts w:ascii="Calibri" w:hAnsi="Calibri" w:cs="Calibri"/>
          <w:sz w:val="24"/>
          <w:lang w:val="en-AU"/>
        </w:rPr>
      </w:pPr>
      <w:r>
        <w:rPr>
          <w:rFonts w:ascii="Calibri" w:hAnsi="Calibri" w:cs="Calibri"/>
          <w:sz w:val="24"/>
          <w:lang w:val="en-AU"/>
        </w:rPr>
        <w:t>80% of eligible patients will be treated with Symbicort since it is the preferred controller listed in step 1 and one of the two preferred controllers in step 2; and</w:t>
      </w:r>
    </w:p>
    <w:p w:rsidR="00716FDC" w:rsidRDefault="00C83C33">
      <w:pPr>
        <w:pStyle w:val="ListParagraph"/>
        <w:widowControl/>
        <w:numPr>
          <w:ilvl w:val="0"/>
          <w:numId w:val="1"/>
        </w:numPr>
        <w:spacing w:before="120" w:after="120"/>
        <w:ind w:left="993" w:hanging="284"/>
        <w:rPr>
          <w:rFonts w:ascii="Calibri" w:hAnsi="Calibri" w:cs="Calibri"/>
          <w:sz w:val="24"/>
          <w:lang w:val="en-AU"/>
        </w:rPr>
      </w:pPr>
      <w:r>
        <w:rPr>
          <w:rFonts w:ascii="Calibri" w:hAnsi="Calibri" w:cs="Calibri"/>
          <w:sz w:val="24"/>
          <w:lang w:val="en-AU"/>
        </w:rPr>
        <w:t>no change for the substitution of Symbicort for ICS+SABA since ICS+SABA remain as one of the preferred controller for step 2 patients.</w:t>
      </w:r>
    </w:p>
    <w:p w:rsidR="00716FDC" w:rsidRDefault="00716FDC">
      <w:pPr>
        <w:rPr>
          <w:rStyle w:val="CommentReference"/>
        </w:rPr>
      </w:pPr>
    </w:p>
    <w:p w:rsidR="007F0489" w:rsidRDefault="007F0489" w:rsidP="007F0489">
      <w:pPr>
        <w:pStyle w:val="TableHeading0"/>
      </w:pPr>
      <w:r>
        <w:t xml:space="preserve">Table </w:t>
      </w:r>
      <w:r>
        <w:fldChar w:fldCharType="begin"/>
      </w:r>
      <w:r>
        <w:instrText xml:space="preserve"> SEQ Table \* ARABIC </w:instrText>
      </w:r>
      <w:r>
        <w:fldChar w:fldCharType="separate"/>
      </w:r>
      <w:r w:rsidR="00D2464D">
        <w:rPr>
          <w:noProof/>
        </w:rPr>
        <w:t>15</w:t>
      </w:r>
      <w:r>
        <w:fldChar w:fldCharType="end"/>
      </w:r>
      <w:r w:rsidRPr="00FB6049">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Estimated use and financial implications"/>
      </w:tblPr>
      <w:tblGrid>
        <w:gridCol w:w="2000"/>
        <w:gridCol w:w="1156"/>
        <w:gridCol w:w="1157"/>
        <w:gridCol w:w="1157"/>
        <w:gridCol w:w="1157"/>
        <w:gridCol w:w="1157"/>
        <w:gridCol w:w="1155"/>
      </w:tblGrid>
      <w:tr w:rsidR="00716FDC">
        <w:trPr>
          <w:tblHeader/>
        </w:trPr>
        <w:tc>
          <w:tcPr>
            <w:tcW w:w="1119" w:type="pct"/>
            <w:shd w:val="clear" w:color="auto" w:fill="auto"/>
            <w:vAlign w:val="center"/>
          </w:tcPr>
          <w:p w:rsidR="00716FDC" w:rsidRDefault="00716FDC">
            <w:pPr>
              <w:pStyle w:val="Tabletext"/>
              <w:keepNext/>
              <w:keepLines/>
              <w:rPr>
                <w:szCs w:val="22"/>
                <w:lang w:val="en-AU"/>
              </w:rPr>
            </w:pPr>
          </w:p>
        </w:tc>
        <w:tc>
          <w:tcPr>
            <w:tcW w:w="647" w:type="pct"/>
            <w:shd w:val="clear" w:color="auto" w:fill="auto"/>
            <w:vAlign w:val="center"/>
          </w:tcPr>
          <w:p w:rsidR="00716FDC" w:rsidRDefault="00C83C33">
            <w:pPr>
              <w:pStyle w:val="Tabletext"/>
              <w:keepNext/>
              <w:keepLines/>
              <w:jc w:val="center"/>
              <w:rPr>
                <w:b/>
                <w:szCs w:val="22"/>
                <w:lang w:val="en-AU"/>
              </w:rPr>
            </w:pPr>
            <w:r>
              <w:rPr>
                <w:b/>
                <w:szCs w:val="22"/>
                <w:lang w:val="en-AU"/>
              </w:rPr>
              <w:t>Year 1</w:t>
            </w:r>
          </w:p>
        </w:tc>
        <w:tc>
          <w:tcPr>
            <w:tcW w:w="647" w:type="pct"/>
            <w:shd w:val="clear" w:color="auto" w:fill="auto"/>
            <w:vAlign w:val="center"/>
          </w:tcPr>
          <w:p w:rsidR="00716FDC" w:rsidRDefault="00C83C33">
            <w:pPr>
              <w:pStyle w:val="Tabletext"/>
              <w:keepNext/>
              <w:keepLines/>
              <w:jc w:val="center"/>
              <w:rPr>
                <w:b/>
                <w:szCs w:val="22"/>
                <w:lang w:val="en-AU"/>
              </w:rPr>
            </w:pPr>
            <w:r>
              <w:rPr>
                <w:b/>
                <w:szCs w:val="22"/>
                <w:lang w:val="en-AU"/>
              </w:rPr>
              <w:t>Year 2</w:t>
            </w:r>
          </w:p>
        </w:tc>
        <w:tc>
          <w:tcPr>
            <w:tcW w:w="647" w:type="pct"/>
            <w:shd w:val="clear" w:color="auto" w:fill="auto"/>
            <w:vAlign w:val="center"/>
          </w:tcPr>
          <w:p w:rsidR="00716FDC" w:rsidRDefault="00C83C33">
            <w:pPr>
              <w:pStyle w:val="Tabletext"/>
              <w:keepNext/>
              <w:keepLines/>
              <w:jc w:val="center"/>
              <w:rPr>
                <w:b/>
                <w:szCs w:val="22"/>
                <w:lang w:val="en-AU"/>
              </w:rPr>
            </w:pPr>
            <w:r>
              <w:rPr>
                <w:b/>
                <w:szCs w:val="22"/>
                <w:lang w:val="en-AU"/>
              </w:rPr>
              <w:t>Year 3</w:t>
            </w:r>
          </w:p>
        </w:tc>
        <w:tc>
          <w:tcPr>
            <w:tcW w:w="647" w:type="pct"/>
            <w:shd w:val="clear" w:color="auto" w:fill="auto"/>
            <w:vAlign w:val="center"/>
          </w:tcPr>
          <w:p w:rsidR="00716FDC" w:rsidRDefault="00C83C33">
            <w:pPr>
              <w:pStyle w:val="Tabletext"/>
              <w:keepNext/>
              <w:keepLines/>
              <w:jc w:val="center"/>
              <w:rPr>
                <w:b/>
                <w:szCs w:val="22"/>
                <w:lang w:val="en-AU"/>
              </w:rPr>
            </w:pPr>
            <w:r>
              <w:rPr>
                <w:b/>
                <w:szCs w:val="22"/>
                <w:lang w:val="en-AU"/>
              </w:rPr>
              <w:t>Year 4</w:t>
            </w:r>
          </w:p>
        </w:tc>
        <w:tc>
          <w:tcPr>
            <w:tcW w:w="647" w:type="pct"/>
            <w:shd w:val="clear" w:color="auto" w:fill="auto"/>
            <w:vAlign w:val="center"/>
          </w:tcPr>
          <w:p w:rsidR="00716FDC" w:rsidRDefault="00C83C33">
            <w:pPr>
              <w:pStyle w:val="Tabletext"/>
              <w:keepNext/>
              <w:keepLines/>
              <w:jc w:val="center"/>
              <w:rPr>
                <w:b/>
                <w:szCs w:val="22"/>
                <w:lang w:val="en-AU"/>
              </w:rPr>
            </w:pPr>
            <w:r>
              <w:rPr>
                <w:b/>
                <w:szCs w:val="22"/>
                <w:lang w:val="en-AU"/>
              </w:rPr>
              <w:t>Year 5</w:t>
            </w:r>
          </w:p>
        </w:tc>
        <w:tc>
          <w:tcPr>
            <w:tcW w:w="646" w:type="pct"/>
          </w:tcPr>
          <w:p w:rsidR="00716FDC" w:rsidRDefault="00C83C33">
            <w:pPr>
              <w:pStyle w:val="Tabletext"/>
              <w:keepNext/>
              <w:keepLines/>
              <w:jc w:val="center"/>
              <w:rPr>
                <w:b/>
                <w:szCs w:val="22"/>
                <w:lang w:val="en-AU"/>
              </w:rPr>
            </w:pPr>
            <w:r>
              <w:rPr>
                <w:b/>
                <w:szCs w:val="22"/>
                <w:lang w:val="en-AU"/>
              </w:rPr>
              <w:t>Year 6</w:t>
            </w:r>
          </w:p>
        </w:tc>
      </w:tr>
      <w:tr w:rsidR="00716FDC">
        <w:tc>
          <w:tcPr>
            <w:tcW w:w="5000" w:type="pct"/>
            <w:gridSpan w:val="7"/>
            <w:shd w:val="clear" w:color="auto" w:fill="auto"/>
            <w:vAlign w:val="center"/>
          </w:tcPr>
          <w:p w:rsidR="00716FDC" w:rsidRDefault="00C83C33">
            <w:pPr>
              <w:pStyle w:val="Tabletext"/>
              <w:keepNext/>
              <w:keepLines/>
              <w:rPr>
                <w:b/>
                <w:bCs/>
                <w:color w:val="000000"/>
                <w:szCs w:val="22"/>
                <w:lang w:val="en-AU"/>
              </w:rPr>
            </w:pPr>
            <w:r>
              <w:rPr>
                <w:b/>
                <w:bCs/>
                <w:color w:val="000000"/>
                <w:szCs w:val="22"/>
                <w:lang w:val="en-AU"/>
              </w:rPr>
              <w:t>Estimated extent of use</w:t>
            </w:r>
          </w:p>
        </w:tc>
      </w:tr>
      <w:tr w:rsidR="00716FDC">
        <w:tc>
          <w:tcPr>
            <w:tcW w:w="1119" w:type="pct"/>
            <w:shd w:val="clear" w:color="auto" w:fill="auto"/>
            <w:vAlign w:val="center"/>
          </w:tcPr>
          <w:p w:rsidR="00716FDC" w:rsidRDefault="00C83C33">
            <w:pPr>
              <w:pStyle w:val="Tabletext"/>
              <w:keepNext/>
              <w:keepLines/>
              <w:rPr>
                <w:rFonts w:ascii="Times" w:hAnsi="Times"/>
                <w:szCs w:val="22"/>
                <w:lang w:val="en-AU"/>
              </w:rPr>
            </w:pPr>
            <w:r>
              <w:rPr>
                <w:szCs w:val="22"/>
                <w:lang w:val="en-AU"/>
              </w:rPr>
              <w:t>Number of patients treated</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r w:rsidR="00716FDC">
        <w:tc>
          <w:tcPr>
            <w:tcW w:w="1119" w:type="pct"/>
            <w:shd w:val="clear" w:color="auto" w:fill="auto"/>
            <w:vAlign w:val="center"/>
          </w:tcPr>
          <w:p w:rsidR="00716FDC" w:rsidRDefault="00C83C33">
            <w:pPr>
              <w:pStyle w:val="Tabletext"/>
              <w:keepNext/>
              <w:keepLines/>
              <w:rPr>
                <w:rFonts w:ascii="Times" w:hAnsi="Times"/>
                <w:szCs w:val="22"/>
                <w:lang w:val="en-AU"/>
              </w:rPr>
            </w:pPr>
            <w:r>
              <w:rPr>
                <w:szCs w:val="22"/>
                <w:lang w:val="en-AU"/>
              </w:rPr>
              <w:t>Number of scripts dispensed</w:t>
            </w:r>
            <w:r>
              <w:rPr>
                <w:szCs w:val="22"/>
                <w:vertAlign w:val="superscript"/>
                <w:lang w:val="en-AU"/>
              </w:rPr>
              <w:t>a</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r w:rsidR="00716FDC">
        <w:tc>
          <w:tcPr>
            <w:tcW w:w="5000" w:type="pct"/>
            <w:gridSpan w:val="7"/>
            <w:shd w:val="clear" w:color="auto" w:fill="auto"/>
            <w:vAlign w:val="center"/>
          </w:tcPr>
          <w:p w:rsidR="00716FDC" w:rsidRDefault="00C83C33">
            <w:pPr>
              <w:pStyle w:val="Tabletext"/>
              <w:keepNext/>
              <w:keepLines/>
              <w:rPr>
                <w:b/>
                <w:bCs/>
                <w:color w:val="000000"/>
                <w:szCs w:val="22"/>
                <w:lang w:val="en-AU"/>
              </w:rPr>
            </w:pPr>
            <w:r>
              <w:rPr>
                <w:b/>
                <w:bCs/>
                <w:color w:val="000000"/>
                <w:szCs w:val="22"/>
                <w:lang w:val="en-AU"/>
              </w:rPr>
              <w:t>Estimated financial implications of Symbicort</w:t>
            </w:r>
          </w:p>
        </w:tc>
      </w:tr>
      <w:tr w:rsidR="00716FDC">
        <w:tc>
          <w:tcPr>
            <w:tcW w:w="1119" w:type="pct"/>
            <w:shd w:val="clear" w:color="auto" w:fill="auto"/>
            <w:vAlign w:val="center"/>
          </w:tcPr>
          <w:p w:rsidR="00716FDC" w:rsidRDefault="00C83C33">
            <w:pPr>
              <w:pStyle w:val="Tabletext"/>
              <w:keepNext/>
              <w:keepLines/>
              <w:rPr>
                <w:sz w:val="19"/>
                <w:szCs w:val="19"/>
                <w:lang w:val="en-AU"/>
              </w:rPr>
            </w:pPr>
            <w:r>
              <w:rPr>
                <w:lang w:val="en-AU"/>
              </w:rPr>
              <w:t>Net total c</w:t>
            </w:r>
            <w:r>
              <w:t>ost to the PBS/RPBS</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r w:rsidR="00716FDC">
        <w:tc>
          <w:tcPr>
            <w:tcW w:w="1119" w:type="pct"/>
            <w:shd w:val="clear" w:color="auto" w:fill="auto"/>
            <w:vAlign w:val="center"/>
          </w:tcPr>
          <w:p w:rsidR="00716FDC" w:rsidRDefault="00C83C33">
            <w:pPr>
              <w:pStyle w:val="Tabletext"/>
              <w:keepNext/>
              <w:keepLines/>
              <w:rPr>
                <w:sz w:val="19"/>
                <w:szCs w:val="19"/>
                <w:lang w:val="en-AU"/>
              </w:rPr>
            </w:pPr>
            <w:r>
              <w:rPr>
                <w:sz w:val="19"/>
                <w:szCs w:val="19"/>
                <w:lang w:val="en-AU"/>
              </w:rPr>
              <w:t>Cost to PBS/RPBS less copayments</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r w:rsidR="00716FDC">
        <w:tc>
          <w:tcPr>
            <w:tcW w:w="5000" w:type="pct"/>
            <w:gridSpan w:val="7"/>
            <w:shd w:val="clear" w:color="auto" w:fill="auto"/>
            <w:vAlign w:val="center"/>
          </w:tcPr>
          <w:p w:rsidR="00716FDC" w:rsidRDefault="00C83C33">
            <w:pPr>
              <w:pStyle w:val="Tabletext"/>
              <w:keepNext/>
              <w:keepLines/>
              <w:rPr>
                <w:bCs/>
                <w:color w:val="000000"/>
                <w:szCs w:val="22"/>
                <w:lang w:val="en-AU"/>
              </w:rPr>
            </w:pPr>
            <w:r>
              <w:rPr>
                <w:b/>
                <w:bCs/>
                <w:color w:val="000000"/>
                <w:szCs w:val="22"/>
                <w:lang w:val="en-AU"/>
              </w:rPr>
              <w:t>Estimated financial implications for ICS</w:t>
            </w:r>
          </w:p>
        </w:tc>
      </w:tr>
      <w:tr w:rsidR="00716FDC">
        <w:tc>
          <w:tcPr>
            <w:tcW w:w="1119" w:type="pct"/>
            <w:shd w:val="clear" w:color="auto" w:fill="auto"/>
            <w:vAlign w:val="center"/>
          </w:tcPr>
          <w:p w:rsidR="00716FDC" w:rsidRDefault="00C83C33">
            <w:pPr>
              <w:pStyle w:val="Tabletext"/>
              <w:keepNext/>
              <w:keepLines/>
              <w:rPr>
                <w:sz w:val="19"/>
                <w:szCs w:val="19"/>
                <w:lang w:val="en-AU"/>
              </w:rPr>
            </w:pPr>
            <w:r>
              <w:rPr>
                <w:rFonts w:cs="Arial"/>
              </w:rPr>
              <w:t>Cost-offsets to PBS/RPBS</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rFonts w:cs="Arial"/>
                <w:bCs/>
                <w:noProof/>
                <w:color w:val="000000"/>
                <w:highlight w:val="black"/>
              </w:rPr>
              <w:t>''''''''''''''''''''''''''''</w:t>
            </w:r>
          </w:p>
        </w:tc>
      </w:tr>
      <w:tr w:rsidR="00716FDC">
        <w:tc>
          <w:tcPr>
            <w:tcW w:w="5000" w:type="pct"/>
            <w:gridSpan w:val="7"/>
            <w:shd w:val="clear" w:color="auto" w:fill="auto"/>
            <w:vAlign w:val="center"/>
          </w:tcPr>
          <w:p w:rsidR="00716FDC" w:rsidRDefault="00C83C33">
            <w:pPr>
              <w:pStyle w:val="Tabletext"/>
              <w:keepNext/>
              <w:keepLines/>
              <w:rPr>
                <w:b/>
                <w:bCs/>
                <w:color w:val="000000"/>
                <w:szCs w:val="22"/>
                <w:lang w:val="en-AU"/>
              </w:rPr>
            </w:pPr>
            <w:r>
              <w:rPr>
                <w:b/>
                <w:bCs/>
                <w:color w:val="000000"/>
                <w:szCs w:val="22"/>
                <w:lang w:val="en-AU"/>
              </w:rPr>
              <w:t>Net financial implications</w:t>
            </w:r>
          </w:p>
        </w:tc>
      </w:tr>
      <w:tr w:rsidR="00716FDC">
        <w:tc>
          <w:tcPr>
            <w:tcW w:w="1119" w:type="pct"/>
            <w:shd w:val="clear" w:color="auto" w:fill="auto"/>
            <w:vAlign w:val="center"/>
          </w:tcPr>
          <w:p w:rsidR="00716FDC" w:rsidRDefault="00C83C33">
            <w:pPr>
              <w:pStyle w:val="Tabletext"/>
              <w:keepNext/>
              <w:keepLines/>
              <w:rPr>
                <w:sz w:val="19"/>
                <w:szCs w:val="19"/>
                <w:lang w:val="en-AU"/>
              </w:rPr>
            </w:pPr>
            <w:r>
              <w:rPr>
                <w:sz w:val="19"/>
                <w:szCs w:val="19"/>
                <w:lang w:val="en-AU"/>
              </w:rPr>
              <w:t>Net cost to PBS/RPBS</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7" w:type="pct"/>
            <w:shd w:val="clear" w:color="auto" w:fill="auto"/>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c>
          <w:tcPr>
            <w:tcW w:w="646" w:type="pct"/>
            <w:vAlign w:val="center"/>
          </w:tcPr>
          <w:p w:rsidR="00716FDC" w:rsidRPr="005D40D2" w:rsidRDefault="005D40D2">
            <w:pPr>
              <w:pStyle w:val="Tabletext"/>
              <w:keepNext/>
              <w:keepLines/>
              <w:jc w:val="center"/>
              <w:rPr>
                <w:bCs/>
                <w:color w:val="000000"/>
                <w:szCs w:val="22"/>
                <w:highlight w:val="black"/>
                <w:lang w:val="en-AU"/>
              </w:rPr>
            </w:pPr>
            <w:r>
              <w:rPr>
                <w:noProof/>
                <w:color w:val="000000"/>
                <w:highlight w:val="black"/>
              </w:rPr>
              <w:t>''''''''''''''''''''''''''''</w:t>
            </w:r>
          </w:p>
        </w:tc>
      </w:tr>
    </w:tbl>
    <w:p w:rsidR="00716FDC" w:rsidRDefault="00C83C33">
      <w:pPr>
        <w:pStyle w:val="TableFooter"/>
        <w:keepNext/>
        <w:keepLines/>
        <w:jc w:val="left"/>
      </w:pPr>
      <w:r>
        <w:t xml:space="preserve">Source: </w:t>
      </w:r>
      <w:r>
        <w:rPr>
          <w:lang w:val="en-AU"/>
        </w:rPr>
        <w:t>Compiled during the evaluation</w:t>
      </w:r>
      <w:r>
        <w:t xml:space="preserve"> </w:t>
      </w:r>
    </w:p>
    <w:p w:rsidR="00716FDC" w:rsidRDefault="00C83C33">
      <w:pPr>
        <w:pStyle w:val="TableFooter"/>
        <w:keepNext/>
        <w:keepLines/>
        <w:jc w:val="left"/>
        <w:rPr>
          <w:lang w:val="en-AU"/>
        </w:rPr>
      </w:pPr>
      <w:r>
        <w:rPr>
          <w:lang w:val="en-AU"/>
        </w:rPr>
        <w:t>ICS</w:t>
      </w:r>
      <w:r>
        <w:t xml:space="preserve"> = </w:t>
      </w:r>
      <w:r>
        <w:rPr>
          <w:lang w:val="en-AU"/>
        </w:rPr>
        <w:t xml:space="preserve">inhaled corticosteroid; </w:t>
      </w:r>
      <w:r>
        <w:t xml:space="preserve">PBS = </w:t>
      </w:r>
      <w:r>
        <w:rPr>
          <w:lang w:val="en-AU"/>
        </w:rPr>
        <w:t>p</w:t>
      </w:r>
      <w:r>
        <w:t xml:space="preserve">harmaceutical </w:t>
      </w:r>
      <w:r>
        <w:rPr>
          <w:lang w:val="en-AU"/>
        </w:rPr>
        <w:t>b</w:t>
      </w:r>
      <w:r>
        <w:t xml:space="preserve">enefits </w:t>
      </w:r>
      <w:r>
        <w:rPr>
          <w:lang w:val="en-AU"/>
        </w:rPr>
        <w:t>s</w:t>
      </w:r>
      <w:r>
        <w:t>cheme</w:t>
      </w:r>
      <w:r>
        <w:rPr>
          <w:lang w:val="en-AU"/>
        </w:rPr>
        <w:t xml:space="preserve">; </w:t>
      </w:r>
      <w:r>
        <w:t xml:space="preserve">RPBS = </w:t>
      </w:r>
      <w:r>
        <w:rPr>
          <w:lang w:val="en-AU"/>
        </w:rPr>
        <w:t>r</w:t>
      </w:r>
      <w:r>
        <w:t xml:space="preserve">epatriation </w:t>
      </w:r>
      <w:r>
        <w:rPr>
          <w:lang w:val="en-AU"/>
        </w:rPr>
        <w:t>p</w:t>
      </w:r>
      <w:r>
        <w:t xml:space="preserve">harmaceutical </w:t>
      </w:r>
      <w:r>
        <w:rPr>
          <w:lang w:val="en-AU"/>
        </w:rPr>
        <w:t>b</w:t>
      </w:r>
      <w:r>
        <w:t xml:space="preserve">enefits </w:t>
      </w:r>
      <w:r>
        <w:rPr>
          <w:lang w:val="en-AU"/>
        </w:rPr>
        <w:t>s</w:t>
      </w:r>
      <w:r>
        <w:t>cheme</w:t>
      </w:r>
    </w:p>
    <w:p w:rsidR="00716FDC" w:rsidRDefault="00C83C33">
      <w:pPr>
        <w:pStyle w:val="TableFooter"/>
        <w:keepNext/>
        <w:keepLines/>
      </w:pPr>
      <w:r>
        <w:rPr>
          <w:vertAlign w:val="superscript"/>
        </w:rPr>
        <w:t>a</w:t>
      </w:r>
      <w:r>
        <w:rPr>
          <w:vertAlign w:val="superscript"/>
          <w:lang w:val="en-AU"/>
        </w:rPr>
        <w:t xml:space="preserve"> </w:t>
      </w:r>
      <w:r>
        <w:rPr>
          <w:lang w:val="en-AU"/>
        </w:rPr>
        <w:t>A</w:t>
      </w:r>
      <w:r>
        <w:t>verage number of units per year based on the average dose (83.2</w:t>
      </w:r>
      <w:r>
        <w:rPr>
          <w:lang w:val="en-AU"/>
        </w:rPr>
        <w:t xml:space="preserve"> </w:t>
      </w:r>
      <w:r>
        <w:t>mcg/day) in SYGMA 2 trial and inhalations per Symbicort pack</w:t>
      </w:r>
    </w:p>
    <w:p w:rsidR="00716FDC" w:rsidRDefault="00716FDC">
      <w:pPr>
        <w:keepNext/>
        <w:widowControl/>
        <w:rPr>
          <w:rFonts w:cs="Calibri"/>
          <w:i/>
          <w:u w:val="single"/>
          <w:lang w:val="en-US"/>
        </w:rPr>
      </w:pPr>
    </w:p>
    <w:p w:rsidR="00716FDC" w:rsidRDefault="00C83C33">
      <w:pPr>
        <w:pStyle w:val="ListParagraph"/>
        <w:widowControl/>
        <w:numPr>
          <w:ilvl w:val="1"/>
          <w:numId w:val="2"/>
        </w:numPr>
      </w:pPr>
      <w:r>
        <w:rPr>
          <w:rFonts w:ascii="Calibri" w:hAnsi="Calibri" w:cs="Calibri"/>
          <w:sz w:val="24"/>
          <w:lang w:val="en-US"/>
        </w:rPr>
        <w:t xml:space="preserve">Based on the recommendations from the GINA (2019) framework, a substantially increased number of patients would be likely to take up Symbicort, i.e. over 200,000 </w:t>
      </w:r>
      <w:r>
        <w:rPr>
          <w:rFonts w:ascii="Calibri" w:hAnsi="Calibri" w:cs="Calibri"/>
          <w:sz w:val="24"/>
          <w:lang w:val="en-US"/>
        </w:rPr>
        <w:lastRenderedPageBreak/>
        <w:t xml:space="preserve">in Year 1, increasing to over 200,000 in Year 6. The estimated cost of Symbicort to the PBS/RPBS was $30 - $60  million in Year 1, increasing to $30-$60  million in Year 6. The </w:t>
      </w:r>
      <w:r w:rsidR="00AA3285">
        <w:rPr>
          <w:rFonts w:ascii="Calibri" w:hAnsi="Calibri" w:cs="Calibri"/>
          <w:sz w:val="24"/>
          <w:lang w:val="en-US"/>
        </w:rPr>
        <w:t>PSCR argued</w:t>
      </w:r>
      <w:r>
        <w:rPr>
          <w:rFonts w:ascii="Calibri" w:hAnsi="Calibri" w:cs="Calibri"/>
          <w:sz w:val="24"/>
          <w:lang w:val="en-US"/>
        </w:rPr>
        <w:t xml:space="preserve"> that the scenario analysis was not applicable as the financial modelling in the submission was based on patients eligible for step 2 of the NAC guidelines. DUSC considered that the scenario analysis was likely an overestimate, particularly in Year 1, as 100% of people will not present to a GP or emergency room, and 80% uptake in Year 1 is unlikely.</w:t>
      </w:r>
      <w:r>
        <w:rPr>
          <w:i/>
        </w:rPr>
        <w:t xml:space="preserve">  </w:t>
      </w:r>
    </w:p>
    <w:p w:rsidR="00716FDC" w:rsidRDefault="00C83C33">
      <w:pPr>
        <w:pStyle w:val="Heading2"/>
      </w:pPr>
      <w:r>
        <w:t>Quality Use of Medicines</w:t>
      </w:r>
      <w:bookmarkEnd w:id="21"/>
    </w:p>
    <w:p w:rsidR="00716FDC" w:rsidRDefault="00716FDC">
      <w:pPr>
        <w:rPr>
          <w:lang w:val="x-none"/>
        </w:rPr>
      </w:pPr>
    </w:p>
    <w:p w:rsidR="00716FDC" w:rsidRDefault="00C83C33">
      <w:pPr>
        <w:pStyle w:val="ListParagraph"/>
        <w:widowControl/>
        <w:numPr>
          <w:ilvl w:val="1"/>
          <w:numId w:val="2"/>
        </w:numPr>
        <w:rPr>
          <w:rFonts w:ascii="Calibri" w:hAnsi="Calibri" w:cs="Calibri"/>
          <w:sz w:val="24"/>
          <w:lang w:val="en-US"/>
        </w:rPr>
      </w:pPr>
      <w:r>
        <w:rPr>
          <w:rFonts w:ascii="Calibri" w:hAnsi="Calibri" w:cs="Calibri"/>
          <w:sz w:val="24"/>
          <w:lang w:val="en-US"/>
        </w:rPr>
        <w:t>A number of quality use of medicines initiatives for patients and healthcare professionals were proposed by the sponsor to ensure the appropriate use of Symbicort. The initiatives included the continuous update of the NAC guidelines and the provision of education for patients/cares and healthcare professionals regarding the risk of SABA over-reliance and the need for ICS due to the inflammatory nature of asthma.</w:t>
      </w:r>
    </w:p>
    <w:p w:rsidR="00716FDC" w:rsidRDefault="00C83C33">
      <w:pPr>
        <w:pStyle w:val="ListParagraph"/>
        <w:widowControl/>
        <w:numPr>
          <w:ilvl w:val="1"/>
          <w:numId w:val="2"/>
        </w:numPr>
        <w:rPr>
          <w:rFonts w:ascii="Calibri" w:hAnsi="Calibri" w:cs="Calibri"/>
          <w:sz w:val="24"/>
          <w:lang w:val="en-US"/>
        </w:rPr>
      </w:pPr>
      <w:r>
        <w:rPr>
          <w:rFonts w:ascii="Calibri" w:hAnsi="Calibri" w:cs="Calibri"/>
          <w:sz w:val="24"/>
          <w:lang w:val="en-US"/>
        </w:rPr>
        <w:t xml:space="preserve">The ESC considered that use of Symbicort, as proposed by the submission, may be particularly beneficial in the adolescent and pregnant women populations, potentially better and/or safer than SABA alone. However, the ESC noted that use of Symbicort in children less than 12 years is not in accordance with the proposed restriction and, as such, advised that provider education will be required in order to prevent inappropriate use in this population. The PBAC considered that provider education will also be required to prevent inappropriate use of Symbicort as needed in allergen-induced or </w:t>
      </w:r>
      <w:r>
        <w:rPr>
          <w:rFonts w:asciiTheme="minorHAnsi" w:hAnsiTheme="minorHAnsi" w:cstheme="minorHAnsi"/>
          <w:sz w:val="24"/>
          <w:szCs w:val="24"/>
        </w:rPr>
        <w:t>exercise-induced bronchoconstriction</w:t>
      </w:r>
      <w:r>
        <w:rPr>
          <w:rFonts w:ascii="Calibri" w:hAnsi="Calibri" w:cs="Calibri"/>
          <w:sz w:val="24"/>
          <w:lang w:val="en-US"/>
        </w:rPr>
        <w:t xml:space="preserve"> and also in patients without asthma who have an upper respiratory tract infection. </w:t>
      </w:r>
    </w:p>
    <w:p w:rsidR="00716FDC" w:rsidRDefault="00C83C33">
      <w:pPr>
        <w:pStyle w:val="ListParagraph"/>
        <w:widowControl/>
        <w:numPr>
          <w:ilvl w:val="1"/>
          <w:numId w:val="2"/>
        </w:numPr>
        <w:rPr>
          <w:rFonts w:ascii="Calibri" w:hAnsi="Calibri" w:cs="Calibri"/>
          <w:sz w:val="24"/>
          <w:lang w:val="en-US"/>
        </w:rPr>
      </w:pPr>
      <w:r>
        <w:rPr>
          <w:rFonts w:ascii="Calibri" w:hAnsi="Calibri" w:cs="Calibri"/>
          <w:sz w:val="24"/>
          <w:lang w:val="en-US"/>
        </w:rPr>
        <w:t xml:space="preserve">DUSC questioned whether the intention is to replace SABA with Symbicort for emergency use, such as in hospitals and doctor’s bags. The pre-PBAC response  stated that, at this stage, the sponsor has no intention to seek an indication in these settings.  </w:t>
      </w:r>
      <w:r>
        <w:rPr>
          <w:rFonts w:ascii="Calibri" w:hAnsi="Calibri" w:cs="Calibri"/>
          <w:sz w:val="24"/>
          <w:lang w:val="en-US"/>
        </w:rPr>
        <w:br/>
      </w:r>
      <w:r>
        <w:rPr>
          <w:rFonts w:ascii="Calibri" w:hAnsi="Calibri" w:cs="Calibri"/>
          <w:sz w:val="24"/>
          <w:lang w:val="en-US"/>
        </w:rPr>
        <w:br/>
      </w:r>
      <w:r>
        <w:rPr>
          <w:rFonts w:ascii="Calibri" w:hAnsi="Calibri" w:cs="Calibri"/>
          <w:i/>
          <w:sz w:val="24"/>
          <w:lang w:val="en-US"/>
        </w:rPr>
        <w:t xml:space="preserve">For more detail on PBAC’s view, see section 7 PBAC outcome. </w:t>
      </w:r>
    </w:p>
    <w:p w:rsidR="00716FDC" w:rsidRDefault="00C83C33">
      <w:pPr>
        <w:pStyle w:val="2Sections"/>
        <w:numPr>
          <w:ilvl w:val="0"/>
          <w:numId w:val="2"/>
        </w:numPr>
      </w:pPr>
      <w:r>
        <w:t>PBAC Outcome</w:t>
      </w:r>
    </w:p>
    <w:p w:rsidR="00716FDC" w:rsidRDefault="00C83C33">
      <w:pPr>
        <w:numPr>
          <w:ilvl w:val="1"/>
          <w:numId w:val="2"/>
        </w:numPr>
        <w:spacing w:after="160"/>
        <w:rPr>
          <w:rFonts w:asciiTheme="minorHAnsi" w:hAnsiTheme="minorHAnsi"/>
          <w:bCs/>
          <w:lang w:val="en-GB"/>
        </w:rPr>
      </w:pPr>
      <w:r>
        <w:rPr>
          <w:rFonts w:asciiTheme="minorHAnsi" w:hAnsiTheme="minorHAnsi"/>
          <w:bCs/>
          <w:lang w:val="en-GB"/>
        </w:rPr>
        <w:t xml:space="preserve">The PBAC did not recommend an extension of the current Authority Required (STREAMLINED) listing for budesonide with formoterol fixed dose combination (Symbicort) for asthma to include use as an anti-inflammatory reliever therapy administered as needed for adolescent and adult patients with mild asthma. This recommendation was primarily based on concerns regarding the claim of non-inferior clinical effectiveness compared with ICS+SABA, the approach taken in the cost-minimisation analysis, and that the financial consequences of listing were uncertain. </w:t>
      </w:r>
    </w:p>
    <w:p w:rsidR="00716FDC" w:rsidRDefault="00C83C33">
      <w:pPr>
        <w:numPr>
          <w:ilvl w:val="1"/>
          <w:numId w:val="2"/>
        </w:numPr>
        <w:spacing w:after="160"/>
        <w:rPr>
          <w:rFonts w:asciiTheme="minorHAnsi" w:hAnsiTheme="minorHAnsi"/>
          <w:bCs/>
          <w:lang w:val="en-GB"/>
        </w:rPr>
      </w:pPr>
      <w:r>
        <w:rPr>
          <w:rFonts w:asciiTheme="minorHAnsi" w:hAnsiTheme="minorHAnsi"/>
          <w:bCs/>
          <w:lang w:val="en-GB"/>
        </w:rPr>
        <w:t xml:space="preserve">The PBAC noted the consumer comments from three key asthma related organisations (NAC, Asthma Australia and The Lung Foundation).  The PBAC was </w:t>
      </w:r>
      <w:r>
        <w:rPr>
          <w:rFonts w:asciiTheme="minorHAnsi" w:hAnsiTheme="minorHAnsi"/>
          <w:bCs/>
          <w:lang w:val="en-GB"/>
        </w:rPr>
        <w:lastRenderedPageBreak/>
        <w:t xml:space="preserve">concerned that while they </w:t>
      </w:r>
      <w:r>
        <w:rPr>
          <w:rFonts w:asciiTheme="minorHAnsi" w:hAnsiTheme="minorHAnsi"/>
          <w:bCs/>
        </w:rPr>
        <w:t xml:space="preserve">described benefits of treatment with Symbicort, the Asthma Australia comments raised concerns over how the requested listing would be implemented in practice. </w:t>
      </w:r>
    </w:p>
    <w:p w:rsidR="00716FDC" w:rsidRDefault="00C83C33">
      <w:pPr>
        <w:numPr>
          <w:ilvl w:val="1"/>
          <w:numId w:val="2"/>
        </w:numPr>
        <w:spacing w:after="160"/>
        <w:rPr>
          <w:rFonts w:asciiTheme="minorHAnsi" w:hAnsiTheme="minorHAnsi"/>
          <w:bCs/>
        </w:rPr>
      </w:pPr>
      <w:r>
        <w:rPr>
          <w:rFonts w:asciiTheme="minorHAnsi" w:hAnsiTheme="minorHAnsi"/>
          <w:bCs/>
          <w:lang w:val="en-GB"/>
        </w:rPr>
        <w:t xml:space="preserve">The PBAC noted that the PSCR  confirmed that the intent of the proposed restriction was to allow Symbicort to be reimbursed as an alternative to ICS+SABA in patients requiring step 2 of the NAC (2019) guidelines. The PBAC considered the proposed place in therapy appropriate and consistent with the proposed TGA indication. However, the PBAC also agreed with the ESC that, as the guidelines recommend that most patients with mild asthma initiate treatment with ICS+SABA (i.e. step 2) rather than a SABA (i.e. step 1), the proposed PBS population is broader than the submission PICO and the clinical trial evidence presented as the latter do not include treatment-naïve patients. </w:t>
      </w:r>
    </w:p>
    <w:p w:rsidR="00716FDC" w:rsidRDefault="00C83C33">
      <w:pPr>
        <w:numPr>
          <w:ilvl w:val="1"/>
          <w:numId w:val="2"/>
        </w:numPr>
        <w:spacing w:after="160"/>
        <w:rPr>
          <w:rFonts w:asciiTheme="minorHAnsi" w:hAnsiTheme="minorHAnsi"/>
          <w:bCs/>
        </w:rPr>
      </w:pPr>
      <w:r>
        <w:rPr>
          <w:rFonts w:asciiTheme="minorHAnsi" w:hAnsiTheme="minorHAnsi"/>
          <w:bCs/>
        </w:rPr>
        <w:t xml:space="preserve">The PBAC considered that ICS+SABA was the appropriate main comparator considering the proposed place in therapy. </w:t>
      </w:r>
    </w:p>
    <w:p w:rsidR="00716FDC" w:rsidRDefault="00C83C33">
      <w:pPr>
        <w:numPr>
          <w:ilvl w:val="1"/>
          <w:numId w:val="2"/>
        </w:numPr>
        <w:spacing w:after="160"/>
        <w:rPr>
          <w:rFonts w:asciiTheme="minorHAnsi" w:hAnsiTheme="minorHAnsi"/>
          <w:bCs/>
        </w:rPr>
      </w:pPr>
      <w:r>
        <w:rPr>
          <w:rFonts w:asciiTheme="minorHAnsi" w:hAnsiTheme="minorHAnsi"/>
          <w:bCs/>
        </w:rPr>
        <w:t xml:space="preserve">The PBAC agreed with the ESC that the comparison with SABA was not appropriate as the intention is that Symbicort be used at step 2 of the NAC guidelines, where an ICS is indicated. The PBAC noted the </w:t>
      </w:r>
      <w:r>
        <w:rPr>
          <w:rFonts w:cs="Calibri"/>
          <w:lang w:val="en-US"/>
        </w:rPr>
        <w:t>recent update of the GINA (2019) framework with SABA as needed treatment no longer recommended at step 1 and as such, patients at any disease severity would likely be initiated on Symbicort. The PBAC agreed with the ESC that there was no clinical evidence presented to support the use of Symbicort in this population or to conduct an economic evaluation in this line of therapy.</w:t>
      </w:r>
    </w:p>
    <w:p w:rsidR="00716FDC" w:rsidRDefault="00C83C33">
      <w:pPr>
        <w:numPr>
          <w:ilvl w:val="1"/>
          <w:numId w:val="2"/>
        </w:numPr>
        <w:spacing w:after="160"/>
        <w:rPr>
          <w:rFonts w:asciiTheme="minorHAnsi" w:hAnsiTheme="minorHAnsi"/>
          <w:bCs/>
        </w:rPr>
      </w:pPr>
      <w:r>
        <w:rPr>
          <w:rFonts w:asciiTheme="minorHAnsi" w:hAnsiTheme="minorHAnsi"/>
          <w:bCs/>
        </w:rPr>
        <w:t xml:space="preserve">The PBAC noted the key clinical trial evidence supporting the proposed listing and the two different primary outcomes for the two main studies, that is, well controlled asthma weeks (WCAW) for SYGMA 1 and rate of severe exacerbations for SYGMA 2. The PBAC was concerned the SYGMA 1 trial reported that Symbicort had 36% lower odds of achieving a WCAW compared to ICS+SABA in SYGMA 1 (OR 0.64, 95% CI:0.57, 0.73). In addition, the PBAC was concerned regarding the submissions claim of non-inferiority compared to ICS+SABA for the primary outcome in the SYGMA 2 trial. No significant differences in the annual rate of severe asthma exacerbations was reported in SYGMA 2 between Symbicort and ICS+SABA arms (RR = 0.97, 1-sided upper 95% CI: 1.16). The PBAC noted that non-inferiority was declared when the upper 95% CI of the severe asthma exacerbation rate ratio (Symbicort vs ICS+SABA) was &lt; 1.20. The PBAC agreed with the ESC that, as per EMA guidelines for when trial objectives change from demonstrating superiority to non-inferiority, a 97.5% CI would be more appropriate.  As such, the PBAC considered that the non-inferiority claim was not robust as the upper limit of the 97.5% CI was 1.20 for the supportive efficacy analysis. </w:t>
      </w:r>
    </w:p>
    <w:p w:rsidR="00716FDC" w:rsidRDefault="00C83C33">
      <w:pPr>
        <w:numPr>
          <w:ilvl w:val="1"/>
          <w:numId w:val="2"/>
        </w:numPr>
        <w:spacing w:after="160"/>
        <w:rPr>
          <w:rFonts w:asciiTheme="minorHAnsi" w:hAnsiTheme="minorHAnsi"/>
          <w:bCs/>
          <w:lang w:val="en-GB"/>
        </w:rPr>
      </w:pPr>
      <w:r>
        <w:rPr>
          <w:rFonts w:asciiTheme="minorHAnsi" w:hAnsiTheme="minorHAnsi"/>
          <w:bCs/>
        </w:rPr>
        <w:t xml:space="preserve">Due to concerns with the results reported for severe asthma exacerbations and WCAW, the PBAC considered that the claim of </w:t>
      </w:r>
      <w:r>
        <w:rPr>
          <w:rFonts w:cs="Calibri"/>
          <w:szCs w:val="24"/>
        </w:rPr>
        <w:t xml:space="preserve">non-inferior comparative effectiveness versus ICS+SABA </w:t>
      </w:r>
      <w:r>
        <w:rPr>
          <w:rFonts w:asciiTheme="minorHAnsi" w:hAnsiTheme="minorHAnsi"/>
          <w:bCs/>
        </w:rPr>
        <w:t>was uncertain.</w:t>
      </w:r>
    </w:p>
    <w:p w:rsidR="00716FDC" w:rsidRDefault="00C83C33">
      <w:pPr>
        <w:numPr>
          <w:ilvl w:val="1"/>
          <w:numId w:val="2"/>
        </w:numPr>
        <w:spacing w:after="160"/>
        <w:rPr>
          <w:rFonts w:asciiTheme="minorHAnsi" w:hAnsiTheme="minorHAnsi"/>
          <w:bCs/>
          <w:lang w:val="en-GB"/>
        </w:rPr>
      </w:pPr>
      <w:r>
        <w:rPr>
          <w:rFonts w:cs="Calibri"/>
          <w:szCs w:val="24"/>
        </w:rPr>
        <w:t xml:space="preserve">The PBAC noted that the asthma exacerbation and symptom control outcomes </w:t>
      </w:r>
      <w:r>
        <w:rPr>
          <w:rFonts w:cs="Calibri"/>
          <w:szCs w:val="24"/>
        </w:rPr>
        <w:lastRenderedPageBreak/>
        <w:t>reported for Symbicort were achieved with a lower level of ICS use than reported in the ICS+SABA arms of the SYGMA 1 and SYGMA 2 trials. In addition, the</w:t>
      </w:r>
      <w:r>
        <w:rPr>
          <w:rFonts w:asciiTheme="minorHAnsi" w:hAnsiTheme="minorHAnsi"/>
          <w:bCs/>
          <w:lang w:val="en-GB"/>
        </w:rPr>
        <w:t xml:space="preserve"> PBAC noted that there were no significant safety differences reported between Symbicort and ICS+SABA. The PBAC considered the </w:t>
      </w:r>
      <w:r>
        <w:rPr>
          <w:rFonts w:cs="Calibri"/>
          <w:szCs w:val="24"/>
        </w:rPr>
        <w:t>claim of comparable safety versus ICS+SABA as needed was reasonable.</w:t>
      </w:r>
    </w:p>
    <w:p w:rsidR="00716FDC" w:rsidRDefault="00C83C33">
      <w:pPr>
        <w:numPr>
          <w:ilvl w:val="1"/>
          <w:numId w:val="2"/>
        </w:numPr>
        <w:spacing w:after="160"/>
        <w:rPr>
          <w:rFonts w:asciiTheme="minorHAnsi" w:hAnsiTheme="minorHAnsi"/>
          <w:bCs/>
          <w:lang w:val="en-GB"/>
        </w:rPr>
      </w:pPr>
      <w:r>
        <w:rPr>
          <w:rFonts w:asciiTheme="minorHAnsi" w:hAnsiTheme="minorHAnsi"/>
          <w:bCs/>
        </w:rPr>
        <w:t xml:space="preserve">In considering the applicability of the trial data, the PBAC agreed with the ESC that the Australian population for which Symbicort is proposed to be used is likely to be a population with milder asthma compared to the populations included in the SYGMA trials as the Australian setting would include treatment-naïve patients. In addition, the PBAC considered that the lower rate of smoking observed in the trial populations may potentially impact the treatment effect of Symbicort as Australian patients may be more likely to have more frequent exacerbations due to smoking status. However, overall the PBAC considered the trial data applicable to step 2 of the NAC guidelines where most people with mild asthma will initiate therapy. </w:t>
      </w:r>
    </w:p>
    <w:p w:rsidR="00716FDC" w:rsidRDefault="00C83C33">
      <w:pPr>
        <w:numPr>
          <w:ilvl w:val="1"/>
          <w:numId w:val="2"/>
        </w:numPr>
        <w:spacing w:after="160"/>
        <w:rPr>
          <w:rFonts w:cs="Calibri"/>
          <w:szCs w:val="24"/>
        </w:rPr>
      </w:pPr>
      <w:r>
        <w:rPr>
          <w:rFonts w:cs="Calibri"/>
          <w:szCs w:val="24"/>
        </w:rPr>
        <w:t xml:space="preserve">The PBAC agreed with the ESC that, while the claim of non-inferior comparative effectiveness was not robust, the cost-minimisation analysis </w:t>
      </w:r>
      <w:r>
        <w:rPr>
          <w:rFonts w:asciiTheme="minorHAnsi" w:hAnsiTheme="minorHAnsi"/>
          <w:bCs/>
          <w:lang w:val="en-GB"/>
        </w:rPr>
        <w:t xml:space="preserve">versus ICS+SABA </w:t>
      </w:r>
      <w:r>
        <w:rPr>
          <w:rFonts w:cs="Calibri"/>
          <w:szCs w:val="24"/>
        </w:rPr>
        <w:t xml:space="preserve">was the most appropriate economic analysis for this submission. The PBAC noted that using AEMP, applying the correct therapeutic equivalent dose of salbutamol and excluding the use of private prices, the cost per patient per year for Symbicort was $6.79 more than ICS+SABA in mild asthma. In addition, the PBAC agreed with the ESC that patients </w:t>
      </w:r>
      <w:r>
        <w:rPr>
          <w:rFonts w:asciiTheme="minorHAnsi" w:hAnsiTheme="minorHAnsi"/>
          <w:bCs/>
          <w:lang w:val="en-GB"/>
        </w:rPr>
        <w:t xml:space="preserve">who use as needed asthma therapy are likely to have more than one Symbicort inhaler in use at a time as is often the case with SABAs, which would affect the results of </w:t>
      </w:r>
      <w:r>
        <w:rPr>
          <w:rFonts w:cs="Calibri"/>
          <w:szCs w:val="24"/>
        </w:rPr>
        <w:t xml:space="preserve">the cost-minimisation analysis. </w:t>
      </w:r>
      <w:r>
        <w:rPr>
          <w:rFonts w:asciiTheme="minorHAnsi" w:hAnsiTheme="minorHAnsi"/>
          <w:bCs/>
          <w:lang w:val="en-GB"/>
        </w:rPr>
        <w:t xml:space="preserve">As such, the PBAC considered that </w:t>
      </w:r>
      <w:r>
        <w:rPr>
          <w:rFonts w:cs="Calibri"/>
          <w:szCs w:val="24"/>
        </w:rPr>
        <w:t>the cost-minimisation analysis presented did not support the claim that, at the price requested, the cost of Symbicort to the health system is, at most, equivalent to ICS+SABA.  The PBAC considered that a cost-minimisation base case that incorporated the likelihood of a patient having more than one Symbicort inhaler in use at a time and a more conservative split between the Symbicort Turbuhaler 200/6 and Symbicort Rapihaler 100/3 devices would be more appropriate.</w:t>
      </w:r>
    </w:p>
    <w:p w:rsidR="00716FDC" w:rsidRDefault="00C83C33">
      <w:pPr>
        <w:numPr>
          <w:ilvl w:val="1"/>
          <w:numId w:val="2"/>
        </w:numPr>
        <w:spacing w:after="160"/>
        <w:rPr>
          <w:rFonts w:asciiTheme="minorHAnsi" w:hAnsiTheme="minorHAnsi"/>
          <w:bCs/>
          <w:lang w:val="en-GB"/>
        </w:rPr>
      </w:pPr>
      <w:r>
        <w:rPr>
          <w:rFonts w:asciiTheme="minorHAnsi" w:hAnsiTheme="minorHAnsi"/>
          <w:bCs/>
          <w:lang w:val="en-GB"/>
        </w:rPr>
        <w:t>The PBAC considered that the cost-utility analysis versus SABA was not informative for this submission</w:t>
      </w:r>
      <w:r>
        <w:rPr>
          <w:rFonts w:asciiTheme="minorHAnsi" w:hAnsiTheme="minorHAnsi"/>
          <w:bCs/>
        </w:rPr>
        <w:t xml:space="preserve"> due to the inappropriate (more severe) trial population for the comparison.</w:t>
      </w:r>
    </w:p>
    <w:p w:rsidR="00716FDC" w:rsidRDefault="00C83C33">
      <w:pPr>
        <w:numPr>
          <w:ilvl w:val="1"/>
          <w:numId w:val="2"/>
        </w:numPr>
        <w:spacing w:after="160"/>
        <w:rPr>
          <w:rFonts w:asciiTheme="minorHAnsi" w:hAnsiTheme="minorHAnsi"/>
          <w:bCs/>
          <w:lang w:val="en-GB"/>
        </w:rPr>
      </w:pPr>
      <w:r>
        <w:rPr>
          <w:rFonts w:asciiTheme="minorHAnsi" w:hAnsiTheme="minorHAnsi"/>
          <w:bCs/>
          <w:lang w:val="en-GB"/>
        </w:rPr>
        <w:t xml:space="preserve">The PBAC agreed with DUSC that the certainty around the financial estimates was low, with use likely to be high and beyond the proposed estimates. The PBAC disagreed with the pre-PBAC response that the average number of packs per patient per year proposed in the submission (1.58) was appropriate. </w:t>
      </w:r>
      <w:r>
        <w:rPr>
          <w:rFonts w:cs="Calibri"/>
          <w:szCs w:val="24"/>
        </w:rPr>
        <w:t>The PBAC noted the proposed Symbicort product information states that patients should be advised to always have Symbicort available for relief of symptoms and that a separate short-acting bronchodilator for relief of symptoms is not required. As such, the PBAC agreed with the DUSC that patients are likely to have more than one Symbicort inhaler in use at a time and considered that this would affect the financial estimates.</w:t>
      </w:r>
      <w:r>
        <w:rPr>
          <w:rFonts w:asciiTheme="minorHAnsi" w:hAnsiTheme="minorHAnsi"/>
          <w:bCs/>
          <w:lang w:val="en-GB"/>
        </w:rPr>
        <w:t xml:space="preserve"> The PBAC also </w:t>
      </w:r>
      <w:r>
        <w:rPr>
          <w:rFonts w:asciiTheme="minorHAnsi" w:hAnsiTheme="minorHAnsi"/>
          <w:bCs/>
          <w:lang w:val="en-GB"/>
        </w:rPr>
        <w:lastRenderedPageBreak/>
        <w:t xml:space="preserve">considered there was potential for an increased number of patients to commence treatment with Symbicort, instead of a low dose ICS. The PBAC considered that a Risk Sharing Arrangement may be required for Symbicort to address the risk of use beyond the proposed population and to address the uncertain financial estimates. </w:t>
      </w:r>
    </w:p>
    <w:p w:rsidR="00716FDC" w:rsidRDefault="00C83C33">
      <w:pPr>
        <w:numPr>
          <w:ilvl w:val="1"/>
          <w:numId w:val="2"/>
        </w:numPr>
        <w:spacing w:after="160"/>
        <w:rPr>
          <w:b/>
          <w:lang w:val="en-GB"/>
        </w:rPr>
      </w:pPr>
      <w:r>
        <w:rPr>
          <w:rFonts w:asciiTheme="minorHAnsi" w:hAnsiTheme="minorHAnsi"/>
          <w:bCs/>
          <w:lang w:val="en-GB"/>
        </w:rPr>
        <w:t xml:space="preserve">The PBAC considered that a number of quality use of medicines issues were evident for the proposed listing including the potential for inappropriate use in patients aged &lt; 12 years, in </w:t>
      </w:r>
      <w:r>
        <w:rPr>
          <w:rFonts w:asciiTheme="minorHAnsi" w:hAnsiTheme="minorHAnsi" w:cstheme="minorHAnsi"/>
          <w:szCs w:val="24"/>
        </w:rPr>
        <w:t>exercise-induced bronchoconstriction</w:t>
      </w:r>
      <w:r>
        <w:rPr>
          <w:rFonts w:asciiTheme="minorHAnsi" w:hAnsiTheme="minorHAnsi"/>
          <w:bCs/>
          <w:lang w:val="en-GB"/>
        </w:rPr>
        <w:t xml:space="preserve"> or in patients with an </w:t>
      </w:r>
      <w:r>
        <w:rPr>
          <w:rFonts w:cs="Calibri"/>
          <w:lang w:val="en-US"/>
        </w:rPr>
        <w:t>upper respiratory tract infection</w:t>
      </w:r>
      <w:r>
        <w:rPr>
          <w:rFonts w:asciiTheme="minorHAnsi" w:hAnsiTheme="minorHAnsi"/>
          <w:bCs/>
          <w:lang w:val="en-GB"/>
        </w:rPr>
        <w:t xml:space="preserve"> without asthma. </w:t>
      </w:r>
      <w:r>
        <w:rPr>
          <w:lang w:val="en-GB"/>
        </w:rPr>
        <w:t xml:space="preserve">The PBAC also considered the mixed consumer comments from major asthma related organisations highlighted confusion as to how the proposed listing would work in clinical practice. The PBAC noted that a number of </w:t>
      </w:r>
      <w:r>
        <w:rPr>
          <w:rFonts w:cs="Calibri"/>
          <w:lang w:val="en-US"/>
        </w:rPr>
        <w:t xml:space="preserve">quality use of medicines initiatives for patients and healthcare professionals were proposed by the sponsor but considered that more information was required to allay concerns regarding the potential for inappropriate use of Symbicort as needed in clinical practice. </w:t>
      </w:r>
    </w:p>
    <w:p w:rsidR="00716FDC" w:rsidRDefault="00C83C33">
      <w:pPr>
        <w:numPr>
          <w:ilvl w:val="1"/>
          <w:numId w:val="2"/>
        </w:numPr>
        <w:spacing w:after="160"/>
        <w:rPr>
          <w:b/>
          <w:lang w:val="en-GB"/>
        </w:rPr>
      </w:pPr>
      <w:r>
        <w:rPr>
          <w:lang w:val="en-GB"/>
        </w:rPr>
        <w:t xml:space="preserve">The PBAC recommended that, before making a resubmission, the sponsor consult with asthma related organisations such as the National Asthma Council, Asthma Australia and Lung Foundation Australia regarding how the proposed listing would likely work in clinical practice. The PBAC also advised that a resubmission would need to include a revised cost-minimisation analysis and financial estimates, noting that a Risk Sharing Arrangement which includes a cap may be the most appropriate way forward in addressing the financial uncertainty. </w:t>
      </w:r>
    </w:p>
    <w:p w:rsidR="00716FDC" w:rsidRDefault="00C83C33">
      <w:pPr>
        <w:numPr>
          <w:ilvl w:val="1"/>
          <w:numId w:val="2"/>
        </w:numPr>
        <w:spacing w:after="160"/>
        <w:rPr>
          <w:b/>
          <w:lang w:val="en-GB"/>
        </w:rPr>
      </w:pPr>
      <w:r>
        <w:rPr>
          <w:lang w:val="en-GB"/>
        </w:rPr>
        <w:t xml:space="preserve">The PBAC noted that this submission is eligible for an Independent Review. </w:t>
      </w:r>
    </w:p>
    <w:p w:rsidR="00716FDC" w:rsidRDefault="00C83C33">
      <w:pPr>
        <w:spacing w:before="240"/>
        <w:rPr>
          <w:rFonts w:asciiTheme="minorHAnsi" w:hAnsiTheme="minorHAnsi"/>
          <w:b/>
          <w:bCs/>
          <w:lang w:val="en-GB"/>
        </w:rPr>
      </w:pPr>
      <w:r>
        <w:rPr>
          <w:rFonts w:asciiTheme="minorHAnsi" w:hAnsiTheme="minorHAnsi"/>
          <w:b/>
          <w:bCs/>
          <w:lang w:val="en-GB"/>
        </w:rPr>
        <w:t>Outcome:</w:t>
      </w:r>
    </w:p>
    <w:p w:rsidR="00716FDC" w:rsidRDefault="00C83C33">
      <w:pPr>
        <w:rPr>
          <w:rFonts w:asciiTheme="minorHAnsi" w:hAnsiTheme="minorHAnsi"/>
          <w:bCs/>
          <w:lang w:val="en-GB"/>
        </w:rPr>
      </w:pPr>
      <w:r>
        <w:rPr>
          <w:rFonts w:asciiTheme="minorHAnsi" w:hAnsiTheme="minorHAnsi"/>
          <w:bCs/>
          <w:lang w:val="en-GB"/>
        </w:rPr>
        <w:t>Rejected</w:t>
      </w:r>
    </w:p>
    <w:p w:rsidR="00716FDC" w:rsidRDefault="00716FDC">
      <w:pPr>
        <w:rPr>
          <w:rFonts w:asciiTheme="minorHAnsi" w:hAnsiTheme="minorHAnsi"/>
          <w:bCs/>
          <w:lang w:val="en-GB"/>
        </w:rPr>
      </w:pPr>
    </w:p>
    <w:p w:rsidR="00716FDC" w:rsidRDefault="00C83C33">
      <w:pPr>
        <w:pStyle w:val="2Sections"/>
        <w:numPr>
          <w:ilvl w:val="0"/>
          <w:numId w:val="2"/>
        </w:numPr>
      </w:pPr>
      <w:r>
        <w:t>Context for Decision</w:t>
      </w:r>
    </w:p>
    <w:p w:rsidR="00716FDC" w:rsidRDefault="00C83C33">
      <w:pPr>
        <w:rPr>
          <w:rFonts w:asciiTheme="minorHAnsi" w:hAnsiTheme="minorHAnsi"/>
        </w:rPr>
      </w:pPr>
      <w:r>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16FDC" w:rsidRDefault="00716FDC">
      <w:pPr>
        <w:ind w:left="426"/>
        <w:rPr>
          <w:rFonts w:ascii="Arial" w:hAnsi="Arial"/>
          <w:sz w:val="22"/>
        </w:rPr>
      </w:pPr>
    </w:p>
    <w:p w:rsidR="00716FDC" w:rsidRDefault="00C83C33">
      <w:pPr>
        <w:pStyle w:val="2Sections"/>
        <w:numPr>
          <w:ilvl w:val="0"/>
          <w:numId w:val="2"/>
        </w:numPr>
      </w:pPr>
      <w:r>
        <w:t>Sponsor’s Comment</w:t>
      </w:r>
    </w:p>
    <w:p w:rsidR="00716FDC" w:rsidRDefault="00C83C33">
      <w:pPr>
        <w:spacing w:after="120"/>
        <w:rPr>
          <w:rFonts w:asciiTheme="minorHAnsi" w:hAnsiTheme="minorHAnsi"/>
          <w:bCs/>
        </w:rPr>
      </w:pPr>
      <w:r>
        <w:rPr>
          <w:rFonts w:asciiTheme="minorHAnsi" w:hAnsiTheme="minorHAnsi"/>
          <w:bCs/>
        </w:rPr>
        <w:t>The sponsor had no comment.</w:t>
      </w:r>
    </w:p>
    <w:p w:rsidR="00716FDC" w:rsidRDefault="00716FDC">
      <w:pPr>
        <w:rPr>
          <w:rFonts w:asciiTheme="minorHAnsi" w:hAnsiTheme="minorHAnsi"/>
          <w:bCs/>
          <w:lang w:val="en-GB"/>
        </w:rPr>
      </w:pPr>
    </w:p>
    <w:sectPr w:rsidR="00716FDC">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D6" w:rsidRDefault="006D01D6">
      <w:r>
        <w:separator/>
      </w:r>
    </w:p>
    <w:p w:rsidR="006D01D6" w:rsidRDefault="006D01D6"/>
  </w:endnote>
  <w:endnote w:type="continuationSeparator" w:id="0">
    <w:p w:rsidR="006D01D6" w:rsidRDefault="006D01D6">
      <w:r>
        <w:continuationSeparator/>
      </w:r>
    </w:p>
    <w:p w:rsidR="006D01D6" w:rsidRDefault="006D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D6" w:rsidRDefault="006D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968"/>
      <w:docPartObj>
        <w:docPartGallery w:val="Page Numbers (Bottom of Page)"/>
        <w:docPartUnique/>
      </w:docPartObj>
    </w:sdtPr>
    <w:sdtEndPr>
      <w:rPr>
        <w:rFonts w:asciiTheme="minorHAnsi" w:hAnsiTheme="minorHAnsi" w:cstheme="minorHAnsi"/>
        <w:b/>
        <w:noProof/>
        <w:sz w:val="24"/>
        <w:szCs w:val="24"/>
      </w:rPr>
    </w:sdtEndPr>
    <w:sdtContent>
      <w:p w:rsidR="006D01D6" w:rsidRDefault="006D01D6">
        <w:pPr>
          <w:pStyle w:val="Footer"/>
          <w:jc w:val="center"/>
        </w:pPr>
      </w:p>
      <w:p w:rsidR="006D01D6" w:rsidRDefault="006D01D6">
        <w:pPr>
          <w:pStyle w:val="Footer"/>
          <w:jc w:val="center"/>
          <w:rPr>
            <w:rFonts w:asciiTheme="minorHAnsi" w:hAnsiTheme="minorHAnsi" w:cstheme="minorHAnsi"/>
            <w:b/>
            <w:sz w:val="24"/>
            <w:szCs w:val="24"/>
          </w:rPr>
        </w:pPr>
        <w:r>
          <w:rPr>
            <w:rFonts w:asciiTheme="minorHAnsi" w:hAnsiTheme="minorHAnsi" w:cstheme="minorHAnsi"/>
            <w:b/>
            <w:sz w:val="24"/>
            <w:szCs w:val="24"/>
          </w:rPr>
          <w:fldChar w:fldCharType="begin"/>
        </w:r>
        <w:r>
          <w:rPr>
            <w:rFonts w:asciiTheme="minorHAnsi" w:hAnsiTheme="minorHAnsi" w:cstheme="minorHAnsi"/>
            <w:b/>
            <w:sz w:val="24"/>
            <w:szCs w:val="24"/>
          </w:rPr>
          <w:instrText xml:space="preserve"> PAGE   \* MERGEFORMAT </w:instrText>
        </w:r>
        <w:r>
          <w:rPr>
            <w:rFonts w:asciiTheme="minorHAnsi" w:hAnsiTheme="minorHAnsi" w:cstheme="minorHAnsi"/>
            <w:b/>
            <w:sz w:val="24"/>
            <w:szCs w:val="24"/>
          </w:rPr>
          <w:fldChar w:fldCharType="separate"/>
        </w:r>
        <w:r w:rsidR="00D2464D">
          <w:rPr>
            <w:rFonts w:asciiTheme="minorHAnsi" w:hAnsiTheme="minorHAnsi" w:cstheme="minorHAnsi"/>
            <w:b/>
            <w:noProof/>
            <w:sz w:val="24"/>
            <w:szCs w:val="24"/>
          </w:rPr>
          <w:t>30</w:t>
        </w:r>
        <w:r>
          <w:rPr>
            <w:rFonts w:asciiTheme="minorHAnsi" w:hAnsiTheme="minorHAnsi" w:cstheme="minorHAnsi"/>
            <w:b/>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D6" w:rsidRDefault="006D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D6" w:rsidRDefault="006D01D6">
      <w:r>
        <w:separator/>
      </w:r>
    </w:p>
    <w:p w:rsidR="006D01D6" w:rsidRDefault="006D01D6"/>
  </w:footnote>
  <w:footnote w:type="continuationSeparator" w:id="0">
    <w:p w:rsidR="006D01D6" w:rsidRDefault="006D01D6">
      <w:r>
        <w:continuationSeparator/>
      </w:r>
    </w:p>
    <w:p w:rsidR="006D01D6" w:rsidRDefault="006D01D6"/>
  </w:footnote>
  <w:footnote w:id="1">
    <w:p w:rsidR="006D01D6" w:rsidRDefault="006D01D6">
      <w:pPr>
        <w:pStyle w:val="FootnoteText"/>
        <w:rPr>
          <w:rFonts w:cs="Calibri"/>
        </w:rPr>
      </w:pPr>
      <w:r>
        <w:rPr>
          <w:rStyle w:val="FootnoteReference"/>
          <w:rFonts w:cs="Calibri"/>
        </w:rPr>
        <w:footnoteRef/>
      </w:r>
      <w:r>
        <w:rPr>
          <w:rFonts w:cs="Calibri"/>
        </w:rPr>
        <w:t xml:space="preserve"> </w:t>
      </w:r>
      <w:r>
        <w:rPr>
          <w:rFonts w:cs="Calibri"/>
          <w:snapToGrid/>
          <w:lang w:eastAsia="en-AU"/>
        </w:rPr>
        <w:t>Australian Institute of Health and Welfare. Asthma, associated comorbidities and risk factors. Canberra: AIHW; 2016.</w:t>
      </w:r>
    </w:p>
  </w:footnote>
  <w:footnote w:id="2">
    <w:p w:rsidR="006D01D6" w:rsidRDefault="006D01D6">
      <w:pPr>
        <w:pStyle w:val="FootnoteText"/>
      </w:pPr>
      <w:r>
        <w:rPr>
          <w:rStyle w:val="FootnoteReference"/>
        </w:rPr>
        <w:footnoteRef/>
      </w:r>
      <w:r>
        <w:t xml:space="preserve"> EMA guidance, Points to consider on switching between superiority and non-inferiority, July 2000. Available at </w:t>
      </w:r>
      <w:hyperlink r:id="rId1" w:history="1">
        <w:r>
          <w:rPr>
            <w:rStyle w:val="Hyperlink"/>
          </w:rPr>
          <w:t>https://www.ema.europa.eu/en/documents/scientific-guideline/points-consider-switching-between-superiority-non-inferiority_en.pdf</w:t>
        </w:r>
      </w:hyperlink>
    </w:p>
  </w:footnote>
  <w:footnote w:id="3">
    <w:p w:rsidR="006D01D6" w:rsidRDefault="006D01D6">
      <w:pPr>
        <w:pStyle w:val="FootnoteText"/>
      </w:pPr>
      <w:r>
        <w:rPr>
          <w:rStyle w:val="FootnoteReference"/>
        </w:rPr>
        <w:footnoteRef/>
      </w:r>
      <w:r>
        <w:t xml:space="preserve"> Campbell J, Spackman D, Sullivan SJA. Health economics of asthma: assessing the value of asthma interventions. 2008;63(12):1581-92.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D6" w:rsidRDefault="006D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D6" w:rsidRDefault="006D01D6">
    <w:pPr>
      <w:pStyle w:val="MinorOVRHeader"/>
      <w:jc w:val="center"/>
      <w:rPr>
        <w:rFonts w:cstheme="minorHAnsi"/>
        <w:i/>
      </w:rPr>
    </w:pPr>
    <w:r>
      <w:rPr>
        <w:rFonts w:cstheme="minorHAnsi"/>
        <w:i/>
      </w:rPr>
      <w:t>Public Summary Document – July 2019 PBAC Meeting</w:t>
    </w:r>
  </w:p>
  <w:p w:rsidR="006D01D6" w:rsidRDefault="006D01D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D6" w:rsidRDefault="006D0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C245286"/>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361A0"/>
    <w:multiLevelType w:val="hybridMultilevel"/>
    <w:tmpl w:val="2B42F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F50EA"/>
    <w:multiLevelType w:val="hybridMultilevel"/>
    <w:tmpl w:val="AB08D6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A62659"/>
    <w:multiLevelType w:val="singleLevel"/>
    <w:tmpl w:val="4572A8F8"/>
    <w:lvl w:ilvl="0">
      <w:start w:val="1"/>
      <w:numFmt w:val="bullet"/>
      <w:pStyle w:val="AI-ListSubsidiary"/>
      <w:lvlText w:val=""/>
      <w:lvlJc w:val="left"/>
      <w:pPr>
        <w:tabs>
          <w:tab w:val="num" w:pos="1987"/>
        </w:tabs>
        <w:ind w:left="1987" w:hanging="993"/>
      </w:pPr>
      <w:rPr>
        <w:rFonts w:ascii="Symbol" w:hAnsi="Symbol" w:hint="default"/>
      </w:rPr>
    </w:lvl>
  </w:abstractNum>
  <w:abstractNum w:abstractNumId="7" w15:restartNumberingAfterBreak="0">
    <w:nsid w:val="1C1A37E0"/>
    <w:multiLevelType w:val="hybridMultilevel"/>
    <w:tmpl w:val="43CE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0309B"/>
    <w:multiLevelType w:val="hybridMultilevel"/>
    <w:tmpl w:val="6672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5565"/>
    <w:multiLevelType w:val="hybridMultilevel"/>
    <w:tmpl w:val="D82EFF72"/>
    <w:lvl w:ilvl="0" w:tplc="DAD6073C">
      <w:start w:val="1"/>
      <w:numFmt w:val="decimal"/>
      <w:lvlText w:val="%1"/>
      <w:lvlJc w:val="left"/>
      <w:pPr>
        <w:ind w:left="705" w:hanging="70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C5DD0"/>
    <w:multiLevelType w:val="hybridMultilevel"/>
    <w:tmpl w:val="11B0FD6C"/>
    <w:lvl w:ilvl="0" w:tplc="DA92AB8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15" w15:restartNumberingAfterBreak="0">
    <w:nsid w:val="3A157887"/>
    <w:multiLevelType w:val="hybridMultilevel"/>
    <w:tmpl w:val="60C4AB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C9C730F"/>
    <w:multiLevelType w:val="hybridMultilevel"/>
    <w:tmpl w:val="CFA0C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B2907"/>
    <w:multiLevelType w:val="hybridMultilevel"/>
    <w:tmpl w:val="DC36A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167182"/>
    <w:multiLevelType w:val="hybridMultilevel"/>
    <w:tmpl w:val="C8B0B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E419A"/>
    <w:multiLevelType w:val="hybridMultilevel"/>
    <w:tmpl w:val="4E7EA514"/>
    <w:lvl w:ilvl="0" w:tplc="5910148C">
      <w:start w:val="1"/>
      <w:numFmt w:val="decimal"/>
      <w:lvlText w:val="%1."/>
      <w:lvlJc w:val="left"/>
      <w:pPr>
        <w:tabs>
          <w:tab w:val="num" w:pos="644"/>
        </w:tabs>
        <w:ind w:left="644" w:hanging="360"/>
      </w:pPr>
      <w:rPr>
        <w:rFonts w:hint="default"/>
        <w:b w:val="0"/>
        <w:i w:val="0"/>
        <w:color w:val="auto"/>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050F42"/>
    <w:multiLevelType w:val="multilevel"/>
    <w:tmpl w:val="1DA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1F3A35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073948"/>
    <w:multiLevelType w:val="hybridMultilevel"/>
    <w:tmpl w:val="B4E2E7C6"/>
    <w:lvl w:ilvl="0" w:tplc="282EE5CC">
      <w:start w:val="1"/>
      <w:numFmt w:val="bullet"/>
      <w:pStyle w:val="TableBullet-H55"/>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F5057"/>
    <w:multiLevelType w:val="hybridMultilevel"/>
    <w:tmpl w:val="C0587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7"/>
  </w:num>
  <w:num w:numId="4">
    <w:abstractNumId w:val="23"/>
  </w:num>
  <w:num w:numId="5">
    <w:abstractNumId w:val="26"/>
  </w:num>
  <w:num w:numId="6">
    <w:abstractNumId w:val="14"/>
  </w:num>
  <w:num w:numId="7">
    <w:abstractNumId w:val="6"/>
  </w:num>
  <w:num w:numId="8">
    <w:abstractNumId w:val="27"/>
  </w:num>
  <w:num w:numId="9">
    <w:abstractNumId w:val="7"/>
  </w:num>
  <w:num w:numId="10">
    <w:abstractNumId w:val="18"/>
  </w:num>
  <w:num w:numId="11">
    <w:abstractNumId w:val="4"/>
  </w:num>
  <w:num w:numId="12">
    <w:abstractNumId w:val="8"/>
  </w:num>
  <w:num w:numId="13">
    <w:abstractNumId w:val="20"/>
  </w:num>
  <w:num w:numId="14">
    <w:abstractNumId w:val="9"/>
  </w:num>
  <w:num w:numId="15">
    <w:abstractNumId w:val="25"/>
    <w:lvlOverride w:ilvl="0">
      <w:startOverride w:val="3"/>
    </w:lvlOverride>
    <w:lvlOverride w:ilvl="1">
      <w:startOverride w:val="1"/>
    </w:lvlOverride>
  </w:num>
  <w:num w:numId="16">
    <w:abstractNumId w:val="25"/>
    <w:lvlOverride w:ilvl="0">
      <w:startOverride w:val="3"/>
    </w:lvlOverride>
    <w:lvlOverride w:ilvl="1">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21"/>
  </w:num>
  <w:num w:numId="21">
    <w:abstractNumId w:val="22"/>
  </w:num>
  <w:num w:numId="22">
    <w:abstractNumId w:val="3"/>
  </w:num>
  <w:num w:numId="23">
    <w:abstractNumId w:val="1"/>
  </w:num>
  <w:num w:numId="24">
    <w:abstractNumId w:val="11"/>
  </w:num>
  <w:num w:numId="25">
    <w:abstractNumId w:val="13"/>
  </w:num>
  <w:num w:numId="26">
    <w:abstractNumId w:val="10"/>
  </w:num>
  <w:num w:numId="27">
    <w:abstractNumId w:val="5"/>
  </w:num>
  <w:num w:numId="28">
    <w:abstractNumId w:val="24"/>
  </w:num>
  <w:num w:numId="29">
    <w:abstractNumId w:val="19"/>
  </w:num>
  <w:num w:numId="30">
    <w:abstractNumId w:val="16"/>
  </w:num>
  <w:num w:numId="3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t5sxd2m0txtfer0t3va22490vwpzaz5eat&quot;&gt;Symbicort&lt;record-ids&gt;&lt;item&gt;11&lt;/item&gt;&lt;item&gt;12&lt;/item&gt;&lt;item&gt;13&lt;/item&gt;&lt;item&gt;34&lt;/item&gt;&lt;/record-ids&gt;&lt;/item&gt;&lt;/Libraries&gt;"/>
  </w:docVars>
  <w:rsids>
    <w:rsidRoot w:val="00716FDC"/>
    <w:rsid w:val="000840BE"/>
    <w:rsid w:val="002767C9"/>
    <w:rsid w:val="005D40D2"/>
    <w:rsid w:val="006D01D6"/>
    <w:rsid w:val="00716FDC"/>
    <w:rsid w:val="007F0489"/>
    <w:rsid w:val="008A69EA"/>
    <w:rsid w:val="00965EBA"/>
    <w:rsid w:val="00AA3285"/>
    <w:rsid w:val="00C83C33"/>
    <w:rsid w:val="00D2464D"/>
    <w:rsid w:val="00E37F5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99CE4D"/>
  <w15:docId w15:val="{2210AC75-390D-4BAA-83D6-A33E82E2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qFormat/>
    <w:pPr>
      <w:outlineLvl w:val="1"/>
    </w:pPr>
    <w:rPr>
      <w:rFonts w:cs="Times New Roman"/>
      <w:b/>
      <w:i/>
      <w:sz w:val="28"/>
      <w:lang w:val="x-none"/>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rFonts w:ascii="Arial" w:hAnsi="Arial" w:cs="Times New Roman"/>
      <w:b/>
      <w:sz w:val="20"/>
      <w:szCs w:val="20"/>
      <w:lang w:val="x-none"/>
    </w:rPr>
  </w:style>
  <w:style w:type="paragraph" w:styleId="Heading8">
    <w:name w:val="heading 8"/>
    <w:basedOn w:val="Normal"/>
    <w:next w:val="Normal"/>
    <w:link w:val="Heading8Char"/>
    <w:pPr>
      <w:keepNext/>
      <w:jc w:val="right"/>
      <w:outlineLvl w:val="7"/>
    </w:pPr>
    <w:rPr>
      <w:rFonts w:ascii="Times New Roman" w:hAnsi="Times New Roman" w:cs="Times New Roman"/>
      <w:b/>
      <w:szCs w:val="20"/>
      <w:lang w:val="x-none"/>
    </w:rPr>
  </w:style>
  <w:style w:type="paragraph" w:styleId="Heading9">
    <w:name w:val="heading 9"/>
    <w:basedOn w:val="Normal"/>
    <w:next w:val="Normal"/>
    <w:link w:val="Heading9Char"/>
    <w:pPr>
      <w:keepNext/>
      <w:jc w:val="center"/>
      <w:outlineLvl w:val="8"/>
    </w:pPr>
    <w:rPr>
      <w:rFonts w:ascii="Arial" w:hAnsi="Arial" w:cs="Times New Roman"/>
      <w:b/>
      <w:color w:val="00000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link w:val="Heading7"/>
    <w:rPr>
      <w:rFonts w:ascii="Arial" w:hAnsi="Arial"/>
      <w:b/>
      <w:snapToGrid w:val="0"/>
      <w:lang w:eastAsia="en-US"/>
    </w:rPr>
  </w:style>
  <w:style w:type="character" w:customStyle="1" w:styleId="Heading8Char">
    <w:name w:val="Heading 8 Char"/>
    <w:link w:val="Heading8"/>
    <w:rPr>
      <w:b/>
      <w:snapToGrid w:val="0"/>
      <w:sz w:val="24"/>
      <w:lang w:eastAsia="en-US"/>
    </w:rPr>
  </w:style>
  <w:style w:type="character" w:customStyle="1" w:styleId="Heading9Char">
    <w:name w:val="Heading 9 Char"/>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cs="Times New Roman"/>
      <w:sz w:val="18"/>
      <w:szCs w:val="20"/>
      <w:lang w:val="x-none"/>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 H17"/>
    <w:basedOn w:val="Normal"/>
    <w:next w:val="Normal"/>
    <w:link w:val="CaptionChar"/>
    <w:unhideWhenUsed/>
    <w:qFormat/>
    <w:pPr>
      <w:spacing w:after="200"/>
    </w:pPr>
    <w:rPr>
      <w:rFonts w:ascii="Times New Roman" w:hAnsi="Times New Roman" w:cs="Times New Roman"/>
      <w:b/>
      <w:bCs/>
      <w:color w:val="4F81BD"/>
      <w:sz w:val="18"/>
      <w:szCs w:val="18"/>
      <w:lang w:val="x-none"/>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Pr>
      <w:b/>
      <w:bCs/>
      <w:snapToGrid w:val="0"/>
      <w:color w:val="4F81BD"/>
      <w:sz w:val="18"/>
      <w:szCs w:val="18"/>
      <w:lang w:eastAsia="en-US"/>
    </w:rPr>
  </w:style>
  <w:style w:type="paragraph" w:styleId="Title">
    <w:name w:val="Title"/>
    <w:basedOn w:val="Normal"/>
    <w:next w:val="Normal"/>
    <w:link w:val="TitleChar"/>
    <w:qFormat/>
    <w:pPr>
      <w:outlineLvl w:val="0"/>
    </w:pPr>
    <w:rPr>
      <w:rFonts w:eastAsia="Calibri"/>
      <w:b/>
      <w:sz w:val="36"/>
      <w:szCs w:val="36"/>
    </w:rPr>
  </w:style>
  <w:style w:type="character" w:customStyle="1" w:styleId="TitleChar">
    <w:name w:val="Title Char"/>
    <w:link w:val="Title"/>
    <w:rPr>
      <w:rFonts w:ascii="Calibri" w:eastAsia="Calibri" w:hAnsi="Calibri" w:cs="Arial"/>
      <w:b/>
      <w:snapToGrid w:val="0"/>
      <w:sz w:val="36"/>
      <w:szCs w:val="36"/>
      <w:lang w:eastAsia="en-US"/>
    </w:rPr>
  </w:style>
  <w:style w:type="paragraph" w:styleId="BodyText">
    <w:name w:val="Body Text"/>
    <w:basedOn w:val="Normal"/>
    <w:link w:val="BodyTextChar"/>
    <w:qFormat/>
    <w:pPr>
      <w:jc w:val="left"/>
    </w:pPr>
    <w:rPr>
      <w:rFonts w:asciiTheme="minorHAnsi" w:hAnsiTheme="minorHAnsi" w:cs="Times New Roman"/>
      <w:szCs w:val="20"/>
      <w:lang w:val="x-none"/>
    </w:rPr>
  </w:style>
  <w:style w:type="character" w:customStyle="1" w:styleId="BodyTextChar">
    <w:name w:val="Body Text Char"/>
    <w:link w:val="BodyText"/>
    <w:rPr>
      <w:rFonts w:asciiTheme="minorHAnsi" w:hAnsiTheme="minorHAnsi"/>
      <w:snapToGrid w:val="0"/>
      <w:sz w:val="24"/>
      <w:lang w:val="x-none" w:eastAsia="en-US"/>
    </w:rPr>
  </w:style>
  <w:style w:type="paragraph" w:styleId="ListParagraph">
    <w:name w:val="List Paragraph"/>
    <w:aliases w:val="Numbered para,L1 Bulleted List,Summary Bullets,Footer Setting,Bullet List,FooterText,List Paragraph1,numbered,Paragraphe de liste1,Bulletr List Paragraph,列出段落,列出段落1,List Paragraph2,List Paragraph21,Párrafo de lista1,Parágrafo da Lista1,L"/>
    <w:basedOn w:val="Normal"/>
    <w:link w:val="ListParagraphChar"/>
    <w:uiPriority w:val="34"/>
    <w:qFormat/>
    <w:pPr>
      <w:spacing w:after="160"/>
      <w:ind w:left="720"/>
    </w:pPr>
    <w:rPr>
      <w:rFonts w:ascii="Arial" w:hAnsi="Arial" w:cs="Times New Roman"/>
      <w:sz w:val="22"/>
      <w:lang w:val="x-none"/>
    </w:rPr>
  </w:style>
  <w:style w:type="character" w:customStyle="1" w:styleId="ListParagraphChar">
    <w:name w:val="List Paragraph Char"/>
    <w:aliases w:val="Numbered para Char,L1 Bulleted List Char,Summary Bullets Char,Footer Setting Char,Bullet List Char,FooterText Char,List Paragraph1 Char,numbered Char,Paragraphe de liste1 Char,Bulletr List Paragraph Char,列出段落 Char,列出段落1 Char,L Char"/>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link w:val="RegularText"/>
    <w:rPr>
      <w:rFonts w:ascii="Arial" w:hAnsi="Arial" w:cs="Arial"/>
      <w:b/>
      <w:snapToGrid w:val="0"/>
      <w:sz w:val="22"/>
      <w:lang w:eastAsia="en-US"/>
    </w:rPr>
  </w:style>
  <w:style w:type="paragraph" w:styleId="NoSpacing">
    <w:name w:val="No Spacing"/>
    <w:link w:val="NoSpacingChar"/>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rPr>
      <w:rFonts w:ascii="Arial" w:hAnsi="Arial" w:cs="Times New Roman"/>
      <w:sz w:val="22"/>
      <w:szCs w:val="20"/>
      <w:lang w:val="x-none"/>
    </w:rPr>
  </w:style>
  <w:style w:type="character" w:customStyle="1" w:styleId="HeaderChar">
    <w:name w:val="Header Char"/>
    <w:aliases w:val="Page Header Char,Header title Char,he=header Char,cntr/bld Char"/>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rPr>
      <w:rFonts w:ascii="Arial" w:hAnsi="Arial" w:cs="Times New Roman"/>
      <w:sz w:val="22"/>
      <w:szCs w:val="20"/>
      <w:lang w:val="x-none"/>
    </w:rPr>
  </w:style>
  <w:style w:type="character" w:customStyle="1" w:styleId="FooterChar">
    <w:name w:val="Footer Char"/>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szCs w:val="20"/>
      <w:lang w:val="x-none"/>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uiPriority w:val="99"/>
    <w:unhideWhenUsed/>
    <w:rPr>
      <w:color w:val="0000FF"/>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Cambria" w:hAnsi="Cambria" w:cs="Times New Roman"/>
      <w:bCs/>
      <w:snapToGrid/>
      <w:color w:val="365F91"/>
      <w:sz w:val="28"/>
      <w:szCs w:val="28"/>
      <w:lang w:val="en-US" w:eastAsia="ja-JP"/>
    </w:rPr>
  </w:style>
  <w:style w:type="paragraph" w:styleId="TOC3">
    <w:name w:val="toc 3"/>
    <w:basedOn w:val="Normal"/>
    <w:next w:val="Normal"/>
    <w:autoRedefine/>
    <w:uiPriority w:val="39"/>
    <w:unhideWhenUsed/>
    <w:pPr>
      <w:ind w:left="440"/>
      <w:jc w:val="left"/>
    </w:pPr>
    <w:rPr>
      <w:sz w:val="20"/>
    </w:rPr>
  </w:style>
  <w:style w:type="paragraph" w:styleId="TOC4">
    <w:name w:val="toc 4"/>
    <w:basedOn w:val="Normal"/>
    <w:next w:val="Normal"/>
    <w:autoRedefine/>
    <w:pPr>
      <w:ind w:left="660"/>
      <w:jc w:val="left"/>
    </w:pPr>
    <w:rPr>
      <w:sz w:val="20"/>
    </w:rPr>
  </w:style>
  <w:style w:type="paragraph" w:styleId="TOC5">
    <w:name w:val="toc 5"/>
    <w:basedOn w:val="Normal"/>
    <w:next w:val="Normal"/>
    <w:autoRedefine/>
    <w:pPr>
      <w:ind w:left="880"/>
      <w:jc w:val="left"/>
    </w:pPr>
    <w:rPr>
      <w:sz w:val="20"/>
    </w:rPr>
  </w:style>
  <w:style w:type="paragraph" w:styleId="TOC6">
    <w:name w:val="toc 6"/>
    <w:basedOn w:val="Normal"/>
    <w:next w:val="Normal"/>
    <w:autoRedefine/>
    <w:pPr>
      <w:ind w:left="1100"/>
      <w:jc w:val="left"/>
    </w:pPr>
    <w:rPr>
      <w:sz w:val="20"/>
    </w:rPr>
  </w:style>
  <w:style w:type="paragraph" w:styleId="TOC7">
    <w:name w:val="toc 7"/>
    <w:basedOn w:val="Normal"/>
    <w:next w:val="Normal"/>
    <w:autoRedefine/>
    <w:pPr>
      <w:ind w:left="1320"/>
      <w:jc w:val="left"/>
    </w:pPr>
    <w:rPr>
      <w:sz w:val="20"/>
    </w:rPr>
  </w:style>
  <w:style w:type="paragraph" w:styleId="TOC8">
    <w:name w:val="toc 8"/>
    <w:basedOn w:val="Normal"/>
    <w:next w:val="Normal"/>
    <w:autoRedefine/>
    <w:pPr>
      <w:ind w:left="1540"/>
      <w:jc w:val="left"/>
    </w:pPr>
    <w:rPr>
      <w:sz w:val="20"/>
    </w:rPr>
  </w:style>
  <w:style w:type="paragraph" w:styleId="TOC9">
    <w:name w:val="toc 9"/>
    <w:basedOn w:val="Normal"/>
    <w:next w:val="Normal"/>
    <w:autoRedefine/>
    <w:pPr>
      <w:ind w:left="1760"/>
      <w:jc w:val="left"/>
    </w:pPr>
    <w:rPr>
      <w:sz w:val="20"/>
    </w:rPr>
  </w:style>
  <w:style w:type="paragraph" w:styleId="CommentText">
    <w:name w:val="annotation text"/>
    <w:aliases w:val="- H19"/>
    <w:basedOn w:val="Normal"/>
    <w:link w:val="CommentTextChar"/>
    <w:uiPriority w:val="99"/>
    <w:qFormat/>
    <w:rPr>
      <w:rFonts w:ascii="Times New Roman" w:hAnsi="Times New Roman" w:cs="Times New Roman"/>
      <w:sz w:val="20"/>
      <w:szCs w:val="20"/>
      <w:lang w:val="x-none"/>
    </w:rPr>
  </w:style>
  <w:style w:type="character" w:customStyle="1" w:styleId="CommentTextChar">
    <w:name w:val="Comment Text Char"/>
    <w:aliases w:val="- H19 Char"/>
    <w:link w:val="CommentText"/>
    <w:uiPriority w:val="99"/>
    <w:rPr>
      <w:snapToGrid w:val="0"/>
      <w:lang w:eastAsia="en-US"/>
    </w:rPr>
  </w:style>
  <w:style w:type="paragraph" w:customStyle="1" w:styleId="Bulletpoints">
    <w:name w:val="Bullet points"/>
    <w:basedOn w:val="ListParagraph"/>
    <w:qFormat/>
    <w:pPr>
      <w:numPr>
        <w:numId w:val="3"/>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b/>
      <w:bCs/>
    </w:rPr>
  </w:style>
  <w:style w:type="character" w:customStyle="1" w:styleId="CommentSubjectChar">
    <w:name w:val="Comment Subject 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rPr>
      <w:rFonts w:ascii="Arial" w:hAnsi="Arial" w:cs="Times New Roman"/>
      <w:sz w:val="22"/>
      <w:szCs w:val="20"/>
      <w:lang w:val="x-none"/>
    </w:rPr>
  </w:style>
  <w:style w:type="character" w:customStyle="1" w:styleId="BodyTextIndentChar">
    <w:name w:val="Body Text Indent Char"/>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szCs w:val="20"/>
      <w:lang w:val="x-none"/>
    </w:rPr>
  </w:style>
  <w:style w:type="character" w:customStyle="1" w:styleId="SubtitleChar1">
    <w:name w:val="Subtitle Char1"/>
    <w:rPr>
      <w:rFonts w:ascii="Cambria" w:eastAsia="Times New Roman" w:hAnsi="Cambria" w:cs="Times New Roman"/>
      <w:i/>
      <w:iCs/>
      <w:snapToGrid w:val="0"/>
      <w:color w:val="4F81BD"/>
      <w:spacing w:val="15"/>
      <w:sz w:val="24"/>
      <w:szCs w:val="24"/>
      <w:lang w:eastAsia="en-US"/>
    </w:rPr>
  </w:style>
  <w:style w:type="paragraph" w:customStyle="1" w:styleId="PBACHeading1">
    <w:name w:val="PBAC Heading 1"/>
    <w:qFormat/>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semiHidden/>
    <w:unhideWhenUsed/>
    <w:rPr>
      <w:color w:val="800080"/>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imes New Roman"/>
      <w:sz w:val="16"/>
      <w:szCs w:val="16"/>
      <w:lang w:val="x-none"/>
    </w:rPr>
  </w:style>
  <w:style w:type="character" w:customStyle="1" w:styleId="BalloonTextChar">
    <w:name w:val="Balloon Text Char"/>
    <w:link w:val="BalloonText"/>
    <w:semiHidden/>
    <w:rPr>
      <w:rFonts w:ascii="Tahoma" w:hAnsi="Tahoma" w:cs="Tahoma"/>
      <w:snapToGrid w:val="0"/>
      <w:sz w:val="16"/>
      <w:szCs w:val="16"/>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Text0">
    <w:name w:val="Table Text"/>
    <w:basedOn w:val="Normal"/>
    <w:link w:val="TableTextChar0"/>
    <w:qFormat/>
    <w:pPr>
      <w:widowControl/>
      <w:spacing w:before="20" w:after="20" w:line="276" w:lineRule="auto"/>
      <w:jc w:val="left"/>
    </w:pPr>
    <w:rPr>
      <w:rFonts w:ascii="Arial Narrow" w:hAnsi="Arial Narrow"/>
      <w:snapToGrid/>
      <w:sz w:val="20"/>
      <w:szCs w:val="20"/>
      <w:lang w:val="x-none" w:bidi="en-US"/>
    </w:rPr>
  </w:style>
  <w:style w:type="paragraph" w:customStyle="1" w:styleId="TableHeading0">
    <w:name w:val="Table Heading"/>
    <w:basedOn w:val="TableText0"/>
    <w:uiPriority w:val="99"/>
    <w:qFormat/>
    <w:pPr>
      <w:keepNext/>
      <w:keepLines/>
    </w:pPr>
    <w:rPr>
      <w:b/>
      <w:lang w:eastAsia="en-AU"/>
    </w:rPr>
  </w:style>
  <w:style w:type="table" w:customStyle="1" w:styleId="AZTable">
    <w:name w:val="AZ Table"/>
    <w:basedOn w:val="TableNormal"/>
    <w:uiPriority w:val="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form-strength">
    <w:name w:val="form-strength"/>
    <w:basedOn w:val="DefaultParagraphFont"/>
  </w:style>
  <w:style w:type="character" w:customStyle="1" w:styleId="drug-name3">
    <w:name w:val="drug-name3"/>
    <w:rPr>
      <w:sz w:val="23"/>
      <w:szCs w:val="23"/>
    </w:rPr>
  </w:style>
  <w:style w:type="character" w:customStyle="1" w:styleId="TableTextChar0">
    <w:name w:val="Table Text Char"/>
    <w:link w:val="TableText0"/>
    <w:rPr>
      <w:rFonts w:ascii="Arial Narrow" w:eastAsia="Times New Roman" w:hAnsi="Arial Narrow" w:cs="Arial"/>
      <w:lang w:eastAsia="en-US" w:bidi="en-US"/>
    </w:rPr>
  </w:style>
  <w:style w:type="character" w:styleId="Emphasis">
    <w:name w:val="Emphasis"/>
    <w:uiPriority w:val="20"/>
    <w:qFormat/>
    <w:rPr>
      <w:i/>
      <w:iCs/>
    </w:rPr>
  </w:style>
  <w:style w:type="character" w:customStyle="1" w:styleId="item-code2">
    <w:name w:val="item-code2"/>
    <w:rPr>
      <w:vanish w:val="0"/>
      <w:webHidden w:val="0"/>
      <w:specVanish w:val="0"/>
    </w:rPr>
  </w:style>
  <w:style w:type="character" w:customStyle="1" w:styleId="s-report-titleemphasis">
    <w:name w:val="s-report-title__emphasis"/>
    <w:basedOn w:val="DefaultParagraphFont"/>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uiPriority w:val="35"/>
    <w:rPr>
      <w:rFonts w:ascii="Arial" w:hAnsi="Arial"/>
      <w:b/>
      <w:iCs/>
      <w:color w:val="000000"/>
      <w:szCs w:val="18"/>
    </w:rPr>
  </w:style>
  <w:style w:type="paragraph" w:customStyle="1" w:styleId="BodyText1">
    <w:name w:val="Body Text1"/>
    <w:basedOn w:val="Normal"/>
    <w:pPr>
      <w:widowControl/>
      <w:spacing w:before="120" w:after="200" w:line="360" w:lineRule="auto"/>
      <w:ind w:left="1152"/>
      <w:jc w:val="left"/>
    </w:pPr>
    <w:rPr>
      <w:rFonts w:ascii="Arial" w:hAnsi="Arial"/>
      <w:snapToGrid/>
      <w:sz w:val="20"/>
      <w:szCs w:val="20"/>
      <w:lang w:eastAsia="en-AU"/>
    </w:rPr>
  </w:style>
  <w:style w:type="paragraph" w:customStyle="1" w:styleId="TableBullet-H55">
    <w:name w:val="Table Bullet - H55"/>
    <w:basedOn w:val="Normal"/>
    <w:qFormat/>
    <w:pPr>
      <w:keepLines/>
      <w:numPr>
        <w:numId w:val="5"/>
      </w:numPr>
      <w:jc w:val="left"/>
    </w:pPr>
    <w:rPr>
      <w:rFonts w:ascii="Arial" w:hAnsi="Arial" w:cs="Times New Roman"/>
      <w:snapToGrid/>
      <w:color w:val="000000"/>
      <w:sz w:val="16"/>
      <w:szCs w:val="16"/>
      <w:lang w:val="en-GB" w:eastAsia="en-GB"/>
    </w:rPr>
  </w:style>
  <w:style w:type="character" w:customStyle="1" w:styleId="internalref">
    <w:name w:val="internalref"/>
    <w:basedOn w:val="DefaultParagraphFont"/>
  </w:style>
  <w:style w:type="character" w:customStyle="1" w:styleId="citationref">
    <w:name w:val="citationref"/>
    <w:basedOn w:val="DefaultParagraphFont"/>
  </w:style>
  <w:style w:type="paragraph" w:customStyle="1" w:styleId="A-ListBullet">
    <w:name w:val="A-List Bullet"/>
    <w:link w:val="A-ListBulletChar"/>
    <w:qFormat/>
    <w:pPr>
      <w:numPr>
        <w:numId w:val="6"/>
      </w:numPr>
      <w:spacing w:after="240" w:line="280" w:lineRule="atLeast"/>
    </w:pPr>
    <w:rPr>
      <w:sz w:val="24"/>
      <w:lang w:val="en-GB" w:eastAsia="en-US"/>
    </w:rPr>
  </w:style>
  <w:style w:type="character" w:customStyle="1" w:styleId="A-ListBulletChar">
    <w:name w:val="A-List Bullet Char"/>
    <w:link w:val="A-ListBullet"/>
    <w:locked/>
    <w:rPr>
      <w:sz w:val="24"/>
      <w:lang w:val="en-GB" w:eastAsia="en-US"/>
    </w:rPr>
  </w:style>
  <w:style w:type="paragraph" w:customStyle="1" w:styleId="A-ListSubsidiary">
    <w:name w:val="A-List Subsidiary"/>
    <w:basedOn w:val="AI-ListSubsidiary"/>
    <w:uiPriority w:val="99"/>
    <w:qFormat/>
    <w:pPr>
      <w:tabs>
        <w:tab w:val="clear" w:pos="1134"/>
        <w:tab w:val="num" w:pos="1987"/>
      </w:tabs>
      <w:spacing w:after="240" w:line="280" w:lineRule="atLeast"/>
      <w:ind w:left="1987" w:hanging="993"/>
    </w:pPr>
    <w:rPr>
      <w:sz w:val="24"/>
    </w:rPr>
  </w:style>
  <w:style w:type="paragraph" w:customStyle="1" w:styleId="AI-ListSubsidiary">
    <w:name w:val="AI-List Subsidiary"/>
    <w:basedOn w:val="Normal"/>
    <w:uiPriority w:val="99"/>
    <w:pPr>
      <w:widowControl/>
      <w:numPr>
        <w:numId w:val="7"/>
      </w:numPr>
      <w:tabs>
        <w:tab w:val="clear" w:pos="1987"/>
        <w:tab w:val="left" w:pos="1134"/>
      </w:tabs>
      <w:spacing w:after="120" w:line="220" w:lineRule="atLeast"/>
      <w:ind w:left="1157" w:hanging="448"/>
      <w:jc w:val="left"/>
    </w:pPr>
    <w:rPr>
      <w:rFonts w:ascii="Times New Roman" w:hAnsi="Times New Roman" w:cs="Times New Roman"/>
      <w:snapToGrid/>
      <w:sz w:val="22"/>
      <w:szCs w:val="20"/>
      <w:lang w:val="en-GB"/>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H19 Char1"/>
    <w:uiPriority w:val="99"/>
    <w:semiHidden/>
    <w:rPr>
      <w:sz w:val="20"/>
      <w:szCs w:val="20"/>
    </w:rPr>
  </w:style>
  <w:style w:type="paragraph" w:styleId="DocumentMap">
    <w:name w:val="Document Map"/>
    <w:basedOn w:val="Normal"/>
    <w:link w:val="DocumentMapChar"/>
    <w:semiHidden/>
    <w:unhideWhenUsed/>
    <w:rPr>
      <w:rFonts w:ascii="Tahoma" w:hAnsi="Tahoma" w:cs="Times New Roman"/>
      <w:sz w:val="16"/>
      <w:szCs w:val="16"/>
      <w:lang w:val="x-none"/>
    </w:rPr>
  </w:style>
  <w:style w:type="character" w:customStyle="1" w:styleId="DocumentMapChar">
    <w:name w:val="Document Map Char"/>
    <w:link w:val="DocumentMap"/>
    <w:semiHidden/>
    <w:rPr>
      <w:rFonts w:ascii="Tahoma" w:hAnsi="Tahoma" w:cs="Tahoma"/>
      <w:snapToGrid w:val="0"/>
      <w:sz w:val="16"/>
      <w:szCs w:val="16"/>
      <w:lang w:eastAsia="en-US"/>
    </w:rPr>
  </w:style>
  <w:style w:type="paragraph" w:customStyle="1" w:styleId="A-TableFootnoteText">
    <w:name w:val="A-Table Footnote Text"/>
    <w:next w:val="Normal"/>
    <w:qFormat/>
    <w:pPr>
      <w:tabs>
        <w:tab w:val="left" w:pos="432"/>
      </w:tabs>
      <w:ind w:left="432" w:hanging="432"/>
    </w:pPr>
    <w:rPr>
      <w:lang w:val="en-GB" w:eastAsia="en-US"/>
    </w:rPr>
  </w:style>
  <w:style w:type="character" w:styleId="FootnoteReference">
    <w:name w:val="footnote reference"/>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EndNoteBibliographyTitleChar">
    <w:name w:val="EndNote Bibliography Title Char"/>
    <w:basedOn w:val="DefaultParagraphFont"/>
    <w:link w:val="EndNoteBibliographyTitle"/>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Pr>
      <w:rFonts w:cs="Calibri"/>
      <w:noProof/>
      <w:lang w:val="en-US"/>
    </w:rPr>
  </w:style>
  <w:style w:type="character" w:customStyle="1" w:styleId="EndNoteBibliographyChar">
    <w:name w:val="EndNote Bibliography Char"/>
    <w:basedOn w:val="DefaultParagraphFont"/>
    <w:link w:val="EndNoteBibliography"/>
    <w:rPr>
      <w:rFonts w:ascii="Calibri" w:hAnsi="Calibri" w:cs="Calibri"/>
      <w:noProof/>
      <w:snapToGrid w:val="0"/>
      <w:sz w:val="24"/>
      <w:szCs w:val="22"/>
      <w:lang w:val="en-US"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widowControl/>
      <w:spacing w:after="160" w:line="240" w:lineRule="exact"/>
      <w:jc w:val="left"/>
    </w:pPr>
    <w:rPr>
      <w:rFonts w:ascii="Verdana" w:eastAsia="MS Mincho" w:hAnsi="Verdana" w:cs="Verdana"/>
      <w:snapToGrid/>
      <w:sz w:val="20"/>
      <w:szCs w:val="20"/>
      <w:lang w:val="en-US"/>
    </w:r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paragraph" w:customStyle="1" w:styleId="PBACheading10">
    <w:name w:val="PBAC heading 1"/>
    <w:qFormat/>
    <w:pPr>
      <w:ind w:left="720" w:hanging="720"/>
      <w:outlineLvl w:val="0"/>
    </w:pPr>
    <w:rPr>
      <w:rFonts w:ascii="Arial" w:hAnsi="Arial" w:cs="Arial"/>
      <w:b/>
      <w:snapToGrid w:val="0"/>
      <w:sz w:val="22"/>
      <w:szCs w:val="22"/>
      <w:lang w:eastAsia="en-US"/>
    </w:rPr>
  </w:style>
  <w:style w:type="paragraph" w:customStyle="1" w:styleId="1MainTitle">
    <w:name w:val="1. Main Title"/>
    <w:basedOn w:val="Title"/>
    <w:link w:val="1MainTitleChar"/>
    <w:qFormat/>
    <w:pPr>
      <w:widowControl/>
      <w:spacing w:before="120" w:after="160"/>
      <w:ind w:left="720" w:hanging="720"/>
      <w:contextualSpacing/>
      <w:jc w:val="left"/>
    </w:pPr>
    <w:rPr>
      <w:rFonts w:asciiTheme="minorHAnsi" w:eastAsiaTheme="majorEastAsia" w:hAnsiTheme="minorHAnsi" w:cstheme="majorBidi"/>
      <w:snapToGrid/>
      <w:spacing w:val="5"/>
      <w:kern w:val="28"/>
    </w:rPr>
  </w:style>
  <w:style w:type="character" w:customStyle="1" w:styleId="1MainTitleChar">
    <w:name w:val="1. Main Title Char"/>
    <w:basedOn w:val="TitleChar"/>
    <w:link w:val="1MainTitle"/>
    <w:rPr>
      <w:rFonts w:asciiTheme="minorHAnsi" w:eastAsiaTheme="majorEastAsia" w:hAnsiTheme="minorHAnsi" w:cstheme="majorBidi"/>
      <w:b/>
      <w:snapToGrid/>
      <w:spacing w:val="5"/>
      <w:kern w:val="28"/>
      <w:sz w:val="36"/>
      <w:szCs w:val="36"/>
      <w:lang w:eastAsia="en-US"/>
    </w:rPr>
  </w:style>
  <w:style w:type="paragraph" w:customStyle="1" w:styleId="MinorOVRHeader">
    <w:name w:val="Minor OVR Header"/>
    <w:basedOn w:val="Header"/>
    <w:link w:val="MinorOVRHeaderChar"/>
    <w:pPr>
      <w:widowControl/>
      <w:tabs>
        <w:tab w:val="clear" w:pos="4513"/>
        <w:tab w:val="clear" w:pos="9026"/>
        <w:tab w:val="center" w:pos="4153"/>
        <w:tab w:val="right" w:pos="8306"/>
      </w:tabs>
      <w:jc w:val="right"/>
    </w:pPr>
    <w:rPr>
      <w:rFonts w:asciiTheme="minorHAnsi" w:hAnsiTheme="minorHAnsi" w:cs="Arial"/>
      <w:snapToGrid/>
      <w:sz w:val="24"/>
      <w:szCs w:val="24"/>
      <w:lang w:val="en-AU"/>
    </w:rPr>
  </w:style>
  <w:style w:type="character" w:customStyle="1" w:styleId="MinorOVRHeaderChar">
    <w:name w:val="Minor OVR Header Char"/>
    <w:basedOn w:val="HeaderChar"/>
    <w:link w:val="MinorOVRHeader"/>
    <w:rPr>
      <w:rFonts w:asciiTheme="minorHAnsi" w:hAnsiTheme="minorHAnsi" w:cs="Arial"/>
      <w:snapToGrid/>
      <w:sz w:val="24"/>
      <w:szCs w:val="24"/>
      <w:lang w:eastAsia="en-US"/>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pPr>
      <w:widowControl/>
      <w:spacing w:after="120"/>
      <w:ind w:hanging="720"/>
    </w:pPr>
    <w:rPr>
      <w:rFonts w:asciiTheme="minorHAnsi" w:eastAsiaTheme="minorHAnsi" w:hAnsiTheme="minorHAnsi" w:cstheme="minorBidi"/>
      <w:snapToGrid/>
      <w:sz w:val="24"/>
      <w:lang w:val="en-AU"/>
    </w:rPr>
  </w:style>
  <w:style w:type="character" w:customStyle="1" w:styleId="NoSpacingChar">
    <w:name w:val="No Spacing Char"/>
    <w:basedOn w:val="DefaultParagraphFont"/>
    <w:link w:val="NoSpacing"/>
    <w:uiPriority w:val="1"/>
    <w:rPr>
      <w:rFonts w:ascii="Arial" w:hAnsi="Arial" w:cs="Arial"/>
      <w:snapToGrid w:val="0"/>
      <w:sz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964">
      <w:bodyDiv w:val="1"/>
      <w:marLeft w:val="0"/>
      <w:marRight w:val="0"/>
      <w:marTop w:val="0"/>
      <w:marBottom w:val="0"/>
      <w:divBdr>
        <w:top w:val="none" w:sz="0" w:space="0" w:color="auto"/>
        <w:left w:val="none" w:sz="0" w:space="0" w:color="auto"/>
        <w:bottom w:val="none" w:sz="0" w:space="0" w:color="auto"/>
        <w:right w:val="none" w:sz="0" w:space="0" w:color="auto"/>
      </w:divBdr>
    </w:div>
    <w:div w:id="315426208">
      <w:bodyDiv w:val="1"/>
      <w:marLeft w:val="0"/>
      <w:marRight w:val="0"/>
      <w:marTop w:val="0"/>
      <w:marBottom w:val="0"/>
      <w:divBdr>
        <w:top w:val="none" w:sz="0" w:space="0" w:color="auto"/>
        <w:left w:val="none" w:sz="0" w:space="0" w:color="auto"/>
        <w:bottom w:val="none" w:sz="0" w:space="0" w:color="auto"/>
        <w:right w:val="none" w:sz="0" w:space="0" w:color="auto"/>
      </w:divBdr>
    </w:div>
    <w:div w:id="364256038">
      <w:bodyDiv w:val="1"/>
      <w:marLeft w:val="0"/>
      <w:marRight w:val="0"/>
      <w:marTop w:val="0"/>
      <w:marBottom w:val="0"/>
      <w:divBdr>
        <w:top w:val="none" w:sz="0" w:space="0" w:color="auto"/>
        <w:left w:val="none" w:sz="0" w:space="0" w:color="auto"/>
        <w:bottom w:val="none" w:sz="0" w:space="0" w:color="auto"/>
        <w:right w:val="none" w:sz="0" w:space="0" w:color="auto"/>
      </w:divBdr>
    </w:div>
    <w:div w:id="398747537">
      <w:bodyDiv w:val="1"/>
      <w:marLeft w:val="0"/>
      <w:marRight w:val="0"/>
      <w:marTop w:val="0"/>
      <w:marBottom w:val="0"/>
      <w:divBdr>
        <w:top w:val="none" w:sz="0" w:space="0" w:color="auto"/>
        <w:left w:val="none" w:sz="0" w:space="0" w:color="auto"/>
        <w:bottom w:val="none" w:sz="0" w:space="0" w:color="auto"/>
        <w:right w:val="none" w:sz="0" w:space="0" w:color="auto"/>
      </w:divBdr>
    </w:div>
    <w:div w:id="673920219">
      <w:bodyDiv w:val="1"/>
      <w:marLeft w:val="0"/>
      <w:marRight w:val="0"/>
      <w:marTop w:val="0"/>
      <w:marBottom w:val="0"/>
      <w:divBdr>
        <w:top w:val="none" w:sz="0" w:space="0" w:color="auto"/>
        <w:left w:val="none" w:sz="0" w:space="0" w:color="auto"/>
        <w:bottom w:val="none" w:sz="0" w:space="0" w:color="auto"/>
        <w:right w:val="none" w:sz="0" w:space="0" w:color="auto"/>
      </w:divBdr>
    </w:div>
    <w:div w:id="698167184">
      <w:bodyDiv w:val="1"/>
      <w:marLeft w:val="0"/>
      <w:marRight w:val="0"/>
      <w:marTop w:val="0"/>
      <w:marBottom w:val="0"/>
      <w:divBdr>
        <w:top w:val="none" w:sz="0" w:space="0" w:color="auto"/>
        <w:left w:val="none" w:sz="0" w:space="0" w:color="auto"/>
        <w:bottom w:val="none" w:sz="0" w:space="0" w:color="auto"/>
        <w:right w:val="none" w:sz="0" w:space="0" w:color="auto"/>
      </w:divBdr>
    </w:div>
    <w:div w:id="710619548">
      <w:bodyDiv w:val="1"/>
      <w:marLeft w:val="0"/>
      <w:marRight w:val="0"/>
      <w:marTop w:val="0"/>
      <w:marBottom w:val="0"/>
      <w:divBdr>
        <w:top w:val="none" w:sz="0" w:space="0" w:color="auto"/>
        <w:left w:val="none" w:sz="0" w:space="0" w:color="auto"/>
        <w:bottom w:val="none" w:sz="0" w:space="0" w:color="auto"/>
        <w:right w:val="none" w:sz="0" w:space="0" w:color="auto"/>
      </w:divBdr>
    </w:div>
    <w:div w:id="760488561">
      <w:bodyDiv w:val="1"/>
      <w:marLeft w:val="0"/>
      <w:marRight w:val="0"/>
      <w:marTop w:val="0"/>
      <w:marBottom w:val="0"/>
      <w:divBdr>
        <w:top w:val="none" w:sz="0" w:space="0" w:color="auto"/>
        <w:left w:val="none" w:sz="0" w:space="0" w:color="auto"/>
        <w:bottom w:val="none" w:sz="0" w:space="0" w:color="auto"/>
        <w:right w:val="none" w:sz="0" w:space="0" w:color="auto"/>
      </w:divBdr>
    </w:div>
    <w:div w:id="869537667">
      <w:bodyDiv w:val="1"/>
      <w:marLeft w:val="0"/>
      <w:marRight w:val="0"/>
      <w:marTop w:val="0"/>
      <w:marBottom w:val="0"/>
      <w:divBdr>
        <w:top w:val="none" w:sz="0" w:space="0" w:color="auto"/>
        <w:left w:val="none" w:sz="0" w:space="0" w:color="auto"/>
        <w:bottom w:val="none" w:sz="0" w:space="0" w:color="auto"/>
        <w:right w:val="none" w:sz="0" w:space="0" w:color="auto"/>
      </w:divBdr>
    </w:div>
    <w:div w:id="958683036">
      <w:bodyDiv w:val="1"/>
      <w:marLeft w:val="0"/>
      <w:marRight w:val="0"/>
      <w:marTop w:val="0"/>
      <w:marBottom w:val="0"/>
      <w:divBdr>
        <w:top w:val="none" w:sz="0" w:space="0" w:color="auto"/>
        <w:left w:val="none" w:sz="0" w:space="0" w:color="auto"/>
        <w:bottom w:val="none" w:sz="0" w:space="0" w:color="auto"/>
        <w:right w:val="none" w:sz="0" w:space="0" w:color="auto"/>
      </w:divBdr>
    </w:div>
    <w:div w:id="1256981204">
      <w:bodyDiv w:val="1"/>
      <w:marLeft w:val="0"/>
      <w:marRight w:val="0"/>
      <w:marTop w:val="0"/>
      <w:marBottom w:val="0"/>
      <w:divBdr>
        <w:top w:val="none" w:sz="0" w:space="0" w:color="auto"/>
        <w:left w:val="none" w:sz="0" w:space="0" w:color="auto"/>
        <w:bottom w:val="none" w:sz="0" w:space="0" w:color="auto"/>
        <w:right w:val="none" w:sz="0" w:space="0" w:color="auto"/>
      </w:divBdr>
    </w:div>
    <w:div w:id="1287006719">
      <w:bodyDiv w:val="1"/>
      <w:marLeft w:val="0"/>
      <w:marRight w:val="0"/>
      <w:marTop w:val="0"/>
      <w:marBottom w:val="0"/>
      <w:divBdr>
        <w:top w:val="none" w:sz="0" w:space="0" w:color="auto"/>
        <w:left w:val="none" w:sz="0" w:space="0" w:color="auto"/>
        <w:bottom w:val="none" w:sz="0" w:space="0" w:color="auto"/>
        <w:right w:val="none" w:sz="0" w:space="0" w:color="auto"/>
      </w:divBdr>
    </w:div>
    <w:div w:id="1391729035">
      <w:bodyDiv w:val="1"/>
      <w:marLeft w:val="0"/>
      <w:marRight w:val="0"/>
      <w:marTop w:val="0"/>
      <w:marBottom w:val="0"/>
      <w:divBdr>
        <w:top w:val="none" w:sz="0" w:space="0" w:color="auto"/>
        <w:left w:val="none" w:sz="0" w:space="0" w:color="auto"/>
        <w:bottom w:val="none" w:sz="0" w:space="0" w:color="auto"/>
        <w:right w:val="none" w:sz="0" w:space="0" w:color="auto"/>
      </w:divBdr>
    </w:div>
    <w:div w:id="1397165277">
      <w:bodyDiv w:val="1"/>
      <w:marLeft w:val="0"/>
      <w:marRight w:val="0"/>
      <w:marTop w:val="0"/>
      <w:marBottom w:val="0"/>
      <w:divBdr>
        <w:top w:val="none" w:sz="0" w:space="0" w:color="auto"/>
        <w:left w:val="none" w:sz="0" w:space="0" w:color="auto"/>
        <w:bottom w:val="none" w:sz="0" w:space="0" w:color="auto"/>
        <w:right w:val="none" w:sz="0" w:space="0" w:color="auto"/>
      </w:divBdr>
    </w:div>
    <w:div w:id="1494100823">
      <w:bodyDiv w:val="1"/>
      <w:marLeft w:val="0"/>
      <w:marRight w:val="0"/>
      <w:marTop w:val="0"/>
      <w:marBottom w:val="0"/>
      <w:divBdr>
        <w:top w:val="none" w:sz="0" w:space="0" w:color="auto"/>
        <w:left w:val="none" w:sz="0" w:space="0" w:color="auto"/>
        <w:bottom w:val="none" w:sz="0" w:space="0" w:color="auto"/>
        <w:right w:val="none" w:sz="0" w:space="0" w:color="auto"/>
      </w:divBdr>
    </w:div>
    <w:div w:id="1598172903">
      <w:bodyDiv w:val="1"/>
      <w:marLeft w:val="0"/>
      <w:marRight w:val="0"/>
      <w:marTop w:val="0"/>
      <w:marBottom w:val="0"/>
      <w:divBdr>
        <w:top w:val="none" w:sz="0" w:space="0" w:color="auto"/>
        <w:left w:val="none" w:sz="0" w:space="0" w:color="auto"/>
        <w:bottom w:val="none" w:sz="0" w:space="0" w:color="auto"/>
        <w:right w:val="none" w:sz="0" w:space="0" w:color="auto"/>
      </w:divBdr>
      <w:divsChild>
        <w:div w:id="914053118">
          <w:marLeft w:val="1166"/>
          <w:marRight w:val="0"/>
          <w:marTop w:val="77"/>
          <w:marBottom w:val="0"/>
          <w:divBdr>
            <w:top w:val="none" w:sz="0" w:space="0" w:color="auto"/>
            <w:left w:val="none" w:sz="0" w:space="0" w:color="auto"/>
            <w:bottom w:val="none" w:sz="0" w:space="0" w:color="auto"/>
            <w:right w:val="none" w:sz="0" w:space="0" w:color="auto"/>
          </w:divBdr>
        </w:div>
      </w:divsChild>
    </w:div>
    <w:div w:id="1704820664">
      <w:bodyDiv w:val="1"/>
      <w:marLeft w:val="0"/>
      <w:marRight w:val="0"/>
      <w:marTop w:val="0"/>
      <w:marBottom w:val="0"/>
      <w:divBdr>
        <w:top w:val="none" w:sz="0" w:space="0" w:color="auto"/>
        <w:left w:val="none" w:sz="0" w:space="0" w:color="auto"/>
        <w:bottom w:val="none" w:sz="0" w:space="0" w:color="auto"/>
        <w:right w:val="none" w:sz="0" w:space="0" w:color="auto"/>
      </w:divBdr>
    </w:div>
    <w:div w:id="1776246150">
      <w:bodyDiv w:val="1"/>
      <w:marLeft w:val="0"/>
      <w:marRight w:val="0"/>
      <w:marTop w:val="0"/>
      <w:marBottom w:val="0"/>
      <w:divBdr>
        <w:top w:val="none" w:sz="0" w:space="0" w:color="auto"/>
        <w:left w:val="none" w:sz="0" w:space="0" w:color="auto"/>
        <w:bottom w:val="none" w:sz="0" w:space="0" w:color="auto"/>
        <w:right w:val="none" w:sz="0" w:space="0" w:color="auto"/>
      </w:divBdr>
      <w:divsChild>
        <w:div w:id="2087191291">
          <w:marLeft w:val="1166"/>
          <w:marRight w:val="0"/>
          <w:marTop w:val="77"/>
          <w:marBottom w:val="0"/>
          <w:divBdr>
            <w:top w:val="none" w:sz="0" w:space="0" w:color="auto"/>
            <w:left w:val="none" w:sz="0" w:space="0" w:color="auto"/>
            <w:bottom w:val="none" w:sz="0" w:space="0" w:color="auto"/>
            <w:right w:val="none" w:sz="0" w:space="0" w:color="auto"/>
          </w:divBdr>
        </w:div>
      </w:divsChild>
    </w:div>
    <w:div w:id="1835105405">
      <w:bodyDiv w:val="1"/>
      <w:marLeft w:val="0"/>
      <w:marRight w:val="0"/>
      <w:marTop w:val="0"/>
      <w:marBottom w:val="0"/>
      <w:divBdr>
        <w:top w:val="none" w:sz="0" w:space="0" w:color="auto"/>
        <w:left w:val="none" w:sz="0" w:space="0" w:color="auto"/>
        <w:bottom w:val="none" w:sz="0" w:space="0" w:color="auto"/>
        <w:right w:val="none" w:sz="0" w:space="0" w:color="auto"/>
      </w:divBdr>
    </w:div>
    <w:div w:id="1890727408">
      <w:bodyDiv w:val="1"/>
      <w:marLeft w:val="0"/>
      <w:marRight w:val="0"/>
      <w:marTop w:val="0"/>
      <w:marBottom w:val="0"/>
      <w:divBdr>
        <w:top w:val="none" w:sz="0" w:space="0" w:color="auto"/>
        <w:left w:val="none" w:sz="0" w:space="0" w:color="auto"/>
        <w:bottom w:val="none" w:sz="0" w:space="0" w:color="auto"/>
        <w:right w:val="none" w:sz="0" w:space="0" w:color="auto"/>
      </w:divBdr>
    </w:div>
    <w:div w:id="1973827458">
      <w:bodyDiv w:val="1"/>
      <w:marLeft w:val="0"/>
      <w:marRight w:val="0"/>
      <w:marTop w:val="0"/>
      <w:marBottom w:val="0"/>
      <w:divBdr>
        <w:top w:val="none" w:sz="0" w:space="0" w:color="auto"/>
        <w:left w:val="none" w:sz="0" w:space="0" w:color="auto"/>
        <w:bottom w:val="none" w:sz="0" w:space="0" w:color="auto"/>
        <w:right w:val="none" w:sz="0" w:space="0" w:color="auto"/>
      </w:divBdr>
    </w:div>
    <w:div w:id="1988778749">
      <w:bodyDiv w:val="1"/>
      <w:marLeft w:val="0"/>
      <w:marRight w:val="0"/>
      <w:marTop w:val="0"/>
      <w:marBottom w:val="0"/>
      <w:divBdr>
        <w:top w:val="none" w:sz="0" w:space="0" w:color="auto"/>
        <w:left w:val="none" w:sz="0" w:space="0" w:color="auto"/>
        <w:bottom w:val="none" w:sz="0" w:space="0" w:color="auto"/>
        <w:right w:val="none" w:sz="0" w:space="0" w:color="auto"/>
      </w:divBdr>
    </w:div>
    <w:div w:id="20745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documents/scientific-guideline/points-consider-switching-between-superiority-non-inferiorit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7448-835B-41CA-8324-1DA04B2A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12221</Words>
  <Characters>67719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79781</CharactersWithSpaces>
  <SharedDoc>false</SharedDoc>
  <HLinks>
    <vt:vector size="54" baseType="variant">
      <vt:variant>
        <vt:i4>3735557</vt:i4>
      </vt:variant>
      <vt:variant>
        <vt:i4>258</vt:i4>
      </vt:variant>
      <vt:variant>
        <vt:i4>0</vt:i4>
      </vt:variant>
      <vt:variant>
        <vt:i4>5</vt:i4>
      </vt:variant>
      <vt:variant>
        <vt:lpwstr>https://www.ema.europa.eu/en/documents/scientific-guideline/points-consider-switching-between-superiority-non-inferiority_en.pdf</vt:lpwstr>
      </vt:variant>
      <vt:variant>
        <vt:lpwstr/>
      </vt:variant>
      <vt:variant>
        <vt:i4>3735557</vt:i4>
      </vt:variant>
      <vt:variant>
        <vt:i4>255</vt:i4>
      </vt:variant>
      <vt:variant>
        <vt:i4>0</vt:i4>
      </vt:variant>
      <vt:variant>
        <vt:i4>5</vt:i4>
      </vt:variant>
      <vt:variant>
        <vt:lpwstr>https://www.ema.europa.eu/en/documents/scientific-guideline/points-consider-switching-between-superiority-non-inferiority_en.pdf</vt:lpwstr>
      </vt:variant>
      <vt:variant>
        <vt:lpwstr/>
      </vt:variant>
      <vt:variant>
        <vt:i4>3211310</vt:i4>
      </vt:variant>
      <vt:variant>
        <vt:i4>234</vt:i4>
      </vt:variant>
      <vt:variant>
        <vt:i4>0</vt:i4>
      </vt:variant>
      <vt:variant>
        <vt:i4>5</vt:i4>
      </vt:variant>
      <vt:variant>
        <vt:lpwstr>http://www.pbs.gov.au/medicine/item/10015d</vt:lpwstr>
      </vt:variant>
      <vt:variant>
        <vt:lpwstr/>
      </vt:variant>
      <vt:variant>
        <vt:i4>6160409</vt:i4>
      </vt:variant>
      <vt:variant>
        <vt:i4>213</vt:i4>
      </vt:variant>
      <vt:variant>
        <vt:i4>0</vt:i4>
      </vt:variant>
      <vt:variant>
        <vt:i4>5</vt:i4>
      </vt:variant>
      <vt:variant>
        <vt:lpwstr>http://www.pbs.gov.au/browse/manufacturer/ap</vt:lpwstr>
      </vt:variant>
      <vt:variant>
        <vt:lpwstr/>
      </vt:variant>
      <vt:variant>
        <vt:i4>3866685</vt:i4>
      </vt:variant>
      <vt:variant>
        <vt:i4>210</vt:i4>
      </vt:variant>
      <vt:variant>
        <vt:i4>0</vt:i4>
      </vt:variant>
      <vt:variant>
        <vt:i4>5</vt:i4>
      </vt:variant>
      <vt:variant>
        <vt:lpwstr>http://www.pbs.gov.au/pbs/search?term=BUDESONIDE%20%2B%20FORMOTEROL%20%28EFORMOTEROL%29&amp;analyse=false&amp;search-type=medicines</vt:lpwstr>
      </vt:variant>
      <vt:variant>
        <vt:lpwstr/>
      </vt:variant>
      <vt:variant>
        <vt:i4>6160409</vt:i4>
      </vt:variant>
      <vt:variant>
        <vt:i4>207</vt:i4>
      </vt:variant>
      <vt:variant>
        <vt:i4>0</vt:i4>
      </vt:variant>
      <vt:variant>
        <vt:i4>5</vt:i4>
      </vt:variant>
      <vt:variant>
        <vt:lpwstr>http://www.pbs.gov.au/browse/manufacturer/ap</vt:lpwstr>
      </vt:variant>
      <vt:variant>
        <vt:lpwstr/>
      </vt:variant>
      <vt:variant>
        <vt:i4>3735557</vt:i4>
      </vt:variant>
      <vt:variant>
        <vt:i4>204</vt:i4>
      </vt:variant>
      <vt:variant>
        <vt:i4>0</vt:i4>
      </vt:variant>
      <vt:variant>
        <vt:i4>5</vt:i4>
      </vt:variant>
      <vt:variant>
        <vt:lpwstr>https://www.ema.europa.eu/en/documents/scientific-guideline/points-consider-switching-between-superiority-non-inferiority_en.pdf</vt:lpwstr>
      </vt:variant>
      <vt:variant>
        <vt:lpwstr/>
      </vt:variant>
      <vt:variant>
        <vt:i4>3735557</vt:i4>
      </vt:variant>
      <vt:variant>
        <vt:i4>201</vt:i4>
      </vt:variant>
      <vt:variant>
        <vt:i4>0</vt:i4>
      </vt:variant>
      <vt:variant>
        <vt:i4>5</vt:i4>
      </vt:variant>
      <vt:variant>
        <vt:lpwstr>https://www.ema.europa.eu/en/documents/scientific-guideline/points-consider-switching-between-superiority-non-inferiority_en.pdf</vt:lpwstr>
      </vt:variant>
      <vt:variant>
        <vt:lpwstr/>
      </vt:variant>
      <vt:variant>
        <vt:i4>5701653</vt:i4>
      </vt:variant>
      <vt:variant>
        <vt:i4>0</vt:i4>
      </vt:variant>
      <vt:variant>
        <vt:i4>0</vt:i4>
      </vt:variant>
      <vt:variant>
        <vt:i4>5</vt:i4>
      </vt:variant>
      <vt:variant>
        <vt:lpwstr>https://www.aihw.gov.au/reports/chronic-respiratory-conditions/asthma-associated-comorbidities-risk-factors/contents/risk-factors-associated-with-asthma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3</cp:revision>
  <cp:lastPrinted>2019-10-17T22:33:00Z</cp:lastPrinted>
  <dcterms:created xsi:type="dcterms:W3CDTF">2019-10-02T03:06:00Z</dcterms:created>
  <dcterms:modified xsi:type="dcterms:W3CDTF">2019-10-17T22:33:00Z</dcterms:modified>
</cp:coreProperties>
</file>