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334E" w:rsidRDefault="00981D25">
      <w:pPr>
        <w:pStyle w:val="Title"/>
        <w:spacing w:before="120" w:after="160"/>
        <w:ind w:left="709" w:hanging="709"/>
        <w:rPr>
          <w:rFonts w:asciiTheme="minorHAnsi" w:hAnsiTheme="minorHAnsi"/>
          <w:sz w:val="36"/>
          <w:szCs w:val="36"/>
        </w:rPr>
      </w:pPr>
      <w:bookmarkStart w:id="0" w:name="_GoBack"/>
      <w:bookmarkEnd w:id="0"/>
      <w:r>
        <w:rPr>
          <w:rFonts w:asciiTheme="minorHAnsi" w:hAnsiTheme="minorHAnsi"/>
          <w:sz w:val="36"/>
          <w:szCs w:val="36"/>
        </w:rPr>
        <w:t>5.11</w:t>
      </w:r>
      <w:r>
        <w:rPr>
          <w:rFonts w:asciiTheme="minorHAnsi" w:hAnsiTheme="minorHAnsi"/>
          <w:sz w:val="36"/>
          <w:szCs w:val="36"/>
        </w:rPr>
        <w:tab/>
        <w:t xml:space="preserve">AMINO ACID FORMULA WITH VITAMINS AND MINERALS, LOW PHENYLALANINE AND SUPPLEMENTED WITH DOCOSAHEXAENOIC ACID AND ARACHIDONIC ACID </w:t>
      </w:r>
      <w:r>
        <w:rPr>
          <w:rFonts w:asciiTheme="minorHAnsi" w:hAnsiTheme="minorHAnsi"/>
          <w:sz w:val="36"/>
          <w:szCs w:val="36"/>
        </w:rPr>
        <w:br/>
        <w:t>Sachets containing oral powder 12.5 g, 30 (PKU Explore 5)</w:t>
      </w:r>
    </w:p>
    <w:p w:rsidR="0047334E" w:rsidRDefault="00981D25">
      <w:pPr>
        <w:pStyle w:val="Title"/>
        <w:spacing w:before="120" w:after="160"/>
        <w:ind w:left="720" w:hanging="11"/>
        <w:rPr>
          <w:rFonts w:asciiTheme="minorHAnsi" w:hAnsiTheme="minorHAnsi"/>
          <w:sz w:val="36"/>
          <w:szCs w:val="36"/>
        </w:rPr>
      </w:pPr>
      <w:r>
        <w:rPr>
          <w:rFonts w:asciiTheme="minorHAnsi" w:hAnsiTheme="minorHAnsi"/>
          <w:sz w:val="36"/>
          <w:szCs w:val="36"/>
        </w:rPr>
        <w:t xml:space="preserve">Sachets containing oral powder 25 g, 30 (PKU Explore 10) </w:t>
      </w:r>
    </w:p>
    <w:p w:rsidR="0047334E" w:rsidRDefault="00981D25">
      <w:pPr>
        <w:pStyle w:val="Title"/>
        <w:spacing w:before="120" w:after="160"/>
        <w:ind w:left="720" w:hanging="11"/>
        <w:rPr>
          <w:rFonts w:asciiTheme="minorHAnsi" w:hAnsiTheme="minorHAnsi"/>
          <w:b w:val="0"/>
          <w:sz w:val="36"/>
          <w:szCs w:val="36"/>
        </w:rPr>
      </w:pPr>
      <w:r>
        <w:rPr>
          <w:rFonts w:asciiTheme="minorHAnsi" w:hAnsiTheme="minorHAnsi"/>
          <w:sz w:val="36"/>
          <w:szCs w:val="36"/>
        </w:rPr>
        <w:t>PKU Explore</w:t>
      </w:r>
      <w:r>
        <w:rPr>
          <w:rFonts w:asciiTheme="minorHAnsi" w:hAnsiTheme="minorHAnsi"/>
          <w:sz w:val="36"/>
          <w:szCs w:val="36"/>
          <w:vertAlign w:val="superscript"/>
        </w:rPr>
        <w:t>®</w:t>
      </w:r>
      <w:r>
        <w:rPr>
          <w:rFonts w:asciiTheme="minorHAnsi" w:hAnsiTheme="minorHAnsi"/>
          <w:sz w:val="36"/>
          <w:szCs w:val="36"/>
        </w:rPr>
        <w:t>, Vitaflo Australia Pty Ltd.</w:t>
      </w:r>
    </w:p>
    <w:p w:rsidR="0047334E" w:rsidRDefault="00981D25">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t>Purpose of Application</w:t>
      </w:r>
    </w:p>
    <w:p w:rsidR="0047334E" w:rsidRDefault="00981D25">
      <w:pPr>
        <w:pStyle w:val="ListParagraph"/>
        <w:numPr>
          <w:ilvl w:val="1"/>
          <w:numId w:val="2"/>
        </w:numPr>
        <w:spacing w:before="120" w:after="160"/>
        <w:contextualSpacing w:val="0"/>
        <w:jc w:val="both"/>
        <w:rPr>
          <w:rFonts w:asciiTheme="minorHAnsi" w:hAnsiTheme="minorHAnsi"/>
        </w:rPr>
      </w:pPr>
      <w:r>
        <w:rPr>
          <w:rFonts w:asciiTheme="minorHAnsi" w:hAnsiTheme="minorHAnsi"/>
        </w:rPr>
        <w:t>The minor submission requested Restricted Benefit listings for two new forms of amino acid formula with vitamins and minerals, low phenylalanine and supplemented with docosahexaenoic acid and arachidonic acid (PKU Explore) for the dietary management of phenylketonuria (PKU).</w:t>
      </w:r>
    </w:p>
    <w:p w:rsidR="0047334E" w:rsidRDefault="00981D25">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t>Requested Listing</w:t>
      </w:r>
    </w:p>
    <w:p w:rsidR="0047334E" w:rsidRDefault="00981D25">
      <w:pPr>
        <w:pStyle w:val="ListParagraph"/>
        <w:numPr>
          <w:ilvl w:val="1"/>
          <w:numId w:val="2"/>
        </w:numPr>
        <w:spacing w:before="120" w:after="120"/>
        <w:contextualSpacing w:val="0"/>
        <w:jc w:val="both"/>
        <w:rPr>
          <w:rFonts w:asciiTheme="minorHAnsi" w:eastAsiaTheme="minorHAnsi" w:hAnsiTheme="minorHAnsi" w:cstheme="minorBidi"/>
          <w:i/>
          <w:szCs w:val="22"/>
        </w:rPr>
      </w:pPr>
      <w:r>
        <w:rPr>
          <w:rFonts w:asciiTheme="minorHAnsi" w:hAnsiTheme="minorHAnsi"/>
          <w:szCs w:val="22"/>
        </w:rPr>
        <w:t xml:space="preserve">The submission requested the following new listing. </w:t>
      </w:r>
      <w:r>
        <w:rPr>
          <w:rFonts w:asciiTheme="minorHAnsi" w:eastAsiaTheme="minorHAnsi" w:hAnsiTheme="minorHAnsi" w:cstheme="minorBidi"/>
          <w:szCs w:val="22"/>
        </w:rPr>
        <w:t>Suggestions and additions proposed by the Secretariat to the requested listing are added in italics and suggested deletions are crossed out with strikethrough.</w:t>
      </w:r>
    </w:p>
    <w:tbl>
      <w:tblPr>
        <w:tblW w:w="5000" w:type="pct"/>
        <w:tblLook w:val="0000" w:firstRow="0" w:lastRow="0" w:firstColumn="0" w:lastColumn="0" w:noHBand="0" w:noVBand="0"/>
      </w:tblPr>
      <w:tblGrid>
        <w:gridCol w:w="1910"/>
        <w:gridCol w:w="1339"/>
        <w:gridCol w:w="711"/>
        <w:gridCol w:w="859"/>
        <w:gridCol w:w="995"/>
        <w:gridCol w:w="1560"/>
        <w:gridCol w:w="1652"/>
      </w:tblGrid>
      <w:tr w:rsidR="0047334E" w:rsidTr="003A25AB">
        <w:trPr>
          <w:cantSplit/>
          <w:trHeight w:val="471"/>
        </w:trPr>
        <w:tc>
          <w:tcPr>
            <w:tcW w:w="1800" w:type="pct"/>
            <w:gridSpan w:val="2"/>
          </w:tcPr>
          <w:p w:rsidR="0047334E" w:rsidRDefault="00981D25">
            <w:pPr>
              <w:keepNext/>
              <w:ind w:left="-108"/>
              <w:jc w:val="both"/>
              <w:rPr>
                <w:rFonts w:ascii="Arial Narrow" w:hAnsi="Arial Narrow" w:cs="Arial"/>
                <w:b/>
                <w:sz w:val="20"/>
                <w:szCs w:val="20"/>
              </w:rPr>
            </w:pPr>
            <w:r>
              <w:rPr>
                <w:rFonts w:ascii="Arial Narrow" w:hAnsi="Arial Narrow" w:cs="Arial"/>
                <w:b/>
                <w:sz w:val="20"/>
                <w:szCs w:val="20"/>
              </w:rPr>
              <w:t>Name, Restriction,</w:t>
            </w:r>
          </w:p>
          <w:p w:rsidR="0047334E" w:rsidRDefault="00981D25">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394" w:type="pct"/>
          </w:tcPr>
          <w:p w:rsidR="0047334E" w:rsidRDefault="00981D25" w:rsidP="003A25AB">
            <w:pPr>
              <w:keepNext/>
              <w:ind w:left="-108"/>
              <w:rPr>
                <w:rFonts w:ascii="Arial Narrow" w:hAnsi="Arial Narrow" w:cs="Arial"/>
                <w:b/>
                <w:sz w:val="20"/>
                <w:szCs w:val="20"/>
              </w:rPr>
            </w:pPr>
            <w:r>
              <w:rPr>
                <w:rFonts w:ascii="Arial Narrow" w:hAnsi="Arial Narrow" w:cs="Arial"/>
                <w:b/>
                <w:sz w:val="20"/>
                <w:szCs w:val="20"/>
              </w:rPr>
              <w:t>Max.</w:t>
            </w:r>
          </w:p>
          <w:p w:rsidR="0047334E" w:rsidRDefault="00981D25" w:rsidP="003A25AB">
            <w:pPr>
              <w:keepNext/>
              <w:ind w:left="-108"/>
              <w:rPr>
                <w:rFonts w:ascii="Arial Narrow" w:hAnsi="Arial Narrow" w:cs="Arial"/>
                <w:b/>
                <w:sz w:val="20"/>
                <w:szCs w:val="20"/>
              </w:rPr>
            </w:pPr>
            <w:r>
              <w:rPr>
                <w:rFonts w:ascii="Arial Narrow" w:hAnsi="Arial Narrow" w:cs="Arial"/>
                <w:b/>
                <w:sz w:val="20"/>
                <w:szCs w:val="20"/>
              </w:rPr>
              <w:t>Qty</w:t>
            </w:r>
          </w:p>
        </w:tc>
        <w:tc>
          <w:tcPr>
            <w:tcW w:w="476" w:type="pct"/>
          </w:tcPr>
          <w:p w:rsidR="0047334E" w:rsidRDefault="00981D25" w:rsidP="003A25AB">
            <w:pPr>
              <w:keepNext/>
              <w:ind w:left="-108"/>
              <w:rPr>
                <w:rFonts w:ascii="Arial Narrow" w:hAnsi="Arial Narrow" w:cs="Arial"/>
                <w:b/>
                <w:sz w:val="20"/>
                <w:szCs w:val="20"/>
              </w:rPr>
            </w:pPr>
            <w:r>
              <w:rPr>
                <w:rFonts w:ascii="Arial Narrow" w:hAnsi="Arial Narrow" w:cs="Arial"/>
                <w:b/>
                <w:sz w:val="20"/>
                <w:szCs w:val="20"/>
              </w:rPr>
              <w:t>№.of</w:t>
            </w:r>
          </w:p>
          <w:p w:rsidR="0047334E" w:rsidRDefault="00981D25" w:rsidP="003A25AB">
            <w:pPr>
              <w:keepNext/>
              <w:ind w:left="-108"/>
              <w:rPr>
                <w:rFonts w:ascii="Arial Narrow" w:hAnsi="Arial Narrow" w:cs="Arial"/>
                <w:b/>
                <w:sz w:val="20"/>
                <w:szCs w:val="20"/>
              </w:rPr>
            </w:pPr>
            <w:r>
              <w:rPr>
                <w:rFonts w:ascii="Arial Narrow" w:hAnsi="Arial Narrow" w:cs="Arial"/>
                <w:b/>
                <w:sz w:val="20"/>
                <w:szCs w:val="20"/>
              </w:rPr>
              <w:t>Rpts</w:t>
            </w:r>
          </w:p>
        </w:tc>
        <w:tc>
          <w:tcPr>
            <w:tcW w:w="551" w:type="pct"/>
          </w:tcPr>
          <w:p w:rsidR="0047334E" w:rsidRDefault="00981D25" w:rsidP="003A25AB">
            <w:pPr>
              <w:keepNext/>
              <w:ind w:left="-108"/>
              <w:rPr>
                <w:rFonts w:ascii="Arial Narrow" w:hAnsi="Arial Narrow" w:cs="Arial"/>
                <w:b/>
                <w:sz w:val="20"/>
                <w:szCs w:val="20"/>
              </w:rPr>
            </w:pPr>
            <w:r>
              <w:rPr>
                <w:rFonts w:ascii="Arial Narrow" w:hAnsi="Arial Narrow" w:cs="Arial"/>
                <w:b/>
                <w:sz w:val="20"/>
                <w:szCs w:val="20"/>
              </w:rPr>
              <w:t>Dispensed Price for Max. Qty</w:t>
            </w:r>
          </w:p>
        </w:tc>
        <w:tc>
          <w:tcPr>
            <w:tcW w:w="1780" w:type="pct"/>
            <w:gridSpan w:val="2"/>
          </w:tcPr>
          <w:p w:rsidR="0047334E" w:rsidRDefault="00981D25">
            <w:pPr>
              <w:keepNext/>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47334E" w:rsidTr="003A25AB">
        <w:trPr>
          <w:cantSplit/>
          <w:trHeight w:val="1011"/>
        </w:trPr>
        <w:tc>
          <w:tcPr>
            <w:tcW w:w="1800" w:type="pct"/>
            <w:gridSpan w:val="2"/>
          </w:tcPr>
          <w:p w:rsidR="0047334E" w:rsidRPr="003A25AB" w:rsidRDefault="00981D25" w:rsidP="003A25AB">
            <w:pPr>
              <w:keepNext/>
              <w:ind w:left="-108"/>
              <w:jc w:val="both"/>
              <w:rPr>
                <w:rFonts w:ascii="Arial Narrow" w:hAnsi="Arial Narrow" w:cs="Arial"/>
                <w:smallCaps/>
                <w:sz w:val="20"/>
                <w:szCs w:val="20"/>
              </w:rPr>
            </w:pPr>
            <w:r>
              <w:rPr>
                <w:rFonts w:ascii="Arial Narrow" w:hAnsi="Arial Narrow" w:cs="Arial"/>
                <w:smallCaps/>
                <w:sz w:val="20"/>
                <w:szCs w:val="20"/>
              </w:rPr>
              <w:t>amino acid formula with vitamins and minerals, low phenylalanine and supplemented with docosahexaenoic acid and arachidonic acid</w:t>
            </w:r>
          </w:p>
        </w:tc>
        <w:tc>
          <w:tcPr>
            <w:tcW w:w="394" w:type="pct"/>
            <w:vAlign w:val="center"/>
          </w:tcPr>
          <w:p w:rsidR="0047334E" w:rsidRDefault="0047334E" w:rsidP="003A25AB">
            <w:pPr>
              <w:keepNext/>
              <w:ind w:left="-108"/>
              <w:rPr>
                <w:rFonts w:ascii="Arial Narrow" w:hAnsi="Arial Narrow" w:cs="Arial"/>
                <w:sz w:val="20"/>
                <w:szCs w:val="20"/>
              </w:rPr>
            </w:pPr>
          </w:p>
        </w:tc>
        <w:tc>
          <w:tcPr>
            <w:tcW w:w="476" w:type="pct"/>
            <w:vAlign w:val="center"/>
          </w:tcPr>
          <w:p w:rsidR="0047334E" w:rsidRDefault="0047334E" w:rsidP="003A25AB">
            <w:pPr>
              <w:keepNext/>
              <w:rPr>
                <w:rFonts w:ascii="Arial Narrow" w:hAnsi="Arial Narrow" w:cs="Arial"/>
                <w:sz w:val="20"/>
                <w:szCs w:val="20"/>
              </w:rPr>
            </w:pPr>
          </w:p>
        </w:tc>
        <w:tc>
          <w:tcPr>
            <w:tcW w:w="551" w:type="pct"/>
            <w:vAlign w:val="center"/>
          </w:tcPr>
          <w:p w:rsidR="0047334E" w:rsidRDefault="0047334E" w:rsidP="003A25AB">
            <w:pPr>
              <w:keepNext/>
              <w:ind w:left="-108"/>
              <w:rPr>
                <w:rFonts w:ascii="Arial Narrow" w:hAnsi="Arial Narrow" w:cs="Arial"/>
                <w:i/>
                <w:sz w:val="20"/>
                <w:szCs w:val="20"/>
              </w:rPr>
            </w:pPr>
          </w:p>
        </w:tc>
        <w:tc>
          <w:tcPr>
            <w:tcW w:w="864" w:type="pct"/>
          </w:tcPr>
          <w:p w:rsidR="0047334E" w:rsidRDefault="0047334E">
            <w:pPr>
              <w:keepNext/>
              <w:jc w:val="both"/>
              <w:rPr>
                <w:rFonts w:ascii="Arial Narrow" w:hAnsi="Arial Narrow" w:cs="Arial"/>
                <w:sz w:val="20"/>
                <w:szCs w:val="20"/>
              </w:rPr>
            </w:pPr>
          </w:p>
        </w:tc>
        <w:tc>
          <w:tcPr>
            <w:tcW w:w="916" w:type="pct"/>
            <w:vAlign w:val="center"/>
          </w:tcPr>
          <w:p w:rsidR="0047334E" w:rsidRDefault="0047334E">
            <w:pPr>
              <w:keepNext/>
              <w:rPr>
                <w:rFonts w:ascii="Arial Narrow" w:hAnsi="Arial Narrow" w:cs="Arial"/>
                <w:sz w:val="20"/>
                <w:szCs w:val="20"/>
              </w:rPr>
            </w:pPr>
          </w:p>
        </w:tc>
      </w:tr>
      <w:tr w:rsidR="003A25AB" w:rsidTr="003A25AB">
        <w:trPr>
          <w:cantSplit/>
          <w:trHeight w:val="343"/>
        </w:trPr>
        <w:tc>
          <w:tcPr>
            <w:tcW w:w="1800" w:type="pct"/>
            <w:gridSpan w:val="2"/>
            <w:vAlign w:val="center"/>
          </w:tcPr>
          <w:p w:rsidR="003A25AB" w:rsidRPr="003A25AB" w:rsidRDefault="003A25AB" w:rsidP="003A25AB">
            <w:pPr>
              <w:keepNext/>
              <w:ind w:left="-108"/>
              <w:rPr>
                <w:rFonts w:ascii="Arial Narrow" w:hAnsi="Arial Narrow" w:cs="Arial"/>
                <w:sz w:val="20"/>
                <w:szCs w:val="20"/>
              </w:rPr>
            </w:pPr>
            <w:r>
              <w:rPr>
                <w:rFonts w:ascii="Arial Narrow" w:hAnsi="Arial Narrow" w:cs="Arial"/>
                <w:sz w:val="20"/>
                <w:szCs w:val="20"/>
              </w:rPr>
              <w:t>powder for oral liquid, 30 x 12.5 g sachets</w:t>
            </w:r>
          </w:p>
        </w:tc>
        <w:tc>
          <w:tcPr>
            <w:tcW w:w="394" w:type="pct"/>
            <w:vAlign w:val="center"/>
          </w:tcPr>
          <w:p w:rsidR="003A25AB" w:rsidRDefault="003A25AB" w:rsidP="003A25AB">
            <w:pPr>
              <w:keepNext/>
              <w:ind w:left="-108"/>
              <w:rPr>
                <w:rFonts w:ascii="Arial Narrow" w:hAnsi="Arial Narrow" w:cs="Arial"/>
                <w:sz w:val="20"/>
                <w:szCs w:val="20"/>
              </w:rPr>
            </w:pPr>
            <w:r>
              <w:rPr>
                <w:rFonts w:ascii="Arial Narrow" w:hAnsi="Arial Narrow" w:cs="Arial"/>
                <w:sz w:val="20"/>
                <w:szCs w:val="20"/>
              </w:rPr>
              <w:t>8</w:t>
            </w:r>
          </w:p>
        </w:tc>
        <w:tc>
          <w:tcPr>
            <w:tcW w:w="476" w:type="pct"/>
            <w:vAlign w:val="center"/>
          </w:tcPr>
          <w:p w:rsidR="003A25AB" w:rsidRDefault="003A25AB" w:rsidP="003A25AB">
            <w:pPr>
              <w:keepNext/>
              <w:rPr>
                <w:rFonts w:ascii="Arial Narrow" w:hAnsi="Arial Narrow" w:cs="Arial"/>
                <w:sz w:val="20"/>
                <w:szCs w:val="20"/>
              </w:rPr>
            </w:pPr>
            <w:r>
              <w:rPr>
                <w:rFonts w:ascii="Arial Narrow" w:hAnsi="Arial Narrow" w:cs="Arial"/>
                <w:sz w:val="20"/>
                <w:szCs w:val="20"/>
              </w:rPr>
              <w:t>5</w:t>
            </w:r>
          </w:p>
        </w:tc>
        <w:tc>
          <w:tcPr>
            <w:tcW w:w="551" w:type="pct"/>
            <w:vMerge w:val="restart"/>
            <w:vAlign w:val="center"/>
          </w:tcPr>
          <w:p w:rsidR="003A25AB" w:rsidRDefault="003A25AB" w:rsidP="003A25AB">
            <w:pPr>
              <w:keepNext/>
              <w:ind w:left="-108"/>
              <w:rPr>
                <w:rFonts w:ascii="Arial Narrow" w:hAnsi="Arial Narrow" w:cs="Arial"/>
                <w:strike/>
                <w:sz w:val="20"/>
                <w:szCs w:val="20"/>
              </w:rPr>
            </w:pPr>
            <w:r>
              <w:rPr>
                <w:rFonts w:ascii="Arial Narrow" w:hAnsi="Arial Narrow" w:cs="Arial"/>
                <w:strike/>
                <w:sz w:val="20"/>
                <w:szCs w:val="20"/>
              </w:rPr>
              <w:t>$1000.62</w:t>
            </w:r>
          </w:p>
          <w:p w:rsidR="003A25AB" w:rsidRDefault="003A25AB" w:rsidP="003A25AB">
            <w:pPr>
              <w:keepNext/>
              <w:ind w:left="-108"/>
              <w:rPr>
                <w:rFonts w:ascii="Arial Narrow" w:hAnsi="Arial Narrow" w:cs="Arial"/>
                <w:sz w:val="20"/>
                <w:szCs w:val="20"/>
              </w:rPr>
            </w:pPr>
            <w:r>
              <w:rPr>
                <w:rFonts w:ascii="Arial Narrow" w:hAnsi="Arial Narrow" w:cs="Arial"/>
                <w:i/>
                <w:sz w:val="20"/>
                <w:szCs w:val="20"/>
              </w:rPr>
              <w:t>$1000.75</w:t>
            </w:r>
          </w:p>
        </w:tc>
        <w:tc>
          <w:tcPr>
            <w:tcW w:w="864" w:type="pct"/>
            <w:vAlign w:val="center"/>
          </w:tcPr>
          <w:p w:rsidR="003A25AB" w:rsidRDefault="003A25AB" w:rsidP="003A25AB">
            <w:pPr>
              <w:keepNext/>
              <w:rPr>
                <w:rFonts w:ascii="Arial Narrow" w:hAnsi="Arial Narrow" w:cs="Arial"/>
                <w:sz w:val="20"/>
                <w:szCs w:val="20"/>
              </w:rPr>
            </w:pPr>
            <w:r>
              <w:rPr>
                <w:rFonts w:ascii="Arial Narrow" w:hAnsi="Arial Narrow" w:cs="Arial"/>
                <w:sz w:val="20"/>
                <w:szCs w:val="20"/>
              </w:rPr>
              <w:t>PKU Explore5®</w:t>
            </w:r>
          </w:p>
        </w:tc>
        <w:tc>
          <w:tcPr>
            <w:tcW w:w="916" w:type="pct"/>
            <w:vMerge w:val="restart"/>
            <w:vAlign w:val="center"/>
          </w:tcPr>
          <w:p w:rsidR="003A25AB" w:rsidRDefault="003A25AB" w:rsidP="003A25AB">
            <w:pPr>
              <w:keepNext/>
              <w:rPr>
                <w:rFonts w:ascii="Arial Narrow" w:hAnsi="Arial Narrow" w:cs="Arial"/>
                <w:sz w:val="20"/>
                <w:szCs w:val="20"/>
              </w:rPr>
            </w:pPr>
            <w:r>
              <w:rPr>
                <w:rFonts w:ascii="Arial Narrow" w:hAnsi="Arial Narrow" w:cs="Arial"/>
                <w:sz w:val="20"/>
                <w:szCs w:val="20"/>
              </w:rPr>
              <w:t>Vitaflo Australia Pty Ltd</w:t>
            </w:r>
          </w:p>
        </w:tc>
      </w:tr>
      <w:tr w:rsidR="003A25AB" w:rsidTr="003A25AB">
        <w:trPr>
          <w:cantSplit/>
          <w:trHeight w:val="415"/>
        </w:trPr>
        <w:tc>
          <w:tcPr>
            <w:tcW w:w="1800" w:type="pct"/>
            <w:gridSpan w:val="2"/>
            <w:vAlign w:val="center"/>
          </w:tcPr>
          <w:p w:rsidR="003A25AB" w:rsidRDefault="003A25AB" w:rsidP="003A25AB">
            <w:pPr>
              <w:keepNext/>
              <w:ind w:left="-108"/>
              <w:rPr>
                <w:rFonts w:ascii="Arial Narrow" w:hAnsi="Arial Narrow" w:cs="Arial"/>
                <w:sz w:val="20"/>
                <w:szCs w:val="20"/>
              </w:rPr>
            </w:pPr>
            <w:r>
              <w:rPr>
                <w:rFonts w:ascii="Arial Narrow" w:hAnsi="Arial Narrow" w:cs="Arial"/>
                <w:sz w:val="20"/>
                <w:szCs w:val="20"/>
              </w:rPr>
              <w:t>powder for oral liquid, 30 x 25 g sachets</w:t>
            </w:r>
          </w:p>
        </w:tc>
        <w:tc>
          <w:tcPr>
            <w:tcW w:w="394" w:type="pct"/>
            <w:vAlign w:val="center"/>
          </w:tcPr>
          <w:p w:rsidR="003A25AB" w:rsidRDefault="003A25AB" w:rsidP="003A25AB">
            <w:pPr>
              <w:keepNext/>
              <w:ind w:left="-108"/>
              <w:rPr>
                <w:rFonts w:ascii="Arial Narrow" w:hAnsi="Arial Narrow" w:cs="Arial"/>
                <w:sz w:val="20"/>
                <w:szCs w:val="20"/>
              </w:rPr>
            </w:pPr>
            <w:r>
              <w:rPr>
                <w:rFonts w:ascii="Arial Narrow" w:hAnsi="Arial Narrow" w:cs="Arial"/>
                <w:sz w:val="20"/>
                <w:szCs w:val="20"/>
              </w:rPr>
              <w:t>4</w:t>
            </w:r>
          </w:p>
        </w:tc>
        <w:tc>
          <w:tcPr>
            <w:tcW w:w="476" w:type="pct"/>
            <w:vAlign w:val="center"/>
          </w:tcPr>
          <w:p w:rsidR="003A25AB" w:rsidRDefault="003A25AB" w:rsidP="003A25AB">
            <w:pPr>
              <w:keepNext/>
              <w:rPr>
                <w:rFonts w:ascii="Arial Narrow" w:hAnsi="Arial Narrow" w:cs="Arial"/>
                <w:sz w:val="20"/>
                <w:szCs w:val="20"/>
              </w:rPr>
            </w:pPr>
            <w:r>
              <w:rPr>
                <w:rFonts w:ascii="Arial Narrow" w:hAnsi="Arial Narrow" w:cs="Arial"/>
                <w:sz w:val="20"/>
                <w:szCs w:val="20"/>
              </w:rPr>
              <w:t>5</w:t>
            </w:r>
          </w:p>
        </w:tc>
        <w:tc>
          <w:tcPr>
            <w:tcW w:w="551" w:type="pct"/>
            <w:vMerge/>
          </w:tcPr>
          <w:p w:rsidR="003A25AB" w:rsidRDefault="003A25AB" w:rsidP="003A25AB">
            <w:pPr>
              <w:keepNext/>
              <w:ind w:left="-108"/>
              <w:jc w:val="both"/>
              <w:rPr>
                <w:rFonts w:ascii="Arial Narrow" w:hAnsi="Arial Narrow" w:cs="Arial"/>
                <w:sz w:val="20"/>
                <w:szCs w:val="20"/>
              </w:rPr>
            </w:pPr>
          </w:p>
        </w:tc>
        <w:tc>
          <w:tcPr>
            <w:tcW w:w="864" w:type="pct"/>
            <w:vAlign w:val="center"/>
          </w:tcPr>
          <w:p w:rsidR="003A25AB" w:rsidRDefault="003A25AB" w:rsidP="003A25AB">
            <w:pPr>
              <w:keepNext/>
              <w:rPr>
                <w:rFonts w:ascii="Arial Narrow" w:hAnsi="Arial Narrow" w:cs="Arial"/>
                <w:sz w:val="20"/>
                <w:szCs w:val="20"/>
              </w:rPr>
            </w:pPr>
            <w:r>
              <w:rPr>
                <w:rFonts w:ascii="Arial Narrow" w:hAnsi="Arial Narrow" w:cs="Arial"/>
                <w:sz w:val="20"/>
                <w:szCs w:val="20"/>
              </w:rPr>
              <w:t>PKU Explore10®</w:t>
            </w:r>
          </w:p>
        </w:tc>
        <w:tc>
          <w:tcPr>
            <w:tcW w:w="916" w:type="pct"/>
            <w:vMerge/>
          </w:tcPr>
          <w:p w:rsidR="003A25AB" w:rsidRDefault="003A25AB" w:rsidP="003A25AB">
            <w:pPr>
              <w:keepNext/>
              <w:jc w:val="both"/>
              <w:rPr>
                <w:rFonts w:ascii="Arial Narrow" w:hAnsi="Arial Narrow" w:cs="Arial"/>
                <w:sz w:val="20"/>
                <w:szCs w:val="20"/>
              </w:rPr>
            </w:pPr>
          </w:p>
        </w:tc>
      </w:tr>
      <w:tr w:rsidR="003A25AB" w:rsidTr="003A25AB">
        <w:trPr>
          <w:cantSplit/>
          <w:trHeight w:val="360"/>
        </w:trPr>
        <w:tc>
          <w:tcPr>
            <w:tcW w:w="4997" w:type="pct"/>
            <w:gridSpan w:val="7"/>
            <w:tcBorders>
              <w:bottom w:val="single" w:sz="4" w:space="0" w:color="auto"/>
            </w:tcBorders>
          </w:tcPr>
          <w:p w:rsidR="003A25AB" w:rsidRDefault="003A25AB" w:rsidP="003A25AB">
            <w:pPr>
              <w:jc w:val="both"/>
              <w:rPr>
                <w:rFonts w:ascii="Arial Narrow" w:hAnsi="Arial Narrow" w:cs="Arial"/>
                <w:sz w:val="20"/>
                <w:szCs w:val="20"/>
              </w:rPr>
            </w:pPr>
          </w:p>
        </w:tc>
      </w:tr>
      <w:tr w:rsidR="003A25AB" w:rsidTr="003A25AB">
        <w:trPr>
          <w:cantSplit/>
          <w:trHeight w:val="360"/>
        </w:trPr>
        <w:tc>
          <w:tcPr>
            <w:tcW w:w="1058" w:type="pct"/>
            <w:tcBorders>
              <w:top w:val="single" w:sz="4" w:space="0" w:color="auto"/>
              <w:left w:val="single" w:sz="4" w:space="0" w:color="auto"/>
              <w:bottom w:val="single" w:sz="4" w:space="0" w:color="auto"/>
              <w:right w:val="single" w:sz="4" w:space="0" w:color="auto"/>
            </w:tcBorders>
          </w:tcPr>
          <w:p w:rsidR="003A25AB" w:rsidRDefault="003A25AB" w:rsidP="003A25AB">
            <w:pPr>
              <w:jc w:val="both"/>
              <w:rPr>
                <w:rFonts w:ascii="Arial Narrow" w:hAnsi="Arial Narrow" w:cs="Arial"/>
                <w:b/>
                <w:sz w:val="20"/>
                <w:szCs w:val="20"/>
              </w:rPr>
            </w:pPr>
            <w:r>
              <w:rPr>
                <w:rFonts w:ascii="Arial Narrow" w:hAnsi="Arial Narrow" w:cs="Arial"/>
                <w:b/>
                <w:sz w:val="20"/>
                <w:szCs w:val="20"/>
              </w:rPr>
              <w:t>Category / Program</w:t>
            </w:r>
          </w:p>
        </w:tc>
        <w:tc>
          <w:tcPr>
            <w:tcW w:w="3940" w:type="pct"/>
            <w:gridSpan w:val="6"/>
            <w:tcBorders>
              <w:top w:val="single" w:sz="4" w:space="0" w:color="auto"/>
              <w:left w:val="single" w:sz="4" w:space="0" w:color="auto"/>
              <w:bottom w:val="single" w:sz="4" w:space="0" w:color="auto"/>
              <w:right w:val="single" w:sz="4" w:space="0" w:color="auto"/>
            </w:tcBorders>
          </w:tcPr>
          <w:p w:rsidR="003A25AB" w:rsidRDefault="003A25AB" w:rsidP="003A25AB">
            <w:pPr>
              <w:rPr>
                <w:rFonts w:ascii="Arial Narrow" w:hAnsi="Arial Narrow" w:cs="Arial"/>
                <w:sz w:val="20"/>
                <w:szCs w:val="20"/>
              </w:rPr>
            </w:pPr>
            <w:r>
              <w:rPr>
                <w:rFonts w:ascii="Arial Narrow" w:hAnsi="Arial Narrow" w:cs="Arial"/>
                <w:sz w:val="20"/>
                <w:szCs w:val="20"/>
              </w:rPr>
              <w:t>GENERAL – General Schedule (Code GE)</w:t>
            </w:r>
          </w:p>
          <w:p w:rsidR="003A25AB" w:rsidRDefault="003A25AB" w:rsidP="003A25AB">
            <w:pPr>
              <w:rPr>
                <w:rFonts w:ascii="Arial Narrow" w:hAnsi="Arial Narrow" w:cs="Arial"/>
                <w:sz w:val="20"/>
                <w:szCs w:val="20"/>
              </w:rPr>
            </w:pPr>
          </w:p>
        </w:tc>
      </w:tr>
      <w:tr w:rsidR="003A25AB" w:rsidTr="003A25AB">
        <w:trPr>
          <w:cantSplit/>
          <w:trHeight w:val="360"/>
        </w:trPr>
        <w:tc>
          <w:tcPr>
            <w:tcW w:w="1058" w:type="pct"/>
            <w:tcBorders>
              <w:top w:val="single" w:sz="4" w:space="0" w:color="auto"/>
              <w:left w:val="single" w:sz="4" w:space="0" w:color="auto"/>
              <w:bottom w:val="single" w:sz="4" w:space="0" w:color="auto"/>
              <w:right w:val="single" w:sz="4" w:space="0" w:color="auto"/>
            </w:tcBorders>
          </w:tcPr>
          <w:p w:rsidR="003A25AB" w:rsidRDefault="003A25AB" w:rsidP="003A25AB">
            <w:pPr>
              <w:jc w:val="both"/>
              <w:rPr>
                <w:rFonts w:ascii="Arial Narrow" w:hAnsi="Arial Narrow" w:cs="Arial"/>
                <w:b/>
                <w:sz w:val="20"/>
                <w:szCs w:val="20"/>
              </w:rPr>
            </w:pPr>
            <w:r>
              <w:rPr>
                <w:rFonts w:ascii="Arial Narrow" w:hAnsi="Arial Narrow" w:cs="Arial"/>
                <w:b/>
                <w:sz w:val="20"/>
                <w:szCs w:val="20"/>
              </w:rPr>
              <w:t>Prescriber type:</w:t>
            </w:r>
          </w:p>
        </w:tc>
        <w:tc>
          <w:tcPr>
            <w:tcW w:w="3940" w:type="pct"/>
            <w:gridSpan w:val="6"/>
            <w:tcBorders>
              <w:top w:val="single" w:sz="4" w:space="0" w:color="auto"/>
              <w:left w:val="single" w:sz="4" w:space="0" w:color="auto"/>
              <w:bottom w:val="single" w:sz="4" w:space="0" w:color="auto"/>
              <w:right w:val="single" w:sz="4" w:space="0" w:color="auto"/>
            </w:tcBorders>
          </w:tcPr>
          <w:p w:rsidR="003A25AB" w:rsidRDefault="003A25AB" w:rsidP="003A25AB">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bookmarkEnd w:id="1"/>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3A25AB" w:rsidRDefault="003A25AB" w:rsidP="003A25AB">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3A25AB" w:rsidTr="003A25AB">
        <w:trPr>
          <w:cantSplit/>
          <w:trHeight w:val="360"/>
        </w:trPr>
        <w:tc>
          <w:tcPr>
            <w:tcW w:w="1058" w:type="pct"/>
            <w:tcBorders>
              <w:top w:val="single" w:sz="4" w:space="0" w:color="auto"/>
              <w:left w:val="single" w:sz="4" w:space="0" w:color="auto"/>
              <w:bottom w:val="single" w:sz="4" w:space="0" w:color="auto"/>
              <w:right w:val="single" w:sz="4" w:space="0" w:color="auto"/>
            </w:tcBorders>
          </w:tcPr>
          <w:p w:rsidR="003A25AB" w:rsidRDefault="003A25AB" w:rsidP="003A25AB">
            <w:pPr>
              <w:jc w:val="both"/>
              <w:rPr>
                <w:rFonts w:ascii="Arial Narrow" w:hAnsi="Arial Narrow" w:cs="Arial"/>
                <w:b/>
                <w:sz w:val="20"/>
                <w:szCs w:val="20"/>
              </w:rPr>
            </w:pPr>
            <w:r>
              <w:rPr>
                <w:rFonts w:ascii="Arial Narrow" w:hAnsi="Arial Narrow" w:cs="Arial"/>
                <w:b/>
                <w:sz w:val="20"/>
                <w:szCs w:val="20"/>
              </w:rPr>
              <w:t>Condition:</w:t>
            </w:r>
          </w:p>
        </w:tc>
        <w:tc>
          <w:tcPr>
            <w:tcW w:w="3940" w:type="pct"/>
            <w:gridSpan w:val="6"/>
            <w:tcBorders>
              <w:top w:val="single" w:sz="4" w:space="0" w:color="auto"/>
              <w:left w:val="single" w:sz="4" w:space="0" w:color="auto"/>
              <w:bottom w:val="single" w:sz="4" w:space="0" w:color="auto"/>
              <w:right w:val="single" w:sz="4" w:space="0" w:color="auto"/>
            </w:tcBorders>
          </w:tcPr>
          <w:p w:rsidR="003A25AB" w:rsidRDefault="003A25AB" w:rsidP="003A25AB">
            <w:pPr>
              <w:rPr>
                <w:rFonts w:ascii="Arial Narrow" w:hAnsi="Arial Narrow" w:cs="Arial"/>
                <w:sz w:val="20"/>
                <w:szCs w:val="20"/>
              </w:rPr>
            </w:pPr>
            <w:r>
              <w:rPr>
                <w:rFonts w:ascii="Arial Narrow" w:hAnsi="Arial Narrow" w:cs="Arial"/>
                <w:sz w:val="20"/>
                <w:szCs w:val="20"/>
              </w:rPr>
              <w:t>Phenylketonuria</w:t>
            </w:r>
          </w:p>
        </w:tc>
      </w:tr>
      <w:tr w:rsidR="003A25AB" w:rsidTr="003A25AB">
        <w:trPr>
          <w:cantSplit/>
          <w:trHeight w:val="360"/>
        </w:trPr>
        <w:tc>
          <w:tcPr>
            <w:tcW w:w="1058" w:type="pct"/>
            <w:tcBorders>
              <w:top w:val="single" w:sz="4" w:space="0" w:color="auto"/>
              <w:left w:val="single" w:sz="4" w:space="0" w:color="auto"/>
              <w:bottom w:val="single" w:sz="4" w:space="0" w:color="auto"/>
              <w:right w:val="single" w:sz="4" w:space="0" w:color="auto"/>
            </w:tcBorders>
          </w:tcPr>
          <w:p w:rsidR="003A25AB" w:rsidRDefault="003A25AB" w:rsidP="003A25AB">
            <w:pPr>
              <w:jc w:val="both"/>
              <w:rPr>
                <w:rFonts w:ascii="Arial Narrow" w:hAnsi="Arial Narrow" w:cs="Arial"/>
                <w:b/>
                <w:sz w:val="20"/>
                <w:szCs w:val="20"/>
              </w:rPr>
            </w:pPr>
            <w:r>
              <w:rPr>
                <w:rFonts w:ascii="Arial Narrow" w:hAnsi="Arial Narrow" w:cs="Arial"/>
                <w:b/>
                <w:sz w:val="20"/>
                <w:szCs w:val="20"/>
              </w:rPr>
              <w:t>PBS Indication:</w:t>
            </w:r>
          </w:p>
        </w:tc>
        <w:tc>
          <w:tcPr>
            <w:tcW w:w="3940" w:type="pct"/>
            <w:gridSpan w:val="6"/>
            <w:tcBorders>
              <w:top w:val="single" w:sz="4" w:space="0" w:color="auto"/>
              <w:left w:val="single" w:sz="4" w:space="0" w:color="auto"/>
              <w:bottom w:val="single" w:sz="4" w:space="0" w:color="auto"/>
              <w:right w:val="single" w:sz="4" w:space="0" w:color="auto"/>
            </w:tcBorders>
          </w:tcPr>
          <w:p w:rsidR="003A25AB" w:rsidRDefault="003A25AB" w:rsidP="003A25AB">
            <w:pPr>
              <w:rPr>
                <w:rFonts w:ascii="Arial Narrow" w:hAnsi="Arial Narrow" w:cs="Arial"/>
                <w:sz w:val="20"/>
                <w:szCs w:val="20"/>
              </w:rPr>
            </w:pPr>
            <w:r>
              <w:rPr>
                <w:rFonts w:ascii="Arial Narrow" w:hAnsi="Arial Narrow" w:cs="Arial"/>
                <w:sz w:val="20"/>
                <w:szCs w:val="20"/>
              </w:rPr>
              <w:t>Phenylketonuria</w:t>
            </w:r>
          </w:p>
        </w:tc>
      </w:tr>
      <w:tr w:rsidR="003A25AB" w:rsidTr="003A25AB">
        <w:trPr>
          <w:cantSplit/>
          <w:trHeight w:val="593"/>
        </w:trPr>
        <w:tc>
          <w:tcPr>
            <w:tcW w:w="1058" w:type="pct"/>
            <w:tcBorders>
              <w:top w:val="single" w:sz="4" w:space="0" w:color="auto"/>
              <w:left w:val="single" w:sz="4" w:space="0" w:color="auto"/>
              <w:bottom w:val="single" w:sz="4" w:space="0" w:color="auto"/>
              <w:right w:val="single" w:sz="4" w:space="0" w:color="auto"/>
            </w:tcBorders>
          </w:tcPr>
          <w:p w:rsidR="003A25AB" w:rsidRDefault="003A25AB" w:rsidP="003A25AB">
            <w:pPr>
              <w:jc w:val="both"/>
              <w:rPr>
                <w:rFonts w:ascii="Arial Narrow" w:hAnsi="Arial Narrow" w:cs="Arial"/>
                <w:b/>
                <w:sz w:val="20"/>
                <w:szCs w:val="20"/>
              </w:rPr>
            </w:pPr>
            <w:r>
              <w:rPr>
                <w:rFonts w:ascii="Arial Narrow" w:hAnsi="Arial Narrow" w:cs="Arial"/>
                <w:b/>
                <w:sz w:val="20"/>
                <w:szCs w:val="20"/>
              </w:rPr>
              <w:lastRenderedPageBreak/>
              <w:t>Restriction Level / Method:</w:t>
            </w:r>
          </w:p>
        </w:tc>
        <w:tc>
          <w:tcPr>
            <w:tcW w:w="3940" w:type="pct"/>
            <w:gridSpan w:val="6"/>
            <w:tcBorders>
              <w:top w:val="single" w:sz="4" w:space="0" w:color="auto"/>
              <w:left w:val="single" w:sz="4" w:space="0" w:color="auto"/>
              <w:bottom w:val="single" w:sz="4" w:space="0" w:color="auto"/>
              <w:right w:val="single" w:sz="4" w:space="0" w:color="auto"/>
            </w:tcBorders>
          </w:tcPr>
          <w:p w:rsidR="003A25AB" w:rsidRDefault="003A25AB" w:rsidP="003A25AB">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2" w:name="Check1"/>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bookmarkEnd w:id="2"/>
            <w:r>
              <w:rPr>
                <w:rFonts w:ascii="Arial Narrow" w:hAnsi="Arial Narrow" w:cs="Arial"/>
                <w:sz w:val="20"/>
                <w:szCs w:val="20"/>
              </w:rPr>
              <w:t>Restricted benefit</w:t>
            </w:r>
          </w:p>
          <w:p w:rsidR="003A25AB" w:rsidRDefault="003A25AB" w:rsidP="003A25AB">
            <w:pPr>
              <w:rPr>
                <w:rFonts w:ascii="Arial Narrow" w:hAnsi="Arial Narrow" w:cs="Arial"/>
                <w:sz w:val="20"/>
                <w:szCs w:val="20"/>
              </w:rPr>
            </w:pPr>
          </w:p>
        </w:tc>
      </w:tr>
    </w:tbl>
    <w:p w:rsidR="0047334E" w:rsidRDefault="00981D25">
      <w:pPr>
        <w:pStyle w:val="ListParagraph"/>
        <w:numPr>
          <w:ilvl w:val="1"/>
          <w:numId w:val="2"/>
        </w:numPr>
        <w:spacing w:before="120" w:after="160"/>
        <w:contextualSpacing w:val="0"/>
        <w:jc w:val="both"/>
        <w:rPr>
          <w:rFonts w:asciiTheme="minorHAnsi" w:hAnsiTheme="minorHAnsi"/>
        </w:rPr>
      </w:pPr>
      <w:r>
        <w:rPr>
          <w:rFonts w:asciiTheme="minorHAnsi" w:hAnsiTheme="minorHAnsi"/>
        </w:rPr>
        <w:t>The requested maximum quantity and repeats provide approximately one month of supply with five repeats, which is consistent with the main comparator PKU Anamix First Spoon®.</w:t>
      </w:r>
    </w:p>
    <w:p w:rsidR="0047334E" w:rsidRDefault="00981D25">
      <w:pPr>
        <w:pStyle w:val="ListParagraph"/>
        <w:spacing w:before="120" w:after="160"/>
        <w:contextualSpacing w:val="0"/>
        <w:jc w:val="both"/>
        <w:rPr>
          <w:rFonts w:asciiTheme="minorHAnsi" w:hAnsiTheme="minorHAnsi"/>
        </w:rPr>
      </w:pPr>
      <w:r>
        <w:rPr>
          <w:rFonts w:asciiTheme="minorHAnsi" w:hAnsiTheme="minorHAnsi"/>
          <w:i/>
        </w:rPr>
        <w:t>For more detail on PBAC’s view, see section 7 PBAC outcome.</w:t>
      </w:r>
    </w:p>
    <w:p w:rsidR="0047334E" w:rsidRDefault="00981D25">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t>Background</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 xml:space="preserve">The sponsor of PKU Explore confirmed that it meets the requirements for foods that have medical purposes as set out under </w:t>
      </w:r>
      <w:r>
        <w:rPr>
          <w:rFonts w:asciiTheme="minorHAnsi" w:hAnsiTheme="minorHAnsi"/>
          <w:i/>
        </w:rPr>
        <w:t>The Australia New Zealand Food Standards Code — Standard 2.9.5: Food for Special Medical Purposes.</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The PBAC has not considered PKU Explore previously.</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PKU Explore was designed as a second stage protein substitute and will be used in</w:t>
      </w:r>
      <w:r w:rsidR="00A477D2">
        <w:rPr>
          <w:rFonts w:asciiTheme="minorHAnsi" w:hAnsiTheme="minorHAnsi"/>
        </w:rPr>
        <w:t xml:space="preserve"> the dietary management of older infants and young children with PKU to meet their increasing pro</w:t>
      </w:r>
      <w:r w:rsidR="00CC6694">
        <w:rPr>
          <w:rFonts w:asciiTheme="minorHAnsi" w:hAnsiTheme="minorHAnsi"/>
        </w:rPr>
        <w:t>tein requirements as they grow.</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 xml:space="preserve">The nominated comparator, PKU Anamix First Spoon, </w:t>
      </w:r>
      <w:r w:rsidR="00A477D2" w:rsidRPr="00A477D2">
        <w:rPr>
          <w:rFonts w:asciiTheme="minorHAnsi" w:hAnsiTheme="minorHAnsi"/>
        </w:rPr>
        <w:t>is low in phenylalanine and contains amino acids, vitamins, minerals and docosahexaenoic acid</w:t>
      </w:r>
      <w:r w:rsidR="00A477D2">
        <w:rPr>
          <w:rFonts w:asciiTheme="minorHAnsi" w:hAnsiTheme="minorHAnsi"/>
        </w:rPr>
        <w:t>, and</w:t>
      </w:r>
      <w:r>
        <w:rPr>
          <w:rFonts w:asciiTheme="minorHAnsi" w:hAnsiTheme="minorHAnsi"/>
        </w:rPr>
        <w:t xml:space="preserve"> was considered and recommended by the PBAC at its March 2017 meeting.</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The Secretariat noted that PKU Gel, a similar product to PKU Explore, is also available on the PBS. The submission stated that PKU Gel is an earlier generation product, which was formulated before long chain polyunsaturated fatty acids (arachidonic acid and docosahexa</w:t>
      </w:r>
      <w:r w:rsidR="007368D3">
        <w:rPr>
          <w:rFonts w:asciiTheme="minorHAnsi" w:hAnsiTheme="minorHAnsi"/>
        </w:rPr>
        <w:t>e</w:t>
      </w:r>
      <w:r>
        <w:rPr>
          <w:rFonts w:asciiTheme="minorHAnsi" w:hAnsiTheme="minorHAnsi"/>
        </w:rPr>
        <w:t xml:space="preserve">noic acid) were routinely added to the protein substitute for infants and children from 6 months to 5 years of age, and hence is no longer ideal for these older infants and children with PKU. The submission stated that PKU Explore is intended to replace PKU Gel, and that PKU Gel will be delisted once PKU Explore is PBS listed. </w:t>
      </w:r>
    </w:p>
    <w:p w:rsidR="0047334E" w:rsidRDefault="00981D25">
      <w:pPr>
        <w:pStyle w:val="ListParagraph"/>
        <w:spacing w:before="120" w:after="160"/>
        <w:contextualSpacing w:val="0"/>
        <w:jc w:val="both"/>
        <w:rPr>
          <w:rFonts w:asciiTheme="minorHAnsi" w:hAnsiTheme="minorHAnsi"/>
        </w:rPr>
      </w:pPr>
      <w:r>
        <w:rPr>
          <w:rFonts w:asciiTheme="minorHAnsi" w:hAnsiTheme="minorHAnsi"/>
          <w:i/>
        </w:rPr>
        <w:t>For more detail on PBAC’s view, see section 7 PBAC outcome.</w:t>
      </w:r>
    </w:p>
    <w:p w:rsidR="0047334E" w:rsidRDefault="00981D25">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t>Comparator</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The minor submission nominated PKU Anamix First Spoon (PBS code: 11185Q) as the main comparator.</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PKU Explore products contain the same protein equivalent (PE) per sachet as the PKU Anamix First Spoon, at 5 g of PE in a 12.5 g sachet, and 10 g of PE in a 25 g sachet.</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The Secretariat noted that while PKU Gel has a different formulation to PKU Explore, it might also be an appropriate comparator, as the intention is to replace the former with the latter.</w:t>
      </w:r>
    </w:p>
    <w:p w:rsidR="0047334E" w:rsidRDefault="00981D25">
      <w:pPr>
        <w:pStyle w:val="ListParagraph"/>
        <w:spacing w:before="120" w:after="120"/>
        <w:contextualSpacing w:val="0"/>
        <w:jc w:val="both"/>
        <w:rPr>
          <w:rFonts w:asciiTheme="minorHAnsi" w:hAnsiTheme="minorHAnsi"/>
        </w:rPr>
      </w:pPr>
      <w:r>
        <w:rPr>
          <w:rFonts w:asciiTheme="minorHAnsi" w:hAnsiTheme="minorHAnsi"/>
          <w:i/>
        </w:rPr>
        <w:t>For more detail on PBAC’s view, see section 7 PBAC outcome.</w:t>
      </w:r>
    </w:p>
    <w:p w:rsidR="0047334E" w:rsidRDefault="00981D25">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lastRenderedPageBreak/>
        <w:t>Consideration of the evidence</w:t>
      </w:r>
    </w:p>
    <w:p w:rsidR="0047334E" w:rsidRDefault="00981D25">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Sponsor hearing</w:t>
      </w:r>
    </w:p>
    <w:p w:rsidR="0047334E" w:rsidRDefault="00981D25">
      <w:pPr>
        <w:widowControl w:val="0"/>
        <w:numPr>
          <w:ilvl w:val="1"/>
          <w:numId w:val="2"/>
        </w:numPr>
        <w:spacing w:after="120"/>
        <w:jc w:val="both"/>
        <w:rPr>
          <w:rFonts w:asciiTheme="minorHAnsi" w:hAnsiTheme="minorHAnsi" w:cs="Arial"/>
          <w:bCs/>
          <w:snapToGrid w:val="0"/>
        </w:rPr>
      </w:pPr>
      <w:r>
        <w:rPr>
          <w:rFonts w:asciiTheme="minorHAnsi" w:hAnsiTheme="minorHAnsi" w:cs="Arial"/>
          <w:bCs/>
          <w:snapToGrid w:val="0"/>
        </w:rPr>
        <w:t>There was no hearing for this item as it was a minor submission.</w:t>
      </w:r>
    </w:p>
    <w:p w:rsidR="0047334E" w:rsidRDefault="00981D25">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Consumer comments</w:t>
      </w:r>
    </w:p>
    <w:p w:rsidR="0047334E" w:rsidRDefault="00981D25">
      <w:pPr>
        <w:widowControl w:val="0"/>
        <w:numPr>
          <w:ilvl w:val="1"/>
          <w:numId w:val="2"/>
        </w:numPr>
        <w:spacing w:after="120"/>
        <w:jc w:val="both"/>
        <w:rPr>
          <w:rFonts w:asciiTheme="minorHAnsi" w:hAnsiTheme="minorHAnsi" w:cs="Arial"/>
          <w:bCs/>
          <w:snapToGrid w:val="0"/>
        </w:rPr>
      </w:pPr>
      <w:r>
        <w:rPr>
          <w:rFonts w:asciiTheme="minorHAnsi" w:hAnsiTheme="minorHAnsi" w:cs="Arial"/>
          <w:bCs/>
          <w:snapToGrid w:val="0"/>
        </w:rPr>
        <w:t>The PBAC noted that no consumer comments were received for this item.</w:t>
      </w:r>
    </w:p>
    <w:p w:rsidR="0047334E" w:rsidRDefault="00981D25">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trials</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 xml:space="preserve">The submission presented a study which evaluated the acceptability and tolerance of PKU Explore 5 over a 28-day time period in the dietary management of children aged from a weaning-age to 5 years with PKU. </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The study observed 19 children with PKU aged from 5 months to 4 years, all diagnosed by newborn screening. The submission claimed that 13 out of 19 children (68%) were able to take PKU Explore 5 during the 28-day intervention period, and 58% of children continued to take this product long term.</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The clinical significance of the study was not evaluated in the context of the minor submission.</w:t>
      </w:r>
    </w:p>
    <w:p w:rsidR="0047334E" w:rsidRDefault="00981D25">
      <w:pPr>
        <w:pStyle w:val="Heading2"/>
        <w:keepLines/>
        <w:tabs>
          <w:tab w:val="right" w:pos="9026"/>
        </w:tab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Estimated PBS usage &amp; financial implications</w:t>
      </w:r>
      <w:r>
        <w:rPr>
          <w:rFonts w:asciiTheme="minorHAnsi" w:eastAsiaTheme="majorEastAsia" w:hAnsiTheme="minorHAnsi" w:cstheme="majorBidi"/>
          <w:sz w:val="28"/>
          <w:szCs w:val="28"/>
          <w:lang w:eastAsia="en-US"/>
        </w:rPr>
        <w:tab/>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The submission proposed that PKU Explore be cost-minimised to PKU Anamix First Spoon at an equivalent price-per-gram of PE to PKU Anamix First Spoon. The submission stated that PKU Explore would have an identical cost-per-gram of PE when compared to PKU Anamix First Spoon, and a slightly higher cost-per-gram of PE when compared to PKU Gel. Therefore, if PKU Explore were to replace PKU Anamix Infant First Spoon, it would be cost-neutral to the PBS; whereas if PKU Explore were to replace PKU Gel, the cost to the PBS would increase by approximately $1,179.02 per patient over 12 months. The pricing structures between the three products are summarised in Table 1.</w:t>
      </w:r>
    </w:p>
    <w:p w:rsidR="00877EA0" w:rsidRDefault="00877EA0" w:rsidP="00877EA0">
      <w:pPr>
        <w:pStyle w:val="Tabletitles"/>
      </w:pPr>
      <w:r>
        <w:t xml:space="preserve">Table </w:t>
      </w:r>
      <w:fldSimple w:instr=" SEQ Table \* ARABIC ">
        <w:r w:rsidR="00F97231">
          <w:rPr>
            <w:noProof/>
          </w:rPr>
          <w:t>1</w:t>
        </w:r>
      </w:fldSimple>
      <w:r w:rsidRPr="006E7BDA">
        <w:t>: Pricing Structure for PKU Explore and PKU Gel</w:t>
      </w:r>
    </w:p>
    <w:tbl>
      <w:tblPr>
        <w:tblStyle w:val="ListTable7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Pricing Structure for PKU Explore and PKU Gel"/>
      </w:tblPr>
      <w:tblGrid>
        <w:gridCol w:w="1837"/>
        <w:gridCol w:w="2393"/>
        <w:gridCol w:w="2393"/>
        <w:gridCol w:w="2393"/>
      </w:tblGrid>
      <w:tr w:rsidR="0047334E" w:rsidTr="00877EA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019" w:type="pct"/>
            <w:shd w:val="clear" w:color="auto" w:fill="auto"/>
          </w:tcPr>
          <w:p w:rsidR="0047334E" w:rsidRDefault="0047334E">
            <w:pPr>
              <w:pStyle w:val="NoSpacing"/>
              <w:jc w:val="left"/>
              <w:rPr>
                <w:rFonts w:ascii="Arial Narrow" w:eastAsia="Times New Roman" w:hAnsi="Arial Narrow" w:cs="Times New Roman"/>
                <w:b/>
                <w:i w:val="0"/>
                <w:iCs w:val="0"/>
                <w:color w:val="auto"/>
                <w:sz w:val="20"/>
              </w:rPr>
            </w:pPr>
          </w:p>
        </w:tc>
        <w:tc>
          <w:tcPr>
            <w:tcW w:w="1327" w:type="pct"/>
            <w:shd w:val="clear" w:color="auto" w:fill="auto"/>
          </w:tcPr>
          <w:p w:rsidR="0047334E" w:rsidRDefault="00981D25">
            <w:pPr>
              <w:pStyle w:val="NoSpacing"/>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i w:val="0"/>
                <w:iCs w:val="0"/>
                <w:color w:val="auto"/>
                <w:sz w:val="20"/>
              </w:rPr>
            </w:pPr>
            <w:r>
              <w:rPr>
                <w:rFonts w:ascii="Arial Narrow" w:eastAsia="Times New Roman" w:hAnsi="Arial Narrow" w:cs="Times New Roman"/>
                <w:b/>
                <w:i w:val="0"/>
                <w:iCs w:val="0"/>
                <w:color w:val="auto"/>
                <w:sz w:val="20"/>
              </w:rPr>
              <w:t>PKU Explore5</w:t>
            </w:r>
          </w:p>
        </w:tc>
        <w:tc>
          <w:tcPr>
            <w:tcW w:w="1327" w:type="pct"/>
            <w:shd w:val="clear" w:color="auto" w:fill="auto"/>
          </w:tcPr>
          <w:p w:rsidR="0047334E" w:rsidRDefault="00981D25">
            <w:pPr>
              <w:pStyle w:val="NoSpacing"/>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i w:val="0"/>
                <w:iCs w:val="0"/>
                <w:color w:val="auto"/>
                <w:sz w:val="20"/>
              </w:rPr>
            </w:pPr>
            <w:r>
              <w:rPr>
                <w:rFonts w:ascii="Arial Narrow" w:eastAsia="Times New Roman" w:hAnsi="Arial Narrow" w:cs="Times New Roman"/>
                <w:b/>
                <w:i w:val="0"/>
                <w:iCs w:val="0"/>
                <w:color w:val="auto"/>
                <w:sz w:val="20"/>
              </w:rPr>
              <w:t>PKU Explore10</w:t>
            </w:r>
          </w:p>
        </w:tc>
        <w:tc>
          <w:tcPr>
            <w:tcW w:w="1327" w:type="pct"/>
            <w:shd w:val="clear" w:color="auto" w:fill="auto"/>
          </w:tcPr>
          <w:p w:rsidR="0047334E" w:rsidRDefault="00981D25">
            <w:pPr>
              <w:pStyle w:val="NoSpacing"/>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i w:val="0"/>
                <w:iCs w:val="0"/>
                <w:color w:val="auto"/>
                <w:sz w:val="20"/>
              </w:rPr>
            </w:pPr>
            <w:r>
              <w:rPr>
                <w:rFonts w:ascii="Arial Narrow" w:eastAsia="Times New Roman" w:hAnsi="Arial Narrow" w:cs="Times New Roman"/>
                <w:b/>
                <w:i w:val="0"/>
                <w:iCs w:val="0"/>
                <w:color w:val="auto"/>
                <w:sz w:val="20"/>
              </w:rPr>
              <w:t>PKU Gel</w:t>
            </w:r>
          </w:p>
        </w:tc>
      </w:tr>
      <w:tr w:rsidR="0047334E" w:rsidTr="0047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tcBorders>
              <w:right w:val="none" w:sz="0" w:space="0" w:color="auto"/>
            </w:tcBorders>
            <w:shd w:val="clear" w:color="auto" w:fill="auto"/>
          </w:tcPr>
          <w:p w:rsidR="0047334E" w:rsidRDefault="00981D25">
            <w:pPr>
              <w:pStyle w:val="NoSpacing"/>
              <w:jc w:val="left"/>
              <w:rPr>
                <w:rFonts w:ascii="Arial Narrow" w:eastAsia="Times New Roman" w:hAnsi="Arial Narrow" w:cs="Times New Roman"/>
                <w:b/>
                <w:i w:val="0"/>
                <w:color w:val="auto"/>
                <w:sz w:val="20"/>
              </w:rPr>
            </w:pPr>
            <w:r>
              <w:rPr>
                <w:rFonts w:ascii="Arial Narrow" w:eastAsia="Times New Roman" w:hAnsi="Arial Narrow" w:cs="Times New Roman"/>
                <w:b/>
                <w:i w:val="0"/>
                <w:color w:val="auto"/>
                <w:sz w:val="20"/>
              </w:rPr>
              <w:t>AEMP (per carton)</w:t>
            </w:r>
          </w:p>
        </w:tc>
        <w:tc>
          <w:tcPr>
            <w:tcW w:w="1327" w:type="pct"/>
            <w:shd w:val="clear" w:color="auto" w:fill="auto"/>
          </w:tcPr>
          <w:p w:rsidR="0047334E" w:rsidRDefault="00981D2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$111.83</w:t>
            </w:r>
          </w:p>
          <w:p w:rsidR="0047334E" w:rsidRDefault="00981D2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(150g PE)</w:t>
            </w:r>
          </w:p>
        </w:tc>
        <w:tc>
          <w:tcPr>
            <w:tcW w:w="1327" w:type="pct"/>
            <w:shd w:val="clear" w:color="auto" w:fill="auto"/>
          </w:tcPr>
          <w:p w:rsidR="0047334E" w:rsidRDefault="00981D2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$223.66</w:t>
            </w:r>
          </w:p>
          <w:p w:rsidR="0047334E" w:rsidRDefault="00981D2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(300g PE)</w:t>
            </w:r>
          </w:p>
        </w:tc>
        <w:tc>
          <w:tcPr>
            <w:tcW w:w="1327" w:type="pct"/>
            <w:shd w:val="clear" w:color="auto" w:fill="auto"/>
          </w:tcPr>
          <w:p w:rsidR="0047334E" w:rsidRDefault="00981D2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$191.24</w:t>
            </w:r>
          </w:p>
          <w:p w:rsidR="0047334E" w:rsidRDefault="00981D2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(300g PE)</w:t>
            </w:r>
          </w:p>
        </w:tc>
      </w:tr>
      <w:tr w:rsidR="0047334E" w:rsidTr="0047334E">
        <w:tc>
          <w:tcPr>
            <w:cnfStyle w:val="001000000000" w:firstRow="0" w:lastRow="0" w:firstColumn="1" w:lastColumn="0" w:oddVBand="0" w:evenVBand="0" w:oddHBand="0" w:evenHBand="0" w:firstRowFirstColumn="0" w:firstRowLastColumn="0" w:lastRowFirstColumn="0" w:lastRowLastColumn="0"/>
            <w:tcW w:w="1019" w:type="pct"/>
            <w:tcBorders>
              <w:right w:val="none" w:sz="0" w:space="0" w:color="auto"/>
            </w:tcBorders>
            <w:shd w:val="clear" w:color="auto" w:fill="auto"/>
          </w:tcPr>
          <w:p w:rsidR="0047334E" w:rsidRDefault="00981D25">
            <w:pPr>
              <w:pStyle w:val="NoSpacing"/>
              <w:jc w:val="left"/>
              <w:rPr>
                <w:rFonts w:ascii="Arial Narrow" w:eastAsia="Times New Roman" w:hAnsi="Arial Narrow" w:cs="Times New Roman"/>
                <w:b/>
                <w:i w:val="0"/>
                <w:color w:val="auto"/>
                <w:sz w:val="20"/>
                <w:szCs w:val="20"/>
              </w:rPr>
            </w:pPr>
            <w:r>
              <w:rPr>
                <w:rFonts w:ascii="Arial Narrow" w:eastAsia="Times New Roman" w:hAnsi="Arial Narrow" w:cs="Times New Roman"/>
                <w:b/>
                <w:i w:val="0"/>
                <w:color w:val="auto"/>
                <w:sz w:val="20"/>
                <w:szCs w:val="20"/>
              </w:rPr>
              <w:t>AEMP (per Max Qty)</w:t>
            </w:r>
          </w:p>
        </w:tc>
        <w:tc>
          <w:tcPr>
            <w:tcW w:w="1327" w:type="pct"/>
            <w:shd w:val="clear" w:color="auto" w:fill="auto"/>
          </w:tcPr>
          <w:p w:rsidR="0047334E" w:rsidRDefault="00981D2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111.83 x 8 = $894.64</w:t>
            </w:r>
          </w:p>
          <w:p w:rsidR="0047334E" w:rsidRDefault="00981D2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(1200g PE)</w:t>
            </w:r>
          </w:p>
        </w:tc>
        <w:tc>
          <w:tcPr>
            <w:tcW w:w="1327" w:type="pct"/>
            <w:shd w:val="clear" w:color="auto" w:fill="auto"/>
          </w:tcPr>
          <w:p w:rsidR="0047334E" w:rsidRDefault="00981D2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223.66 x 4 = $894.64</w:t>
            </w:r>
          </w:p>
          <w:p w:rsidR="0047334E" w:rsidRDefault="00981D2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(1200g PE)</w:t>
            </w:r>
          </w:p>
        </w:tc>
        <w:tc>
          <w:tcPr>
            <w:tcW w:w="1327" w:type="pct"/>
            <w:shd w:val="clear" w:color="auto" w:fill="auto"/>
          </w:tcPr>
          <w:p w:rsidR="0047334E" w:rsidRDefault="00981D2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191.24 x 4 = $764.96</w:t>
            </w:r>
          </w:p>
          <w:p w:rsidR="0047334E" w:rsidRDefault="00981D25">
            <w:pPr>
              <w:jc w:val="center"/>
              <w:cnfStyle w:val="000000000000" w:firstRow="0" w:lastRow="0" w:firstColumn="0" w:lastColumn="0" w:oddVBand="0" w:evenVBand="0" w:oddHBand="0"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(1200g PE)</w:t>
            </w:r>
          </w:p>
        </w:tc>
      </w:tr>
      <w:tr w:rsidR="0047334E" w:rsidTr="00473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 w:type="pct"/>
            <w:shd w:val="clear" w:color="auto" w:fill="auto"/>
          </w:tcPr>
          <w:p w:rsidR="0047334E" w:rsidRDefault="00981D25">
            <w:pPr>
              <w:pStyle w:val="NoSpacing"/>
              <w:jc w:val="left"/>
              <w:rPr>
                <w:rFonts w:ascii="Arial Narrow" w:hAnsi="Arial Narrow"/>
                <w:b/>
                <w:i w:val="0"/>
                <w:sz w:val="20"/>
                <w:szCs w:val="20"/>
              </w:rPr>
            </w:pPr>
            <w:r>
              <w:rPr>
                <w:rFonts w:ascii="Arial Narrow" w:hAnsi="Arial Narrow"/>
                <w:b/>
                <w:i w:val="0"/>
                <w:sz w:val="20"/>
                <w:szCs w:val="20"/>
              </w:rPr>
              <w:t>DPMQ</w:t>
            </w:r>
          </w:p>
        </w:tc>
        <w:tc>
          <w:tcPr>
            <w:tcW w:w="1327" w:type="pct"/>
            <w:shd w:val="clear" w:color="auto" w:fill="auto"/>
          </w:tcPr>
          <w:p w:rsidR="0047334E" w:rsidRDefault="00981D2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$1000.62</w:t>
            </w:r>
          </w:p>
        </w:tc>
        <w:tc>
          <w:tcPr>
            <w:tcW w:w="1327" w:type="pct"/>
            <w:shd w:val="clear" w:color="auto" w:fill="auto"/>
          </w:tcPr>
          <w:p w:rsidR="0047334E" w:rsidRDefault="00981D2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$1000.62</w:t>
            </w:r>
          </w:p>
        </w:tc>
        <w:tc>
          <w:tcPr>
            <w:tcW w:w="1327" w:type="pct"/>
            <w:shd w:val="clear" w:color="auto" w:fill="auto"/>
          </w:tcPr>
          <w:p w:rsidR="0047334E" w:rsidRDefault="00981D25">
            <w:pPr>
              <w:jc w:val="center"/>
              <w:cnfStyle w:val="000000100000" w:firstRow="0" w:lastRow="0" w:firstColumn="0" w:lastColumn="0" w:oddVBand="0" w:evenVBand="0" w:oddHBand="1" w:evenHBand="0" w:firstRowFirstColumn="0" w:firstRowLastColumn="0" w:lastRowFirstColumn="0" w:lastRowLastColumn="0"/>
              <w:rPr>
                <w:rFonts w:ascii="Arial Narrow" w:hAnsi="Arial Narrow" w:cs="Arial"/>
                <w:sz w:val="20"/>
                <w:szCs w:val="20"/>
              </w:rPr>
            </w:pPr>
            <w:r>
              <w:rPr>
                <w:rFonts w:ascii="Arial Narrow" w:hAnsi="Arial Narrow" w:cs="Arial"/>
                <w:sz w:val="20"/>
                <w:szCs w:val="20"/>
              </w:rPr>
              <w:t>$856.30</w:t>
            </w:r>
          </w:p>
        </w:tc>
      </w:tr>
    </w:tbl>
    <w:p w:rsidR="0047334E" w:rsidRPr="00CE135C" w:rsidRDefault="00981D25" w:rsidP="00CE135C">
      <w:pPr>
        <w:pStyle w:val="tablenotes"/>
      </w:pPr>
      <w:r w:rsidRPr="00CE135C">
        <w:t>PE = protein equivalent</w:t>
      </w:r>
    </w:p>
    <w:p w:rsidR="0047334E" w:rsidRPr="00CE135C" w:rsidRDefault="00981D25" w:rsidP="00CE135C">
      <w:pPr>
        <w:pStyle w:val="tablenotes"/>
      </w:pPr>
      <w:r w:rsidRPr="00CE135C">
        <w:t>Source: extracted from Appendix 8 of the minor submission and Table 1 of minor submission, p17.</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 xml:space="preserve">The submission claimed that the listing of PKU Explore should not result in any new patients commencing dietary therapy for PKU. The submission indicated that sales of </w:t>
      </w:r>
      <w:r>
        <w:rPr>
          <w:rFonts w:asciiTheme="minorHAnsi" w:hAnsiTheme="minorHAnsi"/>
        </w:rPr>
        <w:lastRenderedPageBreak/>
        <w:t>PKU Anamix First Spoon and PKU Gel would decline as sales of PKU Explore increase; and that the sponsor intends to delist PKU Gel once PKU Explore is PBS listed.</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 xml:space="preserve">Table 2 presents the estimated number of patients treated and net costs to PBS over the next six years for PKU Explore. </w:t>
      </w:r>
    </w:p>
    <w:p w:rsidR="00877EA0" w:rsidRDefault="00877EA0" w:rsidP="00877EA0">
      <w:pPr>
        <w:pStyle w:val="Tabletitles"/>
      </w:pPr>
      <w:r>
        <w:t xml:space="preserve">Table </w:t>
      </w:r>
      <w:fldSimple w:instr=" SEQ Table \* ARABIC ">
        <w:r w:rsidR="00F97231">
          <w:rPr>
            <w:noProof/>
          </w:rPr>
          <w:t>2</w:t>
        </w:r>
      </w:fldSimple>
      <w:r>
        <w:t>:</w:t>
      </w:r>
      <w:r w:rsidRPr="00DB0FE7">
        <w:t xml:space="preserve"> Estimated number of patients treated and net costs to PBS over next 6 years</w:t>
      </w:r>
    </w:p>
    <w:tbl>
      <w:tblPr>
        <w:tblStyle w:val="TableGrid"/>
        <w:tblW w:w="5000" w:type="pct"/>
        <w:tblLook w:val="04A0" w:firstRow="1" w:lastRow="0" w:firstColumn="1" w:lastColumn="0" w:noHBand="0" w:noVBand="1"/>
        <w:tblCaption w:val="Table 2. Estimated number of patients treated and net costs to PBS over next 6 years"/>
      </w:tblPr>
      <w:tblGrid>
        <w:gridCol w:w="2168"/>
        <w:gridCol w:w="1142"/>
        <w:gridCol w:w="1142"/>
        <w:gridCol w:w="1141"/>
        <w:gridCol w:w="1141"/>
        <w:gridCol w:w="1141"/>
        <w:gridCol w:w="1141"/>
      </w:tblGrid>
      <w:tr w:rsidR="0047334E" w:rsidTr="00877EA0">
        <w:trPr>
          <w:tblHeader/>
        </w:trPr>
        <w:tc>
          <w:tcPr>
            <w:tcW w:w="1202" w:type="pct"/>
            <w:shd w:val="clear" w:color="auto" w:fill="auto"/>
            <w:vAlign w:val="center"/>
          </w:tcPr>
          <w:p w:rsidR="0047334E" w:rsidRDefault="0047334E">
            <w:pPr>
              <w:pStyle w:val="NoSpacing"/>
              <w:jc w:val="left"/>
              <w:rPr>
                <w:rFonts w:ascii="Arial Narrow" w:hAnsi="Arial Narrow"/>
                <w:b/>
                <w:sz w:val="20"/>
                <w:szCs w:val="20"/>
              </w:rPr>
            </w:pPr>
          </w:p>
        </w:tc>
        <w:tc>
          <w:tcPr>
            <w:tcW w:w="633" w:type="pct"/>
            <w:shd w:val="clear" w:color="auto" w:fill="auto"/>
            <w:vAlign w:val="center"/>
          </w:tcPr>
          <w:p w:rsidR="0047334E" w:rsidRDefault="00981D25">
            <w:pPr>
              <w:pStyle w:val="NoSpacing"/>
              <w:jc w:val="center"/>
              <w:rPr>
                <w:rFonts w:ascii="Arial Narrow" w:hAnsi="Arial Narrow"/>
                <w:b/>
                <w:sz w:val="20"/>
                <w:szCs w:val="20"/>
              </w:rPr>
            </w:pPr>
            <w:r>
              <w:rPr>
                <w:rFonts w:ascii="Arial Narrow" w:hAnsi="Arial Narrow"/>
                <w:b/>
                <w:sz w:val="20"/>
                <w:szCs w:val="20"/>
              </w:rPr>
              <w:t>Year 1</w:t>
            </w:r>
          </w:p>
        </w:tc>
        <w:tc>
          <w:tcPr>
            <w:tcW w:w="633" w:type="pct"/>
            <w:shd w:val="clear" w:color="auto" w:fill="auto"/>
            <w:vAlign w:val="center"/>
          </w:tcPr>
          <w:p w:rsidR="0047334E" w:rsidRDefault="00981D25">
            <w:pPr>
              <w:pStyle w:val="NoSpacing"/>
              <w:jc w:val="center"/>
              <w:rPr>
                <w:rFonts w:ascii="Arial Narrow" w:hAnsi="Arial Narrow"/>
                <w:b/>
                <w:sz w:val="20"/>
                <w:szCs w:val="20"/>
              </w:rPr>
            </w:pPr>
            <w:r>
              <w:rPr>
                <w:rFonts w:ascii="Arial Narrow" w:hAnsi="Arial Narrow"/>
                <w:b/>
                <w:sz w:val="20"/>
                <w:szCs w:val="20"/>
              </w:rPr>
              <w:t>Year 2</w:t>
            </w:r>
          </w:p>
        </w:tc>
        <w:tc>
          <w:tcPr>
            <w:tcW w:w="633" w:type="pct"/>
            <w:shd w:val="clear" w:color="auto" w:fill="auto"/>
            <w:vAlign w:val="center"/>
          </w:tcPr>
          <w:p w:rsidR="0047334E" w:rsidRDefault="00981D25">
            <w:pPr>
              <w:pStyle w:val="NoSpacing"/>
              <w:jc w:val="center"/>
              <w:rPr>
                <w:rFonts w:ascii="Arial Narrow" w:hAnsi="Arial Narrow"/>
                <w:b/>
                <w:sz w:val="20"/>
                <w:szCs w:val="20"/>
              </w:rPr>
            </w:pPr>
            <w:r>
              <w:rPr>
                <w:rFonts w:ascii="Arial Narrow" w:hAnsi="Arial Narrow"/>
                <w:b/>
                <w:sz w:val="20"/>
                <w:szCs w:val="20"/>
              </w:rPr>
              <w:t>Year 3</w:t>
            </w:r>
          </w:p>
        </w:tc>
        <w:tc>
          <w:tcPr>
            <w:tcW w:w="633" w:type="pct"/>
            <w:shd w:val="clear" w:color="auto" w:fill="auto"/>
            <w:vAlign w:val="center"/>
          </w:tcPr>
          <w:p w:rsidR="0047334E" w:rsidRDefault="00981D25">
            <w:pPr>
              <w:pStyle w:val="NoSpacing"/>
              <w:jc w:val="center"/>
              <w:rPr>
                <w:rFonts w:ascii="Arial Narrow" w:hAnsi="Arial Narrow"/>
                <w:b/>
                <w:sz w:val="20"/>
                <w:szCs w:val="20"/>
              </w:rPr>
            </w:pPr>
            <w:r>
              <w:rPr>
                <w:rFonts w:ascii="Arial Narrow" w:hAnsi="Arial Narrow"/>
                <w:b/>
                <w:sz w:val="20"/>
                <w:szCs w:val="20"/>
              </w:rPr>
              <w:t>Year 4</w:t>
            </w:r>
          </w:p>
        </w:tc>
        <w:tc>
          <w:tcPr>
            <w:tcW w:w="633" w:type="pct"/>
            <w:shd w:val="clear" w:color="auto" w:fill="auto"/>
            <w:vAlign w:val="center"/>
          </w:tcPr>
          <w:p w:rsidR="0047334E" w:rsidRDefault="00981D25">
            <w:pPr>
              <w:pStyle w:val="NoSpacing"/>
              <w:jc w:val="center"/>
              <w:rPr>
                <w:rFonts w:ascii="Arial Narrow" w:hAnsi="Arial Narrow"/>
                <w:b/>
                <w:sz w:val="20"/>
                <w:szCs w:val="20"/>
              </w:rPr>
            </w:pPr>
            <w:r>
              <w:rPr>
                <w:rFonts w:ascii="Arial Narrow" w:hAnsi="Arial Narrow"/>
                <w:b/>
                <w:sz w:val="20"/>
                <w:szCs w:val="20"/>
              </w:rPr>
              <w:t>Year 5</w:t>
            </w:r>
          </w:p>
        </w:tc>
        <w:tc>
          <w:tcPr>
            <w:tcW w:w="633" w:type="pct"/>
          </w:tcPr>
          <w:p w:rsidR="0047334E" w:rsidRDefault="00981D25">
            <w:pPr>
              <w:pStyle w:val="NoSpacing"/>
              <w:jc w:val="center"/>
              <w:rPr>
                <w:rFonts w:ascii="Arial Narrow" w:hAnsi="Arial Narrow"/>
                <w:b/>
                <w:sz w:val="20"/>
                <w:szCs w:val="20"/>
              </w:rPr>
            </w:pPr>
            <w:r>
              <w:rPr>
                <w:rFonts w:ascii="Arial Narrow" w:hAnsi="Arial Narrow"/>
                <w:b/>
                <w:sz w:val="20"/>
                <w:szCs w:val="20"/>
              </w:rPr>
              <w:t>Year 6</w:t>
            </w:r>
          </w:p>
        </w:tc>
      </w:tr>
      <w:tr w:rsidR="0047334E">
        <w:tc>
          <w:tcPr>
            <w:tcW w:w="5000" w:type="pct"/>
            <w:gridSpan w:val="7"/>
            <w:shd w:val="clear" w:color="auto" w:fill="BFBFBF" w:themeFill="background1" w:themeFillShade="BF"/>
            <w:vAlign w:val="center"/>
          </w:tcPr>
          <w:p w:rsidR="0047334E" w:rsidRDefault="00981D25">
            <w:pPr>
              <w:rPr>
                <w:rFonts w:ascii="Arial Narrow" w:hAnsi="Arial Narrow"/>
                <w:b/>
                <w:sz w:val="20"/>
                <w:szCs w:val="20"/>
              </w:rPr>
            </w:pPr>
            <w:r>
              <w:rPr>
                <w:rFonts w:ascii="Arial Narrow" w:hAnsi="Arial Narrow"/>
                <w:b/>
                <w:sz w:val="20"/>
                <w:szCs w:val="20"/>
              </w:rPr>
              <w:t>PKU Explore5</w:t>
            </w:r>
          </w:p>
        </w:tc>
      </w:tr>
      <w:tr w:rsidR="0047334E" w:rsidTr="00877EA0">
        <w:tc>
          <w:tcPr>
            <w:tcW w:w="1202" w:type="pct"/>
            <w:vAlign w:val="center"/>
          </w:tcPr>
          <w:p w:rsidR="0047334E" w:rsidRDefault="00981D25">
            <w:pPr>
              <w:pStyle w:val="NoSpacing"/>
              <w:jc w:val="left"/>
              <w:rPr>
                <w:rFonts w:ascii="Arial Narrow" w:hAnsi="Arial Narrow"/>
                <w:b/>
                <w:sz w:val="20"/>
                <w:szCs w:val="20"/>
              </w:rPr>
            </w:pPr>
            <w:r>
              <w:rPr>
                <w:rFonts w:ascii="Arial Narrow" w:hAnsi="Arial Narrow"/>
                <w:b/>
                <w:sz w:val="20"/>
                <w:szCs w:val="20"/>
              </w:rPr>
              <w:t>No. Patients</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c>
          <w:tcPr>
            <w:tcW w:w="633" w:type="pct"/>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r>
      <w:tr w:rsidR="0047334E" w:rsidTr="00877EA0">
        <w:tc>
          <w:tcPr>
            <w:tcW w:w="1202" w:type="pct"/>
            <w:vAlign w:val="center"/>
          </w:tcPr>
          <w:p w:rsidR="0047334E" w:rsidRDefault="00981D25">
            <w:pPr>
              <w:pStyle w:val="NoSpacing"/>
              <w:jc w:val="left"/>
              <w:rPr>
                <w:rFonts w:ascii="Arial Narrow" w:hAnsi="Arial Narrow"/>
                <w:b/>
                <w:sz w:val="20"/>
                <w:szCs w:val="20"/>
              </w:rPr>
            </w:pPr>
            <w:r>
              <w:rPr>
                <w:rFonts w:ascii="Arial Narrow" w:hAnsi="Arial Narrow"/>
                <w:b/>
                <w:sz w:val="20"/>
                <w:szCs w:val="20"/>
              </w:rPr>
              <w:t>No. Prescriptions</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c>
          <w:tcPr>
            <w:tcW w:w="633" w:type="pct"/>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r>
      <w:tr w:rsidR="0047334E" w:rsidTr="00877EA0">
        <w:tc>
          <w:tcPr>
            <w:tcW w:w="1202" w:type="pct"/>
            <w:vAlign w:val="center"/>
          </w:tcPr>
          <w:p w:rsidR="0047334E" w:rsidRDefault="00981D25">
            <w:pPr>
              <w:pStyle w:val="NoSpacing"/>
              <w:jc w:val="left"/>
              <w:rPr>
                <w:rFonts w:ascii="Arial Narrow" w:hAnsi="Arial Narrow"/>
                <w:b/>
                <w:sz w:val="20"/>
                <w:szCs w:val="20"/>
              </w:rPr>
            </w:pPr>
            <w:r>
              <w:rPr>
                <w:rFonts w:ascii="Arial Narrow" w:hAnsi="Arial Narrow"/>
                <w:b/>
                <w:sz w:val="20"/>
                <w:szCs w:val="20"/>
              </w:rPr>
              <w:t>Net Cost to PBS** ($)</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eastAsiaTheme="majorEastAsia" w:hAnsi="Arial Narrow" w:cs="Arial"/>
                <w:noProof/>
                <w:color w:val="000000"/>
                <w:sz w:val="20"/>
                <w:szCs w:val="20"/>
                <w:highlight w:val="black"/>
              </w:rPr>
              <w:t>'''''''''''''''''''''''''</w:t>
            </w:r>
          </w:p>
        </w:tc>
      </w:tr>
      <w:tr w:rsidR="0047334E">
        <w:tc>
          <w:tcPr>
            <w:tcW w:w="5000" w:type="pct"/>
            <w:gridSpan w:val="7"/>
            <w:shd w:val="clear" w:color="auto" w:fill="BFBFBF" w:themeFill="background1" w:themeFillShade="BF"/>
            <w:vAlign w:val="center"/>
          </w:tcPr>
          <w:p w:rsidR="0047334E" w:rsidRDefault="00981D25">
            <w:pPr>
              <w:rPr>
                <w:rFonts w:ascii="Arial Narrow" w:hAnsi="Arial Narrow"/>
                <w:b/>
                <w:sz w:val="20"/>
                <w:szCs w:val="20"/>
              </w:rPr>
            </w:pPr>
            <w:r>
              <w:rPr>
                <w:rFonts w:ascii="Arial Narrow" w:hAnsi="Arial Narrow"/>
                <w:b/>
                <w:sz w:val="20"/>
                <w:szCs w:val="20"/>
              </w:rPr>
              <w:t>PKU Explore10</w:t>
            </w:r>
          </w:p>
        </w:tc>
      </w:tr>
      <w:tr w:rsidR="0047334E" w:rsidTr="00877EA0">
        <w:tc>
          <w:tcPr>
            <w:tcW w:w="1202" w:type="pct"/>
            <w:vAlign w:val="center"/>
          </w:tcPr>
          <w:p w:rsidR="0047334E" w:rsidRDefault="00981D25">
            <w:pPr>
              <w:pStyle w:val="NoSpacing"/>
              <w:jc w:val="left"/>
              <w:rPr>
                <w:rFonts w:ascii="Arial Narrow" w:hAnsi="Arial Narrow"/>
                <w:b/>
                <w:sz w:val="20"/>
                <w:szCs w:val="20"/>
              </w:rPr>
            </w:pPr>
            <w:r>
              <w:rPr>
                <w:rFonts w:ascii="Arial Narrow" w:hAnsi="Arial Narrow"/>
                <w:b/>
                <w:sz w:val="20"/>
                <w:szCs w:val="20"/>
              </w:rPr>
              <w:t>No. Patients</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hAnsi="Arial Narrow"/>
                <w:noProof/>
                <w:color w:val="000000"/>
                <w:spacing w:val="-5"/>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hAnsi="Arial Narrow"/>
                <w:noProof/>
                <w:color w:val="000000"/>
                <w:spacing w:val="-5"/>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hAnsi="Arial Narrow"/>
                <w:noProof/>
                <w:color w:val="000000"/>
                <w:spacing w:val="-5"/>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hAnsi="Arial Narrow"/>
                <w:noProof/>
                <w:color w:val="000000"/>
                <w:spacing w:val="-5"/>
                <w:sz w:val="20"/>
                <w:szCs w:val="20"/>
                <w:highlight w:val="black"/>
              </w:rPr>
              <w:t>''''''</w:t>
            </w:r>
          </w:p>
        </w:tc>
        <w:tc>
          <w:tcPr>
            <w:tcW w:w="633" w:type="pct"/>
            <w:vAlign w:val="center"/>
          </w:tcPr>
          <w:p w:rsidR="0047334E" w:rsidRPr="00F36D4C" w:rsidRDefault="00F36D4C">
            <w:pPr>
              <w:jc w:val="center"/>
              <w:rPr>
                <w:rFonts w:ascii="Arial Narrow" w:eastAsiaTheme="majorEastAsia" w:hAnsi="Arial Narrow" w:cs="Arial"/>
                <w:sz w:val="20"/>
                <w:szCs w:val="20"/>
                <w:highlight w:val="black"/>
              </w:rPr>
            </w:pPr>
            <w:r>
              <w:rPr>
                <w:rFonts w:ascii="Arial Narrow" w:hAnsi="Arial Narrow"/>
                <w:noProof/>
                <w:color w:val="000000"/>
                <w:spacing w:val="-5"/>
                <w:sz w:val="20"/>
                <w:szCs w:val="20"/>
                <w:highlight w:val="black"/>
              </w:rPr>
              <w:t>''''''</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noProof/>
                <w:color w:val="000000"/>
                <w:spacing w:val="-5"/>
                <w:sz w:val="20"/>
                <w:szCs w:val="20"/>
                <w:highlight w:val="black"/>
              </w:rPr>
              <w:t>''''''</w:t>
            </w:r>
          </w:p>
        </w:tc>
      </w:tr>
      <w:tr w:rsidR="0047334E" w:rsidTr="00877EA0">
        <w:tc>
          <w:tcPr>
            <w:tcW w:w="1202" w:type="pct"/>
            <w:vAlign w:val="center"/>
          </w:tcPr>
          <w:p w:rsidR="0047334E" w:rsidRDefault="00981D25">
            <w:pPr>
              <w:pStyle w:val="NoSpacing"/>
              <w:jc w:val="left"/>
              <w:rPr>
                <w:rFonts w:ascii="Arial Narrow" w:hAnsi="Arial Narrow"/>
                <w:b/>
                <w:sz w:val="20"/>
                <w:szCs w:val="20"/>
              </w:rPr>
            </w:pPr>
            <w:r>
              <w:rPr>
                <w:rFonts w:ascii="Arial Narrow" w:hAnsi="Arial Narrow"/>
                <w:b/>
                <w:sz w:val="20"/>
                <w:szCs w:val="20"/>
              </w:rPr>
              <w:t>No. Prescriptions</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noProof/>
                <w:color w:val="000000"/>
                <w:spacing w:val="-5"/>
                <w:sz w:val="20"/>
                <w:szCs w:val="20"/>
                <w:highlight w:val="black"/>
              </w:rPr>
              <w:t>'''''''''</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noProof/>
                <w:color w:val="000000"/>
                <w:spacing w:val="-5"/>
                <w:sz w:val="20"/>
                <w:szCs w:val="20"/>
                <w:highlight w:val="black"/>
              </w:rPr>
              <w:t>'''''''''</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noProof/>
                <w:color w:val="000000"/>
                <w:spacing w:val="-5"/>
                <w:sz w:val="20"/>
                <w:szCs w:val="20"/>
                <w:highlight w:val="black"/>
              </w:rPr>
              <w:t>''''''''''</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noProof/>
                <w:color w:val="000000"/>
                <w:spacing w:val="-5"/>
                <w:sz w:val="20"/>
                <w:szCs w:val="20"/>
                <w:highlight w:val="black"/>
              </w:rPr>
              <w:t>'''''''''</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noProof/>
                <w:color w:val="000000"/>
                <w:spacing w:val="-5"/>
                <w:sz w:val="20"/>
                <w:szCs w:val="20"/>
                <w:highlight w:val="black"/>
              </w:rPr>
              <w:t>'''''''''</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noProof/>
                <w:color w:val="000000"/>
                <w:spacing w:val="-5"/>
                <w:sz w:val="20"/>
                <w:szCs w:val="20"/>
                <w:highlight w:val="black"/>
              </w:rPr>
              <w:t>'''''''''</w:t>
            </w:r>
          </w:p>
        </w:tc>
      </w:tr>
      <w:tr w:rsidR="0047334E" w:rsidTr="00877EA0">
        <w:tc>
          <w:tcPr>
            <w:tcW w:w="1202" w:type="pct"/>
            <w:vAlign w:val="center"/>
          </w:tcPr>
          <w:p w:rsidR="0047334E" w:rsidRDefault="00981D25">
            <w:pPr>
              <w:pStyle w:val="NoSpacing"/>
              <w:jc w:val="left"/>
              <w:rPr>
                <w:rFonts w:ascii="Arial Narrow" w:hAnsi="Arial Narrow"/>
                <w:b/>
                <w:sz w:val="20"/>
                <w:szCs w:val="20"/>
              </w:rPr>
            </w:pPr>
            <w:r>
              <w:rPr>
                <w:rFonts w:ascii="Arial Narrow" w:hAnsi="Arial Narrow"/>
                <w:b/>
                <w:sz w:val="20"/>
                <w:szCs w:val="20"/>
              </w:rPr>
              <w:t>Net Cost to PBS** ($)</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noProof/>
                <w:color w:val="000000"/>
                <w:spacing w:val="-5"/>
                <w:sz w:val="20"/>
                <w:szCs w:val="20"/>
                <w:highlight w:val="black"/>
              </w:rPr>
              <w:t>'''''''''''''''''''''''''</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noProof/>
                <w:color w:val="000000"/>
                <w:spacing w:val="-5"/>
                <w:sz w:val="20"/>
                <w:szCs w:val="20"/>
                <w:highlight w:val="black"/>
              </w:rPr>
              <w:t>'''''''''''''''''''''''''''</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noProof/>
                <w:color w:val="000000"/>
                <w:spacing w:val="-5"/>
                <w:sz w:val="20"/>
                <w:szCs w:val="20"/>
                <w:highlight w:val="black"/>
              </w:rPr>
              <w:t>'''''''''''''''''''''''''</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noProof/>
                <w:color w:val="000000"/>
                <w:spacing w:val="-5"/>
                <w:sz w:val="20"/>
                <w:szCs w:val="20"/>
                <w:highlight w:val="black"/>
              </w:rPr>
              <w:t>'''''''''''''''''''''''''''''</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noProof/>
                <w:color w:val="000000"/>
                <w:spacing w:val="-5"/>
                <w:sz w:val="20"/>
                <w:szCs w:val="20"/>
                <w:highlight w:val="black"/>
              </w:rPr>
              <w:t>'''''''''''''''''''''''''</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noProof/>
                <w:color w:val="000000"/>
                <w:spacing w:val="-5"/>
                <w:sz w:val="20"/>
                <w:szCs w:val="20"/>
                <w:highlight w:val="black"/>
              </w:rPr>
              <w:t>'''''''''''''''''''''''</w:t>
            </w:r>
          </w:p>
        </w:tc>
      </w:tr>
      <w:tr w:rsidR="0047334E" w:rsidTr="00877EA0">
        <w:tc>
          <w:tcPr>
            <w:tcW w:w="1202" w:type="pct"/>
            <w:vAlign w:val="center"/>
          </w:tcPr>
          <w:p w:rsidR="0047334E" w:rsidRDefault="00981D25">
            <w:pPr>
              <w:pStyle w:val="NoSpacing"/>
              <w:jc w:val="left"/>
              <w:rPr>
                <w:rFonts w:ascii="Arial Narrow" w:hAnsi="Arial Narrow"/>
                <w:b/>
                <w:sz w:val="20"/>
                <w:szCs w:val="20"/>
              </w:rPr>
            </w:pPr>
            <w:r>
              <w:rPr>
                <w:rFonts w:ascii="Arial Narrow" w:hAnsi="Arial Narrow"/>
                <w:b/>
                <w:sz w:val="20"/>
                <w:szCs w:val="20"/>
              </w:rPr>
              <w:t>Total net cost to PBS ($)</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cs="Arial"/>
                <w:noProof/>
                <w:color w:val="000000"/>
                <w:sz w:val="20"/>
                <w:szCs w:val="20"/>
                <w:highlight w:val="black"/>
              </w:rPr>
              <w:t>''''''''''''''''''''''</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cs="Arial"/>
                <w:noProof/>
                <w:color w:val="000000"/>
                <w:sz w:val="20"/>
                <w:szCs w:val="20"/>
                <w:highlight w:val="black"/>
              </w:rPr>
              <w:t>''''''''''''''''''''''''''</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cs="Arial"/>
                <w:noProof/>
                <w:color w:val="000000"/>
                <w:sz w:val="20"/>
                <w:szCs w:val="20"/>
                <w:highlight w:val="black"/>
              </w:rPr>
              <w:t>''''''''''''''''''''''''</w:t>
            </w:r>
          </w:p>
        </w:tc>
        <w:tc>
          <w:tcPr>
            <w:tcW w:w="633" w:type="pct"/>
            <w:vAlign w:val="center"/>
          </w:tcPr>
          <w:p w:rsidR="0047334E" w:rsidRPr="00F36D4C" w:rsidRDefault="00F36D4C">
            <w:pPr>
              <w:jc w:val="center"/>
              <w:rPr>
                <w:rFonts w:ascii="Arial Narrow" w:hAnsi="Arial Narrow"/>
                <w:spacing w:val="-5"/>
                <w:sz w:val="20"/>
                <w:szCs w:val="20"/>
                <w:highlight w:val="black"/>
              </w:rPr>
            </w:pPr>
            <w:r>
              <w:rPr>
                <w:rFonts w:ascii="Arial Narrow" w:hAnsi="Arial Narrow" w:cs="Arial"/>
                <w:noProof/>
                <w:color w:val="000000"/>
                <w:sz w:val="20"/>
                <w:szCs w:val="20"/>
                <w:highlight w:val="black"/>
              </w:rPr>
              <w:t>''''''''''''''''''''''''''''</w:t>
            </w:r>
          </w:p>
        </w:tc>
        <w:tc>
          <w:tcPr>
            <w:tcW w:w="633" w:type="pct"/>
            <w:vAlign w:val="center"/>
          </w:tcPr>
          <w:p w:rsidR="0047334E" w:rsidRPr="00F36D4C" w:rsidRDefault="00F36D4C">
            <w:pPr>
              <w:pStyle w:val="TableText0"/>
              <w:jc w:val="center"/>
              <w:rPr>
                <w:spacing w:val="-5"/>
                <w:sz w:val="20"/>
                <w:szCs w:val="20"/>
                <w:highlight w:val="black"/>
              </w:rPr>
            </w:pPr>
            <w:r>
              <w:rPr>
                <w:rFonts w:cs="Arial"/>
                <w:noProof/>
                <w:color w:val="000000"/>
                <w:sz w:val="20"/>
                <w:szCs w:val="20"/>
                <w:highlight w:val="black"/>
              </w:rPr>
              <w:t>''''''''''''''''''''''''''</w:t>
            </w:r>
          </w:p>
        </w:tc>
        <w:tc>
          <w:tcPr>
            <w:tcW w:w="633" w:type="pct"/>
            <w:vAlign w:val="center"/>
          </w:tcPr>
          <w:p w:rsidR="0047334E" w:rsidRPr="00F36D4C" w:rsidRDefault="00F36D4C">
            <w:pPr>
              <w:pStyle w:val="TableText0"/>
              <w:jc w:val="center"/>
              <w:rPr>
                <w:rFonts w:cs="Arial"/>
                <w:color w:val="000000"/>
                <w:sz w:val="20"/>
                <w:szCs w:val="20"/>
                <w:highlight w:val="black"/>
              </w:rPr>
            </w:pPr>
            <w:r>
              <w:rPr>
                <w:rFonts w:cs="Arial"/>
                <w:noProof/>
                <w:color w:val="000000"/>
                <w:sz w:val="20"/>
                <w:szCs w:val="20"/>
                <w:highlight w:val="black"/>
              </w:rPr>
              <w:t>''''''''''''''''''''''''''</w:t>
            </w:r>
          </w:p>
        </w:tc>
      </w:tr>
    </w:tbl>
    <w:p w:rsidR="0047334E" w:rsidRDefault="00981D25" w:rsidP="00CE135C">
      <w:pPr>
        <w:pStyle w:val="tablenotes"/>
      </w:pPr>
      <w:r>
        <w:t xml:space="preserve">Note: Estimate based on new patient commencing. The submission stated the course of treatment for PKU Explore 5 is not likely to be longer than 6 months for any 1 patient and so the Cost to the PBS is estimated to be less than the amount listed for each of the estimated number of patients per year. </w:t>
      </w:r>
    </w:p>
    <w:p w:rsidR="0047334E" w:rsidRDefault="00981D25" w:rsidP="00CE135C">
      <w:pPr>
        <w:pStyle w:val="tablenotes"/>
      </w:pPr>
      <w:r>
        <w:t>** DPMQ less patient co-payment</w:t>
      </w:r>
    </w:p>
    <w:p w:rsidR="0047334E" w:rsidRDefault="00981D25" w:rsidP="00CE135C">
      <w:pPr>
        <w:pStyle w:val="tablenotes"/>
      </w:pPr>
      <w:r>
        <w:t>Source: Tables from pp18-19 of the submission.</w:t>
      </w:r>
    </w:p>
    <w:p w:rsidR="0047334E" w:rsidRDefault="0047334E">
      <w:pPr>
        <w:rPr>
          <w:rFonts w:asciiTheme="minorHAnsi" w:hAnsiTheme="minorHAnsi"/>
          <w:i/>
        </w:rPr>
      </w:pPr>
    </w:p>
    <w:p w:rsidR="0047334E" w:rsidRDefault="00981D25" w:rsidP="00FE64ED">
      <w:pPr>
        <w:ind w:left="720"/>
        <w:rPr>
          <w:rFonts w:asciiTheme="minorHAnsi" w:hAnsiTheme="minorHAnsi"/>
        </w:rPr>
      </w:pPr>
      <w:r>
        <w:rPr>
          <w:rFonts w:asciiTheme="minorHAnsi" w:hAnsiTheme="minorHAnsi"/>
        </w:rPr>
        <w:t>The redacted table shows that the total estimated number of patients over 6 years was in the range of 10,000 – 50,000, and the net cost to the PBS was less than $10 million.</w:t>
      </w:r>
    </w:p>
    <w:p w:rsidR="0047334E" w:rsidRDefault="0047334E">
      <w:pPr>
        <w:rPr>
          <w:rFonts w:asciiTheme="minorHAnsi" w:hAnsiTheme="minorHAnsi"/>
        </w:rPr>
      </w:pPr>
    </w:p>
    <w:p w:rsidR="0047334E" w:rsidRDefault="00981D25" w:rsidP="00FE64ED">
      <w:pPr>
        <w:ind w:firstLine="709"/>
        <w:rPr>
          <w:rFonts w:asciiTheme="minorHAnsi" w:hAnsiTheme="minorHAnsi"/>
          <w:i/>
        </w:rPr>
      </w:pPr>
      <w:r>
        <w:rPr>
          <w:rFonts w:asciiTheme="minorHAnsi" w:hAnsiTheme="minorHAnsi"/>
          <w:i/>
        </w:rPr>
        <w:t>For more detail on PBAC’s view, see section 7 PBAC outcome.</w:t>
      </w:r>
    </w:p>
    <w:p w:rsidR="0047334E" w:rsidRDefault="00981D25">
      <w:pPr>
        <w:pStyle w:val="Heading1"/>
        <w:keepLines/>
        <w:numPr>
          <w:ilvl w:val="0"/>
          <w:numId w:val="2"/>
        </w:numPr>
        <w:spacing w:before="240" w:after="120"/>
        <w:ind w:left="709" w:hanging="709"/>
        <w:contextualSpacing w:val="0"/>
        <w:rPr>
          <w:rFonts w:asciiTheme="minorHAnsi" w:eastAsiaTheme="majorEastAsia" w:hAnsiTheme="minorHAnsi" w:cstheme="majorBidi"/>
          <w:sz w:val="32"/>
          <w:szCs w:val="28"/>
          <w:lang w:eastAsia="en-US"/>
        </w:rPr>
      </w:pPr>
      <w:r>
        <w:rPr>
          <w:rFonts w:asciiTheme="minorHAnsi" w:eastAsiaTheme="majorEastAsia" w:hAnsiTheme="minorHAnsi" w:cstheme="majorBidi"/>
          <w:sz w:val="32"/>
          <w:szCs w:val="28"/>
          <w:lang w:eastAsia="en-US"/>
        </w:rPr>
        <w:t>NPWP Consideration</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 xml:space="preserve">The Nutritional Product Working Party (NPWP) supported the listing of PKU Explore as it provides an alternative treatment for some patients as part of their dietary management of PKU. It noted that the levels of vitamins and minerals such as manganese and potassium were lower in PKU Explore than PKU Anamix First Spoon. The iron quantity of the product provides around 80% of dietary requirements, which is clinically considered to be on the lower end of reasonable limits for patients across all ages. However, the NPWP considered that these nutrients could be obtained from daily dietary intake. </w:t>
      </w:r>
    </w:p>
    <w:p w:rsidR="0047334E" w:rsidRPr="00877EA0" w:rsidRDefault="00981D25" w:rsidP="00877EA0">
      <w:pPr>
        <w:rPr>
          <w:rFonts w:eastAsiaTheme="majorEastAsia"/>
          <w:lang w:eastAsia="en-US"/>
        </w:rPr>
      </w:pPr>
      <w:r>
        <w:rPr>
          <w:rFonts w:asciiTheme="minorHAnsi" w:hAnsiTheme="minorHAnsi"/>
          <w:i/>
        </w:rPr>
        <w:t>For more detail on PBAC’s view, see section 7 PBAC outcome.</w:t>
      </w:r>
    </w:p>
    <w:p w:rsidR="0047334E" w:rsidRDefault="00981D25">
      <w:pPr>
        <w:keepNext/>
        <w:widowControl w:val="0"/>
        <w:numPr>
          <w:ilvl w:val="0"/>
          <w:numId w:val="2"/>
        </w:numPr>
        <w:spacing w:before="240" w:after="120"/>
        <w:jc w:val="both"/>
        <w:outlineLvl w:val="0"/>
        <w:rPr>
          <w:rFonts w:asciiTheme="minorHAnsi" w:hAnsiTheme="minorHAnsi" w:cs="Arial"/>
          <w:b/>
          <w:bCs/>
          <w:snapToGrid w:val="0"/>
          <w:sz w:val="32"/>
        </w:rPr>
      </w:pPr>
      <w:r>
        <w:rPr>
          <w:rFonts w:asciiTheme="minorHAnsi" w:hAnsiTheme="minorHAnsi" w:cs="Arial"/>
          <w:b/>
          <w:bCs/>
          <w:snapToGrid w:val="0"/>
          <w:sz w:val="32"/>
        </w:rPr>
        <w:t>PBAC Outcome</w:t>
      </w:r>
    </w:p>
    <w:p w:rsidR="0047334E" w:rsidRDefault="00981D25">
      <w:pPr>
        <w:widowControl w:val="0"/>
        <w:numPr>
          <w:ilvl w:val="1"/>
          <w:numId w:val="2"/>
        </w:numPr>
        <w:spacing w:before="120" w:after="120"/>
        <w:jc w:val="both"/>
        <w:rPr>
          <w:rFonts w:asciiTheme="minorHAnsi" w:hAnsiTheme="minorHAnsi" w:cs="Arial"/>
          <w:bCs/>
          <w:snapToGrid w:val="0"/>
          <w:lang w:val="en-GB"/>
        </w:rPr>
      </w:pPr>
      <w:r>
        <w:rPr>
          <w:rFonts w:asciiTheme="minorHAnsi" w:hAnsiTheme="minorHAnsi" w:cs="Arial"/>
          <w:bCs/>
          <w:snapToGrid w:val="0"/>
          <w:lang w:val="en-GB"/>
        </w:rPr>
        <w:t xml:space="preserve">The PBAC recommended the listings for two new forms of amino acid formula with vitamins and minerals, low phenylalanine and supplemented with docosahexaenoic acid and arachiodonic acid (PKU Explore 5 and PKU Explore 10) for the dietary management of phenylketonuria (PKU) on a cost minimisation basis to PKU Anamix First Spoon at an equivalent cost per gram of protein equivalent (PE). </w:t>
      </w:r>
    </w:p>
    <w:p w:rsidR="0047334E" w:rsidRDefault="00981D25">
      <w:pPr>
        <w:widowControl w:val="0"/>
        <w:numPr>
          <w:ilvl w:val="1"/>
          <w:numId w:val="2"/>
        </w:numPr>
        <w:spacing w:before="120" w:after="120"/>
        <w:jc w:val="both"/>
        <w:rPr>
          <w:rFonts w:asciiTheme="minorHAnsi" w:hAnsiTheme="minorHAnsi" w:cs="Arial"/>
          <w:bCs/>
          <w:snapToGrid w:val="0"/>
          <w:lang w:val="en-GB"/>
        </w:rPr>
      </w:pPr>
      <w:r>
        <w:rPr>
          <w:rFonts w:asciiTheme="minorHAnsi" w:hAnsiTheme="minorHAnsi" w:cs="Arial"/>
          <w:bCs/>
          <w:snapToGrid w:val="0"/>
          <w:lang w:val="en-GB"/>
        </w:rPr>
        <w:lastRenderedPageBreak/>
        <w:t xml:space="preserve">The PBAC noted that the NPWP supported the proposed listing of the products as </w:t>
      </w:r>
      <w:r w:rsidR="007368D3">
        <w:rPr>
          <w:rFonts w:asciiTheme="minorHAnsi" w:hAnsiTheme="minorHAnsi" w:cs="Arial"/>
          <w:bCs/>
          <w:snapToGrid w:val="0"/>
          <w:lang w:val="en-GB"/>
        </w:rPr>
        <w:t xml:space="preserve">they </w:t>
      </w:r>
      <w:r>
        <w:rPr>
          <w:rFonts w:asciiTheme="minorHAnsi" w:hAnsiTheme="minorHAnsi" w:cs="Arial"/>
          <w:bCs/>
          <w:snapToGrid w:val="0"/>
          <w:lang w:val="en-GB"/>
        </w:rPr>
        <w:t xml:space="preserve">provide an alternative treatment for some patients as part of their dietary management of PKU. </w:t>
      </w:r>
    </w:p>
    <w:p w:rsidR="0047334E" w:rsidRDefault="00981D25">
      <w:pPr>
        <w:widowControl w:val="0"/>
        <w:numPr>
          <w:ilvl w:val="1"/>
          <w:numId w:val="2"/>
        </w:numPr>
        <w:spacing w:before="120" w:after="120"/>
        <w:jc w:val="both"/>
        <w:rPr>
          <w:rFonts w:asciiTheme="minorHAnsi" w:hAnsiTheme="minorHAnsi" w:cs="Arial"/>
          <w:bCs/>
          <w:snapToGrid w:val="0"/>
          <w:lang w:val="en-GB"/>
        </w:rPr>
      </w:pPr>
      <w:r>
        <w:rPr>
          <w:rFonts w:asciiTheme="minorHAnsi" w:hAnsiTheme="minorHAnsi" w:cs="Arial"/>
          <w:bCs/>
          <w:snapToGrid w:val="0"/>
          <w:lang w:val="en-GB"/>
        </w:rPr>
        <w:t xml:space="preserve">The PBAC accepted that PKU Explore would substitute for the currently listed product, PKU Anamix First Spoon. The PBAC accepted that this substitution would be cost neutral to the PBS as PKU Explore and PKU Anamix First Spoon have an equivalent cost per gram PE. </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The PBAC noted that PKU Explore is suitable for inclusion in the PBS medicines for prescribing by nurse practitioners, similar to other nutritional product listings for PKU.</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 xml:space="preserve">The PBAC noted that the Early Supply Rule should not apply to PKU Explore, as it has generally been the PBAC’s view that nutritional product listings be exempt. </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 xml:space="preserve">In accordance with Section 101 (3BA) of the </w:t>
      </w:r>
      <w:r>
        <w:rPr>
          <w:rFonts w:asciiTheme="minorHAnsi" w:hAnsiTheme="minorHAnsi"/>
          <w:i/>
        </w:rPr>
        <w:t>National Health Act, 1953,</w:t>
      </w:r>
      <w:r>
        <w:rPr>
          <w:rFonts w:asciiTheme="minorHAnsi" w:hAnsiTheme="minorHAnsi"/>
        </w:rPr>
        <w:t xml:space="preserve"> the PBAC advised it is of the opinion that PKU Explore should be treated as interchangeable on an individual patient basis with PKU Gel, PKU Anamix and PKU Anamix Infant. </w:t>
      </w:r>
    </w:p>
    <w:p w:rsidR="0047334E" w:rsidRDefault="00981D25">
      <w:pPr>
        <w:pStyle w:val="ListParagraph"/>
        <w:numPr>
          <w:ilvl w:val="1"/>
          <w:numId w:val="2"/>
        </w:numPr>
        <w:spacing w:before="120" w:after="120"/>
        <w:contextualSpacing w:val="0"/>
        <w:jc w:val="both"/>
        <w:rPr>
          <w:rFonts w:asciiTheme="minorHAnsi" w:hAnsiTheme="minorHAnsi"/>
        </w:rPr>
      </w:pPr>
      <w:r>
        <w:rPr>
          <w:rFonts w:asciiTheme="minorHAnsi" w:hAnsiTheme="minorHAnsi"/>
        </w:rPr>
        <w:t xml:space="preserve">The PBAC noted that its recommendation was on a cost-minimisation basis and advised that, because PKU Explore is not expected to provide a substantial and clinically relevant improvement in efficacy, or reduction of toxicity, over PKU Anamix First Spoon, or not expected to address a high and urgent unmet clinical need given the presence of an alternative therapy, the criteria prescribed by the </w:t>
      </w:r>
      <w:r>
        <w:rPr>
          <w:rFonts w:asciiTheme="minorHAnsi" w:hAnsiTheme="minorHAnsi"/>
          <w:i/>
        </w:rPr>
        <w:t>National Health (Pharmaceuticals and Vaccines – Cost Recovery) Regulations 2009</w:t>
      </w:r>
      <w:r>
        <w:rPr>
          <w:rFonts w:asciiTheme="minorHAnsi" w:hAnsiTheme="minorHAnsi"/>
        </w:rPr>
        <w:t xml:space="preserve"> for Pricing Pathway A were not met.</w:t>
      </w:r>
    </w:p>
    <w:p w:rsidR="0047334E" w:rsidRDefault="00981D25">
      <w:pPr>
        <w:widowControl w:val="0"/>
        <w:numPr>
          <w:ilvl w:val="1"/>
          <w:numId w:val="2"/>
        </w:numPr>
        <w:spacing w:before="120" w:after="120"/>
        <w:jc w:val="both"/>
        <w:rPr>
          <w:rFonts w:asciiTheme="minorHAnsi" w:hAnsiTheme="minorHAnsi" w:cs="Arial"/>
          <w:bCs/>
          <w:snapToGrid w:val="0"/>
          <w:lang w:val="en-GB"/>
        </w:rPr>
      </w:pPr>
      <w:r>
        <w:rPr>
          <w:rFonts w:asciiTheme="minorHAnsi" w:hAnsiTheme="minorHAnsi" w:cs="Arial"/>
          <w:bCs/>
          <w:snapToGrid w:val="0"/>
          <w:lang w:val="en-GB"/>
        </w:rPr>
        <w:t xml:space="preserve">The PBAC noted that this submission is not eligible for an Independent Review, as it received a positive recommendation. </w:t>
      </w:r>
    </w:p>
    <w:p w:rsidR="0047334E" w:rsidRDefault="00981D25">
      <w:pPr>
        <w:spacing w:before="240"/>
        <w:jc w:val="both"/>
        <w:rPr>
          <w:rFonts w:asciiTheme="minorHAnsi" w:hAnsiTheme="minorHAnsi" w:cs="Arial"/>
          <w:b/>
          <w:bCs/>
          <w:snapToGrid w:val="0"/>
          <w:lang w:val="en-GB"/>
        </w:rPr>
      </w:pPr>
      <w:r>
        <w:rPr>
          <w:rFonts w:asciiTheme="minorHAnsi" w:hAnsiTheme="minorHAnsi" w:cs="Arial"/>
          <w:b/>
          <w:bCs/>
          <w:snapToGrid w:val="0"/>
          <w:lang w:val="en-GB"/>
        </w:rPr>
        <w:t>Outcome:</w:t>
      </w:r>
    </w:p>
    <w:p w:rsidR="0047334E" w:rsidRDefault="00981D25">
      <w:pPr>
        <w:jc w:val="both"/>
        <w:rPr>
          <w:rFonts w:asciiTheme="minorHAnsi" w:hAnsiTheme="minorHAnsi" w:cs="Arial"/>
          <w:bCs/>
          <w:snapToGrid w:val="0"/>
          <w:lang w:val="en-GB"/>
        </w:rPr>
      </w:pPr>
      <w:r>
        <w:rPr>
          <w:rFonts w:asciiTheme="minorHAnsi" w:hAnsiTheme="minorHAnsi" w:cs="Arial"/>
          <w:bCs/>
          <w:snapToGrid w:val="0"/>
          <w:lang w:val="en-GB"/>
        </w:rPr>
        <w:t xml:space="preserve">Recommended </w:t>
      </w:r>
    </w:p>
    <w:p w:rsidR="0047334E" w:rsidRDefault="00981D25">
      <w:pPr>
        <w:widowControl w:val="0"/>
        <w:numPr>
          <w:ilvl w:val="0"/>
          <w:numId w:val="2"/>
        </w:numPr>
        <w:spacing w:before="240" w:after="120"/>
        <w:jc w:val="both"/>
        <w:outlineLvl w:val="0"/>
        <w:rPr>
          <w:rFonts w:asciiTheme="minorHAnsi" w:hAnsiTheme="minorHAnsi" w:cs="Arial"/>
          <w:b/>
          <w:bCs/>
          <w:i/>
          <w:snapToGrid w:val="0"/>
          <w:sz w:val="32"/>
          <w:lang w:val="en-GB"/>
        </w:rPr>
      </w:pPr>
      <w:r>
        <w:rPr>
          <w:rFonts w:asciiTheme="minorHAnsi" w:hAnsiTheme="minorHAnsi" w:cs="Arial"/>
          <w:b/>
          <w:bCs/>
          <w:snapToGrid w:val="0"/>
          <w:sz w:val="32"/>
          <w:lang w:val="en-GB"/>
        </w:rPr>
        <w:t>Recommended listing</w:t>
      </w:r>
    </w:p>
    <w:p w:rsidR="0047334E" w:rsidRDefault="00981D25">
      <w:pPr>
        <w:pStyle w:val="ListParagraph"/>
        <w:numPr>
          <w:ilvl w:val="1"/>
          <w:numId w:val="2"/>
        </w:numPr>
        <w:spacing w:before="120" w:after="160"/>
        <w:contextualSpacing w:val="0"/>
        <w:jc w:val="both"/>
        <w:rPr>
          <w:rFonts w:asciiTheme="minorHAnsi" w:hAnsiTheme="minorHAnsi" w:cs="Arial"/>
          <w:bCs/>
          <w:snapToGrid w:val="0"/>
        </w:rPr>
      </w:pPr>
      <w:r>
        <w:rPr>
          <w:rFonts w:asciiTheme="minorHAnsi" w:hAnsiTheme="minorHAnsi" w:cs="Arial"/>
          <w:bCs/>
          <w:snapToGrid w:val="0"/>
        </w:rPr>
        <w:t>Add two new items:</w:t>
      </w:r>
    </w:p>
    <w:tbl>
      <w:tblPr>
        <w:tblW w:w="5000" w:type="pct"/>
        <w:tblLook w:val="0000" w:firstRow="0" w:lastRow="0" w:firstColumn="0" w:lastColumn="0" w:noHBand="0" w:noVBand="0"/>
      </w:tblPr>
      <w:tblGrid>
        <w:gridCol w:w="1938"/>
        <w:gridCol w:w="1369"/>
        <w:gridCol w:w="738"/>
        <w:gridCol w:w="886"/>
        <w:gridCol w:w="1561"/>
        <w:gridCol w:w="2451"/>
        <w:gridCol w:w="83"/>
      </w:tblGrid>
      <w:tr w:rsidR="0047334E" w:rsidTr="008A73BF">
        <w:trPr>
          <w:gridAfter w:val="1"/>
          <w:wAfter w:w="46" w:type="pct"/>
          <w:cantSplit/>
          <w:trHeight w:val="471"/>
        </w:trPr>
        <w:tc>
          <w:tcPr>
            <w:tcW w:w="1831" w:type="pct"/>
            <w:gridSpan w:val="2"/>
            <w:tcBorders>
              <w:bottom w:val="single" w:sz="4" w:space="0" w:color="auto"/>
            </w:tcBorders>
          </w:tcPr>
          <w:p w:rsidR="0047334E" w:rsidRDefault="00981D25">
            <w:pPr>
              <w:keepNext/>
              <w:ind w:left="-108"/>
              <w:jc w:val="both"/>
              <w:rPr>
                <w:rFonts w:ascii="Arial Narrow" w:hAnsi="Arial Narrow" w:cs="Arial"/>
                <w:b/>
                <w:sz w:val="20"/>
                <w:szCs w:val="20"/>
              </w:rPr>
            </w:pPr>
            <w:r>
              <w:rPr>
                <w:rFonts w:ascii="Arial Narrow" w:hAnsi="Arial Narrow" w:cs="Arial"/>
                <w:b/>
                <w:sz w:val="20"/>
                <w:szCs w:val="20"/>
              </w:rPr>
              <w:t>Name, Restriction,</w:t>
            </w:r>
          </w:p>
          <w:p w:rsidR="0047334E" w:rsidRDefault="00981D25">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409" w:type="pct"/>
            <w:tcBorders>
              <w:bottom w:val="single" w:sz="4" w:space="0" w:color="auto"/>
            </w:tcBorders>
          </w:tcPr>
          <w:p w:rsidR="0047334E" w:rsidRDefault="00981D25" w:rsidP="008A73BF">
            <w:pPr>
              <w:keepNext/>
              <w:ind w:left="-108"/>
              <w:jc w:val="center"/>
              <w:rPr>
                <w:rFonts w:ascii="Arial Narrow" w:hAnsi="Arial Narrow" w:cs="Arial"/>
                <w:b/>
                <w:sz w:val="20"/>
                <w:szCs w:val="20"/>
              </w:rPr>
            </w:pPr>
            <w:r>
              <w:rPr>
                <w:rFonts w:ascii="Arial Narrow" w:hAnsi="Arial Narrow" w:cs="Arial"/>
                <w:b/>
                <w:sz w:val="20"/>
                <w:szCs w:val="20"/>
              </w:rPr>
              <w:t>Max.</w:t>
            </w:r>
          </w:p>
          <w:p w:rsidR="0047334E" w:rsidRDefault="00981D25" w:rsidP="008A73BF">
            <w:pPr>
              <w:keepNext/>
              <w:ind w:left="-108"/>
              <w:jc w:val="center"/>
              <w:rPr>
                <w:rFonts w:ascii="Arial Narrow" w:hAnsi="Arial Narrow" w:cs="Arial"/>
                <w:b/>
                <w:sz w:val="20"/>
                <w:szCs w:val="20"/>
              </w:rPr>
            </w:pPr>
            <w:r>
              <w:rPr>
                <w:rFonts w:ascii="Arial Narrow" w:hAnsi="Arial Narrow" w:cs="Arial"/>
                <w:b/>
                <w:sz w:val="20"/>
                <w:szCs w:val="20"/>
              </w:rPr>
              <w:t>Qty</w:t>
            </w:r>
          </w:p>
        </w:tc>
        <w:tc>
          <w:tcPr>
            <w:tcW w:w="491" w:type="pct"/>
            <w:tcBorders>
              <w:bottom w:val="single" w:sz="4" w:space="0" w:color="auto"/>
            </w:tcBorders>
          </w:tcPr>
          <w:p w:rsidR="0047334E" w:rsidRDefault="00981D25" w:rsidP="008A73BF">
            <w:pPr>
              <w:keepNext/>
              <w:ind w:left="-108"/>
              <w:jc w:val="center"/>
              <w:rPr>
                <w:rFonts w:ascii="Arial Narrow" w:hAnsi="Arial Narrow" w:cs="Arial"/>
                <w:b/>
                <w:sz w:val="20"/>
                <w:szCs w:val="20"/>
              </w:rPr>
            </w:pPr>
            <w:r>
              <w:rPr>
                <w:rFonts w:ascii="Arial Narrow" w:hAnsi="Arial Narrow" w:cs="Arial"/>
                <w:b/>
                <w:sz w:val="20"/>
                <w:szCs w:val="20"/>
              </w:rPr>
              <w:t>№.of</w:t>
            </w:r>
          </w:p>
          <w:p w:rsidR="0047334E" w:rsidRDefault="00981D25" w:rsidP="008A73BF">
            <w:pPr>
              <w:keepNext/>
              <w:ind w:left="-108"/>
              <w:jc w:val="center"/>
              <w:rPr>
                <w:rFonts w:ascii="Arial Narrow" w:hAnsi="Arial Narrow" w:cs="Arial"/>
                <w:b/>
                <w:sz w:val="20"/>
                <w:szCs w:val="20"/>
              </w:rPr>
            </w:pPr>
            <w:r>
              <w:rPr>
                <w:rFonts w:ascii="Arial Narrow" w:hAnsi="Arial Narrow" w:cs="Arial"/>
                <w:b/>
                <w:sz w:val="20"/>
                <w:szCs w:val="20"/>
              </w:rPr>
              <w:t>Rpts</w:t>
            </w:r>
          </w:p>
        </w:tc>
        <w:tc>
          <w:tcPr>
            <w:tcW w:w="2223" w:type="pct"/>
            <w:gridSpan w:val="2"/>
            <w:tcBorders>
              <w:bottom w:val="single" w:sz="4" w:space="0" w:color="auto"/>
            </w:tcBorders>
          </w:tcPr>
          <w:p w:rsidR="0047334E" w:rsidRDefault="00981D25">
            <w:pPr>
              <w:keepNext/>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47334E" w:rsidTr="008A73BF">
        <w:trPr>
          <w:gridAfter w:val="1"/>
          <w:wAfter w:w="46" w:type="pct"/>
          <w:cantSplit/>
          <w:trHeight w:val="577"/>
        </w:trPr>
        <w:tc>
          <w:tcPr>
            <w:tcW w:w="1831" w:type="pct"/>
            <w:gridSpan w:val="2"/>
          </w:tcPr>
          <w:p w:rsidR="0047334E" w:rsidRDefault="00981D25">
            <w:pPr>
              <w:keepNext/>
              <w:ind w:left="-108"/>
              <w:jc w:val="both"/>
              <w:rPr>
                <w:rFonts w:ascii="Arial Narrow" w:hAnsi="Arial Narrow" w:cs="Arial"/>
                <w:smallCaps/>
                <w:sz w:val="20"/>
                <w:szCs w:val="20"/>
              </w:rPr>
            </w:pPr>
            <w:r>
              <w:rPr>
                <w:rFonts w:ascii="Arial Narrow" w:hAnsi="Arial Narrow" w:cs="Arial"/>
                <w:smallCaps/>
                <w:sz w:val="20"/>
                <w:szCs w:val="20"/>
              </w:rPr>
              <w:t>amino acid formula with vitamins and minerals, low phenylalanine and supplemented with docosahexaenoic acid and arachidonic acid</w:t>
            </w:r>
          </w:p>
          <w:p w:rsidR="0047334E" w:rsidRDefault="0047334E">
            <w:pPr>
              <w:keepNext/>
              <w:ind w:left="-108"/>
              <w:jc w:val="both"/>
              <w:rPr>
                <w:rFonts w:ascii="Arial Narrow" w:hAnsi="Arial Narrow" w:cs="Arial"/>
                <w:sz w:val="20"/>
                <w:szCs w:val="20"/>
              </w:rPr>
            </w:pPr>
          </w:p>
          <w:p w:rsidR="0047334E" w:rsidRDefault="00981D25">
            <w:pPr>
              <w:keepNext/>
              <w:ind w:left="-108"/>
              <w:jc w:val="both"/>
              <w:rPr>
                <w:rFonts w:ascii="Arial Narrow" w:hAnsi="Arial Narrow" w:cs="Arial"/>
                <w:sz w:val="20"/>
                <w:szCs w:val="20"/>
              </w:rPr>
            </w:pPr>
            <w:r>
              <w:rPr>
                <w:rFonts w:ascii="Arial Narrow" w:hAnsi="Arial Narrow" w:cs="Arial"/>
                <w:sz w:val="20"/>
                <w:szCs w:val="20"/>
              </w:rPr>
              <w:t>amino acid formula with vitamins and minerals, low phenylalanine and supplemented with docosahexaenoic acid and arachidonic acid powder for oral liquid, 30 x 12.5 g sachets</w:t>
            </w:r>
          </w:p>
        </w:tc>
        <w:tc>
          <w:tcPr>
            <w:tcW w:w="409" w:type="pct"/>
            <w:vAlign w:val="center"/>
          </w:tcPr>
          <w:p w:rsidR="0047334E" w:rsidRDefault="00981D25" w:rsidP="008A73BF">
            <w:pPr>
              <w:keepNext/>
              <w:ind w:left="-108"/>
              <w:jc w:val="center"/>
              <w:rPr>
                <w:rFonts w:ascii="Arial Narrow" w:hAnsi="Arial Narrow" w:cs="Arial"/>
                <w:sz w:val="20"/>
                <w:szCs w:val="20"/>
              </w:rPr>
            </w:pPr>
            <w:r>
              <w:rPr>
                <w:rFonts w:ascii="Arial Narrow" w:hAnsi="Arial Narrow" w:cs="Arial"/>
                <w:sz w:val="20"/>
                <w:szCs w:val="20"/>
              </w:rPr>
              <w:t>8</w:t>
            </w:r>
          </w:p>
        </w:tc>
        <w:tc>
          <w:tcPr>
            <w:tcW w:w="491" w:type="pct"/>
            <w:vAlign w:val="center"/>
          </w:tcPr>
          <w:p w:rsidR="0047334E" w:rsidRDefault="00981D25" w:rsidP="008A73BF">
            <w:pPr>
              <w:keepNext/>
              <w:jc w:val="center"/>
              <w:rPr>
                <w:rFonts w:ascii="Arial Narrow" w:hAnsi="Arial Narrow" w:cs="Arial"/>
                <w:sz w:val="20"/>
                <w:szCs w:val="20"/>
              </w:rPr>
            </w:pPr>
            <w:r>
              <w:rPr>
                <w:rFonts w:ascii="Arial Narrow" w:hAnsi="Arial Narrow" w:cs="Arial"/>
                <w:sz w:val="20"/>
                <w:szCs w:val="20"/>
              </w:rPr>
              <w:t>5</w:t>
            </w:r>
          </w:p>
        </w:tc>
        <w:tc>
          <w:tcPr>
            <w:tcW w:w="865" w:type="pct"/>
            <w:vAlign w:val="center"/>
          </w:tcPr>
          <w:p w:rsidR="0047334E" w:rsidRDefault="00981D25">
            <w:pPr>
              <w:keepNext/>
              <w:rPr>
                <w:rFonts w:ascii="Arial Narrow" w:hAnsi="Arial Narrow" w:cs="Arial"/>
                <w:sz w:val="20"/>
                <w:szCs w:val="20"/>
              </w:rPr>
            </w:pPr>
            <w:r>
              <w:rPr>
                <w:rFonts w:ascii="Arial Narrow" w:hAnsi="Arial Narrow" w:cs="Arial"/>
                <w:sz w:val="20"/>
                <w:szCs w:val="20"/>
              </w:rPr>
              <w:t>PKU Explore5®</w:t>
            </w:r>
          </w:p>
        </w:tc>
        <w:tc>
          <w:tcPr>
            <w:tcW w:w="1358" w:type="pct"/>
            <w:vAlign w:val="center"/>
          </w:tcPr>
          <w:p w:rsidR="0047334E" w:rsidRDefault="00981D25">
            <w:pPr>
              <w:keepNext/>
              <w:rPr>
                <w:rFonts w:ascii="Arial Narrow" w:hAnsi="Arial Narrow" w:cs="Arial"/>
                <w:sz w:val="20"/>
                <w:szCs w:val="20"/>
              </w:rPr>
            </w:pPr>
            <w:r>
              <w:rPr>
                <w:rFonts w:ascii="Arial Narrow" w:hAnsi="Arial Narrow" w:cs="Arial"/>
                <w:sz w:val="20"/>
                <w:szCs w:val="20"/>
              </w:rPr>
              <w:t>Vitaflo Australia Pty Ltd</w:t>
            </w:r>
          </w:p>
        </w:tc>
      </w:tr>
      <w:tr w:rsidR="0047334E">
        <w:trPr>
          <w:cantSplit/>
          <w:trHeight w:val="360"/>
        </w:trPr>
        <w:tc>
          <w:tcPr>
            <w:tcW w:w="5000" w:type="pct"/>
            <w:gridSpan w:val="7"/>
            <w:tcBorders>
              <w:bottom w:val="single" w:sz="4" w:space="0" w:color="auto"/>
            </w:tcBorders>
          </w:tcPr>
          <w:p w:rsidR="0047334E" w:rsidRDefault="0047334E">
            <w:pPr>
              <w:jc w:val="both"/>
              <w:rPr>
                <w:rFonts w:ascii="Arial Narrow" w:hAnsi="Arial Narrow" w:cs="Arial"/>
                <w:sz w:val="20"/>
                <w:szCs w:val="20"/>
              </w:rPr>
            </w:pPr>
          </w:p>
        </w:tc>
      </w:tr>
      <w:tr w:rsidR="0047334E">
        <w:trPr>
          <w:cantSplit/>
          <w:trHeight w:val="360"/>
        </w:trPr>
        <w:tc>
          <w:tcPr>
            <w:tcW w:w="1073" w:type="pct"/>
            <w:tcBorders>
              <w:top w:val="single" w:sz="4" w:space="0" w:color="auto"/>
              <w:left w:val="single" w:sz="4" w:space="0" w:color="auto"/>
              <w:bottom w:val="single" w:sz="4" w:space="0" w:color="auto"/>
              <w:right w:val="single" w:sz="4" w:space="0" w:color="auto"/>
            </w:tcBorders>
          </w:tcPr>
          <w:p w:rsidR="0047334E" w:rsidRDefault="00981D25">
            <w:pPr>
              <w:jc w:val="both"/>
              <w:rPr>
                <w:rFonts w:ascii="Arial Narrow" w:hAnsi="Arial Narrow" w:cs="Arial"/>
                <w:b/>
                <w:sz w:val="20"/>
                <w:szCs w:val="20"/>
              </w:rPr>
            </w:pPr>
            <w:r>
              <w:rPr>
                <w:rFonts w:ascii="Arial Narrow" w:hAnsi="Arial Narrow" w:cs="Arial"/>
                <w:b/>
                <w:sz w:val="20"/>
                <w:szCs w:val="20"/>
              </w:rPr>
              <w:lastRenderedPageBreak/>
              <w:t xml:space="preserve">Category / </w:t>
            </w:r>
          </w:p>
          <w:p w:rsidR="0047334E" w:rsidRDefault="00981D25">
            <w:pPr>
              <w:jc w:val="both"/>
              <w:rPr>
                <w:rFonts w:ascii="Arial Narrow" w:hAnsi="Arial Narrow" w:cs="Arial"/>
                <w:b/>
                <w:sz w:val="20"/>
                <w:szCs w:val="20"/>
              </w:rPr>
            </w:pPr>
            <w:r>
              <w:rPr>
                <w:rFonts w:ascii="Arial Narrow" w:hAnsi="Arial Narrow" w:cs="Arial"/>
                <w:b/>
                <w:sz w:val="20"/>
                <w:szCs w:val="20"/>
              </w:rPr>
              <w:t>Program</w:t>
            </w:r>
          </w:p>
        </w:tc>
        <w:tc>
          <w:tcPr>
            <w:tcW w:w="3927" w:type="pct"/>
            <w:gridSpan w:val="6"/>
            <w:tcBorders>
              <w:top w:val="single" w:sz="4" w:space="0" w:color="auto"/>
              <w:left w:val="single" w:sz="4" w:space="0" w:color="auto"/>
              <w:bottom w:val="single" w:sz="4" w:space="0" w:color="auto"/>
              <w:right w:val="single" w:sz="4" w:space="0" w:color="auto"/>
            </w:tcBorders>
          </w:tcPr>
          <w:p w:rsidR="0047334E" w:rsidRDefault="00981D25">
            <w:pPr>
              <w:rPr>
                <w:rFonts w:ascii="Arial Narrow" w:hAnsi="Arial Narrow" w:cs="Arial"/>
                <w:sz w:val="20"/>
                <w:szCs w:val="20"/>
              </w:rPr>
            </w:pPr>
            <w:r>
              <w:rPr>
                <w:rFonts w:ascii="Arial Narrow" w:hAnsi="Arial Narrow" w:cs="Arial"/>
                <w:sz w:val="20"/>
                <w:szCs w:val="20"/>
              </w:rPr>
              <w:t>GENERAL – General Schedule (Code GE)</w:t>
            </w:r>
          </w:p>
          <w:p w:rsidR="0047334E" w:rsidRDefault="0047334E">
            <w:pPr>
              <w:rPr>
                <w:rFonts w:ascii="Arial Narrow" w:hAnsi="Arial Narrow" w:cs="Arial"/>
                <w:sz w:val="20"/>
                <w:szCs w:val="20"/>
              </w:rPr>
            </w:pPr>
          </w:p>
        </w:tc>
      </w:tr>
      <w:tr w:rsidR="0047334E">
        <w:trPr>
          <w:cantSplit/>
          <w:trHeight w:val="360"/>
        </w:trPr>
        <w:tc>
          <w:tcPr>
            <w:tcW w:w="1073" w:type="pct"/>
            <w:tcBorders>
              <w:top w:val="single" w:sz="4" w:space="0" w:color="auto"/>
              <w:left w:val="single" w:sz="4" w:space="0" w:color="auto"/>
              <w:bottom w:val="single" w:sz="4" w:space="0" w:color="auto"/>
              <w:right w:val="single" w:sz="4" w:space="0" w:color="auto"/>
            </w:tcBorders>
          </w:tcPr>
          <w:p w:rsidR="0047334E" w:rsidRDefault="00981D25">
            <w:pPr>
              <w:jc w:val="both"/>
              <w:rPr>
                <w:rFonts w:ascii="Arial Narrow" w:hAnsi="Arial Narrow" w:cs="Arial"/>
                <w:b/>
                <w:sz w:val="20"/>
                <w:szCs w:val="20"/>
              </w:rPr>
            </w:pPr>
            <w:r>
              <w:rPr>
                <w:rFonts w:ascii="Arial Narrow" w:hAnsi="Arial Narrow" w:cs="Arial"/>
                <w:b/>
                <w:sz w:val="20"/>
                <w:szCs w:val="20"/>
              </w:rPr>
              <w:t>Prescriber type:</w:t>
            </w:r>
          </w:p>
        </w:tc>
        <w:tc>
          <w:tcPr>
            <w:tcW w:w="3927" w:type="pct"/>
            <w:gridSpan w:val="6"/>
            <w:tcBorders>
              <w:top w:val="single" w:sz="4" w:space="0" w:color="auto"/>
              <w:left w:val="single" w:sz="4" w:space="0" w:color="auto"/>
              <w:bottom w:val="single" w:sz="4" w:space="0" w:color="auto"/>
              <w:right w:val="single" w:sz="4" w:space="0" w:color="auto"/>
            </w:tcBorders>
          </w:tcPr>
          <w:p w:rsidR="0047334E" w:rsidRDefault="00981D25">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47334E" w:rsidRDefault="00981D25">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47334E">
        <w:trPr>
          <w:cantSplit/>
          <w:trHeight w:val="360"/>
        </w:trPr>
        <w:tc>
          <w:tcPr>
            <w:tcW w:w="1073" w:type="pct"/>
            <w:tcBorders>
              <w:top w:val="single" w:sz="4" w:space="0" w:color="auto"/>
              <w:left w:val="single" w:sz="4" w:space="0" w:color="auto"/>
              <w:bottom w:val="single" w:sz="4" w:space="0" w:color="auto"/>
              <w:right w:val="single" w:sz="4" w:space="0" w:color="auto"/>
            </w:tcBorders>
          </w:tcPr>
          <w:p w:rsidR="0047334E" w:rsidRDefault="00981D25">
            <w:pPr>
              <w:jc w:val="both"/>
              <w:rPr>
                <w:rFonts w:ascii="Arial Narrow" w:hAnsi="Arial Narrow" w:cs="Arial"/>
                <w:b/>
                <w:sz w:val="20"/>
                <w:szCs w:val="20"/>
              </w:rPr>
            </w:pPr>
            <w:r>
              <w:rPr>
                <w:rFonts w:ascii="Arial Narrow" w:hAnsi="Arial Narrow" w:cs="Arial"/>
                <w:b/>
                <w:sz w:val="20"/>
                <w:szCs w:val="20"/>
              </w:rPr>
              <w:t>Condition:</w:t>
            </w:r>
          </w:p>
        </w:tc>
        <w:tc>
          <w:tcPr>
            <w:tcW w:w="3927" w:type="pct"/>
            <w:gridSpan w:val="6"/>
            <w:tcBorders>
              <w:top w:val="single" w:sz="4" w:space="0" w:color="auto"/>
              <w:left w:val="single" w:sz="4" w:space="0" w:color="auto"/>
              <w:bottom w:val="single" w:sz="4" w:space="0" w:color="auto"/>
              <w:right w:val="single" w:sz="4" w:space="0" w:color="auto"/>
            </w:tcBorders>
          </w:tcPr>
          <w:p w:rsidR="0047334E" w:rsidRDefault="00981D25">
            <w:pPr>
              <w:rPr>
                <w:rFonts w:ascii="Arial Narrow" w:hAnsi="Arial Narrow" w:cs="Arial"/>
                <w:sz w:val="20"/>
                <w:szCs w:val="20"/>
              </w:rPr>
            </w:pPr>
            <w:r>
              <w:rPr>
                <w:rFonts w:ascii="Arial Narrow" w:hAnsi="Arial Narrow" w:cs="Arial"/>
                <w:sz w:val="20"/>
                <w:szCs w:val="20"/>
              </w:rPr>
              <w:t>Phenylketonuria</w:t>
            </w:r>
          </w:p>
        </w:tc>
      </w:tr>
      <w:tr w:rsidR="0047334E">
        <w:trPr>
          <w:cantSplit/>
          <w:trHeight w:val="360"/>
        </w:trPr>
        <w:tc>
          <w:tcPr>
            <w:tcW w:w="1073" w:type="pct"/>
            <w:tcBorders>
              <w:top w:val="single" w:sz="4" w:space="0" w:color="auto"/>
              <w:left w:val="single" w:sz="4" w:space="0" w:color="auto"/>
              <w:bottom w:val="single" w:sz="4" w:space="0" w:color="auto"/>
              <w:right w:val="single" w:sz="4" w:space="0" w:color="auto"/>
            </w:tcBorders>
          </w:tcPr>
          <w:p w:rsidR="0047334E" w:rsidRDefault="00981D25">
            <w:pPr>
              <w:jc w:val="both"/>
              <w:rPr>
                <w:rFonts w:ascii="Arial Narrow" w:hAnsi="Arial Narrow" w:cs="Arial"/>
                <w:b/>
                <w:sz w:val="20"/>
                <w:szCs w:val="20"/>
              </w:rPr>
            </w:pPr>
            <w:r>
              <w:rPr>
                <w:rFonts w:ascii="Arial Narrow" w:hAnsi="Arial Narrow" w:cs="Arial"/>
                <w:b/>
                <w:sz w:val="20"/>
                <w:szCs w:val="20"/>
              </w:rPr>
              <w:t>PBS Indication:</w:t>
            </w:r>
          </w:p>
        </w:tc>
        <w:tc>
          <w:tcPr>
            <w:tcW w:w="3927" w:type="pct"/>
            <w:gridSpan w:val="6"/>
            <w:tcBorders>
              <w:top w:val="single" w:sz="4" w:space="0" w:color="auto"/>
              <w:left w:val="single" w:sz="4" w:space="0" w:color="auto"/>
              <w:bottom w:val="single" w:sz="4" w:space="0" w:color="auto"/>
              <w:right w:val="single" w:sz="4" w:space="0" w:color="auto"/>
            </w:tcBorders>
          </w:tcPr>
          <w:p w:rsidR="0047334E" w:rsidRDefault="00981D25">
            <w:pPr>
              <w:rPr>
                <w:rFonts w:ascii="Arial Narrow" w:hAnsi="Arial Narrow" w:cs="Arial"/>
                <w:sz w:val="20"/>
                <w:szCs w:val="20"/>
              </w:rPr>
            </w:pPr>
            <w:r>
              <w:rPr>
                <w:rFonts w:ascii="Arial Narrow" w:hAnsi="Arial Narrow" w:cs="Arial"/>
                <w:sz w:val="20"/>
                <w:szCs w:val="20"/>
              </w:rPr>
              <w:t>Phenylketonuria</w:t>
            </w:r>
          </w:p>
        </w:tc>
      </w:tr>
      <w:tr w:rsidR="0047334E">
        <w:trPr>
          <w:cantSplit/>
          <w:trHeight w:val="593"/>
        </w:trPr>
        <w:tc>
          <w:tcPr>
            <w:tcW w:w="1073" w:type="pct"/>
            <w:tcBorders>
              <w:top w:val="single" w:sz="4" w:space="0" w:color="auto"/>
              <w:left w:val="single" w:sz="4" w:space="0" w:color="auto"/>
              <w:bottom w:val="single" w:sz="4" w:space="0" w:color="auto"/>
              <w:right w:val="single" w:sz="4" w:space="0" w:color="auto"/>
            </w:tcBorders>
          </w:tcPr>
          <w:p w:rsidR="0047334E" w:rsidRDefault="00981D25">
            <w:pPr>
              <w:jc w:val="both"/>
              <w:rPr>
                <w:rFonts w:ascii="Arial Narrow" w:hAnsi="Arial Narrow" w:cs="Arial"/>
                <w:b/>
                <w:sz w:val="20"/>
                <w:szCs w:val="20"/>
              </w:rPr>
            </w:pPr>
            <w:r>
              <w:rPr>
                <w:rFonts w:ascii="Arial Narrow" w:hAnsi="Arial Narrow" w:cs="Arial"/>
                <w:b/>
                <w:sz w:val="20"/>
                <w:szCs w:val="20"/>
              </w:rPr>
              <w:t>Restriction Level / Method:</w:t>
            </w:r>
          </w:p>
        </w:tc>
        <w:tc>
          <w:tcPr>
            <w:tcW w:w="3927" w:type="pct"/>
            <w:gridSpan w:val="6"/>
            <w:tcBorders>
              <w:top w:val="single" w:sz="4" w:space="0" w:color="auto"/>
              <w:left w:val="single" w:sz="4" w:space="0" w:color="auto"/>
              <w:bottom w:val="single" w:sz="4" w:space="0" w:color="auto"/>
              <w:right w:val="single" w:sz="4" w:space="0" w:color="auto"/>
            </w:tcBorders>
          </w:tcPr>
          <w:p w:rsidR="0047334E" w:rsidRDefault="00981D25">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tc>
      </w:tr>
    </w:tbl>
    <w:p w:rsidR="0047334E" w:rsidRDefault="0047334E">
      <w:pPr>
        <w:widowControl w:val="0"/>
        <w:jc w:val="both"/>
        <w:rPr>
          <w:rFonts w:asciiTheme="minorHAnsi" w:hAnsiTheme="minorHAnsi" w:cs="Arial"/>
          <w:bCs/>
          <w:snapToGrid w:val="0"/>
        </w:rPr>
      </w:pPr>
    </w:p>
    <w:tbl>
      <w:tblPr>
        <w:tblW w:w="5000" w:type="pct"/>
        <w:tblLook w:val="0000" w:firstRow="0" w:lastRow="0" w:firstColumn="0" w:lastColumn="0" w:noHBand="0" w:noVBand="0"/>
      </w:tblPr>
      <w:tblGrid>
        <w:gridCol w:w="1940"/>
        <w:gridCol w:w="1369"/>
        <w:gridCol w:w="738"/>
        <w:gridCol w:w="886"/>
        <w:gridCol w:w="1561"/>
        <w:gridCol w:w="2451"/>
        <w:gridCol w:w="81"/>
      </w:tblGrid>
      <w:tr w:rsidR="0047334E" w:rsidTr="008A73BF">
        <w:trPr>
          <w:gridAfter w:val="1"/>
          <w:wAfter w:w="46" w:type="pct"/>
          <w:cantSplit/>
          <w:trHeight w:val="471"/>
        </w:trPr>
        <w:tc>
          <w:tcPr>
            <w:tcW w:w="1832" w:type="pct"/>
            <w:gridSpan w:val="2"/>
            <w:tcBorders>
              <w:bottom w:val="single" w:sz="4" w:space="0" w:color="auto"/>
            </w:tcBorders>
          </w:tcPr>
          <w:p w:rsidR="0047334E" w:rsidRDefault="00981D25">
            <w:pPr>
              <w:keepNext/>
              <w:ind w:left="-108"/>
              <w:jc w:val="both"/>
              <w:rPr>
                <w:rFonts w:ascii="Arial Narrow" w:hAnsi="Arial Narrow" w:cs="Arial"/>
                <w:b/>
                <w:sz w:val="20"/>
                <w:szCs w:val="20"/>
              </w:rPr>
            </w:pPr>
            <w:r>
              <w:rPr>
                <w:rFonts w:ascii="Arial Narrow" w:hAnsi="Arial Narrow" w:cs="Arial"/>
                <w:b/>
                <w:sz w:val="20"/>
                <w:szCs w:val="20"/>
              </w:rPr>
              <w:t>Name, Restriction,</w:t>
            </w:r>
          </w:p>
          <w:p w:rsidR="0047334E" w:rsidRDefault="00981D25">
            <w:pPr>
              <w:keepNext/>
              <w:ind w:left="-108"/>
              <w:jc w:val="both"/>
              <w:rPr>
                <w:rFonts w:ascii="Arial Narrow" w:hAnsi="Arial Narrow" w:cs="Arial"/>
                <w:b/>
                <w:sz w:val="20"/>
                <w:szCs w:val="20"/>
              </w:rPr>
            </w:pPr>
            <w:r>
              <w:rPr>
                <w:rFonts w:ascii="Arial Narrow" w:hAnsi="Arial Narrow" w:cs="Arial"/>
                <w:b/>
                <w:sz w:val="20"/>
                <w:szCs w:val="20"/>
              </w:rPr>
              <w:t>Manner of administration and form</w:t>
            </w:r>
          </w:p>
        </w:tc>
        <w:tc>
          <w:tcPr>
            <w:tcW w:w="409" w:type="pct"/>
            <w:tcBorders>
              <w:bottom w:val="single" w:sz="4" w:space="0" w:color="auto"/>
            </w:tcBorders>
          </w:tcPr>
          <w:p w:rsidR="0047334E" w:rsidRDefault="00981D25" w:rsidP="008A73BF">
            <w:pPr>
              <w:keepNext/>
              <w:ind w:left="-108"/>
              <w:jc w:val="center"/>
              <w:rPr>
                <w:rFonts w:ascii="Arial Narrow" w:hAnsi="Arial Narrow" w:cs="Arial"/>
                <w:b/>
                <w:sz w:val="20"/>
                <w:szCs w:val="20"/>
              </w:rPr>
            </w:pPr>
            <w:r>
              <w:rPr>
                <w:rFonts w:ascii="Arial Narrow" w:hAnsi="Arial Narrow" w:cs="Arial"/>
                <w:b/>
                <w:sz w:val="20"/>
                <w:szCs w:val="20"/>
              </w:rPr>
              <w:t>Max.</w:t>
            </w:r>
          </w:p>
          <w:p w:rsidR="0047334E" w:rsidRDefault="00981D25" w:rsidP="008A73BF">
            <w:pPr>
              <w:keepNext/>
              <w:ind w:left="-108"/>
              <w:jc w:val="center"/>
              <w:rPr>
                <w:rFonts w:ascii="Arial Narrow" w:hAnsi="Arial Narrow" w:cs="Arial"/>
                <w:b/>
                <w:sz w:val="20"/>
                <w:szCs w:val="20"/>
              </w:rPr>
            </w:pPr>
            <w:r>
              <w:rPr>
                <w:rFonts w:ascii="Arial Narrow" w:hAnsi="Arial Narrow" w:cs="Arial"/>
                <w:b/>
                <w:sz w:val="20"/>
                <w:szCs w:val="20"/>
              </w:rPr>
              <w:t>Qty</w:t>
            </w:r>
          </w:p>
        </w:tc>
        <w:tc>
          <w:tcPr>
            <w:tcW w:w="491" w:type="pct"/>
            <w:tcBorders>
              <w:bottom w:val="single" w:sz="4" w:space="0" w:color="auto"/>
            </w:tcBorders>
          </w:tcPr>
          <w:p w:rsidR="0047334E" w:rsidRDefault="00981D25" w:rsidP="008A73BF">
            <w:pPr>
              <w:keepNext/>
              <w:ind w:left="-108"/>
              <w:jc w:val="center"/>
              <w:rPr>
                <w:rFonts w:ascii="Arial Narrow" w:hAnsi="Arial Narrow" w:cs="Arial"/>
                <w:b/>
                <w:sz w:val="20"/>
                <w:szCs w:val="20"/>
              </w:rPr>
            </w:pPr>
            <w:r>
              <w:rPr>
                <w:rFonts w:ascii="Arial Narrow" w:hAnsi="Arial Narrow" w:cs="Arial"/>
                <w:b/>
                <w:sz w:val="20"/>
                <w:szCs w:val="20"/>
              </w:rPr>
              <w:t>№.of</w:t>
            </w:r>
          </w:p>
          <w:p w:rsidR="0047334E" w:rsidRDefault="00981D25" w:rsidP="008A73BF">
            <w:pPr>
              <w:keepNext/>
              <w:ind w:left="-108"/>
              <w:jc w:val="center"/>
              <w:rPr>
                <w:rFonts w:ascii="Arial Narrow" w:hAnsi="Arial Narrow" w:cs="Arial"/>
                <w:b/>
                <w:sz w:val="20"/>
                <w:szCs w:val="20"/>
              </w:rPr>
            </w:pPr>
            <w:r>
              <w:rPr>
                <w:rFonts w:ascii="Arial Narrow" w:hAnsi="Arial Narrow" w:cs="Arial"/>
                <w:b/>
                <w:sz w:val="20"/>
                <w:szCs w:val="20"/>
              </w:rPr>
              <w:t>Rpts</w:t>
            </w:r>
          </w:p>
        </w:tc>
        <w:tc>
          <w:tcPr>
            <w:tcW w:w="2222" w:type="pct"/>
            <w:gridSpan w:val="2"/>
            <w:tcBorders>
              <w:bottom w:val="single" w:sz="4" w:space="0" w:color="auto"/>
            </w:tcBorders>
          </w:tcPr>
          <w:p w:rsidR="0047334E" w:rsidRDefault="00981D25">
            <w:pPr>
              <w:keepNext/>
              <w:jc w:val="both"/>
              <w:rPr>
                <w:rFonts w:ascii="Arial Narrow" w:hAnsi="Arial Narrow" w:cs="Arial"/>
                <w:b/>
                <w:sz w:val="20"/>
                <w:szCs w:val="20"/>
                <w:lang w:val="fr-FR"/>
              </w:rPr>
            </w:pPr>
            <w:r>
              <w:rPr>
                <w:rFonts w:ascii="Arial Narrow" w:hAnsi="Arial Narrow" w:cs="Arial"/>
                <w:b/>
                <w:sz w:val="20"/>
                <w:szCs w:val="20"/>
              </w:rPr>
              <w:t>Proprietary Name and Manufacturer</w:t>
            </w:r>
          </w:p>
        </w:tc>
      </w:tr>
      <w:tr w:rsidR="0047334E" w:rsidTr="008A73BF">
        <w:trPr>
          <w:gridAfter w:val="1"/>
          <w:wAfter w:w="46" w:type="pct"/>
          <w:cantSplit/>
          <w:trHeight w:val="577"/>
        </w:trPr>
        <w:tc>
          <w:tcPr>
            <w:tcW w:w="1832" w:type="pct"/>
            <w:gridSpan w:val="2"/>
          </w:tcPr>
          <w:p w:rsidR="0047334E" w:rsidRDefault="00981D25">
            <w:pPr>
              <w:keepNext/>
              <w:ind w:left="-108"/>
              <w:jc w:val="both"/>
              <w:rPr>
                <w:rFonts w:ascii="Arial Narrow" w:hAnsi="Arial Narrow" w:cs="Arial"/>
                <w:smallCaps/>
                <w:sz w:val="20"/>
                <w:szCs w:val="20"/>
              </w:rPr>
            </w:pPr>
            <w:r>
              <w:rPr>
                <w:rFonts w:ascii="Arial Narrow" w:hAnsi="Arial Narrow" w:cs="Arial"/>
                <w:smallCaps/>
                <w:sz w:val="20"/>
                <w:szCs w:val="20"/>
              </w:rPr>
              <w:t>amino acid formula with vitamins and minerals, low phenylalanine and supplemented with docosahexaenoic acid and arachidonic acid</w:t>
            </w:r>
          </w:p>
          <w:p w:rsidR="0047334E" w:rsidRDefault="0047334E">
            <w:pPr>
              <w:keepNext/>
              <w:ind w:left="-108"/>
              <w:jc w:val="both"/>
              <w:rPr>
                <w:rFonts w:ascii="Arial Narrow" w:hAnsi="Arial Narrow" w:cs="Arial"/>
                <w:sz w:val="20"/>
                <w:szCs w:val="20"/>
              </w:rPr>
            </w:pPr>
          </w:p>
          <w:p w:rsidR="0047334E" w:rsidRDefault="00981D25">
            <w:pPr>
              <w:keepNext/>
              <w:ind w:left="-108"/>
              <w:jc w:val="both"/>
              <w:rPr>
                <w:rFonts w:ascii="Arial Narrow" w:hAnsi="Arial Narrow" w:cs="Arial"/>
                <w:sz w:val="20"/>
                <w:szCs w:val="20"/>
              </w:rPr>
            </w:pPr>
            <w:r>
              <w:rPr>
                <w:rFonts w:ascii="Arial Narrow" w:hAnsi="Arial Narrow" w:cs="Arial"/>
                <w:sz w:val="20"/>
                <w:szCs w:val="20"/>
              </w:rPr>
              <w:t>amino acid formula with vitamins and minerals, low phenylalanine and supplemented with docosahexaenoic acid and arachidonic acid powder for oral liquid, 30 x 25 g sachets</w:t>
            </w:r>
          </w:p>
        </w:tc>
        <w:tc>
          <w:tcPr>
            <w:tcW w:w="409" w:type="pct"/>
            <w:vAlign w:val="center"/>
          </w:tcPr>
          <w:p w:rsidR="0047334E" w:rsidRDefault="00981D25" w:rsidP="008A73BF">
            <w:pPr>
              <w:keepNext/>
              <w:ind w:left="-108"/>
              <w:jc w:val="center"/>
              <w:rPr>
                <w:rFonts w:ascii="Arial Narrow" w:hAnsi="Arial Narrow" w:cs="Arial"/>
                <w:sz w:val="20"/>
                <w:szCs w:val="20"/>
              </w:rPr>
            </w:pPr>
            <w:r>
              <w:rPr>
                <w:rFonts w:ascii="Arial Narrow" w:hAnsi="Arial Narrow" w:cs="Arial"/>
                <w:sz w:val="20"/>
                <w:szCs w:val="20"/>
              </w:rPr>
              <w:t>4</w:t>
            </w:r>
          </w:p>
        </w:tc>
        <w:tc>
          <w:tcPr>
            <w:tcW w:w="491" w:type="pct"/>
            <w:vAlign w:val="center"/>
          </w:tcPr>
          <w:p w:rsidR="0047334E" w:rsidRDefault="00981D25" w:rsidP="008A73BF">
            <w:pPr>
              <w:keepNext/>
              <w:jc w:val="center"/>
              <w:rPr>
                <w:rFonts w:ascii="Arial Narrow" w:hAnsi="Arial Narrow" w:cs="Arial"/>
                <w:sz w:val="20"/>
                <w:szCs w:val="20"/>
              </w:rPr>
            </w:pPr>
            <w:r>
              <w:rPr>
                <w:rFonts w:ascii="Arial Narrow" w:hAnsi="Arial Narrow" w:cs="Arial"/>
                <w:sz w:val="20"/>
                <w:szCs w:val="20"/>
              </w:rPr>
              <w:t>5</w:t>
            </w:r>
          </w:p>
        </w:tc>
        <w:tc>
          <w:tcPr>
            <w:tcW w:w="865" w:type="pct"/>
            <w:vAlign w:val="center"/>
          </w:tcPr>
          <w:p w:rsidR="0047334E" w:rsidRDefault="00981D25">
            <w:pPr>
              <w:keepNext/>
              <w:rPr>
                <w:rFonts w:ascii="Arial Narrow" w:hAnsi="Arial Narrow" w:cs="Arial"/>
                <w:sz w:val="20"/>
                <w:szCs w:val="20"/>
              </w:rPr>
            </w:pPr>
            <w:r>
              <w:rPr>
                <w:rFonts w:ascii="Arial Narrow" w:hAnsi="Arial Narrow" w:cs="Arial"/>
                <w:sz w:val="20"/>
                <w:szCs w:val="20"/>
              </w:rPr>
              <w:t>PKU Explore10®</w:t>
            </w:r>
          </w:p>
        </w:tc>
        <w:tc>
          <w:tcPr>
            <w:tcW w:w="1358" w:type="pct"/>
            <w:vAlign w:val="center"/>
          </w:tcPr>
          <w:p w:rsidR="0047334E" w:rsidRDefault="00981D25">
            <w:pPr>
              <w:keepNext/>
              <w:rPr>
                <w:rFonts w:ascii="Arial Narrow" w:hAnsi="Arial Narrow" w:cs="Arial"/>
                <w:sz w:val="20"/>
                <w:szCs w:val="20"/>
              </w:rPr>
            </w:pPr>
            <w:r>
              <w:rPr>
                <w:rFonts w:ascii="Arial Narrow" w:hAnsi="Arial Narrow" w:cs="Arial"/>
                <w:sz w:val="20"/>
                <w:szCs w:val="20"/>
              </w:rPr>
              <w:t>Vitaflo Australia Pty Ltd</w:t>
            </w:r>
          </w:p>
        </w:tc>
      </w:tr>
      <w:tr w:rsidR="0047334E">
        <w:trPr>
          <w:cantSplit/>
          <w:trHeight w:val="360"/>
        </w:trPr>
        <w:tc>
          <w:tcPr>
            <w:tcW w:w="5000" w:type="pct"/>
            <w:gridSpan w:val="7"/>
            <w:tcBorders>
              <w:bottom w:val="single" w:sz="4" w:space="0" w:color="auto"/>
            </w:tcBorders>
          </w:tcPr>
          <w:p w:rsidR="0047334E" w:rsidRDefault="0047334E">
            <w:pPr>
              <w:jc w:val="both"/>
              <w:rPr>
                <w:rFonts w:ascii="Arial Narrow" w:hAnsi="Arial Narrow" w:cs="Arial"/>
                <w:sz w:val="20"/>
                <w:szCs w:val="20"/>
              </w:rPr>
            </w:pPr>
          </w:p>
        </w:tc>
      </w:tr>
      <w:tr w:rsidR="0047334E">
        <w:trPr>
          <w:cantSplit/>
          <w:trHeight w:val="360"/>
        </w:trPr>
        <w:tc>
          <w:tcPr>
            <w:tcW w:w="1074" w:type="pct"/>
            <w:tcBorders>
              <w:top w:val="single" w:sz="4" w:space="0" w:color="auto"/>
              <w:left w:val="single" w:sz="4" w:space="0" w:color="auto"/>
              <w:bottom w:val="single" w:sz="4" w:space="0" w:color="auto"/>
              <w:right w:val="single" w:sz="4" w:space="0" w:color="auto"/>
            </w:tcBorders>
          </w:tcPr>
          <w:p w:rsidR="0047334E" w:rsidRDefault="00981D25">
            <w:pPr>
              <w:jc w:val="both"/>
              <w:rPr>
                <w:rFonts w:ascii="Arial Narrow" w:hAnsi="Arial Narrow" w:cs="Arial"/>
                <w:b/>
                <w:sz w:val="20"/>
                <w:szCs w:val="20"/>
              </w:rPr>
            </w:pPr>
            <w:r>
              <w:rPr>
                <w:rFonts w:ascii="Arial Narrow" w:hAnsi="Arial Narrow" w:cs="Arial"/>
                <w:b/>
                <w:sz w:val="20"/>
                <w:szCs w:val="20"/>
              </w:rPr>
              <w:t xml:space="preserve">Category / </w:t>
            </w:r>
          </w:p>
          <w:p w:rsidR="0047334E" w:rsidRDefault="00981D25">
            <w:pPr>
              <w:jc w:val="both"/>
              <w:rPr>
                <w:rFonts w:ascii="Arial Narrow" w:hAnsi="Arial Narrow" w:cs="Arial"/>
                <w:b/>
                <w:sz w:val="20"/>
                <w:szCs w:val="20"/>
              </w:rPr>
            </w:pPr>
            <w:r>
              <w:rPr>
                <w:rFonts w:ascii="Arial Narrow" w:hAnsi="Arial Narrow" w:cs="Arial"/>
                <w:b/>
                <w:sz w:val="20"/>
                <w:szCs w:val="20"/>
              </w:rPr>
              <w:t>Program</w:t>
            </w:r>
          </w:p>
        </w:tc>
        <w:tc>
          <w:tcPr>
            <w:tcW w:w="3926" w:type="pct"/>
            <w:gridSpan w:val="6"/>
            <w:tcBorders>
              <w:top w:val="single" w:sz="4" w:space="0" w:color="auto"/>
              <w:left w:val="single" w:sz="4" w:space="0" w:color="auto"/>
              <w:bottom w:val="single" w:sz="4" w:space="0" w:color="auto"/>
              <w:right w:val="single" w:sz="4" w:space="0" w:color="auto"/>
            </w:tcBorders>
          </w:tcPr>
          <w:p w:rsidR="0047334E" w:rsidRDefault="00981D25">
            <w:pPr>
              <w:rPr>
                <w:rFonts w:ascii="Arial Narrow" w:hAnsi="Arial Narrow" w:cs="Arial"/>
                <w:sz w:val="20"/>
                <w:szCs w:val="20"/>
              </w:rPr>
            </w:pPr>
            <w:r>
              <w:rPr>
                <w:rFonts w:ascii="Arial Narrow" w:hAnsi="Arial Narrow" w:cs="Arial"/>
                <w:sz w:val="20"/>
                <w:szCs w:val="20"/>
              </w:rPr>
              <w:t>GENERAL – General Schedule (Code GE)</w:t>
            </w:r>
          </w:p>
          <w:p w:rsidR="0047334E" w:rsidRDefault="0047334E">
            <w:pPr>
              <w:rPr>
                <w:rFonts w:ascii="Arial Narrow" w:hAnsi="Arial Narrow" w:cs="Arial"/>
                <w:sz w:val="20"/>
                <w:szCs w:val="20"/>
              </w:rPr>
            </w:pPr>
          </w:p>
        </w:tc>
      </w:tr>
      <w:tr w:rsidR="0047334E">
        <w:trPr>
          <w:cantSplit/>
          <w:trHeight w:val="360"/>
        </w:trPr>
        <w:tc>
          <w:tcPr>
            <w:tcW w:w="1074" w:type="pct"/>
            <w:tcBorders>
              <w:top w:val="single" w:sz="4" w:space="0" w:color="auto"/>
              <w:left w:val="single" w:sz="4" w:space="0" w:color="auto"/>
              <w:bottom w:val="single" w:sz="4" w:space="0" w:color="auto"/>
              <w:right w:val="single" w:sz="4" w:space="0" w:color="auto"/>
            </w:tcBorders>
          </w:tcPr>
          <w:p w:rsidR="0047334E" w:rsidRDefault="00981D25">
            <w:pPr>
              <w:jc w:val="both"/>
              <w:rPr>
                <w:rFonts w:ascii="Arial Narrow" w:hAnsi="Arial Narrow" w:cs="Arial"/>
                <w:b/>
                <w:sz w:val="20"/>
                <w:szCs w:val="20"/>
              </w:rPr>
            </w:pPr>
            <w:r>
              <w:rPr>
                <w:rFonts w:ascii="Arial Narrow" w:hAnsi="Arial Narrow" w:cs="Arial"/>
                <w:b/>
                <w:sz w:val="20"/>
                <w:szCs w:val="20"/>
              </w:rPr>
              <w:t>Prescriber type:</w:t>
            </w:r>
          </w:p>
        </w:tc>
        <w:tc>
          <w:tcPr>
            <w:tcW w:w="3926" w:type="pct"/>
            <w:gridSpan w:val="6"/>
            <w:tcBorders>
              <w:top w:val="single" w:sz="4" w:space="0" w:color="auto"/>
              <w:left w:val="single" w:sz="4" w:space="0" w:color="auto"/>
              <w:bottom w:val="single" w:sz="4" w:space="0" w:color="auto"/>
              <w:right w:val="single" w:sz="4" w:space="0" w:color="auto"/>
            </w:tcBorders>
          </w:tcPr>
          <w:p w:rsidR="0047334E" w:rsidRDefault="00981D25">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 xml:space="preserve">Nurse practitioners  </w:t>
            </w: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Optometrists</w:t>
            </w:r>
          </w:p>
          <w:p w:rsidR="0047334E" w:rsidRDefault="00981D25">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0"/>
                  </w:checkBox>
                </w:ffData>
              </w:fldChar>
            </w:r>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Midwives</w:t>
            </w:r>
          </w:p>
        </w:tc>
      </w:tr>
      <w:tr w:rsidR="0047334E">
        <w:trPr>
          <w:cantSplit/>
          <w:trHeight w:val="360"/>
        </w:trPr>
        <w:tc>
          <w:tcPr>
            <w:tcW w:w="1074" w:type="pct"/>
            <w:tcBorders>
              <w:top w:val="single" w:sz="4" w:space="0" w:color="auto"/>
              <w:left w:val="single" w:sz="4" w:space="0" w:color="auto"/>
              <w:bottom w:val="single" w:sz="4" w:space="0" w:color="auto"/>
              <w:right w:val="single" w:sz="4" w:space="0" w:color="auto"/>
            </w:tcBorders>
          </w:tcPr>
          <w:p w:rsidR="0047334E" w:rsidRDefault="00981D25">
            <w:pPr>
              <w:jc w:val="both"/>
              <w:rPr>
                <w:rFonts w:ascii="Arial Narrow" w:hAnsi="Arial Narrow" w:cs="Arial"/>
                <w:b/>
                <w:sz w:val="20"/>
                <w:szCs w:val="20"/>
              </w:rPr>
            </w:pPr>
            <w:r>
              <w:rPr>
                <w:rFonts w:ascii="Arial Narrow" w:hAnsi="Arial Narrow" w:cs="Arial"/>
                <w:b/>
                <w:sz w:val="20"/>
                <w:szCs w:val="20"/>
              </w:rPr>
              <w:t>Condition:</w:t>
            </w:r>
          </w:p>
        </w:tc>
        <w:tc>
          <w:tcPr>
            <w:tcW w:w="3926" w:type="pct"/>
            <w:gridSpan w:val="6"/>
            <w:tcBorders>
              <w:top w:val="single" w:sz="4" w:space="0" w:color="auto"/>
              <w:left w:val="single" w:sz="4" w:space="0" w:color="auto"/>
              <w:bottom w:val="single" w:sz="4" w:space="0" w:color="auto"/>
              <w:right w:val="single" w:sz="4" w:space="0" w:color="auto"/>
            </w:tcBorders>
          </w:tcPr>
          <w:p w:rsidR="0047334E" w:rsidRDefault="00981D25">
            <w:pPr>
              <w:rPr>
                <w:rFonts w:ascii="Arial Narrow" w:hAnsi="Arial Narrow" w:cs="Arial"/>
                <w:sz w:val="20"/>
                <w:szCs w:val="20"/>
              </w:rPr>
            </w:pPr>
            <w:r>
              <w:rPr>
                <w:rFonts w:ascii="Arial Narrow" w:hAnsi="Arial Narrow" w:cs="Arial"/>
                <w:sz w:val="20"/>
                <w:szCs w:val="20"/>
              </w:rPr>
              <w:t>Phenylketonuria</w:t>
            </w:r>
          </w:p>
        </w:tc>
      </w:tr>
      <w:tr w:rsidR="0047334E">
        <w:trPr>
          <w:cantSplit/>
          <w:trHeight w:val="360"/>
        </w:trPr>
        <w:tc>
          <w:tcPr>
            <w:tcW w:w="1074" w:type="pct"/>
            <w:tcBorders>
              <w:top w:val="single" w:sz="4" w:space="0" w:color="auto"/>
              <w:left w:val="single" w:sz="4" w:space="0" w:color="auto"/>
              <w:bottom w:val="single" w:sz="4" w:space="0" w:color="auto"/>
              <w:right w:val="single" w:sz="4" w:space="0" w:color="auto"/>
            </w:tcBorders>
          </w:tcPr>
          <w:p w:rsidR="0047334E" w:rsidRDefault="00981D25">
            <w:pPr>
              <w:jc w:val="both"/>
              <w:rPr>
                <w:rFonts w:ascii="Arial Narrow" w:hAnsi="Arial Narrow" w:cs="Arial"/>
                <w:b/>
                <w:sz w:val="20"/>
                <w:szCs w:val="20"/>
              </w:rPr>
            </w:pPr>
            <w:r>
              <w:rPr>
                <w:rFonts w:ascii="Arial Narrow" w:hAnsi="Arial Narrow" w:cs="Arial"/>
                <w:b/>
                <w:sz w:val="20"/>
                <w:szCs w:val="20"/>
              </w:rPr>
              <w:t>PBS Indication:</w:t>
            </w:r>
          </w:p>
        </w:tc>
        <w:tc>
          <w:tcPr>
            <w:tcW w:w="3926" w:type="pct"/>
            <w:gridSpan w:val="6"/>
            <w:tcBorders>
              <w:top w:val="single" w:sz="4" w:space="0" w:color="auto"/>
              <w:left w:val="single" w:sz="4" w:space="0" w:color="auto"/>
              <w:bottom w:val="single" w:sz="4" w:space="0" w:color="auto"/>
              <w:right w:val="single" w:sz="4" w:space="0" w:color="auto"/>
            </w:tcBorders>
          </w:tcPr>
          <w:p w:rsidR="0047334E" w:rsidRDefault="00981D25">
            <w:pPr>
              <w:rPr>
                <w:rFonts w:ascii="Arial Narrow" w:hAnsi="Arial Narrow" w:cs="Arial"/>
                <w:sz w:val="20"/>
                <w:szCs w:val="20"/>
              </w:rPr>
            </w:pPr>
            <w:r>
              <w:rPr>
                <w:rFonts w:ascii="Arial Narrow" w:hAnsi="Arial Narrow" w:cs="Arial"/>
                <w:sz w:val="20"/>
                <w:szCs w:val="20"/>
              </w:rPr>
              <w:t>Phenylketonuria</w:t>
            </w:r>
          </w:p>
        </w:tc>
      </w:tr>
      <w:tr w:rsidR="0047334E">
        <w:trPr>
          <w:cantSplit/>
          <w:trHeight w:val="593"/>
        </w:trPr>
        <w:tc>
          <w:tcPr>
            <w:tcW w:w="1074" w:type="pct"/>
            <w:tcBorders>
              <w:top w:val="single" w:sz="4" w:space="0" w:color="auto"/>
              <w:left w:val="single" w:sz="4" w:space="0" w:color="auto"/>
              <w:bottom w:val="single" w:sz="4" w:space="0" w:color="auto"/>
              <w:right w:val="single" w:sz="4" w:space="0" w:color="auto"/>
            </w:tcBorders>
          </w:tcPr>
          <w:p w:rsidR="0047334E" w:rsidRDefault="00981D25">
            <w:pPr>
              <w:jc w:val="both"/>
              <w:rPr>
                <w:rFonts w:ascii="Arial Narrow" w:hAnsi="Arial Narrow" w:cs="Arial"/>
                <w:b/>
                <w:sz w:val="20"/>
                <w:szCs w:val="20"/>
              </w:rPr>
            </w:pPr>
            <w:r>
              <w:rPr>
                <w:rFonts w:ascii="Arial Narrow" w:hAnsi="Arial Narrow" w:cs="Arial"/>
                <w:b/>
                <w:sz w:val="20"/>
                <w:szCs w:val="20"/>
              </w:rPr>
              <w:t>Restriction Level / Method:</w:t>
            </w:r>
          </w:p>
        </w:tc>
        <w:tc>
          <w:tcPr>
            <w:tcW w:w="3926" w:type="pct"/>
            <w:gridSpan w:val="6"/>
            <w:tcBorders>
              <w:top w:val="single" w:sz="4" w:space="0" w:color="auto"/>
              <w:left w:val="single" w:sz="4" w:space="0" w:color="auto"/>
              <w:bottom w:val="single" w:sz="4" w:space="0" w:color="auto"/>
              <w:right w:val="single" w:sz="4" w:space="0" w:color="auto"/>
            </w:tcBorders>
          </w:tcPr>
          <w:p w:rsidR="0047334E" w:rsidRDefault="00981D25">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r>
              <w:rPr>
                <w:rFonts w:ascii="Arial Narrow" w:hAnsi="Arial Narrow" w:cs="Arial"/>
                <w:sz w:val="20"/>
                <w:szCs w:val="20"/>
              </w:rPr>
              <w:instrText xml:space="preserve"> FORMCHECKBOX </w:instrText>
            </w:r>
            <w:r w:rsidR="00FE573A">
              <w:rPr>
                <w:rFonts w:ascii="Arial Narrow" w:hAnsi="Arial Narrow" w:cs="Arial"/>
                <w:sz w:val="20"/>
                <w:szCs w:val="20"/>
              </w:rPr>
            </w:r>
            <w:r w:rsidR="00FE573A">
              <w:rPr>
                <w:rFonts w:ascii="Arial Narrow" w:hAnsi="Arial Narrow" w:cs="Arial"/>
                <w:sz w:val="20"/>
                <w:szCs w:val="20"/>
              </w:rPr>
              <w:fldChar w:fldCharType="separate"/>
            </w:r>
            <w:r>
              <w:rPr>
                <w:rFonts w:ascii="Arial Narrow" w:hAnsi="Arial Narrow" w:cs="Arial"/>
                <w:sz w:val="20"/>
                <w:szCs w:val="20"/>
              </w:rPr>
              <w:fldChar w:fldCharType="end"/>
            </w:r>
            <w:r>
              <w:rPr>
                <w:rFonts w:ascii="Arial Narrow" w:hAnsi="Arial Narrow" w:cs="Arial"/>
                <w:sz w:val="20"/>
                <w:szCs w:val="20"/>
              </w:rPr>
              <w:t>Restricted benefit</w:t>
            </w:r>
          </w:p>
        </w:tc>
      </w:tr>
    </w:tbl>
    <w:p w:rsidR="0047334E" w:rsidRDefault="00981D25">
      <w:pPr>
        <w:widowControl w:val="0"/>
        <w:numPr>
          <w:ilvl w:val="0"/>
          <w:numId w:val="2"/>
        </w:numPr>
        <w:spacing w:before="240" w:after="120"/>
        <w:jc w:val="both"/>
        <w:outlineLvl w:val="0"/>
        <w:rPr>
          <w:rFonts w:asciiTheme="minorHAnsi" w:hAnsiTheme="minorHAnsi" w:cs="Arial"/>
          <w:b/>
          <w:bCs/>
          <w:snapToGrid w:val="0"/>
          <w:sz w:val="32"/>
          <w:lang w:val="en-GB"/>
        </w:rPr>
      </w:pPr>
      <w:r>
        <w:rPr>
          <w:rFonts w:asciiTheme="minorHAnsi" w:hAnsiTheme="minorHAnsi" w:cs="Arial"/>
          <w:b/>
          <w:bCs/>
          <w:snapToGrid w:val="0"/>
          <w:sz w:val="32"/>
          <w:lang w:val="en-GB"/>
        </w:rPr>
        <w:t>Context for Decision</w:t>
      </w:r>
    </w:p>
    <w:p w:rsidR="0047334E" w:rsidRDefault="00981D25">
      <w:pPr>
        <w:spacing w:line="276" w:lineRule="auto"/>
        <w:jc w:val="both"/>
        <w:rPr>
          <w:rFonts w:asciiTheme="minorHAnsi" w:eastAsiaTheme="minorHAnsi" w:hAnsiTheme="minorHAnsi" w:cs="Arial"/>
          <w:szCs w:val="22"/>
          <w:lang w:eastAsia="en-US"/>
        </w:rPr>
      </w:pPr>
      <w:r>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47334E" w:rsidRDefault="0047334E">
      <w:pPr>
        <w:spacing w:line="276" w:lineRule="auto"/>
        <w:jc w:val="both"/>
        <w:rPr>
          <w:rFonts w:asciiTheme="minorHAnsi" w:eastAsiaTheme="minorHAnsi" w:hAnsiTheme="minorHAnsi" w:cs="Arial"/>
          <w:szCs w:val="22"/>
          <w:lang w:eastAsia="en-US"/>
        </w:rPr>
      </w:pPr>
    </w:p>
    <w:p w:rsidR="0047334E" w:rsidRDefault="00981D25">
      <w:pPr>
        <w:widowControl w:val="0"/>
        <w:numPr>
          <w:ilvl w:val="0"/>
          <w:numId w:val="2"/>
        </w:numPr>
        <w:spacing w:after="120"/>
        <w:jc w:val="both"/>
        <w:outlineLvl w:val="0"/>
        <w:rPr>
          <w:rFonts w:asciiTheme="minorHAnsi" w:hAnsiTheme="minorHAnsi" w:cs="Arial"/>
          <w:b/>
          <w:bCs/>
          <w:snapToGrid w:val="0"/>
          <w:sz w:val="32"/>
          <w:lang w:val="en-GB"/>
        </w:rPr>
      </w:pPr>
      <w:r>
        <w:rPr>
          <w:rFonts w:asciiTheme="minorHAnsi" w:hAnsiTheme="minorHAnsi" w:cs="Arial"/>
          <w:b/>
          <w:bCs/>
          <w:snapToGrid w:val="0"/>
          <w:sz w:val="32"/>
          <w:lang w:val="en-GB"/>
        </w:rPr>
        <w:t>Sponsor’s Comment</w:t>
      </w:r>
    </w:p>
    <w:p w:rsidR="009263D1" w:rsidRDefault="009263D1" w:rsidP="009263D1">
      <w:pPr>
        <w:spacing w:after="120" w:line="276" w:lineRule="auto"/>
        <w:jc w:val="both"/>
        <w:rPr>
          <w:rFonts w:asciiTheme="minorHAnsi" w:eastAsiaTheme="minorHAnsi" w:hAnsiTheme="minorHAnsi" w:cs="Arial"/>
          <w:bCs/>
          <w:szCs w:val="22"/>
          <w:lang w:eastAsia="en-US"/>
        </w:rPr>
      </w:pPr>
      <w:r>
        <w:rPr>
          <w:rFonts w:asciiTheme="minorHAnsi" w:eastAsiaTheme="minorHAnsi" w:hAnsiTheme="minorHAnsi" w:cs="Arial"/>
          <w:bCs/>
          <w:szCs w:val="22"/>
          <w:lang w:val="en-GB" w:eastAsia="en-US"/>
        </w:rPr>
        <w:t xml:space="preserve">Vitaflo Australia notes that PBAC has accepted the amendments to the PSD. </w:t>
      </w:r>
    </w:p>
    <w:p w:rsidR="0047334E" w:rsidRDefault="0047334E">
      <w:pPr>
        <w:spacing w:after="120" w:line="276" w:lineRule="auto"/>
        <w:jc w:val="both"/>
        <w:rPr>
          <w:rFonts w:asciiTheme="minorHAnsi" w:hAnsiTheme="minorHAnsi"/>
        </w:rPr>
      </w:pPr>
    </w:p>
    <w:sectPr w:rsidR="0047334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D4C" w:rsidRDefault="00F36D4C">
      <w:r>
        <w:separator/>
      </w:r>
    </w:p>
    <w:p w:rsidR="00F36D4C" w:rsidRDefault="00F36D4C"/>
    <w:p w:rsidR="00F36D4C" w:rsidRDefault="00F36D4C"/>
  </w:endnote>
  <w:endnote w:type="continuationSeparator" w:id="0">
    <w:p w:rsidR="00F36D4C" w:rsidRDefault="00F36D4C">
      <w:r>
        <w:continuationSeparator/>
      </w:r>
    </w:p>
    <w:p w:rsidR="00F36D4C" w:rsidRDefault="00F36D4C"/>
    <w:p w:rsidR="00F36D4C" w:rsidRDefault="00F36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A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7334E">
      <w:trPr>
        <w:trHeight w:val="151"/>
      </w:trPr>
      <w:tc>
        <w:tcPr>
          <w:tcW w:w="2250" w:type="pct"/>
          <w:tcBorders>
            <w:top w:val="nil"/>
            <w:left w:val="nil"/>
            <w:bottom w:val="single" w:sz="4" w:space="0" w:color="4F81BD"/>
            <w:right w:val="nil"/>
          </w:tcBorders>
        </w:tcPr>
        <w:p w:rsidR="0047334E" w:rsidRDefault="0047334E">
          <w:pPr>
            <w:pStyle w:val="Header"/>
            <w:spacing w:line="276" w:lineRule="auto"/>
            <w:rPr>
              <w:rFonts w:ascii="Calibri" w:eastAsia="MS Gothic" w:hAnsi="Calibri"/>
              <w:b/>
              <w:bCs/>
              <w:color w:val="4F81BD"/>
            </w:rPr>
          </w:pPr>
        </w:p>
      </w:tc>
      <w:tc>
        <w:tcPr>
          <w:tcW w:w="500" w:type="pct"/>
          <w:vMerge w:val="restart"/>
          <w:noWrap/>
          <w:vAlign w:val="center"/>
          <w:hideMark/>
        </w:tcPr>
        <w:p w:rsidR="0047334E" w:rsidRDefault="00981D25">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47334E" w:rsidRDefault="0047334E">
          <w:pPr>
            <w:pStyle w:val="Header"/>
            <w:spacing w:line="276" w:lineRule="auto"/>
            <w:rPr>
              <w:rFonts w:ascii="Calibri" w:eastAsia="MS Gothic" w:hAnsi="Calibri"/>
              <w:b/>
              <w:bCs/>
              <w:color w:val="4F81BD"/>
            </w:rPr>
          </w:pPr>
        </w:p>
      </w:tc>
    </w:tr>
    <w:tr w:rsidR="0047334E">
      <w:trPr>
        <w:trHeight w:val="150"/>
      </w:trPr>
      <w:tc>
        <w:tcPr>
          <w:tcW w:w="2250" w:type="pct"/>
          <w:tcBorders>
            <w:top w:val="single" w:sz="4" w:space="0" w:color="4F81BD"/>
            <w:left w:val="nil"/>
            <w:bottom w:val="nil"/>
            <w:right w:val="nil"/>
          </w:tcBorders>
        </w:tcPr>
        <w:p w:rsidR="0047334E" w:rsidRDefault="0047334E">
          <w:pPr>
            <w:pStyle w:val="Header"/>
            <w:spacing w:line="276" w:lineRule="auto"/>
            <w:rPr>
              <w:rFonts w:ascii="Calibri" w:eastAsia="MS Gothic" w:hAnsi="Calibri"/>
              <w:b/>
              <w:bCs/>
              <w:color w:val="4F81BD"/>
            </w:rPr>
          </w:pPr>
        </w:p>
      </w:tc>
      <w:tc>
        <w:tcPr>
          <w:tcW w:w="0" w:type="auto"/>
          <w:vMerge/>
          <w:vAlign w:val="center"/>
          <w:hideMark/>
        </w:tcPr>
        <w:p w:rsidR="0047334E" w:rsidRDefault="0047334E">
          <w:pPr>
            <w:rPr>
              <w:rFonts w:ascii="Calibri" w:hAnsi="Calibri"/>
              <w:color w:val="365F91"/>
              <w:sz w:val="22"/>
              <w:szCs w:val="22"/>
            </w:rPr>
          </w:pPr>
        </w:p>
      </w:tc>
      <w:tc>
        <w:tcPr>
          <w:tcW w:w="2250" w:type="pct"/>
          <w:tcBorders>
            <w:top w:val="single" w:sz="4" w:space="0" w:color="4F81BD"/>
            <w:left w:val="nil"/>
            <w:bottom w:val="nil"/>
            <w:right w:val="nil"/>
          </w:tcBorders>
        </w:tcPr>
        <w:p w:rsidR="0047334E" w:rsidRDefault="0047334E">
          <w:pPr>
            <w:pStyle w:val="Header"/>
            <w:spacing w:line="276" w:lineRule="auto"/>
            <w:rPr>
              <w:rFonts w:ascii="Calibri" w:eastAsia="MS Gothic" w:hAnsi="Calibri"/>
              <w:b/>
              <w:bCs/>
              <w:color w:val="4F81BD"/>
            </w:rPr>
          </w:pPr>
        </w:p>
      </w:tc>
    </w:tr>
  </w:tbl>
  <w:p w:rsidR="0047334E" w:rsidRDefault="00981D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34E" w:rsidRDefault="0047334E">
    <w:pPr>
      <w:pStyle w:val="Footer"/>
    </w:pPr>
  </w:p>
  <w:p w:rsidR="0047334E" w:rsidRDefault="0047334E"/>
  <w:p w:rsidR="0047334E" w:rsidRDefault="0047334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4E" w:rsidRDefault="0047334E">
    <w:pPr>
      <w:pStyle w:val="Footer"/>
      <w:jc w:val="center"/>
      <w:rPr>
        <w:rFonts w:asciiTheme="minorHAnsi" w:hAnsiTheme="minorHAnsi" w:cs="Arial"/>
        <w:b/>
        <w:szCs w:val="20"/>
      </w:rPr>
    </w:pPr>
  </w:p>
  <w:p w:rsidR="0047334E" w:rsidRDefault="00981D25">
    <w:pPr>
      <w:pStyle w:val="Footer"/>
      <w:jc w:val="center"/>
    </w:pPr>
    <w:r>
      <w:rPr>
        <w:rFonts w:ascii="Calibri" w:hAnsi="Calibri" w:cs="Arial"/>
        <w:b/>
      </w:rPr>
      <w:fldChar w:fldCharType="begin"/>
    </w:r>
    <w:r>
      <w:rPr>
        <w:rFonts w:ascii="Calibri" w:hAnsi="Calibri" w:cs="Arial"/>
        <w:b/>
      </w:rPr>
      <w:instrText xml:space="preserve"> PAGE   \* MERGEFORMAT </w:instrText>
    </w:r>
    <w:r>
      <w:rPr>
        <w:rFonts w:ascii="Calibri" w:hAnsi="Calibri" w:cs="Arial"/>
        <w:b/>
      </w:rPr>
      <w:fldChar w:fldCharType="separate"/>
    </w:r>
    <w:r w:rsidR="00FE573A">
      <w:rPr>
        <w:rFonts w:ascii="Calibri" w:hAnsi="Calibri" w:cs="Arial"/>
        <w:b/>
        <w:noProof/>
      </w:rPr>
      <w:t>2</w:t>
    </w:r>
    <w:r>
      <w:rPr>
        <w:rFonts w:ascii="Calibri" w:hAnsi="Calibri"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47334E">
      <w:trPr>
        <w:trHeight w:val="151"/>
      </w:trPr>
      <w:tc>
        <w:tcPr>
          <w:tcW w:w="2250" w:type="pct"/>
          <w:tcBorders>
            <w:top w:val="nil"/>
            <w:left w:val="nil"/>
            <w:bottom w:val="single" w:sz="4" w:space="0" w:color="4F81BD"/>
            <w:right w:val="nil"/>
          </w:tcBorders>
        </w:tcPr>
        <w:p w:rsidR="0047334E" w:rsidRDefault="0047334E">
          <w:pPr>
            <w:pStyle w:val="Header"/>
            <w:spacing w:line="276" w:lineRule="auto"/>
            <w:rPr>
              <w:rFonts w:ascii="Calibri" w:eastAsia="MS Gothic" w:hAnsi="Calibri"/>
              <w:b/>
              <w:bCs/>
              <w:color w:val="4F81BD"/>
            </w:rPr>
          </w:pPr>
        </w:p>
      </w:tc>
      <w:tc>
        <w:tcPr>
          <w:tcW w:w="500" w:type="pct"/>
          <w:vMerge w:val="restart"/>
          <w:noWrap/>
          <w:vAlign w:val="center"/>
          <w:hideMark/>
        </w:tcPr>
        <w:p w:rsidR="0047334E" w:rsidRDefault="00981D25">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47334E" w:rsidRDefault="0047334E">
          <w:pPr>
            <w:pStyle w:val="Header"/>
            <w:spacing w:line="276" w:lineRule="auto"/>
            <w:rPr>
              <w:rFonts w:ascii="Calibri" w:eastAsia="MS Gothic" w:hAnsi="Calibri"/>
              <w:b/>
              <w:bCs/>
              <w:color w:val="4F81BD"/>
            </w:rPr>
          </w:pPr>
        </w:p>
      </w:tc>
    </w:tr>
    <w:tr w:rsidR="0047334E">
      <w:trPr>
        <w:trHeight w:val="150"/>
      </w:trPr>
      <w:tc>
        <w:tcPr>
          <w:tcW w:w="2250" w:type="pct"/>
          <w:tcBorders>
            <w:top w:val="single" w:sz="4" w:space="0" w:color="4F81BD"/>
            <w:left w:val="nil"/>
            <w:bottom w:val="nil"/>
            <w:right w:val="nil"/>
          </w:tcBorders>
        </w:tcPr>
        <w:p w:rsidR="0047334E" w:rsidRDefault="0047334E">
          <w:pPr>
            <w:pStyle w:val="Header"/>
            <w:spacing w:line="276" w:lineRule="auto"/>
            <w:rPr>
              <w:rFonts w:ascii="Calibri" w:eastAsia="MS Gothic" w:hAnsi="Calibri"/>
              <w:b/>
              <w:bCs/>
              <w:color w:val="4F81BD"/>
            </w:rPr>
          </w:pPr>
        </w:p>
      </w:tc>
      <w:tc>
        <w:tcPr>
          <w:tcW w:w="0" w:type="auto"/>
          <w:vMerge/>
          <w:vAlign w:val="center"/>
          <w:hideMark/>
        </w:tcPr>
        <w:p w:rsidR="0047334E" w:rsidRDefault="0047334E">
          <w:pPr>
            <w:rPr>
              <w:rFonts w:ascii="Calibri" w:hAnsi="Calibri"/>
              <w:color w:val="365F91"/>
              <w:sz w:val="22"/>
              <w:szCs w:val="22"/>
            </w:rPr>
          </w:pPr>
        </w:p>
      </w:tc>
      <w:tc>
        <w:tcPr>
          <w:tcW w:w="2250" w:type="pct"/>
          <w:tcBorders>
            <w:top w:val="single" w:sz="4" w:space="0" w:color="4F81BD"/>
            <w:left w:val="nil"/>
            <w:bottom w:val="nil"/>
            <w:right w:val="nil"/>
          </w:tcBorders>
        </w:tcPr>
        <w:p w:rsidR="0047334E" w:rsidRDefault="0047334E">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47334E">
      <w:trPr>
        <w:trHeight w:val="151"/>
      </w:trPr>
      <w:tc>
        <w:tcPr>
          <w:tcW w:w="2250" w:type="pct"/>
          <w:tcBorders>
            <w:top w:val="nil"/>
            <w:left w:val="nil"/>
            <w:bottom w:val="single" w:sz="4" w:space="0" w:color="4F81BD"/>
            <w:right w:val="nil"/>
          </w:tcBorders>
        </w:tcPr>
        <w:p w:rsidR="0047334E" w:rsidRDefault="0047334E">
          <w:pPr>
            <w:pStyle w:val="Header"/>
            <w:spacing w:line="276" w:lineRule="auto"/>
            <w:rPr>
              <w:rFonts w:ascii="Calibri" w:eastAsia="MS Gothic" w:hAnsi="Calibri"/>
              <w:b/>
              <w:bCs/>
              <w:color w:val="4F81BD"/>
            </w:rPr>
          </w:pPr>
        </w:p>
      </w:tc>
      <w:tc>
        <w:tcPr>
          <w:tcW w:w="500" w:type="pct"/>
          <w:vMerge w:val="restart"/>
          <w:noWrap/>
          <w:vAlign w:val="center"/>
          <w:hideMark/>
        </w:tcPr>
        <w:p w:rsidR="0047334E" w:rsidRDefault="00981D25">
          <w:pPr>
            <w:pStyle w:val="MediumGrid21"/>
            <w:spacing w:line="276" w:lineRule="auto"/>
            <w:rPr>
              <w:rFonts w:ascii="Calibri" w:hAnsi="Calibri"/>
              <w:color w:val="365F91"/>
            </w:rPr>
          </w:pPr>
          <w:r>
            <w:rPr>
              <w:rFonts w:ascii="Cambria" w:hAnsi="Cambria"/>
              <w:color w:val="365F91"/>
            </w:rPr>
            <w:t>[Type text]</w:t>
          </w:r>
        </w:p>
      </w:tc>
      <w:tc>
        <w:tcPr>
          <w:tcW w:w="2250" w:type="pct"/>
          <w:tcBorders>
            <w:top w:val="nil"/>
            <w:left w:val="nil"/>
            <w:bottom w:val="single" w:sz="4" w:space="0" w:color="4F81BD"/>
            <w:right w:val="nil"/>
          </w:tcBorders>
        </w:tcPr>
        <w:p w:rsidR="0047334E" w:rsidRDefault="0047334E">
          <w:pPr>
            <w:pStyle w:val="Header"/>
            <w:spacing w:line="276" w:lineRule="auto"/>
            <w:rPr>
              <w:rFonts w:ascii="Calibri" w:eastAsia="MS Gothic" w:hAnsi="Calibri"/>
              <w:b/>
              <w:bCs/>
              <w:color w:val="4F81BD"/>
            </w:rPr>
          </w:pPr>
        </w:p>
      </w:tc>
    </w:tr>
    <w:tr w:rsidR="0047334E">
      <w:trPr>
        <w:trHeight w:val="150"/>
      </w:trPr>
      <w:tc>
        <w:tcPr>
          <w:tcW w:w="2250" w:type="pct"/>
          <w:tcBorders>
            <w:top w:val="single" w:sz="4" w:space="0" w:color="4F81BD"/>
            <w:left w:val="nil"/>
            <w:bottom w:val="nil"/>
            <w:right w:val="nil"/>
          </w:tcBorders>
        </w:tcPr>
        <w:p w:rsidR="0047334E" w:rsidRDefault="0047334E">
          <w:pPr>
            <w:pStyle w:val="Header"/>
            <w:spacing w:line="276" w:lineRule="auto"/>
            <w:rPr>
              <w:rFonts w:ascii="Calibri" w:eastAsia="MS Gothic" w:hAnsi="Calibri"/>
              <w:b/>
              <w:bCs/>
              <w:color w:val="4F81BD"/>
            </w:rPr>
          </w:pPr>
        </w:p>
      </w:tc>
      <w:tc>
        <w:tcPr>
          <w:tcW w:w="0" w:type="auto"/>
          <w:vMerge/>
          <w:vAlign w:val="center"/>
          <w:hideMark/>
        </w:tcPr>
        <w:p w:rsidR="0047334E" w:rsidRDefault="0047334E">
          <w:pPr>
            <w:rPr>
              <w:rFonts w:ascii="Calibri" w:hAnsi="Calibri"/>
              <w:color w:val="365F91"/>
              <w:sz w:val="22"/>
              <w:szCs w:val="22"/>
            </w:rPr>
          </w:pPr>
        </w:p>
      </w:tc>
      <w:tc>
        <w:tcPr>
          <w:tcW w:w="2250" w:type="pct"/>
          <w:tcBorders>
            <w:top w:val="single" w:sz="4" w:space="0" w:color="4F81BD"/>
            <w:left w:val="nil"/>
            <w:bottom w:val="nil"/>
            <w:right w:val="nil"/>
          </w:tcBorders>
        </w:tcPr>
        <w:p w:rsidR="0047334E" w:rsidRDefault="0047334E">
          <w:pPr>
            <w:pStyle w:val="Header"/>
            <w:spacing w:line="276" w:lineRule="auto"/>
            <w:rPr>
              <w:rFonts w:ascii="Calibri" w:eastAsia="MS Gothic" w:hAnsi="Calibri"/>
              <w:b/>
              <w:bCs/>
              <w:color w:val="4F81BD"/>
            </w:rPr>
          </w:pPr>
        </w:p>
      </w:tc>
    </w:tr>
  </w:tbl>
  <w:p w:rsidR="0047334E" w:rsidRDefault="00981D25">
    <w:pPr>
      <w:pStyle w:val="Footer"/>
      <w:jc w:val="center"/>
      <w:rPr>
        <w:b/>
        <w:i/>
        <w:sz w:val="20"/>
        <w:szCs w:val="20"/>
      </w:rPr>
    </w:pPr>
    <w:r>
      <w:rPr>
        <w:b/>
        <w:i/>
        <w:sz w:val="20"/>
        <w:szCs w:val="20"/>
      </w:rPr>
      <w:t>Draft Minutes November 2011 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b/>
        <w:i/>
        <w:sz w:val="20"/>
        <w:szCs w:val="20"/>
      </w:rPr>
      <w:t>BAC Meeting</w:t>
    </w:r>
  </w:p>
  <w:p w:rsidR="0047334E" w:rsidRDefault="00981D25">
    <w:pPr>
      <w:pStyle w:val="Footer"/>
      <w:jc w:val="center"/>
      <w:rPr>
        <w:b/>
        <w:i/>
        <w:sz w:val="20"/>
        <w:szCs w:val="20"/>
      </w:rPr>
    </w:pPr>
    <w:r>
      <w:rPr>
        <w:b/>
        <w:i/>
        <w:sz w:val="20"/>
        <w:szCs w:val="20"/>
      </w:rPr>
      <w:t>Commercial-in-Confidence</w:t>
    </w:r>
  </w:p>
  <w:p w:rsidR="0047334E" w:rsidRDefault="0047334E"/>
  <w:p w:rsidR="0047334E" w:rsidRDefault="0047334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D4C" w:rsidRDefault="00F36D4C">
      <w:r>
        <w:separator/>
      </w:r>
    </w:p>
    <w:p w:rsidR="00F36D4C" w:rsidRDefault="00F36D4C"/>
    <w:p w:rsidR="00F36D4C" w:rsidRDefault="00F36D4C"/>
  </w:footnote>
  <w:footnote w:type="continuationSeparator" w:id="0">
    <w:p w:rsidR="00F36D4C" w:rsidRDefault="00F36D4C">
      <w:r>
        <w:continuationSeparator/>
      </w:r>
    </w:p>
    <w:p w:rsidR="00F36D4C" w:rsidRDefault="00F36D4C"/>
    <w:p w:rsidR="00F36D4C" w:rsidRDefault="00F36D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47334E">
      <w:trPr>
        <w:trHeight w:val="151"/>
      </w:trPr>
      <w:tc>
        <w:tcPr>
          <w:tcW w:w="2389" w:type="pct"/>
          <w:tcBorders>
            <w:top w:val="nil"/>
            <w:left w:val="nil"/>
            <w:bottom w:val="single" w:sz="4" w:space="0" w:color="4F81BD"/>
            <w:right w:val="nil"/>
          </w:tcBorders>
        </w:tcPr>
        <w:p w:rsidR="0047334E" w:rsidRDefault="0047334E">
          <w:pPr>
            <w:pStyle w:val="Header"/>
            <w:spacing w:line="276" w:lineRule="auto"/>
            <w:rPr>
              <w:rFonts w:ascii="Cambria" w:eastAsia="MS Gothic" w:hAnsi="Cambria"/>
              <w:b/>
              <w:bCs/>
              <w:color w:val="4F81BD"/>
            </w:rPr>
          </w:pPr>
        </w:p>
      </w:tc>
      <w:tc>
        <w:tcPr>
          <w:tcW w:w="333" w:type="pct"/>
          <w:vMerge w:val="restart"/>
          <w:noWrap/>
          <w:vAlign w:val="center"/>
          <w:hideMark/>
        </w:tcPr>
        <w:p w:rsidR="0047334E" w:rsidRDefault="00981D25">
          <w:pPr>
            <w:pStyle w:val="MediumGrid21"/>
            <w:rPr>
              <w:rFonts w:ascii="Cambria" w:hAnsi="Cambria"/>
              <w:color w:val="4F81BD"/>
              <w:szCs w:val="20"/>
            </w:rPr>
          </w:pPr>
          <w:r>
            <w:rPr>
              <w:rFonts w:ascii="Cambria" w:hAnsi="Cambria"/>
              <w:color w:val="4F81BD"/>
            </w:rPr>
            <w:t>[Type text]</w:t>
          </w:r>
        </w:p>
      </w:tc>
      <w:tc>
        <w:tcPr>
          <w:tcW w:w="2278" w:type="pct"/>
          <w:tcBorders>
            <w:top w:val="nil"/>
            <w:left w:val="nil"/>
            <w:bottom w:val="single" w:sz="4" w:space="0" w:color="4F81BD"/>
            <w:right w:val="nil"/>
          </w:tcBorders>
        </w:tcPr>
        <w:p w:rsidR="0047334E" w:rsidRDefault="0047334E">
          <w:pPr>
            <w:pStyle w:val="Header"/>
            <w:spacing w:line="276" w:lineRule="auto"/>
            <w:rPr>
              <w:rFonts w:ascii="Cambria" w:eastAsia="MS Gothic" w:hAnsi="Cambria"/>
              <w:b/>
              <w:bCs/>
              <w:color w:val="4F81BD"/>
            </w:rPr>
          </w:pPr>
        </w:p>
      </w:tc>
    </w:tr>
    <w:tr w:rsidR="0047334E">
      <w:trPr>
        <w:trHeight w:val="150"/>
      </w:trPr>
      <w:tc>
        <w:tcPr>
          <w:tcW w:w="2389" w:type="pct"/>
          <w:tcBorders>
            <w:top w:val="single" w:sz="4" w:space="0" w:color="4F81BD"/>
            <w:left w:val="nil"/>
            <w:bottom w:val="nil"/>
            <w:right w:val="nil"/>
          </w:tcBorders>
        </w:tcPr>
        <w:p w:rsidR="0047334E" w:rsidRDefault="0047334E">
          <w:pPr>
            <w:pStyle w:val="Header"/>
            <w:spacing w:line="276" w:lineRule="auto"/>
            <w:rPr>
              <w:rFonts w:ascii="Cambria" w:eastAsia="MS Gothic" w:hAnsi="Cambria"/>
              <w:b/>
              <w:bCs/>
              <w:color w:val="4F81BD"/>
            </w:rPr>
          </w:pPr>
        </w:p>
      </w:tc>
      <w:tc>
        <w:tcPr>
          <w:tcW w:w="0" w:type="auto"/>
          <w:vMerge/>
          <w:vAlign w:val="center"/>
          <w:hideMark/>
        </w:tcPr>
        <w:p w:rsidR="0047334E" w:rsidRDefault="0047334E">
          <w:pPr>
            <w:rPr>
              <w:rFonts w:ascii="Cambria" w:hAnsi="Cambria"/>
              <w:color w:val="4F81BD"/>
              <w:sz w:val="22"/>
              <w:szCs w:val="22"/>
            </w:rPr>
          </w:pPr>
        </w:p>
      </w:tc>
      <w:tc>
        <w:tcPr>
          <w:tcW w:w="2278" w:type="pct"/>
          <w:tcBorders>
            <w:top w:val="single" w:sz="4" w:space="0" w:color="4F81BD"/>
            <w:left w:val="nil"/>
            <w:bottom w:val="nil"/>
            <w:right w:val="nil"/>
          </w:tcBorders>
        </w:tcPr>
        <w:p w:rsidR="0047334E" w:rsidRDefault="0047334E">
          <w:pPr>
            <w:pStyle w:val="Header"/>
            <w:spacing w:line="276" w:lineRule="auto"/>
            <w:rPr>
              <w:rFonts w:ascii="Cambria" w:eastAsia="MS Gothic" w:hAnsi="Cambria"/>
              <w:b/>
              <w:bCs/>
              <w:color w:val="4F81BD"/>
            </w:rPr>
          </w:pPr>
        </w:p>
      </w:tc>
    </w:tr>
  </w:tbl>
  <w:p w:rsidR="0047334E" w:rsidRDefault="0047334E">
    <w:pPr>
      <w:pStyle w:val="Header"/>
    </w:pPr>
  </w:p>
  <w:p w:rsidR="0047334E" w:rsidRDefault="0047334E"/>
  <w:p w:rsidR="0047334E" w:rsidRDefault="004733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4E" w:rsidRDefault="00981D25">
    <w:pPr>
      <w:pStyle w:val="Header"/>
      <w:keepNext/>
      <w:ind w:left="360"/>
      <w:jc w:val="center"/>
      <w:rPr>
        <w:rFonts w:asciiTheme="minorHAnsi" w:hAnsiTheme="minorHAnsi" w:cs="Arial"/>
        <w:i/>
        <w:color w:val="808080"/>
      </w:rPr>
    </w:pPr>
    <w:r>
      <w:rPr>
        <w:rFonts w:asciiTheme="minorHAnsi" w:hAnsiTheme="minorHAnsi" w:cs="Arial"/>
        <w:i/>
        <w:color w:val="808080"/>
      </w:rPr>
      <w:t>Public Summary Document – July 2019 PBAC Meeting</w:t>
    </w:r>
  </w:p>
  <w:p w:rsidR="0047334E" w:rsidRDefault="0047334E">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34E" w:rsidRDefault="004733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9280CAA0"/>
    <w:lvl w:ilvl="0">
      <w:start w:val="3"/>
      <w:numFmt w:val="decimal"/>
      <w:pStyle w:val="ListNumber2"/>
      <w:lvlText w:val="%1"/>
      <w:lvlJc w:val="left"/>
      <w:pPr>
        <w:tabs>
          <w:tab w:val="num" w:pos="643"/>
        </w:tabs>
        <w:ind w:left="643" w:hanging="360"/>
      </w:pPr>
      <w:rPr>
        <w:rFonts w:hint="default"/>
        <w:i w:val="0"/>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190040A2"/>
    <w:multiLevelType w:val="hybridMultilevel"/>
    <w:tmpl w:val="9B241A16"/>
    <w:lvl w:ilvl="0" w:tplc="536255D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B84324F"/>
    <w:multiLevelType w:val="hybridMultilevel"/>
    <w:tmpl w:val="26CA9150"/>
    <w:lvl w:ilvl="0" w:tplc="96B8BE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C239E8"/>
    <w:multiLevelType w:val="hybridMultilevel"/>
    <w:tmpl w:val="929E24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BF1E1F"/>
    <w:multiLevelType w:val="multilevel"/>
    <w:tmpl w:val="68FE478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7" w15:restartNumberingAfterBreak="0">
    <w:nsid w:val="3A7F6801"/>
    <w:multiLevelType w:val="hybridMultilevel"/>
    <w:tmpl w:val="7DDE2F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48565691"/>
    <w:multiLevelType w:val="hybridMultilevel"/>
    <w:tmpl w:val="7C9CDA10"/>
    <w:lvl w:ilvl="0" w:tplc="F758B580">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427C02"/>
    <w:multiLevelType w:val="multilevel"/>
    <w:tmpl w:val="50227F58"/>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15:restartNumberingAfterBreak="0">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6" w15:restartNumberingAfterBreak="0">
    <w:nsid w:val="6DC56F43"/>
    <w:multiLevelType w:val="hybridMultilevel"/>
    <w:tmpl w:val="46DAAC0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E97785D"/>
    <w:multiLevelType w:val="hybridMultilevel"/>
    <w:tmpl w:val="B3A093FC"/>
    <w:lvl w:ilvl="0" w:tplc="76FAEFF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84D033C"/>
    <w:multiLevelType w:val="multilevel"/>
    <w:tmpl w:val="A4BEBBDC"/>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9E45F9"/>
    <w:multiLevelType w:val="multilevel"/>
    <w:tmpl w:val="BEF428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8"/>
  </w:num>
  <w:num w:numId="3">
    <w:abstractNumId w:val="3"/>
  </w:num>
  <w:num w:numId="4">
    <w:abstractNumId w:val="24"/>
  </w:num>
  <w:num w:numId="5">
    <w:abstractNumId w:val="4"/>
  </w:num>
  <w:num w:numId="6">
    <w:abstractNumId w:val="10"/>
  </w:num>
  <w:num w:numId="7">
    <w:abstractNumId w:val="20"/>
  </w:num>
  <w:num w:numId="8">
    <w:abstractNumId w:val="15"/>
  </w:num>
  <w:num w:numId="9">
    <w:abstractNumId w:val="25"/>
  </w:num>
  <w:num w:numId="10">
    <w:abstractNumId w:val="23"/>
  </w:num>
  <w:num w:numId="11">
    <w:abstractNumId w:val="16"/>
  </w:num>
  <w:num w:numId="12">
    <w:abstractNumId w:val="18"/>
  </w:num>
  <w:num w:numId="13">
    <w:abstractNumId w:val="5"/>
  </w:num>
  <w:num w:numId="14">
    <w:abstractNumId w:val="2"/>
  </w:num>
  <w:num w:numId="15">
    <w:abstractNumId w:val="0"/>
  </w:num>
  <w:num w:numId="16">
    <w:abstractNumId w:val="11"/>
  </w:num>
  <w:num w:numId="17">
    <w:abstractNumId w:val="19"/>
  </w:num>
  <w:num w:numId="18">
    <w:abstractNumId w:val="6"/>
  </w:num>
  <w:num w:numId="19">
    <w:abstractNumId w:val="17"/>
  </w:num>
  <w:num w:numId="20">
    <w:abstractNumId w:val="13"/>
  </w:num>
  <w:num w:numId="21">
    <w:abstractNumId w:val="29"/>
  </w:num>
  <w:num w:numId="22">
    <w:abstractNumId w:val="14"/>
  </w:num>
  <w:num w:numId="23">
    <w:abstractNumId w:val="22"/>
  </w:num>
  <w:num w:numId="24">
    <w:abstractNumId w:val="26"/>
  </w:num>
  <w:num w:numId="25">
    <w:abstractNumId w:val="27"/>
  </w:num>
  <w:num w:numId="26">
    <w:abstractNumId w:val="21"/>
  </w:num>
  <w:num w:numId="27">
    <w:abstractNumId w:val="1"/>
  </w:num>
  <w:num w:numId="28">
    <w:abstractNumId w:val="9"/>
  </w:num>
  <w:num w:numId="29">
    <w:abstractNumId w:val="12"/>
  </w:num>
  <w:num w:numId="3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4E"/>
    <w:rsid w:val="00094268"/>
    <w:rsid w:val="00176543"/>
    <w:rsid w:val="002075C9"/>
    <w:rsid w:val="00330F7F"/>
    <w:rsid w:val="003A25AB"/>
    <w:rsid w:val="00472C15"/>
    <w:rsid w:val="0047334E"/>
    <w:rsid w:val="004F052E"/>
    <w:rsid w:val="00625613"/>
    <w:rsid w:val="007368D3"/>
    <w:rsid w:val="00877EA0"/>
    <w:rsid w:val="008A73BF"/>
    <w:rsid w:val="008E425B"/>
    <w:rsid w:val="009263D1"/>
    <w:rsid w:val="00981D25"/>
    <w:rsid w:val="00A477D2"/>
    <w:rsid w:val="00CC6694"/>
    <w:rsid w:val="00CE135C"/>
    <w:rsid w:val="00F36D4C"/>
    <w:rsid w:val="00F97231"/>
    <w:rsid w:val="00FE573A"/>
    <w:rsid w:val="00FE6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330"/>
  <w15:docId w15:val="{AD5D25B2-D468-4B2D-AD62-48C2E275A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1"/>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Number2"/>
    <w:next w:val="Normal"/>
    <w:link w:val="Heading1Char"/>
    <w:uiPriority w:val="1"/>
    <w:qFormat/>
    <w:pPr>
      <w:keepNext/>
      <w:numPr>
        <w:numId w:val="0"/>
      </w:numPr>
      <w:outlineLvl w:val="0"/>
    </w:pPr>
    <w:rPr>
      <w:rFonts w:ascii="Arial" w:hAnsi="Arial"/>
      <w:b/>
      <w:sz w:val="22"/>
    </w:rPr>
  </w:style>
  <w:style w:type="paragraph" w:styleId="Heading2">
    <w:name w:val="heading 2"/>
    <w:basedOn w:val="Normal"/>
    <w:next w:val="Normal"/>
    <w:link w:val="Heading2Char"/>
    <w:uiPriority w:val="1"/>
    <w:qFormat/>
    <w:pPr>
      <w:keepNext/>
      <w:outlineLvl w:val="1"/>
    </w:pPr>
    <w:rPr>
      <w:rFonts w:ascii="Arial" w:hAnsi="Arial"/>
      <w:b/>
      <w:i/>
      <w:sz w:val="22"/>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Pr>
      <w:sz w:val="24"/>
      <w:szCs w:val="24"/>
      <w:lang w:eastAsia="en-AU"/>
    </w:rPr>
  </w:style>
  <w:style w:type="paragraph" w:customStyle="1" w:styleId="MediumGrid21">
    <w:name w:val="Medium Grid 21"/>
    <w:link w:val="MediumGrid2Char"/>
    <w:qFormat/>
    <w:rPr>
      <w:rFonts w:ascii="PMingLiU" w:eastAsia="MS Mincho" w:hAnsi="PMingLiU"/>
      <w:sz w:val="22"/>
      <w:szCs w:val="22"/>
      <w:lang w:val="en-US" w:eastAsia="en-US"/>
    </w:rPr>
  </w:style>
  <w:style w:type="character" w:customStyle="1" w:styleId="MediumGrid2Char">
    <w:name w:val="Medium Grid 2 Char"/>
    <w:link w:val="MediumGrid21"/>
    <w:rPr>
      <w:rFonts w:ascii="PMingLiU" w:eastAsia="MS Mincho" w:hAnsi="PMingLiU"/>
      <w:sz w:val="22"/>
      <w:szCs w:val="22"/>
      <w:lang w:val="en-US"/>
    </w:rPr>
  </w:style>
  <w:style w:type="table" w:customStyle="1" w:styleId="IntenseQuote1">
    <w:name w:val="Intense Quote1"/>
    <w:basedOn w:val="TableNormal"/>
    <w:uiPriority w:val="60"/>
    <w:qFormat/>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Pr>
      <w:sz w:val="24"/>
      <w:szCs w:val="24"/>
    </w:rPr>
  </w:style>
  <w:style w:type="paragraph" w:styleId="ListParagraph">
    <w:name w:val="List Paragraph"/>
    <w:aliases w:val="BulletPoints,Numbered para,Footnote,Bullet point,List Paragraph1,List Paragraph11,Recommendation,ES Paragraph,PBAC ES Paragraph,PBAC normal points,Bullet List"/>
    <w:basedOn w:val="Normal"/>
    <w:link w:val="ListParagraphChar"/>
    <w:uiPriority w:val="34"/>
    <w:qFormat/>
    <w:pPr>
      <w:ind w:left="720"/>
      <w:contextualSpacing/>
    </w:pPr>
  </w:style>
  <w:style w:type="character" w:styleId="CommentReference">
    <w:name w:val="annotation reference"/>
    <w:aliases w:val="Table Title"/>
    <w:basedOn w:val="DefaultParagraphFont"/>
    <w:uiPriority w:val="99"/>
    <w:qForma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4"/>
      <w:szCs w:val="24"/>
    </w:rPr>
  </w:style>
  <w:style w:type="paragraph" w:customStyle="1" w:styleId="tablenotes">
    <w:name w:val="table notes"/>
    <w:basedOn w:val="Normal"/>
    <w:qFormat/>
    <w:rsid w:val="00CE135C"/>
    <w:pPr>
      <w:tabs>
        <w:tab w:val="left" w:pos="567"/>
      </w:tabs>
      <w:spacing w:line="240" w:lineRule="atLeast"/>
      <w:jc w:val="both"/>
    </w:pPr>
    <w:rPr>
      <w:rFonts w:ascii="Arial Narrow" w:hAnsi="Arial Narrow" w:cs="Arial"/>
      <w:sz w:val="20"/>
      <w:szCs w:val="20"/>
      <w:shd w:val="clear" w:color="auto" w:fill="FFFFFF"/>
    </w:rPr>
  </w:style>
  <w:style w:type="paragraph" w:styleId="NoSpacing">
    <w:name w:val="No Spacing"/>
    <w:basedOn w:val="Normal"/>
    <w:link w:val="NoSpacingChar"/>
    <w:uiPriority w:val="99"/>
    <w:qFormat/>
    <w:pPr>
      <w:jc w:val="both"/>
    </w:pPr>
    <w:rPr>
      <w:rFonts w:ascii="Arial" w:hAnsi="Arial"/>
      <w:sz w:val="22"/>
      <w:szCs w:val="22"/>
    </w:rPr>
  </w:style>
  <w:style w:type="character" w:styleId="Hyperlink">
    <w:name w:val="Hyperlink"/>
    <w:basedOn w:val="DefaultParagraphFont"/>
    <w:rPr>
      <w:color w:val="0000FF" w:themeColor="hyperlink"/>
      <w:u w:val="single"/>
    </w:rPr>
  </w:style>
  <w:style w:type="paragraph" w:styleId="Title">
    <w:name w:val="Title"/>
    <w:basedOn w:val="Normal"/>
    <w:next w:val="Normal"/>
    <w:link w:val="TitleChar"/>
    <w:qFormat/>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Pr>
      <w:rFonts w:ascii="Arial" w:eastAsiaTheme="majorEastAsia" w:hAnsi="Arial" w:cstheme="majorBidi"/>
      <w:b/>
      <w:spacing w:val="5"/>
      <w:kern w:val="28"/>
      <w:sz w:val="28"/>
      <w:szCs w:val="52"/>
    </w:rPr>
  </w:style>
  <w:style w:type="paragraph" w:styleId="ListNumber2">
    <w:name w:val="List Number 2"/>
    <w:basedOn w:val="Normal"/>
    <w:pPr>
      <w:numPr>
        <w:numId w:val="15"/>
      </w:numPr>
      <w:contextualSpacing/>
    </w:pPr>
  </w:style>
  <w:style w:type="character" w:customStyle="1" w:styleId="Heading1Char">
    <w:name w:val="Heading 1 Char"/>
    <w:basedOn w:val="DefaultParagraphFont"/>
    <w:link w:val="Heading1"/>
    <w:uiPriority w:val="1"/>
    <w:rPr>
      <w:rFonts w:ascii="Arial" w:hAnsi="Arial"/>
      <w:b/>
      <w:sz w:val="22"/>
      <w:szCs w:val="24"/>
    </w:rPr>
  </w:style>
  <w:style w:type="paragraph" w:customStyle="1" w:styleId="PBACHeading1">
    <w:name w:val="PBAC Heading 1"/>
    <w:qFormat/>
    <w:p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Pr>
      <w:rFonts w:ascii="Arial" w:hAnsi="Arial"/>
      <w:b/>
      <w:i/>
      <w:sz w:val="22"/>
      <w:szCs w:val="24"/>
    </w:rPr>
  </w:style>
  <w:style w:type="table" w:styleId="LightList-Accent3">
    <w:name w:val="Light List Accent 3"/>
    <w:basedOn w:val="TableNormal"/>
    <w:uiPriority w:val="61"/>
    <w:rPr>
      <w:rFonts w:asciiTheme="minorHAnsi" w:eastAsiaTheme="minorHAnsi" w:hAnsiTheme="minorHAnsi" w:cstheme="minorBidi"/>
      <w:sz w:val="22"/>
      <w:szCs w:val="22"/>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Table7Colorful">
    <w:name w:val="List Table 7 Colorful"/>
    <w:basedOn w:val="TableNormal"/>
    <w:uiPriority w:val="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titles">
    <w:name w:val="Table titles"/>
    <w:basedOn w:val="NoSpacing"/>
    <w:link w:val="TabletitlesChar"/>
    <w:qFormat/>
    <w:rsid w:val="00877EA0"/>
    <w:rPr>
      <w:rFonts w:ascii="Arial Narrow" w:hAnsi="Arial Narrow"/>
      <w:b/>
      <w:sz w:val="20"/>
      <w:szCs w:val="20"/>
    </w:rPr>
  </w:style>
  <w:style w:type="character" w:customStyle="1" w:styleId="TabletitlesChar">
    <w:name w:val="Table titles Char"/>
    <w:basedOn w:val="DefaultParagraphFont"/>
    <w:link w:val="Tabletitles"/>
    <w:rsid w:val="00877EA0"/>
    <w:rPr>
      <w:rFonts w:ascii="Arial Narrow" w:hAnsi="Arial Narrow"/>
      <w:b/>
    </w:rPr>
  </w:style>
  <w:style w:type="character" w:customStyle="1" w:styleId="NoSpacingChar">
    <w:name w:val="No Spacing Char"/>
    <w:basedOn w:val="DefaultParagraphFont"/>
    <w:link w:val="NoSpacing"/>
    <w:uiPriority w:val="99"/>
    <w:rPr>
      <w:rFonts w:ascii="Arial" w:hAnsi="Arial"/>
      <w:sz w:val="22"/>
      <w:szCs w:val="22"/>
    </w:rPr>
  </w:style>
  <w:style w:type="paragraph" w:customStyle="1" w:styleId="TableText0">
    <w:name w:val="Table Text"/>
    <w:basedOn w:val="NoSpacing"/>
    <w:link w:val="TableTextChar"/>
    <w:qFormat/>
    <w:rPr>
      <w:rFonts w:ascii="Arial Narrow" w:hAnsi="Arial Narrow"/>
    </w:rPr>
  </w:style>
  <w:style w:type="character" w:customStyle="1" w:styleId="TableTextChar">
    <w:name w:val="Table Text Char"/>
    <w:basedOn w:val="NoSpacingChar"/>
    <w:link w:val="TableText0"/>
    <w:rPr>
      <w:rFonts w:ascii="Arial Narrow" w:hAnsi="Arial Narrow"/>
      <w:sz w:val="22"/>
      <w:szCs w:val="2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
    <w:basedOn w:val="DefaultParagraphFont"/>
    <w:link w:val="ListParagraph"/>
    <w:uiPriority w:val="34"/>
    <w:qFormat/>
    <w:rPr>
      <w:sz w:val="24"/>
      <w:szCs w:val="24"/>
    </w:rPr>
  </w:style>
  <w:style w:type="paragraph" w:customStyle="1" w:styleId="2Sections">
    <w:name w:val="2. Sections"/>
    <w:qFormat/>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ListParagraph"/>
    <w:qFormat/>
    <w:pPr>
      <w:spacing w:after="120"/>
      <w:ind w:hanging="720"/>
      <w:contextualSpacing w:val="0"/>
      <w:jc w:val="both"/>
    </w:pPr>
    <w:rPr>
      <w:rFonts w:asciiTheme="minorHAnsi" w:eastAsiaTheme="minorHAnsi" w:hAnsiTheme="minorHAnsi" w:cstheme="minorBidi"/>
      <w:szCs w:val="22"/>
      <w:lang w:eastAsia="en-US"/>
    </w:rPr>
  </w:style>
  <w:style w:type="paragraph" w:styleId="Caption">
    <w:name w:val="caption"/>
    <w:basedOn w:val="Normal"/>
    <w:next w:val="Normal"/>
    <w:unhideWhenUsed/>
    <w:qFormat/>
    <w:rsid w:val="00877EA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245719975">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A607D-1742-40FA-AA6D-856BA8995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1951</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Author</cp:lastModifiedBy>
  <cp:revision>2</cp:revision>
  <dcterms:created xsi:type="dcterms:W3CDTF">2019-10-17T02:06:00Z</dcterms:created>
  <dcterms:modified xsi:type="dcterms:W3CDTF">2019-10-25T00:42:00Z</dcterms:modified>
</cp:coreProperties>
</file>