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68F" w:rsidRDefault="00385EB0" w:rsidP="004F368F">
      <w:pPr>
        <w:pStyle w:val="Title"/>
        <w:rPr>
          <w:rFonts w:asciiTheme="minorHAnsi" w:hAnsiTheme="minorHAnsi" w:cstheme="minorHAnsi"/>
          <w:sz w:val="36"/>
          <w:szCs w:val="36"/>
        </w:rPr>
      </w:pPr>
      <w:r w:rsidRPr="004F368F">
        <w:rPr>
          <w:rFonts w:asciiTheme="minorHAnsi" w:hAnsiTheme="minorHAnsi" w:cstheme="minorHAnsi"/>
          <w:sz w:val="36"/>
          <w:szCs w:val="36"/>
        </w:rPr>
        <w:t>12</w:t>
      </w:r>
      <w:r w:rsidR="0004240E" w:rsidRPr="004F368F">
        <w:rPr>
          <w:rFonts w:asciiTheme="minorHAnsi" w:hAnsiTheme="minorHAnsi" w:cstheme="minorHAnsi"/>
          <w:sz w:val="36"/>
          <w:szCs w:val="36"/>
        </w:rPr>
        <w:t>.</w:t>
      </w:r>
      <w:r w:rsidRPr="004F368F">
        <w:rPr>
          <w:rFonts w:asciiTheme="minorHAnsi" w:hAnsiTheme="minorHAnsi" w:cstheme="minorHAnsi"/>
          <w:sz w:val="36"/>
          <w:szCs w:val="36"/>
        </w:rPr>
        <w:t>03</w:t>
      </w:r>
      <w:r w:rsidR="004F368F" w:rsidRPr="004F368F">
        <w:rPr>
          <w:rFonts w:asciiTheme="minorHAnsi" w:hAnsiTheme="minorHAnsi" w:cstheme="minorHAnsi"/>
          <w:sz w:val="36"/>
          <w:szCs w:val="36"/>
        </w:rPr>
        <w:t xml:space="preserve"> </w:t>
      </w:r>
      <w:r w:rsidR="004F368F">
        <w:rPr>
          <w:rFonts w:asciiTheme="minorHAnsi" w:hAnsiTheme="minorHAnsi" w:cstheme="minorHAnsi"/>
          <w:sz w:val="36"/>
          <w:szCs w:val="36"/>
        </w:rPr>
        <w:tab/>
      </w:r>
      <w:r w:rsidRPr="004F368F">
        <w:rPr>
          <w:rFonts w:asciiTheme="minorHAnsi" w:hAnsiTheme="minorHAnsi" w:cstheme="minorHAnsi"/>
          <w:sz w:val="36"/>
          <w:szCs w:val="36"/>
        </w:rPr>
        <w:t xml:space="preserve">INOTUZUMAB OZOGAMICIN, </w:t>
      </w:r>
    </w:p>
    <w:p w:rsidR="004F368F" w:rsidRDefault="00385EB0" w:rsidP="004F368F">
      <w:pPr>
        <w:pStyle w:val="Title"/>
        <w:ind w:left="720" w:firstLine="720"/>
        <w:rPr>
          <w:rFonts w:asciiTheme="minorHAnsi" w:hAnsiTheme="minorHAnsi" w:cstheme="minorHAnsi"/>
          <w:sz w:val="36"/>
          <w:szCs w:val="36"/>
        </w:rPr>
      </w:pPr>
      <w:r w:rsidRPr="004F368F">
        <w:rPr>
          <w:rFonts w:asciiTheme="minorHAnsi" w:hAnsiTheme="minorHAnsi" w:cstheme="minorHAnsi"/>
          <w:sz w:val="36"/>
          <w:szCs w:val="36"/>
        </w:rPr>
        <w:t xml:space="preserve">Powder for IV infusion, 1 mg vial, </w:t>
      </w:r>
    </w:p>
    <w:p w:rsidR="00C27B58" w:rsidRPr="004F368F" w:rsidRDefault="00FA4F74" w:rsidP="004F368F">
      <w:pPr>
        <w:pStyle w:val="Title"/>
        <w:ind w:left="720" w:firstLine="720"/>
        <w:rPr>
          <w:rFonts w:asciiTheme="minorHAnsi" w:hAnsiTheme="minorHAnsi" w:cstheme="minorHAnsi"/>
          <w:sz w:val="36"/>
          <w:szCs w:val="36"/>
        </w:rPr>
      </w:pPr>
      <w:r w:rsidRPr="004F368F">
        <w:rPr>
          <w:rFonts w:asciiTheme="minorHAnsi" w:hAnsiTheme="minorHAnsi" w:cstheme="minorHAnsi"/>
          <w:sz w:val="36"/>
          <w:szCs w:val="36"/>
        </w:rPr>
        <w:t>Besponsa®, Pfizer Australia</w:t>
      </w:r>
      <w:r w:rsidR="00746273" w:rsidRPr="004F368F">
        <w:rPr>
          <w:rFonts w:asciiTheme="minorHAnsi" w:hAnsiTheme="minorHAnsi" w:cstheme="minorHAnsi"/>
          <w:sz w:val="36"/>
          <w:szCs w:val="36"/>
        </w:rPr>
        <w:t xml:space="preserve"> Pty Ltd</w:t>
      </w:r>
    </w:p>
    <w:p w:rsidR="008A50F1" w:rsidRPr="00503AD7" w:rsidRDefault="00CE10C4" w:rsidP="00EB0B63">
      <w:pPr>
        <w:pStyle w:val="PBACHeading1"/>
        <w:spacing w:before="240" w:after="120"/>
        <w:ind w:left="709" w:hanging="709"/>
        <w:rPr>
          <w:rFonts w:asciiTheme="minorHAnsi" w:hAnsiTheme="minorHAnsi"/>
          <w:sz w:val="32"/>
          <w:szCs w:val="32"/>
        </w:rPr>
      </w:pPr>
      <w:r w:rsidRPr="00503AD7">
        <w:rPr>
          <w:rFonts w:asciiTheme="minorHAnsi" w:hAnsiTheme="minorHAnsi"/>
          <w:sz w:val="32"/>
          <w:szCs w:val="32"/>
        </w:rPr>
        <w:t xml:space="preserve">Purpose of </w:t>
      </w:r>
      <w:r w:rsidR="00BA1786" w:rsidRPr="00503AD7">
        <w:rPr>
          <w:rFonts w:asciiTheme="minorHAnsi" w:hAnsiTheme="minorHAnsi"/>
          <w:sz w:val="32"/>
          <w:szCs w:val="32"/>
        </w:rPr>
        <w:t>Item</w:t>
      </w:r>
    </w:p>
    <w:p w:rsidR="00EF44A0" w:rsidRPr="00503AD7" w:rsidRDefault="009148CD" w:rsidP="008355DF">
      <w:pPr>
        <w:pStyle w:val="ListParagraph"/>
        <w:widowControl/>
        <w:numPr>
          <w:ilvl w:val="1"/>
          <w:numId w:val="5"/>
        </w:numPr>
        <w:spacing w:after="120"/>
        <w:contextualSpacing w:val="0"/>
        <w:rPr>
          <w:rFonts w:asciiTheme="minorHAnsi" w:hAnsiTheme="minorHAnsi"/>
          <w:sz w:val="24"/>
          <w:szCs w:val="24"/>
        </w:rPr>
      </w:pPr>
      <w:r w:rsidRPr="00503AD7">
        <w:rPr>
          <w:rFonts w:asciiTheme="minorHAnsi" w:hAnsiTheme="minorHAnsi"/>
          <w:sz w:val="24"/>
          <w:szCs w:val="24"/>
        </w:rPr>
        <w:t>T</w:t>
      </w:r>
      <w:r w:rsidR="00565195" w:rsidRPr="00503AD7">
        <w:rPr>
          <w:rFonts w:asciiTheme="minorHAnsi" w:hAnsiTheme="minorHAnsi"/>
          <w:sz w:val="24"/>
          <w:szCs w:val="24"/>
        </w:rPr>
        <w:t>he correspondence</w:t>
      </w:r>
      <w:r w:rsidRPr="00503AD7">
        <w:rPr>
          <w:rFonts w:asciiTheme="minorHAnsi" w:hAnsiTheme="minorHAnsi"/>
          <w:sz w:val="24"/>
          <w:szCs w:val="24"/>
        </w:rPr>
        <w:t xml:space="preserve"> request</w:t>
      </w:r>
      <w:r w:rsidR="00565195" w:rsidRPr="00503AD7">
        <w:rPr>
          <w:rFonts w:asciiTheme="minorHAnsi" w:hAnsiTheme="minorHAnsi"/>
          <w:sz w:val="24"/>
          <w:szCs w:val="24"/>
        </w:rPr>
        <w:t>ed</w:t>
      </w:r>
      <w:r w:rsidRPr="00503AD7">
        <w:rPr>
          <w:rFonts w:asciiTheme="minorHAnsi" w:hAnsiTheme="minorHAnsi"/>
          <w:sz w:val="24"/>
          <w:szCs w:val="24"/>
        </w:rPr>
        <w:t xml:space="preserve"> </w:t>
      </w:r>
      <w:r w:rsidR="00455CCC" w:rsidRPr="00503AD7">
        <w:rPr>
          <w:rFonts w:asciiTheme="minorHAnsi" w:hAnsiTheme="minorHAnsi"/>
          <w:sz w:val="24"/>
          <w:szCs w:val="24"/>
        </w:rPr>
        <w:t xml:space="preserve">an extension to the </w:t>
      </w:r>
      <w:r w:rsidRPr="00503AD7">
        <w:rPr>
          <w:rFonts w:asciiTheme="minorHAnsi" w:hAnsiTheme="minorHAnsi"/>
          <w:sz w:val="24"/>
          <w:szCs w:val="24"/>
        </w:rPr>
        <w:t>recommended listing of inotuzumab ozogamicin (herein referred to as ‘inotuzumab’) for the treatment of relapsed or refractory</w:t>
      </w:r>
      <w:r w:rsidR="004B4AA6" w:rsidRPr="00503AD7">
        <w:rPr>
          <w:rFonts w:asciiTheme="minorHAnsi" w:hAnsiTheme="minorHAnsi"/>
          <w:sz w:val="24"/>
          <w:szCs w:val="24"/>
        </w:rPr>
        <w:t xml:space="preserve"> (R/R)</w:t>
      </w:r>
      <w:r w:rsidRPr="00503AD7">
        <w:rPr>
          <w:rFonts w:asciiTheme="minorHAnsi" w:hAnsiTheme="minorHAnsi"/>
          <w:sz w:val="24"/>
          <w:szCs w:val="24"/>
        </w:rPr>
        <w:t xml:space="preserve"> Philadelphia chromosome negative (Ph-) </w:t>
      </w:r>
      <w:r w:rsidR="008355DF" w:rsidRPr="00503AD7">
        <w:rPr>
          <w:rFonts w:asciiTheme="minorHAnsi" w:hAnsiTheme="minorHAnsi"/>
          <w:sz w:val="24"/>
          <w:szCs w:val="24"/>
        </w:rPr>
        <w:t xml:space="preserve">CD22 positive </w:t>
      </w:r>
      <w:r w:rsidRPr="00503AD7">
        <w:rPr>
          <w:rFonts w:asciiTheme="minorHAnsi" w:hAnsiTheme="minorHAnsi"/>
          <w:sz w:val="24"/>
          <w:szCs w:val="24"/>
        </w:rPr>
        <w:t>B-</w:t>
      </w:r>
      <w:r w:rsidR="008355DF" w:rsidRPr="00503AD7">
        <w:rPr>
          <w:rFonts w:asciiTheme="minorHAnsi" w:hAnsiTheme="minorHAnsi"/>
          <w:sz w:val="24"/>
          <w:szCs w:val="24"/>
        </w:rPr>
        <w:t xml:space="preserve">cell </w:t>
      </w:r>
      <w:r w:rsidRPr="00503AD7">
        <w:rPr>
          <w:rFonts w:asciiTheme="minorHAnsi" w:hAnsiTheme="minorHAnsi"/>
          <w:sz w:val="24"/>
          <w:szCs w:val="24"/>
        </w:rPr>
        <w:t xml:space="preserve">precursor acute lymphocytic leukaemia (B-ALL) to include </w:t>
      </w:r>
      <w:r w:rsidR="004B4AA6" w:rsidRPr="00503AD7">
        <w:rPr>
          <w:rFonts w:asciiTheme="minorHAnsi" w:hAnsiTheme="minorHAnsi"/>
          <w:sz w:val="24"/>
          <w:szCs w:val="24"/>
        </w:rPr>
        <w:t xml:space="preserve">patients with R/R Philadelphia chromosome positive (Ph+) B-ALL. </w:t>
      </w:r>
    </w:p>
    <w:p w:rsidR="006A12A5" w:rsidRPr="00503AD7" w:rsidRDefault="00BA1786" w:rsidP="00EB0B63">
      <w:pPr>
        <w:pStyle w:val="PBACHeading1"/>
        <w:spacing w:before="240" w:after="120"/>
        <w:ind w:left="709" w:hanging="709"/>
        <w:rPr>
          <w:rFonts w:asciiTheme="minorHAnsi" w:hAnsiTheme="minorHAnsi"/>
          <w:sz w:val="32"/>
          <w:szCs w:val="32"/>
        </w:rPr>
      </w:pPr>
      <w:r w:rsidRPr="00503AD7">
        <w:rPr>
          <w:rFonts w:asciiTheme="minorHAnsi" w:hAnsiTheme="minorHAnsi"/>
          <w:sz w:val="32"/>
          <w:szCs w:val="32"/>
        </w:rPr>
        <w:t>Background</w:t>
      </w:r>
    </w:p>
    <w:p w:rsidR="00AE6EA5" w:rsidRPr="00503AD7" w:rsidRDefault="00577A03" w:rsidP="00BA17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03AD7">
        <w:rPr>
          <w:rFonts w:asciiTheme="minorHAnsi" w:eastAsiaTheme="minorHAnsi" w:hAnsiTheme="minorHAnsi" w:cstheme="minorBidi"/>
          <w:snapToGrid/>
          <w:sz w:val="24"/>
          <w:szCs w:val="22"/>
        </w:rPr>
        <w:t xml:space="preserve">At </w:t>
      </w:r>
      <w:r w:rsidR="00565195" w:rsidRPr="00503AD7">
        <w:rPr>
          <w:rFonts w:asciiTheme="minorHAnsi" w:eastAsiaTheme="minorHAnsi" w:hAnsiTheme="minorHAnsi" w:cstheme="minorBidi"/>
          <w:snapToGrid/>
          <w:sz w:val="24"/>
          <w:szCs w:val="22"/>
        </w:rPr>
        <w:t>its</w:t>
      </w:r>
      <w:r w:rsidRPr="00503AD7">
        <w:rPr>
          <w:rFonts w:asciiTheme="minorHAnsi" w:eastAsiaTheme="minorHAnsi" w:hAnsiTheme="minorHAnsi" w:cstheme="minorBidi"/>
          <w:snapToGrid/>
          <w:sz w:val="24"/>
          <w:szCs w:val="22"/>
        </w:rPr>
        <w:t xml:space="preserve"> November</w:t>
      </w:r>
      <w:r w:rsidR="00AE6EA5" w:rsidRPr="00503AD7">
        <w:rPr>
          <w:rFonts w:asciiTheme="minorHAnsi" w:eastAsiaTheme="minorHAnsi" w:hAnsiTheme="minorHAnsi" w:cstheme="minorBidi"/>
          <w:snapToGrid/>
          <w:sz w:val="24"/>
          <w:szCs w:val="22"/>
        </w:rPr>
        <w:t xml:space="preserve"> 2018 meeting</w:t>
      </w:r>
      <w:r w:rsidR="00565195" w:rsidRPr="00503AD7">
        <w:rPr>
          <w:rFonts w:asciiTheme="minorHAnsi" w:eastAsiaTheme="minorHAnsi" w:hAnsiTheme="minorHAnsi" w:cstheme="minorBidi"/>
          <w:snapToGrid/>
          <w:sz w:val="24"/>
          <w:szCs w:val="22"/>
        </w:rPr>
        <w:t>,</w:t>
      </w:r>
      <w:r w:rsidR="00AE6EA5" w:rsidRPr="00503AD7">
        <w:rPr>
          <w:rFonts w:asciiTheme="minorHAnsi" w:eastAsiaTheme="minorHAnsi" w:hAnsiTheme="minorHAnsi" w:cstheme="minorBidi"/>
          <w:snapToGrid/>
          <w:sz w:val="24"/>
          <w:szCs w:val="22"/>
        </w:rPr>
        <w:t xml:space="preserve"> the PBAC recommended the listing of inotuzumab for the treatment of R/R Ph- B-ALL </w:t>
      </w:r>
      <w:r w:rsidR="00AE6EA5" w:rsidRPr="00740B6B">
        <w:rPr>
          <w:rFonts w:asciiTheme="minorHAnsi" w:eastAsiaTheme="minorHAnsi" w:hAnsiTheme="minorHAnsi" w:cstheme="minorBidi"/>
          <w:snapToGrid/>
          <w:sz w:val="24"/>
          <w:szCs w:val="22"/>
        </w:rPr>
        <w:t>on a cost-minimisation basis against blinatumomab</w:t>
      </w:r>
      <w:r w:rsidR="00AE6EA5" w:rsidRPr="00503AD7">
        <w:rPr>
          <w:rFonts w:asciiTheme="minorHAnsi" w:eastAsiaTheme="minorHAnsi" w:hAnsiTheme="minorHAnsi" w:cstheme="minorBidi"/>
          <w:snapToGrid/>
          <w:sz w:val="24"/>
          <w:szCs w:val="22"/>
        </w:rPr>
        <w:t xml:space="preserve">. </w:t>
      </w:r>
    </w:p>
    <w:p w:rsidR="00565195" w:rsidRPr="00503AD7" w:rsidRDefault="008355DF" w:rsidP="00FD15C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03AD7">
        <w:rPr>
          <w:rFonts w:asciiTheme="minorHAnsi" w:eastAsiaTheme="minorHAnsi" w:hAnsiTheme="minorHAnsi" w:cstheme="minorBidi"/>
          <w:snapToGrid/>
          <w:sz w:val="24"/>
          <w:szCs w:val="22"/>
        </w:rPr>
        <w:t>At the November 2018 meeting, the clinician who presented at the sponsor hearing</w:t>
      </w:r>
      <w:r w:rsidR="00565195" w:rsidRPr="00503AD7">
        <w:rPr>
          <w:rFonts w:asciiTheme="minorHAnsi" w:eastAsiaTheme="minorHAnsi" w:hAnsiTheme="minorHAnsi" w:cstheme="minorBidi"/>
          <w:snapToGrid/>
          <w:sz w:val="24"/>
          <w:szCs w:val="22"/>
        </w:rPr>
        <w:t xml:space="preserve"> </w:t>
      </w:r>
      <w:r w:rsidRPr="00503AD7">
        <w:rPr>
          <w:rFonts w:asciiTheme="minorHAnsi" w:eastAsiaTheme="minorHAnsi" w:hAnsiTheme="minorHAnsi" w:cstheme="minorBidi"/>
          <w:snapToGrid/>
          <w:sz w:val="24"/>
          <w:szCs w:val="22"/>
        </w:rPr>
        <w:t>outlined that there may be important benefits of inotuzumab in patients with Ph</w:t>
      </w:r>
      <w:r w:rsidR="00330E82" w:rsidRPr="00503AD7">
        <w:rPr>
          <w:rFonts w:asciiTheme="minorHAnsi" w:eastAsiaTheme="minorHAnsi" w:hAnsiTheme="minorHAnsi" w:cstheme="minorBidi"/>
          <w:snapToGrid/>
          <w:sz w:val="24"/>
          <w:szCs w:val="22"/>
        </w:rPr>
        <w:t>+</w:t>
      </w:r>
      <w:r w:rsidRPr="00503AD7">
        <w:rPr>
          <w:rFonts w:asciiTheme="minorHAnsi" w:eastAsiaTheme="minorHAnsi" w:hAnsiTheme="minorHAnsi" w:cstheme="minorBidi"/>
          <w:snapToGrid/>
          <w:sz w:val="24"/>
          <w:szCs w:val="22"/>
        </w:rPr>
        <w:t xml:space="preserve"> disease, particularly given it was generally associated with a poorer prognosis (inotuzumab </w:t>
      </w:r>
      <w:r w:rsidR="007A0F9F">
        <w:rPr>
          <w:rFonts w:asciiTheme="minorHAnsi" w:eastAsiaTheme="minorHAnsi" w:hAnsiTheme="minorHAnsi" w:cstheme="minorBidi"/>
          <w:snapToGrid/>
          <w:sz w:val="24"/>
          <w:szCs w:val="22"/>
        </w:rPr>
        <w:t>Public Summary Document (</w:t>
      </w:r>
      <w:r w:rsidRPr="00503AD7">
        <w:rPr>
          <w:rFonts w:asciiTheme="minorHAnsi" w:eastAsiaTheme="minorHAnsi" w:hAnsiTheme="minorHAnsi" w:cstheme="minorBidi"/>
          <w:snapToGrid/>
          <w:sz w:val="24"/>
          <w:szCs w:val="22"/>
        </w:rPr>
        <w:t>PSD</w:t>
      </w:r>
      <w:r w:rsidR="007A0F9F">
        <w:rPr>
          <w:rFonts w:asciiTheme="minorHAnsi" w:eastAsiaTheme="minorHAnsi" w:hAnsiTheme="minorHAnsi" w:cstheme="minorBidi"/>
          <w:snapToGrid/>
          <w:sz w:val="24"/>
          <w:szCs w:val="22"/>
        </w:rPr>
        <w:t>)</w:t>
      </w:r>
      <w:r w:rsidRPr="00503AD7">
        <w:rPr>
          <w:rFonts w:asciiTheme="minorHAnsi" w:eastAsiaTheme="minorHAnsi" w:hAnsiTheme="minorHAnsi" w:cstheme="minorBidi"/>
          <w:snapToGrid/>
          <w:sz w:val="24"/>
          <w:szCs w:val="22"/>
        </w:rPr>
        <w:t xml:space="preserve">, November 2018, paragraph 6.3). </w:t>
      </w:r>
      <w:r w:rsidR="00F47281" w:rsidRPr="00503AD7">
        <w:rPr>
          <w:rFonts w:asciiTheme="minorHAnsi" w:eastAsiaTheme="minorHAnsi" w:hAnsiTheme="minorHAnsi" w:cstheme="minorBidi"/>
          <w:snapToGrid/>
          <w:sz w:val="24"/>
          <w:szCs w:val="22"/>
        </w:rPr>
        <w:t>At t</w:t>
      </w:r>
      <w:r w:rsidR="00565195" w:rsidRPr="00503AD7">
        <w:rPr>
          <w:rFonts w:asciiTheme="minorHAnsi" w:eastAsiaTheme="minorHAnsi" w:hAnsiTheme="minorHAnsi" w:cstheme="minorBidi"/>
          <w:snapToGrid/>
          <w:sz w:val="24"/>
          <w:szCs w:val="22"/>
        </w:rPr>
        <w:t xml:space="preserve">he </w:t>
      </w:r>
      <w:r w:rsidR="00FD15CA" w:rsidRPr="00503AD7">
        <w:rPr>
          <w:rFonts w:asciiTheme="minorHAnsi" w:eastAsiaTheme="minorHAnsi" w:hAnsiTheme="minorHAnsi" w:cstheme="minorBidi"/>
          <w:snapToGrid/>
          <w:sz w:val="24"/>
          <w:szCs w:val="22"/>
        </w:rPr>
        <w:t xml:space="preserve">November 2018 </w:t>
      </w:r>
      <w:r w:rsidR="00503AD7" w:rsidRPr="00503AD7">
        <w:rPr>
          <w:rFonts w:asciiTheme="minorHAnsi" w:eastAsiaTheme="minorHAnsi" w:hAnsiTheme="minorHAnsi" w:cstheme="minorBidi"/>
          <w:snapToGrid/>
          <w:sz w:val="24"/>
          <w:szCs w:val="22"/>
        </w:rPr>
        <w:t>meeting,</w:t>
      </w:r>
      <w:r w:rsidR="00F47281" w:rsidRPr="00503AD7">
        <w:rPr>
          <w:rFonts w:asciiTheme="minorHAnsi" w:eastAsiaTheme="minorHAnsi" w:hAnsiTheme="minorHAnsi" w:cstheme="minorBidi"/>
          <w:snapToGrid/>
          <w:sz w:val="24"/>
          <w:szCs w:val="22"/>
        </w:rPr>
        <w:t xml:space="preserve"> the </w:t>
      </w:r>
      <w:r w:rsidR="00565195" w:rsidRPr="00503AD7">
        <w:rPr>
          <w:rFonts w:asciiTheme="minorHAnsi" w:eastAsiaTheme="minorHAnsi" w:hAnsiTheme="minorHAnsi" w:cstheme="minorBidi"/>
          <w:snapToGrid/>
          <w:sz w:val="24"/>
          <w:szCs w:val="22"/>
        </w:rPr>
        <w:t xml:space="preserve">PBAC </w:t>
      </w:r>
      <w:r w:rsidR="00FD15CA" w:rsidRPr="00503AD7">
        <w:rPr>
          <w:rFonts w:asciiTheme="minorHAnsi" w:eastAsiaTheme="minorHAnsi" w:hAnsiTheme="minorHAnsi" w:cstheme="minorBidi"/>
          <w:snapToGrid/>
          <w:sz w:val="24"/>
          <w:szCs w:val="22"/>
        </w:rPr>
        <w:t>“</w:t>
      </w:r>
      <w:r w:rsidR="00565195" w:rsidRPr="00503AD7">
        <w:rPr>
          <w:rFonts w:asciiTheme="minorHAnsi" w:eastAsiaTheme="minorHAnsi" w:hAnsiTheme="minorHAnsi" w:cstheme="minorBidi"/>
          <w:snapToGrid/>
          <w:sz w:val="24"/>
          <w:szCs w:val="22"/>
        </w:rPr>
        <w:t>noted that the submission did not seek listing in patients with Philadelphia chromosome positive disease and no economic or financial data were provided in the submission for this population. However, the PBAC considered there is a high clinical need in this patient group and noted that the INO-VATE ALL trial included patients with Philadelphia chromosome positive disease</w:t>
      </w:r>
      <w:r w:rsidR="00FD15CA" w:rsidRPr="00503AD7">
        <w:rPr>
          <w:rFonts w:asciiTheme="minorHAnsi" w:eastAsiaTheme="minorHAnsi" w:hAnsiTheme="minorHAnsi" w:cstheme="minorBidi"/>
          <w:snapToGrid/>
          <w:sz w:val="24"/>
          <w:szCs w:val="22"/>
        </w:rPr>
        <w:t>”</w:t>
      </w:r>
      <w:r w:rsidR="00565195" w:rsidRPr="00503AD7">
        <w:rPr>
          <w:rFonts w:asciiTheme="minorHAnsi" w:eastAsiaTheme="minorHAnsi" w:hAnsiTheme="minorHAnsi" w:cstheme="minorBidi"/>
          <w:snapToGrid/>
          <w:sz w:val="24"/>
          <w:szCs w:val="22"/>
        </w:rPr>
        <w:t xml:space="preserve"> (inotuzumab PSD, November 2018, paragraph 7.3).</w:t>
      </w:r>
      <w:r w:rsidRPr="00503AD7">
        <w:rPr>
          <w:rFonts w:asciiTheme="minorHAnsi" w:eastAsiaTheme="minorHAnsi" w:hAnsiTheme="minorHAnsi" w:cstheme="minorBidi"/>
          <w:snapToGrid/>
          <w:sz w:val="24"/>
          <w:szCs w:val="22"/>
        </w:rPr>
        <w:t xml:space="preserve"> </w:t>
      </w:r>
    </w:p>
    <w:p w:rsidR="00BA4267" w:rsidRPr="00503AD7" w:rsidRDefault="002D18A3" w:rsidP="002D18A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03AD7">
        <w:rPr>
          <w:rFonts w:asciiTheme="minorHAnsi" w:eastAsiaTheme="minorHAnsi" w:hAnsiTheme="minorHAnsi" w:cstheme="minorBidi"/>
          <w:snapToGrid/>
          <w:sz w:val="24"/>
          <w:szCs w:val="22"/>
        </w:rPr>
        <w:t>At the November 2018 meeting, th</w:t>
      </w:r>
      <w:r w:rsidR="001D3027" w:rsidRPr="00503AD7">
        <w:rPr>
          <w:rFonts w:asciiTheme="minorHAnsi" w:eastAsiaTheme="minorHAnsi" w:hAnsiTheme="minorHAnsi" w:cstheme="minorBidi"/>
          <w:snapToGrid/>
          <w:sz w:val="24"/>
          <w:szCs w:val="22"/>
        </w:rPr>
        <w:t>e PBAC considered that sequential use of inotuzumab and blinatumomab (in either order) would be clinically appropriate in some patients given the differing mechanisms of action and the clinical need for additional therapeutic options for patients who are unable to receive a haematopoietic stem cell transplant (HSCT) or who progress after an HSCT (inotuzumab PSD, July 2018, paragraph 7.2).</w:t>
      </w:r>
      <w:r w:rsidRPr="00503AD7">
        <w:rPr>
          <w:rFonts w:asciiTheme="minorHAnsi" w:eastAsiaTheme="minorHAnsi" w:hAnsiTheme="minorHAnsi" w:cstheme="minorBidi"/>
          <w:snapToGrid/>
          <w:sz w:val="24"/>
          <w:szCs w:val="22"/>
        </w:rPr>
        <w:t xml:space="preserve"> </w:t>
      </w:r>
      <w:r w:rsidR="00BA4267" w:rsidRPr="00503AD7">
        <w:rPr>
          <w:rFonts w:asciiTheme="minorHAnsi" w:eastAsiaTheme="minorHAnsi" w:hAnsiTheme="minorHAnsi" w:cstheme="minorBidi"/>
          <w:snapToGrid/>
          <w:sz w:val="24"/>
          <w:szCs w:val="22"/>
        </w:rPr>
        <w:t xml:space="preserve">The PBAC considered that the inotuzumab restriction should only allow use in first or second salvage, consistent with the inclusion criteria in the INO-VATE ALL </w:t>
      </w:r>
      <w:r w:rsidR="008427E8" w:rsidRPr="00503AD7">
        <w:rPr>
          <w:rFonts w:asciiTheme="minorHAnsi" w:eastAsiaTheme="minorHAnsi" w:hAnsiTheme="minorHAnsi" w:cstheme="minorBidi"/>
          <w:snapToGrid/>
          <w:sz w:val="24"/>
          <w:szCs w:val="22"/>
        </w:rPr>
        <w:t>trial (</w:t>
      </w:r>
      <w:r w:rsidR="00BA4267" w:rsidRPr="00503AD7">
        <w:rPr>
          <w:rFonts w:asciiTheme="minorHAnsi" w:eastAsiaTheme="minorHAnsi" w:hAnsiTheme="minorHAnsi" w:cstheme="minorBidi"/>
          <w:snapToGrid/>
          <w:sz w:val="24"/>
          <w:szCs w:val="22"/>
        </w:rPr>
        <w:t xml:space="preserve">inotuzumab PSD, </w:t>
      </w:r>
      <w:r w:rsidR="00565195" w:rsidRPr="00503AD7">
        <w:rPr>
          <w:rFonts w:asciiTheme="minorHAnsi" w:eastAsiaTheme="minorHAnsi" w:hAnsiTheme="minorHAnsi" w:cstheme="minorBidi"/>
          <w:snapToGrid/>
          <w:sz w:val="24"/>
          <w:szCs w:val="22"/>
        </w:rPr>
        <w:t>November</w:t>
      </w:r>
      <w:r w:rsidR="00BA4267" w:rsidRPr="00503AD7">
        <w:rPr>
          <w:rFonts w:asciiTheme="minorHAnsi" w:eastAsiaTheme="minorHAnsi" w:hAnsiTheme="minorHAnsi" w:cstheme="minorBidi"/>
          <w:snapToGrid/>
          <w:sz w:val="24"/>
          <w:szCs w:val="22"/>
        </w:rPr>
        <w:t xml:space="preserve"> 2018, paragraph 7.6). </w:t>
      </w:r>
    </w:p>
    <w:p w:rsidR="008A1956" w:rsidRPr="00503AD7" w:rsidRDefault="00F47281" w:rsidP="006307E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03AD7">
        <w:rPr>
          <w:rFonts w:asciiTheme="minorHAnsi" w:eastAsiaTheme="minorHAnsi" w:hAnsiTheme="minorHAnsi" w:cstheme="minorBidi"/>
          <w:snapToGrid/>
          <w:sz w:val="24"/>
          <w:szCs w:val="22"/>
        </w:rPr>
        <w:t xml:space="preserve">To </w:t>
      </w:r>
      <w:r w:rsidR="0046365E" w:rsidRPr="00503AD7">
        <w:rPr>
          <w:rFonts w:asciiTheme="minorHAnsi" w:eastAsiaTheme="minorHAnsi" w:hAnsiTheme="minorHAnsi" w:cstheme="minorBidi"/>
          <w:snapToGrid/>
          <w:sz w:val="24"/>
          <w:szCs w:val="22"/>
        </w:rPr>
        <w:t>inform</w:t>
      </w:r>
      <w:r w:rsidRPr="00503AD7">
        <w:rPr>
          <w:rFonts w:asciiTheme="minorHAnsi" w:eastAsiaTheme="minorHAnsi" w:hAnsiTheme="minorHAnsi" w:cstheme="minorBidi"/>
          <w:snapToGrid/>
          <w:sz w:val="24"/>
          <w:szCs w:val="22"/>
        </w:rPr>
        <w:t xml:space="preserve"> </w:t>
      </w:r>
      <w:r w:rsidR="0046365E" w:rsidRPr="00503AD7">
        <w:rPr>
          <w:rFonts w:asciiTheme="minorHAnsi" w:eastAsiaTheme="minorHAnsi" w:hAnsiTheme="minorHAnsi" w:cstheme="minorBidi"/>
          <w:snapToGrid/>
          <w:sz w:val="24"/>
          <w:szCs w:val="22"/>
        </w:rPr>
        <w:t>changes to the current RSA</w:t>
      </w:r>
      <w:r w:rsidRPr="00503AD7">
        <w:rPr>
          <w:rFonts w:asciiTheme="minorHAnsi" w:eastAsiaTheme="minorHAnsi" w:hAnsiTheme="minorHAnsi" w:cstheme="minorBidi"/>
          <w:snapToGrid/>
          <w:sz w:val="24"/>
          <w:szCs w:val="22"/>
        </w:rPr>
        <w:t>,</w:t>
      </w:r>
      <w:r w:rsidR="007413C3" w:rsidRPr="00503AD7">
        <w:rPr>
          <w:rFonts w:asciiTheme="minorHAnsi" w:eastAsiaTheme="minorHAnsi" w:hAnsiTheme="minorHAnsi" w:cstheme="minorBidi"/>
          <w:snapToGrid/>
          <w:sz w:val="24"/>
          <w:szCs w:val="22"/>
        </w:rPr>
        <w:t xml:space="preserve"> the sponsor of inotuzumab provide</w:t>
      </w:r>
      <w:r w:rsidRPr="00503AD7">
        <w:rPr>
          <w:rFonts w:asciiTheme="minorHAnsi" w:eastAsiaTheme="minorHAnsi" w:hAnsiTheme="minorHAnsi" w:cstheme="minorBidi"/>
          <w:snapToGrid/>
          <w:sz w:val="24"/>
          <w:szCs w:val="22"/>
        </w:rPr>
        <w:t>d</w:t>
      </w:r>
      <w:r w:rsidR="007413C3" w:rsidRPr="00503AD7">
        <w:rPr>
          <w:rFonts w:asciiTheme="minorHAnsi" w:eastAsiaTheme="minorHAnsi" w:hAnsiTheme="minorHAnsi" w:cstheme="minorBidi"/>
          <w:snapToGrid/>
          <w:sz w:val="24"/>
          <w:szCs w:val="22"/>
        </w:rPr>
        <w:t xml:space="preserve"> information regarding the likely financial implications of </w:t>
      </w:r>
      <w:r w:rsidR="00A32E80" w:rsidRPr="00503AD7">
        <w:rPr>
          <w:rFonts w:asciiTheme="minorHAnsi" w:eastAsiaTheme="minorHAnsi" w:hAnsiTheme="minorHAnsi" w:cstheme="minorBidi"/>
          <w:snapToGrid/>
          <w:sz w:val="24"/>
          <w:szCs w:val="22"/>
        </w:rPr>
        <w:t>expanding the intended</w:t>
      </w:r>
      <w:r w:rsidR="007413C3" w:rsidRPr="00503AD7">
        <w:rPr>
          <w:rFonts w:asciiTheme="minorHAnsi" w:eastAsiaTheme="minorHAnsi" w:hAnsiTheme="minorHAnsi" w:cstheme="minorBidi"/>
          <w:snapToGrid/>
          <w:sz w:val="24"/>
          <w:szCs w:val="22"/>
        </w:rPr>
        <w:t xml:space="preserve"> PBS-restriction for inotuzumab</w:t>
      </w:r>
      <w:r w:rsidR="00A32E80" w:rsidRPr="00503AD7">
        <w:rPr>
          <w:rFonts w:asciiTheme="minorHAnsi" w:eastAsiaTheme="minorHAnsi" w:hAnsiTheme="minorHAnsi" w:cstheme="minorBidi"/>
          <w:snapToGrid/>
          <w:sz w:val="24"/>
          <w:szCs w:val="22"/>
        </w:rPr>
        <w:t xml:space="preserve"> to include patients with </w:t>
      </w:r>
      <w:r w:rsidRPr="00503AD7">
        <w:rPr>
          <w:rFonts w:asciiTheme="minorHAnsi" w:eastAsiaTheme="minorHAnsi" w:hAnsiTheme="minorHAnsi" w:cstheme="minorBidi"/>
          <w:snapToGrid/>
          <w:sz w:val="24"/>
          <w:szCs w:val="22"/>
        </w:rPr>
        <w:t>Ph+</w:t>
      </w:r>
      <w:r w:rsidR="007413C3" w:rsidRPr="00503AD7">
        <w:rPr>
          <w:rFonts w:asciiTheme="minorHAnsi" w:eastAsiaTheme="minorHAnsi" w:hAnsiTheme="minorHAnsi" w:cstheme="minorBidi"/>
          <w:snapToGrid/>
          <w:sz w:val="24"/>
          <w:szCs w:val="22"/>
        </w:rPr>
        <w:t xml:space="preserve"> </w:t>
      </w:r>
      <w:r w:rsidR="00A43A4E" w:rsidRPr="00503AD7">
        <w:rPr>
          <w:rFonts w:asciiTheme="minorHAnsi" w:eastAsiaTheme="minorHAnsi" w:hAnsiTheme="minorHAnsi" w:cstheme="minorBidi"/>
          <w:snapToGrid/>
          <w:sz w:val="24"/>
          <w:szCs w:val="22"/>
        </w:rPr>
        <w:t>R/R B-ALL</w:t>
      </w:r>
      <w:r w:rsidR="00FD15CA" w:rsidRPr="00503AD7">
        <w:rPr>
          <w:rFonts w:asciiTheme="minorHAnsi" w:eastAsiaTheme="minorHAnsi" w:hAnsiTheme="minorHAnsi" w:cstheme="minorBidi"/>
          <w:snapToGrid/>
          <w:sz w:val="24"/>
          <w:szCs w:val="22"/>
        </w:rPr>
        <w:t xml:space="preserve"> (i.e. amending the listing so as not to restrict access based on Philadelphia chromosome status)</w:t>
      </w:r>
      <w:r w:rsidR="00503AD7">
        <w:rPr>
          <w:rFonts w:asciiTheme="minorHAnsi" w:eastAsiaTheme="minorHAnsi" w:hAnsiTheme="minorHAnsi" w:cstheme="minorBidi"/>
          <w:snapToGrid/>
          <w:sz w:val="24"/>
          <w:szCs w:val="22"/>
        </w:rPr>
        <w:t xml:space="preserve">. </w:t>
      </w:r>
    </w:p>
    <w:p w:rsidR="00163ADB" w:rsidRDefault="00163ADB">
      <w:pPr>
        <w:rPr>
          <w:rFonts w:asciiTheme="minorHAnsi" w:hAnsiTheme="minorHAnsi" w:cs="Arial"/>
          <w:b/>
          <w:snapToGrid w:val="0"/>
          <w:sz w:val="32"/>
          <w:szCs w:val="32"/>
          <w:lang w:eastAsia="en-US"/>
        </w:rPr>
      </w:pPr>
      <w:r>
        <w:rPr>
          <w:rFonts w:asciiTheme="minorHAnsi" w:hAnsiTheme="minorHAnsi"/>
          <w:sz w:val="32"/>
          <w:szCs w:val="32"/>
        </w:rPr>
        <w:br w:type="page"/>
      </w:r>
    </w:p>
    <w:p w:rsidR="005A3173" w:rsidRPr="00503AD7" w:rsidRDefault="005A3173" w:rsidP="00D31150">
      <w:pPr>
        <w:pStyle w:val="PBACHeading1"/>
        <w:spacing w:before="240" w:after="120"/>
        <w:ind w:left="709" w:hanging="709"/>
        <w:rPr>
          <w:rFonts w:asciiTheme="minorHAnsi" w:hAnsiTheme="minorHAnsi"/>
          <w:sz w:val="32"/>
          <w:szCs w:val="32"/>
        </w:rPr>
      </w:pPr>
      <w:r w:rsidRPr="00503AD7">
        <w:rPr>
          <w:rFonts w:asciiTheme="minorHAnsi" w:hAnsiTheme="minorHAnsi"/>
          <w:sz w:val="32"/>
          <w:szCs w:val="32"/>
        </w:rPr>
        <w:lastRenderedPageBreak/>
        <w:t>C</w:t>
      </w:r>
      <w:r w:rsidR="00BA1786" w:rsidRPr="00503AD7">
        <w:rPr>
          <w:rFonts w:asciiTheme="minorHAnsi" w:hAnsiTheme="minorHAnsi"/>
          <w:sz w:val="32"/>
          <w:szCs w:val="32"/>
        </w:rPr>
        <w:t>urrent situation</w:t>
      </w:r>
    </w:p>
    <w:p w:rsidR="00746273" w:rsidRPr="00746273" w:rsidRDefault="00BB353F" w:rsidP="0074627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03AD7">
        <w:rPr>
          <w:rFonts w:asciiTheme="minorHAnsi" w:eastAsiaTheme="minorHAnsi" w:hAnsiTheme="minorHAnsi" w:cstheme="minorBidi"/>
          <w:snapToGrid/>
          <w:sz w:val="24"/>
          <w:szCs w:val="22"/>
        </w:rPr>
        <w:t xml:space="preserve">TGA status: </w:t>
      </w:r>
      <w:r w:rsidRPr="00503AD7">
        <w:rPr>
          <w:rFonts w:asciiTheme="minorHAnsi" w:hAnsiTheme="minorHAnsi"/>
          <w:sz w:val="24"/>
          <w:szCs w:val="24"/>
        </w:rPr>
        <w:t>Inotuzumab was listed on the Australian Register of Therapeutic Goods on May 17, 2018 for the treatment of adults with relapsed or refractory CD22‐positive B-cell precursor ALL.</w:t>
      </w:r>
    </w:p>
    <w:p w:rsidR="00303B9A" w:rsidRPr="00746273" w:rsidRDefault="00303B9A" w:rsidP="00746273">
      <w:pPr>
        <w:pStyle w:val="PBACHeading1"/>
        <w:numPr>
          <w:ilvl w:val="0"/>
          <w:numId w:val="0"/>
        </w:numPr>
        <w:spacing w:before="240" w:after="120"/>
        <w:ind w:left="720" w:hanging="720"/>
        <w:rPr>
          <w:rFonts w:asciiTheme="minorHAnsi" w:hAnsiTheme="minorHAnsi"/>
          <w:i/>
          <w:sz w:val="28"/>
          <w:szCs w:val="28"/>
        </w:rPr>
      </w:pPr>
      <w:r w:rsidRPr="00746273">
        <w:rPr>
          <w:rFonts w:asciiTheme="minorHAnsi" w:hAnsiTheme="minorHAnsi"/>
          <w:i/>
          <w:sz w:val="28"/>
          <w:szCs w:val="28"/>
        </w:rPr>
        <w:t>Restriction</w:t>
      </w:r>
    </w:p>
    <w:p w:rsidR="00A32E80" w:rsidRPr="00751FFD" w:rsidRDefault="00303B9A" w:rsidP="00A32E80">
      <w:pPr>
        <w:pStyle w:val="ListParagraph"/>
        <w:numPr>
          <w:ilvl w:val="1"/>
          <w:numId w:val="14"/>
        </w:numPr>
        <w:rPr>
          <w:rFonts w:asciiTheme="minorHAnsi" w:hAnsiTheme="minorHAnsi"/>
          <w:sz w:val="24"/>
          <w:szCs w:val="24"/>
        </w:rPr>
      </w:pPr>
      <w:r w:rsidRPr="00503AD7">
        <w:rPr>
          <w:rFonts w:asciiTheme="minorHAnsi" w:hAnsiTheme="minorHAnsi"/>
          <w:sz w:val="24"/>
          <w:szCs w:val="24"/>
        </w:rPr>
        <w:t xml:space="preserve">The sponsor </w:t>
      </w:r>
      <w:r w:rsidR="00BB353F" w:rsidRPr="00503AD7">
        <w:rPr>
          <w:rFonts w:asciiTheme="minorHAnsi" w:hAnsiTheme="minorHAnsi"/>
          <w:sz w:val="24"/>
          <w:szCs w:val="24"/>
        </w:rPr>
        <w:t>did</w:t>
      </w:r>
      <w:r w:rsidRPr="00503AD7">
        <w:rPr>
          <w:rFonts w:asciiTheme="minorHAnsi" w:hAnsiTheme="minorHAnsi"/>
          <w:sz w:val="24"/>
          <w:szCs w:val="24"/>
        </w:rPr>
        <w:t xml:space="preserve"> not propose a revised restriction. </w:t>
      </w:r>
      <w:r w:rsidR="004934C4" w:rsidRPr="00503AD7">
        <w:rPr>
          <w:rFonts w:asciiTheme="minorHAnsi" w:hAnsiTheme="minorHAnsi"/>
          <w:sz w:val="24"/>
          <w:szCs w:val="24"/>
        </w:rPr>
        <w:t>Compared with</w:t>
      </w:r>
      <w:r w:rsidR="00A32E80" w:rsidRPr="00503AD7">
        <w:rPr>
          <w:rFonts w:asciiTheme="minorHAnsi" w:hAnsiTheme="minorHAnsi"/>
          <w:sz w:val="24"/>
          <w:szCs w:val="24"/>
        </w:rPr>
        <w:t xml:space="preserve"> an abridged version of</w:t>
      </w:r>
      <w:r w:rsidR="004934C4" w:rsidRPr="00503AD7">
        <w:rPr>
          <w:rFonts w:asciiTheme="minorHAnsi" w:hAnsiTheme="minorHAnsi"/>
          <w:sz w:val="24"/>
          <w:szCs w:val="24"/>
        </w:rPr>
        <w:t xml:space="preserve"> the recommended </w:t>
      </w:r>
      <w:r w:rsidR="00A32E80" w:rsidRPr="00503AD7">
        <w:rPr>
          <w:rFonts w:asciiTheme="minorHAnsi" w:hAnsiTheme="minorHAnsi"/>
          <w:sz w:val="24"/>
          <w:szCs w:val="24"/>
        </w:rPr>
        <w:t xml:space="preserve">induction </w:t>
      </w:r>
      <w:r w:rsidR="004934C4" w:rsidRPr="00503AD7">
        <w:rPr>
          <w:rFonts w:asciiTheme="minorHAnsi" w:hAnsiTheme="minorHAnsi"/>
          <w:sz w:val="24"/>
          <w:szCs w:val="24"/>
        </w:rPr>
        <w:t xml:space="preserve">restriction </w:t>
      </w:r>
      <w:r w:rsidR="00A32E80" w:rsidRPr="00503AD7">
        <w:rPr>
          <w:rFonts w:asciiTheme="minorHAnsi" w:hAnsiTheme="minorHAnsi"/>
          <w:sz w:val="24"/>
          <w:szCs w:val="24"/>
        </w:rPr>
        <w:t>for</w:t>
      </w:r>
      <w:r w:rsidR="004934C4" w:rsidRPr="00503AD7">
        <w:rPr>
          <w:rFonts w:asciiTheme="minorHAnsi" w:hAnsiTheme="minorHAnsi"/>
          <w:sz w:val="24"/>
          <w:szCs w:val="24"/>
        </w:rPr>
        <w:t xml:space="preserve"> Ph- patients, t</w:t>
      </w:r>
      <w:r w:rsidRPr="00503AD7">
        <w:rPr>
          <w:rFonts w:asciiTheme="minorHAnsi" w:hAnsiTheme="minorHAnsi"/>
          <w:sz w:val="24"/>
          <w:szCs w:val="24"/>
        </w:rPr>
        <w:t xml:space="preserve">he PBAC’s suggested deletions </w:t>
      </w:r>
      <w:r w:rsidR="001F440F" w:rsidRPr="00503AD7">
        <w:rPr>
          <w:rFonts w:asciiTheme="minorHAnsi" w:hAnsiTheme="minorHAnsi"/>
          <w:sz w:val="24"/>
          <w:szCs w:val="24"/>
        </w:rPr>
        <w:t xml:space="preserve">are </w:t>
      </w:r>
      <w:r w:rsidRPr="00503AD7">
        <w:rPr>
          <w:rFonts w:asciiTheme="minorHAnsi" w:hAnsiTheme="minorHAnsi"/>
          <w:sz w:val="24"/>
          <w:szCs w:val="24"/>
        </w:rPr>
        <w:t xml:space="preserve">in strikethrough. </w:t>
      </w:r>
    </w:p>
    <w:p w:rsidR="00303B9A" w:rsidRPr="00503AD7" w:rsidRDefault="00303B9A" w:rsidP="00A32E80">
      <w:pPr>
        <w:keepNext/>
        <w:keepLines/>
        <w:snapToGrid w:val="0"/>
        <w:jc w:val="both"/>
        <w:rPr>
          <w:rFonts w:ascii="Calibri" w:hAnsi="Calibri" w:cs="Arial"/>
          <w:b/>
          <w:szCs w:val="22"/>
          <w:lang w:eastAsia="en-US"/>
        </w:rPr>
      </w:pPr>
      <w:r w:rsidRPr="00503AD7">
        <w:rPr>
          <w:rFonts w:ascii="Calibri" w:hAnsi="Calibri" w:cs="Arial"/>
          <w:b/>
          <w:szCs w:val="22"/>
          <w:lang w:eastAsia="en-US"/>
        </w:rPr>
        <w:t>Induction</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4"/>
        <w:gridCol w:w="1405"/>
      </w:tblGrid>
      <w:tr w:rsidR="00303B9A" w:rsidRPr="00503AD7" w:rsidTr="00FF75C9">
        <w:trPr>
          <w:cantSplit/>
          <w:trHeight w:val="463"/>
        </w:trPr>
        <w:tc>
          <w:tcPr>
            <w:tcW w:w="1405" w:type="pct"/>
            <w:gridSpan w:val="2"/>
            <w:tcBorders>
              <w:top w:val="single" w:sz="4" w:space="0" w:color="auto"/>
              <w:left w:val="nil"/>
              <w:bottom w:val="single" w:sz="4" w:space="0" w:color="auto"/>
              <w:right w:val="nil"/>
            </w:tcBorders>
            <w:vAlign w:val="center"/>
          </w:tcPr>
          <w:p w:rsidR="00303B9A" w:rsidRPr="00503AD7" w:rsidRDefault="00303B9A" w:rsidP="00A32E80">
            <w:pPr>
              <w:keepNext/>
              <w:keepLines/>
              <w:snapToGrid w:val="0"/>
              <w:jc w:val="both"/>
              <w:rPr>
                <w:rFonts w:ascii="Arial Narrow" w:hAnsi="Arial Narrow" w:cs="Arial"/>
                <w:b/>
                <w:sz w:val="20"/>
                <w:szCs w:val="22"/>
                <w:lang w:eastAsia="en-US"/>
              </w:rPr>
            </w:pPr>
            <w:r w:rsidRPr="00503AD7">
              <w:rPr>
                <w:rFonts w:ascii="Arial Narrow" w:hAnsi="Arial Narrow" w:cs="Arial"/>
                <w:b/>
                <w:sz w:val="20"/>
                <w:szCs w:val="22"/>
                <w:lang w:eastAsia="en-US"/>
              </w:rPr>
              <w:t>Name, Restriction,</w:t>
            </w:r>
          </w:p>
          <w:p w:rsidR="00303B9A" w:rsidRPr="00503AD7" w:rsidRDefault="00303B9A" w:rsidP="00A32E80">
            <w:pPr>
              <w:keepNext/>
              <w:keepLines/>
              <w:snapToGrid w:val="0"/>
              <w:jc w:val="both"/>
              <w:rPr>
                <w:rFonts w:ascii="Arial Narrow" w:hAnsi="Arial Narrow" w:cs="Arial"/>
                <w:b/>
                <w:sz w:val="20"/>
                <w:szCs w:val="22"/>
                <w:lang w:eastAsia="en-US"/>
              </w:rPr>
            </w:pPr>
            <w:r w:rsidRPr="00503AD7">
              <w:rPr>
                <w:rFonts w:ascii="Arial Narrow" w:hAnsi="Arial Narrow" w:cs="Arial"/>
                <w:b/>
                <w:sz w:val="20"/>
                <w:szCs w:val="22"/>
                <w:lang w:eastAsia="en-US"/>
              </w:rPr>
              <w:t>Manner of administration and form</w:t>
            </w:r>
          </w:p>
        </w:tc>
        <w:tc>
          <w:tcPr>
            <w:tcW w:w="472" w:type="pct"/>
            <w:tcBorders>
              <w:top w:val="single" w:sz="4" w:space="0" w:color="auto"/>
              <w:left w:val="nil"/>
              <w:bottom w:val="single" w:sz="4" w:space="0" w:color="auto"/>
              <w:right w:val="nil"/>
            </w:tcBorders>
            <w:vAlign w:val="center"/>
          </w:tcPr>
          <w:p w:rsidR="00303B9A" w:rsidRPr="00503AD7" w:rsidRDefault="00303B9A" w:rsidP="00A32E80">
            <w:pPr>
              <w:keepNext/>
              <w:keepLines/>
              <w:snapToGrid w:val="0"/>
              <w:jc w:val="center"/>
              <w:rPr>
                <w:rFonts w:ascii="Arial Narrow" w:hAnsi="Arial Narrow" w:cs="Arial"/>
                <w:b/>
                <w:sz w:val="20"/>
                <w:szCs w:val="22"/>
                <w:lang w:eastAsia="en-US"/>
              </w:rPr>
            </w:pPr>
            <w:r w:rsidRPr="00503AD7">
              <w:rPr>
                <w:rFonts w:ascii="Arial Narrow" w:hAnsi="Arial Narrow" w:cs="Arial"/>
                <w:b/>
                <w:sz w:val="20"/>
                <w:szCs w:val="22"/>
                <w:lang w:eastAsia="en-US"/>
              </w:rPr>
              <w:t>Max.</w:t>
            </w:r>
          </w:p>
          <w:p w:rsidR="00303B9A" w:rsidRPr="00503AD7" w:rsidRDefault="00303B9A" w:rsidP="00A32E80">
            <w:pPr>
              <w:keepNext/>
              <w:keepLines/>
              <w:snapToGrid w:val="0"/>
              <w:jc w:val="center"/>
              <w:rPr>
                <w:rFonts w:ascii="Arial Narrow" w:hAnsi="Arial Narrow" w:cs="Arial"/>
                <w:b/>
                <w:sz w:val="20"/>
                <w:szCs w:val="22"/>
                <w:lang w:eastAsia="en-US"/>
              </w:rPr>
            </w:pPr>
            <w:r w:rsidRPr="00503AD7">
              <w:rPr>
                <w:rFonts w:ascii="Arial Narrow" w:hAnsi="Arial Narrow" w:cs="Arial"/>
                <w:b/>
                <w:sz w:val="20"/>
                <w:szCs w:val="22"/>
                <w:lang w:eastAsia="en-US"/>
              </w:rPr>
              <w:t>Amt</w:t>
            </w:r>
          </w:p>
        </w:tc>
        <w:tc>
          <w:tcPr>
            <w:tcW w:w="867" w:type="pct"/>
            <w:tcBorders>
              <w:top w:val="single" w:sz="4" w:space="0" w:color="auto"/>
              <w:left w:val="nil"/>
              <w:bottom w:val="single" w:sz="4" w:space="0" w:color="auto"/>
              <w:right w:val="nil"/>
            </w:tcBorders>
            <w:vAlign w:val="center"/>
          </w:tcPr>
          <w:p w:rsidR="00303B9A" w:rsidRPr="00503AD7" w:rsidRDefault="00303B9A" w:rsidP="00A32E80">
            <w:pPr>
              <w:keepNext/>
              <w:keepLines/>
              <w:snapToGrid w:val="0"/>
              <w:jc w:val="center"/>
              <w:rPr>
                <w:rFonts w:ascii="Arial Narrow" w:hAnsi="Arial Narrow" w:cs="Arial"/>
                <w:b/>
                <w:sz w:val="20"/>
                <w:szCs w:val="22"/>
                <w:lang w:eastAsia="en-US"/>
              </w:rPr>
            </w:pPr>
            <w:r w:rsidRPr="00503AD7">
              <w:rPr>
                <w:rFonts w:ascii="Arial Narrow" w:hAnsi="Arial Narrow" w:cs="Arial"/>
                <w:b/>
                <w:sz w:val="20"/>
                <w:szCs w:val="22"/>
                <w:lang w:eastAsia="en-US"/>
              </w:rPr>
              <w:t>№.of</w:t>
            </w:r>
          </w:p>
          <w:p w:rsidR="00303B9A" w:rsidRPr="00503AD7" w:rsidRDefault="00303B9A" w:rsidP="00A32E80">
            <w:pPr>
              <w:keepNext/>
              <w:keepLines/>
              <w:snapToGrid w:val="0"/>
              <w:jc w:val="center"/>
              <w:rPr>
                <w:rFonts w:ascii="Arial Narrow" w:hAnsi="Arial Narrow" w:cs="Arial"/>
                <w:b/>
                <w:sz w:val="20"/>
                <w:szCs w:val="22"/>
                <w:lang w:eastAsia="en-US"/>
              </w:rPr>
            </w:pPr>
            <w:r w:rsidRPr="00503AD7">
              <w:rPr>
                <w:rFonts w:ascii="Arial Narrow" w:hAnsi="Arial Narrow" w:cs="Arial"/>
                <w:b/>
                <w:sz w:val="20"/>
                <w:szCs w:val="22"/>
                <w:lang w:eastAsia="en-US"/>
              </w:rPr>
              <w:t>Rpts</w:t>
            </w:r>
          </w:p>
        </w:tc>
        <w:tc>
          <w:tcPr>
            <w:tcW w:w="314" w:type="pct"/>
            <w:tcBorders>
              <w:top w:val="single" w:sz="4" w:space="0" w:color="auto"/>
              <w:left w:val="nil"/>
              <w:bottom w:val="single" w:sz="4" w:space="0" w:color="auto"/>
              <w:right w:val="nil"/>
            </w:tcBorders>
            <w:vAlign w:val="center"/>
          </w:tcPr>
          <w:p w:rsidR="00303B9A" w:rsidRPr="00503AD7" w:rsidRDefault="00303B9A" w:rsidP="00A32E80">
            <w:pPr>
              <w:keepNext/>
              <w:keepLines/>
              <w:snapToGrid w:val="0"/>
              <w:jc w:val="center"/>
              <w:rPr>
                <w:rFonts w:ascii="Arial Narrow" w:hAnsi="Arial Narrow" w:cs="Arial"/>
                <w:b/>
                <w:sz w:val="20"/>
                <w:szCs w:val="22"/>
                <w:lang w:eastAsia="en-US"/>
              </w:rPr>
            </w:pPr>
          </w:p>
        </w:tc>
        <w:tc>
          <w:tcPr>
            <w:tcW w:w="1942" w:type="pct"/>
            <w:gridSpan w:val="2"/>
            <w:tcBorders>
              <w:top w:val="single" w:sz="4" w:space="0" w:color="auto"/>
              <w:left w:val="nil"/>
              <w:bottom w:val="single" w:sz="4" w:space="0" w:color="auto"/>
              <w:right w:val="nil"/>
            </w:tcBorders>
            <w:vAlign w:val="center"/>
          </w:tcPr>
          <w:p w:rsidR="00303B9A" w:rsidRPr="0075275F" w:rsidRDefault="00303B9A" w:rsidP="00A32E80">
            <w:pPr>
              <w:keepNext/>
              <w:keepLines/>
              <w:snapToGrid w:val="0"/>
              <w:jc w:val="center"/>
              <w:rPr>
                <w:rFonts w:ascii="Arial Narrow" w:hAnsi="Arial Narrow" w:cs="Arial"/>
                <w:b/>
                <w:sz w:val="20"/>
                <w:szCs w:val="22"/>
                <w:lang w:eastAsia="en-US"/>
              </w:rPr>
            </w:pPr>
            <w:r w:rsidRPr="00503AD7">
              <w:rPr>
                <w:rFonts w:ascii="Arial Narrow" w:hAnsi="Arial Narrow" w:cs="Arial"/>
                <w:b/>
                <w:sz w:val="20"/>
                <w:szCs w:val="22"/>
                <w:lang w:eastAsia="en-US"/>
              </w:rPr>
              <w:t>Proprietary Name and Manufacturer</w:t>
            </w:r>
          </w:p>
        </w:tc>
      </w:tr>
      <w:tr w:rsidR="00303B9A" w:rsidRPr="00503AD7" w:rsidTr="00FF75C9">
        <w:trPr>
          <w:cantSplit/>
          <w:trHeight w:val="259"/>
        </w:trPr>
        <w:tc>
          <w:tcPr>
            <w:tcW w:w="1405" w:type="pct"/>
            <w:gridSpan w:val="2"/>
          </w:tcPr>
          <w:p w:rsidR="00303B9A" w:rsidRPr="00503AD7" w:rsidRDefault="00303B9A" w:rsidP="00A32E80">
            <w:pPr>
              <w:keepNext/>
              <w:keepLines/>
              <w:snapToGrid w:val="0"/>
              <w:jc w:val="both"/>
              <w:rPr>
                <w:rFonts w:ascii="Arial Narrow" w:hAnsi="Arial Narrow" w:cs="Arial"/>
                <w:sz w:val="20"/>
                <w:szCs w:val="22"/>
                <w:lang w:eastAsia="en-US"/>
              </w:rPr>
            </w:pPr>
            <w:r w:rsidRPr="00503AD7">
              <w:rPr>
                <w:rFonts w:ascii="Arial Narrow" w:hAnsi="Arial Narrow" w:cs="Arial"/>
                <w:smallCaps/>
                <w:sz w:val="20"/>
                <w:szCs w:val="22"/>
                <w:lang w:eastAsia="en-US"/>
              </w:rPr>
              <w:t>INOTUZUMAB OZOGAMICIN</w:t>
            </w:r>
          </w:p>
        </w:tc>
        <w:tc>
          <w:tcPr>
            <w:tcW w:w="472" w:type="pct"/>
            <w:vAlign w:val="center"/>
          </w:tcPr>
          <w:p w:rsidR="00303B9A" w:rsidRPr="00503AD7" w:rsidRDefault="00303B9A" w:rsidP="00A32E80">
            <w:pPr>
              <w:keepNext/>
              <w:keepLines/>
              <w:snapToGrid w:val="0"/>
              <w:jc w:val="both"/>
              <w:rPr>
                <w:rFonts w:ascii="Arial Narrow" w:hAnsi="Arial Narrow" w:cs="Arial"/>
                <w:sz w:val="20"/>
                <w:szCs w:val="22"/>
                <w:lang w:eastAsia="en-US"/>
              </w:rPr>
            </w:pPr>
          </w:p>
        </w:tc>
        <w:tc>
          <w:tcPr>
            <w:tcW w:w="867" w:type="pct"/>
            <w:vAlign w:val="center"/>
          </w:tcPr>
          <w:p w:rsidR="00303B9A" w:rsidRPr="00503AD7" w:rsidRDefault="00303B9A" w:rsidP="00A32E80">
            <w:pPr>
              <w:keepNext/>
              <w:keepLines/>
              <w:snapToGrid w:val="0"/>
              <w:jc w:val="both"/>
              <w:rPr>
                <w:rFonts w:ascii="Arial Narrow" w:hAnsi="Arial Narrow" w:cs="Arial"/>
                <w:sz w:val="20"/>
                <w:szCs w:val="22"/>
                <w:lang w:eastAsia="en-US"/>
              </w:rPr>
            </w:pPr>
          </w:p>
        </w:tc>
        <w:tc>
          <w:tcPr>
            <w:tcW w:w="314" w:type="pct"/>
            <w:vAlign w:val="center"/>
          </w:tcPr>
          <w:p w:rsidR="00303B9A" w:rsidRPr="00503AD7" w:rsidRDefault="00303B9A" w:rsidP="00A32E80">
            <w:pPr>
              <w:keepNext/>
              <w:keepLines/>
              <w:snapToGrid w:val="0"/>
              <w:jc w:val="both"/>
              <w:rPr>
                <w:rFonts w:ascii="Arial Narrow" w:hAnsi="Arial Narrow" w:cs="Arial"/>
                <w:sz w:val="20"/>
                <w:szCs w:val="22"/>
                <w:lang w:eastAsia="en-US"/>
              </w:rPr>
            </w:pPr>
          </w:p>
        </w:tc>
        <w:tc>
          <w:tcPr>
            <w:tcW w:w="1160" w:type="pct"/>
            <w:vAlign w:val="center"/>
          </w:tcPr>
          <w:p w:rsidR="00303B9A" w:rsidRPr="00503AD7" w:rsidRDefault="00303B9A" w:rsidP="00A32E80">
            <w:pPr>
              <w:keepNext/>
              <w:keepLines/>
              <w:snapToGrid w:val="0"/>
              <w:jc w:val="center"/>
              <w:rPr>
                <w:rFonts w:ascii="Arial Narrow" w:hAnsi="Arial Narrow" w:cs="Arial"/>
                <w:sz w:val="20"/>
                <w:szCs w:val="22"/>
                <w:lang w:eastAsia="en-US"/>
              </w:rPr>
            </w:pPr>
          </w:p>
        </w:tc>
        <w:tc>
          <w:tcPr>
            <w:tcW w:w="782" w:type="pct"/>
            <w:vAlign w:val="center"/>
          </w:tcPr>
          <w:p w:rsidR="00303B9A" w:rsidRPr="00503AD7" w:rsidRDefault="00303B9A" w:rsidP="00A32E80">
            <w:pPr>
              <w:keepNext/>
              <w:keepLines/>
              <w:snapToGrid w:val="0"/>
              <w:jc w:val="both"/>
              <w:rPr>
                <w:rFonts w:ascii="Arial Narrow" w:hAnsi="Arial Narrow" w:cs="Arial"/>
                <w:sz w:val="20"/>
                <w:szCs w:val="22"/>
                <w:lang w:eastAsia="en-US"/>
              </w:rPr>
            </w:pPr>
          </w:p>
        </w:tc>
      </w:tr>
      <w:tr w:rsidR="00303B9A" w:rsidRPr="00503AD7" w:rsidTr="00FF75C9">
        <w:trPr>
          <w:cantSplit/>
          <w:trHeight w:val="538"/>
        </w:trPr>
        <w:tc>
          <w:tcPr>
            <w:tcW w:w="1405" w:type="pct"/>
            <w:gridSpan w:val="2"/>
            <w:vAlign w:val="center"/>
          </w:tcPr>
          <w:p w:rsidR="00303B9A" w:rsidRPr="00503AD7" w:rsidRDefault="00303B9A" w:rsidP="00A32E80">
            <w:pPr>
              <w:keepNext/>
              <w:keepLines/>
              <w:snapToGrid w:val="0"/>
              <w:jc w:val="both"/>
              <w:rPr>
                <w:rFonts w:ascii="Arial Narrow" w:hAnsi="Arial Narrow" w:cs="Arial"/>
                <w:sz w:val="20"/>
                <w:szCs w:val="22"/>
                <w:lang w:eastAsia="en-US"/>
              </w:rPr>
            </w:pPr>
            <w:r w:rsidRPr="00503AD7">
              <w:rPr>
                <w:rFonts w:ascii="Arial Narrow" w:hAnsi="Arial Narrow" w:cs="Arial"/>
                <w:sz w:val="20"/>
                <w:szCs w:val="22"/>
                <w:lang w:eastAsia="en-US"/>
              </w:rPr>
              <w:t>1 mg vial powder for injection</w:t>
            </w:r>
          </w:p>
        </w:tc>
        <w:tc>
          <w:tcPr>
            <w:tcW w:w="472" w:type="pct"/>
            <w:vAlign w:val="center"/>
          </w:tcPr>
          <w:p w:rsidR="00303B9A" w:rsidRPr="00503AD7" w:rsidRDefault="00303B9A" w:rsidP="00A32E80">
            <w:pPr>
              <w:keepNext/>
              <w:keepLines/>
              <w:snapToGrid w:val="0"/>
              <w:jc w:val="center"/>
              <w:rPr>
                <w:rFonts w:ascii="Arial Narrow" w:hAnsi="Arial Narrow" w:cs="Arial"/>
                <w:sz w:val="20"/>
                <w:szCs w:val="22"/>
                <w:lang w:eastAsia="en-US"/>
              </w:rPr>
            </w:pPr>
            <w:r w:rsidRPr="00503AD7">
              <w:rPr>
                <w:rFonts w:ascii="Arial Narrow" w:hAnsi="Arial Narrow" w:cs="Arial"/>
                <w:sz w:val="20"/>
                <w:szCs w:val="22"/>
                <w:lang w:eastAsia="en-US"/>
              </w:rPr>
              <w:t>3384 mcg</w:t>
            </w:r>
          </w:p>
        </w:tc>
        <w:tc>
          <w:tcPr>
            <w:tcW w:w="867" w:type="pct"/>
            <w:vAlign w:val="center"/>
          </w:tcPr>
          <w:p w:rsidR="00303B9A" w:rsidRPr="00503AD7" w:rsidRDefault="00303B9A" w:rsidP="00A32E80">
            <w:pPr>
              <w:keepNext/>
              <w:keepLines/>
              <w:snapToGrid w:val="0"/>
              <w:jc w:val="center"/>
              <w:rPr>
                <w:rFonts w:ascii="Arial Narrow" w:hAnsi="Arial Narrow" w:cs="Arial"/>
                <w:sz w:val="20"/>
                <w:szCs w:val="22"/>
                <w:lang w:eastAsia="en-US"/>
              </w:rPr>
            </w:pPr>
            <w:r w:rsidRPr="00503AD7">
              <w:rPr>
                <w:rFonts w:ascii="Arial Narrow" w:hAnsi="Arial Narrow" w:cs="Arial"/>
                <w:sz w:val="20"/>
                <w:szCs w:val="22"/>
                <w:lang w:eastAsia="en-US"/>
              </w:rPr>
              <w:t>2</w:t>
            </w:r>
          </w:p>
        </w:tc>
        <w:tc>
          <w:tcPr>
            <w:tcW w:w="314" w:type="pct"/>
          </w:tcPr>
          <w:p w:rsidR="00303B9A" w:rsidRPr="00503AD7" w:rsidRDefault="00303B9A" w:rsidP="00A32E80">
            <w:pPr>
              <w:keepNext/>
              <w:keepLines/>
              <w:snapToGrid w:val="0"/>
              <w:jc w:val="both"/>
              <w:rPr>
                <w:rFonts w:ascii="Arial Narrow" w:hAnsi="Arial Narrow" w:cs="Arial"/>
                <w:sz w:val="20"/>
                <w:szCs w:val="22"/>
                <w:lang w:eastAsia="en-US"/>
              </w:rPr>
            </w:pPr>
          </w:p>
        </w:tc>
        <w:tc>
          <w:tcPr>
            <w:tcW w:w="1160" w:type="pct"/>
            <w:vAlign w:val="center"/>
          </w:tcPr>
          <w:p w:rsidR="00303B9A" w:rsidRPr="00503AD7" w:rsidRDefault="00303B9A" w:rsidP="00A32E80">
            <w:pPr>
              <w:keepNext/>
              <w:keepLines/>
              <w:snapToGrid w:val="0"/>
              <w:jc w:val="center"/>
              <w:rPr>
                <w:rFonts w:ascii="Arial Narrow" w:hAnsi="Arial Narrow" w:cs="Arial"/>
                <w:sz w:val="20"/>
                <w:szCs w:val="22"/>
                <w:lang w:eastAsia="en-US"/>
              </w:rPr>
            </w:pPr>
            <w:r w:rsidRPr="00503AD7">
              <w:rPr>
                <w:rFonts w:ascii="Arial Narrow" w:hAnsi="Arial Narrow" w:cs="Arial"/>
                <w:sz w:val="20"/>
                <w:szCs w:val="22"/>
                <w:lang w:eastAsia="en-US"/>
              </w:rPr>
              <w:t>Besponsa®</w:t>
            </w:r>
          </w:p>
        </w:tc>
        <w:tc>
          <w:tcPr>
            <w:tcW w:w="782" w:type="pct"/>
            <w:vAlign w:val="center"/>
          </w:tcPr>
          <w:p w:rsidR="00303B9A" w:rsidRPr="00503AD7" w:rsidRDefault="00303B9A" w:rsidP="00A32E80">
            <w:pPr>
              <w:keepNext/>
              <w:keepLines/>
              <w:snapToGrid w:val="0"/>
              <w:jc w:val="center"/>
              <w:rPr>
                <w:rFonts w:ascii="Arial Narrow" w:hAnsi="Arial Narrow" w:cs="Arial"/>
                <w:sz w:val="20"/>
                <w:szCs w:val="22"/>
                <w:lang w:eastAsia="en-US"/>
              </w:rPr>
            </w:pPr>
            <w:r w:rsidRPr="00503AD7">
              <w:rPr>
                <w:rFonts w:ascii="Arial Narrow" w:hAnsi="Arial Narrow" w:cs="Arial"/>
                <w:sz w:val="20"/>
                <w:szCs w:val="22"/>
                <w:lang w:eastAsia="en-US"/>
              </w:rPr>
              <w:t xml:space="preserve">Pfizer Australia </w:t>
            </w:r>
          </w:p>
          <w:p w:rsidR="00303B9A" w:rsidRPr="00503AD7" w:rsidRDefault="00303B9A" w:rsidP="00A32E80">
            <w:pPr>
              <w:keepNext/>
              <w:keepLines/>
              <w:snapToGrid w:val="0"/>
              <w:jc w:val="center"/>
              <w:rPr>
                <w:rFonts w:ascii="Arial Narrow" w:hAnsi="Arial Narrow" w:cs="Arial"/>
                <w:sz w:val="20"/>
                <w:szCs w:val="22"/>
                <w:lang w:eastAsia="en-US"/>
              </w:rPr>
            </w:pPr>
            <w:r w:rsidRPr="00503AD7">
              <w:rPr>
                <w:rFonts w:ascii="Arial Narrow" w:hAnsi="Arial Narrow" w:cs="Arial"/>
                <w:sz w:val="20"/>
                <w:szCs w:val="22"/>
                <w:lang w:eastAsia="en-US"/>
              </w:rPr>
              <w:t>P/L</w:t>
            </w:r>
          </w:p>
        </w:tc>
      </w:tr>
      <w:tr w:rsidR="00303B9A" w:rsidRPr="00503AD7" w:rsidTr="00FF75C9">
        <w:trPr>
          <w:trHeight w:val="20"/>
        </w:trPr>
        <w:tc>
          <w:tcPr>
            <w:tcW w:w="1252" w:type="pct"/>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jc w:val="both"/>
              <w:rPr>
                <w:rFonts w:ascii="Arial Narrow" w:hAnsi="Arial Narrow" w:cs="Arial"/>
                <w:sz w:val="20"/>
                <w:szCs w:val="20"/>
                <w:lang w:eastAsia="en-US"/>
              </w:rPr>
            </w:pPr>
            <w:r w:rsidRPr="00503AD7">
              <w:rPr>
                <w:rFonts w:ascii="Arial Narrow" w:hAnsi="Arial Narrow" w:cs="Arial"/>
                <w:sz w:val="20"/>
                <w:szCs w:val="20"/>
                <w:lang w:eastAsia="en-US"/>
              </w:rPr>
              <w:t>Category/Program:</w:t>
            </w:r>
          </w:p>
        </w:tc>
        <w:tc>
          <w:tcPr>
            <w:tcW w:w="3748" w:type="pct"/>
            <w:gridSpan w:val="6"/>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S100 – Efficient Funding of Chemotherapy (EFC)</w:t>
            </w:r>
          </w:p>
        </w:tc>
      </w:tr>
      <w:tr w:rsidR="00303B9A" w:rsidRPr="00503AD7" w:rsidTr="00FF75C9">
        <w:trPr>
          <w:trHeight w:val="20"/>
        </w:trPr>
        <w:tc>
          <w:tcPr>
            <w:tcW w:w="1252" w:type="pct"/>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jc w:val="both"/>
              <w:rPr>
                <w:rFonts w:ascii="Arial Narrow" w:hAnsi="Arial Narrow" w:cs="Arial"/>
                <w:sz w:val="20"/>
                <w:szCs w:val="20"/>
                <w:lang w:eastAsia="en-US"/>
              </w:rPr>
            </w:pPr>
            <w:r w:rsidRPr="00503AD7">
              <w:rPr>
                <w:rFonts w:ascii="Arial Narrow" w:hAnsi="Arial Narrow" w:cs="Arial"/>
                <w:sz w:val="20"/>
                <w:szCs w:val="20"/>
                <w:lang w:eastAsia="en-US"/>
              </w:rPr>
              <w:t>PBS indication:</w:t>
            </w:r>
          </w:p>
        </w:tc>
        <w:tc>
          <w:tcPr>
            <w:tcW w:w="3748" w:type="pct"/>
            <w:gridSpan w:val="6"/>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Acute lymphoblastic leukaemia (ALL)</w:t>
            </w:r>
          </w:p>
        </w:tc>
      </w:tr>
      <w:tr w:rsidR="00303B9A" w:rsidRPr="00503AD7" w:rsidTr="00FF75C9">
        <w:trPr>
          <w:trHeight w:val="20"/>
        </w:trPr>
        <w:tc>
          <w:tcPr>
            <w:tcW w:w="1252" w:type="pct"/>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jc w:val="both"/>
              <w:rPr>
                <w:rFonts w:ascii="Arial Narrow" w:hAnsi="Arial Narrow" w:cs="Arial"/>
                <w:sz w:val="20"/>
                <w:szCs w:val="20"/>
                <w:lang w:eastAsia="en-US"/>
              </w:rPr>
            </w:pPr>
            <w:r w:rsidRPr="00503AD7">
              <w:rPr>
                <w:rFonts w:ascii="Arial Narrow" w:hAnsi="Arial Narrow" w:cs="Arial"/>
                <w:sz w:val="20"/>
                <w:szCs w:val="20"/>
                <w:lang w:eastAsia="en-US"/>
              </w:rPr>
              <w:t>Treatment phase:</w:t>
            </w:r>
          </w:p>
        </w:tc>
        <w:tc>
          <w:tcPr>
            <w:tcW w:w="3748" w:type="pct"/>
            <w:gridSpan w:val="6"/>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Induction treatment</w:t>
            </w:r>
          </w:p>
        </w:tc>
      </w:tr>
      <w:tr w:rsidR="00303B9A" w:rsidRPr="00503AD7" w:rsidTr="00FF75C9">
        <w:trPr>
          <w:trHeight w:val="20"/>
        </w:trPr>
        <w:tc>
          <w:tcPr>
            <w:tcW w:w="1252" w:type="pct"/>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jc w:val="both"/>
              <w:rPr>
                <w:rFonts w:ascii="Arial Narrow" w:hAnsi="Arial Narrow" w:cs="Arial"/>
                <w:sz w:val="20"/>
                <w:szCs w:val="20"/>
                <w:lang w:eastAsia="en-US"/>
              </w:rPr>
            </w:pPr>
            <w:r w:rsidRPr="00503AD7">
              <w:rPr>
                <w:rFonts w:ascii="Arial Narrow" w:hAnsi="Arial Narrow" w:cs="Arial"/>
                <w:sz w:val="20"/>
                <w:szCs w:val="20"/>
                <w:lang w:eastAsia="en-US"/>
              </w:rPr>
              <w:t>Restriction:</w:t>
            </w:r>
          </w:p>
        </w:tc>
        <w:tc>
          <w:tcPr>
            <w:tcW w:w="3748" w:type="pct"/>
            <w:gridSpan w:val="6"/>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Authority Required - In Writing</w:t>
            </w:r>
          </w:p>
        </w:tc>
      </w:tr>
      <w:tr w:rsidR="00303B9A" w:rsidRPr="00503AD7" w:rsidTr="00FF75C9">
        <w:trPr>
          <w:trHeight w:val="20"/>
        </w:trPr>
        <w:tc>
          <w:tcPr>
            <w:tcW w:w="1252" w:type="pct"/>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jc w:val="both"/>
              <w:rPr>
                <w:rFonts w:ascii="Arial Narrow" w:hAnsi="Arial Narrow" w:cs="Arial"/>
                <w:sz w:val="20"/>
                <w:szCs w:val="20"/>
                <w:lang w:eastAsia="en-US"/>
              </w:rPr>
            </w:pPr>
            <w:r w:rsidRPr="00503AD7">
              <w:rPr>
                <w:rFonts w:ascii="Arial Narrow" w:hAnsi="Arial Narrow" w:cs="Arial"/>
                <w:sz w:val="20"/>
                <w:szCs w:val="20"/>
                <w:lang w:eastAsia="en-US"/>
              </w:rPr>
              <w:t>Clinical criteria:</w:t>
            </w:r>
          </w:p>
        </w:tc>
        <w:tc>
          <w:tcPr>
            <w:tcW w:w="3748" w:type="pct"/>
            <w:gridSpan w:val="6"/>
            <w:tcBorders>
              <w:top w:val="single" w:sz="4" w:space="0" w:color="auto"/>
              <w:left w:val="single" w:sz="4" w:space="0" w:color="auto"/>
              <w:bottom w:val="single" w:sz="4" w:space="0" w:color="auto"/>
              <w:right w:val="single" w:sz="4" w:space="0" w:color="auto"/>
            </w:tcBorders>
          </w:tcPr>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The condition must be relapsed or refractory B-precursor cell ALL, with an Eastern Cooperative Oncology Group (ECOG) performance status of 2 or less</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AND</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Patient must have received intensive combination chemotherapy for initial treatment of ALL or subsequent salvage therapy,</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AND</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Patient must not have received more than 1 line of salvage therapy</w:t>
            </w:r>
          </w:p>
          <w:p w:rsidR="00303B9A" w:rsidRPr="00503AD7" w:rsidRDefault="00303B9A" w:rsidP="00A32E80">
            <w:pPr>
              <w:keepNext/>
              <w:keepLines/>
              <w:snapToGrid w:val="0"/>
              <w:rPr>
                <w:rFonts w:ascii="Arial Narrow" w:hAnsi="Arial Narrow" w:cs="Arial"/>
                <w:strike/>
                <w:sz w:val="20"/>
                <w:szCs w:val="20"/>
                <w:lang w:eastAsia="en-US"/>
              </w:rPr>
            </w:pPr>
            <w:r w:rsidRPr="00503AD7">
              <w:rPr>
                <w:rFonts w:ascii="Arial Narrow" w:hAnsi="Arial Narrow" w:cs="Arial"/>
                <w:strike/>
                <w:sz w:val="20"/>
                <w:szCs w:val="20"/>
                <w:lang w:eastAsia="en-US"/>
              </w:rPr>
              <w:t>AND</w:t>
            </w:r>
          </w:p>
          <w:p w:rsidR="00303B9A" w:rsidRPr="00503AD7" w:rsidRDefault="00303B9A" w:rsidP="00A32E80">
            <w:pPr>
              <w:keepNext/>
              <w:keepLines/>
              <w:snapToGrid w:val="0"/>
              <w:rPr>
                <w:rFonts w:ascii="Arial Narrow" w:hAnsi="Arial Narrow" w:cs="Arial"/>
                <w:strike/>
                <w:sz w:val="20"/>
                <w:szCs w:val="20"/>
                <w:lang w:eastAsia="en-US"/>
              </w:rPr>
            </w:pPr>
            <w:r w:rsidRPr="00503AD7">
              <w:rPr>
                <w:rFonts w:ascii="Arial Narrow" w:hAnsi="Arial Narrow" w:cs="Arial"/>
                <w:strike/>
                <w:sz w:val="20"/>
                <w:szCs w:val="20"/>
                <w:lang w:eastAsia="en-US"/>
              </w:rPr>
              <w:t xml:space="preserve">The condition must be Philadelphia chromosome negative, </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AND</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 xml:space="preserve">The condition must be CD22-positive, </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AND</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The condition must have more than 5% blasts in bone marrow,</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AND</w:t>
            </w:r>
          </w:p>
          <w:p w:rsidR="00303B9A" w:rsidRPr="00503AD7" w:rsidRDefault="00303B9A" w:rsidP="00A32E80">
            <w:pPr>
              <w:keepNext/>
              <w:keepLines/>
              <w:snapToGrid w:val="0"/>
              <w:rPr>
                <w:rFonts w:ascii="Arial Narrow" w:hAnsi="Arial Narrow" w:cs="Arial"/>
                <w:sz w:val="20"/>
                <w:szCs w:val="20"/>
                <w:lang w:eastAsia="en-US"/>
              </w:rPr>
            </w:pPr>
            <w:r w:rsidRPr="00503AD7">
              <w:rPr>
                <w:rFonts w:ascii="Arial Narrow" w:hAnsi="Arial Narrow" w:cs="Arial"/>
                <w:sz w:val="20"/>
                <w:szCs w:val="20"/>
                <w:lang w:eastAsia="en-US"/>
              </w:rPr>
              <w:t>The treatment must not be more than 3 treatment cycles under this restriction in a lifetime.</w:t>
            </w:r>
          </w:p>
          <w:p w:rsidR="001F440F" w:rsidRPr="00503AD7" w:rsidRDefault="001F440F" w:rsidP="00A32E80">
            <w:pPr>
              <w:keepNext/>
              <w:keepLines/>
              <w:snapToGrid w:val="0"/>
              <w:rPr>
                <w:rFonts w:ascii="Arial Narrow" w:hAnsi="Arial Narrow" w:cs="Arial"/>
                <w:i/>
                <w:sz w:val="20"/>
                <w:szCs w:val="20"/>
                <w:lang w:eastAsia="en-US"/>
              </w:rPr>
            </w:pPr>
          </w:p>
        </w:tc>
      </w:tr>
    </w:tbl>
    <w:p w:rsidR="00751FFD" w:rsidRDefault="00751FFD" w:rsidP="00746273">
      <w:pPr>
        <w:rPr>
          <w:snapToGrid w:val="0"/>
          <w:lang w:eastAsia="en-US"/>
        </w:rPr>
      </w:pPr>
      <w:bookmarkStart w:id="0" w:name="_Toc524520440"/>
    </w:p>
    <w:p w:rsidR="00303B9A" w:rsidRPr="00746273" w:rsidRDefault="00303B9A" w:rsidP="00746273">
      <w:pPr>
        <w:pStyle w:val="PBACHeading1"/>
        <w:numPr>
          <w:ilvl w:val="0"/>
          <w:numId w:val="0"/>
        </w:numPr>
        <w:spacing w:before="240" w:after="120"/>
        <w:ind w:left="720" w:hanging="720"/>
        <w:rPr>
          <w:rFonts w:asciiTheme="minorHAnsi" w:hAnsiTheme="minorHAnsi"/>
          <w:i/>
          <w:sz w:val="28"/>
          <w:szCs w:val="28"/>
        </w:rPr>
      </w:pPr>
      <w:r w:rsidRPr="00746273">
        <w:rPr>
          <w:rFonts w:asciiTheme="minorHAnsi" w:hAnsiTheme="minorHAnsi"/>
          <w:i/>
          <w:sz w:val="28"/>
          <w:szCs w:val="28"/>
        </w:rPr>
        <w:t>Estimated PBS usage &amp; financial implications</w:t>
      </w:r>
      <w:bookmarkEnd w:id="0"/>
    </w:p>
    <w:p w:rsidR="00FD15CA" w:rsidRPr="00503AD7" w:rsidRDefault="003B4445" w:rsidP="00E31A83">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sponsor presented utilisation and </w:t>
      </w:r>
      <w:r w:rsidR="00577A03" w:rsidRPr="00503AD7">
        <w:rPr>
          <w:rFonts w:asciiTheme="minorHAnsi" w:hAnsiTheme="minorHAnsi"/>
          <w:sz w:val="24"/>
          <w:szCs w:val="24"/>
        </w:rPr>
        <w:t xml:space="preserve">financial estimates </w:t>
      </w:r>
      <w:r w:rsidR="00210A13" w:rsidRPr="00503AD7">
        <w:rPr>
          <w:rFonts w:asciiTheme="minorHAnsi" w:hAnsiTheme="minorHAnsi"/>
          <w:sz w:val="24"/>
          <w:szCs w:val="24"/>
        </w:rPr>
        <w:t xml:space="preserve">derived </w:t>
      </w:r>
      <w:r w:rsidR="00503AD7">
        <w:rPr>
          <w:rFonts w:asciiTheme="minorHAnsi" w:hAnsiTheme="minorHAnsi"/>
          <w:sz w:val="24"/>
          <w:szCs w:val="24"/>
        </w:rPr>
        <w:t xml:space="preserve">from </w:t>
      </w:r>
      <w:r w:rsidR="00577A03" w:rsidRPr="00503AD7">
        <w:rPr>
          <w:rFonts w:asciiTheme="minorHAnsi" w:hAnsiTheme="minorHAnsi"/>
          <w:sz w:val="24"/>
          <w:szCs w:val="24"/>
        </w:rPr>
        <w:t xml:space="preserve">estimates and assumptions </w:t>
      </w:r>
      <w:r w:rsidR="0070219C" w:rsidRPr="00503AD7">
        <w:rPr>
          <w:rFonts w:asciiTheme="minorHAnsi" w:hAnsiTheme="minorHAnsi"/>
          <w:sz w:val="24"/>
          <w:szCs w:val="24"/>
        </w:rPr>
        <w:t>from</w:t>
      </w:r>
      <w:r w:rsidR="00577A03" w:rsidRPr="00503AD7">
        <w:rPr>
          <w:rFonts w:asciiTheme="minorHAnsi" w:hAnsiTheme="minorHAnsi"/>
          <w:sz w:val="24"/>
          <w:szCs w:val="24"/>
        </w:rPr>
        <w:t xml:space="preserve"> the November 2018 </w:t>
      </w:r>
      <w:r w:rsidR="00BA4267" w:rsidRPr="00503AD7">
        <w:rPr>
          <w:rFonts w:asciiTheme="minorHAnsi" w:hAnsiTheme="minorHAnsi"/>
          <w:sz w:val="24"/>
          <w:szCs w:val="24"/>
        </w:rPr>
        <w:t>submission</w:t>
      </w:r>
      <w:r w:rsidR="00FD15CA" w:rsidRPr="00503AD7">
        <w:rPr>
          <w:rFonts w:asciiTheme="minorHAnsi" w:hAnsiTheme="minorHAnsi"/>
          <w:sz w:val="24"/>
          <w:szCs w:val="24"/>
        </w:rPr>
        <w:t>,</w:t>
      </w:r>
      <w:r w:rsidR="00210A13" w:rsidRPr="00503AD7">
        <w:rPr>
          <w:rFonts w:asciiTheme="minorHAnsi" w:hAnsiTheme="minorHAnsi"/>
          <w:sz w:val="24"/>
          <w:szCs w:val="24"/>
        </w:rPr>
        <w:t xml:space="preserve"> which were based on the adult ALL population only</w:t>
      </w:r>
      <w:r w:rsidR="00BA4267" w:rsidRPr="00503AD7">
        <w:rPr>
          <w:rFonts w:asciiTheme="minorHAnsi" w:hAnsiTheme="minorHAnsi"/>
          <w:sz w:val="24"/>
          <w:szCs w:val="24"/>
        </w:rPr>
        <w:t xml:space="preserve">. </w:t>
      </w:r>
      <w:r w:rsidR="00F37F7C" w:rsidRPr="00503AD7">
        <w:rPr>
          <w:rFonts w:asciiTheme="minorHAnsi" w:hAnsiTheme="minorHAnsi"/>
          <w:sz w:val="24"/>
          <w:szCs w:val="24"/>
        </w:rPr>
        <w:t>The sponsor noted that the frequency of Ph+ diseas</w:t>
      </w:r>
      <w:r w:rsidR="002824DE" w:rsidRPr="00503AD7">
        <w:rPr>
          <w:rFonts w:asciiTheme="minorHAnsi" w:hAnsiTheme="minorHAnsi"/>
          <w:sz w:val="24"/>
          <w:szCs w:val="24"/>
        </w:rPr>
        <w:t>e increases with age</w:t>
      </w:r>
      <w:r w:rsidR="00FD15CA" w:rsidRPr="00503AD7">
        <w:rPr>
          <w:rFonts w:asciiTheme="minorHAnsi" w:hAnsiTheme="minorHAnsi"/>
          <w:sz w:val="24"/>
          <w:szCs w:val="24"/>
        </w:rPr>
        <w:t>,</w:t>
      </w:r>
      <w:r w:rsidR="002824DE" w:rsidRPr="00503AD7">
        <w:rPr>
          <w:rFonts w:asciiTheme="minorHAnsi" w:hAnsiTheme="minorHAnsi"/>
          <w:sz w:val="24"/>
          <w:szCs w:val="24"/>
        </w:rPr>
        <w:t xml:space="preserve"> and younger children (1-9 years) are reported to have a better prognosis. As such, the sponsor anticipated that the utilisation </w:t>
      </w:r>
      <w:r w:rsidR="00F8313E" w:rsidRPr="00503AD7">
        <w:rPr>
          <w:rFonts w:asciiTheme="minorHAnsi" w:hAnsiTheme="minorHAnsi"/>
          <w:sz w:val="24"/>
          <w:szCs w:val="24"/>
        </w:rPr>
        <w:t xml:space="preserve">of inotuzumab for paediatric patients with Ph+ </w:t>
      </w:r>
      <w:r w:rsidR="000C5BA1" w:rsidRPr="00503AD7">
        <w:rPr>
          <w:rFonts w:asciiTheme="minorHAnsi" w:hAnsiTheme="minorHAnsi"/>
          <w:sz w:val="24"/>
          <w:szCs w:val="24"/>
        </w:rPr>
        <w:t>disease</w:t>
      </w:r>
      <w:r w:rsidR="00F8313E" w:rsidRPr="00503AD7">
        <w:rPr>
          <w:rFonts w:asciiTheme="minorHAnsi" w:hAnsiTheme="minorHAnsi"/>
          <w:sz w:val="24"/>
          <w:szCs w:val="24"/>
        </w:rPr>
        <w:t xml:space="preserve"> is likely to be minimal.</w:t>
      </w:r>
      <w:r w:rsidR="00CF71B8" w:rsidRPr="00503AD7">
        <w:rPr>
          <w:rFonts w:asciiTheme="minorHAnsi" w:hAnsiTheme="minorHAnsi"/>
          <w:sz w:val="24"/>
          <w:szCs w:val="24"/>
        </w:rPr>
        <w:t xml:space="preserve"> </w:t>
      </w:r>
    </w:p>
    <w:p w:rsidR="00163ADB" w:rsidRDefault="00163ADB" w:rsidP="00163ADB">
      <w:pPr>
        <w:pStyle w:val="ListParagraph"/>
        <w:widowControl/>
        <w:spacing w:before="120" w:after="160"/>
        <w:contextualSpacing w:val="0"/>
        <w:rPr>
          <w:rFonts w:asciiTheme="minorHAnsi" w:hAnsiTheme="minorHAnsi"/>
          <w:sz w:val="24"/>
          <w:szCs w:val="24"/>
        </w:rPr>
      </w:pPr>
    </w:p>
    <w:p w:rsidR="00FD15CA" w:rsidRPr="00503AD7" w:rsidRDefault="00FD15CA" w:rsidP="00BA479F">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lastRenderedPageBreak/>
        <w:t xml:space="preserve">The key assumptions underpinning the estimates were: </w:t>
      </w:r>
    </w:p>
    <w:p w:rsidR="006B365A" w:rsidRPr="00503AD7" w:rsidRDefault="006B365A" w:rsidP="00BA479F">
      <w:pPr>
        <w:pStyle w:val="ListParagraph"/>
        <w:widowControl/>
        <w:numPr>
          <w:ilvl w:val="0"/>
          <w:numId w:val="16"/>
        </w:numPr>
        <w:spacing w:before="120" w:after="160"/>
        <w:contextualSpacing w:val="0"/>
        <w:rPr>
          <w:rFonts w:asciiTheme="minorHAnsi" w:hAnsiTheme="minorHAnsi"/>
          <w:sz w:val="24"/>
          <w:szCs w:val="24"/>
        </w:rPr>
      </w:pPr>
      <w:r w:rsidRPr="00503AD7">
        <w:rPr>
          <w:rFonts w:asciiTheme="minorHAnsi" w:hAnsiTheme="minorHAnsi"/>
          <w:sz w:val="24"/>
          <w:szCs w:val="24"/>
        </w:rPr>
        <w:t>25% of adult patients with R/R B-ALL have Ph+ disease</w:t>
      </w:r>
      <w:r w:rsidR="0019221F" w:rsidRPr="00503AD7">
        <w:rPr>
          <w:rFonts w:asciiTheme="minorHAnsi" w:hAnsiTheme="minorHAnsi"/>
          <w:sz w:val="24"/>
          <w:szCs w:val="24"/>
        </w:rPr>
        <w:t>.</w:t>
      </w:r>
    </w:p>
    <w:p w:rsidR="006B365A" w:rsidRPr="00503AD7" w:rsidRDefault="006B365A" w:rsidP="006B365A">
      <w:pPr>
        <w:pStyle w:val="ListParagraph"/>
        <w:widowControl/>
        <w:numPr>
          <w:ilvl w:val="0"/>
          <w:numId w:val="16"/>
        </w:numPr>
        <w:spacing w:before="120" w:after="160"/>
        <w:contextualSpacing w:val="0"/>
        <w:rPr>
          <w:rFonts w:asciiTheme="minorHAnsi" w:hAnsiTheme="minorHAnsi"/>
          <w:sz w:val="24"/>
          <w:szCs w:val="24"/>
        </w:rPr>
      </w:pPr>
      <w:r w:rsidRPr="00503AD7">
        <w:rPr>
          <w:rFonts w:asciiTheme="minorHAnsi" w:hAnsiTheme="minorHAnsi"/>
          <w:sz w:val="24"/>
          <w:szCs w:val="24"/>
        </w:rPr>
        <w:t xml:space="preserve">Based on advice from </w:t>
      </w:r>
      <w:r w:rsidR="007D6D4A" w:rsidRPr="00503AD7">
        <w:rPr>
          <w:rFonts w:asciiTheme="minorHAnsi" w:hAnsiTheme="minorHAnsi"/>
          <w:sz w:val="24"/>
          <w:szCs w:val="24"/>
        </w:rPr>
        <w:t>the sponsor’s</w:t>
      </w:r>
      <w:r w:rsidRPr="00503AD7">
        <w:rPr>
          <w:rFonts w:asciiTheme="minorHAnsi" w:hAnsiTheme="minorHAnsi"/>
          <w:sz w:val="24"/>
          <w:szCs w:val="24"/>
        </w:rPr>
        <w:t xml:space="preserve"> advisory board, t</w:t>
      </w:r>
      <w:r w:rsidR="00E87C39" w:rsidRPr="00503AD7">
        <w:rPr>
          <w:rFonts w:asciiTheme="minorHAnsi" w:hAnsiTheme="minorHAnsi"/>
          <w:sz w:val="24"/>
          <w:szCs w:val="24"/>
        </w:rPr>
        <w:t xml:space="preserve">he </w:t>
      </w:r>
      <w:r w:rsidR="007D6D4A" w:rsidRPr="00503AD7">
        <w:rPr>
          <w:rFonts w:asciiTheme="minorHAnsi" w:hAnsiTheme="minorHAnsi"/>
          <w:sz w:val="24"/>
          <w:szCs w:val="24"/>
        </w:rPr>
        <w:t xml:space="preserve">estimates </w:t>
      </w:r>
      <w:r w:rsidRPr="00503AD7">
        <w:rPr>
          <w:rFonts w:asciiTheme="minorHAnsi" w:hAnsiTheme="minorHAnsi"/>
          <w:sz w:val="24"/>
          <w:szCs w:val="24"/>
        </w:rPr>
        <w:t>assumed that TKIs w</w:t>
      </w:r>
      <w:r w:rsidR="00E87C39" w:rsidRPr="00503AD7">
        <w:rPr>
          <w:rFonts w:asciiTheme="minorHAnsi" w:hAnsiTheme="minorHAnsi"/>
          <w:sz w:val="24"/>
          <w:szCs w:val="24"/>
        </w:rPr>
        <w:t>ill</w:t>
      </w:r>
      <w:r w:rsidRPr="00503AD7">
        <w:rPr>
          <w:rFonts w:asciiTheme="minorHAnsi" w:hAnsiTheme="minorHAnsi"/>
          <w:sz w:val="24"/>
          <w:szCs w:val="24"/>
        </w:rPr>
        <w:t xml:space="preserve"> remain </w:t>
      </w:r>
      <w:r w:rsidR="00E87C39" w:rsidRPr="00503AD7">
        <w:rPr>
          <w:rFonts w:asciiTheme="minorHAnsi" w:hAnsiTheme="minorHAnsi"/>
          <w:sz w:val="24"/>
          <w:szCs w:val="24"/>
        </w:rPr>
        <w:t xml:space="preserve">the standard of care </w:t>
      </w:r>
      <w:r w:rsidRPr="00503AD7">
        <w:rPr>
          <w:rFonts w:asciiTheme="minorHAnsi" w:hAnsiTheme="minorHAnsi"/>
          <w:sz w:val="24"/>
          <w:szCs w:val="24"/>
        </w:rPr>
        <w:t xml:space="preserve">first-line salvage treatment for patients with Ph+ disease, and thus the likely utilisation of inotuzumab </w:t>
      </w:r>
      <w:r w:rsidR="00E87C39" w:rsidRPr="00503AD7">
        <w:rPr>
          <w:rFonts w:asciiTheme="minorHAnsi" w:hAnsiTheme="minorHAnsi"/>
          <w:sz w:val="24"/>
          <w:szCs w:val="24"/>
        </w:rPr>
        <w:t>will be in patients who are R/R to first-line salvage treatment with a TKI. Thus, the sponsor estimated that the likely utilisation of inotuzumab in the R/R Ph+ B-ALL population is expected to be patients in second-line salvage</w:t>
      </w:r>
      <w:r w:rsidR="00503AD7">
        <w:rPr>
          <w:rFonts w:asciiTheme="minorHAnsi" w:hAnsiTheme="minorHAnsi"/>
          <w:sz w:val="24"/>
          <w:szCs w:val="24"/>
        </w:rPr>
        <w:t xml:space="preserve">. </w:t>
      </w:r>
    </w:p>
    <w:p w:rsidR="006B365A" w:rsidRPr="00503AD7" w:rsidRDefault="006B365A" w:rsidP="00BA479F">
      <w:pPr>
        <w:pStyle w:val="ListParagraph"/>
        <w:widowControl/>
        <w:numPr>
          <w:ilvl w:val="0"/>
          <w:numId w:val="16"/>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PBAC previously considered that no more than 50% of patients would require sequential </w:t>
      </w:r>
      <w:r w:rsidR="00E87C39" w:rsidRPr="00503AD7">
        <w:rPr>
          <w:rFonts w:asciiTheme="minorHAnsi" w:hAnsiTheme="minorHAnsi"/>
          <w:sz w:val="24"/>
          <w:szCs w:val="24"/>
        </w:rPr>
        <w:t xml:space="preserve">(i.e. second-line salvage) </w:t>
      </w:r>
      <w:r w:rsidRPr="00503AD7">
        <w:rPr>
          <w:rFonts w:asciiTheme="minorHAnsi" w:hAnsiTheme="minorHAnsi"/>
          <w:sz w:val="24"/>
          <w:szCs w:val="24"/>
        </w:rPr>
        <w:t xml:space="preserve">use of blinatumomab or inotuzumab </w:t>
      </w:r>
      <w:r w:rsidRPr="00503AD7">
        <w:rPr>
          <w:rFonts w:asciiTheme="minorHAnsi" w:eastAsiaTheme="minorHAnsi" w:hAnsiTheme="minorHAnsi" w:cstheme="minorBidi"/>
          <w:snapToGrid/>
          <w:sz w:val="24"/>
          <w:szCs w:val="22"/>
        </w:rPr>
        <w:t xml:space="preserve">(inotuzumab PSD, July 2018, paragraph 6.85). To account for the poorer prognosis of Ph+ B-ALL patients, the sponsor assumed that </w:t>
      </w:r>
      <w:r w:rsidR="00C557EE">
        <w:rPr>
          <w:rFonts w:asciiTheme="minorHAnsi" w:eastAsiaTheme="minorHAnsi" w:hAnsiTheme="minorHAnsi" w:cstheme="minorBidi"/>
          <w:noProof/>
          <w:snapToGrid/>
          <w:color w:val="000000"/>
          <w:sz w:val="24"/>
          <w:szCs w:val="22"/>
          <w:highlight w:val="black"/>
        </w:rPr>
        <w:t>'''''</w:t>
      </w:r>
      <w:r w:rsidRPr="00503AD7">
        <w:rPr>
          <w:rFonts w:asciiTheme="minorHAnsi" w:eastAsiaTheme="minorHAnsi" w:hAnsiTheme="minorHAnsi" w:cstheme="minorBidi"/>
          <w:snapToGrid/>
          <w:sz w:val="24"/>
          <w:szCs w:val="22"/>
        </w:rPr>
        <w:t xml:space="preserve">% of this patient population are likely to be R/R to first-line salvage treatment and eligible to proceed to second-line salvage treatment. </w:t>
      </w:r>
    </w:p>
    <w:p w:rsidR="00E87C39" w:rsidRPr="00503AD7" w:rsidRDefault="00E87C39" w:rsidP="00BA479F">
      <w:pPr>
        <w:pStyle w:val="ListParagraph"/>
        <w:widowControl/>
        <w:numPr>
          <w:ilvl w:val="0"/>
          <w:numId w:val="16"/>
        </w:numPr>
        <w:spacing w:before="120" w:after="160"/>
        <w:contextualSpacing w:val="0"/>
        <w:rPr>
          <w:rFonts w:asciiTheme="minorHAnsi" w:hAnsiTheme="minorHAnsi"/>
          <w:sz w:val="24"/>
          <w:szCs w:val="24"/>
        </w:rPr>
      </w:pPr>
      <w:r w:rsidRPr="00503AD7">
        <w:rPr>
          <w:rFonts w:asciiTheme="minorHAnsi" w:hAnsiTheme="minorHAnsi"/>
          <w:sz w:val="24"/>
          <w:szCs w:val="24"/>
        </w:rPr>
        <w:t xml:space="preserve">Uptake of inotuzumab was estimated to be </w:t>
      </w:r>
      <w:r w:rsidR="00C557EE">
        <w:rPr>
          <w:rFonts w:asciiTheme="minorHAnsi" w:hAnsiTheme="minorHAnsi"/>
          <w:noProof/>
          <w:color w:val="000000"/>
          <w:sz w:val="24"/>
          <w:szCs w:val="24"/>
          <w:highlight w:val="black"/>
        </w:rPr>
        <w:t>''''''</w:t>
      </w:r>
      <w:r w:rsidRPr="00503AD7">
        <w:rPr>
          <w:rFonts w:asciiTheme="minorHAnsi" w:hAnsiTheme="minorHAnsi"/>
          <w:sz w:val="24"/>
          <w:szCs w:val="24"/>
        </w:rPr>
        <w:t xml:space="preserve">% in Year 1 increasing to </w:t>
      </w:r>
      <w:r w:rsidR="00C557EE">
        <w:rPr>
          <w:rFonts w:asciiTheme="minorHAnsi" w:hAnsiTheme="minorHAnsi"/>
          <w:noProof/>
          <w:color w:val="000000"/>
          <w:sz w:val="24"/>
          <w:szCs w:val="24"/>
          <w:highlight w:val="black"/>
        </w:rPr>
        <w:t>'''''</w:t>
      </w:r>
      <w:r w:rsidRPr="00503AD7">
        <w:rPr>
          <w:rFonts w:asciiTheme="minorHAnsi" w:hAnsiTheme="minorHAnsi"/>
          <w:sz w:val="24"/>
          <w:szCs w:val="24"/>
        </w:rPr>
        <w:t>% by Year 3. The sponsor stated this was conservative given the high clinical need.</w:t>
      </w:r>
    </w:p>
    <w:p w:rsidR="00751FFD" w:rsidRPr="00751FFD" w:rsidRDefault="00CF71B8" w:rsidP="00253855">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estimated number of patients and financial impact </w:t>
      </w:r>
      <w:r w:rsidR="007910AD" w:rsidRPr="00503AD7">
        <w:rPr>
          <w:rFonts w:asciiTheme="minorHAnsi" w:hAnsiTheme="minorHAnsi"/>
          <w:sz w:val="24"/>
          <w:szCs w:val="24"/>
        </w:rPr>
        <w:t xml:space="preserve">for the first six years of listing are presented in Table 1. </w:t>
      </w:r>
    </w:p>
    <w:p w:rsidR="00D85FAB" w:rsidRPr="00D85FAB" w:rsidRDefault="00D85FAB" w:rsidP="00D85FAB">
      <w:pPr>
        <w:pStyle w:val="ListParagraph"/>
        <w:keepNext/>
        <w:keepLines/>
        <w:widowControl/>
        <w:spacing w:before="120" w:after="160"/>
        <w:rPr>
          <w:rFonts w:ascii="Arial Narrow" w:hAnsi="Arial Narrow"/>
          <w:b/>
          <w:sz w:val="20"/>
        </w:rPr>
      </w:pPr>
      <w:bookmarkStart w:id="1" w:name="_GoBack"/>
      <w:bookmarkEnd w:id="1"/>
      <w:r w:rsidRPr="00D85FAB">
        <w:rPr>
          <w:rFonts w:ascii="Arial Narrow" w:hAnsi="Arial Narrow"/>
          <w:b/>
          <w:sz w:val="20"/>
        </w:rPr>
        <w:t xml:space="preserve">Table </w:t>
      </w:r>
      <w:r w:rsidRPr="00D85FAB">
        <w:rPr>
          <w:rFonts w:ascii="Arial Narrow" w:hAnsi="Arial Narrow"/>
          <w:b/>
          <w:sz w:val="20"/>
        </w:rPr>
        <w:fldChar w:fldCharType="begin"/>
      </w:r>
      <w:r w:rsidRPr="00D85FAB">
        <w:rPr>
          <w:rFonts w:ascii="Arial Narrow" w:hAnsi="Arial Narrow"/>
          <w:b/>
          <w:sz w:val="20"/>
        </w:rPr>
        <w:instrText xml:space="preserve"> SEQ Table \* ARABIC </w:instrText>
      </w:r>
      <w:r w:rsidRPr="00D85FAB">
        <w:rPr>
          <w:rFonts w:ascii="Arial Narrow" w:hAnsi="Arial Narrow"/>
          <w:b/>
          <w:sz w:val="20"/>
        </w:rPr>
        <w:fldChar w:fldCharType="separate"/>
      </w:r>
      <w:r w:rsidR="004F1BE7">
        <w:rPr>
          <w:rFonts w:ascii="Arial Narrow" w:hAnsi="Arial Narrow"/>
          <w:b/>
          <w:noProof/>
          <w:sz w:val="20"/>
        </w:rPr>
        <w:t>1</w:t>
      </w:r>
      <w:r w:rsidRPr="00D85FAB">
        <w:rPr>
          <w:rFonts w:ascii="Arial Narrow" w:hAnsi="Arial Narrow"/>
          <w:b/>
          <w:sz w:val="20"/>
        </w:rPr>
        <w:fldChar w:fldCharType="end"/>
      </w:r>
      <w:r w:rsidRPr="00D85FAB">
        <w:rPr>
          <w:rFonts w:ascii="Arial Narrow" w:hAnsi="Arial Narrow"/>
          <w:b/>
          <w:sz w:val="20"/>
        </w:rPr>
        <w:t>: Estimated utilisation and financial impacts for Philadelphia chromosome positive patients</w:t>
      </w:r>
    </w:p>
    <w:tbl>
      <w:tblPr>
        <w:tblStyle w:val="TableGrid"/>
        <w:tblW w:w="8522" w:type="dxa"/>
        <w:tblInd w:w="720" w:type="dxa"/>
        <w:tblLayout w:type="fixed"/>
        <w:tblLook w:val="04A0" w:firstRow="1" w:lastRow="0" w:firstColumn="1" w:lastColumn="0" w:noHBand="0" w:noVBand="1"/>
        <w:tblCaption w:val="Table 1: Estimated utilisation and financial impacts for Philadelphia chromosome positive patients"/>
      </w:tblPr>
      <w:tblGrid>
        <w:gridCol w:w="2436"/>
        <w:gridCol w:w="901"/>
        <w:gridCol w:w="1037"/>
        <w:gridCol w:w="1037"/>
        <w:gridCol w:w="1037"/>
        <w:gridCol w:w="1037"/>
        <w:gridCol w:w="1037"/>
      </w:tblGrid>
      <w:tr w:rsidR="000F1671" w:rsidRPr="00503AD7" w:rsidTr="00D85FAB">
        <w:trPr>
          <w:trHeight w:val="230"/>
        </w:trPr>
        <w:tc>
          <w:tcPr>
            <w:tcW w:w="2436" w:type="dxa"/>
          </w:tcPr>
          <w:p w:rsidR="00E516B3" w:rsidRPr="00503AD7" w:rsidRDefault="00E516B3" w:rsidP="005F07D5">
            <w:pPr>
              <w:pStyle w:val="ListParagraph"/>
              <w:keepNext/>
              <w:keepLines/>
              <w:widowControl/>
              <w:ind w:left="0"/>
              <w:rPr>
                <w:rFonts w:ascii="Arial Narrow" w:hAnsi="Arial Narrow"/>
                <w:sz w:val="20"/>
              </w:rPr>
            </w:pPr>
          </w:p>
        </w:tc>
        <w:tc>
          <w:tcPr>
            <w:tcW w:w="901"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1</w:t>
            </w:r>
          </w:p>
        </w:tc>
        <w:tc>
          <w:tcPr>
            <w:tcW w:w="1037"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2</w:t>
            </w:r>
          </w:p>
        </w:tc>
        <w:tc>
          <w:tcPr>
            <w:tcW w:w="1037"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3</w:t>
            </w:r>
          </w:p>
        </w:tc>
        <w:tc>
          <w:tcPr>
            <w:tcW w:w="1037"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4</w:t>
            </w:r>
          </w:p>
        </w:tc>
        <w:tc>
          <w:tcPr>
            <w:tcW w:w="1037"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5</w:t>
            </w:r>
          </w:p>
        </w:tc>
        <w:tc>
          <w:tcPr>
            <w:tcW w:w="1037" w:type="dxa"/>
          </w:tcPr>
          <w:p w:rsidR="000F1671" w:rsidRPr="00503AD7" w:rsidRDefault="00E516B3" w:rsidP="005F07D5">
            <w:pPr>
              <w:pStyle w:val="ListParagraph"/>
              <w:keepNext/>
              <w:keepLines/>
              <w:widowControl/>
              <w:ind w:left="0"/>
              <w:rPr>
                <w:rFonts w:ascii="Arial Narrow" w:hAnsi="Arial Narrow"/>
                <w:b/>
                <w:sz w:val="20"/>
              </w:rPr>
            </w:pPr>
            <w:r w:rsidRPr="00503AD7">
              <w:rPr>
                <w:rFonts w:ascii="Arial Narrow" w:hAnsi="Arial Narrow"/>
                <w:b/>
                <w:sz w:val="20"/>
              </w:rPr>
              <w:t>Year 6</w:t>
            </w:r>
          </w:p>
        </w:tc>
      </w:tr>
      <w:tr w:rsidR="000F1671" w:rsidRPr="00503AD7" w:rsidTr="00D85FAB">
        <w:trPr>
          <w:trHeight w:val="20"/>
        </w:trPr>
        <w:tc>
          <w:tcPr>
            <w:tcW w:w="2436" w:type="dxa"/>
            <w:vAlign w:val="center"/>
          </w:tcPr>
          <w:p w:rsidR="00E516B3" w:rsidRPr="00503AD7" w:rsidRDefault="00E516B3" w:rsidP="005F07D5">
            <w:pPr>
              <w:pStyle w:val="ListParagraph"/>
              <w:keepNext/>
              <w:keepLines/>
              <w:widowControl/>
              <w:ind w:left="0"/>
              <w:jc w:val="left"/>
              <w:rPr>
                <w:rFonts w:ascii="Arial Narrow" w:hAnsi="Arial Narrow"/>
                <w:sz w:val="20"/>
                <w:vertAlign w:val="superscript"/>
              </w:rPr>
            </w:pPr>
            <w:r w:rsidRPr="00503AD7">
              <w:rPr>
                <w:rFonts w:ascii="Arial Narrow" w:hAnsi="Arial Narrow"/>
                <w:sz w:val="20"/>
              </w:rPr>
              <w:t>Patients with R/R B-ALL</w:t>
            </w:r>
            <w:r w:rsidR="00253921" w:rsidRPr="00503AD7">
              <w:rPr>
                <w:rFonts w:ascii="Arial Narrow" w:hAnsi="Arial Narrow"/>
                <w:sz w:val="20"/>
                <w:vertAlign w:val="superscript"/>
              </w:rPr>
              <w:t>a</w:t>
            </w:r>
          </w:p>
        </w:tc>
        <w:tc>
          <w:tcPr>
            <w:tcW w:w="901"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r>
      <w:tr w:rsidR="000F1671" w:rsidRPr="00503AD7" w:rsidTr="00D85FAB">
        <w:trPr>
          <w:trHeight w:val="20"/>
        </w:trPr>
        <w:tc>
          <w:tcPr>
            <w:tcW w:w="2436" w:type="dxa"/>
            <w:vAlign w:val="center"/>
          </w:tcPr>
          <w:p w:rsidR="00E516B3" w:rsidRPr="00503AD7" w:rsidRDefault="00E516B3" w:rsidP="005F07D5">
            <w:pPr>
              <w:pStyle w:val="ListParagraph"/>
              <w:keepNext/>
              <w:keepLines/>
              <w:widowControl/>
              <w:ind w:left="0"/>
              <w:jc w:val="left"/>
              <w:rPr>
                <w:rFonts w:ascii="Arial Narrow" w:hAnsi="Arial Narrow"/>
                <w:sz w:val="20"/>
              </w:rPr>
            </w:pPr>
            <w:r w:rsidRPr="00503AD7">
              <w:rPr>
                <w:rFonts w:ascii="Arial Narrow" w:hAnsi="Arial Narrow"/>
                <w:sz w:val="20"/>
              </w:rPr>
              <w:t>Patients with Ph+</w:t>
            </w:r>
            <w:r w:rsidR="003319E9" w:rsidRPr="00503AD7">
              <w:rPr>
                <w:rFonts w:ascii="Arial Narrow" w:hAnsi="Arial Narrow"/>
                <w:sz w:val="20"/>
              </w:rPr>
              <w:t xml:space="preserve"> </w:t>
            </w:r>
            <w:r w:rsidR="005F07D5" w:rsidRPr="00503AD7">
              <w:rPr>
                <w:rFonts w:ascii="Arial Narrow" w:hAnsi="Arial Narrow"/>
                <w:sz w:val="20"/>
              </w:rPr>
              <w:t xml:space="preserve">and </w:t>
            </w:r>
            <w:r w:rsidR="003319E9" w:rsidRPr="00503AD7">
              <w:rPr>
                <w:rFonts w:ascii="Arial Narrow" w:hAnsi="Arial Narrow"/>
                <w:sz w:val="20"/>
              </w:rPr>
              <w:t>CD22+</w:t>
            </w:r>
            <w:r w:rsidRPr="00503AD7">
              <w:rPr>
                <w:rFonts w:ascii="Arial Narrow" w:hAnsi="Arial Narrow"/>
                <w:sz w:val="20"/>
              </w:rPr>
              <w:t xml:space="preserve"> </w:t>
            </w:r>
            <w:r w:rsidR="00904CBB" w:rsidRPr="00503AD7">
              <w:rPr>
                <w:rFonts w:ascii="Arial Narrow" w:hAnsi="Arial Narrow"/>
                <w:sz w:val="20"/>
              </w:rPr>
              <w:t>(25% x 95%)</w:t>
            </w:r>
            <w:r w:rsidR="00D32DBD" w:rsidRPr="00503AD7">
              <w:rPr>
                <w:rFonts w:ascii="Arial Narrow" w:hAnsi="Arial Narrow"/>
                <w:sz w:val="20"/>
                <w:vertAlign w:val="superscript"/>
              </w:rPr>
              <w:t>b</w:t>
            </w:r>
            <w:r w:rsidRPr="00503AD7">
              <w:rPr>
                <w:rFonts w:ascii="Arial Narrow" w:hAnsi="Arial Narrow"/>
                <w:sz w:val="20"/>
              </w:rPr>
              <w:t xml:space="preserve">  </w:t>
            </w:r>
          </w:p>
        </w:tc>
        <w:tc>
          <w:tcPr>
            <w:tcW w:w="901"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r>
      <w:tr w:rsidR="000F1671" w:rsidRPr="00503AD7" w:rsidTr="00D85FAB">
        <w:trPr>
          <w:trHeight w:val="373"/>
        </w:trPr>
        <w:tc>
          <w:tcPr>
            <w:tcW w:w="2436" w:type="dxa"/>
            <w:vAlign w:val="center"/>
          </w:tcPr>
          <w:p w:rsidR="00E516B3" w:rsidRPr="00503AD7" w:rsidRDefault="00304478" w:rsidP="005F07D5">
            <w:pPr>
              <w:pStyle w:val="ListParagraph"/>
              <w:keepNext/>
              <w:keepLines/>
              <w:widowControl/>
              <w:ind w:left="0"/>
              <w:jc w:val="left"/>
              <w:rPr>
                <w:rFonts w:ascii="Arial Narrow" w:hAnsi="Arial Narrow"/>
                <w:sz w:val="20"/>
                <w:vertAlign w:val="superscript"/>
              </w:rPr>
            </w:pPr>
            <w:r w:rsidRPr="00503AD7">
              <w:rPr>
                <w:rFonts w:ascii="Arial Narrow" w:hAnsi="Arial Narrow"/>
                <w:sz w:val="20"/>
              </w:rPr>
              <w:t xml:space="preserve">Patients </w:t>
            </w:r>
            <w:r w:rsidR="00E63BF2" w:rsidRPr="00503AD7">
              <w:rPr>
                <w:rFonts w:ascii="Arial Narrow" w:hAnsi="Arial Narrow"/>
                <w:sz w:val="20"/>
              </w:rPr>
              <w:t>R/R to 1</w:t>
            </w:r>
            <w:r w:rsidR="00E63BF2" w:rsidRPr="00503AD7">
              <w:rPr>
                <w:rFonts w:ascii="Arial Narrow" w:hAnsi="Arial Narrow"/>
                <w:sz w:val="20"/>
                <w:vertAlign w:val="superscript"/>
              </w:rPr>
              <w:t>st</w:t>
            </w:r>
            <w:r w:rsidR="00E63BF2" w:rsidRPr="00503AD7">
              <w:rPr>
                <w:rFonts w:ascii="Arial Narrow" w:hAnsi="Arial Narrow"/>
                <w:sz w:val="20"/>
              </w:rPr>
              <w:t xml:space="preserve"> line salvage </w:t>
            </w:r>
            <w:r w:rsidR="0019221F" w:rsidRPr="00503AD7">
              <w:rPr>
                <w:rFonts w:ascii="Arial Narrow" w:hAnsi="Arial Narrow"/>
                <w:sz w:val="20"/>
              </w:rPr>
              <w:t xml:space="preserve">and </w:t>
            </w:r>
            <w:r w:rsidRPr="00503AD7">
              <w:rPr>
                <w:rFonts w:ascii="Arial Narrow" w:hAnsi="Arial Narrow"/>
                <w:sz w:val="20"/>
              </w:rPr>
              <w:t xml:space="preserve">eligible </w:t>
            </w:r>
            <w:r w:rsidR="00E63BF2" w:rsidRPr="00503AD7">
              <w:rPr>
                <w:rFonts w:ascii="Arial Narrow" w:hAnsi="Arial Narrow"/>
                <w:sz w:val="20"/>
              </w:rPr>
              <w:t>for 2</w:t>
            </w:r>
            <w:r w:rsidR="00E63BF2" w:rsidRPr="00503AD7">
              <w:rPr>
                <w:rFonts w:ascii="Arial Narrow" w:hAnsi="Arial Narrow"/>
                <w:sz w:val="20"/>
                <w:vertAlign w:val="superscript"/>
              </w:rPr>
              <w:t>nd</w:t>
            </w:r>
            <w:r w:rsidR="00E63BF2" w:rsidRPr="00503AD7">
              <w:rPr>
                <w:rFonts w:ascii="Arial Narrow" w:hAnsi="Arial Narrow"/>
                <w:sz w:val="20"/>
              </w:rPr>
              <w:t xml:space="preserve"> line salvage </w:t>
            </w:r>
            <w:r w:rsidR="0019221F" w:rsidRPr="00503AD7">
              <w:rPr>
                <w:rFonts w:ascii="Arial Narrow" w:hAnsi="Arial Narrow"/>
                <w:sz w:val="20"/>
              </w:rPr>
              <w:t>(</w:t>
            </w:r>
            <w:r w:rsidR="00C557EE">
              <w:rPr>
                <w:rFonts w:ascii="Arial Narrow" w:hAnsi="Arial Narrow"/>
                <w:noProof/>
                <w:color w:val="000000"/>
                <w:sz w:val="20"/>
                <w:highlight w:val="black"/>
              </w:rPr>
              <w:t>'''''''</w:t>
            </w:r>
            <w:r w:rsidR="0019221F" w:rsidRPr="00503AD7">
              <w:rPr>
                <w:rFonts w:ascii="Arial Narrow" w:hAnsi="Arial Narrow"/>
                <w:sz w:val="20"/>
              </w:rPr>
              <w:t>%)</w:t>
            </w:r>
            <w:r w:rsidR="0046749D" w:rsidRPr="00503AD7">
              <w:rPr>
                <w:rFonts w:ascii="Arial Narrow" w:hAnsi="Arial Narrow"/>
                <w:sz w:val="20"/>
                <w:vertAlign w:val="superscript"/>
              </w:rPr>
              <w:t>c</w:t>
            </w:r>
          </w:p>
        </w:tc>
        <w:tc>
          <w:tcPr>
            <w:tcW w:w="901"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r>
      <w:tr w:rsidR="000F1671" w:rsidRPr="00503AD7" w:rsidTr="00D85FAB">
        <w:trPr>
          <w:trHeight w:val="20"/>
        </w:trPr>
        <w:tc>
          <w:tcPr>
            <w:tcW w:w="2436" w:type="dxa"/>
            <w:vAlign w:val="center"/>
          </w:tcPr>
          <w:p w:rsidR="00E516B3" w:rsidRPr="00503AD7" w:rsidRDefault="000F1671" w:rsidP="005F07D5">
            <w:pPr>
              <w:pStyle w:val="ListParagraph"/>
              <w:keepNext/>
              <w:keepLines/>
              <w:widowControl/>
              <w:ind w:left="0"/>
              <w:jc w:val="left"/>
              <w:rPr>
                <w:rFonts w:ascii="Arial Narrow" w:hAnsi="Arial Narrow"/>
                <w:sz w:val="20"/>
              </w:rPr>
            </w:pPr>
            <w:r w:rsidRPr="00503AD7">
              <w:rPr>
                <w:rFonts w:ascii="Arial Narrow" w:hAnsi="Arial Narrow"/>
                <w:sz w:val="20"/>
              </w:rPr>
              <w:t xml:space="preserve">Inotuzumab uptake (%) </w:t>
            </w:r>
          </w:p>
        </w:tc>
        <w:tc>
          <w:tcPr>
            <w:tcW w:w="901"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c>
          <w:tcPr>
            <w:tcW w:w="1037"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c>
          <w:tcPr>
            <w:tcW w:w="1037"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c>
          <w:tcPr>
            <w:tcW w:w="1037"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c>
          <w:tcPr>
            <w:tcW w:w="1037"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c>
          <w:tcPr>
            <w:tcW w:w="1037" w:type="dxa"/>
            <w:vAlign w:val="center"/>
          </w:tcPr>
          <w:p w:rsidR="00E516B3" w:rsidRPr="00503AD7" w:rsidRDefault="00C557EE" w:rsidP="005F07D5">
            <w:pPr>
              <w:pStyle w:val="ListParagraph"/>
              <w:keepNext/>
              <w:keepLines/>
              <w:widowControl/>
              <w:ind w:left="0"/>
              <w:jc w:val="left"/>
              <w:rPr>
                <w:rFonts w:ascii="Arial Narrow" w:hAnsi="Arial Narrow"/>
                <w:sz w:val="20"/>
              </w:rPr>
            </w:pPr>
            <w:r>
              <w:rPr>
                <w:rFonts w:ascii="Arial Narrow" w:hAnsi="Arial Narrow"/>
                <w:noProof/>
                <w:color w:val="000000"/>
                <w:sz w:val="20"/>
                <w:highlight w:val="black"/>
              </w:rPr>
              <w:t>''''''</w:t>
            </w:r>
            <w:r w:rsidR="003319E9" w:rsidRPr="00503AD7">
              <w:rPr>
                <w:rFonts w:ascii="Arial Narrow" w:hAnsi="Arial Narrow"/>
                <w:sz w:val="20"/>
              </w:rPr>
              <w:t>%</w:t>
            </w:r>
          </w:p>
        </w:tc>
      </w:tr>
      <w:tr w:rsidR="000F1671" w:rsidRPr="00503AD7" w:rsidTr="00D85FAB">
        <w:trPr>
          <w:trHeight w:val="20"/>
        </w:trPr>
        <w:tc>
          <w:tcPr>
            <w:tcW w:w="2436" w:type="dxa"/>
            <w:vAlign w:val="center"/>
          </w:tcPr>
          <w:p w:rsidR="00E516B3" w:rsidRPr="00503AD7" w:rsidRDefault="000F1671" w:rsidP="005F07D5">
            <w:pPr>
              <w:pStyle w:val="ListParagraph"/>
              <w:keepNext/>
              <w:keepLines/>
              <w:widowControl/>
              <w:ind w:left="0"/>
              <w:jc w:val="left"/>
              <w:rPr>
                <w:rFonts w:ascii="Arial Narrow" w:hAnsi="Arial Narrow"/>
                <w:sz w:val="20"/>
              </w:rPr>
            </w:pPr>
            <w:r w:rsidRPr="00503AD7">
              <w:rPr>
                <w:rFonts w:ascii="Arial Narrow" w:hAnsi="Arial Narrow"/>
                <w:sz w:val="20"/>
              </w:rPr>
              <w:t>Inotuzumab patients</w:t>
            </w:r>
          </w:p>
        </w:tc>
        <w:tc>
          <w:tcPr>
            <w:tcW w:w="901" w:type="dxa"/>
            <w:vAlign w:val="center"/>
          </w:tcPr>
          <w:p w:rsidR="00E516B3" w:rsidRPr="00503AD7" w:rsidRDefault="00C557EE" w:rsidP="005F07D5">
            <w:pPr>
              <w:pStyle w:val="ListParagraph"/>
              <w:keepNext/>
              <w:keepLines/>
              <w:widowControl/>
              <w:ind w:left="0"/>
              <w:jc w:val="left"/>
              <w:rPr>
                <w:rFonts w:ascii="Arial Narrow" w:hAnsi="Arial Narrow"/>
                <w:sz w:val="20"/>
                <w:vertAlign w:val="superscript"/>
              </w:rPr>
            </w:pPr>
            <w:r>
              <w:rPr>
                <w:rFonts w:ascii="Arial Narrow" w:hAnsi="Arial Narrow"/>
                <w:noProof/>
                <w:color w:val="000000"/>
                <w:sz w:val="20"/>
                <w:highlight w:val="black"/>
              </w:rPr>
              <w:t>'''</w:t>
            </w:r>
            <w:r w:rsidR="004E3562" w:rsidRPr="00503AD7">
              <w:rPr>
                <w:rFonts w:ascii="Arial Narrow" w:hAnsi="Arial Narrow"/>
                <w:sz w:val="20"/>
              </w:rPr>
              <w:t xml:space="preserve"> </w:t>
            </w:r>
            <w:r w:rsidR="004E3562" w:rsidRPr="00503AD7">
              <w:rPr>
                <w:rFonts w:ascii="Arial Narrow" w:hAnsi="Arial Narrow"/>
                <w:sz w:val="20"/>
                <w:vertAlign w:val="superscript"/>
              </w:rPr>
              <w:t>d</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c>
          <w:tcPr>
            <w:tcW w:w="1037" w:type="dxa"/>
            <w:vAlign w:val="center"/>
          </w:tcPr>
          <w:p w:rsidR="00E516B3"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p>
        </w:tc>
      </w:tr>
      <w:tr w:rsidR="004E3562" w:rsidRPr="00503AD7" w:rsidTr="00D85FAB">
        <w:trPr>
          <w:trHeight w:val="20"/>
        </w:trPr>
        <w:tc>
          <w:tcPr>
            <w:tcW w:w="2436" w:type="dxa"/>
            <w:vAlign w:val="center"/>
          </w:tcPr>
          <w:p w:rsidR="004E3562" w:rsidRPr="00503AD7" w:rsidRDefault="004E3562" w:rsidP="005F07D5">
            <w:pPr>
              <w:pStyle w:val="ListParagraph"/>
              <w:keepNext/>
              <w:keepLines/>
              <w:widowControl/>
              <w:ind w:left="0"/>
              <w:jc w:val="left"/>
              <w:rPr>
                <w:rFonts w:ascii="Arial Narrow" w:hAnsi="Arial Narrow"/>
                <w:sz w:val="20"/>
              </w:rPr>
            </w:pPr>
            <w:r w:rsidRPr="00503AD7">
              <w:rPr>
                <w:rFonts w:ascii="Arial Narrow" w:hAnsi="Arial Narrow"/>
                <w:sz w:val="20"/>
              </w:rPr>
              <w:t xml:space="preserve">Total 1 mg vials of inotuzumab </w:t>
            </w:r>
            <w:r w:rsidRPr="00503AD7">
              <w:rPr>
                <w:rFonts w:ascii="Arial Narrow" w:hAnsi="Arial Narrow"/>
                <w:sz w:val="20"/>
                <w:vertAlign w:val="superscript"/>
              </w:rPr>
              <w:t>e</w:t>
            </w:r>
            <w:r w:rsidRPr="00503AD7">
              <w:rPr>
                <w:rFonts w:ascii="Arial Narrow" w:hAnsi="Arial Narrow"/>
                <w:sz w:val="20"/>
              </w:rPr>
              <w:t xml:space="preserve"> </w:t>
            </w:r>
          </w:p>
        </w:tc>
        <w:tc>
          <w:tcPr>
            <w:tcW w:w="901"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w:t>
            </w:r>
            <w:r w:rsidR="004E3562" w:rsidRPr="00C557EE">
              <w:rPr>
                <w:rFonts w:ascii="Arial Narrow" w:hAnsi="Arial Narrow"/>
                <w:sz w:val="20"/>
                <w:highlight w:val="black"/>
              </w:rPr>
              <w:t xml:space="preserve"> </w:t>
            </w:r>
          </w:p>
        </w:tc>
        <w:tc>
          <w:tcPr>
            <w:tcW w:w="1037"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 xml:space="preserve">'''''' </w:t>
            </w:r>
          </w:p>
        </w:tc>
        <w:tc>
          <w:tcPr>
            <w:tcW w:w="1037"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 xml:space="preserve">''''' </w:t>
            </w:r>
          </w:p>
        </w:tc>
        <w:tc>
          <w:tcPr>
            <w:tcW w:w="1037"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 xml:space="preserve">'''''''''' </w:t>
            </w:r>
          </w:p>
        </w:tc>
        <w:tc>
          <w:tcPr>
            <w:tcW w:w="1037"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 xml:space="preserve">'''''''''' </w:t>
            </w:r>
          </w:p>
        </w:tc>
        <w:tc>
          <w:tcPr>
            <w:tcW w:w="1037" w:type="dxa"/>
            <w:vAlign w:val="center"/>
          </w:tcPr>
          <w:p w:rsidR="004E3562" w:rsidRPr="00C557EE" w:rsidRDefault="00C557EE" w:rsidP="005F07D5">
            <w:pPr>
              <w:pStyle w:val="ListParagraph"/>
              <w:keepNext/>
              <w:keepLines/>
              <w:widowControl/>
              <w:ind w:left="0"/>
              <w:jc w:val="left"/>
              <w:rPr>
                <w:rFonts w:ascii="Arial Narrow" w:hAnsi="Arial Narrow"/>
                <w:sz w:val="20"/>
                <w:highlight w:val="black"/>
              </w:rPr>
            </w:pPr>
            <w:r>
              <w:rPr>
                <w:rFonts w:ascii="Arial Narrow" w:hAnsi="Arial Narrow"/>
                <w:noProof/>
                <w:color w:val="000000"/>
                <w:sz w:val="20"/>
                <w:highlight w:val="black"/>
              </w:rPr>
              <w:t xml:space="preserve">'''''''''' </w:t>
            </w:r>
          </w:p>
        </w:tc>
      </w:tr>
      <w:tr w:rsidR="00284ABB" w:rsidRPr="00503AD7" w:rsidTr="00D85FAB">
        <w:trPr>
          <w:trHeight w:val="20"/>
        </w:trPr>
        <w:tc>
          <w:tcPr>
            <w:tcW w:w="2436" w:type="dxa"/>
            <w:vAlign w:val="center"/>
          </w:tcPr>
          <w:p w:rsidR="00284ABB" w:rsidRPr="00503AD7" w:rsidRDefault="003A3432" w:rsidP="005F07D5">
            <w:pPr>
              <w:pStyle w:val="ListParagraph"/>
              <w:keepNext/>
              <w:keepLines/>
              <w:widowControl/>
              <w:ind w:left="0"/>
              <w:jc w:val="left"/>
              <w:rPr>
                <w:rFonts w:ascii="Arial Narrow" w:hAnsi="Arial Narrow"/>
                <w:sz w:val="20"/>
                <w:vertAlign w:val="superscript"/>
              </w:rPr>
            </w:pPr>
            <w:r w:rsidRPr="00503AD7">
              <w:rPr>
                <w:rFonts w:ascii="Arial Narrow" w:hAnsi="Arial Narrow"/>
                <w:sz w:val="20"/>
              </w:rPr>
              <w:t>Total cost to the PBS/RPBS</w:t>
            </w:r>
            <w:r w:rsidR="00904CBB" w:rsidRPr="00503AD7">
              <w:rPr>
                <w:rFonts w:ascii="Arial Narrow" w:hAnsi="Arial Narrow"/>
                <w:sz w:val="20"/>
              </w:rPr>
              <w:t xml:space="preserve"> </w:t>
            </w:r>
          </w:p>
        </w:tc>
        <w:tc>
          <w:tcPr>
            <w:tcW w:w="901"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c>
          <w:tcPr>
            <w:tcW w:w="1037"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c>
          <w:tcPr>
            <w:tcW w:w="1037"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c>
          <w:tcPr>
            <w:tcW w:w="1037"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c>
          <w:tcPr>
            <w:tcW w:w="1037"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c>
          <w:tcPr>
            <w:tcW w:w="1037" w:type="dxa"/>
            <w:vAlign w:val="center"/>
          </w:tcPr>
          <w:p w:rsidR="00284ABB" w:rsidRPr="00503AD7" w:rsidRDefault="003A3432" w:rsidP="005F07D5">
            <w:pPr>
              <w:pStyle w:val="ListParagraph"/>
              <w:keepNext/>
              <w:keepLines/>
              <w:widowControl/>
              <w:ind w:left="0"/>
              <w:jc w:val="left"/>
              <w:rPr>
                <w:rFonts w:ascii="Arial Narrow" w:hAnsi="Arial Narrow"/>
                <w:sz w:val="20"/>
              </w:rPr>
            </w:pPr>
            <w:r w:rsidRPr="00503AD7">
              <w:rPr>
                <w:rFonts w:ascii="Arial Narrow" w:hAnsi="Arial Narrow"/>
                <w:sz w:val="20"/>
              </w:rPr>
              <w:t>$</w:t>
            </w:r>
            <w:r w:rsidR="00C557EE">
              <w:rPr>
                <w:rFonts w:ascii="Arial Narrow" w:hAnsi="Arial Narrow"/>
                <w:noProof/>
                <w:color w:val="000000"/>
                <w:sz w:val="20"/>
                <w:highlight w:val="black"/>
              </w:rPr>
              <w:t>'''''''''''''''''''''''''</w:t>
            </w:r>
          </w:p>
        </w:tc>
      </w:tr>
    </w:tbl>
    <w:p w:rsidR="00CE5D96" w:rsidRPr="00503AD7" w:rsidRDefault="00CE5D96" w:rsidP="00BA479F">
      <w:pPr>
        <w:pStyle w:val="ListParagraph"/>
        <w:keepNext/>
        <w:keepLines/>
        <w:widowControl/>
        <w:rPr>
          <w:rFonts w:ascii="Arial Narrow" w:hAnsi="Arial Narrow"/>
          <w:sz w:val="18"/>
          <w:szCs w:val="24"/>
        </w:rPr>
      </w:pPr>
      <w:r w:rsidRPr="00503AD7">
        <w:rPr>
          <w:rFonts w:ascii="Arial Narrow" w:hAnsi="Arial Narrow"/>
          <w:sz w:val="18"/>
          <w:szCs w:val="24"/>
        </w:rPr>
        <w:t>Abbreviations: B-ALL, B-cell precursor acute lymphoblastic leukaemia;</w:t>
      </w:r>
      <w:r w:rsidR="00CC525E" w:rsidRPr="00503AD7">
        <w:rPr>
          <w:rFonts w:ascii="Arial Narrow" w:hAnsi="Arial Narrow"/>
          <w:sz w:val="18"/>
          <w:szCs w:val="24"/>
        </w:rPr>
        <w:t xml:space="preserve"> DPMA, dispensed price for maximum amount;</w:t>
      </w:r>
      <w:r w:rsidR="00040B73" w:rsidRPr="00503AD7">
        <w:rPr>
          <w:rFonts w:ascii="Arial Narrow" w:hAnsi="Arial Narrow"/>
          <w:sz w:val="18"/>
          <w:szCs w:val="24"/>
        </w:rPr>
        <w:t xml:space="preserve"> PBS, Pharmaceutical Benefits Scheme;</w:t>
      </w:r>
      <w:r w:rsidRPr="00503AD7">
        <w:rPr>
          <w:rFonts w:ascii="Arial Narrow" w:hAnsi="Arial Narrow"/>
          <w:sz w:val="18"/>
          <w:szCs w:val="24"/>
        </w:rPr>
        <w:t xml:space="preserve"> Ph+, Philadelphia chromosome </w:t>
      </w:r>
      <w:r w:rsidR="00D579A3" w:rsidRPr="00503AD7">
        <w:rPr>
          <w:rFonts w:ascii="Arial Narrow" w:hAnsi="Arial Narrow"/>
          <w:sz w:val="18"/>
          <w:szCs w:val="24"/>
        </w:rPr>
        <w:t>positi</w:t>
      </w:r>
      <w:r w:rsidRPr="00503AD7">
        <w:rPr>
          <w:rFonts w:ascii="Arial Narrow" w:hAnsi="Arial Narrow"/>
          <w:sz w:val="18"/>
          <w:szCs w:val="24"/>
        </w:rPr>
        <w:t>ve;</w:t>
      </w:r>
      <w:r w:rsidR="00040B73" w:rsidRPr="00503AD7">
        <w:rPr>
          <w:rFonts w:ascii="Arial Narrow" w:hAnsi="Arial Narrow"/>
          <w:sz w:val="18"/>
          <w:szCs w:val="24"/>
        </w:rPr>
        <w:t xml:space="preserve"> RPBS, Repatriation Schedule of Pharmaceutical Benefits;</w:t>
      </w:r>
      <w:r w:rsidRPr="00503AD7">
        <w:rPr>
          <w:rFonts w:ascii="Arial Narrow" w:hAnsi="Arial Narrow"/>
          <w:sz w:val="18"/>
          <w:szCs w:val="24"/>
        </w:rPr>
        <w:t xml:space="preserve"> R/R, relapsed/refractory</w:t>
      </w:r>
    </w:p>
    <w:p w:rsidR="0019221F" w:rsidRPr="00503AD7" w:rsidRDefault="00253921" w:rsidP="00BA479F">
      <w:pPr>
        <w:pStyle w:val="ListParagraph"/>
        <w:keepNext/>
        <w:keepLines/>
        <w:widowControl/>
        <w:rPr>
          <w:rFonts w:ascii="Arial Narrow" w:hAnsi="Arial Narrow"/>
          <w:sz w:val="18"/>
          <w:szCs w:val="24"/>
        </w:rPr>
      </w:pPr>
      <w:r w:rsidRPr="00503AD7">
        <w:rPr>
          <w:rFonts w:ascii="Arial Narrow" w:hAnsi="Arial Narrow"/>
          <w:sz w:val="18"/>
          <w:szCs w:val="24"/>
        </w:rPr>
        <w:t xml:space="preserve">Notes: </w:t>
      </w:r>
    </w:p>
    <w:p w:rsidR="00E516B3" w:rsidRPr="00503AD7" w:rsidRDefault="00253921" w:rsidP="00BA479F">
      <w:pPr>
        <w:pStyle w:val="ListParagraph"/>
        <w:keepNext/>
        <w:keepLines/>
        <w:widowControl/>
        <w:rPr>
          <w:rFonts w:ascii="Arial Narrow" w:hAnsi="Arial Narrow"/>
          <w:sz w:val="18"/>
          <w:szCs w:val="24"/>
        </w:rPr>
      </w:pPr>
      <w:r w:rsidRPr="00503AD7">
        <w:rPr>
          <w:rFonts w:ascii="Arial Narrow" w:hAnsi="Arial Narrow"/>
          <w:sz w:val="18"/>
          <w:szCs w:val="24"/>
          <w:vertAlign w:val="superscript"/>
        </w:rPr>
        <w:t>a</w:t>
      </w:r>
      <w:r w:rsidR="00CE5D96" w:rsidRPr="00503AD7">
        <w:rPr>
          <w:rFonts w:ascii="Arial Narrow" w:hAnsi="Arial Narrow"/>
          <w:sz w:val="18"/>
          <w:szCs w:val="24"/>
        </w:rPr>
        <w:t xml:space="preserve"> Estimated number of patients with R/R B-ALL after first line treatment from the November 2018 submission</w:t>
      </w:r>
      <w:r w:rsidR="00253855" w:rsidRPr="00503AD7">
        <w:rPr>
          <w:rFonts w:ascii="Arial Narrow" w:hAnsi="Arial Narrow"/>
          <w:sz w:val="18"/>
          <w:szCs w:val="24"/>
        </w:rPr>
        <w:t>;</w:t>
      </w:r>
    </w:p>
    <w:p w:rsidR="00253855" w:rsidRPr="00503AD7" w:rsidRDefault="00253855" w:rsidP="00BA479F">
      <w:pPr>
        <w:pStyle w:val="ListParagraph"/>
        <w:keepNext/>
        <w:keepLines/>
        <w:widowControl/>
        <w:rPr>
          <w:rFonts w:ascii="Arial Narrow" w:hAnsi="Arial Narrow"/>
          <w:sz w:val="18"/>
          <w:szCs w:val="24"/>
        </w:rPr>
      </w:pPr>
      <w:r w:rsidRPr="00503AD7">
        <w:rPr>
          <w:rFonts w:ascii="Arial Narrow" w:hAnsi="Arial Narrow"/>
          <w:sz w:val="18"/>
          <w:szCs w:val="24"/>
          <w:vertAlign w:val="superscript"/>
        </w:rPr>
        <w:t>b</w:t>
      </w:r>
      <w:r w:rsidRPr="00503AD7">
        <w:rPr>
          <w:rFonts w:ascii="Arial Narrow" w:hAnsi="Arial Narrow"/>
          <w:sz w:val="18"/>
          <w:szCs w:val="24"/>
        </w:rPr>
        <w:t xml:space="preserve"> </w:t>
      </w:r>
      <w:r w:rsidR="00C60553" w:rsidRPr="00503AD7">
        <w:rPr>
          <w:rFonts w:ascii="Arial Narrow" w:hAnsi="Arial Narrow"/>
          <w:sz w:val="18"/>
          <w:szCs w:val="24"/>
        </w:rPr>
        <w:t>Based o</w:t>
      </w:r>
      <w:r w:rsidR="00D32DBD" w:rsidRPr="00503AD7">
        <w:rPr>
          <w:rFonts w:ascii="Arial Narrow" w:hAnsi="Arial Narrow"/>
          <w:sz w:val="18"/>
          <w:szCs w:val="24"/>
        </w:rPr>
        <w:t xml:space="preserve">n the estimate that 25% of the adult R/R B-ALL population have Ph+ disease from the November 2018 submission; </w:t>
      </w:r>
      <w:r w:rsidR="0019221F" w:rsidRPr="00503AD7">
        <w:rPr>
          <w:rFonts w:ascii="Arial Narrow" w:hAnsi="Arial Narrow"/>
          <w:sz w:val="18"/>
          <w:szCs w:val="24"/>
        </w:rPr>
        <w:t xml:space="preserve">and 95% have CD22-positive </w:t>
      </w:r>
      <w:r w:rsidR="00BA479F" w:rsidRPr="00503AD7">
        <w:rPr>
          <w:rFonts w:ascii="Arial Narrow" w:hAnsi="Arial Narrow"/>
          <w:sz w:val="18"/>
          <w:szCs w:val="24"/>
        </w:rPr>
        <w:t>disease</w:t>
      </w:r>
    </w:p>
    <w:p w:rsidR="0046749D" w:rsidRPr="00503AD7" w:rsidRDefault="0046749D" w:rsidP="00BA479F">
      <w:pPr>
        <w:pStyle w:val="ListParagraph"/>
        <w:keepNext/>
        <w:keepLines/>
        <w:widowControl/>
        <w:rPr>
          <w:rFonts w:ascii="Arial Narrow" w:hAnsi="Arial Narrow"/>
          <w:sz w:val="18"/>
          <w:szCs w:val="24"/>
        </w:rPr>
      </w:pPr>
      <w:r w:rsidRPr="00503AD7">
        <w:rPr>
          <w:rFonts w:ascii="Arial Narrow" w:hAnsi="Arial Narrow"/>
          <w:sz w:val="18"/>
          <w:szCs w:val="24"/>
          <w:vertAlign w:val="superscript"/>
        </w:rPr>
        <w:t>c</w:t>
      </w:r>
      <w:r w:rsidRPr="00503AD7">
        <w:rPr>
          <w:rFonts w:ascii="Arial Narrow" w:hAnsi="Arial Narrow"/>
          <w:sz w:val="18"/>
          <w:szCs w:val="24"/>
        </w:rPr>
        <w:t xml:space="preserve"> </w:t>
      </w:r>
      <w:r w:rsidR="00F56FAC" w:rsidRPr="00503AD7">
        <w:rPr>
          <w:rFonts w:ascii="Arial Narrow" w:hAnsi="Arial Narrow"/>
          <w:sz w:val="18"/>
          <w:szCs w:val="24"/>
        </w:rPr>
        <w:t xml:space="preserve">Based on assumption that </w:t>
      </w:r>
      <w:r w:rsidR="00C557EE">
        <w:rPr>
          <w:rFonts w:ascii="Arial Narrow" w:hAnsi="Arial Narrow"/>
          <w:noProof/>
          <w:color w:val="000000"/>
          <w:sz w:val="18"/>
          <w:szCs w:val="24"/>
          <w:highlight w:val="black"/>
        </w:rPr>
        <w:t>'''''''</w:t>
      </w:r>
      <w:r w:rsidR="00F56FAC" w:rsidRPr="00503AD7">
        <w:rPr>
          <w:rFonts w:ascii="Arial Narrow" w:hAnsi="Arial Narrow"/>
          <w:sz w:val="18"/>
          <w:szCs w:val="24"/>
        </w:rPr>
        <w:t>% of R/R Ph+ B-ALL patients require 2</w:t>
      </w:r>
      <w:r w:rsidR="00F56FAC" w:rsidRPr="00503AD7">
        <w:rPr>
          <w:rFonts w:ascii="Arial Narrow" w:hAnsi="Arial Narrow"/>
          <w:sz w:val="18"/>
          <w:szCs w:val="24"/>
          <w:vertAlign w:val="superscript"/>
        </w:rPr>
        <w:t>nd</w:t>
      </w:r>
      <w:r w:rsidR="00F56FAC" w:rsidRPr="00503AD7">
        <w:rPr>
          <w:rFonts w:ascii="Arial Narrow" w:hAnsi="Arial Narrow"/>
          <w:sz w:val="18"/>
          <w:szCs w:val="24"/>
        </w:rPr>
        <w:t xml:space="preserve"> line salvage</w:t>
      </w:r>
      <w:r w:rsidR="001207CD" w:rsidRPr="00503AD7">
        <w:rPr>
          <w:rFonts w:ascii="Arial Narrow" w:hAnsi="Arial Narrow"/>
          <w:sz w:val="18"/>
          <w:szCs w:val="24"/>
        </w:rPr>
        <w:t>;</w:t>
      </w:r>
    </w:p>
    <w:p w:rsidR="004E3562" w:rsidRPr="00503AD7" w:rsidRDefault="004E3562" w:rsidP="00BA479F">
      <w:pPr>
        <w:pStyle w:val="ListParagraph"/>
        <w:keepNext/>
        <w:keepLines/>
        <w:widowControl/>
        <w:rPr>
          <w:rFonts w:ascii="Arial Narrow" w:hAnsi="Arial Narrow"/>
          <w:sz w:val="18"/>
          <w:szCs w:val="24"/>
        </w:rPr>
      </w:pPr>
      <w:r w:rsidRPr="00503AD7">
        <w:rPr>
          <w:rFonts w:ascii="Arial Narrow" w:hAnsi="Arial Narrow"/>
          <w:sz w:val="18"/>
          <w:szCs w:val="24"/>
          <w:vertAlign w:val="superscript"/>
        </w:rPr>
        <w:t>d</w:t>
      </w:r>
      <w:r w:rsidRPr="00503AD7">
        <w:rPr>
          <w:rFonts w:ascii="Arial Narrow" w:hAnsi="Arial Narrow"/>
          <w:sz w:val="18"/>
          <w:szCs w:val="24"/>
        </w:rPr>
        <w:t xml:space="preserve"> Year 1 includes one grandfathered patient</w:t>
      </w:r>
    </w:p>
    <w:p w:rsidR="001207CD" w:rsidRPr="00503AD7" w:rsidRDefault="004E3562" w:rsidP="00BA479F">
      <w:pPr>
        <w:pStyle w:val="ListParagraph"/>
        <w:keepNext/>
        <w:keepLines/>
        <w:widowControl/>
        <w:rPr>
          <w:rFonts w:ascii="Arial Narrow" w:hAnsi="Arial Narrow"/>
          <w:sz w:val="18"/>
          <w:szCs w:val="24"/>
        </w:rPr>
      </w:pPr>
      <w:r w:rsidRPr="00503AD7">
        <w:rPr>
          <w:rFonts w:ascii="Arial Narrow" w:hAnsi="Arial Narrow"/>
          <w:sz w:val="18"/>
          <w:szCs w:val="24"/>
          <w:vertAlign w:val="superscript"/>
        </w:rPr>
        <w:t>e</w:t>
      </w:r>
      <w:r w:rsidR="001207CD" w:rsidRPr="00503AD7">
        <w:rPr>
          <w:rFonts w:ascii="Arial Narrow" w:hAnsi="Arial Narrow"/>
          <w:sz w:val="18"/>
          <w:szCs w:val="24"/>
        </w:rPr>
        <w:t xml:space="preserve"> Based on a mean of 9.3 </w:t>
      </w:r>
      <w:r w:rsidRPr="00503AD7">
        <w:rPr>
          <w:rFonts w:ascii="Arial Narrow" w:hAnsi="Arial Narrow"/>
          <w:sz w:val="18"/>
          <w:szCs w:val="24"/>
        </w:rPr>
        <w:t xml:space="preserve">x 1 mg </w:t>
      </w:r>
      <w:r w:rsidR="001207CD" w:rsidRPr="00503AD7">
        <w:rPr>
          <w:rFonts w:ascii="Arial Narrow" w:hAnsi="Arial Narrow"/>
          <w:sz w:val="18"/>
          <w:szCs w:val="24"/>
        </w:rPr>
        <w:t>vials per course per patient from the INO-VATE trial presented in the November 2018 submission;</w:t>
      </w:r>
    </w:p>
    <w:p w:rsidR="00040B73" w:rsidRPr="00503AD7" w:rsidRDefault="00040B73" w:rsidP="00040B73">
      <w:pPr>
        <w:pStyle w:val="ListParagraph"/>
        <w:widowControl/>
        <w:spacing w:before="120" w:after="160"/>
        <w:rPr>
          <w:rFonts w:asciiTheme="minorHAnsi" w:hAnsiTheme="minorHAnsi"/>
          <w:sz w:val="24"/>
          <w:szCs w:val="24"/>
        </w:rPr>
      </w:pPr>
    </w:p>
    <w:p w:rsidR="004F368F" w:rsidRPr="00051DA3" w:rsidRDefault="004F368F" w:rsidP="00051DA3">
      <w:pPr>
        <w:pStyle w:val="ListParagraph"/>
        <w:widowControl/>
        <w:spacing w:before="120" w:after="160"/>
        <w:contextualSpacing w:val="0"/>
        <w:rPr>
          <w:rFonts w:asciiTheme="minorHAnsi" w:hAnsiTheme="minorHAnsi"/>
          <w:i/>
          <w:sz w:val="24"/>
          <w:szCs w:val="24"/>
        </w:rPr>
      </w:pPr>
      <w:r w:rsidRPr="00051DA3">
        <w:rPr>
          <w:rFonts w:asciiTheme="minorHAnsi" w:hAnsiTheme="minorHAnsi"/>
          <w:i/>
          <w:sz w:val="24"/>
          <w:szCs w:val="24"/>
        </w:rPr>
        <w:t xml:space="preserve">The redacted table shows that at Year </w:t>
      </w:r>
      <w:r w:rsidR="00643E5A">
        <w:rPr>
          <w:rFonts w:asciiTheme="minorHAnsi" w:hAnsiTheme="minorHAnsi"/>
          <w:i/>
          <w:sz w:val="24"/>
          <w:szCs w:val="24"/>
        </w:rPr>
        <w:t>6</w:t>
      </w:r>
      <w:r w:rsidRPr="00051DA3">
        <w:rPr>
          <w:rFonts w:asciiTheme="minorHAnsi" w:hAnsiTheme="minorHAnsi"/>
          <w:i/>
          <w:sz w:val="24"/>
          <w:szCs w:val="24"/>
        </w:rPr>
        <w:t xml:space="preserve">, the estimated number of patients was </w:t>
      </w:r>
      <w:r w:rsidR="00643E5A">
        <w:rPr>
          <w:rFonts w:asciiTheme="minorHAnsi" w:hAnsiTheme="minorHAnsi"/>
          <w:i/>
          <w:sz w:val="24"/>
          <w:szCs w:val="24"/>
        </w:rPr>
        <w:t xml:space="preserve">less than 10,000 </w:t>
      </w:r>
      <w:r w:rsidRPr="00051DA3">
        <w:rPr>
          <w:rFonts w:asciiTheme="minorHAnsi" w:hAnsiTheme="minorHAnsi"/>
          <w:i/>
          <w:sz w:val="24"/>
          <w:szCs w:val="24"/>
        </w:rPr>
        <w:t>and the net cost to the PBS would be</w:t>
      </w:r>
      <w:r w:rsidR="00643E5A">
        <w:rPr>
          <w:rFonts w:asciiTheme="minorHAnsi" w:hAnsiTheme="minorHAnsi"/>
          <w:i/>
          <w:sz w:val="24"/>
          <w:szCs w:val="24"/>
        </w:rPr>
        <w:t xml:space="preserve"> less than $10 million</w:t>
      </w:r>
      <w:r w:rsidRPr="00051DA3">
        <w:rPr>
          <w:rFonts w:asciiTheme="minorHAnsi" w:hAnsiTheme="minorHAnsi"/>
          <w:i/>
          <w:sz w:val="24"/>
          <w:szCs w:val="24"/>
        </w:rPr>
        <w:t>.</w:t>
      </w:r>
    </w:p>
    <w:p w:rsidR="00316D4D" w:rsidRPr="00503AD7" w:rsidRDefault="00316D4D" w:rsidP="00BA479F">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lastRenderedPageBreak/>
        <w:t xml:space="preserve">The total cost to the PBS/RPBS was estimated to be </w:t>
      </w:r>
      <w:r w:rsidR="004F368F">
        <w:rPr>
          <w:rFonts w:asciiTheme="minorHAnsi" w:hAnsiTheme="minorHAnsi"/>
          <w:sz w:val="24"/>
          <w:szCs w:val="24"/>
        </w:rPr>
        <w:t xml:space="preserve">less than $10 million </w:t>
      </w:r>
      <w:r w:rsidRPr="00503AD7">
        <w:rPr>
          <w:rFonts w:asciiTheme="minorHAnsi" w:hAnsiTheme="minorHAnsi"/>
          <w:sz w:val="24"/>
          <w:szCs w:val="24"/>
        </w:rPr>
        <w:t xml:space="preserve">in Year 1 increasing to </w:t>
      </w:r>
      <w:r w:rsidR="004F368F">
        <w:rPr>
          <w:rFonts w:asciiTheme="minorHAnsi" w:hAnsiTheme="minorHAnsi"/>
          <w:sz w:val="24"/>
          <w:szCs w:val="24"/>
        </w:rPr>
        <w:t>less than $10 million</w:t>
      </w:r>
      <w:r w:rsidR="004F368F" w:rsidRPr="00503AD7">
        <w:rPr>
          <w:rFonts w:asciiTheme="minorHAnsi" w:hAnsiTheme="minorHAnsi"/>
          <w:sz w:val="24"/>
          <w:szCs w:val="24"/>
        </w:rPr>
        <w:t xml:space="preserve"> </w:t>
      </w:r>
      <w:r w:rsidRPr="00503AD7">
        <w:rPr>
          <w:rFonts w:asciiTheme="minorHAnsi" w:hAnsiTheme="minorHAnsi"/>
          <w:sz w:val="24"/>
          <w:szCs w:val="24"/>
        </w:rPr>
        <w:t xml:space="preserve">in Year 6. The </w:t>
      </w:r>
      <w:r w:rsidR="000D7DFA" w:rsidRPr="00503AD7">
        <w:rPr>
          <w:rFonts w:asciiTheme="minorHAnsi" w:hAnsiTheme="minorHAnsi"/>
          <w:sz w:val="24"/>
          <w:szCs w:val="24"/>
        </w:rPr>
        <w:t xml:space="preserve">sponsor </w:t>
      </w:r>
      <w:r w:rsidR="0001390D" w:rsidRPr="00503AD7">
        <w:rPr>
          <w:rFonts w:asciiTheme="minorHAnsi" w:hAnsiTheme="minorHAnsi"/>
          <w:sz w:val="24"/>
          <w:szCs w:val="24"/>
        </w:rPr>
        <w:t>stat</w:t>
      </w:r>
      <w:r w:rsidR="000D7DFA" w:rsidRPr="00503AD7">
        <w:rPr>
          <w:rFonts w:asciiTheme="minorHAnsi" w:hAnsiTheme="minorHAnsi"/>
          <w:sz w:val="24"/>
          <w:szCs w:val="24"/>
        </w:rPr>
        <w:t xml:space="preserve">ed </w:t>
      </w:r>
      <w:r w:rsidR="0001390D" w:rsidRPr="00503AD7">
        <w:rPr>
          <w:rFonts w:asciiTheme="minorHAnsi" w:hAnsiTheme="minorHAnsi"/>
          <w:sz w:val="24"/>
          <w:szCs w:val="24"/>
        </w:rPr>
        <w:t xml:space="preserve">that </w:t>
      </w:r>
      <w:r w:rsidR="000D7DFA" w:rsidRPr="00503AD7">
        <w:rPr>
          <w:rFonts w:asciiTheme="minorHAnsi" w:hAnsiTheme="minorHAnsi"/>
          <w:sz w:val="24"/>
          <w:szCs w:val="24"/>
        </w:rPr>
        <w:t>the estimated financial impact is conservative as cost-offset</w:t>
      </w:r>
      <w:r w:rsidR="004E3562" w:rsidRPr="00503AD7">
        <w:rPr>
          <w:rFonts w:asciiTheme="minorHAnsi" w:hAnsiTheme="minorHAnsi"/>
          <w:sz w:val="24"/>
          <w:szCs w:val="24"/>
        </w:rPr>
        <w:t>s</w:t>
      </w:r>
      <w:r w:rsidR="000D7DFA" w:rsidRPr="00503AD7">
        <w:rPr>
          <w:rFonts w:asciiTheme="minorHAnsi" w:hAnsiTheme="minorHAnsi"/>
          <w:sz w:val="24"/>
          <w:szCs w:val="24"/>
        </w:rPr>
        <w:t xml:space="preserve"> from potential substitution for salvage chemotherapy regimens or further treatment with a TKI have not been accounted for</w:t>
      </w:r>
      <w:r w:rsidR="0001390D" w:rsidRPr="00503AD7">
        <w:rPr>
          <w:rFonts w:asciiTheme="minorHAnsi" w:hAnsiTheme="minorHAnsi"/>
          <w:sz w:val="24"/>
          <w:szCs w:val="24"/>
        </w:rPr>
        <w:t xml:space="preserve">, and </w:t>
      </w:r>
      <w:r w:rsidR="005F07D5" w:rsidRPr="00503AD7">
        <w:rPr>
          <w:rFonts w:asciiTheme="minorHAnsi" w:hAnsiTheme="minorHAnsi"/>
          <w:sz w:val="24"/>
          <w:szCs w:val="24"/>
        </w:rPr>
        <w:t xml:space="preserve">the </w:t>
      </w:r>
      <w:r w:rsidR="00BF3B50" w:rsidRPr="00503AD7">
        <w:rPr>
          <w:rFonts w:asciiTheme="minorHAnsi" w:hAnsiTheme="minorHAnsi"/>
          <w:sz w:val="24"/>
          <w:szCs w:val="24"/>
        </w:rPr>
        <w:t xml:space="preserve">inotuzumab price has not been updated </w:t>
      </w:r>
      <w:r w:rsidR="00BF3B50" w:rsidRPr="00244AFD">
        <w:rPr>
          <w:rFonts w:asciiTheme="minorHAnsi" w:hAnsiTheme="minorHAnsi"/>
          <w:sz w:val="24"/>
          <w:szCs w:val="24"/>
        </w:rPr>
        <w:t>to reflect the confidential effective price required for the cost-minimisation against blinatumomab</w:t>
      </w:r>
      <w:r w:rsidR="000D7DFA" w:rsidRPr="00503AD7">
        <w:rPr>
          <w:rFonts w:asciiTheme="minorHAnsi" w:hAnsiTheme="minorHAnsi"/>
          <w:sz w:val="24"/>
          <w:szCs w:val="24"/>
        </w:rPr>
        <w:t xml:space="preserve">. </w:t>
      </w:r>
    </w:p>
    <w:p w:rsidR="00F8313E" w:rsidRDefault="00D579A3" w:rsidP="00F8313E">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The PBAC recalled its previous advice that inotuzumab would need to join the existing R</w:t>
      </w:r>
      <w:r w:rsidR="004934C4" w:rsidRPr="00503AD7">
        <w:rPr>
          <w:rFonts w:asciiTheme="minorHAnsi" w:hAnsiTheme="minorHAnsi"/>
          <w:sz w:val="24"/>
          <w:szCs w:val="24"/>
        </w:rPr>
        <w:t xml:space="preserve">isk </w:t>
      </w:r>
      <w:r w:rsidRPr="00503AD7">
        <w:rPr>
          <w:rFonts w:asciiTheme="minorHAnsi" w:hAnsiTheme="minorHAnsi"/>
          <w:sz w:val="24"/>
          <w:szCs w:val="24"/>
        </w:rPr>
        <w:t>S</w:t>
      </w:r>
      <w:r w:rsidR="004934C4" w:rsidRPr="00503AD7">
        <w:rPr>
          <w:rFonts w:asciiTheme="minorHAnsi" w:hAnsiTheme="minorHAnsi"/>
          <w:sz w:val="24"/>
          <w:szCs w:val="24"/>
        </w:rPr>
        <w:t xml:space="preserve">haring </w:t>
      </w:r>
      <w:r w:rsidRPr="00503AD7">
        <w:rPr>
          <w:rFonts w:asciiTheme="minorHAnsi" w:hAnsiTheme="minorHAnsi"/>
          <w:sz w:val="24"/>
          <w:szCs w:val="24"/>
        </w:rPr>
        <w:t>A</w:t>
      </w:r>
      <w:r w:rsidR="004934C4" w:rsidRPr="00503AD7">
        <w:rPr>
          <w:rFonts w:asciiTheme="minorHAnsi" w:hAnsiTheme="minorHAnsi"/>
          <w:sz w:val="24"/>
          <w:szCs w:val="24"/>
        </w:rPr>
        <w:t>rrangement (RSA)</w:t>
      </w:r>
      <w:r w:rsidRPr="00503AD7">
        <w:rPr>
          <w:rFonts w:asciiTheme="minorHAnsi" w:hAnsiTheme="minorHAnsi"/>
          <w:sz w:val="24"/>
          <w:szCs w:val="24"/>
        </w:rPr>
        <w:t xml:space="preserve"> terms in place for blinatumomab (</w:t>
      </w:r>
      <w:r w:rsidR="00303B9A" w:rsidRPr="00503AD7">
        <w:rPr>
          <w:rFonts w:asciiTheme="minorHAnsi" w:hAnsiTheme="minorHAnsi"/>
          <w:sz w:val="24"/>
          <w:szCs w:val="24"/>
        </w:rPr>
        <w:t xml:space="preserve">inotuzumab PSD, November 2018, paragraph </w:t>
      </w:r>
      <w:r w:rsidRPr="00503AD7">
        <w:rPr>
          <w:rFonts w:asciiTheme="minorHAnsi" w:hAnsiTheme="minorHAnsi"/>
          <w:sz w:val="24"/>
          <w:szCs w:val="24"/>
        </w:rPr>
        <w:t xml:space="preserve">7.18). The PBAC noted that blinatumomab is </w:t>
      </w:r>
      <w:r w:rsidR="00303B9A" w:rsidRPr="00503AD7">
        <w:rPr>
          <w:rFonts w:asciiTheme="minorHAnsi" w:hAnsiTheme="minorHAnsi"/>
          <w:sz w:val="24"/>
          <w:szCs w:val="24"/>
        </w:rPr>
        <w:t xml:space="preserve">also </w:t>
      </w:r>
      <w:r w:rsidRPr="00503AD7">
        <w:rPr>
          <w:rFonts w:asciiTheme="minorHAnsi" w:hAnsiTheme="minorHAnsi"/>
          <w:sz w:val="24"/>
          <w:szCs w:val="24"/>
        </w:rPr>
        <w:t xml:space="preserve">TGA-approved for patients with </w:t>
      </w:r>
      <w:r w:rsidR="00303B9A" w:rsidRPr="00503AD7">
        <w:rPr>
          <w:rFonts w:asciiTheme="minorHAnsi" w:hAnsiTheme="minorHAnsi"/>
          <w:sz w:val="24"/>
          <w:szCs w:val="24"/>
        </w:rPr>
        <w:t>Ph+ disease</w:t>
      </w:r>
      <w:r w:rsidR="004934C4" w:rsidRPr="00503AD7">
        <w:rPr>
          <w:rFonts w:asciiTheme="minorHAnsi" w:hAnsiTheme="minorHAnsi"/>
          <w:sz w:val="24"/>
          <w:szCs w:val="24"/>
        </w:rPr>
        <w:t>.</w:t>
      </w:r>
    </w:p>
    <w:p w:rsidR="000B558D" w:rsidRPr="00503AD7" w:rsidRDefault="006B04B0" w:rsidP="004D04F9">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03AD7">
        <w:rPr>
          <w:rFonts w:asciiTheme="minorHAnsi" w:hAnsiTheme="minorHAnsi"/>
          <w:sz w:val="32"/>
          <w:szCs w:val="32"/>
        </w:rPr>
        <w:t>PBAC Outcome</w:t>
      </w:r>
    </w:p>
    <w:p w:rsidR="004D04F9" w:rsidRPr="00503AD7" w:rsidRDefault="004D04F9" w:rsidP="00DC3C30">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eastAsiaTheme="minorHAnsi" w:hAnsiTheme="minorHAnsi" w:cstheme="minorBidi"/>
          <w:snapToGrid/>
          <w:sz w:val="24"/>
          <w:szCs w:val="24"/>
        </w:rPr>
        <w:t>The PBAC</w:t>
      </w:r>
      <w:r w:rsidR="00DC3C30" w:rsidRPr="00503AD7">
        <w:rPr>
          <w:rFonts w:asciiTheme="minorHAnsi" w:eastAsiaTheme="minorHAnsi" w:hAnsiTheme="minorHAnsi" w:cstheme="minorBidi"/>
          <w:snapToGrid/>
          <w:sz w:val="24"/>
          <w:szCs w:val="24"/>
        </w:rPr>
        <w:t xml:space="preserve"> deferred making a decision</w:t>
      </w:r>
      <w:r w:rsidRPr="00503AD7">
        <w:rPr>
          <w:rFonts w:asciiTheme="minorHAnsi" w:eastAsiaTheme="minorHAnsi" w:hAnsiTheme="minorHAnsi" w:cstheme="minorBidi"/>
          <w:snapToGrid/>
          <w:sz w:val="24"/>
          <w:szCs w:val="24"/>
        </w:rPr>
        <w:t xml:space="preserve"> to extend </w:t>
      </w:r>
      <w:r w:rsidR="00FF75C9" w:rsidRPr="00503AD7">
        <w:rPr>
          <w:rFonts w:asciiTheme="minorHAnsi" w:eastAsiaTheme="minorHAnsi" w:hAnsiTheme="minorHAnsi" w:cstheme="minorBidi"/>
          <w:snapToGrid/>
          <w:sz w:val="24"/>
          <w:szCs w:val="24"/>
        </w:rPr>
        <w:t xml:space="preserve">the </w:t>
      </w:r>
      <w:r w:rsidR="00DC3C30" w:rsidRPr="00503AD7">
        <w:rPr>
          <w:rFonts w:asciiTheme="minorHAnsi" w:eastAsiaTheme="minorHAnsi" w:hAnsiTheme="minorHAnsi" w:cstheme="minorBidi"/>
          <w:snapToGrid/>
          <w:sz w:val="24"/>
          <w:szCs w:val="24"/>
        </w:rPr>
        <w:t xml:space="preserve">recommended listing </w:t>
      </w:r>
      <w:r w:rsidR="00FF75C9" w:rsidRPr="00503AD7">
        <w:rPr>
          <w:rFonts w:asciiTheme="minorHAnsi" w:eastAsiaTheme="minorHAnsi" w:hAnsiTheme="minorHAnsi" w:cstheme="minorBidi"/>
          <w:snapToGrid/>
          <w:sz w:val="24"/>
          <w:szCs w:val="24"/>
        </w:rPr>
        <w:t xml:space="preserve">of </w:t>
      </w:r>
      <w:r w:rsidRPr="00503AD7">
        <w:rPr>
          <w:rFonts w:asciiTheme="minorHAnsi" w:eastAsiaTheme="minorHAnsi" w:hAnsiTheme="minorHAnsi" w:cstheme="minorBidi"/>
          <w:snapToGrid/>
          <w:sz w:val="24"/>
          <w:szCs w:val="24"/>
        </w:rPr>
        <w:t>inotuzumab</w:t>
      </w:r>
      <w:r w:rsidR="00DC3C30" w:rsidRPr="00503AD7">
        <w:rPr>
          <w:rFonts w:asciiTheme="minorHAnsi" w:eastAsiaTheme="minorHAnsi" w:hAnsiTheme="minorHAnsi" w:cstheme="minorBidi"/>
          <w:snapToGrid/>
          <w:sz w:val="24"/>
          <w:szCs w:val="24"/>
        </w:rPr>
        <w:t>, which was</w:t>
      </w:r>
      <w:r w:rsidRPr="00503AD7">
        <w:rPr>
          <w:rFonts w:asciiTheme="minorHAnsi" w:eastAsiaTheme="minorHAnsi" w:hAnsiTheme="minorHAnsi" w:cstheme="minorBidi"/>
          <w:snapToGrid/>
          <w:sz w:val="24"/>
          <w:szCs w:val="24"/>
        </w:rPr>
        <w:t xml:space="preserve"> for the treatment </w:t>
      </w:r>
      <w:r w:rsidRPr="0075275F">
        <w:rPr>
          <w:rFonts w:asciiTheme="minorHAnsi" w:hAnsiTheme="minorHAnsi"/>
          <w:bCs/>
          <w:sz w:val="24"/>
          <w:szCs w:val="24"/>
        </w:rPr>
        <w:t>of relapsed or refractory (R/R) Ph- B-precursor acute lymphocytic leukaemia (B-ALL)</w:t>
      </w:r>
      <w:r w:rsidR="00DC3C30" w:rsidRPr="0075275F">
        <w:rPr>
          <w:rFonts w:asciiTheme="minorHAnsi" w:hAnsiTheme="minorHAnsi"/>
          <w:bCs/>
          <w:sz w:val="24"/>
          <w:szCs w:val="24"/>
        </w:rPr>
        <w:t>,</w:t>
      </w:r>
      <w:r w:rsidRPr="0075275F">
        <w:rPr>
          <w:rFonts w:asciiTheme="minorHAnsi" w:hAnsiTheme="minorHAnsi"/>
          <w:bCs/>
          <w:sz w:val="24"/>
          <w:szCs w:val="24"/>
        </w:rPr>
        <w:t xml:space="preserve"> to include patients with Ph</w:t>
      </w:r>
      <w:r w:rsidR="00FA31CF" w:rsidRPr="0075275F">
        <w:rPr>
          <w:rFonts w:asciiTheme="minorHAnsi" w:hAnsiTheme="minorHAnsi"/>
          <w:bCs/>
          <w:sz w:val="24"/>
          <w:szCs w:val="24"/>
        </w:rPr>
        <w:t>+ disease</w:t>
      </w:r>
      <w:r w:rsidRPr="0075275F">
        <w:rPr>
          <w:rFonts w:asciiTheme="minorHAnsi" w:hAnsiTheme="minorHAnsi"/>
          <w:bCs/>
          <w:sz w:val="24"/>
          <w:szCs w:val="24"/>
        </w:rPr>
        <w:t xml:space="preserve">. The PBAC deferred making a recommendation </w:t>
      </w:r>
      <w:r w:rsidR="00B233B6" w:rsidRPr="0075275F">
        <w:rPr>
          <w:rFonts w:asciiTheme="minorHAnsi" w:hAnsiTheme="minorHAnsi"/>
          <w:bCs/>
          <w:sz w:val="24"/>
          <w:szCs w:val="24"/>
        </w:rPr>
        <w:t>to enable further work on the restriction and financial estimates</w:t>
      </w:r>
      <w:r w:rsidR="00CC525E" w:rsidRPr="0075275F">
        <w:rPr>
          <w:rFonts w:asciiTheme="minorHAnsi" w:hAnsiTheme="minorHAnsi"/>
          <w:bCs/>
          <w:sz w:val="24"/>
          <w:szCs w:val="24"/>
        </w:rPr>
        <w:t xml:space="preserve">. </w:t>
      </w:r>
    </w:p>
    <w:p w:rsidR="00685892" w:rsidRPr="00503AD7" w:rsidRDefault="00D03F97" w:rsidP="00685892">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PBAC considered </w:t>
      </w:r>
      <w:r w:rsidR="009C222D" w:rsidRPr="00503AD7">
        <w:rPr>
          <w:rFonts w:asciiTheme="minorHAnsi" w:hAnsiTheme="minorHAnsi"/>
          <w:sz w:val="24"/>
          <w:szCs w:val="24"/>
        </w:rPr>
        <w:t>that if it made a positive recommendation to extend the recommended listing of inotuzumab</w:t>
      </w:r>
      <w:r w:rsidR="00FF75C9" w:rsidRPr="00503AD7">
        <w:rPr>
          <w:rFonts w:asciiTheme="minorHAnsi" w:hAnsiTheme="minorHAnsi"/>
          <w:sz w:val="24"/>
          <w:szCs w:val="24"/>
        </w:rPr>
        <w:t xml:space="preserve"> to include Ph+ patients</w:t>
      </w:r>
      <w:r w:rsidR="009C222D" w:rsidRPr="00503AD7">
        <w:rPr>
          <w:rFonts w:asciiTheme="minorHAnsi" w:hAnsiTheme="minorHAnsi"/>
          <w:sz w:val="24"/>
          <w:szCs w:val="24"/>
        </w:rPr>
        <w:t xml:space="preserve">, </w:t>
      </w:r>
      <w:r w:rsidRPr="00503AD7">
        <w:rPr>
          <w:rFonts w:asciiTheme="minorHAnsi" w:hAnsiTheme="minorHAnsi"/>
          <w:sz w:val="24"/>
          <w:szCs w:val="24"/>
        </w:rPr>
        <w:t xml:space="preserve">it would be appropriate </w:t>
      </w:r>
      <w:r w:rsidR="00B977EF" w:rsidRPr="00503AD7">
        <w:rPr>
          <w:rFonts w:asciiTheme="minorHAnsi" w:hAnsiTheme="minorHAnsi"/>
          <w:sz w:val="24"/>
          <w:szCs w:val="24"/>
        </w:rPr>
        <w:t xml:space="preserve">to </w:t>
      </w:r>
      <w:r w:rsidR="00FF75C9" w:rsidRPr="00503AD7">
        <w:rPr>
          <w:rFonts w:asciiTheme="minorHAnsi" w:hAnsiTheme="minorHAnsi"/>
          <w:sz w:val="24"/>
          <w:szCs w:val="24"/>
        </w:rPr>
        <w:t>make the parallel amendment to the</w:t>
      </w:r>
      <w:r w:rsidR="00B977EF" w:rsidRPr="00503AD7">
        <w:rPr>
          <w:rFonts w:asciiTheme="minorHAnsi" w:hAnsiTheme="minorHAnsi"/>
          <w:sz w:val="24"/>
          <w:szCs w:val="24"/>
        </w:rPr>
        <w:t xml:space="preserve"> existing listing of blinatumomab</w:t>
      </w:r>
      <w:r w:rsidR="0032234F" w:rsidRPr="00503AD7">
        <w:rPr>
          <w:rFonts w:asciiTheme="minorHAnsi" w:hAnsiTheme="minorHAnsi"/>
          <w:sz w:val="24"/>
          <w:szCs w:val="24"/>
        </w:rPr>
        <w:t xml:space="preserve">. As such, the PBAC advised that it would welcome a proposal from the sponsor of blinatumomab </w:t>
      </w:r>
      <w:r w:rsidR="005C1EE5" w:rsidRPr="00503AD7">
        <w:rPr>
          <w:rFonts w:asciiTheme="minorHAnsi" w:hAnsiTheme="minorHAnsi"/>
          <w:sz w:val="24"/>
          <w:szCs w:val="24"/>
        </w:rPr>
        <w:t xml:space="preserve">for this patient group. The PBAC </w:t>
      </w:r>
      <w:r w:rsidR="00685892" w:rsidRPr="00503AD7">
        <w:rPr>
          <w:rFonts w:asciiTheme="minorHAnsi" w:hAnsiTheme="minorHAnsi"/>
          <w:sz w:val="24"/>
          <w:szCs w:val="24"/>
        </w:rPr>
        <w:t xml:space="preserve">considered that the extension of both inotuzumab and blinatumomab listings </w:t>
      </w:r>
      <w:r w:rsidR="00A13431" w:rsidRPr="00503AD7">
        <w:rPr>
          <w:rFonts w:asciiTheme="minorHAnsi" w:hAnsiTheme="minorHAnsi"/>
          <w:sz w:val="24"/>
          <w:szCs w:val="24"/>
        </w:rPr>
        <w:t>sh</w:t>
      </w:r>
      <w:r w:rsidR="00685892" w:rsidRPr="00503AD7">
        <w:rPr>
          <w:rFonts w:asciiTheme="minorHAnsi" w:hAnsiTheme="minorHAnsi"/>
          <w:sz w:val="24"/>
          <w:szCs w:val="24"/>
        </w:rPr>
        <w:t xml:space="preserve">ould be progressed in parallel. </w:t>
      </w:r>
    </w:p>
    <w:p w:rsidR="00E911E9" w:rsidRPr="00503AD7" w:rsidRDefault="00A13431" w:rsidP="00BC3E98">
      <w:pPr>
        <w:pStyle w:val="ListParagraph"/>
        <w:widowControl/>
        <w:numPr>
          <w:ilvl w:val="1"/>
          <w:numId w:val="14"/>
        </w:numPr>
        <w:spacing w:before="120" w:after="120"/>
        <w:contextualSpacing w:val="0"/>
        <w:rPr>
          <w:rFonts w:asciiTheme="minorHAnsi" w:hAnsiTheme="minorHAnsi"/>
          <w:sz w:val="24"/>
          <w:szCs w:val="24"/>
        </w:rPr>
      </w:pPr>
      <w:r w:rsidRPr="00503AD7">
        <w:rPr>
          <w:rFonts w:asciiTheme="minorHAnsi" w:hAnsiTheme="minorHAnsi"/>
          <w:sz w:val="24"/>
          <w:szCs w:val="24"/>
        </w:rPr>
        <w:t xml:space="preserve">The PBAC reaffirmed there is a high clinical need in </w:t>
      </w:r>
      <w:r w:rsidR="00CC5C6A" w:rsidRPr="00503AD7">
        <w:rPr>
          <w:rFonts w:asciiTheme="minorHAnsi" w:hAnsiTheme="minorHAnsi"/>
          <w:sz w:val="24"/>
          <w:szCs w:val="24"/>
        </w:rPr>
        <w:t xml:space="preserve">patients with </w:t>
      </w:r>
      <w:r w:rsidRPr="00503AD7">
        <w:rPr>
          <w:rFonts w:asciiTheme="minorHAnsi" w:hAnsiTheme="minorHAnsi"/>
          <w:sz w:val="24"/>
          <w:szCs w:val="24"/>
        </w:rPr>
        <w:t xml:space="preserve">Ph+ </w:t>
      </w:r>
      <w:r w:rsidR="00CC5C6A" w:rsidRPr="00503AD7">
        <w:rPr>
          <w:rFonts w:asciiTheme="minorHAnsi" w:hAnsiTheme="minorHAnsi"/>
          <w:sz w:val="24"/>
          <w:szCs w:val="24"/>
        </w:rPr>
        <w:t xml:space="preserve">disease (R/R </w:t>
      </w:r>
      <w:r w:rsidRPr="00503AD7">
        <w:rPr>
          <w:rFonts w:asciiTheme="minorHAnsi" w:hAnsiTheme="minorHAnsi"/>
          <w:sz w:val="24"/>
          <w:szCs w:val="24"/>
        </w:rPr>
        <w:t>B-ALL</w:t>
      </w:r>
      <w:r w:rsidR="00CC5C6A" w:rsidRPr="00503AD7">
        <w:rPr>
          <w:rFonts w:asciiTheme="minorHAnsi" w:hAnsiTheme="minorHAnsi"/>
          <w:sz w:val="24"/>
          <w:szCs w:val="24"/>
        </w:rPr>
        <w:t>)</w:t>
      </w:r>
      <w:r w:rsidR="00FA31CF" w:rsidRPr="00503AD7">
        <w:t xml:space="preserve"> </w:t>
      </w:r>
      <w:r w:rsidR="00FA31CF" w:rsidRPr="00503AD7">
        <w:rPr>
          <w:rFonts w:asciiTheme="minorHAnsi" w:hAnsiTheme="minorHAnsi"/>
          <w:sz w:val="24"/>
          <w:szCs w:val="24"/>
        </w:rPr>
        <w:t xml:space="preserve">particularly given it </w:t>
      </w:r>
      <w:r w:rsidR="002578FE" w:rsidRPr="00503AD7">
        <w:rPr>
          <w:rFonts w:asciiTheme="minorHAnsi" w:hAnsiTheme="minorHAnsi"/>
          <w:sz w:val="24"/>
          <w:szCs w:val="24"/>
        </w:rPr>
        <w:t>i</w:t>
      </w:r>
      <w:r w:rsidR="00FA31CF" w:rsidRPr="00503AD7">
        <w:rPr>
          <w:rFonts w:asciiTheme="minorHAnsi" w:hAnsiTheme="minorHAnsi"/>
          <w:sz w:val="24"/>
          <w:szCs w:val="24"/>
        </w:rPr>
        <w:t>s generally associated with a poorer prognosis</w:t>
      </w:r>
      <w:r w:rsidR="002578FE" w:rsidRPr="00503AD7">
        <w:rPr>
          <w:rFonts w:asciiTheme="minorHAnsi" w:hAnsiTheme="minorHAnsi"/>
          <w:sz w:val="24"/>
          <w:szCs w:val="24"/>
        </w:rPr>
        <w:t xml:space="preserve"> than Ph- disease</w:t>
      </w:r>
      <w:r w:rsidR="00CC5C6A" w:rsidRPr="00503AD7">
        <w:rPr>
          <w:rFonts w:asciiTheme="minorHAnsi" w:hAnsiTheme="minorHAnsi"/>
          <w:sz w:val="24"/>
          <w:szCs w:val="24"/>
        </w:rPr>
        <w:t>.</w:t>
      </w:r>
      <w:r w:rsidRPr="00503AD7">
        <w:rPr>
          <w:rFonts w:asciiTheme="minorHAnsi" w:hAnsiTheme="minorHAnsi"/>
          <w:sz w:val="24"/>
          <w:szCs w:val="24"/>
        </w:rPr>
        <w:t xml:space="preserve"> </w:t>
      </w:r>
    </w:p>
    <w:p w:rsidR="00BC3E98" w:rsidRPr="00503AD7" w:rsidRDefault="006C5C11" w:rsidP="00BC3E98">
      <w:pPr>
        <w:pStyle w:val="ListParagraph"/>
        <w:numPr>
          <w:ilvl w:val="1"/>
          <w:numId w:val="14"/>
        </w:numPr>
        <w:spacing w:after="120"/>
        <w:contextualSpacing w:val="0"/>
        <w:rPr>
          <w:rFonts w:asciiTheme="minorHAnsi" w:hAnsiTheme="minorHAnsi"/>
          <w:sz w:val="24"/>
          <w:szCs w:val="24"/>
        </w:rPr>
      </w:pPr>
      <w:r w:rsidRPr="00503AD7">
        <w:rPr>
          <w:rFonts w:asciiTheme="minorHAnsi" w:hAnsiTheme="minorHAnsi"/>
          <w:sz w:val="24"/>
          <w:szCs w:val="24"/>
        </w:rPr>
        <w:t>The PBAC recalled that the INO-VATE ALL trial</w:t>
      </w:r>
      <w:r w:rsidR="009C3A9D" w:rsidRPr="00503AD7">
        <w:rPr>
          <w:rFonts w:asciiTheme="minorHAnsi" w:hAnsiTheme="minorHAnsi"/>
          <w:sz w:val="24"/>
          <w:szCs w:val="24"/>
        </w:rPr>
        <w:t>, which was</w:t>
      </w:r>
      <w:r w:rsidR="00357037" w:rsidRPr="00503AD7">
        <w:rPr>
          <w:rFonts w:asciiTheme="minorHAnsi" w:hAnsiTheme="minorHAnsi"/>
          <w:sz w:val="24"/>
          <w:szCs w:val="24"/>
        </w:rPr>
        <w:t xml:space="preserve"> the key trial of </w:t>
      </w:r>
      <w:r w:rsidR="00503AD7" w:rsidRPr="00503AD7">
        <w:rPr>
          <w:rFonts w:asciiTheme="minorHAnsi" w:hAnsiTheme="minorHAnsi"/>
          <w:sz w:val="24"/>
          <w:szCs w:val="24"/>
        </w:rPr>
        <w:t>inotuzumab,</w:t>
      </w:r>
      <w:r w:rsidR="00357037" w:rsidRPr="00503AD7">
        <w:rPr>
          <w:rFonts w:asciiTheme="minorHAnsi" w:hAnsiTheme="minorHAnsi"/>
          <w:sz w:val="24"/>
          <w:szCs w:val="24"/>
        </w:rPr>
        <w:t xml:space="preserve"> </w:t>
      </w:r>
      <w:r w:rsidR="002578FE" w:rsidRPr="00503AD7">
        <w:rPr>
          <w:rFonts w:asciiTheme="minorHAnsi" w:hAnsiTheme="minorHAnsi"/>
          <w:sz w:val="24"/>
          <w:szCs w:val="24"/>
        </w:rPr>
        <w:t xml:space="preserve">presented in </w:t>
      </w:r>
      <w:r w:rsidR="009C3A9D" w:rsidRPr="00503AD7">
        <w:rPr>
          <w:rFonts w:asciiTheme="minorHAnsi" w:hAnsiTheme="minorHAnsi"/>
          <w:sz w:val="24"/>
          <w:szCs w:val="24"/>
        </w:rPr>
        <w:t xml:space="preserve">the </w:t>
      </w:r>
      <w:r w:rsidR="009E6EDB" w:rsidRPr="00503AD7">
        <w:rPr>
          <w:rFonts w:asciiTheme="minorHAnsi" w:hAnsiTheme="minorHAnsi"/>
          <w:sz w:val="24"/>
          <w:szCs w:val="24"/>
        </w:rPr>
        <w:t>November 2018</w:t>
      </w:r>
      <w:r w:rsidR="009C3A9D" w:rsidRPr="00503AD7">
        <w:rPr>
          <w:rFonts w:asciiTheme="minorHAnsi" w:hAnsiTheme="minorHAnsi"/>
          <w:sz w:val="24"/>
          <w:szCs w:val="24"/>
        </w:rPr>
        <w:t xml:space="preserve"> PBAC</w:t>
      </w:r>
      <w:r w:rsidR="009E6EDB" w:rsidRPr="00503AD7">
        <w:rPr>
          <w:rFonts w:asciiTheme="minorHAnsi" w:hAnsiTheme="minorHAnsi"/>
          <w:sz w:val="24"/>
          <w:szCs w:val="24"/>
        </w:rPr>
        <w:t xml:space="preserve"> </w:t>
      </w:r>
      <w:r w:rsidR="002578FE" w:rsidRPr="00503AD7">
        <w:rPr>
          <w:rFonts w:asciiTheme="minorHAnsi" w:hAnsiTheme="minorHAnsi"/>
          <w:sz w:val="24"/>
          <w:szCs w:val="24"/>
        </w:rPr>
        <w:t>submission,</w:t>
      </w:r>
      <w:r w:rsidRPr="00503AD7">
        <w:rPr>
          <w:rFonts w:asciiTheme="minorHAnsi" w:hAnsiTheme="minorHAnsi"/>
          <w:sz w:val="24"/>
          <w:szCs w:val="24"/>
        </w:rPr>
        <w:t xml:space="preserve"> in</w:t>
      </w:r>
      <w:r w:rsidR="009C3A9D" w:rsidRPr="00503AD7">
        <w:rPr>
          <w:rFonts w:asciiTheme="minorHAnsi" w:hAnsiTheme="minorHAnsi"/>
          <w:sz w:val="24"/>
          <w:szCs w:val="24"/>
        </w:rPr>
        <w:t>cluded patients with Ph+ disease (15% of patients in the INO-VATE ALL trial were Ph+)</w:t>
      </w:r>
      <w:r w:rsidR="00C6517F" w:rsidRPr="00503AD7">
        <w:rPr>
          <w:rFonts w:asciiTheme="minorHAnsi" w:hAnsiTheme="minorHAnsi"/>
          <w:sz w:val="24"/>
          <w:szCs w:val="24"/>
        </w:rPr>
        <w:t xml:space="preserve"> and that the rate of complete remission in these patients was similar to the ITT population (78.6% versus 80.7%, respectively)</w:t>
      </w:r>
      <w:r w:rsidR="009C3A9D" w:rsidRPr="00503AD7">
        <w:rPr>
          <w:rFonts w:asciiTheme="minorHAnsi" w:hAnsiTheme="minorHAnsi"/>
          <w:sz w:val="24"/>
          <w:szCs w:val="24"/>
        </w:rPr>
        <w:t>.</w:t>
      </w:r>
      <w:r w:rsidR="00C6517F" w:rsidRPr="00503AD7">
        <w:rPr>
          <w:rFonts w:asciiTheme="minorHAnsi" w:hAnsiTheme="minorHAnsi"/>
          <w:sz w:val="24"/>
          <w:szCs w:val="24"/>
        </w:rPr>
        <w:t xml:space="preserve"> Although</w:t>
      </w:r>
      <w:r w:rsidR="009C3A9D" w:rsidRPr="00503AD7">
        <w:rPr>
          <w:rFonts w:asciiTheme="minorHAnsi" w:hAnsiTheme="minorHAnsi"/>
          <w:sz w:val="24"/>
          <w:szCs w:val="24"/>
        </w:rPr>
        <w:t xml:space="preserve"> </w:t>
      </w:r>
      <w:r w:rsidR="00C6517F" w:rsidRPr="00503AD7">
        <w:rPr>
          <w:rFonts w:asciiTheme="minorHAnsi" w:hAnsiTheme="minorHAnsi"/>
          <w:sz w:val="24"/>
          <w:szCs w:val="24"/>
        </w:rPr>
        <w:t>t</w:t>
      </w:r>
      <w:r w:rsidR="009C3A9D" w:rsidRPr="00503AD7">
        <w:rPr>
          <w:rFonts w:asciiTheme="minorHAnsi" w:hAnsiTheme="minorHAnsi"/>
          <w:sz w:val="24"/>
          <w:szCs w:val="24"/>
        </w:rPr>
        <w:t xml:space="preserve">he PBAC </w:t>
      </w:r>
      <w:r w:rsidR="001879C8" w:rsidRPr="00503AD7">
        <w:rPr>
          <w:rFonts w:asciiTheme="minorHAnsi" w:hAnsiTheme="minorHAnsi"/>
          <w:sz w:val="24"/>
          <w:szCs w:val="24"/>
        </w:rPr>
        <w:t xml:space="preserve">noted that </w:t>
      </w:r>
      <w:r w:rsidR="001879C8" w:rsidRPr="00503AD7">
        <w:rPr>
          <w:rFonts w:asciiTheme="minorHAnsi" w:hAnsiTheme="minorHAnsi"/>
          <w:i/>
          <w:sz w:val="24"/>
          <w:szCs w:val="24"/>
        </w:rPr>
        <w:t>post hoc</w:t>
      </w:r>
      <w:r w:rsidR="001879C8" w:rsidRPr="00503AD7">
        <w:rPr>
          <w:rFonts w:asciiTheme="minorHAnsi" w:hAnsiTheme="minorHAnsi"/>
          <w:sz w:val="24"/>
          <w:szCs w:val="24"/>
        </w:rPr>
        <w:t xml:space="preserve"> subgroup analyses of the INO-VATE ALL trial found that, in patients with Ph+ disease, </w:t>
      </w:r>
      <w:r w:rsidR="00CF79FE" w:rsidRPr="00503AD7">
        <w:rPr>
          <w:rFonts w:asciiTheme="minorHAnsi" w:hAnsiTheme="minorHAnsi"/>
          <w:sz w:val="24"/>
          <w:szCs w:val="24"/>
        </w:rPr>
        <w:t>the rate of</w:t>
      </w:r>
      <w:r w:rsidR="001879C8" w:rsidRPr="00503AD7">
        <w:rPr>
          <w:rFonts w:asciiTheme="minorHAnsi" w:hAnsiTheme="minorHAnsi"/>
          <w:sz w:val="24"/>
          <w:szCs w:val="24"/>
        </w:rPr>
        <w:t xml:space="preserve"> complete remission </w:t>
      </w:r>
      <w:r w:rsidR="00CF79FE" w:rsidRPr="00503AD7">
        <w:rPr>
          <w:rFonts w:asciiTheme="minorHAnsi" w:hAnsiTheme="minorHAnsi"/>
          <w:sz w:val="24"/>
          <w:szCs w:val="24"/>
        </w:rPr>
        <w:t>(or complete remission with incomplete hematologic recovery) with inotuzumab versus standard care</w:t>
      </w:r>
      <w:r w:rsidR="00C6517F" w:rsidRPr="00503AD7">
        <w:rPr>
          <w:rFonts w:asciiTheme="minorHAnsi" w:hAnsiTheme="minorHAnsi"/>
          <w:sz w:val="24"/>
          <w:szCs w:val="24"/>
        </w:rPr>
        <w:t xml:space="preserve"> was not statistically significantly different</w:t>
      </w:r>
      <w:r w:rsidR="00CF79FE" w:rsidRPr="00503AD7">
        <w:rPr>
          <w:rFonts w:asciiTheme="minorHAnsi" w:hAnsiTheme="minorHAnsi"/>
          <w:sz w:val="24"/>
          <w:szCs w:val="24"/>
        </w:rPr>
        <w:t xml:space="preserve"> </w:t>
      </w:r>
      <w:r w:rsidR="001879C8" w:rsidRPr="00503AD7">
        <w:rPr>
          <w:rFonts w:asciiTheme="minorHAnsi" w:hAnsiTheme="minorHAnsi"/>
          <w:sz w:val="24"/>
          <w:szCs w:val="24"/>
        </w:rPr>
        <w:t>(34.1% i</w:t>
      </w:r>
      <w:r w:rsidR="00D5111C" w:rsidRPr="00503AD7">
        <w:rPr>
          <w:rFonts w:asciiTheme="minorHAnsi" w:hAnsiTheme="minorHAnsi"/>
          <w:sz w:val="24"/>
          <w:szCs w:val="24"/>
        </w:rPr>
        <w:t>ncrease</w:t>
      </w:r>
      <w:r w:rsidR="001879C8" w:rsidRPr="00503AD7">
        <w:rPr>
          <w:rFonts w:asciiTheme="minorHAnsi" w:hAnsiTheme="minorHAnsi"/>
          <w:sz w:val="24"/>
          <w:szCs w:val="24"/>
        </w:rPr>
        <w:t xml:space="preserve"> (95% confidence interval</w:t>
      </w:r>
      <w:r w:rsidR="00D5111C" w:rsidRPr="00503AD7">
        <w:rPr>
          <w:rFonts w:asciiTheme="minorHAnsi" w:hAnsiTheme="minorHAnsi"/>
          <w:sz w:val="24"/>
          <w:szCs w:val="24"/>
        </w:rPr>
        <w:t xml:space="preserve"> (CI)</w:t>
      </w:r>
      <w:r w:rsidR="001879C8" w:rsidRPr="00503AD7">
        <w:rPr>
          <w:rFonts w:asciiTheme="minorHAnsi" w:hAnsiTheme="minorHAnsi"/>
          <w:sz w:val="24"/>
          <w:szCs w:val="24"/>
        </w:rPr>
        <w:t>: -1.8%, 70.1%)</w:t>
      </w:r>
      <w:r w:rsidR="00C6517F" w:rsidRPr="00503AD7">
        <w:rPr>
          <w:rFonts w:asciiTheme="minorHAnsi" w:hAnsiTheme="minorHAnsi"/>
          <w:sz w:val="24"/>
          <w:szCs w:val="24"/>
        </w:rPr>
        <w:t>, it</w:t>
      </w:r>
      <w:r w:rsidR="0081302C" w:rsidRPr="00503AD7">
        <w:rPr>
          <w:rFonts w:asciiTheme="minorHAnsi" w:hAnsiTheme="minorHAnsi"/>
          <w:sz w:val="24"/>
          <w:szCs w:val="24"/>
        </w:rPr>
        <w:t xml:space="preserve"> </w:t>
      </w:r>
      <w:r w:rsidR="00BC3E98" w:rsidRPr="00503AD7">
        <w:rPr>
          <w:rFonts w:asciiTheme="minorHAnsi" w:hAnsiTheme="minorHAnsi"/>
          <w:sz w:val="24"/>
          <w:szCs w:val="24"/>
        </w:rPr>
        <w:t>noted this analysis was based on</w:t>
      </w:r>
      <w:r w:rsidR="00734A57" w:rsidRPr="00503AD7">
        <w:rPr>
          <w:rFonts w:asciiTheme="minorHAnsi" w:hAnsiTheme="minorHAnsi"/>
          <w:sz w:val="24"/>
          <w:szCs w:val="24"/>
        </w:rPr>
        <w:t xml:space="preserve"> </w:t>
      </w:r>
      <w:r w:rsidR="00BC3E98" w:rsidRPr="00503AD7">
        <w:rPr>
          <w:rFonts w:asciiTheme="minorHAnsi" w:hAnsiTheme="minorHAnsi"/>
          <w:sz w:val="24"/>
          <w:szCs w:val="24"/>
        </w:rPr>
        <w:t>small patient numbers</w:t>
      </w:r>
      <w:r w:rsidR="00C6517F" w:rsidRPr="00503AD7">
        <w:rPr>
          <w:rFonts w:asciiTheme="minorHAnsi" w:hAnsiTheme="minorHAnsi"/>
          <w:sz w:val="24"/>
          <w:szCs w:val="24"/>
        </w:rPr>
        <w:t>.</w:t>
      </w:r>
      <w:r w:rsidR="0081302C" w:rsidRPr="00503AD7">
        <w:rPr>
          <w:rFonts w:asciiTheme="minorHAnsi" w:hAnsiTheme="minorHAnsi"/>
          <w:sz w:val="24"/>
          <w:szCs w:val="24"/>
        </w:rPr>
        <w:t xml:space="preserve"> </w:t>
      </w:r>
      <w:r w:rsidR="00C6517F" w:rsidRPr="00503AD7">
        <w:rPr>
          <w:rFonts w:asciiTheme="minorHAnsi" w:hAnsiTheme="minorHAnsi"/>
          <w:sz w:val="24"/>
          <w:szCs w:val="24"/>
        </w:rPr>
        <w:t>As such, the PBAC considered that o</w:t>
      </w:r>
      <w:r w:rsidR="00BC3E98" w:rsidRPr="00503AD7">
        <w:rPr>
          <w:rFonts w:asciiTheme="minorHAnsi" w:hAnsiTheme="minorHAnsi"/>
          <w:sz w:val="24"/>
          <w:szCs w:val="24"/>
        </w:rPr>
        <w:t>verall</w:t>
      </w:r>
      <w:r w:rsidR="00C6517F" w:rsidRPr="00503AD7">
        <w:rPr>
          <w:rFonts w:asciiTheme="minorHAnsi" w:hAnsiTheme="minorHAnsi"/>
          <w:sz w:val="24"/>
          <w:szCs w:val="24"/>
        </w:rPr>
        <w:t>,</w:t>
      </w:r>
      <w:r w:rsidR="00BC3E98" w:rsidRPr="00503AD7">
        <w:rPr>
          <w:rFonts w:asciiTheme="minorHAnsi" w:hAnsiTheme="minorHAnsi"/>
          <w:sz w:val="24"/>
          <w:szCs w:val="24"/>
        </w:rPr>
        <w:t xml:space="preserve"> the treatment effect was unlikely to </w:t>
      </w:r>
      <w:r w:rsidR="00503AD7">
        <w:rPr>
          <w:rFonts w:asciiTheme="minorHAnsi" w:hAnsiTheme="minorHAnsi"/>
          <w:sz w:val="24"/>
          <w:szCs w:val="24"/>
        </w:rPr>
        <w:t xml:space="preserve">differ </w:t>
      </w:r>
      <w:r w:rsidR="00BC3E98" w:rsidRPr="00503AD7">
        <w:rPr>
          <w:rFonts w:asciiTheme="minorHAnsi" w:hAnsiTheme="minorHAnsi"/>
          <w:sz w:val="24"/>
          <w:szCs w:val="24"/>
        </w:rPr>
        <w:t>significantly based on Philadelphia chromosome status.</w:t>
      </w:r>
    </w:p>
    <w:p w:rsidR="005F07D5" w:rsidRPr="00503AD7" w:rsidRDefault="005F07D5" w:rsidP="00B63584">
      <w:pPr>
        <w:pStyle w:val="ListParagraph"/>
        <w:numPr>
          <w:ilvl w:val="1"/>
          <w:numId w:val="14"/>
        </w:numPr>
        <w:spacing w:after="120"/>
        <w:contextualSpacing w:val="0"/>
        <w:rPr>
          <w:rFonts w:asciiTheme="minorHAnsi" w:hAnsiTheme="minorHAnsi" w:cstheme="minorHAnsi"/>
          <w:sz w:val="24"/>
          <w:szCs w:val="24"/>
        </w:rPr>
      </w:pPr>
      <w:r w:rsidRPr="00503AD7">
        <w:rPr>
          <w:rFonts w:asciiTheme="minorHAnsi" w:hAnsiTheme="minorHAnsi" w:cstheme="minorHAnsi"/>
          <w:sz w:val="24"/>
          <w:szCs w:val="24"/>
        </w:rPr>
        <w:t xml:space="preserve">The PBAC was satisfied that by inference, inotuzumab would be sufficiently cost-effective in Ph+ disease. </w:t>
      </w:r>
    </w:p>
    <w:p w:rsidR="00835703" w:rsidRPr="00503AD7" w:rsidRDefault="00D03358" w:rsidP="00B63584">
      <w:pPr>
        <w:pStyle w:val="ListParagraph"/>
        <w:numPr>
          <w:ilvl w:val="1"/>
          <w:numId w:val="14"/>
        </w:numPr>
        <w:spacing w:before="120" w:after="120"/>
        <w:contextualSpacing w:val="0"/>
        <w:rPr>
          <w:rFonts w:asciiTheme="minorHAnsi" w:hAnsiTheme="minorHAnsi" w:cstheme="minorHAnsi"/>
          <w:sz w:val="24"/>
          <w:szCs w:val="24"/>
        </w:rPr>
      </w:pPr>
      <w:r w:rsidRPr="00503AD7">
        <w:rPr>
          <w:rFonts w:asciiTheme="minorHAnsi" w:hAnsiTheme="minorHAnsi" w:cstheme="minorHAnsi"/>
          <w:sz w:val="24"/>
          <w:szCs w:val="24"/>
        </w:rPr>
        <w:t xml:space="preserve">The PBAC noted that the </w:t>
      </w:r>
      <w:r w:rsidR="002578FE" w:rsidRPr="00503AD7">
        <w:rPr>
          <w:rFonts w:asciiTheme="minorHAnsi" w:hAnsiTheme="minorHAnsi" w:cstheme="minorHAnsi"/>
          <w:sz w:val="24"/>
          <w:szCs w:val="24"/>
        </w:rPr>
        <w:t xml:space="preserve">financial </w:t>
      </w:r>
      <w:r w:rsidRPr="00503AD7">
        <w:rPr>
          <w:rFonts w:asciiTheme="minorHAnsi" w:hAnsiTheme="minorHAnsi" w:cstheme="minorHAnsi"/>
          <w:sz w:val="24"/>
          <w:szCs w:val="24"/>
        </w:rPr>
        <w:t xml:space="preserve">estimates assumed that </w:t>
      </w:r>
      <w:r w:rsidR="00245FD3" w:rsidRPr="00503AD7">
        <w:rPr>
          <w:rFonts w:asciiTheme="minorHAnsi" w:hAnsiTheme="minorHAnsi" w:cstheme="minorHAnsi"/>
          <w:sz w:val="24"/>
          <w:szCs w:val="24"/>
        </w:rPr>
        <w:t xml:space="preserve">TKIs would likely remain </w:t>
      </w:r>
      <w:r w:rsidR="00245FD3" w:rsidRPr="00503AD7">
        <w:rPr>
          <w:rFonts w:asciiTheme="minorHAnsi" w:hAnsiTheme="minorHAnsi" w:cstheme="minorHAnsi"/>
          <w:sz w:val="24"/>
          <w:szCs w:val="24"/>
        </w:rPr>
        <w:lastRenderedPageBreak/>
        <w:t>the standard of care first-line salvage treatment in th</w:t>
      </w:r>
      <w:r w:rsidR="002578FE" w:rsidRPr="00503AD7">
        <w:rPr>
          <w:rFonts w:asciiTheme="minorHAnsi" w:hAnsiTheme="minorHAnsi" w:cstheme="minorHAnsi"/>
          <w:sz w:val="24"/>
          <w:szCs w:val="24"/>
        </w:rPr>
        <w:t>e Ph+</w:t>
      </w:r>
      <w:r w:rsidR="00245FD3" w:rsidRPr="00503AD7">
        <w:rPr>
          <w:rFonts w:asciiTheme="minorHAnsi" w:hAnsiTheme="minorHAnsi" w:cstheme="minorHAnsi"/>
          <w:sz w:val="24"/>
          <w:szCs w:val="24"/>
        </w:rPr>
        <w:t xml:space="preserve"> population, and thus </w:t>
      </w:r>
      <w:r w:rsidRPr="00503AD7">
        <w:rPr>
          <w:rFonts w:asciiTheme="minorHAnsi" w:hAnsiTheme="minorHAnsi" w:cstheme="minorHAnsi"/>
          <w:sz w:val="24"/>
          <w:szCs w:val="24"/>
        </w:rPr>
        <w:t xml:space="preserve">inotuzumab would likely be used in second-line salvage in </w:t>
      </w:r>
      <w:r w:rsidR="002578FE" w:rsidRPr="00503AD7">
        <w:rPr>
          <w:rFonts w:asciiTheme="minorHAnsi" w:hAnsiTheme="minorHAnsi" w:cstheme="minorHAnsi"/>
          <w:sz w:val="24"/>
          <w:szCs w:val="24"/>
        </w:rPr>
        <w:t>this</w:t>
      </w:r>
      <w:r w:rsidRPr="00503AD7">
        <w:rPr>
          <w:rFonts w:asciiTheme="minorHAnsi" w:hAnsiTheme="minorHAnsi" w:cstheme="minorHAnsi"/>
          <w:sz w:val="24"/>
          <w:szCs w:val="24"/>
        </w:rPr>
        <w:t xml:space="preserve"> population</w:t>
      </w:r>
      <w:r w:rsidR="00245FD3" w:rsidRPr="00503AD7">
        <w:rPr>
          <w:rFonts w:asciiTheme="minorHAnsi" w:hAnsiTheme="minorHAnsi" w:cstheme="minorHAnsi"/>
          <w:sz w:val="24"/>
          <w:szCs w:val="24"/>
        </w:rPr>
        <w:t>.</w:t>
      </w:r>
      <w:r w:rsidRPr="00503AD7">
        <w:rPr>
          <w:rFonts w:asciiTheme="minorHAnsi" w:hAnsiTheme="minorHAnsi" w:cstheme="minorHAnsi"/>
          <w:sz w:val="24"/>
          <w:szCs w:val="24"/>
        </w:rPr>
        <w:t xml:space="preserve"> </w:t>
      </w:r>
      <w:r w:rsidR="00245FD3" w:rsidRPr="00503AD7">
        <w:rPr>
          <w:rFonts w:asciiTheme="minorHAnsi" w:hAnsiTheme="minorHAnsi" w:cstheme="minorHAnsi"/>
          <w:sz w:val="24"/>
          <w:szCs w:val="24"/>
        </w:rPr>
        <w:t>However, t</w:t>
      </w:r>
      <w:r w:rsidRPr="00503AD7">
        <w:rPr>
          <w:rFonts w:asciiTheme="minorHAnsi" w:hAnsiTheme="minorHAnsi" w:cstheme="minorHAnsi"/>
          <w:sz w:val="24"/>
          <w:szCs w:val="24"/>
        </w:rPr>
        <w:t>he PBAC considered</w:t>
      </w:r>
      <w:r w:rsidR="00B63584" w:rsidRPr="00503AD7">
        <w:rPr>
          <w:rFonts w:asciiTheme="minorHAnsi" w:hAnsiTheme="minorHAnsi" w:cstheme="minorHAnsi"/>
          <w:sz w:val="24"/>
          <w:szCs w:val="24"/>
        </w:rPr>
        <w:t xml:space="preserve"> </w:t>
      </w:r>
      <w:r w:rsidR="00245FD3" w:rsidRPr="00503AD7">
        <w:rPr>
          <w:rFonts w:asciiTheme="minorHAnsi" w:hAnsiTheme="minorHAnsi" w:cstheme="minorHAnsi"/>
          <w:sz w:val="24"/>
          <w:szCs w:val="24"/>
        </w:rPr>
        <w:t>that</w:t>
      </w:r>
      <w:r w:rsidR="00213C50" w:rsidRPr="00503AD7">
        <w:rPr>
          <w:rFonts w:asciiTheme="minorHAnsi" w:hAnsiTheme="minorHAnsi" w:cstheme="minorHAnsi"/>
          <w:sz w:val="24"/>
          <w:szCs w:val="24"/>
        </w:rPr>
        <w:t xml:space="preserve"> for a small proportion of patients</w:t>
      </w:r>
      <w:r w:rsidR="00245FD3" w:rsidRPr="00503AD7">
        <w:rPr>
          <w:rFonts w:asciiTheme="minorHAnsi" w:hAnsiTheme="minorHAnsi" w:cstheme="minorHAnsi"/>
          <w:sz w:val="24"/>
          <w:szCs w:val="24"/>
        </w:rPr>
        <w:t xml:space="preserve"> it may be clinically appropriate </w:t>
      </w:r>
      <w:r w:rsidR="000666FA" w:rsidRPr="00503AD7">
        <w:rPr>
          <w:rFonts w:asciiTheme="minorHAnsi" w:hAnsiTheme="minorHAnsi" w:cstheme="minorHAnsi"/>
          <w:sz w:val="24"/>
          <w:szCs w:val="24"/>
        </w:rPr>
        <w:t>for</w:t>
      </w:r>
      <w:r w:rsidR="00245FD3" w:rsidRPr="00503AD7">
        <w:rPr>
          <w:rFonts w:asciiTheme="minorHAnsi" w:hAnsiTheme="minorHAnsi" w:cstheme="minorHAnsi"/>
          <w:sz w:val="24"/>
          <w:szCs w:val="24"/>
        </w:rPr>
        <w:t xml:space="preserve"> inotuzumab </w:t>
      </w:r>
      <w:r w:rsidR="000666FA" w:rsidRPr="00503AD7">
        <w:rPr>
          <w:rFonts w:asciiTheme="minorHAnsi" w:hAnsiTheme="minorHAnsi" w:cstheme="minorHAnsi"/>
          <w:sz w:val="24"/>
          <w:szCs w:val="24"/>
        </w:rPr>
        <w:t xml:space="preserve">to be used </w:t>
      </w:r>
      <w:r w:rsidR="00245FD3" w:rsidRPr="00503AD7">
        <w:rPr>
          <w:rFonts w:asciiTheme="minorHAnsi" w:hAnsiTheme="minorHAnsi" w:cstheme="minorHAnsi"/>
          <w:sz w:val="24"/>
          <w:szCs w:val="24"/>
        </w:rPr>
        <w:t xml:space="preserve">in combination with </w:t>
      </w:r>
      <w:r w:rsidR="002578FE" w:rsidRPr="00503AD7">
        <w:rPr>
          <w:rFonts w:asciiTheme="minorHAnsi" w:hAnsiTheme="minorHAnsi" w:cstheme="minorHAnsi"/>
          <w:sz w:val="24"/>
          <w:szCs w:val="24"/>
        </w:rPr>
        <w:t xml:space="preserve">a </w:t>
      </w:r>
      <w:r w:rsidR="00245FD3" w:rsidRPr="00503AD7">
        <w:rPr>
          <w:rFonts w:asciiTheme="minorHAnsi" w:hAnsiTheme="minorHAnsi" w:cstheme="minorHAnsi"/>
          <w:sz w:val="24"/>
          <w:szCs w:val="24"/>
        </w:rPr>
        <w:t xml:space="preserve">TKI. </w:t>
      </w:r>
    </w:p>
    <w:p w:rsidR="000A35D8" w:rsidRPr="00503AD7" w:rsidRDefault="000A35D8" w:rsidP="000A35D8">
      <w:pPr>
        <w:pStyle w:val="ListParagraph"/>
        <w:numPr>
          <w:ilvl w:val="1"/>
          <w:numId w:val="14"/>
        </w:numPr>
        <w:spacing w:before="120" w:after="120"/>
        <w:contextualSpacing w:val="0"/>
        <w:rPr>
          <w:rFonts w:asciiTheme="minorHAnsi" w:hAnsiTheme="minorHAnsi"/>
          <w:sz w:val="24"/>
          <w:szCs w:val="24"/>
        </w:rPr>
      </w:pPr>
      <w:r w:rsidRPr="00503AD7">
        <w:rPr>
          <w:rFonts w:asciiTheme="minorHAnsi" w:hAnsiTheme="minorHAnsi" w:cstheme="minorHAnsi"/>
          <w:sz w:val="24"/>
          <w:szCs w:val="24"/>
        </w:rPr>
        <w:t xml:space="preserve">The PBAC noted that flow-on changes may be required to the TKI restrictions to allow use in combination with inotuzumab (e.g. the current listings for ponatinib </w:t>
      </w:r>
      <w:r w:rsidRPr="00503AD7">
        <w:rPr>
          <w:rFonts w:asciiTheme="minorHAnsi" w:hAnsiTheme="minorHAnsi"/>
          <w:sz w:val="24"/>
          <w:szCs w:val="24"/>
        </w:rPr>
        <w:t xml:space="preserve">and </w:t>
      </w:r>
      <w:r w:rsidR="00503AD7" w:rsidRPr="00503AD7">
        <w:rPr>
          <w:rFonts w:asciiTheme="minorHAnsi" w:hAnsiTheme="minorHAnsi"/>
          <w:sz w:val="24"/>
          <w:szCs w:val="24"/>
        </w:rPr>
        <w:t>dasatinib</w:t>
      </w:r>
      <w:r w:rsidRPr="00503AD7">
        <w:rPr>
          <w:rFonts w:asciiTheme="minorHAnsi" w:hAnsiTheme="minorHAnsi"/>
          <w:sz w:val="24"/>
          <w:szCs w:val="24"/>
        </w:rPr>
        <w:t xml:space="preserve"> in relapsed/refractory ALL state that the treatment must be the sole PBS-subsidised therapy for this condition).</w:t>
      </w:r>
    </w:p>
    <w:p w:rsidR="00FA31CF" w:rsidRPr="00503AD7" w:rsidRDefault="00FA31CF" w:rsidP="00FA31CF">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PBAC considered that, should both inotuzumab and blinatumomab </w:t>
      </w:r>
      <w:r w:rsidR="000A35D8" w:rsidRPr="00503AD7">
        <w:rPr>
          <w:rFonts w:asciiTheme="minorHAnsi" w:hAnsiTheme="minorHAnsi"/>
          <w:sz w:val="24"/>
          <w:szCs w:val="24"/>
        </w:rPr>
        <w:t xml:space="preserve">be </w:t>
      </w:r>
      <w:r w:rsidRPr="00503AD7">
        <w:rPr>
          <w:rFonts w:asciiTheme="minorHAnsi" w:hAnsiTheme="minorHAnsi"/>
          <w:sz w:val="24"/>
          <w:szCs w:val="24"/>
        </w:rPr>
        <w:t xml:space="preserve">made available in patients with Ph+ disease, the overall uptake rates would be </w:t>
      </w:r>
      <w:r w:rsidR="00F96B04" w:rsidRPr="00503AD7">
        <w:rPr>
          <w:rFonts w:asciiTheme="minorHAnsi" w:hAnsiTheme="minorHAnsi"/>
          <w:sz w:val="24"/>
          <w:szCs w:val="24"/>
        </w:rPr>
        <w:t>higher</w:t>
      </w:r>
      <w:r w:rsidRPr="00503AD7">
        <w:rPr>
          <w:rFonts w:asciiTheme="minorHAnsi" w:hAnsiTheme="minorHAnsi"/>
          <w:sz w:val="24"/>
          <w:szCs w:val="24"/>
        </w:rPr>
        <w:t xml:space="preserve">, and the market share of each agent would need to be estimated. The PBAC advised that </w:t>
      </w:r>
      <w:r w:rsidR="005241CE" w:rsidRPr="00503AD7">
        <w:rPr>
          <w:rFonts w:asciiTheme="minorHAnsi" w:hAnsiTheme="minorHAnsi"/>
          <w:sz w:val="24"/>
          <w:szCs w:val="24"/>
        </w:rPr>
        <w:t xml:space="preserve">it may also be appropriate to revise </w:t>
      </w:r>
      <w:r w:rsidRPr="00503AD7">
        <w:rPr>
          <w:rFonts w:asciiTheme="minorHAnsi" w:hAnsiTheme="minorHAnsi"/>
          <w:sz w:val="24"/>
          <w:szCs w:val="24"/>
        </w:rPr>
        <w:t>the financial estimates to account for use in first-line salvage</w:t>
      </w:r>
      <w:r w:rsidR="005241CE" w:rsidRPr="00503AD7">
        <w:rPr>
          <w:rFonts w:asciiTheme="minorHAnsi" w:hAnsiTheme="minorHAnsi"/>
          <w:sz w:val="24"/>
          <w:szCs w:val="24"/>
        </w:rPr>
        <w:t>, although this use is expected to be small</w:t>
      </w:r>
      <w:r w:rsidRPr="00503AD7">
        <w:rPr>
          <w:rFonts w:asciiTheme="minorHAnsi" w:hAnsiTheme="minorHAnsi"/>
          <w:sz w:val="24"/>
          <w:szCs w:val="24"/>
        </w:rPr>
        <w:t>.</w:t>
      </w:r>
    </w:p>
    <w:p w:rsidR="00D03358" w:rsidRPr="00503AD7" w:rsidRDefault="00F719F4" w:rsidP="00E911E9">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The PBAC noted that the financial impact was likely to be small relative to the Ph- patient population given the small number of patien</w:t>
      </w:r>
      <w:r w:rsidR="00280A4E" w:rsidRPr="00503AD7">
        <w:rPr>
          <w:rFonts w:asciiTheme="minorHAnsi" w:hAnsiTheme="minorHAnsi"/>
          <w:sz w:val="24"/>
          <w:szCs w:val="24"/>
        </w:rPr>
        <w:t>ts</w:t>
      </w:r>
      <w:r w:rsidR="00FF75C9" w:rsidRPr="00503AD7">
        <w:rPr>
          <w:rFonts w:asciiTheme="minorHAnsi" w:hAnsiTheme="minorHAnsi"/>
          <w:sz w:val="24"/>
          <w:szCs w:val="24"/>
        </w:rPr>
        <w:t xml:space="preserve"> with this condition</w:t>
      </w:r>
      <w:r w:rsidR="00280A4E" w:rsidRPr="00503AD7">
        <w:rPr>
          <w:rFonts w:asciiTheme="minorHAnsi" w:hAnsiTheme="minorHAnsi"/>
          <w:sz w:val="24"/>
          <w:szCs w:val="24"/>
        </w:rPr>
        <w:t xml:space="preserve">. The PBAC considered that the financial estimates </w:t>
      </w:r>
      <w:r w:rsidR="006E6D7A" w:rsidRPr="00503AD7">
        <w:rPr>
          <w:rFonts w:asciiTheme="minorHAnsi" w:hAnsiTheme="minorHAnsi"/>
          <w:sz w:val="24"/>
          <w:szCs w:val="24"/>
        </w:rPr>
        <w:t>we</w:t>
      </w:r>
      <w:r w:rsidR="00280A4E" w:rsidRPr="00503AD7">
        <w:rPr>
          <w:rFonts w:asciiTheme="minorHAnsi" w:hAnsiTheme="minorHAnsi"/>
          <w:sz w:val="24"/>
          <w:szCs w:val="24"/>
        </w:rPr>
        <w:t xml:space="preserve">re likely to be </w:t>
      </w:r>
      <w:r w:rsidR="00503AD7" w:rsidRPr="00503AD7">
        <w:rPr>
          <w:rFonts w:asciiTheme="minorHAnsi" w:hAnsiTheme="minorHAnsi"/>
          <w:sz w:val="24"/>
          <w:szCs w:val="24"/>
        </w:rPr>
        <w:t>overestimated,</w:t>
      </w:r>
      <w:r w:rsidR="00280A4E" w:rsidRPr="00503AD7">
        <w:rPr>
          <w:rFonts w:asciiTheme="minorHAnsi" w:hAnsiTheme="minorHAnsi"/>
          <w:sz w:val="24"/>
          <w:szCs w:val="24"/>
        </w:rPr>
        <w:t xml:space="preserve"> as cost offsets due to </w:t>
      </w:r>
      <w:r w:rsidR="00156175" w:rsidRPr="00503AD7">
        <w:rPr>
          <w:rFonts w:asciiTheme="minorHAnsi" w:hAnsiTheme="minorHAnsi"/>
          <w:sz w:val="24"/>
          <w:szCs w:val="24"/>
        </w:rPr>
        <w:t xml:space="preserve">substitution for salvage chemotherapy were not included. </w:t>
      </w:r>
    </w:p>
    <w:p w:rsidR="00D03F97" w:rsidRPr="00503AD7" w:rsidRDefault="00FF5F1A" w:rsidP="00C47FC2">
      <w:pPr>
        <w:pStyle w:val="ListParagraph"/>
        <w:widowControl/>
        <w:numPr>
          <w:ilvl w:val="1"/>
          <w:numId w:val="14"/>
        </w:numPr>
        <w:spacing w:before="120" w:after="160"/>
        <w:contextualSpacing w:val="0"/>
        <w:rPr>
          <w:rFonts w:asciiTheme="minorHAnsi" w:hAnsiTheme="minorHAnsi"/>
          <w:sz w:val="24"/>
          <w:szCs w:val="24"/>
        </w:rPr>
      </w:pPr>
      <w:r w:rsidRPr="00503AD7">
        <w:rPr>
          <w:rFonts w:asciiTheme="minorHAnsi" w:hAnsiTheme="minorHAnsi"/>
          <w:sz w:val="24"/>
          <w:szCs w:val="24"/>
        </w:rPr>
        <w:t xml:space="preserve">The PBAC </w:t>
      </w:r>
      <w:r w:rsidR="003E4B51" w:rsidRPr="00503AD7">
        <w:rPr>
          <w:rFonts w:asciiTheme="minorHAnsi" w:hAnsiTheme="minorHAnsi"/>
          <w:sz w:val="24"/>
          <w:szCs w:val="24"/>
        </w:rPr>
        <w:t xml:space="preserve">considered that the </w:t>
      </w:r>
      <w:r w:rsidR="0001390D" w:rsidRPr="00503AD7">
        <w:rPr>
          <w:rFonts w:asciiTheme="minorHAnsi" w:hAnsiTheme="minorHAnsi"/>
          <w:sz w:val="24"/>
          <w:szCs w:val="24"/>
        </w:rPr>
        <w:t xml:space="preserve">RSA would need to be updated to </w:t>
      </w:r>
      <w:r w:rsidR="00B63584" w:rsidRPr="00503AD7">
        <w:rPr>
          <w:rFonts w:asciiTheme="minorHAnsi" w:hAnsiTheme="minorHAnsi"/>
          <w:sz w:val="24"/>
          <w:szCs w:val="24"/>
        </w:rPr>
        <w:t>include</w:t>
      </w:r>
      <w:r w:rsidR="0001390D" w:rsidRPr="00503AD7">
        <w:rPr>
          <w:rFonts w:asciiTheme="minorHAnsi" w:hAnsiTheme="minorHAnsi"/>
          <w:sz w:val="24"/>
          <w:szCs w:val="24"/>
        </w:rPr>
        <w:t xml:space="preserve"> patients with Ph+ </w:t>
      </w:r>
      <w:r w:rsidR="00B63584" w:rsidRPr="00503AD7">
        <w:rPr>
          <w:rFonts w:asciiTheme="minorHAnsi" w:hAnsiTheme="minorHAnsi"/>
          <w:sz w:val="24"/>
          <w:szCs w:val="24"/>
        </w:rPr>
        <w:t xml:space="preserve">R/R B-ALL </w:t>
      </w:r>
      <w:r w:rsidR="0001390D" w:rsidRPr="00503AD7">
        <w:rPr>
          <w:rFonts w:asciiTheme="minorHAnsi" w:hAnsiTheme="minorHAnsi"/>
          <w:sz w:val="24"/>
          <w:szCs w:val="24"/>
        </w:rPr>
        <w:t>disease</w:t>
      </w:r>
      <w:r w:rsidR="003E4B51" w:rsidRPr="00503AD7">
        <w:rPr>
          <w:rFonts w:asciiTheme="minorHAnsi" w:hAnsiTheme="minorHAnsi"/>
          <w:sz w:val="24"/>
          <w:szCs w:val="24"/>
        </w:rPr>
        <w:t xml:space="preserve">, </w:t>
      </w:r>
      <w:r w:rsidR="003E4B51" w:rsidRPr="00445431">
        <w:rPr>
          <w:rFonts w:asciiTheme="minorHAnsi" w:hAnsiTheme="minorHAnsi"/>
          <w:sz w:val="24"/>
          <w:szCs w:val="24"/>
        </w:rPr>
        <w:t>and that the associated financial caps could only be increased by the number of additional treatment courses expected with the extension of the existing listing to Ph+ disease</w:t>
      </w:r>
      <w:r w:rsidR="003E4B51" w:rsidRPr="00503AD7">
        <w:rPr>
          <w:rFonts w:asciiTheme="minorHAnsi" w:hAnsiTheme="minorHAnsi"/>
          <w:sz w:val="24"/>
          <w:szCs w:val="24"/>
        </w:rPr>
        <w:t xml:space="preserve">. </w:t>
      </w:r>
    </w:p>
    <w:p w:rsidR="00D20EED" w:rsidRPr="00503AD7" w:rsidRDefault="006E6DFF" w:rsidP="00FF75C9">
      <w:pPr>
        <w:rPr>
          <w:rFonts w:asciiTheme="minorHAnsi" w:hAnsiTheme="minorHAnsi" w:cstheme="minorHAnsi"/>
          <w:b/>
          <w:lang w:eastAsia="en-US"/>
        </w:rPr>
      </w:pPr>
      <w:r w:rsidRPr="00503AD7">
        <w:rPr>
          <w:rFonts w:asciiTheme="minorHAnsi" w:hAnsiTheme="minorHAnsi" w:cstheme="minorHAnsi"/>
          <w:b/>
          <w:lang w:eastAsia="en-US"/>
        </w:rPr>
        <w:t>Outcome:</w:t>
      </w:r>
    </w:p>
    <w:p w:rsidR="006E6DFF" w:rsidRPr="00503AD7" w:rsidRDefault="006E6DFF" w:rsidP="00FF75C9">
      <w:pPr>
        <w:rPr>
          <w:rFonts w:asciiTheme="minorHAnsi" w:hAnsiTheme="minorHAnsi" w:cstheme="minorHAnsi"/>
          <w:lang w:eastAsia="en-US"/>
        </w:rPr>
      </w:pPr>
      <w:r w:rsidRPr="00503AD7">
        <w:rPr>
          <w:rFonts w:asciiTheme="minorHAnsi" w:hAnsiTheme="minorHAnsi" w:cstheme="minorHAnsi"/>
          <w:lang w:eastAsia="en-US"/>
        </w:rPr>
        <w:t xml:space="preserve">Deferred </w:t>
      </w:r>
    </w:p>
    <w:p w:rsidR="006E6DFF" w:rsidRPr="00503AD7" w:rsidRDefault="006E6DFF" w:rsidP="00FF75C9">
      <w:pPr>
        <w:rPr>
          <w:rFonts w:asciiTheme="minorHAnsi" w:hAnsiTheme="minorHAnsi" w:cstheme="minorHAnsi"/>
          <w:lang w:eastAsia="en-US"/>
        </w:rPr>
      </w:pPr>
    </w:p>
    <w:p w:rsidR="00751FFD" w:rsidRDefault="00751FFD">
      <w:pPr>
        <w:rPr>
          <w:rFonts w:asciiTheme="minorHAnsi" w:hAnsiTheme="minorHAnsi" w:cstheme="minorHAnsi"/>
          <w:b/>
          <w:snapToGrid w:val="0"/>
          <w:szCs w:val="20"/>
          <w:lang w:eastAsia="en-US"/>
        </w:rPr>
      </w:pPr>
      <w:r>
        <w:rPr>
          <w:rFonts w:asciiTheme="minorHAnsi" w:hAnsiTheme="minorHAnsi" w:cstheme="minorHAnsi"/>
          <w:b/>
          <w:snapToGrid w:val="0"/>
          <w:szCs w:val="20"/>
          <w:lang w:eastAsia="en-US"/>
        </w:rPr>
        <w:br w:type="page"/>
      </w:r>
    </w:p>
    <w:p w:rsidR="00BC3518" w:rsidRPr="00051DA3" w:rsidRDefault="00BC3518" w:rsidP="00BC3518">
      <w:pPr>
        <w:widowControl w:val="0"/>
        <w:jc w:val="both"/>
        <w:outlineLvl w:val="0"/>
        <w:rPr>
          <w:rFonts w:asciiTheme="minorHAnsi" w:hAnsiTheme="minorHAnsi" w:cstheme="minorHAnsi"/>
          <w:b/>
          <w:snapToGrid w:val="0"/>
          <w:sz w:val="28"/>
          <w:szCs w:val="20"/>
          <w:lang w:eastAsia="en-US"/>
        </w:rPr>
      </w:pPr>
      <w:r w:rsidRPr="00051DA3">
        <w:rPr>
          <w:rFonts w:asciiTheme="minorHAnsi" w:hAnsiTheme="minorHAnsi" w:cstheme="minorHAnsi"/>
          <w:b/>
          <w:snapToGrid w:val="0"/>
          <w:sz w:val="28"/>
          <w:szCs w:val="20"/>
          <w:lang w:eastAsia="en-US"/>
        </w:rPr>
        <w:lastRenderedPageBreak/>
        <w:t>Addendum</w:t>
      </w:r>
      <w:r w:rsidR="004444C1" w:rsidRPr="00051DA3">
        <w:rPr>
          <w:rFonts w:asciiTheme="minorHAnsi" w:hAnsiTheme="minorHAnsi" w:cstheme="minorHAnsi"/>
          <w:b/>
          <w:snapToGrid w:val="0"/>
          <w:sz w:val="28"/>
          <w:szCs w:val="20"/>
          <w:lang w:eastAsia="en-US"/>
        </w:rPr>
        <w:t xml:space="preserve"> to the March 2019 PBAC Minutes</w:t>
      </w:r>
      <w:r w:rsidRPr="00051DA3">
        <w:rPr>
          <w:rFonts w:asciiTheme="minorHAnsi" w:hAnsiTheme="minorHAnsi" w:cstheme="minorHAnsi"/>
          <w:b/>
          <w:snapToGrid w:val="0"/>
          <w:sz w:val="28"/>
          <w:szCs w:val="20"/>
          <w:lang w:eastAsia="en-US"/>
        </w:rPr>
        <w:t>:</w:t>
      </w:r>
    </w:p>
    <w:p w:rsidR="00BC3518" w:rsidRDefault="00BC3518" w:rsidP="006E6DFF">
      <w:pPr>
        <w:rPr>
          <w:lang w:eastAsia="en-US"/>
        </w:rPr>
      </w:pPr>
    </w:p>
    <w:p w:rsidR="00BC3518" w:rsidRPr="00643E5A" w:rsidRDefault="00BC3518" w:rsidP="00643E5A">
      <w:pPr>
        <w:pStyle w:val="Title"/>
        <w:rPr>
          <w:rFonts w:asciiTheme="minorHAnsi" w:hAnsiTheme="minorHAnsi" w:cstheme="minorHAnsi"/>
          <w:sz w:val="36"/>
          <w:szCs w:val="36"/>
        </w:rPr>
      </w:pPr>
      <w:r w:rsidRPr="00643E5A">
        <w:rPr>
          <w:rFonts w:asciiTheme="minorHAnsi" w:hAnsiTheme="minorHAnsi" w:cstheme="minorHAnsi"/>
          <w:sz w:val="36"/>
          <w:szCs w:val="36"/>
        </w:rPr>
        <w:t>7.02a</w:t>
      </w:r>
      <w:r w:rsidR="00643E5A">
        <w:rPr>
          <w:rFonts w:asciiTheme="minorHAnsi" w:hAnsiTheme="minorHAnsi" w:cstheme="minorHAnsi"/>
          <w:sz w:val="36"/>
          <w:szCs w:val="36"/>
        </w:rPr>
        <w:tab/>
      </w:r>
      <w:r w:rsidRPr="00643E5A">
        <w:rPr>
          <w:rFonts w:asciiTheme="minorHAnsi" w:hAnsiTheme="minorHAnsi" w:cstheme="minorHAnsi"/>
          <w:sz w:val="36"/>
          <w:szCs w:val="36"/>
        </w:rPr>
        <w:t xml:space="preserve">INOTUZUMAB OZOGAMICIN, </w:t>
      </w:r>
    </w:p>
    <w:p w:rsidR="00BC3518" w:rsidRPr="00643E5A" w:rsidRDefault="00BC3518" w:rsidP="00643E5A">
      <w:pPr>
        <w:pStyle w:val="Title"/>
        <w:ind w:left="720" w:firstLine="720"/>
        <w:rPr>
          <w:rFonts w:asciiTheme="minorHAnsi" w:hAnsiTheme="minorHAnsi" w:cstheme="minorHAnsi"/>
          <w:sz w:val="36"/>
          <w:szCs w:val="36"/>
        </w:rPr>
      </w:pPr>
      <w:r w:rsidRPr="00643E5A">
        <w:rPr>
          <w:rFonts w:asciiTheme="minorHAnsi" w:hAnsiTheme="minorHAnsi" w:cstheme="minorHAnsi"/>
          <w:sz w:val="36"/>
          <w:szCs w:val="36"/>
        </w:rPr>
        <w:t xml:space="preserve">Powder for IV infusion, 1 mg vial, </w:t>
      </w:r>
    </w:p>
    <w:p w:rsidR="00DC3ABF" w:rsidRPr="007A0F9F" w:rsidRDefault="00BC3518" w:rsidP="007A0F9F">
      <w:pPr>
        <w:pStyle w:val="Title"/>
        <w:ind w:left="720" w:firstLine="720"/>
        <w:rPr>
          <w:rFonts w:asciiTheme="minorHAnsi" w:hAnsiTheme="minorHAnsi" w:cstheme="minorHAnsi"/>
          <w:sz w:val="36"/>
          <w:szCs w:val="36"/>
        </w:rPr>
      </w:pPr>
      <w:r w:rsidRPr="00643E5A">
        <w:rPr>
          <w:rFonts w:asciiTheme="minorHAnsi" w:hAnsiTheme="minorHAnsi" w:cstheme="minorHAnsi"/>
          <w:sz w:val="36"/>
          <w:szCs w:val="36"/>
        </w:rPr>
        <w:t>Besponsa®, Pfizer</w:t>
      </w:r>
      <w:r w:rsidR="00746273" w:rsidRPr="00643E5A">
        <w:rPr>
          <w:rFonts w:asciiTheme="minorHAnsi" w:hAnsiTheme="minorHAnsi" w:cstheme="minorHAnsi"/>
          <w:sz w:val="36"/>
          <w:szCs w:val="36"/>
        </w:rPr>
        <w:t xml:space="preserve"> Australia Pty Ltd</w:t>
      </w:r>
    </w:p>
    <w:p w:rsidR="008D749C" w:rsidRPr="00C77CDE" w:rsidRDefault="004D4996" w:rsidP="00A36D5B">
      <w:pPr>
        <w:pStyle w:val="ListParagraph"/>
        <w:numPr>
          <w:ilvl w:val="1"/>
          <w:numId w:val="14"/>
        </w:numPr>
        <w:spacing w:after="120"/>
        <w:contextualSpacing w:val="0"/>
        <w:rPr>
          <w:rFonts w:asciiTheme="minorHAnsi" w:hAnsiTheme="minorHAnsi" w:cstheme="minorHAnsi"/>
          <w:sz w:val="24"/>
          <w:szCs w:val="24"/>
        </w:rPr>
      </w:pPr>
      <w:r w:rsidRPr="00C77CDE">
        <w:rPr>
          <w:rFonts w:asciiTheme="minorHAnsi" w:hAnsiTheme="minorHAnsi" w:cstheme="minorHAnsi"/>
          <w:sz w:val="24"/>
          <w:szCs w:val="24"/>
        </w:rPr>
        <w:t>The PBAC recommended extending the listing</w:t>
      </w:r>
      <w:r w:rsidR="00A57635" w:rsidRPr="00C77CDE">
        <w:rPr>
          <w:rFonts w:asciiTheme="minorHAnsi" w:hAnsiTheme="minorHAnsi" w:cstheme="minorHAnsi"/>
          <w:sz w:val="24"/>
          <w:szCs w:val="24"/>
        </w:rPr>
        <w:t>s</w:t>
      </w:r>
      <w:r w:rsidRPr="00C77CDE">
        <w:rPr>
          <w:rFonts w:asciiTheme="minorHAnsi" w:hAnsiTheme="minorHAnsi" w:cstheme="minorHAnsi"/>
          <w:sz w:val="24"/>
          <w:szCs w:val="24"/>
        </w:rPr>
        <w:t xml:space="preserve"> of </w:t>
      </w:r>
      <w:r w:rsidR="004444C1" w:rsidRPr="00C77CDE">
        <w:rPr>
          <w:rFonts w:asciiTheme="minorHAnsi" w:hAnsiTheme="minorHAnsi" w:cstheme="minorHAnsi"/>
          <w:sz w:val="24"/>
          <w:szCs w:val="24"/>
        </w:rPr>
        <w:t xml:space="preserve">inotuzumab and </w:t>
      </w:r>
      <w:r w:rsidRPr="00C77CDE">
        <w:rPr>
          <w:rFonts w:asciiTheme="minorHAnsi" w:hAnsiTheme="minorHAnsi" w:cstheme="minorHAnsi"/>
          <w:sz w:val="24"/>
          <w:szCs w:val="24"/>
        </w:rPr>
        <w:t xml:space="preserve">blinatumomab to include patients with Ph+ disease on the basis that it considered </w:t>
      </w:r>
      <w:r w:rsidR="004444C1" w:rsidRPr="00C77CDE">
        <w:rPr>
          <w:rFonts w:asciiTheme="minorHAnsi" w:hAnsiTheme="minorHAnsi" w:cstheme="minorHAnsi"/>
          <w:sz w:val="24"/>
          <w:szCs w:val="24"/>
        </w:rPr>
        <w:t xml:space="preserve">inotuzumab and </w:t>
      </w:r>
      <w:r w:rsidRPr="00C77CDE">
        <w:rPr>
          <w:rFonts w:asciiTheme="minorHAnsi" w:hAnsiTheme="minorHAnsi" w:cstheme="minorHAnsi"/>
          <w:sz w:val="24"/>
          <w:szCs w:val="24"/>
        </w:rPr>
        <w:t xml:space="preserve">blinatumomab would be sufficiently </w:t>
      </w:r>
      <w:r w:rsidR="004444C1" w:rsidRPr="00C77CDE">
        <w:rPr>
          <w:rFonts w:asciiTheme="minorHAnsi" w:hAnsiTheme="minorHAnsi" w:cstheme="minorHAnsi"/>
          <w:sz w:val="24"/>
          <w:szCs w:val="24"/>
        </w:rPr>
        <w:t xml:space="preserve">effective and </w:t>
      </w:r>
      <w:r w:rsidRPr="00C77CDE">
        <w:rPr>
          <w:rFonts w:asciiTheme="minorHAnsi" w:hAnsiTheme="minorHAnsi" w:cstheme="minorHAnsi"/>
          <w:sz w:val="24"/>
          <w:szCs w:val="24"/>
        </w:rPr>
        <w:t>cost-effecti</w:t>
      </w:r>
      <w:r w:rsidR="008D749C" w:rsidRPr="00C77CDE">
        <w:rPr>
          <w:rFonts w:asciiTheme="minorHAnsi" w:hAnsiTheme="minorHAnsi" w:cstheme="minorHAnsi"/>
          <w:sz w:val="24"/>
          <w:szCs w:val="24"/>
        </w:rPr>
        <w:t>ve in</w:t>
      </w:r>
      <w:r w:rsidR="00A57635" w:rsidRPr="00C77CDE">
        <w:rPr>
          <w:rFonts w:asciiTheme="minorHAnsi" w:hAnsiTheme="minorHAnsi" w:cstheme="minorHAnsi"/>
          <w:sz w:val="24"/>
          <w:szCs w:val="24"/>
        </w:rPr>
        <w:t xml:space="preserve"> patients with</w:t>
      </w:r>
      <w:r w:rsidR="008D749C" w:rsidRPr="00C77CDE">
        <w:rPr>
          <w:rFonts w:asciiTheme="minorHAnsi" w:hAnsiTheme="minorHAnsi" w:cstheme="minorHAnsi"/>
          <w:sz w:val="24"/>
          <w:szCs w:val="24"/>
        </w:rPr>
        <w:t xml:space="preserve"> Ph+ disease. The PBAC </w:t>
      </w:r>
      <w:r w:rsidR="0075137F" w:rsidRPr="00C77CDE">
        <w:rPr>
          <w:rFonts w:asciiTheme="minorHAnsi" w:hAnsiTheme="minorHAnsi" w:cstheme="minorHAnsi"/>
          <w:sz w:val="24"/>
          <w:szCs w:val="24"/>
        </w:rPr>
        <w:t xml:space="preserve">considered </w:t>
      </w:r>
      <w:r w:rsidR="008D749C" w:rsidRPr="00C77CDE">
        <w:rPr>
          <w:rFonts w:asciiTheme="minorHAnsi" w:hAnsiTheme="minorHAnsi" w:cstheme="minorHAnsi"/>
          <w:sz w:val="24"/>
          <w:szCs w:val="24"/>
        </w:rPr>
        <w:t xml:space="preserve">the financial impact of </w:t>
      </w:r>
      <w:r w:rsidR="0075137F" w:rsidRPr="00C77CDE">
        <w:rPr>
          <w:rFonts w:asciiTheme="minorHAnsi" w:hAnsiTheme="minorHAnsi" w:cstheme="minorHAnsi"/>
          <w:sz w:val="24"/>
          <w:szCs w:val="24"/>
        </w:rPr>
        <w:t>amending the restrictions for both drugs</w:t>
      </w:r>
      <w:r w:rsidR="00A57635" w:rsidRPr="00C77CDE">
        <w:rPr>
          <w:rFonts w:asciiTheme="minorHAnsi" w:hAnsiTheme="minorHAnsi" w:cstheme="minorHAnsi"/>
          <w:sz w:val="24"/>
          <w:szCs w:val="24"/>
        </w:rPr>
        <w:t xml:space="preserve"> would be </w:t>
      </w:r>
      <w:r w:rsidR="008D749C" w:rsidRPr="00C77CDE">
        <w:rPr>
          <w:rFonts w:asciiTheme="minorHAnsi" w:hAnsiTheme="minorHAnsi" w:cstheme="minorHAnsi"/>
          <w:sz w:val="24"/>
          <w:szCs w:val="24"/>
        </w:rPr>
        <w:t>relatively small compared to the Ph- population (see 7.02</w:t>
      </w:r>
      <w:r w:rsidR="005C2755" w:rsidRPr="00C77CDE">
        <w:rPr>
          <w:rFonts w:asciiTheme="minorHAnsi" w:hAnsiTheme="minorHAnsi" w:cstheme="minorHAnsi"/>
          <w:sz w:val="24"/>
          <w:szCs w:val="24"/>
        </w:rPr>
        <w:t>b</w:t>
      </w:r>
      <w:r w:rsidR="008D749C" w:rsidRPr="00C77CDE">
        <w:rPr>
          <w:rFonts w:asciiTheme="minorHAnsi" w:hAnsiTheme="minorHAnsi" w:cstheme="minorHAnsi"/>
          <w:sz w:val="24"/>
          <w:szCs w:val="24"/>
        </w:rPr>
        <w:t xml:space="preserve"> blinatumomab </w:t>
      </w:r>
      <w:r w:rsidR="007A0F9F">
        <w:rPr>
          <w:rFonts w:asciiTheme="minorHAnsi" w:hAnsiTheme="minorHAnsi" w:cstheme="minorHAnsi"/>
          <w:sz w:val="24"/>
          <w:szCs w:val="24"/>
        </w:rPr>
        <w:t>PSD</w:t>
      </w:r>
      <w:r w:rsidR="008D749C" w:rsidRPr="00C77CDE">
        <w:rPr>
          <w:rFonts w:asciiTheme="minorHAnsi" w:hAnsiTheme="minorHAnsi" w:cstheme="minorHAnsi"/>
          <w:sz w:val="24"/>
          <w:szCs w:val="24"/>
        </w:rPr>
        <w:t xml:space="preserve">, May 2019). </w:t>
      </w:r>
    </w:p>
    <w:p w:rsidR="0075137F" w:rsidRPr="00C77CDE" w:rsidRDefault="0075137F" w:rsidP="00A36D5B">
      <w:pPr>
        <w:pStyle w:val="ListParagraph"/>
        <w:numPr>
          <w:ilvl w:val="1"/>
          <w:numId w:val="14"/>
        </w:numPr>
        <w:spacing w:after="120"/>
        <w:contextualSpacing w:val="0"/>
        <w:rPr>
          <w:rFonts w:asciiTheme="minorHAnsi" w:hAnsiTheme="minorHAnsi" w:cstheme="minorHAnsi"/>
          <w:sz w:val="24"/>
          <w:szCs w:val="24"/>
        </w:rPr>
      </w:pPr>
      <w:r w:rsidRPr="00C77CDE">
        <w:rPr>
          <w:rFonts w:asciiTheme="minorHAnsi" w:hAnsiTheme="minorHAnsi" w:cstheme="minorHAnsi"/>
          <w:sz w:val="24"/>
          <w:szCs w:val="24"/>
        </w:rPr>
        <w:t>At its meeting on 3 May 2019, the PBAC considered information provided by the sponsor of blinatumomab in relation to extending the existing listing of blinatumomab for the treatment of relapsed or refractory (R/R) Philadelphia chromosome negative (Ph-) B-cell precursor acute lymphocytic leukaemia (B-ALL) to include patients with R/R Philadelphia chromosome positive (Ph+) B-ALL (</w:t>
      </w:r>
      <w:r w:rsidR="00E31A83" w:rsidRPr="00C77CDE">
        <w:rPr>
          <w:rFonts w:asciiTheme="minorHAnsi" w:hAnsiTheme="minorHAnsi" w:cstheme="minorHAnsi"/>
          <w:sz w:val="24"/>
          <w:szCs w:val="24"/>
        </w:rPr>
        <w:t>r</w:t>
      </w:r>
      <w:r w:rsidRPr="00C77CDE">
        <w:rPr>
          <w:rFonts w:asciiTheme="minorHAnsi" w:hAnsiTheme="minorHAnsi" w:cstheme="minorHAnsi"/>
          <w:sz w:val="24"/>
          <w:szCs w:val="24"/>
        </w:rPr>
        <w:t>efer to 7.02</w:t>
      </w:r>
      <w:r w:rsidR="005C2755" w:rsidRPr="00C77CDE">
        <w:rPr>
          <w:rFonts w:asciiTheme="minorHAnsi" w:hAnsiTheme="minorHAnsi" w:cstheme="minorHAnsi"/>
          <w:sz w:val="24"/>
          <w:szCs w:val="24"/>
        </w:rPr>
        <w:t>b</w:t>
      </w:r>
      <w:r w:rsidRPr="00C77CDE">
        <w:rPr>
          <w:rFonts w:asciiTheme="minorHAnsi" w:hAnsiTheme="minorHAnsi" w:cstheme="minorHAnsi"/>
          <w:sz w:val="24"/>
          <w:szCs w:val="24"/>
        </w:rPr>
        <w:t xml:space="preserve"> blinatumomab </w:t>
      </w:r>
      <w:r w:rsidR="007A0F9F">
        <w:rPr>
          <w:rFonts w:asciiTheme="minorHAnsi" w:hAnsiTheme="minorHAnsi" w:cstheme="minorHAnsi"/>
          <w:sz w:val="24"/>
          <w:szCs w:val="24"/>
        </w:rPr>
        <w:t>PSD</w:t>
      </w:r>
      <w:r w:rsidRPr="00C77CDE">
        <w:rPr>
          <w:rFonts w:asciiTheme="minorHAnsi" w:hAnsiTheme="minorHAnsi" w:cstheme="minorHAnsi"/>
          <w:sz w:val="24"/>
          <w:szCs w:val="24"/>
        </w:rPr>
        <w:t xml:space="preserve">, May 2019). The PBAC considered that this additional information had </w:t>
      </w:r>
      <w:r w:rsidR="00EE3AA2" w:rsidRPr="00C77CDE">
        <w:rPr>
          <w:rFonts w:asciiTheme="minorHAnsi" w:hAnsiTheme="minorHAnsi" w:cstheme="minorHAnsi"/>
          <w:sz w:val="24"/>
          <w:szCs w:val="24"/>
        </w:rPr>
        <w:t xml:space="preserve">enabled an assessment of the total financial impact </w:t>
      </w:r>
      <w:r w:rsidRPr="00C77CDE">
        <w:rPr>
          <w:rFonts w:asciiTheme="minorHAnsi" w:hAnsiTheme="minorHAnsi" w:cstheme="minorHAnsi"/>
          <w:sz w:val="24"/>
          <w:szCs w:val="24"/>
        </w:rPr>
        <w:t xml:space="preserve">of amending the restrictions for both drugs, and was sufficient to address </w:t>
      </w:r>
      <w:r w:rsidR="008D14E7" w:rsidRPr="00C77CDE">
        <w:rPr>
          <w:rFonts w:asciiTheme="minorHAnsi" w:hAnsiTheme="minorHAnsi" w:cstheme="minorHAnsi"/>
          <w:sz w:val="24"/>
          <w:szCs w:val="24"/>
        </w:rPr>
        <w:t>its previous concern</w:t>
      </w:r>
      <w:r w:rsidRPr="00C77CDE">
        <w:rPr>
          <w:rFonts w:asciiTheme="minorHAnsi" w:hAnsiTheme="minorHAnsi" w:cstheme="minorHAnsi"/>
          <w:sz w:val="24"/>
          <w:szCs w:val="24"/>
        </w:rPr>
        <w:t xml:space="preserve"> about</w:t>
      </w:r>
      <w:r w:rsidR="00EE3AA2" w:rsidRPr="00C77CDE">
        <w:rPr>
          <w:rFonts w:asciiTheme="minorHAnsi" w:hAnsiTheme="minorHAnsi" w:cstheme="minorHAnsi"/>
          <w:sz w:val="24"/>
          <w:szCs w:val="24"/>
        </w:rPr>
        <w:t xml:space="preserve"> quantifying</w:t>
      </w:r>
      <w:r w:rsidRPr="00C77CDE">
        <w:rPr>
          <w:rFonts w:asciiTheme="minorHAnsi" w:hAnsiTheme="minorHAnsi" w:cstheme="minorHAnsi"/>
          <w:sz w:val="24"/>
          <w:szCs w:val="24"/>
        </w:rPr>
        <w:t xml:space="preserve"> the total financial impact of this amendment.</w:t>
      </w:r>
      <w:r w:rsidR="008D14E7" w:rsidRPr="00C77CDE">
        <w:rPr>
          <w:rFonts w:asciiTheme="minorHAnsi" w:hAnsiTheme="minorHAnsi" w:cstheme="minorHAnsi"/>
          <w:sz w:val="24"/>
          <w:szCs w:val="24"/>
        </w:rPr>
        <w:t xml:space="preserve"> The PBAC noted that the estimates provided by the blinatumomab sponsor appropriately included both blinatumomab and inotuzumab, and also appropriately included use in first-line salvage. </w:t>
      </w:r>
    </w:p>
    <w:p w:rsidR="005C2755" w:rsidRPr="00C77CDE" w:rsidRDefault="00EE3AA2" w:rsidP="00A36D5B">
      <w:pPr>
        <w:pStyle w:val="ListParagraph"/>
        <w:numPr>
          <w:ilvl w:val="1"/>
          <w:numId w:val="14"/>
        </w:numPr>
        <w:spacing w:after="120"/>
        <w:contextualSpacing w:val="0"/>
        <w:rPr>
          <w:rFonts w:asciiTheme="minorHAnsi" w:hAnsiTheme="minorHAnsi" w:cstheme="minorHAnsi"/>
          <w:sz w:val="24"/>
          <w:szCs w:val="24"/>
        </w:rPr>
      </w:pPr>
      <w:r w:rsidRPr="00C77CDE">
        <w:rPr>
          <w:rFonts w:asciiTheme="minorHAnsi" w:hAnsiTheme="minorHAnsi"/>
          <w:sz w:val="24"/>
          <w:szCs w:val="24"/>
        </w:rPr>
        <w:t>The</w:t>
      </w:r>
      <w:r w:rsidRPr="00C77CDE">
        <w:rPr>
          <w:rFonts w:asciiTheme="minorHAnsi" w:hAnsiTheme="minorHAnsi" w:cstheme="minorHAnsi"/>
          <w:sz w:val="24"/>
          <w:szCs w:val="24"/>
        </w:rPr>
        <w:t xml:space="preserve"> PBAC considered that it may be clinically appropriate for blinatumomab or inotuzumab to be used in combination with a TKI. </w:t>
      </w:r>
    </w:p>
    <w:p w:rsidR="00D46206" w:rsidRPr="00C77CDE" w:rsidRDefault="00EE3AA2" w:rsidP="00A36D5B">
      <w:pPr>
        <w:pStyle w:val="ListParagraph"/>
        <w:numPr>
          <w:ilvl w:val="1"/>
          <w:numId w:val="14"/>
        </w:numPr>
        <w:spacing w:after="120"/>
        <w:contextualSpacing w:val="0"/>
        <w:rPr>
          <w:rFonts w:asciiTheme="minorHAnsi" w:hAnsiTheme="minorHAnsi"/>
          <w:sz w:val="24"/>
          <w:szCs w:val="24"/>
        </w:rPr>
      </w:pPr>
      <w:r w:rsidRPr="00C77CDE">
        <w:rPr>
          <w:rFonts w:asciiTheme="minorHAnsi" w:hAnsiTheme="minorHAnsi"/>
          <w:sz w:val="24"/>
          <w:szCs w:val="24"/>
        </w:rPr>
        <w:t>Given TKIs are standard care in previously untreated Ph+ B-ALL (initial first-line treatment), the PBAC considered it would be appropriate to limit use of blinatumomab and inotuzumab to Ph+ patients previously treated with a TKI.</w:t>
      </w:r>
    </w:p>
    <w:p w:rsidR="00D542BE" w:rsidRPr="00C77CDE" w:rsidRDefault="00D46206" w:rsidP="00A36D5B">
      <w:pPr>
        <w:pStyle w:val="ListParagraph"/>
        <w:numPr>
          <w:ilvl w:val="1"/>
          <w:numId w:val="14"/>
        </w:numPr>
        <w:spacing w:after="120"/>
        <w:contextualSpacing w:val="0"/>
        <w:rPr>
          <w:rFonts w:asciiTheme="minorHAnsi" w:hAnsiTheme="minorHAnsi" w:cstheme="minorHAnsi"/>
          <w:sz w:val="24"/>
          <w:szCs w:val="24"/>
        </w:rPr>
      </w:pPr>
      <w:r w:rsidRPr="00C77CDE">
        <w:rPr>
          <w:rFonts w:asciiTheme="minorHAnsi" w:hAnsiTheme="minorHAnsi" w:cstheme="minorHAnsi"/>
          <w:sz w:val="24"/>
          <w:szCs w:val="24"/>
        </w:rPr>
        <w:t>The PBAC considered that the restrictions for inotuzumab and blinatumomab should align where possible</w:t>
      </w:r>
      <w:r w:rsidR="005C2755" w:rsidRPr="00C77CDE">
        <w:rPr>
          <w:rFonts w:asciiTheme="minorHAnsi" w:hAnsiTheme="minorHAnsi" w:cstheme="minorHAnsi"/>
          <w:sz w:val="24"/>
          <w:szCs w:val="24"/>
        </w:rPr>
        <w:t>.</w:t>
      </w:r>
      <w:r w:rsidRPr="00C77CDE">
        <w:rPr>
          <w:rFonts w:asciiTheme="minorHAnsi" w:hAnsiTheme="minorHAnsi" w:cstheme="minorHAnsi"/>
          <w:sz w:val="24"/>
          <w:szCs w:val="24"/>
        </w:rPr>
        <w:t xml:space="preserve"> </w:t>
      </w:r>
    </w:p>
    <w:p w:rsidR="00E31A83" w:rsidRPr="00C77CDE" w:rsidRDefault="005C2755" w:rsidP="00A36D5B">
      <w:pPr>
        <w:pStyle w:val="ListParagraph"/>
        <w:numPr>
          <w:ilvl w:val="1"/>
          <w:numId w:val="14"/>
        </w:numPr>
        <w:spacing w:after="120"/>
        <w:contextualSpacing w:val="0"/>
        <w:rPr>
          <w:rFonts w:asciiTheme="minorHAnsi" w:hAnsiTheme="minorHAnsi"/>
          <w:sz w:val="24"/>
          <w:szCs w:val="24"/>
        </w:rPr>
      </w:pPr>
      <w:r w:rsidRPr="00C77CDE">
        <w:rPr>
          <w:rFonts w:asciiTheme="minorHAnsi" w:hAnsiTheme="minorHAnsi"/>
          <w:sz w:val="24"/>
          <w:szCs w:val="24"/>
        </w:rPr>
        <w:t xml:space="preserve">The PBAC noted the financial impact of extending the current listings of blinatumomab and inotuzumab to Ph+ R/R B-ALL patients was likely to be small relative to the Ph- patient population given the small number of patients. </w:t>
      </w:r>
      <w:r w:rsidR="00E31A83" w:rsidRPr="00C77CDE">
        <w:rPr>
          <w:rFonts w:asciiTheme="minorHAnsi" w:hAnsiTheme="minorHAnsi"/>
          <w:sz w:val="24"/>
          <w:szCs w:val="24"/>
        </w:rPr>
        <w:t>The PBAC considered that the underlying assumptions used</w:t>
      </w:r>
      <w:r w:rsidR="008D14E7" w:rsidRPr="00C77CDE">
        <w:rPr>
          <w:rFonts w:asciiTheme="minorHAnsi" w:hAnsiTheme="minorHAnsi"/>
          <w:sz w:val="24"/>
          <w:szCs w:val="24"/>
        </w:rPr>
        <w:t xml:space="preserve"> by the sponsor of blinatumomab </w:t>
      </w:r>
      <w:r w:rsidR="00E31A83" w:rsidRPr="00C77CDE">
        <w:rPr>
          <w:rFonts w:asciiTheme="minorHAnsi" w:hAnsiTheme="minorHAnsi"/>
          <w:sz w:val="24"/>
          <w:szCs w:val="24"/>
        </w:rPr>
        <w:t xml:space="preserve">to estimate </w:t>
      </w:r>
      <w:r w:rsidR="008D14E7" w:rsidRPr="00C77CDE">
        <w:rPr>
          <w:rFonts w:asciiTheme="minorHAnsi" w:hAnsiTheme="minorHAnsi"/>
          <w:sz w:val="24"/>
          <w:szCs w:val="24"/>
        </w:rPr>
        <w:t xml:space="preserve">the </w:t>
      </w:r>
      <w:r w:rsidR="00E31A83" w:rsidRPr="00C77CDE">
        <w:rPr>
          <w:rFonts w:asciiTheme="minorHAnsi" w:hAnsiTheme="minorHAnsi"/>
          <w:sz w:val="24"/>
          <w:szCs w:val="24"/>
        </w:rPr>
        <w:t xml:space="preserve">utilisation </w:t>
      </w:r>
      <w:r w:rsidR="008D14E7" w:rsidRPr="00C77CDE">
        <w:rPr>
          <w:rFonts w:asciiTheme="minorHAnsi" w:hAnsiTheme="minorHAnsi"/>
          <w:sz w:val="24"/>
          <w:szCs w:val="24"/>
        </w:rPr>
        <w:t xml:space="preserve">of both blinatumomab and inotuzumab </w:t>
      </w:r>
      <w:r w:rsidR="00E31A83" w:rsidRPr="00C77CDE">
        <w:rPr>
          <w:rFonts w:asciiTheme="minorHAnsi" w:hAnsiTheme="minorHAnsi"/>
          <w:sz w:val="24"/>
          <w:szCs w:val="24"/>
        </w:rPr>
        <w:t xml:space="preserve">in Ph+ patients </w:t>
      </w:r>
      <w:r w:rsidR="008D14E7" w:rsidRPr="00C77CDE">
        <w:rPr>
          <w:rFonts w:asciiTheme="minorHAnsi" w:hAnsiTheme="minorHAnsi"/>
          <w:sz w:val="24"/>
          <w:szCs w:val="24"/>
        </w:rPr>
        <w:t xml:space="preserve">(in first- and second-line salvage) </w:t>
      </w:r>
      <w:r w:rsidR="00E31A83" w:rsidRPr="00C77CDE">
        <w:rPr>
          <w:rFonts w:asciiTheme="minorHAnsi" w:hAnsiTheme="minorHAnsi"/>
          <w:sz w:val="24"/>
          <w:szCs w:val="24"/>
        </w:rPr>
        <w:t>were reasonable noting that the estimates generally aligned with those provided for inotuzumab in second-line salvage in the March 2019 meeting</w:t>
      </w:r>
      <w:r w:rsidR="00D542BE" w:rsidRPr="00C77CDE">
        <w:rPr>
          <w:rFonts w:asciiTheme="minorHAnsi" w:hAnsiTheme="minorHAnsi"/>
          <w:sz w:val="24"/>
          <w:szCs w:val="24"/>
        </w:rPr>
        <w:t xml:space="preserve"> (Refer to Section 4, 7.02b blinatumomab </w:t>
      </w:r>
      <w:r w:rsidR="007A0F9F">
        <w:rPr>
          <w:rFonts w:asciiTheme="minorHAnsi" w:hAnsiTheme="minorHAnsi"/>
          <w:sz w:val="24"/>
          <w:szCs w:val="24"/>
        </w:rPr>
        <w:t>PSD</w:t>
      </w:r>
      <w:r w:rsidR="00D542BE" w:rsidRPr="00C77CDE">
        <w:rPr>
          <w:rFonts w:asciiTheme="minorHAnsi" w:hAnsiTheme="minorHAnsi"/>
          <w:sz w:val="24"/>
          <w:szCs w:val="24"/>
        </w:rPr>
        <w:t>, May 2019).</w:t>
      </w:r>
    </w:p>
    <w:p w:rsidR="00751FFD" w:rsidRPr="00C77CDE" w:rsidRDefault="00751FFD" w:rsidP="00A36D5B">
      <w:pPr>
        <w:pStyle w:val="ListParagraph"/>
        <w:numPr>
          <w:ilvl w:val="1"/>
          <w:numId w:val="14"/>
        </w:numPr>
        <w:spacing w:after="120"/>
        <w:contextualSpacing w:val="0"/>
        <w:rPr>
          <w:rFonts w:asciiTheme="minorHAnsi" w:hAnsiTheme="minorHAnsi"/>
          <w:sz w:val="24"/>
          <w:szCs w:val="24"/>
        </w:rPr>
      </w:pPr>
      <w:r w:rsidRPr="00C77CDE">
        <w:rPr>
          <w:rFonts w:asciiTheme="minorHAnsi" w:hAnsiTheme="minorHAnsi"/>
          <w:sz w:val="24"/>
          <w:szCs w:val="24"/>
        </w:rPr>
        <w:t xml:space="preserve">The PBAC considered that the existing RSAs for blinatumomab and inotuzumab </w:t>
      </w:r>
      <w:r w:rsidRPr="00936E15">
        <w:rPr>
          <w:rFonts w:asciiTheme="minorHAnsi" w:hAnsiTheme="minorHAnsi"/>
          <w:sz w:val="24"/>
          <w:szCs w:val="24"/>
        </w:rPr>
        <w:t xml:space="preserve">would </w:t>
      </w:r>
      <w:r w:rsidRPr="00936E15">
        <w:rPr>
          <w:rFonts w:asciiTheme="minorHAnsi" w:hAnsiTheme="minorHAnsi"/>
          <w:sz w:val="24"/>
          <w:szCs w:val="24"/>
        </w:rPr>
        <w:lastRenderedPageBreak/>
        <w:t xml:space="preserve">need to be updated to include the estimated cost of treatment for new patients with Ph+ disease. The PBAC noted that any increase to the associated financial caps should only be based on the number of additional treatment courses expected with the extension of the existing listing to patients with Ph+ disease.  The PBAC considered that the financial estimates should account for no more than </w:t>
      </w:r>
      <w:r w:rsidR="00C557EE">
        <w:rPr>
          <w:rFonts w:asciiTheme="minorHAnsi" w:hAnsiTheme="minorHAnsi"/>
          <w:noProof/>
          <w:color w:val="000000"/>
          <w:sz w:val="24"/>
          <w:szCs w:val="24"/>
          <w:highlight w:val="black"/>
        </w:rPr>
        <w:t>'''''</w:t>
      </w:r>
      <w:r w:rsidRPr="00936E15">
        <w:rPr>
          <w:rFonts w:asciiTheme="minorHAnsi" w:hAnsiTheme="minorHAnsi"/>
          <w:sz w:val="24"/>
          <w:szCs w:val="24"/>
        </w:rPr>
        <w:t>% of patients receiving sequential therapy with these agents consistent with its previous advice.</w:t>
      </w:r>
    </w:p>
    <w:p w:rsidR="00F14D69" w:rsidRPr="00C77CDE" w:rsidRDefault="00751FFD" w:rsidP="00F14D69">
      <w:pPr>
        <w:pStyle w:val="ListParagraph"/>
        <w:numPr>
          <w:ilvl w:val="1"/>
          <w:numId w:val="14"/>
        </w:numPr>
        <w:rPr>
          <w:rFonts w:asciiTheme="minorHAnsi" w:hAnsiTheme="minorHAnsi"/>
          <w:sz w:val="24"/>
          <w:szCs w:val="24"/>
        </w:rPr>
      </w:pPr>
      <w:r w:rsidRPr="00C77CDE">
        <w:rPr>
          <w:rFonts w:asciiTheme="minorHAnsi" w:hAnsiTheme="minorHAnsi"/>
          <w:sz w:val="24"/>
          <w:szCs w:val="24"/>
        </w:rPr>
        <w:t>The PBAC noted that flow-on changes would be required to the existing TKI restrictions to allow use in combination with blinatumomab or inotuzumab.</w:t>
      </w:r>
    </w:p>
    <w:p w:rsidR="008D749C" w:rsidRPr="00C77CDE" w:rsidRDefault="008D749C" w:rsidP="00BC3518">
      <w:pPr>
        <w:rPr>
          <w:rFonts w:asciiTheme="minorHAnsi" w:hAnsiTheme="minorHAnsi" w:cstheme="minorHAnsi"/>
          <w:lang w:eastAsia="en-US"/>
        </w:rPr>
      </w:pPr>
    </w:p>
    <w:p w:rsidR="00D46206" w:rsidRPr="00503AD7" w:rsidRDefault="00D46206" w:rsidP="00D46206">
      <w:pPr>
        <w:rPr>
          <w:rFonts w:asciiTheme="minorHAnsi" w:hAnsiTheme="minorHAnsi" w:cstheme="minorHAnsi"/>
          <w:b/>
          <w:lang w:eastAsia="en-US"/>
        </w:rPr>
      </w:pPr>
      <w:r w:rsidRPr="00503AD7">
        <w:rPr>
          <w:rFonts w:asciiTheme="minorHAnsi" w:hAnsiTheme="minorHAnsi" w:cstheme="minorHAnsi"/>
          <w:b/>
          <w:lang w:eastAsia="en-US"/>
        </w:rPr>
        <w:t>Outcome:</w:t>
      </w:r>
    </w:p>
    <w:p w:rsidR="00D46206" w:rsidRPr="00503AD7" w:rsidRDefault="00D46206" w:rsidP="00D46206">
      <w:pPr>
        <w:rPr>
          <w:rFonts w:asciiTheme="minorHAnsi" w:hAnsiTheme="minorHAnsi" w:cstheme="minorHAnsi"/>
          <w:lang w:eastAsia="en-US"/>
        </w:rPr>
      </w:pPr>
      <w:r>
        <w:rPr>
          <w:rFonts w:asciiTheme="minorHAnsi" w:hAnsiTheme="minorHAnsi" w:cstheme="minorHAnsi"/>
          <w:lang w:eastAsia="en-US"/>
        </w:rPr>
        <w:t xml:space="preserve">Recommended </w:t>
      </w:r>
    </w:p>
    <w:p w:rsidR="00D46206" w:rsidRDefault="006B0AB3" w:rsidP="00D46206">
      <w:pPr>
        <w:rPr>
          <w:rFonts w:asciiTheme="minorHAnsi" w:hAnsiTheme="minorHAnsi" w:cstheme="minorHAnsi"/>
          <w:lang w:eastAsia="en-US"/>
        </w:rPr>
      </w:pPr>
      <w:r>
        <w:rPr>
          <w:rFonts w:asciiTheme="minorHAnsi" w:hAnsiTheme="minorHAnsi" w:cstheme="minorHAnsi"/>
          <w:lang w:eastAsia="en-US"/>
        </w:rPr>
        <w:br w:type="page"/>
      </w:r>
    </w:p>
    <w:p w:rsidR="00D46206" w:rsidRPr="009801B1" w:rsidRDefault="00D46206" w:rsidP="00D46206">
      <w:pPr>
        <w:widowControl w:val="0"/>
        <w:numPr>
          <w:ilvl w:val="0"/>
          <w:numId w:val="5"/>
        </w:numPr>
        <w:spacing w:before="240" w:after="120"/>
        <w:jc w:val="both"/>
        <w:outlineLvl w:val="0"/>
        <w:rPr>
          <w:rFonts w:asciiTheme="minorHAnsi" w:eastAsiaTheme="minorEastAsia" w:hAnsiTheme="minorHAnsi" w:cs="Arial"/>
          <w:b/>
          <w:bCs/>
          <w:i/>
          <w:snapToGrid w:val="0"/>
          <w:sz w:val="32"/>
          <w:szCs w:val="22"/>
          <w:lang w:eastAsia="en-US"/>
        </w:rPr>
      </w:pPr>
      <w:r w:rsidRPr="009801B1">
        <w:rPr>
          <w:rFonts w:asciiTheme="minorHAnsi" w:eastAsiaTheme="minorEastAsia" w:hAnsiTheme="minorHAnsi" w:cs="Arial"/>
          <w:b/>
          <w:bCs/>
          <w:snapToGrid w:val="0"/>
          <w:sz w:val="32"/>
          <w:szCs w:val="22"/>
          <w:lang w:eastAsia="en-US"/>
        </w:rPr>
        <w:lastRenderedPageBreak/>
        <w:t>Recommended listing</w:t>
      </w:r>
    </w:p>
    <w:p w:rsidR="00D46206" w:rsidRPr="009801B1" w:rsidRDefault="00D46206" w:rsidP="00D46206">
      <w:pPr>
        <w:widowControl w:val="0"/>
        <w:numPr>
          <w:ilvl w:val="1"/>
          <w:numId w:val="5"/>
        </w:numPr>
        <w:spacing w:after="120"/>
        <w:jc w:val="both"/>
        <w:rPr>
          <w:rFonts w:asciiTheme="minorHAnsi" w:eastAsiaTheme="minorEastAsia" w:hAnsiTheme="minorHAnsi" w:cs="Arial"/>
          <w:bCs/>
          <w:snapToGrid w:val="0"/>
          <w:szCs w:val="22"/>
          <w:lang w:eastAsia="en-US"/>
        </w:rPr>
      </w:pPr>
      <w:r>
        <w:rPr>
          <w:rFonts w:asciiTheme="minorHAnsi" w:eastAsiaTheme="minorEastAsia" w:hAnsiTheme="minorHAnsi" w:cs="Arial"/>
          <w:bCs/>
          <w:snapToGrid w:val="0"/>
          <w:szCs w:val="22"/>
          <w:lang w:eastAsia="en-US"/>
        </w:rPr>
        <w:t>Amend existing listings:</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4"/>
        <w:gridCol w:w="1405"/>
      </w:tblGrid>
      <w:tr w:rsidR="00D46206" w:rsidRPr="002A6AD7" w:rsidTr="00E31A83">
        <w:trPr>
          <w:cantSplit/>
          <w:trHeight w:val="463"/>
        </w:trPr>
        <w:tc>
          <w:tcPr>
            <w:tcW w:w="1405" w:type="pct"/>
            <w:gridSpan w:val="2"/>
            <w:tcBorders>
              <w:top w:val="single" w:sz="4" w:space="0" w:color="auto"/>
              <w:left w:val="nil"/>
              <w:bottom w:val="single" w:sz="4" w:space="0" w:color="auto"/>
              <w:right w:val="nil"/>
            </w:tcBorders>
            <w:vAlign w:val="center"/>
            <w:hideMark/>
          </w:tcPr>
          <w:p w:rsidR="00D46206" w:rsidRPr="002A6AD7" w:rsidRDefault="00D46206" w:rsidP="00E31A83">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Name, Restriction,</w:t>
            </w:r>
          </w:p>
          <w:p w:rsidR="00D46206" w:rsidRPr="002A6AD7" w:rsidRDefault="00D46206" w:rsidP="00E31A83">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Manner of administration and form</w:t>
            </w:r>
          </w:p>
        </w:tc>
        <w:tc>
          <w:tcPr>
            <w:tcW w:w="472" w:type="pct"/>
            <w:tcBorders>
              <w:top w:val="single" w:sz="4" w:space="0" w:color="auto"/>
              <w:left w:val="nil"/>
              <w:bottom w:val="single" w:sz="4" w:space="0" w:color="auto"/>
              <w:right w:val="nil"/>
            </w:tcBorders>
            <w:vAlign w:val="center"/>
            <w:hideMark/>
          </w:tcPr>
          <w:p w:rsidR="00D46206" w:rsidRPr="002A6AD7" w:rsidRDefault="00D46206" w:rsidP="00E31A83">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Max.</w:t>
            </w:r>
          </w:p>
          <w:p w:rsidR="00D46206" w:rsidRPr="002A6AD7" w:rsidRDefault="00D46206" w:rsidP="00E31A83">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Amt</w:t>
            </w:r>
          </w:p>
        </w:tc>
        <w:tc>
          <w:tcPr>
            <w:tcW w:w="867" w:type="pct"/>
            <w:tcBorders>
              <w:top w:val="single" w:sz="4" w:space="0" w:color="auto"/>
              <w:left w:val="nil"/>
              <w:bottom w:val="single" w:sz="4" w:space="0" w:color="auto"/>
              <w:right w:val="nil"/>
            </w:tcBorders>
            <w:vAlign w:val="center"/>
            <w:hideMark/>
          </w:tcPr>
          <w:p w:rsidR="00D46206" w:rsidRPr="002A6AD7" w:rsidRDefault="00D46206" w:rsidP="00E31A83">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№.of</w:t>
            </w:r>
          </w:p>
          <w:p w:rsidR="00D46206" w:rsidRPr="002A6AD7" w:rsidRDefault="00D46206" w:rsidP="00E31A83">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Rpts</w:t>
            </w:r>
          </w:p>
        </w:tc>
        <w:tc>
          <w:tcPr>
            <w:tcW w:w="314" w:type="pct"/>
            <w:tcBorders>
              <w:top w:val="single" w:sz="4" w:space="0" w:color="auto"/>
              <w:left w:val="nil"/>
              <w:bottom w:val="single" w:sz="4" w:space="0" w:color="auto"/>
              <w:right w:val="nil"/>
            </w:tcBorders>
            <w:vAlign w:val="center"/>
          </w:tcPr>
          <w:p w:rsidR="00D46206" w:rsidRPr="002A6AD7" w:rsidRDefault="00D46206" w:rsidP="00E31A83">
            <w:pPr>
              <w:keepNext/>
              <w:snapToGrid w:val="0"/>
              <w:jc w:val="center"/>
              <w:rPr>
                <w:rFonts w:ascii="Arial Narrow" w:hAnsi="Arial Narrow" w:cs="Arial"/>
                <w:b/>
                <w:sz w:val="20"/>
                <w:szCs w:val="22"/>
                <w:lang w:eastAsia="en-US"/>
              </w:rPr>
            </w:pPr>
          </w:p>
        </w:tc>
        <w:tc>
          <w:tcPr>
            <w:tcW w:w="1942" w:type="pct"/>
            <w:gridSpan w:val="2"/>
            <w:tcBorders>
              <w:top w:val="single" w:sz="4" w:space="0" w:color="auto"/>
              <w:left w:val="nil"/>
              <w:bottom w:val="single" w:sz="4" w:space="0" w:color="auto"/>
              <w:right w:val="nil"/>
            </w:tcBorders>
            <w:vAlign w:val="center"/>
            <w:hideMark/>
          </w:tcPr>
          <w:p w:rsidR="00D46206" w:rsidRPr="002A6AD7" w:rsidRDefault="00D46206" w:rsidP="00E31A83">
            <w:pPr>
              <w:keepNext/>
              <w:snapToGrid w:val="0"/>
              <w:jc w:val="center"/>
              <w:rPr>
                <w:rFonts w:ascii="Arial Narrow" w:hAnsi="Arial Narrow" w:cs="Arial"/>
                <w:b/>
                <w:sz w:val="20"/>
                <w:szCs w:val="22"/>
                <w:lang w:val="fr-FR" w:eastAsia="en-US"/>
              </w:rPr>
            </w:pPr>
            <w:r w:rsidRPr="002A6AD7">
              <w:rPr>
                <w:rFonts w:ascii="Arial Narrow" w:hAnsi="Arial Narrow" w:cs="Arial"/>
                <w:b/>
                <w:sz w:val="20"/>
                <w:szCs w:val="22"/>
                <w:lang w:eastAsia="en-US"/>
              </w:rPr>
              <w:t>Proprietary Name and Manufacturer</w:t>
            </w:r>
          </w:p>
        </w:tc>
      </w:tr>
      <w:tr w:rsidR="00D46206" w:rsidRPr="002A6AD7" w:rsidTr="00E31A83">
        <w:trPr>
          <w:cantSplit/>
          <w:trHeight w:val="259"/>
        </w:trPr>
        <w:tc>
          <w:tcPr>
            <w:tcW w:w="1405" w:type="pct"/>
            <w:gridSpan w:val="2"/>
            <w:hideMark/>
          </w:tcPr>
          <w:p w:rsidR="00D46206" w:rsidRDefault="00D46206" w:rsidP="00E31A83">
            <w:pPr>
              <w:keepNext/>
              <w:snapToGrid w:val="0"/>
              <w:jc w:val="both"/>
              <w:rPr>
                <w:rFonts w:ascii="Arial Narrow" w:hAnsi="Arial Narrow" w:cs="Arial"/>
                <w:smallCaps/>
                <w:sz w:val="20"/>
                <w:szCs w:val="22"/>
                <w:lang w:eastAsia="en-US"/>
              </w:rPr>
            </w:pPr>
            <w:r>
              <w:rPr>
                <w:rFonts w:ascii="Arial Narrow" w:hAnsi="Arial Narrow" w:cs="Arial"/>
                <w:smallCaps/>
                <w:sz w:val="20"/>
                <w:szCs w:val="22"/>
                <w:lang w:eastAsia="en-US"/>
              </w:rPr>
              <w:t>INOTUZUMAB OZOGAMICIN</w:t>
            </w:r>
          </w:p>
          <w:p w:rsidR="00D46206" w:rsidRPr="002A6AD7" w:rsidRDefault="00D46206" w:rsidP="00E31A83">
            <w:pPr>
              <w:keepNext/>
              <w:snapToGrid w:val="0"/>
              <w:jc w:val="both"/>
              <w:rPr>
                <w:rFonts w:ascii="Arial Narrow" w:hAnsi="Arial Narrow" w:cs="Arial"/>
                <w:sz w:val="20"/>
                <w:szCs w:val="22"/>
                <w:lang w:eastAsia="en-US"/>
              </w:rPr>
            </w:pPr>
          </w:p>
        </w:tc>
        <w:tc>
          <w:tcPr>
            <w:tcW w:w="472" w:type="pct"/>
            <w:vAlign w:val="center"/>
          </w:tcPr>
          <w:p w:rsidR="00D46206" w:rsidRPr="002A6AD7" w:rsidRDefault="00D46206" w:rsidP="00E31A83">
            <w:pPr>
              <w:keepNext/>
              <w:snapToGrid w:val="0"/>
              <w:jc w:val="both"/>
              <w:rPr>
                <w:rFonts w:ascii="Arial Narrow" w:hAnsi="Arial Narrow" w:cs="Arial"/>
                <w:sz w:val="20"/>
                <w:szCs w:val="22"/>
                <w:lang w:eastAsia="en-US"/>
              </w:rPr>
            </w:pPr>
          </w:p>
        </w:tc>
        <w:tc>
          <w:tcPr>
            <w:tcW w:w="867" w:type="pct"/>
            <w:vAlign w:val="center"/>
          </w:tcPr>
          <w:p w:rsidR="00D46206" w:rsidRPr="002A6AD7" w:rsidRDefault="00D46206" w:rsidP="00E31A83">
            <w:pPr>
              <w:keepNext/>
              <w:snapToGrid w:val="0"/>
              <w:jc w:val="both"/>
              <w:rPr>
                <w:rFonts w:ascii="Arial Narrow" w:hAnsi="Arial Narrow" w:cs="Arial"/>
                <w:sz w:val="20"/>
                <w:szCs w:val="22"/>
                <w:lang w:eastAsia="en-US"/>
              </w:rPr>
            </w:pPr>
          </w:p>
        </w:tc>
        <w:tc>
          <w:tcPr>
            <w:tcW w:w="314" w:type="pct"/>
            <w:vAlign w:val="center"/>
          </w:tcPr>
          <w:p w:rsidR="00D46206" w:rsidRPr="002A6AD7" w:rsidRDefault="00D46206" w:rsidP="00E31A83">
            <w:pPr>
              <w:keepNext/>
              <w:snapToGrid w:val="0"/>
              <w:jc w:val="both"/>
              <w:rPr>
                <w:rFonts w:ascii="Arial Narrow" w:hAnsi="Arial Narrow" w:cs="Arial"/>
                <w:sz w:val="20"/>
                <w:szCs w:val="22"/>
                <w:lang w:eastAsia="en-US"/>
              </w:rPr>
            </w:pPr>
          </w:p>
        </w:tc>
        <w:tc>
          <w:tcPr>
            <w:tcW w:w="1160" w:type="pct"/>
            <w:vAlign w:val="center"/>
          </w:tcPr>
          <w:p w:rsidR="00D46206" w:rsidRPr="002A6AD7" w:rsidRDefault="00D46206" w:rsidP="00E31A83">
            <w:pPr>
              <w:keepNext/>
              <w:snapToGrid w:val="0"/>
              <w:jc w:val="center"/>
              <w:rPr>
                <w:rFonts w:ascii="Arial Narrow" w:hAnsi="Arial Narrow" w:cs="Arial"/>
                <w:sz w:val="20"/>
                <w:szCs w:val="22"/>
                <w:lang w:eastAsia="en-US"/>
              </w:rPr>
            </w:pPr>
          </w:p>
        </w:tc>
        <w:tc>
          <w:tcPr>
            <w:tcW w:w="782" w:type="pct"/>
            <w:vAlign w:val="center"/>
          </w:tcPr>
          <w:p w:rsidR="00D46206" w:rsidRPr="002A6AD7" w:rsidRDefault="00D46206" w:rsidP="00E31A83">
            <w:pPr>
              <w:keepNext/>
              <w:snapToGrid w:val="0"/>
              <w:jc w:val="both"/>
              <w:rPr>
                <w:rFonts w:ascii="Arial Narrow" w:hAnsi="Arial Narrow" w:cs="Arial"/>
                <w:sz w:val="20"/>
                <w:szCs w:val="22"/>
                <w:lang w:eastAsia="en-US"/>
              </w:rPr>
            </w:pPr>
          </w:p>
        </w:tc>
      </w:tr>
      <w:tr w:rsidR="00D46206" w:rsidRPr="002A6AD7" w:rsidTr="00E31A83">
        <w:trPr>
          <w:cantSplit/>
          <w:trHeight w:val="538"/>
        </w:trPr>
        <w:tc>
          <w:tcPr>
            <w:tcW w:w="1405" w:type="pct"/>
            <w:gridSpan w:val="2"/>
            <w:vAlign w:val="center"/>
            <w:hideMark/>
          </w:tcPr>
          <w:p w:rsidR="00D46206" w:rsidRPr="002A6AD7" w:rsidRDefault="00D46206" w:rsidP="00E31A83">
            <w:pPr>
              <w:snapToGrid w:val="0"/>
              <w:jc w:val="both"/>
              <w:rPr>
                <w:rFonts w:ascii="Arial Narrow" w:hAnsi="Arial Narrow" w:cs="Arial"/>
                <w:sz w:val="20"/>
                <w:szCs w:val="22"/>
                <w:lang w:eastAsia="en-US"/>
              </w:rPr>
            </w:pPr>
            <w:r>
              <w:rPr>
                <w:rFonts w:ascii="Arial Narrow" w:hAnsi="Arial Narrow" w:cs="Arial"/>
                <w:sz w:val="20"/>
                <w:szCs w:val="22"/>
                <w:lang w:eastAsia="en-US"/>
              </w:rPr>
              <w:t xml:space="preserve">1 mg injection, 1 vial </w:t>
            </w:r>
          </w:p>
        </w:tc>
        <w:tc>
          <w:tcPr>
            <w:tcW w:w="472" w:type="pct"/>
            <w:vAlign w:val="center"/>
            <w:hideMark/>
          </w:tcPr>
          <w:p w:rsidR="00D46206" w:rsidRPr="002A6AD7" w:rsidRDefault="00D46206" w:rsidP="00E31A83">
            <w:pPr>
              <w:snapToGrid w:val="0"/>
              <w:jc w:val="center"/>
              <w:rPr>
                <w:rFonts w:ascii="Arial Narrow" w:hAnsi="Arial Narrow" w:cs="Arial"/>
                <w:sz w:val="20"/>
                <w:szCs w:val="22"/>
                <w:lang w:eastAsia="en-US"/>
              </w:rPr>
            </w:pPr>
            <w:r>
              <w:rPr>
                <w:rFonts w:ascii="Arial Narrow" w:hAnsi="Arial Narrow" w:cs="Arial"/>
                <w:sz w:val="20"/>
                <w:szCs w:val="22"/>
                <w:lang w:eastAsia="en-US"/>
              </w:rPr>
              <w:t>3384</w:t>
            </w:r>
            <w:r w:rsidRPr="002A6AD7">
              <w:rPr>
                <w:rFonts w:ascii="Arial Narrow" w:hAnsi="Arial Narrow" w:cs="Arial"/>
                <w:sz w:val="20"/>
                <w:szCs w:val="22"/>
                <w:lang w:eastAsia="en-US"/>
              </w:rPr>
              <w:t xml:space="preserve"> mcg</w:t>
            </w:r>
          </w:p>
        </w:tc>
        <w:tc>
          <w:tcPr>
            <w:tcW w:w="867" w:type="pct"/>
            <w:vAlign w:val="center"/>
            <w:hideMark/>
          </w:tcPr>
          <w:p w:rsidR="00D46206" w:rsidRPr="002A6AD7" w:rsidRDefault="00D46206" w:rsidP="00E31A83">
            <w:pPr>
              <w:keepNext/>
              <w:snapToGrid w:val="0"/>
              <w:jc w:val="center"/>
              <w:rPr>
                <w:rFonts w:ascii="Arial Narrow" w:hAnsi="Arial Narrow" w:cs="Arial"/>
                <w:sz w:val="20"/>
                <w:szCs w:val="22"/>
                <w:lang w:eastAsia="en-US"/>
              </w:rPr>
            </w:pPr>
            <w:r>
              <w:rPr>
                <w:rFonts w:ascii="Arial Narrow" w:hAnsi="Arial Narrow" w:cs="Arial"/>
                <w:sz w:val="20"/>
                <w:szCs w:val="22"/>
                <w:lang w:eastAsia="en-US"/>
              </w:rPr>
              <w:t>2</w:t>
            </w:r>
          </w:p>
        </w:tc>
        <w:tc>
          <w:tcPr>
            <w:tcW w:w="314" w:type="pct"/>
          </w:tcPr>
          <w:p w:rsidR="00D46206" w:rsidRPr="002A6AD7" w:rsidRDefault="00D46206" w:rsidP="00E31A83">
            <w:pPr>
              <w:keepNext/>
              <w:snapToGrid w:val="0"/>
              <w:jc w:val="both"/>
              <w:rPr>
                <w:rFonts w:ascii="Arial Narrow" w:hAnsi="Arial Narrow" w:cs="Arial"/>
                <w:sz w:val="20"/>
                <w:szCs w:val="22"/>
                <w:lang w:eastAsia="en-US"/>
              </w:rPr>
            </w:pPr>
          </w:p>
        </w:tc>
        <w:tc>
          <w:tcPr>
            <w:tcW w:w="1160" w:type="pct"/>
            <w:vAlign w:val="center"/>
            <w:hideMark/>
          </w:tcPr>
          <w:p w:rsidR="00D46206" w:rsidRPr="002A6AD7" w:rsidRDefault="00D46206" w:rsidP="00E31A83">
            <w:pPr>
              <w:keepNext/>
              <w:snapToGrid w:val="0"/>
              <w:jc w:val="center"/>
              <w:rPr>
                <w:rFonts w:ascii="Arial Narrow" w:hAnsi="Arial Narrow" w:cs="Arial"/>
                <w:sz w:val="20"/>
                <w:szCs w:val="22"/>
                <w:lang w:eastAsia="en-US"/>
              </w:rPr>
            </w:pPr>
            <w:r>
              <w:rPr>
                <w:rFonts w:ascii="Arial Narrow" w:hAnsi="Arial Narrow" w:cs="Arial"/>
                <w:sz w:val="20"/>
                <w:szCs w:val="22"/>
                <w:lang w:eastAsia="en-US"/>
              </w:rPr>
              <w:t>Besponsa</w:t>
            </w:r>
            <w:r w:rsidRPr="002A6AD7">
              <w:rPr>
                <w:rFonts w:ascii="Arial Narrow" w:hAnsi="Arial Narrow" w:cs="Arial"/>
                <w:sz w:val="20"/>
                <w:szCs w:val="22"/>
                <w:lang w:eastAsia="en-US"/>
              </w:rPr>
              <w:t>®</w:t>
            </w:r>
          </w:p>
        </w:tc>
        <w:tc>
          <w:tcPr>
            <w:tcW w:w="782" w:type="pct"/>
            <w:vAlign w:val="center"/>
            <w:hideMark/>
          </w:tcPr>
          <w:p w:rsidR="00D46206" w:rsidRPr="002A6AD7" w:rsidRDefault="00D46206" w:rsidP="00E31A83">
            <w:pPr>
              <w:keepNext/>
              <w:snapToGrid w:val="0"/>
              <w:jc w:val="center"/>
              <w:rPr>
                <w:rFonts w:ascii="Arial Narrow" w:hAnsi="Arial Narrow" w:cs="Arial"/>
                <w:sz w:val="20"/>
                <w:szCs w:val="22"/>
                <w:lang w:eastAsia="en-US"/>
              </w:rPr>
            </w:pPr>
            <w:r>
              <w:rPr>
                <w:rFonts w:ascii="Arial Narrow" w:hAnsi="Arial Narrow" w:cs="Arial"/>
                <w:sz w:val="20"/>
                <w:szCs w:val="22"/>
                <w:lang w:eastAsia="en-US"/>
              </w:rPr>
              <w:t>Pfizer</w:t>
            </w:r>
            <w:r w:rsidRPr="002A6AD7">
              <w:rPr>
                <w:rFonts w:ascii="Arial Narrow" w:hAnsi="Arial Narrow" w:cs="Arial"/>
                <w:sz w:val="20"/>
                <w:szCs w:val="22"/>
                <w:lang w:eastAsia="en-US"/>
              </w:rPr>
              <w:t xml:space="preserve"> Australia </w:t>
            </w:r>
          </w:p>
          <w:p w:rsidR="00D46206" w:rsidRPr="002A6AD7" w:rsidRDefault="00D46206" w:rsidP="00E31A83">
            <w:pPr>
              <w:keepNext/>
              <w:snapToGrid w:val="0"/>
              <w:jc w:val="center"/>
              <w:rPr>
                <w:rFonts w:ascii="Arial Narrow" w:hAnsi="Arial Narrow" w:cs="Arial"/>
                <w:sz w:val="20"/>
                <w:szCs w:val="22"/>
                <w:lang w:eastAsia="en-US"/>
              </w:rPr>
            </w:pPr>
            <w:r w:rsidRPr="002A6AD7">
              <w:rPr>
                <w:rFonts w:ascii="Arial Narrow" w:hAnsi="Arial Narrow" w:cs="Arial"/>
                <w:sz w:val="20"/>
                <w:szCs w:val="22"/>
                <w:lang w:eastAsia="en-US"/>
              </w:rPr>
              <w:t>P/L</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Pr>
                <w:rFonts w:ascii="Arial Narrow" w:hAnsi="Arial Narrow" w:cs="Arial"/>
                <w:sz w:val="20"/>
                <w:szCs w:val="20"/>
                <w:lang w:eastAsia="en-US"/>
              </w:rPr>
              <w:t>,</w:t>
            </w:r>
          </w:p>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have received intensive combination chemotherapy for initial treatment of ALL or subsequent salvage therapy,</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 xml:space="preserve">AND </w:t>
            </w: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 must not have received more</w:t>
            </w:r>
            <w:r>
              <w:rPr>
                <w:rFonts w:ascii="Arial Narrow" w:hAnsi="Arial Narrow" w:cs="Arial"/>
                <w:sz w:val="20"/>
                <w:szCs w:val="20"/>
                <w:lang w:eastAsia="en-US"/>
              </w:rPr>
              <w:t xml:space="preserve"> than 1 line of salvage therapy, </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AND</w:t>
            </w:r>
          </w:p>
          <w:p w:rsidR="00D46206" w:rsidRDefault="00D46206" w:rsidP="00E31A83">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D46206" w:rsidRPr="002A6AD7" w:rsidRDefault="00D46206" w:rsidP="00E31A83">
            <w:pPr>
              <w:snapToGrid w:val="0"/>
              <w:rPr>
                <w:rFonts w:ascii="Arial Narrow" w:hAnsi="Arial Narrow" w:cs="Arial"/>
                <w:i/>
                <w:sz w:val="20"/>
                <w:szCs w:val="20"/>
                <w:lang w:eastAsia="en-US"/>
              </w:rPr>
            </w:pPr>
            <w:r>
              <w:rPr>
                <w:rFonts w:ascii="Arial Narrow" w:hAnsi="Arial Narrow" w:cs="Arial"/>
                <w:i/>
                <w:sz w:val="20"/>
                <w:szCs w:val="20"/>
                <w:lang w:eastAsia="en-US"/>
              </w:rPr>
              <w:t xml:space="preserve">Patient must have previously received a tyrosine kinase inhibitor </w:t>
            </w:r>
            <w:r w:rsidR="009A4753">
              <w:rPr>
                <w:rFonts w:ascii="Arial Narrow" w:hAnsi="Arial Narrow" w:cs="Arial"/>
                <w:i/>
                <w:sz w:val="20"/>
                <w:szCs w:val="20"/>
                <w:lang w:eastAsia="en-US"/>
              </w:rPr>
              <w:t>if</w:t>
            </w:r>
            <w:r>
              <w:rPr>
                <w:rFonts w:ascii="Arial Narrow" w:hAnsi="Arial Narrow" w:cs="Arial"/>
                <w:i/>
                <w:sz w:val="20"/>
                <w:szCs w:val="20"/>
                <w:lang w:eastAsia="en-US"/>
              </w:rPr>
              <w:t xml:space="preserve"> the condition is Philadelphia chromosome positive,</w:t>
            </w:r>
          </w:p>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 xml:space="preserve">The </w:t>
            </w:r>
            <w:r>
              <w:rPr>
                <w:rFonts w:ascii="Arial Narrow" w:hAnsi="Arial Narrow" w:cs="Arial"/>
                <w:sz w:val="20"/>
                <w:szCs w:val="20"/>
                <w:lang w:eastAsia="en-US"/>
              </w:rPr>
              <w:t>condition must be CD22-positive,</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have more than 5% blasts in bone marrow,</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The treatment must not be </w:t>
            </w:r>
            <w:r>
              <w:rPr>
                <w:rFonts w:ascii="Arial Narrow" w:hAnsi="Arial Narrow" w:cs="Arial"/>
                <w:sz w:val="20"/>
                <w:szCs w:val="20"/>
                <w:lang w:eastAsia="en-US"/>
              </w:rPr>
              <w:t>more than 3</w:t>
            </w:r>
            <w:r w:rsidRPr="002A6AD7">
              <w:rPr>
                <w:rFonts w:ascii="Arial Narrow" w:hAnsi="Arial Narrow" w:cs="Arial"/>
                <w:sz w:val="20"/>
                <w:szCs w:val="20"/>
                <w:lang w:eastAsia="en-US"/>
              </w:rPr>
              <w:t xml:space="preserve"> treatment cycles under this restriction in a lifetime.</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Pr="00AA6236">
              <w:rPr>
                <w:rFonts w:ascii="Arial Narrow" w:hAnsi="Arial Narrow" w:cs="Arial"/>
                <w:sz w:val="20"/>
                <w:szCs w:val="20"/>
                <w:lang w:eastAsia="en-US"/>
              </w:rPr>
              <w:t>This drug is not PBS-subsidised if it is administered to an in-patient in a public hospital setting.</w:t>
            </w:r>
          </w:p>
          <w:p w:rsidR="00D4620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The authority application must be made in writing and must include:</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(1) two completed authority prescription forms;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(2) a completed Acute Lymphoblastic Leukaemia PBS Authority Application - Supporting Information Form; and</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(3) evidence that the condition is CD22-positive; and</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(4) date of most recent chemotherapy, and if this was the initial chemotherapy regimen or salvage therapy, including what line of salvage; and</w:t>
            </w:r>
          </w:p>
          <w:p w:rsidR="00D46206" w:rsidRPr="00AA623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(5) a copy of the most recent bone marrow biopsy report of no more than one month old at the time of application.</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The treatment must not exceed 0.8mg per m2 for the first dose of a treatment cycle (Day 1), and 0.5mg per m2 for subsequent doses (Days 8 and 15) within a treatment cycle.</w:t>
            </w:r>
          </w:p>
          <w:p w:rsidR="00D46206" w:rsidRDefault="00D46206" w:rsidP="00E31A83">
            <w:pPr>
              <w:snapToGrid w:val="0"/>
              <w:rPr>
                <w:rFonts w:ascii="Arial Narrow" w:hAnsi="Arial Narrow" w:cs="Arial"/>
                <w:sz w:val="20"/>
                <w:szCs w:val="20"/>
                <w:lang w:eastAsia="en-US"/>
              </w:rPr>
            </w:pPr>
          </w:p>
          <w:p w:rsidR="00D46206" w:rsidRPr="002A6AD7"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Treatment with this drug for this condition must not exceed 6 treatment cycles in a lifetime.</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Patients are eligible to receive a loading dose for the first dose of a treatment cycle while receiving induction treatment. Two prescriptions are required, the first prescription for the loading dose at a dose no higher than 0.8mg per m2, and the second prescription for two doses at a dose no higher than 0.5mg per m2. Both prescriptions must be submitted with the initial application.</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Once a patient achieves complete remission or complete remission with partial haematological recovery, a new prescription must be written under the consolidation treatment phase.</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Patients who fail to demonstrate a response to PBS-subsidised treatment with this agent at the time when an assessment is required must cease PBS-subsidised therapy with this agent.</w:t>
            </w:r>
          </w:p>
          <w:p w:rsidR="00D4620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Any queries concerning the arrangements to prescribe may be directed to the Department of Human Services on 1800 700 270 (hours of operation 8 a.m. to 5 p.m. EST Monday to Friday).</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Prescribing information (including Authority Application forms and other relevant documentation as applicable) is available on the Department of Human Services website at www.humanservices.gov.au</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Applications for authority to prescribe should be forwarded to:</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Department of Human Services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Complex Drugs Programs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Reply Paid 9826</w:t>
            </w:r>
          </w:p>
          <w:p w:rsidR="00D46206" w:rsidRPr="00AA6236" w:rsidRDefault="00D46206" w:rsidP="00E31A83">
            <w:pPr>
              <w:snapToGrid w:val="0"/>
              <w:rPr>
                <w:rFonts w:ascii="Arial Narrow" w:hAnsi="Arial Narrow" w:cs="Arial"/>
                <w:sz w:val="20"/>
                <w:szCs w:val="20"/>
                <w:lang w:eastAsia="en-US"/>
              </w:rPr>
            </w:pPr>
          </w:p>
          <w:p w:rsidR="00D46206" w:rsidRPr="002A6AD7"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HOBART TAS 7001</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FD0C63">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tcPr>
          <w:p w:rsidR="00D46206" w:rsidRPr="002A6AD7" w:rsidRDefault="00D46206" w:rsidP="00E31A83">
            <w:pPr>
              <w:snapToGrid w:val="0"/>
              <w:jc w:val="both"/>
              <w:rPr>
                <w:rFonts w:ascii="Arial Narrow" w:hAnsi="Arial Narrow" w:cs="Arial"/>
                <w:sz w:val="2"/>
                <w:szCs w:val="2"/>
                <w:lang w:eastAsia="en-US"/>
              </w:rPr>
            </w:pPr>
          </w:p>
        </w:tc>
        <w:tc>
          <w:tcPr>
            <w:tcW w:w="3748" w:type="pct"/>
            <w:gridSpan w:val="6"/>
            <w:tcBorders>
              <w:top w:val="single" w:sz="4" w:space="0" w:color="auto"/>
              <w:left w:val="single" w:sz="4" w:space="0" w:color="auto"/>
              <w:bottom w:val="single" w:sz="4" w:space="0" w:color="auto"/>
              <w:right w:val="single" w:sz="4" w:space="0" w:color="auto"/>
            </w:tcBorders>
          </w:tcPr>
          <w:p w:rsidR="00D46206" w:rsidRPr="002A6AD7" w:rsidRDefault="00D46206" w:rsidP="00E31A83">
            <w:pPr>
              <w:snapToGrid w:val="0"/>
              <w:jc w:val="both"/>
              <w:rPr>
                <w:rFonts w:ascii="Arial Narrow" w:hAnsi="Arial Narrow" w:cs="Arial"/>
                <w:color w:val="000000"/>
                <w:sz w:val="2"/>
                <w:szCs w:val="2"/>
                <w:lang w:eastAsia="en-US"/>
              </w:rPr>
            </w:pPr>
          </w:p>
        </w:tc>
      </w:tr>
    </w:tbl>
    <w:p w:rsidR="00D46206" w:rsidRDefault="00D46206" w:rsidP="00D46206">
      <w:pPr>
        <w:rPr>
          <w:lang w:eastAsia="en-US"/>
        </w:rPr>
      </w:pPr>
    </w:p>
    <w:p w:rsidR="006B0AB3" w:rsidRDefault="006B0AB3">
      <w:pPr>
        <w:rPr>
          <w:lang w:eastAsia="en-US"/>
        </w:rPr>
      </w:pPr>
      <w:r>
        <w:rPr>
          <w:lang w:eastAsia="en-US"/>
        </w:rPr>
        <w:br w:type="page"/>
      </w:r>
    </w:p>
    <w:p w:rsidR="00D46206" w:rsidRDefault="00D46206" w:rsidP="00D46206">
      <w:pPr>
        <w:rPr>
          <w:lang w:eastAsia="en-US"/>
        </w:rPr>
      </w:pPr>
    </w:p>
    <w:tbl>
      <w:tblPr>
        <w:tblW w:w="4977" w:type="pct"/>
        <w:tblInd w:w="28" w:type="dxa"/>
        <w:tblCellMar>
          <w:left w:w="28" w:type="dxa"/>
          <w:right w:w="28" w:type="dxa"/>
        </w:tblCellMar>
        <w:tblLook w:val="04A0" w:firstRow="1" w:lastRow="0" w:firstColumn="1" w:lastColumn="0" w:noHBand="0" w:noVBand="1"/>
      </w:tblPr>
      <w:tblGrid>
        <w:gridCol w:w="2247"/>
        <w:gridCol w:w="6728"/>
      </w:tblGrid>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Pr>
                <w:rFonts w:ascii="Arial Narrow" w:hAnsi="Arial Narrow" w:cs="Arial"/>
                <w:sz w:val="20"/>
                <w:szCs w:val="20"/>
                <w:lang w:eastAsia="en-US"/>
              </w:rPr>
              <w:t>,</w:t>
            </w:r>
          </w:p>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have received intensive combination chemotherapy for initial treatment of ALL or subsequent salvage therapy,</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 xml:space="preserve">AND </w:t>
            </w: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 must not have received more</w:t>
            </w:r>
            <w:r>
              <w:rPr>
                <w:rFonts w:ascii="Arial Narrow" w:hAnsi="Arial Narrow" w:cs="Arial"/>
                <w:sz w:val="20"/>
                <w:szCs w:val="20"/>
                <w:lang w:eastAsia="en-US"/>
              </w:rPr>
              <w:t xml:space="preserve"> than 1 line of salvage therapy, </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AND</w:t>
            </w:r>
          </w:p>
          <w:p w:rsidR="00D46206" w:rsidRDefault="00D46206" w:rsidP="00E31A83">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D46206" w:rsidRPr="002A6AD7" w:rsidRDefault="00D46206" w:rsidP="00E31A83">
            <w:pPr>
              <w:snapToGrid w:val="0"/>
              <w:rPr>
                <w:rFonts w:ascii="Arial Narrow" w:hAnsi="Arial Narrow" w:cs="Arial"/>
                <w:i/>
                <w:sz w:val="20"/>
                <w:szCs w:val="20"/>
                <w:lang w:eastAsia="en-US"/>
              </w:rPr>
            </w:pPr>
            <w:r>
              <w:rPr>
                <w:rFonts w:ascii="Arial Narrow" w:hAnsi="Arial Narrow" w:cs="Arial"/>
                <w:i/>
                <w:sz w:val="20"/>
                <w:szCs w:val="20"/>
                <w:lang w:eastAsia="en-US"/>
              </w:rPr>
              <w:t xml:space="preserve">Patient must have previously received a tyrosine kinase inhibitor </w:t>
            </w:r>
            <w:r w:rsidR="009A4753">
              <w:rPr>
                <w:rFonts w:ascii="Arial Narrow" w:hAnsi="Arial Narrow" w:cs="Arial"/>
                <w:i/>
                <w:sz w:val="20"/>
                <w:szCs w:val="20"/>
                <w:lang w:eastAsia="en-US"/>
              </w:rPr>
              <w:t>if</w:t>
            </w:r>
            <w:r>
              <w:rPr>
                <w:rFonts w:ascii="Arial Narrow" w:hAnsi="Arial Narrow" w:cs="Arial"/>
                <w:i/>
                <w:sz w:val="20"/>
                <w:szCs w:val="20"/>
                <w:lang w:eastAsia="en-US"/>
              </w:rPr>
              <w:t xml:space="preserve"> the condition is Philadelphia chromosome positive,</w:t>
            </w:r>
          </w:p>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 xml:space="preserve">The </w:t>
            </w:r>
            <w:r>
              <w:rPr>
                <w:rFonts w:ascii="Arial Narrow" w:hAnsi="Arial Narrow" w:cs="Arial"/>
                <w:sz w:val="20"/>
                <w:szCs w:val="20"/>
                <w:lang w:eastAsia="en-US"/>
              </w:rPr>
              <w:t>condition must be CD22-positive,</w:t>
            </w:r>
          </w:p>
          <w:p w:rsidR="00D46206" w:rsidRDefault="00D46206" w:rsidP="00E31A83">
            <w:pPr>
              <w:snapToGrid w:val="0"/>
              <w:rPr>
                <w:rFonts w:ascii="Arial Narrow" w:hAnsi="Arial Narrow" w:cs="Arial"/>
                <w:sz w:val="20"/>
                <w:szCs w:val="20"/>
                <w:lang w:eastAsia="en-US"/>
              </w:rPr>
            </w:pPr>
            <w:r>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have more than 5% blasts in bone marrow,</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D46206" w:rsidRPr="002A6AD7"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The treatment must not be </w:t>
            </w:r>
            <w:r>
              <w:rPr>
                <w:rFonts w:ascii="Arial Narrow" w:hAnsi="Arial Narrow" w:cs="Arial"/>
                <w:sz w:val="20"/>
                <w:szCs w:val="20"/>
                <w:lang w:eastAsia="en-US"/>
              </w:rPr>
              <w:t>more than 3</w:t>
            </w:r>
            <w:r w:rsidRPr="002A6AD7">
              <w:rPr>
                <w:rFonts w:ascii="Arial Narrow" w:hAnsi="Arial Narrow" w:cs="Arial"/>
                <w:sz w:val="20"/>
                <w:szCs w:val="20"/>
                <w:lang w:eastAsia="en-US"/>
              </w:rPr>
              <w:t xml:space="preserve"> treatment cycles under this restriction in a lifetime.</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tcBorders>
              <w:top w:val="single" w:sz="4" w:space="0" w:color="auto"/>
              <w:left w:val="single" w:sz="4" w:space="0" w:color="auto"/>
              <w:bottom w:val="single" w:sz="4" w:space="0" w:color="auto"/>
              <w:right w:val="single" w:sz="4" w:space="0" w:color="auto"/>
            </w:tcBorders>
          </w:tcPr>
          <w:p w:rsidR="00D46206" w:rsidRDefault="00D46206" w:rsidP="00E31A83">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Pr="00AA6236">
              <w:rPr>
                <w:rFonts w:ascii="Arial Narrow" w:hAnsi="Arial Narrow" w:cs="Arial"/>
                <w:sz w:val="20"/>
                <w:szCs w:val="20"/>
                <w:lang w:eastAsia="en-US"/>
              </w:rPr>
              <w:t>This drug is not PBS-subsidised if it is administered to an in-patient in a public hospital setting.</w:t>
            </w:r>
          </w:p>
          <w:p w:rsidR="00D4620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The authority application must be made in writing and must include:</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(1) two completed authority prescription forms;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(2) a completed Acute Lymphoblastic Leukaemia PBS Authority Application - Supporting Information Form; and</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(3) evidence that the condition is CD22-positive; and</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(4) date of most recent chemotherapy, and if this was the initial chemotherapy regimen or salvage therapy, including what line of salvage; and</w:t>
            </w:r>
          </w:p>
          <w:p w:rsidR="00D46206" w:rsidRPr="00AA623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(5) a copy of the most recent bone marrow biopsy report of no more than one month old at the time of application.</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The treatment must not exceed 0.8mg per m2 for the first dose of a treatment cycle (Day 1), and 0.5mg per m2 for subsequent doses (Days 8 and 15) within a treatment cycle.</w:t>
            </w:r>
          </w:p>
          <w:p w:rsidR="00D46206" w:rsidRDefault="00D46206" w:rsidP="00E31A83">
            <w:pPr>
              <w:snapToGrid w:val="0"/>
              <w:rPr>
                <w:rFonts w:ascii="Arial Narrow" w:hAnsi="Arial Narrow" w:cs="Arial"/>
                <w:sz w:val="20"/>
                <w:szCs w:val="20"/>
                <w:lang w:eastAsia="en-US"/>
              </w:rPr>
            </w:pPr>
          </w:p>
          <w:p w:rsidR="00D46206" w:rsidRPr="002A6AD7"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Treatment with this drug for this condition must not exceed 6 treatment cycles in a lifetime.</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Administrative advice</w:t>
            </w:r>
          </w:p>
        </w:tc>
        <w:tc>
          <w:tcPr>
            <w:tcW w:w="3748" w:type="pct"/>
            <w:tcBorders>
              <w:top w:val="single" w:sz="4" w:space="0" w:color="auto"/>
              <w:left w:val="single" w:sz="4" w:space="0" w:color="auto"/>
              <w:bottom w:val="single" w:sz="4" w:space="0" w:color="auto"/>
              <w:right w:val="single" w:sz="4" w:space="0" w:color="auto"/>
            </w:tcBorders>
          </w:tcPr>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Patients are eligible to receive a loading dose for the first dose of a treatment cycle while receiving induction treatment. Two prescriptions are required, the first prescription for the loading dose at a dose no higher than 0.8mg per m2, and the second prescription for two doses at a dose no higher than 0.5mg per m2. Both prescriptions must be submitted with the initial application.</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Once a patient achieves complete remission or complete remission with partial haematological recovery, a new prescription must be written under the consolidation treatment phase.</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lastRenderedPageBreak/>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Patients who fail to demonstrate a response to PBS-subsidised treatment with this agent at the time when an assessment is required must cease PBS-subsidised therapy with this agent.</w:t>
            </w:r>
          </w:p>
          <w:p w:rsidR="00D4620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Any queries concerning the arrangements to prescribe may be directed to the Department of Human Services on 1800 700 270 (hours of operation 8 a.m. to 5 p.m. EST Monday to Friday).</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Prescribing information (including Authority Application forms and other relevant documentation as applicable) is available on the Department of Human Services website at www.humanservices.gov.au</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Applications for authority to prescribe should be forwarded to:</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Department of Human Services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Complex Drugs Programs</w:t>
            </w:r>
          </w:p>
          <w:p w:rsidR="00D46206" w:rsidRPr="00AA6236" w:rsidRDefault="00D46206" w:rsidP="00E31A83">
            <w:pPr>
              <w:snapToGrid w:val="0"/>
              <w:rPr>
                <w:rFonts w:ascii="Arial Narrow" w:hAnsi="Arial Narrow" w:cs="Arial"/>
                <w:sz w:val="20"/>
                <w:szCs w:val="20"/>
                <w:lang w:eastAsia="en-US"/>
              </w:rPr>
            </w:pPr>
          </w:p>
          <w:p w:rsidR="00D46206" w:rsidRPr="00AA623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Reply Paid 9826</w:t>
            </w:r>
          </w:p>
          <w:p w:rsidR="00D46206" w:rsidRPr="00AA623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AA6236">
              <w:rPr>
                <w:rFonts w:ascii="Arial Narrow" w:hAnsi="Arial Narrow" w:cs="Arial"/>
                <w:sz w:val="20"/>
                <w:szCs w:val="20"/>
                <w:lang w:eastAsia="en-US"/>
              </w:rPr>
              <w:t>HOBART TAS 7001</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quantity or number of units may be authorised.</w:t>
            </w:r>
          </w:p>
          <w:p w:rsidR="00D46206" w:rsidRDefault="00D46206" w:rsidP="00E31A83">
            <w:pPr>
              <w:snapToGrid w:val="0"/>
              <w:rPr>
                <w:rFonts w:ascii="Arial Narrow" w:hAnsi="Arial Narrow" w:cs="Arial"/>
                <w:sz w:val="20"/>
                <w:szCs w:val="20"/>
                <w:lang w:eastAsia="en-US"/>
              </w:rPr>
            </w:pPr>
          </w:p>
          <w:p w:rsidR="00D46206" w:rsidRDefault="00D46206" w:rsidP="00E31A83">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number of repeats may be authorised.</w:t>
            </w:r>
          </w:p>
          <w:p w:rsidR="00D46206" w:rsidRDefault="00D46206" w:rsidP="00E31A83">
            <w:pPr>
              <w:snapToGrid w:val="0"/>
              <w:rPr>
                <w:rFonts w:ascii="Arial Narrow" w:hAnsi="Arial Narrow" w:cs="Arial"/>
                <w:sz w:val="20"/>
                <w:szCs w:val="20"/>
                <w:lang w:eastAsia="en-US"/>
              </w:rPr>
            </w:pPr>
          </w:p>
          <w:p w:rsidR="00D46206" w:rsidRPr="002A6AD7" w:rsidRDefault="00D46206" w:rsidP="00E31A83">
            <w:pPr>
              <w:snapToGrid w:val="0"/>
              <w:rPr>
                <w:rFonts w:ascii="Arial Narrow" w:hAnsi="Arial Narrow" w:cs="Arial"/>
                <w:sz w:val="20"/>
                <w:szCs w:val="20"/>
                <w:lang w:eastAsia="en-US"/>
              </w:rPr>
            </w:pPr>
            <w:r w:rsidRPr="00F93058">
              <w:rPr>
                <w:rFonts w:ascii="Arial Narrow" w:hAnsi="Arial Narrow" w:cs="Arial"/>
                <w:sz w:val="20"/>
                <w:szCs w:val="20"/>
                <w:lang w:eastAsia="en-US"/>
              </w:rPr>
              <w:t>Special Pricing Arrangements apply.</w:t>
            </w:r>
          </w:p>
        </w:tc>
      </w:tr>
      <w:tr w:rsidR="00D46206" w:rsidRPr="002A6AD7" w:rsidTr="00E31A83">
        <w:trPr>
          <w:trHeight w:val="20"/>
        </w:trPr>
        <w:tc>
          <w:tcPr>
            <w:tcW w:w="1252"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Cautions:</w:t>
            </w:r>
          </w:p>
        </w:tc>
        <w:tc>
          <w:tcPr>
            <w:tcW w:w="3748" w:type="pct"/>
            <w:tcBorders>
              <w:top w:val="single" w:sz="4" w:space="0" w:color="auto"/>
              <w:left w:val="single" w:sz="4" w:space="0" w:color="auto"/>
              <w:bottom w:val="single" w:sz="4" w:space="0" w:color="auto"/>
              <w:right w:val="single" w:sz="4" w:space="0" w:color="auto"/>
            </w:tcBorders>
            <w:hideMark/>
          </w:tcPr>
          <w:p w:rsidR="00D46206" w:rsidRPr="002A6AD7" w:rsidRDefault="00D46206" w:rsidP="00E31A83">
            <w:pPr>
              <w:snapToGrid w:val="0"/>
              <w:rPr>
                <w:rFonts w:ascii="Arial Narrow" w:hAnsi="Arial Narrow" w:cs="Arial"/>
                <w:sz w:val="20"/>
                <w:szCs w:val="20"/>
                <w:lang w:eastAsia="en-US"/>
              </w:rPr>
            </w:pPr>
            <w:r w:rsidRPr="00FD0C63">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bl>
    <w:p w:rsidR="00FA4F74" w:rsidRDefault="00FA4F74" w:rsidP="00FA4F74">
      <w:pPr>
        <w:rPr>
          <w:rFonts w:asciiTheme="minorHAnsi" w:hAnsiTheme="minorHAnsi" w:cstheme="minorHAnsi"/>
          <w:lang w:eastAsia="en-US"/>
        </w:rPr>
      </w:pPr>
    </w:p>
    <w:p w:rsidR="00FA4F74" w:rsidRDefault="00FA4F74" w:rsidP="00FA4F74">
      <w:pPr>
        <w:rPr>
          <w:lang w:eastAsia="en-US"/>
        </w:rPr>
      </w:pPr>
    </w:p>
    <w:p w:rsidR="00FA4F74" w:rsidRDefault="00FA4F74">
      <w:pPr>
        <w:rPr>
          <w:rFonts w:asciiTheme="minorHAnsi" w:eastAsiaTheme="minorEastAsia" w:hAnsiTheme="minorHAnsi" w:cs="Arial"/>
          <w:b/>
          <w:bCs/>
          <w:snapToGrid w:val="0"/>
          <w:sz w:val="32"/>
          <w:szCs w:val="22"/>
          <w:lang w:eastAsia="en-US"/>
        </w:rPr>
      </w:pPr>
      <w:r>
        <w:rPr>
          <w:rFonts w:asciiTheme="minorHAnsi" w:eastAsiaTheme="minorEastAsia" w:hAnsiTheme="minorHAnsi" w:cs="Arial"/>
          <w:b/>
          <w:bCs/>
          <w:snapToGrid w:val="0"/>
          <w:sz w:val="32"/>
          <w:szCs w:val="22"/>
          <w:lang w:eastAsia="en-US"/>
        </w:rPr>
        <w:br w:type="page"/>
      </w:r>
    </w:p>
    <w:p w:rsidR="00FA4F74" w:rsidRPr="002D24FC" w:rsidRDefault="00FA4F74" w:rsidP="00FA4F74">
      <w:pPr>
        <w:widowControl w:val="0"/>
        <w:numPr>
          <w:ilvl w:val="0"/>
          <w:numId w:val="5"/>
        </w:numPr>
        <w:spacing w:before="240" w:after="120"/>
        <w:jc w:val="both"/>
        <w:outlineLvl w:val="0"/>
        <w:rPr>
          <w:rFonts w:asciiTheme="minorHAnsi" w:eastAsiaTheme="minorEastAsia" w:hAnsiTheme="minorHAnsi" w:cs="Arial"/>
          <w:b/>
          <w:bCs/>
          <w:snapToGrid w:val="0"/>
          <w:sz w:val="32"/>
          <w:szCs w:val="22"/>
          <w:lang w:eastAsia="en-US"/>
        </w:rPr>
      </w:pPr>
      <w:r w:rsidRPr="002D24FC">
        <w:rPr>
          <w:rFonts w:asciiTheme="minorHAnsi" w:eastAsiaTheme="minorEastAsia" w:hAnsiTheme="minorHAnsi" w:cs="Arial"/>
          <w:b/>
          <w:bCs/>
          <w:snapToGrid w:val="0"/>
          <w:sz w:val="32"/>
          <w:szCs w:val="22"/>
          <w:lang w:eastAsia="en-US"/>
        </w:rPr>
        <w:lastRenderedPageBreak/>
        <w:t>Context for Decision</w:t>
      </w:r>
    </w:p>
    <w:p w:rsidR="00FA4F74" w:rsidRPr="002D24FC" w:rsidRDefault="00FA4F74" w:rsidP="00FA4F74">
      <w:pPr>
        <w:widowControl w:val="0"/>
        <w:spacing w:after="120"/>
        <w:ind w:left="720"/>
        <w:jc w:val="both"/>
        <w:rPr>
          <w:rFonts w:asciiTheme="minorHAnsi" w:eastAsiaTheme="minorEastAsia" w:hAnsiTheme="minorHAnsi" w:cs="Arial"/>
          <w:bCs/>
          <w:snapToGrid w:val="0"/>
          <w:szCs w:val="22"/>
          <w:lang w:eastAsia="en-US"/>
        </w:rPr>
      </w:pPr>
      <w:r w:rsidRPr="002D24FC">
        <w:rPr>
          <w:rFonts w:asciiTheme="minorHAnsi" w:eastAsiaTheme="minorEastAsia" w:hAnsiTheme="minorHAnsi" w:cs="Arial"/>
          <w:bCs/>
          <w:snapToGrid w:val="0"/>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4F74" w:rsidRPr="002D24FC" w:rsidRDefault="00FA4F74" w:rsidP="00FA4F74">
      <w:pPr>
        <w:widowControl w:val="0"/>
        <w:numPr>
          <w:ilvl w:val="0"/>
          <w:numId w:val="5"/>
        </w:numPr>
        <w:spacing w:before="240" w:after="120"/>
        <w:jc w:val="both"/>
        <w:outlineLvl w:val="0"/>
        <w:rPr>
          <w:rFonts w:asciiTheme="minorHAnsi" w:eastAsiaTheme="minorEastAsia" w:hAnsiTheme="minorHAnsi" w:cs="Arial"/>
          <w:b/>
          <w:bCs/>
          <w:snapToGrid w:val="0"/>
          <w:sz w:val="32"/>
          <w:szCs w:val="22"/>
          <w:lang w:eastAsia="en-US"/>
        </w:rPr>
      </w:pPr>
      <w:r w:rsidRPr="002D24FC">
        <w:rPr>
          <w:rFonts w:asciiTheme="minorHAnsi" w:eastAsiaTheme="minorEastAsia" w:hAnsiTheme="minorHAnsi" w:cs="Arial"/>
          <w:b/>
          <w:bCs/>
          <w:snapToGrid w:val="0"/>
          <w:sz w:val="32"/>
          <w:szCs w:val="22"/>
          <w:lang w:eastAsia="en-US"/>
        </w:rPr>
        <w:t>Sponsor’s Comment</w:t>
      </w:r>
    </w:p>
    <w:p w:rsidR="00FA4F74" w:rsidRPr="000373D3" w:rsidRDefault="000373D3" w:rsidP="000373D3">
      <w:pPr>
        <w:widowControl w:val="0"/>
        <w:spacing w:after="120"/>
        <w:ind w:left="720"/>
        <w:jc w:val="both"/>
        <w:rPr>
          <w:rFonts w:asciiTheme="minorHAnsi" w:eastAsiaTheme="minorEastAsia" w:hAnsiTheme="minorHAnsi" w:cs="Arial"/>
          <w:bCs/>
          <w:snapToGrid w:val="0"/>
          <w:szCs w:val="22"/>
          <w:lang w:eastAsia="en-US"/>
        </w:rPr>
      </w:pPr>
      <w:r w:rsidRPr="000373D3">
        <w:rPr>
          <w:rFonts w:asciiTheme="minorHAnsi" w:eastAsiaTheme="minorEastAsia" w:hAnsiTheme="minorHAnsi" w:cs="Arial"/>
          <w:bCs/>
          <w:snapToGrid w:val="0"/>
          <w:szCs w:val="22"/>
          <w:lang w:eastAsia="en-US"/>
        </w:rPr>
        <w:t xml:space="preserve">Pfizer welcomes the PBAC’s recommendation to make </w:t>
      </w:r>
      <w:r>
        <w:rPr>
          <w:rFonts w:asciiTheme="minorHAnsi" w:eastAsiaTheme="minorEastAsia" w:hAnsiTheme="minorHAnsi" w:cs="Arial"/>
          <w:bCs/>
          <w:snapToGrid w:val="0"/>
          <w:szCs w:val="22"/>
          <w:lang w:eastAsia="en-US"/>
        </w:rPr>
        <w:t>Besponsa</w:t>
      </w:r>
      <w:r>
        <w:rPr>
          <w:rFonts w:asciiTheme="minorHAnsi" w:eastAsiaTheme="minorEastAsia" w:hAnsiTheme="minorHAnsi" w:cstheme="minorHAnsi"/>
          <w:bCs/>
          <w:snapToGrid w:val="0"/>
          <w:szCs w:val="22"/>
          <w:lang w:eastAsia="en-US"/>
        </w:rPr>
        <w:t>®</w:t>
      </w:r>
      <w:r>
        <w:rPr>
          <w:rFonts w:asciiTheme="minorHAnsi" w:eastAsiaTheme="minorEastAsia" w:hAnsiTheme="minorHAnsi" w:cs="Arial"/>
          <w:bCs/>
          <w:snapToGrid w:val="0"/>
          <w:szCs w:val="22"/>
          <w:lang w:eastAsia="en-US"/>
        </w:rPr>
        <w:t xml:space="preserve"> available for </w:t>
      </w:r>
      <w:r w:rsidRPr="000373D3">
        <w:rPr>
          <w:rFonts w:asciiTheme="minorHAnsi" w:eastAsiaTheme="minorEastAsia" w:hAnsiTheme="minorHAnsi" w:cs="Arial"/>
          <w:bCs/>
          <w:snapToGrid w:val="0"/>
          <w:szCs w:val="22"/>
          <w:lang w:eastAsia="en-US"/>
        </w:rPr>
        <w:t>Australian patients with this rare haematological cancer with a poor prognosis.</w:t>
      </w:r>
    </w:p>
    <w:p w:rsidR="00FA4F74" w:rsidRPr="000373D3" w:rsidRDefault="00FA4F74" w:rsidP="000373D3">
      <w:pPr>
        <w:widowControl w:val="0"/>
        <w:spacing w:after="120"/>
        <w:ind w:left="720"/>
        <w:jc w:val="both"/>
        <w:rPr>
          <w:rFonts w:asciiTheme="minorHAnsi" w:eastAsiaTheme="minorEastAsia" w:hAnsiTheme="minorHAnsi" w:cs="Arial"/>
          <w:bCs/>
          <w:snapToGrid w:val="0"/>
          <w:szCs w:val="22"/>
          <w:lang w:eastAsia="en-US"/>
        </w:rPr>
      </w:pPr>
    </w:p>
    <w:p w:rsidR="00FA4F74" w:rsidRPr="00D46206" w:rsidRDefault="00FA4F74" w:rsidP="00D46206">
      <w:pPr>
        <w:rPr>
          <w:rFonts w:asciiTheme="minorHAnsi" w:hAnsiTheme="minorHAnsi" w:cstheme="minorHAnsi"/>
          <w:lang w:eastAsia="en-US"/>
        </w:rPr>
      </w:pPr>
    </w:p>
    <w:sectPr w:rsidR="00FA4F74" w:rsidRPr="00D4620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EE" w:rsidRDefault="00C557EE">
      <w:r>
        <w:separator/>
      </w:r>
    </w:p>
    <w:p w:rsidR="00C557EE" w:rsidRDefault="00C557EE"/>
  </w:endnote>
  <w:endnote w:type="continuationSeparator" w:id="0">
    <w:p w:rsidR="00C557EE" w:rsidRDefault="00C557EE">
      <w:r>
        <w:continuationSeparator/>
      </w:r>
    </w:p>
    <w:p w:rsidR="00C557EE" w:rsidRDefault="00C5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31A83" w:rsidTr="005A3173">
      <w:trPr>
        <w:trHeight w:val="151"/>
      </w:trPr>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31A83" w:rsidRPr="005A3173" w:rsidRDefault="00E31A8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r>
    <w:tr w:rsidR="00E31A83" w:rsidTr="005A3173">
      <w:trPr>
        <w:trHeight w:val="150"/>
      </w:trPr>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0" w:type="auto"/>
          <w:vMerge/>
          <w:vAlign w:val="center"/>
          <w:hideMark/>
        </w:tcPr>
        <w:p w:rsidR="00E31A83" w:rsidRPr="005A3173" w:rsidRDefault="00E31A8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r>
  </w:tbl>
  <w:p w:rsidR="00E31A83" w:rsidRDefault="00E31A8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A83" w:rsidRDefault="00E31A83">
    <w:pPr>
      <w:pStyle w:val="Footer"/>
    </w:pPr>
  </w:p>
  <w:p w:rsidR="00E31A83" w:rsidRDefault="00E31A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83" w:rsidRDefault="00E31A83" w:rsidP="00EF44A0">
    <w:pPr>
      <w:pStyle w:val="Footer"/>
      <w:jc w:val="center"/>
      <w:rPr>
        <w:rFonts w:ascii="Arial" w:hAnsi="Arial" w:cs="Arial"/>
        <w:b/>
        <w:sz w:val="20"/>
        <w:szCs w:val="20"/>
      </w:rPr>
    </w:pPr>
  </w:p>
  <w:p w:rsidR="00E31A83" w:rsidRPr="0096669C" w:rsidRDefault="004F1BE7" w:rsidP="0096669C">
    <w:pPr>
      <w:widowControl w:val="0"/>
      <w:tabs>
        <w:tab w:val="center" w:pos="4513"/>
        <w:tab w:val="right" w:pos="9026"/>
      </w:tabs>
      <w:jc w:val="center"/>
      <w:rPr>
        <w:rFonts w:ascii="Calibri" w:hAnsi="Calibri" w:cs="Arial"/>
        <w:b/>
        <w:snapToGrid w:val="0"/>
        <w:szCs w:val="22"/>
        <w:lang w:eastAsia="en-US"/>
      </w:rPr>
    </w:pPr>
    <w:sdt>
      <w:sdtPr>
        <w:rPr>
          <w:rFonts w:ascii="Calibri" w:hAnsi="Calibri" w:cs="Arial"/>
          <w:b/>
          <w:snapToGrid w:val="0"/>
          <w:szCs w:val="22"/>
          <w:lang w:eastAsia="en-US"/>
        </w:rPr>
        <w:id w:val="-967586775"/>
        <w:docPartObj>
          <w:docPartGallery w:val="Page Numbers (Bottom of Page)"/>
          <w:docPartUnique/>
        </w:docPartObj>
      </w:sdtPr>
      <w:sdtEndPr>
        <w:rPr>
          <w:noProof/>
        </w:rPr>
      </w:sdtEndPr>
      <w:sdtContent>
        <w:r w:rsidR="00E31A83" w:rsidRPr="0096669C">
          <w:rPr>
            <w:rFonts w:ascii="Calibri" w:hAnsi="Calibri" w:cs="Arial"/>
            <w:b/>
            <w:snapToGrid w:val="0"/>
            <w:szCs w:val="22"/>
            <w:lang w:eastAsia="en-US"/>
          </w:rPr>
          <w:fldChar w:fldCharType="begin"/>
        </w:r>
        <w:r w:rsidR="00E31A83" w:rsidRPr="0096669C">
          <w:rPr>
            <w:rFonts w:ascii="Calibri" w:hAnsi="Calibri" w:cs="Arial"/>
            <w:b/>
            <w:snapToGrid w:val="0"/>
            <w:szCs w:val="22"/>
            <w:lang w:eastAsia="en-US"/>
          </w:rPr>
          <w:instrText xml:space="preserve"> PAGE   \* MERGEFORMAT </w:instrText>
        </w:r>
        <w:r w:rsidR="00E31A83" w:rsidRPr="0096669C">
          <w:rPr>
            <w:rFonts w:ascii="Calibri" w:hAnsi="Calibri" w:cs="Arial"/>
            <w:b/>
            <w:snapToGrid w:val="0"/>
            <w:szCs w:val="22"/>
            <w:lang w:eastAsia="en-US"/>
          </w:rPr>
          <w:fldChar w:fldCharType="separate"/>
        </w:r>
        <w:r>
          <w:rPr>
            <w:rFonts w:ascii="Calibri" w:hAnsi="Calibri" w:cs="Arial"/>
            <w:b/>
            <w:noProof/>
            <w:snapToGrid w:val="0"/>
            <w:szCs w:val="22"/>
            <w:lang w:eastAsia="en-US"/>
          </w:rPr>
          <w:t>11</w:t>
        </w:r>
        <w:r w:rsidR="00E31A83" w:rsidRPr="0096669C">
          <w:rPr>
            <w:rFonts w:ascii="Calibri" w:hAnsi="Calibri" w:cs="Arial"/>
            <w:b/>
            <w:noProof/>
            <w:snapToGrid w:val="0"/>
            <w:szCs w:val="22"/>
            <w:lang w:eastAsia="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31A83" w:rsidTr="005A3173">
      <w:trPr>
        <w:trHeight w:val="151"/>
      </w:trPr>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31A83" w:rsidRPr="005A3173" w:rsidRDefault="00E31A8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r>
    <w:tr w:rsidR="00E31A83" w:rsidTr="005A3173">
      <w:trPr>
        <w:trHeight w:val="150"/>
      </w:trPr>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0" w:type="auto"/>
          <w:vMerge/>
          <w:vAlign w:val="center"/>
          <w:hideMark/>
        </w:tcPr>
        <w:p w:rsidR="00E31A83" w:rsidRPr="005A3173" w:rsidRDefault="00E31A8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31A83" w:rsidTr="005A3173">
      <w:trPr>
        <w:trHeight w:val="151"/>
      </w:trPr>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31A83" w:rsidRPr="005A3173" w:rsidRDefault="00E31A8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31A83" w:rsidRPr="005A3173" w:rsidRDefault="00E31A83" w:rsidP="005A3173">
          <w:pPr>
            <w:pStyle w:val="Header"/>
            <w:spacing w:line="276" w:lineRule="auto"/>
            <w:rPr>
              <w:rFonts w:ascii="Calibri" w:eastAsia="MS Gothic" w:hAnsi="Calibri"/>
              <w:b/>
              <w:bCs/>
              <w:color w:val="4F81BD"/>
            </w:rPr>
          </w:pPr>
        </w:p>
      </w:tc>
    </w:tr>
    <w:tr w:rsidR="00E31A83" w:rsidTr="005A3173">
      <w:trPr>
        <w:trHeight w:val="150"/>
      </w:trPr>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c>
        <w:tcPr>
          <w:tcW w:w="0" w:type="auto"/>
          <w:vMerge/>
          <w:vAlign w:val="center"/>
          <w:hideMark/>
        </w:tcPr>
        <w:p w:rsidR="00E31A83" w:rsidRPr="005A3173" w:rsidRDefault="00E31A8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31A83" w:rsidRPr="005A3173" w:rsidRDefault="00E31A83" w:rsidP="005A3173">
          <w:pPr>
            <w:pStyle w:val="Header"/>
            <w:spacing w:line="276" w:lineRule="auto"/>
            <w:rPr>
              <w:rFonts w:ascii="Calibri" w:eastAsia="MS Gothic" w:hAnsi="Calibri"/>
              <w:b/>
              <w:bCs/>
              <w:color w:val="4F81BD"/>
            </w:rPr>
          </w:pPr>
        </w:p>
      </w:tc>
    </w:tr>
  </w:tbl>
  <w:p w:rsidR="00E31A83" w:rsidRPr="007C0F57" w:rsidRDefault="00E31A8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31A83" w:rsidRPr="007C0F57" w:rsidRDefault="00E31A83" w:rsidP="007C0F57">
    <w:pPr>
      <w:pStyle w:val="Footer"/>
      <w:jc w:val="center"/>
      <w:rPr>
        <w:b/>
        <w:i/>
        <w:sz w:val="20"/>
        <w:szCs w:val="20"/>
      </w:rPr>
    </w:pPr>
    <w:r w:rsidRPr="007C0F57">
      <w:rPr>
        <w:b/>
        <w:i/>
        <w:sz w:val="20"/>
        <w:szCs w:val="20"/>
      </w:rPr>
      <w:t>Commercial-in-Confidence</w:t>
    </w:r>
  </w:p>
  <w:p w:rsidR="00E31A83" w:rsidRDefault="00E31A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EE" w:rsidRDefault="00C557EE">
      <w:r>
        <w:separator/>
      </w:r>
    </w:p>
    <w:p w:rsidR="00C557EE" w:rsidRDefault="00C557EE"/>
  </w:footnote>
  <w:footnote w:type="continuationSeparator" w:id="0">
    <w:p w:rsidR="00C557EE" w:rsidRDefault="00C557EE">
      <w:r>
        <w:continuationSeparator/>
      </w:r>
    </w:p>
    <w:p w:rsidR="00C557EE" w:rsidRDefault="00C557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31A83" w:rsidRPr="008E0D90" w:rsidTr="00A06225">
      <w:trPr>
        <w:trHeight w:val="151"/>
      </w:trPr>
      <w:tc>
        <w:tcPr>
          <w:tcW w:w="2389" w:type="pct"/>
          <w:tcBorders>
            <w:top w:val="nil"/>
            <w:left w:val="nil"/>
            <w:bottom w:val="single" w:sz="4" w:space="0" w:color="4F81BD"/>
            <w:right w:val="nil"/>
          </w:tcBorders>
        </w:tcPr>
        <w:p w:rsidR="00E31A83" w:rsidRPr="00A06225" w:rsidRDefault="00E31A83">
          <w:pPr>
            <w:pStyle w:val="Header"/>
            <w:spacing w:line="276" w:lineRule="auto"/>
            <w:rPr>
              <w:rFonts w:ascii="Cambria" w:eastAsia="MS Gothic" w:hAnsi="Cambria"/>
              <w:b/>
              <w:bCs/>
              <w:color w:val="4F81BD"/>
            </w:rPr>
          </w:pPr>
        </w:p>
      </w:tc>
      <w:tc>
        <w:tcPr>
          <w:tcW w:w="333" w:type="pct"/>
          <w:vMerge w:val="restart"/>
          <w:noWrap/>
          <w:vAlign w:val="center"/>
          <w:hideMark/>
        </w:tcPr>
        <w:p w:rsidR="00E31A83" w:rsidRPr="00A06225" w:rsidRDefault="00E31A8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31A83" w:rsidRPr="00A06225" w:rsidRDefault="00E31A83">
          <w:pPr>
            <w:pStyle w:val="Header"/>
            <w:spacing w:line="276" w:lineRule="auto"/>
            <w:rPr>
              <w:rFonts w:ascii="Cambria" w:eastAsia="MS Gothic" w:hAnsi="Cambria"/>
              <w:b/>
              <w:bCs/>
              <w:color w:val="4F81BD"/>
            </w:rPr>
          </w:pPr>
        </w:p>
      </w:tc>
    </w:tr>
    <w:tr w:rsidR="00E31A83" w:rsidRPr="008E0D90" w:rsidTr="00A06225">
      <w:trPr>
        <w:trHeight w:val="150"/>
      </w:trPr>
      <w:tc>
        <w:tcPr>
          <w:tcW w:w="2389" w:type="pct"/>
          <w:tcBorders>
            <w:top w:val="single" w:sz="4" w:space="0" w:color="4F81BD"/>
            <w:left w:val="nil"/>
            <w:bottom w:val="nil"/>
            <w:right w:val="nil"/>
          </w:tcBorders>
        </w:tcPr>
        <w:p w:rsidR="00E31A83" w:rsidRPr="00A06225" w:rsidRDefault="00E31A83">
          <w:pPr>
            <w:pStyle w:val="Header"/>
            <w:spacing w:line="276" w:lineRule="auto"/>
            <w:rPr>
              <w:rFonts w:ascii="Cambria" w:eastAsia="MS Gothic" w:hAnsi="Cambria"/>
              <w:b/>
              <w:bCs/>
              <w:color w:val="4F81BD"/>
            </w:rPr>
          </w:pPr>
        </w:p>
      </w:tc>
      <w:tc>
        <w:tcPr>
          <w:tcW w:w="0" w:type="auto"/>
          <w:vMerge/>
          <w:vAlign w:val="center"/>
          <w:hideMark/>
        </w:tcPr>
        <w:p w:rsidR="00E31A83" w:rsidRPr="00A06225" w:rsidRDefault="00E31A83">
          <w:pPr>
            <w:rPr>
              <w:rFonts w:ascii="Cambria" w:hAnsi="Cambria"/>
              <w:color w:val="4F81BD"/>
              <w:sz w:val="22"/>
              <w:szCs w:val="22"/>
            </w:rPr>
          </w:pPr>
        </w:p>
      </w:tc>
      <w:tc>
        <w:tcPr>
          <w:tcW w:w="2278" w:type="pct"/>
          <w:tcBorders>
            <w:top w:val="single" w:sz="4" w:space="0" w:color="4F81BD"/>
            <w:left w:val="nil"/>
            <w:bottom w:val="nil"/>
            <w:right w:val="nil"/>
          </w:tcBorders>
        </w:tcPr>
        <w:p w:rsidR="00E31A83" w:rsidRPr="00A06225" w:rsidRDefault="00E31A83">
          <w:pPr>
            <w:pStyle w:val="Header"/>
            <w:spacing w:line="276" w:lineRule="auto"/>
            <w:rPr>
              <w:rFonts w:ascii="Cambria" w:eastAsia="MS Gothic" w:hAnsi="Cambria"/>
              <w:b/>
              <w:bCs/>
              <w:color w:val="4F81BD"/>
            </w:rPr>
          </w:pPr>
        </w:p>
      </w:tc>
    </w:tr>
  </w:tbl>
  <w:p w:rsidR="00E31A83" w:rsidRDefault="00E31A83">
    <w:pPr>
      <w:pStyle w:val="Header"/>
    </w:pPr>
  </w:p>
  <w:p w:rsidR="00E31A83" w:rsidRDefault="00E31A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74" w:rsidRPr="009F75FC" w:rsidRDefault="00FA4F74" w:rsidP="00FA4F74">
    <w:pPr>
      <w:widowControl w:val="0"/>
      <w:tabs>
        <w:tab w:val="center" w:pos="4513"/>
        <w:tab w:val="right" w:pos="9026"/>
      </w:tabs>
      <w:jc w:val="center"/>
      <w:rPr>
        <w:rFonts w:asciiTheme="minorHAnsi" w:hAnsiTheme="minorHAnsi" w:cstheme="minorHAnsi"/>
        <w:i/>
        <w:snapToGrid w:val="0"/>
        <w:szCs w:val="20"/>
        <w:lang w:eastAsia="en-US"/>
      </w:rPr>
    </w:pPr>
    <w:r>
      <w:rPr>
        <w:rFonts w:asciiTheme="minorHAnsi" w:hAnsiTheme="minorHAnsi" w:cstheme="minorHAnsi"/>
        <w:i/>
        <w:snapToGrid w:val="0"/>
        <w:szCs w:val="20"/>
        <w:lang w:eastAsia="en-US"/>
      </w:rPr>
      <w:t xml:space="preserve">Public Summary Document </w:t>
    </w:r>
    <w:r w:rsidRPr="009F75FC">
      <w:rPr>
        <w:rFonts w:asciiTheme="minorHAnsi" w:hAnsiTheme="minorHAnsi" w:cstheme="minorHAnsi"/>
        <w:i/>
        <w:snapToGrid w:val="0"/>
        <w:szCs w:val="20"/>
        <w:lang w:eastAsia="en-US"/>
      </w:rPr>
      <w:t>– May 2019 PBAC Meeting</w:t>
    </w:r>
  </w:p>
  <w:p w:rsidR="00E31A83" w:rsidRPr="00FA4F74" w:rsidRDefault="00E31A83" w:rsidP="00FA4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EE" w:rsidRDefault="00C55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20471"/>
    <w:multiLevelType w:val="hybridMultilevel"/>
    <w:tmpl w:val="616AB8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F0FD5"/>
    <w:multiLevelType w:val="hybridMultilevel"/>
    <w:tmpl w:val="21A66498"/>
    <w:lvl w:ilvl="0" w:tplc="CB1204D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2A5D74"/>
    <w:multiLevelType w:val="hybridMultilevel"/>
    <w:tmpl w:val="69344C8A"/>
    <w:lvl w:ilvl="0" w:tplc="1FD449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D033C"/>
    <w:multiLevelType w:val="multilevel"/>
    <w:tmpl w:val="106EC4D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14"/>
  </w:num>
  <w:num w:numId="5">
    <w:abstractNumId w:val="15"/>
  </w:num>
  <w:num w:numId="6">
    <w:abstractNumId w:val="5"/>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13"/>
  </w:num>
  <w:num w:numId="19">
    <w:abstractNumId w:val="15"/>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2E2"/>
    <w:rsid w:val="0000335D"/>
    <w:rsid w:val="0001390D"/>
    <w:rsid w:val="0002464A"/>
    <w:rsid w:val="0003106B"/>
    <w:rsid w:val="000373D3"/>
    <w:rsid w:val="00040B73"/>
    <w:rsid w:val="000421A1"/>
    <w:rsid w:val="0004240E"/>
    <w:rsid w:val="00045E26"/>
    <w:rsid w:val="000514B5"/>
    <w:rsid w:val="00051DA3"/>
    <w:rsid w:val="00052FA8"/>
    <w:rsid w:val="00057A7E"/>
    <w:rsid w:val="00060E64"/>
    <w:rsid w:val="000666FA"/>
    <w:rsid w:val="00066755"/>
    <w:rsid w:val="0007112A"/>
    <w:rsid w:val="00077143"/>
    <w:rsid w:val="00082169"/>
    <w:rsid w:val="000969AD"/>
    <w:rsid w:val="000A35D8"/>
    <w:rsid w:val="000B1F40"/>
    <w:rsid w:val="000B558D"/>
    <w:rsid w:val="000C5BA1"/>
    <w:rsid w:val="000C6996"/>
    <w:rsid w:val="000D23BA"/>
    <w:rsid w:val="000D6F08"/>
    <w:rsid w:val="000D7DFA"/>
    <w:rsid w:val="000E055C"/>
    <w:rsid w:val="000E681E"/>
    <w:rsid w:val="000F0003"/>
    <w:rsid w:val="000F1671"/>
    <w:rsid w:val="000F4E6A"/>
    <w:rsid w:val="00104227"/>
    <w:rsid w:val="001107BF"/>
    <w:rsid w:val="001153EB"/>
    <w:rsid w:val="001207CD"/>
    <w:rsid w:val="0012417C"/>
    <w:rsid w:val="00127DF7"/>
    <w:rsid w:val="0013677C"/>
    <w:rsid w:val="00142395"/>
    <w:rsid w:val="00142714"/>
    <w:rsid w:val="001452ED"/>
    <w:rsid w:val="00146BD9"/>
    <w:rsid w:val="00156175"/>
    <w:rsid w:val="00161A63"/>
    <w:rsid w:val="00163329"/>
    <w:rsid w:val="00163ADB"/>
    <w:rsid w:val="00164623"/>
    <w:rsid w:val="00165B64"/>
    <w:rsid w:val="001830CE"/>
    <w:rsid w:val="0018643B"/>
    <w:rsid w:val="001879C8"/>
    <w:rsid w:val="0019221F"/>
    <w:rsid w:val="00196307"/>
    <w:rsid w:val="001A33EA"/>
    <w:rsid w:val="001B017F"/>
    <w:rsid w:val="001B2BBC"/>
    <w:rsid w:val="001B4F3D"/>
    <w:rsid w:val="001B5129"/>
    <w:rsid w:val="001C1195"/>
    <w:rsid w:val="001D3027"/>
    <w:rsid w:val="001E0D12"/>
    <w:rsid w:val="001F0CC1"/>
    <w:rsid w:val="001F1850"/>
    <w:rsid w:val="001F440F"/>
    <w:rsid w:val="00202147"/>
    <w:rsid w:val="00203FAC"/>
    <w:rsid w:val="00210A13"/>
    <w:rsid w:val="00213C50"/>
    <w:rsid w:val="00213CFB"/>
    <w:rsid w:val="00217BE1"/>
    <w:rsid w:val="00244AFD"/>
    <w:rsid w:val="00245FD3"/>
    <w:rsid w:val="00253855"/>
    <w:rsid w:val="00253921"/>
    <w:rsid w:val="002578FE"/>
    <w:rsid w:val="00262C14"/>
    <w:rsid w:val="00271BA1"/>
    <w:rsid w:val="002762FA"/>
    <w:rsid w:val="00277505"/>
    <w:rsid w:val="00280A4E"/>
    <w:rsid w:val="002824DE"/>
    <w:rsid w:val="00284ABB"/>
    <w:rsid w:val="0029458F"/>
    <w:rsid w:val="002A104C"/>
    <w:rsid w:val="002A4960"/>
    <w:rsid w:val="002B1AE6"/>
    <w:rsid w:val="002B1B41"/>
    <w:rsid w:val="002B2DE8"/>
    <w:rsid w:val="002B30F8"/>
    <w:rsid w:val="002B5596"/>
    <w:rsid w:val="002C212F"/>
    <w:rsid w:val="002D18A3"/>
    <w:rsid w:val="002D4543"/>
    <w:rsid w:val="002E3153"/>
    <w:rsid w:val="002E72CA"/>
    <w:rsid w:val="00300AD6"/>
    <w:rsid w:val="00303B9A"/>
    <w:rsid w:val="00304478"/>
    <w:rsid w:val="00316D4D"/>
    <w:rsid w:val="00317C6C"/>
    <w:rsid w:val="0032234F"/>
    <w:rsid w:val="0032342D"/>
    <w:rsid w:val="00326E79"/>
    <w:rsid w:val="00330E82"/>
    <w:rsid w:val="003319E9"/>
    <w:rsid w:val="0033518A"/>
    <w:rsid w:val="003367EF"/>
    <w:rsid w:val="00341AE4"/>
    <w:rsid w:val="00346B71"/>
    <w:rsid w:val="00357037"/>
    <w:rsid w:val="0036621A"/>
    <w:rsid w:val="00371B56"/>
    <w:rsid w:val="00373412"/>
    <w:rsid w:val="00385EB0"/>
    <w:rsid w:val="003872CF"/>
    <w:rsid w:val="0039782C"/>
    <w:rsid w:val="003A3432"/>
    <w:rsid w:val="003A5B4A"/>
    <w:rsid w:val="003A76DE"/>
    <w:rsid w:val="003B1C83"/>
    <w:rsid w:val="003B23C5"/>
    <w:rsid w:val="003B2A75"/>
    <w:rsid w:val="003B4445"/>
    <w:rsid w:val="003B6124"/>
    <w:rsid w:val="003C2FB5"/>
    <w:rsid w:val="003D4AC4"/>
    <w:rsid w:val="003D63B7"/>
    <w:rsid w:val="003E468B"/>
    <w:rsid w:val="003E4B51"/>
    <w:rsid w:val="003F3228"/>
    <w:rsid w:val="003F5638"/>
    <w:rsid w:val="003F5C8C"/>
    <w:rsid w:val="004058BC"/>
    <w:rsid w:val="004252EC"/>
    <w:rsid w:val="004444C1"/>
    <w:rsid w:val="00445431"/>
    <w:rsid w:val="004465BD"/>
    <w:rsid w:val="00451AD1"/>
    <w:rsid w:val="00455CCC"/>
    <w:rsid w:val="00460953"/>
    <w:rsid w:val="0046365E"/>
    <w:rsid w:val="0046487D"/>
    <w:rsid w:val="00466ADA"/>
    <w:rsid w:val="0046749D"/>
    <w:rsid w:val="00476245"/>
    <w:rsid w:val="00483035"/>
    <w:rsid w:val="0048407F"/>
    <w:rsid w:val="00485940"/>
    <w:rsid w:val="004934C4"/>
    <w:rsid w:val="00496FF8"/>
    <w:rsid w:val="0049722A"/>
    <w:rsid w:val="004A2484"/>
    <w:rsid w:val="004A5A85"/>
    <w:rsid w:val="004A71D1"/>
    <w:rsid w:val="004B4AA6"/>
    <w:rsid w:val="004B5640"/>
    <w:rsid w:val="004C1BD7"/>
    <w:rsid w:val="004C31FE"/>
    <w:rsid w:val="004C691D"/>
    <w:rsid w:val="004C6C07"/>
    <w:rsid w:val="004D04F9"/>
    <w:rsid w:val="004D4996"/>
    <w:rsid w:val="004E3562"/>
    <w:rsid w:val="004E692D"/>
    <w:rsid w:val="004F1BE7"/>
    <w:rsid w:val="004F368F"/>
    <w:rsid w:val="00501554"/>
    <w:rsid w:val="00503AD7"/>
    <w:rsid w:val="00514CD7"/>
    <w:rsid w:val="005241CE"/>
    <w:rsid w:val="005319B2"/>
    <w:rsid w:val="00532402"/>
    <w:rsid w:val="00532C74"/>
    <w:rsid w:val="00534E2E"/>
    <w:rsid w:val="00544552"/>
    <w:rsid w:val="00562E89"/>
    <w:rsid w:val="00565195"/>
    <w:rsid w:val="00577A03"/>
    <w:rsid w:val="00577C4D"/>
    <w:rsid w:val="00581932"/>
    <w:rsid w:val="005963BB"/>
    <w:rsid w:val="005A3173"/>
    <w:rsid w:val="005A3223"/>
    <w:rsid w:val="005A3DA3"/>
    <w:rsid w:val="005A52C4"/>
    <w:rsid w:val="005C1EE5"/>
    <w:rsid w:val="005C2755"/>
    <w:rsid w:val="005D03AB"/>
    <w:rsid w:val="005D03C3"/>
    <w:rsid w:val="005D5017"/>
    <w:rsid w:val="005E1333"/>
    <w:rsid w:val="005E5C7C"/>
    <w:rsid w:val="005F07D5"/>
    <w:rsid w:val="00601A91"/>
    <w:rsid w:val="00602BA3"/>
    <w:rsid w:val="00612E34"/>
    <w:rsid w:val="00614159"/>
    <w:rsid w:val="00617C00"/>
    <w:rsid w:val="006263BF"/>
    <w:rsid w:val="0062748A"/>
    <w:rsid w:val="006307E6"/>
    <w:rsid w:val="00630A2C"/>
    <w:rsid w:val="0063682E"/>
    <w:rsid w:val="006436CD"/>
    <w:rsid w:val="00643E5A"/>
    <w:rsid w:val="00651169"/>
    <w:rsid w:val="00653359"/>
    <w:rsid w:val="00653D69"/>
    <w:rsid w:val="006670BE"/>
    <w:rsid w:val="006700FD"/>
    <w:rsid w:val="00670A76"/>
    <w:rsid w:val="006711AA"/>
    <w:rsid w:val="00672B57"/>
    <w:rsid w:val="00675622"/>
    <w:rsid w:val="00685892"/>
    <w:rsid w:val="006906DB"/>
    <w:rsid w:val="00691E6C"/>
    <w:rsid w:val="00696129"/>
    <w:rsid w:val="00697CF2"/>
    <w:rsid w:val="006A12A5"/>
    <w:rsid w:val="006B04B0"/>
    <w:rsid w:val="006B0AB3"/>
    <w:rsid w:val="006B0D94"/>
    <w:rsid w:val="006B365A"/>
    <w:rsid w:val="006B485D"/>
    <w:rsid w:val="006C012C"/>
    <w:rsid w:val="006C5C11"/>
    <w:rsid w:val="006C708E"/>
    <w:rsid w:val="006D1117"/>
    <w:rsid w:val="006D6EC7"/>
    <w:rsid w:val="006E3D8F"/>
    <w:rsid w:val="006E6D7A"/>
    <w:rsid w:val="006E6DFF"/>
    <w:rsid w:val="006F5125"/>
    <w:rsid w:val="0070219C"/>
    <w:rsid w:val="00702B6F"/>
    <w:rsid w:val="00704B21"/>
    <w:rsid w:val="0071340B"/>
    <w:rsid w:val="007174BB"/>
    <w:rsid w:val="0072025D"/>
    <w:rsid w:val="00734A57"/>
    <w:rsid w:val="007353D3"/>
    <w:rsid w:val="00740B6B"/>
    <w:rsid w:val="007413C3"/>
    <w:rsid w:val="00745308"/>
    <w:rsid w:val="00746273"/>
    <w:rsid w:val="0075137F"/>
    <w:rsid w:val="00751FFD"/>
    <w:rsid w:val="0075275F"/>
    <w:rsid w:val="0076420C"/>
    <w:rsid w:val="007753C2"/>
    <w:rsid w:val="007779C4"/>
    <w:rsid w:val="00782D23"/>
    <w:rsid w:val="007838B8"/>
    <w:rsid w:val="007910AD"/>
    <w:rsid w:val="00793414"/>
    <w:rsid w:val="007A0F9F"/>
    <w:rsid w:val="007C0F57"/>
    <w:rsid w:val="007C40B6"/>
    <w:rsid w:val="007C729F"/>
    <w:rsid w:val="007C7DA2"/>
    <w:rsid w:val="007D6D4A"/>
    <w:rsid w:val="007E1D28"/>
    <w:rsid w:val="007F2641"/>
    <w:rsid w:val="007F7C36"/>
    <w:rsid w:val="0080107C"/>
    <w:rsid w:val="00806796"/>
    <w:rsid w:val="0081302C"/>
    <w:rsid w:val="008151D6"/>
    <w:rsid w:val="00826F6D"/>
    <w:rsid w:val="008306F3"/>
    <w:rsid w:val="008314E6"/>
    <w:rsid w:val="0083403E"/>
    <w:rsid w:val="008355DF"/>
    <w:rsid w:val="00835703"/>
    <w:rsid w:val="00840620"/>
    <w:rsid w:val="008427E8"/>
    <w:rsid w:val="00856DDD"/>
    <w:rsid w:val="00863E68"/>
    <w:rsid w:val="00882085"/>
    <w:rsid w:val="00883188"/>
    <w:rsid w:val="00897D58"/>
    <w:rsid w:val="00897F22"/>
    <w:rsid w:val="008A0789"/>
    <w:rsid w:val="008A1956"/>
    <w:rsid w:val="008A4937"/>
    <w:rsid w:val="008A50F1"/>
    <w:rsid w:val="008C0346"/>
    <w:rsid w:val="008D0CC3"/>
    <w:rsid w:val="008D14E7"/>
    <w:rsid w:val="008D1B5C"/>
    <w:rsid w:val="008D3C82"/>
    <w:rsid w:val="008D447E"/>
    <w:rsid w:val="008D749C"/>
    <w:rsid w:val="008D7509"/>
    <w:rsid w:val="008D7A41"/>
    <w:rsid w:val="008E3680"/>
    <w:rsid w:val="008E5870"/>
    <w:rsid w:val="008F1434"/>
    <w:rsid w:val="008F7355"/>
    <w:rsid w:val="00904CBB"/>
    <w:rsid w:val="009067B7"/>
    <w:rsid w:val="0091220E"/>
    <w:rsid w:val="009148CD"/>
    <w:rsid w:val="00930937"/>
    <w:rsid w:val="00933E6C"/>
    <w:rsid w:val="00936E15"/>
    <w:rsid w:val="00937958"/>
    <w:rsid w:val="00942160"/>
    <w:rsid w:val="009432C8"/>
    <w:rsid w:val="0095146F"/>
    <w:rsid w:val="00955364"/>
    <w:rsid w:val="009602C5"/>
    <w:rsid w:val="00962223"/>
    <w:rsid w:val="00964C58"/>
    <w:rsid w:val="0096669C"/>
    <w:rsid w:val="00966D0D"/>
    <w:rsid w:val="00974C21"/>
    <w:rsid w:val="0099307D"/>
    <w:rsid w:val="009A2061"/>
    <w:rsid w:val="009A4753"/>
    <w:rsid w:val="009B0F67"/>
    <w:rsid w:val="009C222D"/>
    <w:rsid w:val="009C3A9D"/>
    <w:rsid w:val="009C703C"/>
    <w:rsid w:val="009D3CAA"/>
    <w:rsid w:val="009E36FC"/>
    <w:rsid w:val="009E6EDB"/>
    <w:rsid w:val="009F4E46"/>
    <w:rsid w:val="009F5B65"/>
    <w:rsid w:val="009F5F2E"/>
    <w:rsid w:val="00A06225"/>
    <w:rsid w:val="00A128E6"/>
    <w:rsid w:val="00A13431"/>
    <w:rsid w:val="00A1770A"/>
    <w:rsid w:val="00A32E80"/>
    <w:rsid w:val="00A34E6C"/>
    <w:rsid w:val="00A36D5B"/>
    <w:rsid w:val="00A37C8D"/>
    <w:rsid w:val="00A43A4E"/>
    <w:rsid w:val="00A5273B"/>
    <w:rsid w:val="00A53A9D"/>
    <w:rsid w:val="00A55FEE"/>
    <w:rsid w:val="00A57635"/>
    <w:rsid w:val="00A62C1A"/>
    <w:rsid w:val="00A6426D"/>
    <w:rsid w:val="00A665C1"/>
    <w:rsid w:val="00A70622"/>
    <w:rsid w:val="00A70977"/>
    <w:rsid w:val="00A77613"/>
    <w:rsid w:val="00A8102C"/>
    <w:rsid w:val="00A8390C"/>
    <w:rsid w:val="00A90D9D"/>
    <w:rsid w:val="00A928BD"/>
    <w:rsid w:val="00AA4D1C"/>
    <w:rsid w:val="00AB2179"/>
    <w:rsid w:val="00AC193C"/>
    <w:rsid w:val="00AC5206"/>
    <w:rsid w:val="00AE11A5"/>
    <w:rsid w:val="00AE13E2"/>
    <w:rsid w:val="00AE22D3"/>
    <w:rsid w:val="00AE6EA5"/>
    <w:rsid w:val="00AF62DF"/>
    <w:rsid w:val="00AF68CC"/>
    <w:rsid w:val="00B07FCD"/>
    <w:rsid w:val="00B1059E"/>
    <w:rsid w:val="00B176C8"/>
    <w:rsid w:val="00B205AA"/>
    <w:rsid w:val="00B22E84"/>
    <w:rsid w:val="00B233B6"/>
    <w:rsid w:val="00B25F75"/>
    <w:rsid w:val="00B26B3F"/>
    <w:rsid w:val="00B3320A"/>
    <w:rsid w:val="00B43E90"/>
    <w:rsid w:val="00B44934"/>
    <w:rsid w:val="00B467DC"/>
    <w:rsid w:val="00B50F4A"/>
    <w:rsid w:val="00B5405F"/>
    <w:rsid w:val="00B56118"/>
    <w:rsid w:val="00B63584"/>
    <w:rsid w:val="00B6773F"/>
    <w:rsid w:val="00B801BA"/>
    <w:rsid w:val="00B81574"/>
    <w:rsid w:val="00B84D5C"/>
    <w:rsid w:val="00B977EF"/>
    <w:rsid w:val="00BA1786"/>
    <w:rsid w:val="00BA2F90"/>
    <w:rsid w:val="00BA4267"/>
    <w:rsid w:val="00BA479F"/>
    <w:rsid w:val="00BB353F"/>
    <w:rsid w:val="00BB69F5"/>
    <w:rsid w:val="00BB7EC3"/>
    <w:rsid w:val="00BC3518"/>
    <w:rsid w:val="00BC3E98"/>
    <w:rsid w:val="00BC4B9A"/>
    <w:rsid w:val="00BD784C"/>
    <w:rsid w:val="00BF3B50"/>
    <w:rsid w:val="00BF4CB6"/>
    <w:rsid w:val="00C00DA7"/>
    <w:rsid w:val="00C12768"/>
    <w:rsid w:val="00C14EEA"/>
    <w:rsid w:val="00C1658D"/>
    <w:rsid w:val="00C226DE"/>
    <w:rsid w:val="00C27B58"/>
    <w:rsid w:val="00C35996"/>
    <w:rsid w:val="00C4747E"/>
    <w:rsid w:val="00C47FC2"/>
    <w:rsid w:val="00C5342C"/>
    <w:rsid w:val="00C557EE"/>
    <w:rsid w:val="00C603D4"/>
    <w:rsid w:val="00C60553"/>
    <w:rsid w:val="00C6256A"/>
    <w:rsid w:val="00C6517F"/>
    <w:rsid w:val="00C77891"/>
    <w:rsid w:val="00C77CDE"/>
    <w:rsid w:val="00C91449"/>
    <w:rsid w:val="00C92D10"/>
    <w:rsid w:val="00C95653"/>
    <w:rsid w:val="00CC525E"/>
    <w:rsid w:val="00CC5C6A"/>
    <w:rsid w:val="00CD162D"/>
    <w:rsid w:val="00CD23DE"/>
    <w:rsid w:val="00CD3C2E"/>
    <w:rsid w:val="00CD7490"/>
    <w:rsid w:val="00CE10C4"/>
    <w:rsid w:val="00CE27B5"/>
    <w:rsid w:val="00CE5D96"/>
    <w:rsid w:val="00CF71B8"/>
    <w:rsid w:val="00CF79FE"/>
    <w:rsid w:val="00D0321E"/>
    <w:rsid w:val="00D03358"/>
    <w:rsid w:val="00D03F97"/>
    <w:rsid w:val="00D1455A"/>
    <w:rsid w:val="00D20EED"/>
    <w:rsid w:val="00D25AF5"/>
    <w:rsid w:val="00D31150"/>
    <w:rsid w:val="00D3138B"/>
    <w:rsid w:val="00D3280C"/>
    <w:rsid w:val="00D32DBD"/>
    <w:rsid w:val="00D3406A"/>
    <w:rsid w:val="00D35593"/>
    <w:rsid w:val="00D4572C"/>
    <w:rsid w:val="00D46206"/>
    <w:rsid w:val="00D469B2"/>
    <w:rsid w:val="00D5111C"/>
    <w:rsid w:val="00D542BE"/>
    <w:rsid w:val="00D579A3"/>
    <w:rsid w:val="00D73622"/>
    <w:rsid w:val="00D741EB"/>
    <w:rsid w:val="00D83605"/>
    <w:rsid w:val="00D84934"/>
    <w:rsid w:val="00D85FAB"/>
    <w:rsid w:val="00D91271"/>
    <w:rsid w:val="00DA2CB5"/>
    <w:rsid w:val="00DA4BAC"/>
    <w:rsid w:val="00DC3ABF"/>
    <w:rsid w:val="00DC3C30"/>
    <w:rsid w:val="00DD5B1D"/>
    <w:rsid w:val="00DE4B70"/>
    <w:rsid w:val="00DE6D27"/>
    <w:rsid w:val="00DF1962"/>
    <w:rsid w:val="00DF217D"/>
    <w:rsid w:val="00DF26A7"/>
    <w:rsid w:val="00E15627"/>
    <w:rsid w:val="00E164B3"/>
    <w:rsid w:val="00E16910"/>
    <w:rsid w:val="00E315A5"/>
    <w:rsid w:val="00E31A83"/>
    <w:rsid w:val="00E35FAA"/>
    <w:rsid w:val="00E36ED4"/>
    <w:rsid w:val="00E37F1F"/>
    <w:rsid w:val="00E42BDB"/>
    <w:rsid w:val="00E516B3"/>
    <w:rsid w:val="00E57EEB"/>
    <w:rsid w:val="00E62D94"/>
    <w:rsid w:val="00E63BF2"/>
    <w:rsid w:val="00E65E54"/>
    <w:rsid w:val="00E74106"/>
    <w:rsid w:val="00E7498B"/>
    <w:rsid w:val="00E80155"/>
    <w:rsid w:val="00E848C0"/>
    <w:rsid w:val="00E87C39"/>
    <w:rsid w:val="00E911E9"/>
    <w:rsid w:val="00E91B96"/>
    <w:rsid w:val="00E941A1"/>
    <w:rsid w:val="00E94D8C"/>
    <w:rsid w:val="00E95CE3"/>
    <w:rsid w:val="00EA2825"/>
    <w:rsid w:val="00EB0B63"/>
    <w:rsid w:val="00EB5088"/>
    <w:rsid w:val="00EC01D6"/>
    <w:rsid w:val="00ED1644"/>
    <w:rsid w:val="00ED2593"/>
    <w:rsid w:val="00ED7D9C"/>
    <w:rsid w:val="00EE3AA2"/>
    <w:rsid w:val="00EF44A0"/>
    <w:rsid w:val="00EF4FED"/>
    <w:rsid w:val="00F050BD"/>
    <w:rsid w:val="00F05657"/>
    <w:rsid w:val="00F14D69"/>
    <w:rsid w:val="00F23EDD"/>
    <w:rsid w:val="00F25578"/>
    <w:rsid w:val="00F258E5"/>
    <w:rsid w:val="00F26C16"/>
    <w:rsid w:val="00F300BC"/>
    <w:rsid w:val="00F3334E"/>
    <w:rsid w:val="00F36CCB"/>
    <w:rsid w:val="00F374E5"/>
    <w:rsid w:val="00F37F7C"/>
    <w:rsid w:val="00F43AF2"/>
    <w:rsid w:val="00F4719A"/>
    <w:rsid w:val="00F47281"/>
    <w:rsid w:val="00F5036B"/>
    <w:rsid w:val="00F50EC4"/>
    <w:rsid w:val="00F538D5"/>
    <w:rsid w:val="00F550CF"/>
    <w:rsid w:val="00F56FAC"/>
    <w:rsid w:val="00F57A6D"/>
    <w:rsid w:val="00F638CC"/>
    <w:rsid w:val="00F64CC1"/>
    <w:rsid w:val="00F719F4"/>
    <w:rsid w:val="00F72317"/>
    <w:rsid w:val="00F80475"/>
    <w:rsid w:val="00F81F09"/>
    <w:rsid w:val="00F8247A"/>
    <w:rsid w:val="00F8313E"/>
    <w:rsid w:val="00F8339E"/>
    <w:rsid w:val="00F83B53"/>
    <w:rsid w:val="00F95C70"/>
    <w:rsid w:val="00F9629A"/>
    <w:rsid w:val="00F96B04"/>
    <w:rsid w:val="00F97EFC"/>
    <w:rsid w:val="00FA31CF"/>
    <w:rsid w:val="00FA3E2C"/>
    <w:rsid w:val="00FA4F74"/>
    <w:rsid w:val="00FA5883"/>
    <w:rsid w:val="00FA6055"/>
    <w:rsid w:val="00FA6C21"/>
    <w:rsid w:val="00FB06E5"/>
    <w:rsid w:val="00FB1944"/>
    <w:rsid w:val="00FB322F"/>
    <w:rsid w:val="00FB442F"/>
    <w:rsid w:val="00FC1929"/>
    <w:rsid w:val="00FC5B46"/>
    <w:rsid w:val="00FD15CA"/>
    <w:rsid w:val="00FD6D8E"/>
    <w:rsid w:val="00FE0E94"/>
    <w:rsid w:val="00FF00BD"/>
    <w:rsid w:val="00FF1ED4"/>
    <w:rsid w:val="00FF2801"/>
    <w:rsid w:val="00FF5F1A"/>
    <w:rsid w:val="00FF7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5D3F27"/>
  <w15:docId w15:val="{1691AA2D-335B-43EE-9273-45C5AB8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 point,List Paragraph11,Recommendation,Section heading,Footnote,Bullet1,Bullet 1,Bulleted - 2,1. Bullet Blank,Table Legend,Styl moj,Akapit z listą1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 point Char,List Paragraph11 Char,Recommendation Char,Section heading Char,Footnote Char,Bullet1 Char,Bullet 1 Char,Bulleted - 2 Char,1. Bullet Blank Char,Styl moj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semiHidden/>
    <w:rsid w:val="004D04F9"/>
    <w:rPr>
      <w:sz w:val="24"/>
      <w:szCs w:val="24"/>
    </w:rPr>
  </w:style>
  <w:style w:type="paragraph" w:customStyle="1" w:styleId="Default">
    <w:name w:val="Default"/>
    <w:rsid w:val="00835703"/>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D85FA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6B44-CEB2-49BE-9EC7-18BA6299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3703</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3</cp:revision>
  <cp:lastPrinted>2019-10-20T22:13:00Z</cp:lastPrinted>
  <dcterms:created xsi:type="dcterms:W3CDTF">2019-10-18T01:19:00Z</dcterms:created>
  <dcterms:modified xsi:type="dcterms:W3CDTF">2019-10-20T22:13:00Z</dcterms:modified>
</cp:coreProperties>
</file>