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60730C" w:rsidRDefault="003030EA" w:rsidP="00711AC7">
      <w:pPr>
        <w:pStyle w:val="Title"/>
        <w:spacing w:before="120" w:after="160"/>
        <w:ind w:left="720" w:hanging="720"/>
        <w:rPr>
          <w:rFonts w:asciiTheme="minorHAnsi" w:hAnsiTheme="minorHAnsi"/>
          <w:sz w:val="36"/>
          <w:szCs w:val="36"/>
        </w:rPr>
      </w:pPr>
      <w:r w:rsidRPr="0060730C">
        <w:rPr>
          <w:rFonts w:asciiTheme="minorHAnsi" w:hAnsiTheme="minorHAnsi"/>
          <w:sz w:val="36"/>
          <w:szCs w:val="36"/>
        </w:rPr>
        <w:t>5</w:t>
      </w:r>
      <w:r w:rsidR="009F4EDC" w:rsidRPr="0060730C">
        <w:rPr>
          <w:rFonts w:asciiTheme="minorHAnsi" w:hAnsiTheme="minorHAnsi"/>
          <w:sz w:val="36"/>
          <w:szCs w:val="36"/>
        </w:rPr>
        <w:t>.17</w:t>
      </w:r>
      <w:r w:rsidR="006D6493" w:rsidRPr="0060730C">
        <w:rPr>
          <w:rFonts w:asciiTheme="minorHAnsi" w:hAnsiTheme="minorHAnsi"/>
          <w:sz w:val="36"/>
          <w:szCs w:val="36"/>
        </w:rPr>
        <w:tab/>
      </w:r>
      <w:r w:rsidR="004520D6" w:rsidRPr="0060730C">
        <w:rPr>
          <w:rFonts w:asciiTheme="minorHAnsi" w:hAnsiTheme="minorHAnsi"/>
          <w:sz w:val="36"/>
          <w:szCs w:val="36"/>
        </w:rPr>
        <w:t>TRASTUZUMAB</w:t>
      </w:r>
      <w:r w:rsidR="006D6493" w:rsidRPr="0060730C">
        <w:rPr>
          <w:rFonts w:asciiTheme="minorHAnsi" w:hAnsiTheme="minorHAnsi"/>
          <w:sz w:val="36"/>
          <w:szCs w:val="36"/>
        </w:rPr>
        <w:t xml:space="preserve"> </w:t>
      </w:r>
      <w:r w:rsidR="006D6493" w:rsidRPr="0060730C">
        <w:rPr>
          <w:rFonts w:asciiTheme="minorHAnsi" w:hAnsiTheme="minorHAnsi"/>
          <w:sz w:val="36"/>
          <w:szCs w:val="36"/>
        </w:rPr>
        <w:br/>
      </w:r>
      <w:r w:rsidR="004520D6" w:rsidRPr="0060730C">
        <w:rPr>
          <w:rFonts w:asciiTheme="minorHAnsi" w:hAnsiTheme="minorHAnsi"/>
          <w:sz w:val="36"/>
          <w:szCs w:val="36"/>
        </w:rPr>
        <w:t>Powder for I.V. infusion 150 mg</w:t>
      </w:r>
      <w:proofErr w:type="gramStart"/>
      <w:r w:rsidR="00012908" w:rsidRPr="0060730C">
        <w:rPr>
          <w:rFonts w:asciiTheme="minorHAnsi" w:hAnsiTheme="minorHAnsi"/>
          <w:sz w:val="36"/>
          <w:szCs w:val="36"/>
        </w:rPr>
        <w:t>,</w:t>
      </w:r>
      <w:proofErr w:type="gramEnd"/>
      <w:r w:rsidR="004520D6" w:rsidRPr="0060730C">
        <w:rPr>
          <w:rFonts w:asciiTheme="minorHAnsi" w:hAnsiTheme="minorHAnsi"/>
          <w:sz w:val="36"/>
          <w:szCs w:val="36"/>
        </w:rPr>
        <w:br/>
      </w:r>
      <w:proofErr w:type="spellStart"/>
      <w:r w:rsidR="00E138D6" w:rsidRPr="0060730C">
        <w:rPr>
          <w:rFonts w:asciiTheme="minorHAnsi" w:hAnsiTheme="minorHAnsi"/>
          <w:sz w:val="36"/>
          <w:szCs w:val="36"/>
        </w:rPr>
        <w:t>Ontruzant</w:t>
      </w:r>
      <w:proofErr w:type="spellEnd"/>
      <w:r w:rsidR="006D6493" w:rsidRPr="0060730C">
        <w:rPr>
          <w:rFonts w:asciiTheme="minorHAnsi" w:hAnsiTheme="minorHAnsi"/>
          <w:sz w:val="36"/>
          <w:szCs w:val="36"/>
          <w:vertAlign w:val="superscript"/>
        </w:rPr>
        <w:t>®</w:t>
      </w:r>
      <w:r w:rsidR="00E138D6" w:rsidRPr="0060730C">
        <w:rPr>
          <w:rFonts w:asciiTheme="minorHAnsi" w:hAnsiTheme="minorHAnsi"/>
          <w:sz w:val="36"/>
          <w:szCs w:val="36"/>
        </w:rPr>
        <w:t xml:space="preserve">, Merck Sharp &amp; </w:t>
      </w:r>
      <w:proofErr w:type="spellStart"/>
      <w:r w:rsidR="00E138D6" w:rsidRPr="0060730C">
        <w:rPr>
          <w:rFonts w:asciiTheme="minorHAnsi" w:hAnsiTheme="minorHAnsi"/>
          <w:sz w:val="36"/>
          <w:szCs w:val="36"/>
        </w:rPr>
        <w:t>Dohme</w:t>
      </w:r>
      <w:proofErr w:type="spellEnd"/>
      <w:r w:rsidR="00E138D6" w:rsidRPr="0060730C">
        <w:rPr>
          <w:rFonts w:asciiTheme="minorHAnsi" w:hAnsiTheme="minorHAnsi"/>
          <w:sz w:val="36"/>
          <w:szCs w:val="36"/>
        </w:rPr>
        <w:t xml:space="preserve"> (Australia) Pty Limited</w:t>
      </w:r>
    </w:p>
    <w:p w:rsidR="008A50F1" w:rsidRPr="0060730C" w:rsidRDefault="00CE10C4" w:rsidP="00706F2F">
      <w:pPr>
        <w:pStyle w:val="PBACHeading1"/>
        <w:spacing w:before="240" w:after="120"/>
        <w:ind w:left="709" w:hanging="709"/>
        <w:jc w:val="both"/>
        <w:rPr>
          <w:rFonts w:asciiTheme="minorHAnsi" w:hAnsiTheme="minorHAnsi"/>
          <w:sz w:val="32"/>
          <w:szCs w:val="32"/>
        </w:rPr>
      </w:pPr>
      <w:r w:rsidRPr="0060730C">
        <w:rPr>
          <w:rFonts w:asciiTheme="minorHAnsi" w:hAnsiTheme="minorHAnsi"/>
          <w:sz w:val="32"/>
          <w:szCs w:val="32"/>
        </w:rPr>
        <w:t xml:space="preserve">Purpose of </w:t>
      </w:r>
      <w:r w:rsidR="00021B3C" w:rsidRPr="0060730C">
        <w:rPr>
          <w:rFonts w:asciiTheme="minorHAnsi" w:hAnsiTheme="minorHAnsi"/>
          <w:sz w:val="32"/>
          <w:szCs w:val="32"/>
        </w:rPr>
        <w:t>A</w:t>
      </w:r>
      <w:r w:rsidR="0004240E" w:rsidRPr="0060730C">
        <w:rPr>
          <w:rFonts w:asciiTheme="minorHAnsi" w:hAnsiTheme="minorHAnsi"/>
          <w:sz w:val="32"/>
          <w:szCs w:val="32"/>
        </w:rPr>
        <w:t>pplication</w:t>
      </w:r>
    </w:p>
    <w:p w:rsidR="006A12A5" w:rsidRPr="0060730C" w:rsidRDefault="00221309" w:rsidP="00706F2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 xml:space="preserve">The minor submission sought </w:t>
      </w:r>
      <w:r w:rsidR="00980BC7" w:rsidRPr="0060730C">
        <w:rPr>
          <w:rFonts w:asciiTheme="minorHAnsi" w:eastAsiaTheme="minorHAnsi" w:hAnsiTheme="minorHAnsi" w:cstheme="minorBidi"/>
          <w:snapToGrid/>
          <w:sz w:val="24"/>
          <w:szCs w:val="22"/>
        </w:rPr>
        <w:t>a Restricted Benefit</w:t>
      </w:r>
      <w:r w:rsidR="00012623" w:rsidRPr="0060730C">
        <w:rPr>
          <w:rFonts w:asciiTheme="minorHAnsi" w:eastAsiaTheme="minorHAnsi" w:hAnsiTheme="minorHAnsi" w:cstheme="minorBidi"/>
          <w:snapToGrid/>
          <w:sz w:val="24"/>
          <w:szCs w:val="22"/>
        </w:rPr>
        <w:t xml:space="preserve"> </w:t>
      </w:r>
      <w:r w:rsidRPr="0060730C">
        <w:rPr>
          <w:rFonts w:asciiTheme="minorHAnsi" w:eastAsiaTheme="minorHAnsi" w:hAnsiTheme="minorHAnsi" w:cstheme="minorBidi"/>
          <w:snapToGrid/>
          <w:sz w:val="24"/>
          <w:szCs w:val="22"/>
        </w:rPr>
        <w:t>listing for a ne</w:t>
      </w:r>
      <w:r w:rsidR="00AF0F3C" w:rsidRPr="0060730C">
        <w:rPr>
          <w:rFonts w:asciiTheme="minorHAnsi" w:eastAsiaTheme="minorHAnsi" w:hAnsiTheme="minorHAnsi" w:cstheme="minorBidi"/>
          <w:snapToGrid/>
          <w:sz w:val="24"/>
          <w:szCs w:val="22"/>
        </w:rPr>
        <w:t>w biosimilar</w:t>
      </w:r>
      <w:r w:rsidR="00980BC7" w:rsidRPr="0060730C">
        <w:rPr>
          <w:rFonts w:asciiTheme="minorHAnsi" w:eastAsiaTheme="minorHAnsi" w:hAnsiTheme="minorHAnsi" w:cstheme="minorBidi"/>
          <w:snapToGrid/>
          <w:sz w:val="24"/>
          <w:szCs w:val="22"/>
        </w:rPr>
        <w:t xml:space="preserve"> brand of </w:t>
      </w:r>
      <w:proofErr w:type="spellStart"/>
      <w:r w:rsidR="00980BC7" w:rsidRPr="0060730C">
        <w:rPr>
          <w:rFonts w:asciiTheme="minorHAnsi" w:eastAsiaTheme="minorHAnsi" w:hAnsiTheme="minorHAnsi" w:cstheme="minorBidi"/>
          <w:snapToGrid/>
          <w:sz w:val="24"/>
          <w:szCs w:val="22"/>
        </w:rPr>
        <w:t>trastuzumab</w:t>
      </w:r>
      <w:proofErr w:type="spellEnd"/>
      <w:r w:rsidR="00980BC7" w:rsidRPr="0060730C">
        <w:rPr>
          <w:rFonts w:asciiTheme="minorHAnsi" w:eastAsiaTheme="minorHAnsi" w:hAnsiTheme="minorHAnsi" w:cstheme="minorBidi"/>
          <w:snapToGrid/>
          <w:sz w:val="24"/>
          <w:szCs w:val="22"/>
        </w:rPr>
        <w:t xml:space="preserve"> (</w:t>
      </w:r>
      <w:proofErr w:type="spellStart"/>
      <w:r w:rsidR="00980BC7"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w:t>
      </w:r>
      <w:r w:rsidR="00012623" w:rsidRPr="0060730C">
        <w:rPr>
          <w:rFonts w:asciiTheme="minorHAnsi" w:eastAsiaTheme="minorHAnsi" w:hAnsiTheme="minorHAnsi" w:cstheme="minorBidi"/>
          <w:snapToGrid/>
          <w:sz w:val="24"/>
          <w:szCs w:val="22"/>
        </w:rPr>
        <w:t>.</w:t>
      </w:r>
    </w:p>
    <w:p w:rsidR="006A12A5" w:rsidRPr="0060730C" w:rsidRDefault="006A12A5" w:rsidP="00706F2F">
      <w:pPr>
        <w:pStyle w:val="PBACHeading1"/>
        <w:spacing w:before="240" w:after="120"/>
        <w:ind w:left="709" w:hanging="709"/>
        <w:jc w:val="both"/>
        <w:rPr>
          <w:rFonts w:asciiTheme="minorHAnsi" w:hAnsiTheme="minorHAnsi"/>
          <w:sz w:val="32"/>
          <w:szCs w:val="32"/>
        </w:rPr>
      </w:pPr>
      <w:r w:rsidRPr="0060730C">
        <w:rPr>
          <w:rFonts w:asciiTheme="minorHAnsi" w:hAnsiTheme="minorHAnsi"/>
          <w:sz w:val="32"/>
          <w:szCs w:val="32"/>
        </w:rPr>
        <w:t>Requested listing</w:t>
      </w:r>
    </w:p>
    <w:p w:rsidR="00826F6D" w:rsidRPr="0060730C" w:rsidRDefault="00EF44A0"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 xml:space="preserve">The submission </w:t>
      </w:r>
      <w:r w:rsidR="00FF2801" w:rsidRPr="0060730C">
        <w:rPr>
          <w:rFonts w:asciiTheme="minorHAnsi" w:eastAsiaTheme="minorHAnsi" w:hAnsiTheme="minorHAnsi" w:cstheme="minorBidi"/>
          <w:snapToGrid/>
          <w:sz w:val="24"/>
          <w:szCs w:val="22"/>
        </w:rPr>
        <w:t>requested</w:t>
      </w:r>
      <w:r w:rsidRPr="0060730C">
        <w:rPr>
          <w:rFonts w:asciiTheme="minorHAnsi" w:eastAsiaTheme="minorHAnsi" w:hAnsiTheme="minorHAnsi" w:cstheme="minorBidi"/>
          <w:snapToGrid/>
          <w:sz w:val="24"/>
          <w:szCs w:val="22"/>
        </w:rPr>
        <w:t xml:space="preserve"> listing</w:t>
      </w:r>
      <w:r w:rsidR="00980BC7" w:rsidRPr="0060730C">
        <w:rPr>
          <w:rFonts w:asciiTheme="minorHAnsi" w:eastAsiaTheme="minorHAnsi" w:hAnsiTheme="minorHAnsi" w:cstheme="minorBidi"/>
          <w:snapToGrid/>
          <w:sz w:val="24"/>
          <w:szCs w:val="22"/>
        </w:rPr>
        <w:t xml:space="preserve"> </w:t>
      </w:r>
      <w:proofErr w:type="spellStart"/>
      <w:r w:rsidR="00980BC7" w:rsidRPr="0060730C">
        <w:rPr>
          <w:rFonts w:asciiTheme="minorHAnsi" w:eastAsiaTheme="minorHAnsi" w:hAnsiTheme="minorHAnsi" w:cstheme="minorBidi"/>
          <w:snapToGrid/>
          <w:sz w:val="24"/>
          <w:szCs w:val="22"/>
        </w:rPr>
        <w:t>Ontruzant</w:t>
      </w:r>
      <w:proofErr w:type="spellEnd"/>
      <w:r w:rsidR="00221309" w:rsidRPr="0060730C">
        <w:rPr>
          <w:rFonts w:asciiTheme="minorHAnsi" w:eastAsiaTheme="minorHAnsi" w:hAnsiTheme="minorHAnsi" w:cstheme="minorBidi"/>
          <w:snapToGrid/>
          <w:sz w:val="24"/>
          <w:szCs w:val="22"/>
        </w:rPr>
        <w:t xml:space="preserve"> for all indications for </w:t>
      </w:r>
      <w:r w:rsidR="00AF4607" w:rsidRPr="0060730C">
        <w:rPr>
          <w:rFonts w:asciiTheme="minorHAnsi" w:eastAsiaTheme="minorHAnsi" w:hAnsiTheme="minorHAnsi" w:cstheme="minorBidi"/>
          <w:snapToGrid/>
          <w:sz w:val="24"/>
          <w:szCs w:val="22"/>
        </w:rPr>
        <w:t>which the reference brand Herceptin</w:t>
      </w:r>
      <w:r w:rsidR="00221309" w:rsidRPr="0060730C">
        <w:rPr>
          <w:rFonts w:asciiTheme="minorHAnsi" w:eastAsiaTheme="minorHAnsi" w:hAnsiTheme="minorHAnsi" w:cstheme="minorBidi"/>
          <w:snapToGrid/>
          <w:sz w:val="24"/>
          <w:szCs w:val="22"/>
        </w:rPr>
        <w:t xml:space="preserve"> is currently PBS listed: </w:t>
      </w:r>
    </w:p>
    <w:p w:rsidR="00A57911" w:rsidRPr="0060730C" w:rsidRDefault="00DD09F9" w:rsidP="00706F2F">
      <w:pPr>
        <w:pStyle w:val="ListParagraph"/>
        <w:widowControl/>
        <w:numPr>
          <w:ilvl w:val="1"/>
          <w:numId w:val="21"/>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HER2-positive early, locally advanced and metastatic breast cancer (MBC)</w:t>
      </w:r>
    </w:p>
    <w:p w:rsidR="007E2CEC" w:rsidRPr="0060730C" w:rsidRDefault="00DD09F9" w:rsidP="00706F2F">
      <w:pPr>
        <w:pStyle w:val="ListParagraph"/>
        <w:widowControl/>
        <w:numPr>
          <w:ilvl w:val="1"/>
          <w:numId w:val="21"/>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 xml:space="preserve">HER2-positive </w:t>
      </w:r>
      <w:r w:rsidR="007E2CEC" w:rsidRPr="0060730C">
        <w:rPr>
          <w:rFonts w:asciiTheme="minorHAnsi" w:eastAsiaTheme="minorHAnsi" w:hAnsiTheme="minorHAnsi" w:cstheme="minorBidi"/>
          <w:snapToGrid/>
          <w:sz w:val="24"/>
          <w:szCs w:val="22"/>
        </w:rPr>
        <w:t>metastatic gastric cancer (MGC)</w:t>
      </w:r>
    </w:p>
    <w:p w:rsidR="009469EF" w:rsidRDefault="009469EF"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Ontruzant</w:t>
      </w:r>
      <w:proofErr w:type="spellEnd"/>
      <w:r>
        <w:rPr>
          <w:rFonts w:asciiTheme="minorHAnsi" w:eastAsiaTheme="minorHAnsi" w:hAnsiTheme="minorHAnsi" w:cstheme="minorBidi"/>
          <w:snapToGrid/>
          <w:sz w:val="24"/>
          <w:szCs w:val="22"/>
        </w:rPr>
        <w:t xml:space="preserve"> is TGA approved with the same indications as the reference brand, Herceptin: </w:t>
      </w:r>
      <w:r w:rsidRPr="004925D4">
        <w:rPr>
          <w:rFonts w:asciiTheme="minorHAnsi" w:eastAsiaTheme="minorHAnsi" w:hAnsiTheme="minorHAnsi" w:cstheme="minorBidi"/>
          <w:snapToGrid/>
          <w:sz w:val="24"/>
          <w:szCs w:val="22"/>
        </w:rPr>
        <w:t>early breast cancer, locally advanced breast cancer, metastatic breast cancer, and advanced gastric cancer.</w:t>
      </w:r>
    </w:p>
    <w:p w:rsidR="00E737F0" w:rsidRPr="0060730C" w:rsidRDefault="00004AE6"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T</w:t>
      </w:r>
      <w:r w:rsidR="007E2CEC" w:rsidRPr="0060730C">
        <w:rPr>
          <w:rFonts w:asciiTheme="minorHAnsi" w:eastAsiaTheme="minorHAnsi" w:hAnsiTheme="minorHAnsi" w:cstheme="minorBidi"/>
          <w:snapToGrid/>
          <w:sz w:val="24"/>
          <w:szCs w:val="22"/>
        </w:rPr>
        <w:t>he sponsor requested listing on the following schedules:  Chemotherapy items for Public hospital use</w:t>
      </w:r>
      <w:r w:rsidR="00981926">
        <w:rPr>
          <w:rFonts w:asciiTheme="minorHAnsi" w:eastAsiaTheme="minorHAnsi" w:hAnsiTheme="minorHAnsi" w:cstheme="minorBidi"/>
          <w:snapToGrid/>
          <w:sz w:val="24"/>
          <w:szCs w:val="22"/>
        </w:rPr>
        <w:t xml:space="preserve"> and</w:t>
      </w:r>
      <w:r w:rsidR="007E2CEC" w:rsidRPr="0060730C">
        <w:rPr>
          <w:rFonts w:asciiTheme="minorHAnsi" w:eastAsiaTheme="minorHAnsi" w:hAnsiTheme="minorHAnsi" w:cstheme="minorBidi"/>
          <w:snapToGrid/>
          <w:sz w:val="24"/>
          <w:szCs w:val="22"/>
        </w:rPr>
        <w:t xml:space="preserve"> Chemotherapy items for Private hospital use</w:t>
      </w:r>
      <w:r w:rsidR="00981926">
        <w:rPr>
          <w:rFonts w:asciiTheme="minorHAnsi" w:eastAsiaTheme="minorHAnsi" w:hAnsiTheme="minorHAnsi" w:cstheme="minorBidi"/>
          <w:snapToGrid/>
          <w:sz w:val="24"/>
          <w:szCs w:val="22"/>
        </w:rPr>
        <w:t xml:space="preserve">. </w:t>
      </w:r>
      <w:r w:rsidR="00623F8E" w:rsidRPr="0060730C">
        <w:rPr>
          <w:rFonts w:asciiTheme="minorHAnsi" w:eastAsiaTheme="minorHAnsi" w:hAnsiTheme="minorHAnsi" w:cstheme="minorBidi"/>
          <w:snapToGrid/>
          <w:sz w:val="24"/>
          <w:szCs w:val="22"/>
        </w:rPr>
        <w:t>The minor submission only included</w:t>
      </w:r>
      <w:r w:rsidR="00E737F0" w:rsidRPr="0060730C">
        <w:rPr>
          <w:rFonts w:asciiTheme="minorHAnsi" w:eastAsiaTheme="minorHAnsi" w:hAnsiTheme="minorHAnsi" w:cstheme="minorBidi"/>
          <w:snapToGrid/>
          <w:sz w:val="24"/>
          <w:szCs w:val="22"/>
        </w:rPr>
        <w:t xml:space="preserve"> essential elements</w:t>
      </w:r>
      <w:r w:rsidR="003030EA" w:rsidRPr="0060730C">
        <w:rPr>
          <w:rFonts w:asciiTheme="minorHAnsi" w:eastAsiaTheme="minorHAnsi" w:hAnsiTheme="minorHAnsi" w:cstheme="minorBidi"/>
          <w:snapToGrid/>
          <w:sz w:val="24"/>
          <w:szCs w:val="22"/>
        </w:rPr>
        <w:t xml:space="preserve"> </w:t>
      </w:r>
      <w:r w:rsidR="00E737F0" w:rsidRPr="0060730C">
        <w:rPr>
          <w:rFonts w:asciiTheme="minorHAnsi" w:eastAsiaTheme="minorHAnsi" w:hAnsiTheme="minorHAnsi" w:cstheme="minorBidi"/>
          <w:snapToGrid/>
          <w:sz w:val="24"/>
          <w:szCs w:val="22"/>
        </w:rPr>
        <w:t>of the requested listing</w:t>
      </w:r>
      <w:r w:rsidR="00623F8E" w:rsidRPr="0060730C">
        <w:rPr>
          <w:rFonts w:asciiTheme="minorHAnsi" w:eastAsiaTheme="minorHAnsi" w:hAnsiTheme="minorHAnsi" w:cstheme="minorBidi"/>
          <w:snapToGrid/>
          <w:sz w:val="24"/>
          <w:szCs w:val="22"/>
        </w:rPr>
        <w:t>;</w:t>
      </w:r>
      <w:r w:rsidR="00E737F0" w:rsidRPr="0060730C">
        <w:rPr>
          <w:rFonts w:asciiTheme="minorHAnsi" w:eastAsiaTheme="minorHAnsi" w:hAnsiTheme="minorHAnsi" w:cstheme="minorBidi"/>
          <w:snapToGrid/>
          <w:sz w:val="24"/>
          <w:szCs w:val="22"/>
        </w:rPr>
        <w:t xml:space="preserve"> there was no </w:t>
      </w:r>
      <w:r w:rsidR="00623F8E" w:rsidRPr="0060730C">
        <w:rPr>
          <w:rFonts w:asciiTheme="minorHAnsi" w:eastAsiaTheme="minorHAnsi" w:hAnsiTheme="minorHAnsi" w:cstheme="minorBidi"/>
          <w:snapToGrid/>
          <w:sz w:val="24"/>
          <w:szCs w:val="22"/>
        </w:rPr>
        <w:t xml:space="preserve">restriction wording </w:t>
      </w:r>
      <w:r w:rsidR="00201FF8" w:rsidRPr="0060730C">
        <w:rPr>
          <w:rFonts w:asciiTheme="minorHAnsi" w:eastAsiaTheme="minorHAnsi" w:hAnsiTheme="minorHAnsi" w:cstheme="minorBidi"/>
          <w:snapToGrid/>
          <w:sz w:val="24"/>
          <w:szCs w:val="22"/>
        </w:rPr>
        <w:t>proposed</w:t>
      </w:r>
      <w:r w:rsidR="00623F8E" w:rsidRPr="0060730C">
        <w:rPr>
          <w:rFonts w:asciiTheme="minorHAnsi" w:eastAsiaTheme="minorHAnsi" w:hAnsiTheme="minorHAnsi" w:cstheme="minorBidi"/>
          <w:snapToGrid/>
          <w:sz w:val="24"/>
          <w:szCs w:val="22"/>
        </w:rPr>
        <w:t xml:space="preserve">. </w:t>
      </w:r>
    </w:p>
    <w:p w:rsidR="00EE241C" w:rsidRPr="0060730C" w:rsidRDefault="00EE241C"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The requested dispensed price for maximum quantity was calculated based on the current list price for Herceptin and account</w:t>
      </w:r>
      <w:r w:rsidR="00201FF8" w:rsidRPr="0060730C">
        <w:rPr>
          <w:rFonts w:asciiTheme="minorHAnsi" w:eastAsiaTheme="minorHAnsi" w:hAnsiTheme="minorHAnsi" w:cstheme="minorBidi"/>
          <w:snapToGrid/>
          <w:sz w:val="24"/>
          <w:szCs w:val="22"/>
        </w:rPr>
        <w:t>ed</w:t>
      </w:r>
      <w:r w:rsidRPr="0060730C">
        <w:rPr>
          <w:rFonts w:asciiTheme="minorHAnsi" w:eastAsiaTheme="minorHAnsi" w:hAnsiTheme="minorHAnsi" w:cstheme="minorBidi"/>
          <w:snapToGrid/>
          <w:sz w:val="24"/>
          <w:szCs w:val="22"/>
        </w:rPr>
        <w:t xml:space="preserve"> for the 25% statutory price redu</w:t>
      </w:r>
      <w:r w:rsidR="00D3317B" w:rsidRPr="0060730C">
        <w:rPr>
          <w:rFonts w:asciiTheme="minorHAnsi" w:eastAsiaTheme="minorHAnsi" w:hAnsiTheme="minorHAnsi" w:cstheme="minorBidi"/>
          <w:snapToGrid/>
          <w:sz w:val="24"/>
          <w:szCs w:val="22"/>
        </w:rPr>
        <w:t xml:space="preserve">ction that would occur if </w:t>
      </w:r>
      <w:proofErr w:type="spellStart"/>
      <w:r w:rsidR="00D3317B"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 xml:space="preserve"> is listed on the PBS. </w:t>
      </w:r>
    </w:p>
    <w:p w:rsidR="0026539F" w:rsidRPr="0060730C" w:rsidRDefault="00464361"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 xml:space="preserve">The sponsor </w:t>
      </w:r>
      <w:r w:rsidR="00D3317B" w:rsidRPr="0060730C">
        <w:rPr>
          <w:rFonts w:asciiTheme="minorHAnsi" w:eastAsiaTheme="minorHAnsi" w:hAnsiTheme="minorHAnsi" w:cstheme="minorBidi"/>
          <w:snapToGrid/>
          <w:sz w:val="24"/>
          <w:szCs w:val="22"/>
        </w:rPr>
        <w:t xml:space="preserve">requested that </w:t>
      </w:r>
      <w:proofErr w:type="spellStart"/>
      <w:r w:rsidR="00D3317B" w:rsidRPr="0060730C">
        <w:rPr>
          <w:rFonts w:asciiTheme="minorHAnsi" w:eastAsiaTheme="minorHAnsi" w:hAnsiTheme="minorHAnsi" w:cstheme="minorBidi"/>
          <w:snapToGrid/>
          <w:sz w:val="24"/>
          <w:szCs w:val="22"/>
        </w:rPr>
        <w:t>Ontruzant</w:t>
      </w:r>
      <w:proofErr w:type="spellEnd"/>
      <w:r w:rsidR="00D3317B" w:rsidRPr="0060730C">
        <w:rPr>
          <w:rFonts w:asciiTheme="minorHAnsi" w:eastAsiaTheme="minorHAnsi" w:hAnsiTheme="minorHAnsi" w:cstheme="minorBidi"/>
          <w:snapToGrid/>
          <w:sz w:val="24"/>
          <w:szCs w:val="22"/>
        </w:rPr>
        <w:t xml:space="preserve"> </w:t>
      </w:r>
      <w:proofErr w:type="gramStart"/>
      <w:r w:rsidR="00D3317B" w:rsidRPr="0060730C">
        <w:rPr>
          <w:rFonts w:asciiTheme="minorHAnsi" w:eastAsiaTheme="minorHAnsi" w:hAnsiTheme="minorHAnsi" w:cstheme="minorBidi"/>
          <w:snapToGrid/>
          <w:sz w:val="24"/>
          <w:szCs w:val="22"/>
        </w:rPr>
        <w:t>be listed</w:t>
      </w:r>
      <w:proofErr w:type="gramEnd"/>
      <w:r w:rsidR="00D3317B" w:rsidRPr="0060730C">
        <w:rPr>
          <w:rFonts w:asciiTheme="minorHAnsi" w:eastAsiaTheme="minorHAnsi" w:hAnsiTheme="minorHAnsi" w:cstheme="minorBidi"/>
          <w:snapToGrid/>
          <w:sz w:val="24"/>
          <w:szCs w:val="22"/>
        </w:rPr>
        <w:t xml:space="preserve"> on the PBS with a Restricted Benefit listing across all indications and treatment phases to encourage biosimilar uptake</w:t>
      </w:r>
      <w:r w:rsidR="0060730C">
        <w:rPr>
          <w:rFonts w:asciiTheme="minorHAnsi" w:eastAsiaTheme="minorHAnsi" w:hAnsiTheme="minorHAnsi" w:cstheme="minorBidi"/>
          <w:snapToGrid/>
          <w:sz w:val="24"/>
          <w:szCs w:val="22"/>
        </w:rPr>
        <w:t xml:space="preserve">. </w:t>
      </w:r>
      <w:r w:rsidR="00D3317B" w:rsidRPr="0060730C">
        <w:rPr>
          <w:rFonts w:asciiTheme="minorHAnsi" w:eastAsiaTheme="minorHAnsi" w:hAnsiTheme="minorHAnsi" w:cstheme="minorBidi"/>
          <w:snapToGrid/>
          <w:sz w:val="24"/>
          <w:szCs w:val="22"/>
        </w:rPr>
        <w:t xml:space="preserve">The submission did not specifically request that </w:t>
      </w:r>
      <w:proofErr w:type="spellStart"/>
      <w:r w:rsidR="00D3317B" w:rsidRPr="0060730C">
        <w:rPr>
          <w:rFonts w:asciiTheme="minorHAnsi" w:eastAsiaTheme="minorHAnsi" w:hAnsiTheme="minorHAnsi" w:cstheme="minorBidi"/>
          <w:snapToGrid/>
          <w:sz w:val="24"/>
          <w:szCs w:val="22"/>
        </w:rPr>
        <w:t>Ontruzant</w:t>
      </w:r>
      <w:proofErr w:type="spellEnd"/>
      <w:r w:rsidR="007E2CEC" w:rsidRPr="0060730C">
        <w:rPr>
          <w:rFonts w:asciiTheme="minorHAnsi" w:eastAsiaTheme="minorHAnsi" w:hAnsiTheme="minorHAnsi" w:cstheme="minorBidi"/>
          <w:snapToGrid/>
          <w:sz w:val="24"/>
          <w:szCs w:val="22"/>
        </w:rPr>
        <w:t xml:space="preserve"> be ‘a’ flagge</w:t>
      </w:r>
      <w:r w:rsidR="00D3317B" w:rsidRPr="0060730C">
        <w:rPr>
          <w:rFonts w:asciiTheme="minorHAnsi" w:eastAsiaTheme="minorHAnsi" w:hAnsiTheme="minorHAnsi" w:cstheme="minorBidi"/>
          <w:snapToGrid/>
          <w:sz w:val="24"/>
          <w:szCs w:val="22"/>
        </w:rPr>
        <w:t>d against the reference product.</w:t>
      </w:r>
    </w:p>
    <w:p w:rsidR="00A7789A" w:rsidRPr="0060730C" w:rsidRDefault="00A7789A"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The item codes r</w:t>
      </w:r>
      <w:r w:rsidR="00E67658" w:rsidRPr="0060730C">
        <w:rPr>
          <w:rFonts w:asciiTheme="minorHAnsi" w:eastAsiaTheme="minorHAnsi" w:hAnsiTheme="minorHAnsi" w:cstheme="minorBidi"/>
          <w:snapToGrid/>
          <w:sz w:val="24"/>
          <w:szCs w:val="22"/>
        </w:rPr>
        <w:t xml:space="preserve">elating to </w:t>
      </w:r>
      <w:r w:rsidR="006236A2" w:rsidRPr="0060730C">
        <w:rPr>
          <w:rFonts w:asciiTheme="minorHAnsi" w:eastAsiaTheme="minorHAnsi" w:hAnsiTheme="minorHAnsi" w:cstheme="minorBidi"/>
          <w:snapToGrid/>
          <w:sz w:val="24"/>
          <w:szCs w:val="22"/>
        </w:rPr>
        <w:t xml:space="preserve">the </w:t>
      </w:r>
      <w:r w:rsidR="00E67658" w:rsidRPr="0060730C">
        <w:rPr>
          <w:rFonts w:asciiTheme="minorHAnsi" w:eastAsiaTheme="minorHAnsi" w:hAnsiTheme="minorHAnsi" w:cstheme="minorBidi"/>
          <w:snapToGrid/>
          <w:sz w:val="24"/>
          <w:szCs w:val="22"/>
        </w:rPr>
        <w:t>Herceptin SC</w:t>
      </w:r>
      <w:r w:rsidR="00201FF8" w:rsidRPr="0060730C">
        <w:rPr>
          <w:rFonts w:asciiTheme="minorHAnsi" w:eastAsiaTheme="minorHAnsi" w:hAnsiTheme="minorHAnsi" w:cstheme="minorBidi"/>
          <w:snapToGrid/>
          <w:sz w:val="24"/>
          <w:szCs w:val="22"/>
        </w:rPr>
        <w:t xml:space="preserve"> (subcutaneous injection)</w:t>
      </w:r>
      <w:r w:rsidR="006236A2" w:rsidRPr="0060730C">
        <w:rPr>
          <w:rFonts w:asciiTheme="minorHAnsi" w:eastAsiaTheme="minorHAnsi" w:hAnsiTheme="minorHAnsi" w:cstheme="minorBidi"/>
          <w:snapToGrid/>
          <w:sz w:val="24"/>
          <w:szCs w:val="22"/>
        </w:rPr>
        <w:t xml:space="preserve"> brand</w:t>
      </w:r>
      <w:r w:rsidR="00E67658" w:rsidRPr="0060730C">
        <w:rPr>
          <w:rFonts w:asciiTheme="minorHAnsi" w:eastAsiaTheme="minorHAnsi" w:hAnsiTheme="minorHAnsi" w:cstheme="minorBidi"/>
          <w:snapToGrid/>
          <w:sz w:val="24"/>
          <w:szCs w:val="22"/>
        </w:rPr>
        <w:t xml:space="preserve"> </w:t>
      </w:r>
      <w:proofErr w:type="gramStart"/>
      <w:r w:rsidR="00E67658" w:rsidRPr="0060730C">
        <w:rPr>
          <w:rFonts w:asciiTheme="minorHAnsi" w:eastAsiaTheme="minorHAnsi" w:hAnsiTheme="minorHAnsi" w:cstheme="minorBidi"/>
          <w:snapToGrid/>
          <w:sz w:val="24"/>
          <w:szCs w:val="22"/>
        </w:rPr>
        <w:t xml:space="preserve">are not </w:t>
      </w:r>
      <w:r w:rsidRPr="0060730C">
        <w:rPr>
          <w:rFonts w:asciiTheme="minorHAnsi" w:eastAsiaTheme="minorHAnsi" w:hAnsiTheme="minorHAnsi" w:cstheme="minorBidi"/>
          <w:snapToGrid/>
          <w:sz w:val="24"/>
          <w:szCs w:val="22"/>
        </w:rPr>
        <w:t>sought</w:t>
      </w:r>
      <w:proofErr w:type="gramEnd"/>
      <w:r w:rsidRPr="0060730C">
        <w:rPr>
          <w:rFonts w:asciiTheme="minorHAnsi" w:eastAsiaTheme="minorHAnsi" w:hAnsiTheme="minorHAnsi" w:cstheme="minorBidi"/>
          <w:snapToGrid/>
          <w:sz w:val="24"/>
          <w:szCs w:val="22"/>
        </w:rPr>
        <w:t xml:space="preserve"> for reimbursement.</w:t>
      </w:r>
    </w:p>
    <w:p w:rsidR="00E737F0" w:rsidRPr="0060730C" w:rsidRDefault="00E737F0" w:rsidP="00706F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t xml:space="preserve">The Herceptin and </w:t>
      </w:r>
      <w:proofErr w:type="spellStart"/>
      <w:r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 xml:space="preserve"> brands share one common presentation: a single vial with 150 mg powder for reconstitution with sterile water for IV administration. Herceptin also has a 60 mg injection </w:t>
      </w:r>
      <w:r w:rsidR="0060730C" w:rsidRPr="0060730C">
        <w:rPr>
          <w:rFonts w:asciiTheme="minorHAnsi" w:eastAsiaTheme="minorHAnsi" w:hAnsiTheme="minorHAnsi" w:cstheme="minorBidi"/>
          <w:snapToGrid/>
          <w:sz w:val="24"/>
          <w:szCs w:val="22"/>
        </w:rPr>
        <w:t>presentation that</w:t>
      </w:r>
      <w:r w:rsidRPr="0060730C">
        <w:rPr>
          <w:rFonts w:asciiTheme="minorHAnsi" w:eastAsiaTheme="minorHAnsi" w:hAnsiTheme="minorHAnsi" w:cstheme="minorBidi"/>
          <w:snapToGrid/>
          <w:sz w:val="24"/>
          <w:szCs w:val="22"/>
        </w:rPr>
        <w:t xml:space="preserve"> </w:t>
      </w:r>
      <w:proofErr w:type="gramStart"/>
      <w:r w:rsidRPr="0060730C">
        <w:rPr>
          <w:rFonts w:asciiTheme="minorHAnsi" w:eastAsiaTheme="minorHAnsi" w:hAnsiTheme="minorHAnsi" w:cstheme="minorBidi"/>
          <w:snapToGrid/>
          <w:sz w:val="24"/>
          <w:szCs w:val="22"/>
        </w:rPr>
        <w:t>is not shared</w:t>
      </w:r>
      <w:proofErr w:type="gramEnd"/>
      <w:r w:rsidRPr="0060730C">
        <w:rPr>
          <w:rFonts w:asciiTheme="minorHAnsi" w:eastAsiaTheme="minorHAnsi" w:hAnsiTheme="minorHAnsi" w:cstheme="minorBidi"/>
          <w:snapToGrid/>
          <w:sz w:val="24"/>
          <w:szCs w:val="22"/>
        </w:rPr>
        <w:t xml:space="preserve"> by </w:t>
      </w:r>
      <w:proofErr w:type="spellStart"/>
      <w:r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 xml:space="preserve">. </w:t>
      </w:r>
    </w:p>
    <w:p w:rsidR="001B0AE4" w:rsidRPr="00711AC7" w:rsidRDefault="001B0AE4" w:rsidP="00706F2F">
      <w:pPr>
        <w:pStyle w:val="ListParagraph"/>
        <w:widowControl/>
        <w:spacing w:after="120"/>
        <w:contextualSpacing w:val="0"/>
        <w:rPr>
          <w:rFonts w:asciiTheme="minorHAnsi" w:eastAsiaTheme="minorHAnsi" w:hAnsiTheme="minorHAnsi" w:cstheme="minorBidi"/>
          <w:i/>
          <w:snapToGrid/>
          <w:sz w:val="24"/>
          <w:szCs w:val="22"/>
        </w:rPr>
      </w:pPr>
      <w:r w:rsidRPr="00711AC7">
        <w:rPr>
          <w:rFonts w:asciiTheme="minorHAnsi" w:eastAsiaTheme="minorHAnsi" w:hAnsiTheme="minorHAnsi" w:cstheme="minorBidi"/>
          <w:i/>
          <w:snapToGrid/>
          <w:sz w:val="24"/>
          <w:szCs w:val="22"/>
        </w:rPr>
        <w:t>For more detail on PBAC’s view, see section 5 PBAC outcome.</w:t>
      </w:r>
    </w:p>
    <w:p w:rsidR="00C603D4" w:rsidRPr="0060730C" w:rsidRDefault="00CE10C4" w:rsidP="00706F2F">
      <w:pPr>
        <w:pStyle w:val="PBACHeading1"/>
        <w:spacing w:before="240" w:after="120"/>
        <w:ind w:left="709" w:hanging="709"/>
        <w:rPr>
          <w:rFonts w:asciiTheme="minorHAnsi" w:hAnsiTheme="minorHAnsi"/>
          <w:sz w:val="32"/>
          <w:szCs w:val="32"/>
        </w:rPr>
      </w:pPr>
      <w:r w:rsidRPr="0060730C">
        <w:rPr>
          <w:rFonts w:asciiTheme="minorHAnsi" w:hAnsiTheme="minorHAnsi"/>
          <w:sz w:val="32"/>
          <w:szCs w:val="32"/>
        </w:rPr>
        <w:t>Background</w:t>
      </w:r>
    </w:p>
    <w:p w:rsidR="009469EF" w:rsidRDefault="00E37FBD" w:rsidP="00706F2F">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60730C">
        <w:rPr>
          <w:rFonts w:asciiTheme="minorHAnsi" w:eastAsiaTheme="minorHAnsi" w:hAnsiTheme="minorHAnsi" w:cstheme="minorBidi"/>
          <w:snapToGrid/>
          <w:sz w:val="24"/>
          <w:szCs w:val="22"/>
        </w:rPr>
        <w:lastRenderedPageBreak/>
        <w:t xml:space="preserve">The </w:t>
      </w:r>
      <w:proofErr w:type="spellStart"/>
      <w:r w:rsidRPr="0060730C">
        <w:rPr>
          <w:rFonts w:asciiTheme="minorHAnsi" w:eastAsiaTheme="minorHAnsi" w:hAnsiTheme="minorHAnsi" w:cstheme="minorBidi"/>
          <w:snapToGrid/>
          <w:sz w:val="24"/>
          <w:szCs w:val="22"/>
        </w:rPr>
        <w:t>Ontruzant</w:t>
      </w:r>
      <w:proofErr w:type="spellEnd"/>
      <w:r w:rsidR="00E67658" w:rsidRPr="0060730C">
        <w:rPr>
          <w:rFonts w:asciiTheme="minorHAnsi" w:eastAsiaTheme="minorHAnsi" w:hAnsiTheme="minorHAnsi" w:cstheme="minorBidi"/>
          <w:snapToGrid/>
          <w:sz w:val="24"/>
          <w:szCs w:val="22"/>
        </w:rPr>
        <w:t xml:space="preserve"> brand of </w:t>
      </w:r>
      <w:proofErr w:type="spellStart"/>
      <w:r w:rsidR="00E67658" w:rsidRPr="0060730C">
        <w:rPr>
          <w:rFonts w:asciiTheme="minorHAnsi" w:eastAsiaTheme="minorHAnsi" w:hAnsiTheme="minorHAnsi" w:cstheme="minorBidi"/>
          <w:snapToGrid/>
          <w:sz w:val="24"/>
          <w:szCs w:val="22"/>
        </w:rPr>
        <w:t>trastuzumab</w:t>
      </w:r>
      <w:proofErr w:type="spellEnd"/>
      <w:r w:rsidR="009469EF">
        <w:rPr>
          <w:rFonts w:asciiTheme="minorHAnsi" w:eastAsiaTheme="minorHAnsi" w:hAnsiTheme="minorHAnsi" w:cstheme="minorBidi"/>
          <w:snapToGrid/>
          <w:sz w:val="24"/>
          <w:szCs w:val="22"/>
        </w:rPr>
        <w:t xml:space="preserve"> was TGA approved on 9 January 2019 and was determined to be a biosimilar to the reference brand Herceptin. </w:t>
      </w:r>
    </w:p>
    <w:p w:rsidR="00B47FB8" w:rsidRPr="0060730C" w:rsidRDefault="00EF0897" w:rsidP="00706F2F">
      <w:pPr>
        <w:pStyle w:val="ListParagraph"/>
        <w:widowControl/>
        <w:numPr>
          <w:ilvl w:val="1"/>
          <w:numId w:val="14"/>
        </w:numPr>
        <w:spacing w:before="120" w:after="120"/>
        <w:contextualSpacing w:val="0"/>
        <w:rPr>
          <w:rFonts w:asciiTheme="minorHAnsi" w:hAnsiTheme="minorHAnsi"/>
          <w:i/>
          <w:iCs/>
          <w:sz w:val="24"/>
          <w:szCs w:val="24"/>
        </w:rPr>
      </w:pPr>
      <w:r w:rsidRPr="0060730C">
        <w:rPr>
          <w:rFonts w:asciiTheme="minorHAnsi" w:hAnsiTheme="minorHAnsi"/>
          <w:iCs/>
          <w:sz w:val="24"/>
          <w:szCs w:val="24"/>
        </w:rPr>
        <w:t>The PBAC had</w:t>
      </w:r>
      <w:r w:rsidR="00B47FB8" w:rsidRPr="0060730C">
        <w:rPr>
          <w:rFonts w:asciiTheme="minorHAnsi" w:hAnsiTheme="minorHAnsi"/>
          <w:iCs/>
          <w:sz w:val="24"/>
          <w:szCs w:val="24"/>
        </w:rPr>
        <w:t xml:space="preserve"> not previously considered a submiss</w:t>
      </w:r>
      <w:r w:rsidR="00E67658" w:rsidRPr="0060730C">
        <w:rPr>
          <w:rFonts w:asciiTheme="minorHAnsi" w:hAnsiTheme="minorHAnsi"/>
          <w:iCs/>
          <w:sz w:val="24"/>
          <w:szCs w:val="24"/>
        </w:rPr>
        <w:t xml:space="preserve">ion for this brand of </w:t>
      </w:r>
      <w:proofErr w:type="spellStart"/>
      <w:r w:rsidR="00E67658" w:rsidRPr="0060730C">
        <w:rPr>
          <w:rFonts w:asciiTheme="minorHAnsi" w:hAnsiTheme="minorHAnsi"/>
          <w:iCs/>
          <w:sz w:val="24"/>
          <w:szCs w:val="24"/>
        </w:rPr>
        <w:t>trastuzumab</w:t>
      </w:r>
      <w:proofErr w:type="spellEnd"/>
      <w:r w:rsidR="00E67658" w:rsidRPr="0060730C">
        <w:rPr>
          <w:rFonts w:asciiTheme="minorHAnsi" w:hAnsiTheme="minorHAnsi"/>
          <w:iCs/>
          <w:sz w:val="24"/>
          <w:szCs w:val="24"/>
        </w:rPr>
        <w:t xml:space="preserve">. </w:t>
      </w:r>
    </w:p>
    <w:p w:rsidR="00AC0AF9" w:rsidRPr="0060730C" w:rsidRDefault="00AC0AF9" w:rsidP="00706F2F">
      <w:pPr>
        <w:spacing w:before="120" w:after="120"/>
        <w:rPr>
          <w:rStyle w:val="Emphasis"/>
          <w:rFonts w:asciiTheme="minorHAnsi" w:hAnsiTheme="minorHAnsi"/>
          <w:b/>
        </w:rPr>
      </w:pPr>
      <w:r w:rsidRPr="0060730C">
        <w:rPr>
          <w:rStyle w:val="Emphasis"/>
          <w:rFonts w:asciiTheme="minorHAnsi" w:hAnsiTheme="minorHAnsi"/>
          <w:b/>
        </w:rPr>
        <w:t>Brand equivalence and substitution at the pharmacist level (‘a’ flagging)</w:t>
      </w:r>
    </w:p>
    <w:p w:rsidR="009638C9" w:rsidRPr="0060730C" w:rsidRDefault="009E3061" w:rsidP="00706F2F">
      <w:pPr>
        <w:pStyle w:val="ListParagraph"/>
        <w:widowControl/>
        <w:numPr>
          <w:ilvl w:val="1"/>
          <w:numId w:val="5"/>
        </w:numPr>
        <w:spacing w:after="120"/>
        <w:rPr>
          <w:rFonts w:asciiTheme="minorHAnsi" w:eastAsiaTheme="minorHAnsi" w:hAnsiTheme="minorHAnsi" w:cstheme="minorBidi"/>
          <w:snapToGrid/>
          <w:sz w:val="24"/>
          <w:szCs w:val="22"/>
        </w:rPr>
      </w:pPr>
      <w:r>
        <w:rPr>
          <w:rFonts w:asciiTheme="minorHAnsi" w:hAnsiTheme="minorHAnsi"/>
          <w:sz w:val="24"/>
          <w:szCs w:val="24"/>
        </w:rPr>
        <w:t xml:space="preserve">The pre-PBAC response </w:t>
      </w:r>
      <w:r w:rsidR="00D6136C" w:rsidRPr="0060730C">
        <w:rPr>
          <w:rFonts w:asciiTheme="minorHAnsi" w:hAnsiTheme="minorHAnsi"/>
          <w:sz w:val="24"/>
          <w:szCs w:val="24"/>
        </w:rPr>
        <w:t>request</w:t>
      </w:r>
      <w:r>
        <w:rPr>
          <w:rFonts w:asciiTheme="minorHAnsi" w:hAnsiTheme="minorHAnsi"/>
          <w:sz w:val="24"/>
          <w:szCs w:val="24"/>
        </w:rPr>
        <w:t>ed</w:t>
      </w:r>
      <w:r w:rsidR="00D6136C" w:rsidRPr="0060730C">
        <w:rPr>
          <w:rFonts w:asciiTheme="minorHAnsi" w:hAnsiTheme="minorHAnsi"/>
          <w:sz w:val="24"/>
          <w:szCs w:val="24"/>
        </w:rPr>
        <w:t xml:space="preserve"> that </w:t>
      </w:r>
      <w:proofErr w:type="spellStart"/>
      <w:r w:rsidR="00D6136C" w:rsidRPr="0060730C">
        <w:rPr>
          <w:rFonts w:asciiTheme="minorHAnsi" w:hAnsiTheme="minorHAnsi"/>
          <w:sz w:val="24"/>
          <w:szCs w:val="24"/>
        </w:rPr>
        <w:t>Ontruzant</w:t>
      </w:r>
      <w:proofErr w:type="spellEnd"/>
      <w:r w:rsidR="00D6136C" w:rsidRPr="0060730C">
        <w:rPr>
          <w:rFonts w:asciiTheme="minorHAnsi" w:hAnsiTheme="minorHAnsi"/>
          <w:sz w:val="24"/>
          <w:szCs w:val="24"/>
        </w:rPr>
        <w:t xml:space="preserve"> be ‘a’ flagged against the</w:t>
      </w:r>
      <w:r w:rsidR="006A7AB9" w:rsidRPr="0060730C">
        <w:rPr>
          <w:rFonts w:asciiTheme="minorHAnsi" w:hAnsiTheme="minorHAnsi"/>
          <w:sz w:val="24"/>
          <w:szCs w:val="24"/>
        </w:rPr>
        <w:t xml:space="preserve"> reference product, Herceptin</w:t>
      </w:r>
      <w:r w:rsidR="0060730C">
        <w:rPr>
          <w:rFonts w:asciiTheme="minorHAnsi" w:hAnsiTheme="minorHAnsi"/>
          <w:sz w:val="24"/>
          <w:szCs w:val="24"/>
        </w:rPr>
        <w:t xml:space="preserve">. </w:t>
      </w:r>
    </w:p>
    <w:p w:rsidR="00AC0AF9" w:rsidRPr="0060730C" w:rsidRDefault="00AC0AF9" w:rsidP="00706F2F">
      <w:pPr>
        <w:pStyle w:val="PBACHeading1"/>
        <w:numPr>
          <w:ilvl w:val="0"/>
          <w:numId w:val="0"/>
        </w:numPr>
        <w:spacing w:after="120"/>
        <w:outlineLvl w:val="9"/>
        <w:rPr>
          <w:rStyle w:val="Emphasis"/>
          <w:rFonts w:asciiTheme="minorHAnsi" w:hAnsiTheme="minorHAnsi"/>
          <w:sz w:val="24"/>
          <w:szCs w:val="24"/>
        </w:rPr>
      </w:pPr>
      <w:r w:rsidRPr="0060730C">
        <w:rPr>
          <w:rStyle w:val="Emphasis"/>
          <w:rFonts w:asciiTheme="minorHAnsi" w:hAnsiTheme="minorHAnsi"/>
          <w:sz w:val="24"/>
          <w:szCs w:val="24"/>
        </w:rPr>
        <w:t>Biosimilar uptake measures</w:t>
      </w:r>
    </w:p>
    <w:p w:rsidR="00D6136C" w:rsidRPr="0060730C" w:rsidRDefault="00D6136C" w:rsidP="00706F2F">
      <w:pPr>
        <w:pStyle w:val="ListParagraph"/>
        <w:widowControl/>
        <w:numPr>
          <w:ilvl w:val="1"/>
          <w:numId w:val="5"/>
        </w:numPr>
        <w:spacing w:after="120"/>
        <w:contextualSpacing w:val="0"/>
        <w:rPr>
          <w:rFonts w:asciiTheme="minorHAnsi" w:eastAsiaTheme="minorHAnsi" w:hAnsiTheme="minorHAnsi" w:cstheme="minorHAnsi"/>
          <w:szCs w:val="22"/>
        </w:rPr>
      </w:pPr>
      <w:r w:rsidRPr="0060730C">
        <w:rPr>
          <w:rFonts w:asciiTheme="minorHAnsi" w:eastAsiaTheme="minorHAnsi" w:hAnsiTheme="minorHAnsi" w:cstheme="minorBidi"/>
          <w:snapToGrid/>
          <w:sz w:val="24"/>
          <w:szCs w:val="22"/>
        </w:rPr>
        <w:t xml:space="preserve">The sponsor requested that </w:t>
      </w:r>
      <w:proofErr w:type="spellStart"/>
      <w:r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 xml:space="preserve"> </w:t>
      </w:r>
      <w:proofErr w:type="gramStart"/>
      <w:r w:rsidRPr="0060730C">
        <w:rPr>
          <w:rFonts w:asciiTheme="minorHAnsi" w:eastAsiaTheme="minorHAnsi" w:hAnsiTheme="minorHAnsi" w:cstheme="minorBidi"/>
          <w:snapToGrid/>
          <w:sz w:val="24"/>
          <w:szCs w:val="22"/>
        </w:rPr>
        <w:t>be listed</w:t>
      </w:r>
      <w:proofErr w:type="gramEnd"/>
      <w:r w:rsidRPr="0060730C">
        <w:rPr>
          <w:rFonts w:asciiTheme="minorHAnsi" w:eastAsiaTheme="minorHAnsi" w:hAnsiTheme="minorHAnsi" w:cstheme="minorBidi"/>
          <w:snapToGrid/>
          <w:sz w:val="24"/>
          <w:szCs w:val="22"/>
        </w:rPr>
        <w:t xml:space="preserve"> on the PBS with a Restricted Benefit listing across all indications and treatment phases, i.e. a reduce</w:t>
      </w:r>
      <w:r w:rsidR="00623F8E" w:rsidRPr="0060730C">
        <w:rPr>
          <w:rFonts w:asciiTheme="minorHAnsi" w:eastAsiaTheme="minorHAnsi" w:hAnsiTheme="minorHAnsi" w:cstheme="minorBidi"/>
          <w:snapToGrid/>
          <w:sz w:val="24"/>
          <w:szCs w:val="22"/>
        </w:rPr>
        <w:t>d</w:t>
      </w:r>
      <w:r w:rsidRPr="0060730C">
        <w:rPr>
          <w:rFonts w:asciiTheme="minorHAnsi" w:eastAsiaTheme="minorHAnsi" w:hAnsiTheme="minorHAnsi" w:cstheme="minorBidi"/>
          <w:snapToGrid/>
          <w:sz w:val="24"/>
          <w:szCs w:val="22"/>
        </w:rPr>
        <w:t xml:space="preserve"> level of authority to encourage biosimilar uptake, while retaining physician and patient choice. Herceptin has an Authority Required (Written) and Authority Required (Telephone) listing on the PBS. </w:t>
      </w:r>
    </w:p>
    <w:p w:rsidR="001B0AE4" w:rsidRPr="00711AC7" w:rsidRDefault="001B0AE4" w:rsidP="00706F2F">
      <w:pPr>
        <w:pStyle w:val="ListParagraph"/>
        <w:widowControl/>
        <w:spacing w:after="120"/>
        <w:contextualSpacing w:val="0"/>
        <w:rPr>
          <w:rFonts w:asciiTheme="minorHAnsi" w:eastAsiaTheme="minorHAnsi" w:hAnsiTheme="minorHAnsi" w:cstheme="minorBidi"/>
          <w:i/>
          <w:snapToGrid/>
          <w:sz w:val="24"/>
          <w:szCs w:val="22"/>
        </w:rPr>
      </w:pPr>
      <w:r w:rsidRPr="00711AC7">
        <w:rPr>
          <w:rFonts w:asciiTheme="minorHAnsi" w:eastAsiaTheme="minorHAnsi" w:hAnsiTheme="minorHAnsi" w:cstheme="minorBidi"/>
          <w:i/>
          <w:snapToGrid/>
          <w:sz w:val="24"/>
          <w:szCs w:val="22"/>
        </w:rPr>
        <w:t>For more detail on PBAC’s view, see section 5 PBAC outcome.</w:t>
      </w:r>
    </w:p>
    <w:p w:rsidR="000B558D" w:rsidRPr="0060730C" w:rsidRDefault="008D7A41" w:rsidP="00706F2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0730C">
        <w:rPr>
          <w:rFonts w:asciiTheme="minorHAnsi" w:hAnsiTheme="minorHAnsi"/>
          <w:sz w:val="32"/>
          <w:szCs w:val="32"/>
        </w:rPr>
        <w:t>C</w:t>
      </w:r>
      <w:r w:rsidR="00D84934" w:rsidRPr="0060730C">
        <w:rPr>
          <w:rFonts w:asciiTheme="minorHAnsi" w:hAnsiTheme="minorHAnsi"/>
          <w:sz w:val="32"/>
          <w:szCs w:val="32"/>
        </w:rPr>
        <w:t>onsideration of the evidence</w:t>
      </w:r>
    </w:p>
    <w:p w:rsidR="00711AC7" w:rsidRPr="00C25C88" w:rsidRDefault="00711AC7" w:rsidP="00706F2F">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Sponsor hearing</w:t>
      </w:r>
    </w:p>
    <w:p w:rsidR="00711AC7" w:rsidRPr="000E6927" w:rsidRDefault="00711AC7" w:rsidP="00706F2F">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 There was no hearing for this item as it was a minor submission.</w:t>
      </w:r>
    </w:p>
    <w:p w:rsidR="00711AC7" w:rsidRPr="00C25C88" w:rsidRDefault="00711AC7" w:rsidP="00706F2F">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Consumer comments</w:t>
      </w:r>
    </w:p>
    <w:p w:rsidR="00711AC7" w:rsidRPr="000E6927" w:rsidRDefault="00711AC7" w:rsidP="00706F2F">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The PBAC noted that no consumer comments </w:t>
      </w:r>
      <w:proofErr w:type="gramStart"/>
      <w:r w:rsidRPr="000E6927">
        <w:rPr>
          <w:rFonts w:asciiTheme="minorHAnsi" w:hAnsiTheme="minorHAnsi" w:cs="Arial"/>
          <w:bCs/>
          <w:snapToGrid w:val="0"/>
        </w:rPr>
        <w:t>were received</w:t>
      </w:r>
      <w:proofErr w:type="gramEnd"/>
      <w:r w:rsidRPr="000E6927">
        <w:rPr>
          <w:rFonts w:asciiTheme="minorHAnsi" w:hAnsiTheme="minorHAnsi" w:cs="Arial"/>
          <w:bCs/>
          <w:snapToGrid w:val="0"/>
        </w:rPr>
        <w:t xml:space="preserve"> for this item.</w:t>
      </w:r>
    </w:p>
    <w:p w:rsidR="00D84934" w:rsidRPr="0060730C" w:rsidRDefault="00D84934" w:rsidP="00706F2F">
      <w:pPr>
        <w:pStyle w:val="Heading2"/>
        <w:keepLines/>
        <w:spacing w:before="240" w:after="120"/>
        <w:rPr>
          <w:rFonts w:asciiTheme="minorHAnsi" w:eastAsiaTheme="majorEastAsia" w:hAnsiTheme="minorHAnsi" w:cstheme="majorBidi"/>
          <w:sz w:val="28"/>
          <w:szCs w:val="28"/>
          <w:lang w:eastAsia="en-US"/>
        </w:rPr>
      </w:pPr>
      <w:r w:rsidRPr="0060730C">
        <w:rPr>
          <w:rFonts w:asciiTheme="minorHAnsi" w:eastAsiaTheme="majorEastAsia" w:hAnsiTheme="minorHAnsi" w:cstheme="majorBidi"/>
          <w:sz w:val="28"/>
          <w:szCs w:val="28"/>
          <w:lang w:eastAsia="en-US"/>
        </w:rPr>
        <w:t>Clinical trials</w:t>
      </w:r>
    </w:p>
    <w:p w:rsidR="001B0AE4" w:rsidRPr="002D07BF" w:rsidRDefault="00314BE4" w:rsidP="00706F2F">
      <w:pPr>
        <w:pStyle w:val="ListParagraph"/>
        <w:widowControl/>
        <w:numPr>
          <w:ilvl w:val="1"/>
          <w:numId w:val="14"/>
        </w:numPr>
        <w:spacing w:before="120" w:after="120"/>
        <w:contextualSpacing w:val="0"/>
        <w:rPr>
          <w:rFonts w:ascii="Arial Narrow" w:hAnsi="Arial Narrow"/>
          <w:b/>
          <w:sz w:val="20"/>
        </w:rPr>
      </w:pPr>
      <w:r w:rsidRPr="0060730C">
        <w:rPr>
          <w:rFonts w:asciiTheme="minorHAnsi" w:eastAsiaTheme="minorHAnsi" w:hAnsiTheme="minorHAnsi" w:cstheme="minorBidi"/>
          <w:snapToGrid/>
          <w:sz w:val="24"/>
          <w:szCs w:val="22"/>
        </w:rPr>
        <w:t xml:space="preserve">The minor submission </w:t>
      </w:r>
      <w:r w:rsidR="00D852B2" w:rsidRPr="0060730C">
        <w:rPr>
          <w:rFonts w:asciiTheme="minorHAnsi" w:eastAsiaTheme="minorHAnsi" w:hAnsiTheme="minorHAnsi" w:cstheme="minorBidi"/>
          <w:snapToGrid/>
          <w:sz w:val="24"/>
          <w:szCs w:val="22"/>
        </w:rPr>
        <w:t xml:space="preserve">presented one randomised controlled trial comparing the </w:t>
      </w:r>
      <w:proofErr w:type="spellStart"/>
      <w:r w:rsidR="00201FF8" w:rsidRPr="0060730C">
        <w:rPr>
          <w:rFonts w:asciiTheme="minorHAnsi" w:eastAsiaTheme="minorHAnsi" w:hAnsiTheme="minorHAnsi" w:cstheme="minorBidi"/>
          <w:snapToGrid/>
          <w:sz w:val="24"/>
          <w:szCs w:val="22"/>
        </w:rPr>
        <w:t>biosimilarity</w:t>
      </w:r>
      <w:proofErr w:type="spellEnd"/>
      <w:r w:rsidR="00A6662F" w:rsidRPr="0060730C">
        <w:rPr>
          <w:rFonts w:asciiTheme="minorHAnsi" w:eastAsiaTheme="minorHAnsi" w:hAnsiTheme="minorHAnsi" w:cstheme="minorBidi"/>
          <w:snapToGrid/>
          <w:sz w:val="24"/>
          <w:szCs w:val="22"/>
        </w:rPr>
        <w:t xml:space="preserve"> of </w:t>
      </w:r>
      <w:proofErr w:type="spellStart"/>
      <w:r w:rsidR="00A6662F" w:rsidRPr="0060730C">
        <w:rPr>
          <w:rFonts w:asciiTheme="minorHAnsi" w:eastAsiaTheme="minorHAnsi" w:hAnsiTheme="minorHAnsi" w:cstheme="minorBidi"/>
          <w:snapToGrid/>
          <w:sz w:val="24"/>
          <w:szCs w:val="22"/>
        </w:rPr>
        <w:t>Ontruzant</w:t>
      </w:r>
      <w:proofErr w:type="spellEnd"/>
      <w:r w:rsidR="00A6662F" w:rsidRPr="0060730C">
        <w:rPr>
          <w:rFonts w:asciiTheme="minorHAnsi" w:eastAsiaTheme="minorHAnsi" w:hAnsiTheme="minorHAnsi" w:cstheme="minorBidi"/>
          <w:snapToGrid/>
          <w:sz w:val="24"/>
          <w:szCs w:val="22"/>
        </w:rPr>
        <w:t xml:space="preserve"> </w:t>
      </w:r>
      <w:r w:rsidR="00201FF8" w:rsidRPr="0060730C">
        <w:rPr>
          <w:rFonts w:asciiTheme="minorHAnsi" w:eastAsiaTheme="minorHAnsi" w:hAnsiTheme="minorHAnsi" w:cstheme="minorBidi"/>
          <w:snapToGrid/>
          <w:sz w:val="24"/>
          <w:szCs w:val="22"/>
        </w:rPr>
        <w:t xml:space="preserve">and </w:t>
      </w:r>
      <w:r w:rsidR="00D852B2" w:rsidRPr="0060730C">
        <w:rPr>
          <w:rFonts w:asciiTheme="minorHAnsi" w:eastAsiaTheme="minorHAnsi" w:hAnsiTheme="minorHAnsi" w:cstheme="minorBidi"/>
          <w:snapToGrid/>
          <w:sz w:val="24"/>
          <w:szCs w:val="22"/>
        </w:rPr>
        <w:t>Hercepti</w:t>
      </w:r>
      <w:r w:rsidR="00A6662F" w:rsidRPr="0060730C">
        <w:rPr>
          <w:rFonts w:asciiTheme="minorHAnsi" w:eastAsiaTheme="minorHAnsi" w:hAnsiTheme="minorHAnsi" w:cstheme="minorBidi"/>
          <w:snapToGrid/>
          <w:sz w:val="24"/>
          <w:szCs w:val="22"/>
        </w:rPr>
        <w:t xml:space="preserve">n </w:t>
      </w:r>
      <w:r w:rsidR="00D852B2" w:rsidRPr="0060730C">
        <w:rPr>
          <w:rFonts w:asciiTheme="minorHAnsi" w:eastAsiaTheme="minorHAnsi" w:hAnsiTheme="minorHAnsi" w:cstheme="minorBidi"/>
          <w:snapToGrid/>
          <w:sz w:val="24"/>
          <w:szCs w:val="22"/>
        </w:rPr>
        <w:t xml:space="preserve">in early or locally advanced HER2-positive breast cancer treated with </w:t>
      </w:r>
      <w:proofErr w:type="spellStart"/>
      <w:r w:rsidR="00D852B2" w:rsidRPr="0060730C">
        <w:rPr>
          <w:rFonts w:asciiTheme="minorHAnsi" w:eastAsiaTheme="minorHAnsi" w:hAnsiTheme="minorHAnsi" w:cstheme="minorBidi"/>
          <w:snapToGrid/>
          <w:sz w:val="24"/>
          <w:szCs w:val="22"/>
        </w:rPr>
        <w:t>neoadjuvant</w:t>
      </w:r>
      <w:proofErr w:type="spellEnd"/>
      <w:r w:rsidR="00D852B2" w:rsidRPr="0060730C">
        <w:rPr>
          <w:rFonts w:asciiTheme="minorHAnsi" w:eastAsiaTheme="minorHAnsi" w:hAnsiTheme="minorHAnsi" w:cstheme="minorBidi"/>
          <w:snapToGrid/>
          <w:sz w:val="24"/>
          <w:szCs w:val="22"/>
        </w:rPr>
        <w:t>-adjuvant treatment.</w:t>
      </w:r>
      <w:r w:rsidR="001D3A33" w:rsidRPr="0060730C">
        <w:rPr>
          <w:rFonts w:asciiTheme="minorHAnsi" w:eastAsiaTheme="minorHAnsi" w:hAnsiTheme="minorHAnsi" w:cstheme="minorBidi"/>
          <w:snapToGrid/>
          <w:sz w:val="24"/>
          <w:szCs w:val="22"/>
        </w:rPr>
        <w:t xml:space="preserve"> </w:t>
      </w:r>
      <w:r w:rsidR="006B795F" w:rsidRPr="0060730C">
        <w:rPr>
          <w:rFonts w:asciiTheme="minorHAnsi" w:eastAsiaTheme="minorHAnsi" w:hAnsiTheme="minorHAnsi" w:cstheme="minorBidi"/>
          <w:snapToGrid/>
          <w:sz w:val="24"/>
          <w:szCs w:val="22"/>
        </w:rPr>
        <w:t>As this was a minor submission, no evaluation of the clinical evidence was undertaken.</w:t>
      </w:r>
    </w:p>
    <w:p w:rsidR="004D6BEE" w:rsidRPr="0060730C" w:rsidRDefault="009638C9" w:rsidP="00711AC7">
      <w:pPr>
        <w:pStyle w:val="ListParagraph"/>
        <w:keepNext/>
        <w:widowControl/>
        <w:spacing w:before="120" w:after="60"/>
        <w:ind w:hanging="720"/>
        <w:contextualSpacing w:val="0"/>
        <w:rPr>
          <w:rFonts w:ascii="Arial Narrow" w:hAnsi="Arial Narrow"/>
          <w:b/>
          <w:sz w:val="20"/>
        </w:rPr>
      </w:pPr>
      <w:r w:rsidRPr="0060730C">
        <w:rPr>
          <w:rFonts w:ascii="Arial Narrow" w:hAnsi="Arial Narrow"/>
          <w:b/>
          <w:sz w:val="20"/>
        </w:rPr>
        <w:t xml:space="preserve">Table 1: </w:t>
      </w:r>
      <w:r w:rsidR="004D6BEE" w:rsidRPr="0060730C">
        <w:rPr>
          <w:rFonts w:ascii="Arial Narrow" w:hAnsi="Arial Narrow"/>
          <w:b/>
          <w:sz w:val="20"/>
        </w:rPr>
        <w:t>Trials and associated reports presented in the submission</w:t>
      </w:r>
    </w:p>
    <w:tbl>
      <w:tblPr>
        <w:tblStyle w:val="TableGridLight1"/>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rials and associated reports presented in the submission"/>
      </w:tblPr>
      <w:tblGrid>
        <w:gridCol w:w="2121"/>
        <w:gridCol w:w="5392"/>
        <w:gridCol w:w="2099"/>
      </w:tblGrid>
      <w:tr w:rsidR="004D6BEE" w:rsidRPr="0060730C" w:rsidTr="00555AE8">
        <w:trPr>
          <w:cnfStyle w:val="100000000000" w:firstRow="1" w:lastRow="0" w:firstColumn="0" w:lastColumn="0" w:oddVBand="0" w:evenVBand="0" w:oddHBand="0" w:evenHBand="0" w:firstRowFirstColumn="0" w:firstRowLastColumn="0" w:lastRowFirstColumn="0" w:lastRowLastColumn="0"/>
          <w:tblHeader/>
        </w:trPr>
        <w:tc>
          <w:tcPr>
            <w:tcW w:w="2121" w:type="dxa"/>
            <w:shd w:val="clear" w:color="auto" w:fill="FFFFFF" w:themeFill="background1"/>
          </w:tcPr>
          <w:p w:rsidR="004D6BEE" w:rsidRPr="00001E48" w:rsidRDefault="004D6BEE" w:rsidP="00711AC7">
            <w:pPr>
              <w:pStyle w:val="tabletextsubmission"/>
              <w:keepNext/>
              <w:jc w:val="left"/>
              <w:rPr>
                <w:rFonts w:ascii="Arial Narrow" w:hAnsi="Arial Narrow"/>
                <w:b/>
                <w:sz w:val="20"/>
                <w:szCs w:val="20"/>
                <w:lang w:val="en-AU"/>
              </w:rPr>
            </w:pPr>
            <w:r w:rsidRPr="0060730C">
              <w:rPr>
                <w:rFonts w:ascii="Arial Narrow" w:hAnsi="Arial Narrow"/>
                <w:b/>
                <w:sz w:val="20"/>
                <w:szCs w:val="20"/>
              </w:rPr>
              <w:t>Trial ID (Full Study No.)</w:t>
            </w:r>
          </w:p>
        </w:tc>
        <w:tc>
          <w:tcPr>
            <w:tcW w:w="5392" w:type="dxa"/>
            <w:shd w:val="clear" w:color="auto" w:fill="FFFFFF" w:themeFill="background1"/>
          </w:tcPr>
          <w:p w:rsidR="004D6BEE" w:rsidRPr="00001E48" w:rsidRDefault="004D6BEE" w:rsidP="00711AC7">
            <w:pPr>
              <w:pStyle w:val="tabletextsubmission"/>
              <w:keepNext/>
              <w:rPr>
                <w:rFonts w:ascii="Arial Narrow" w:hAnsi="Arial Narrow"/>
                <w:b/>
                <w:sz w:val="20"/>
                <w:szCs w:val="20"/>
                <w:lang w:val="en-AU"/>
              </w:rPr>
            </w:pPr>
            <w:r w:rsidRPr="0060730C">
              <w:rPr>
                <w:rFonts w:ascii="Arial Narrow" w:hAnsi="Arial Narrow"/>
                <w:b/>
                <w:sz w:val="20"/>
                <w:szCs w:val="20"/>
              </w:rPr>
              <w:t>Protocol title/publication title</w:t>
            </w:r>
          </w:p>
        </w:tc>
        <w:tc>
          <w:tcPr>
            <w:tcW w:w="2099" w:type="dxa"/>
            <w:shd w:val="clear" w:color="auto" w:fill="FFFFFF" w:themeFill="background1"/>
          </w:tcPr>
          <w:p w:rsidR="004D6BEE" w:rsidRPr="00001E48" w:rsidRDefault="004D6BEE" w:rsidP="00711AC7">
            <w:pPr>
              <w:pStyle w:val="tabletextsubmission"/>
              <w:keepNext/>
              <w:rPr>
                <w:rFonts w:ascii="Arial Narrow" w:hAnsi="Arial Narrow"/>
                <w:b/>
                <w:sz w:val="20"/>
                <w:szCs w:val="20"/>
                <w:lang w:val="en-AU"/>
              </w:rPr>
            </w:pPr>
            <w:r w:rsidRPr="0060730C">
              <w:rPr>
                <w:rFonts w:ascii="Arial Narrow" w:hAnsi="Arial Narrow"/>
                <w:b/>
                <w:sz w:val="20"/>
                <w:szCs w:val="20"/>
              </w:rPr>
              <w:t>Publication citation</w:t>
            </w:r>
          </w:p>
        </w:tc>
      </w:tr>
      <w:tr w:rsidR="004D6BEE" w:rsidRPr="0060730C" w:rsidTr="00011D27">
        <w:tc>
          <w:tcPr>
            <w:tcW w:w="9612" w:type="dxa"/>
            <w:gridSpan w:val="3"/>
            <w:shd w:val="clear" w:color="auto" w:fill="FFFFFF" w:themeFill="background1"/>
          </w:tcPr>
          <w:p w:rsidR="004D6BEE" w:rsidRPr="00001E48" w:rsidRDefault="004D6BEE" w:rsidP="00711AC7">
            <w:pPr>
              <w:pStyle w:val="tabletextsubmission"/>
              <w:keepNext/>
              <w:jc w:val="left"/>
              <w:rPr>
                <w:rFonts w:ascii="Arial Narrow" w:hAnsi="Arial Narrow"/>
                <w:b/>
                <w:sz w:val="20"/>
                <w:szCs w:val="20"/>
                <w:lang w:val="en-AU"/>
              </w:rPr>
            </w:pPr>
            <w:r w:rsidRPr="0060730C">
              <w:rPr>
                <w:rFonts w:ascii="Arial Narrow" w:hAnsi="Arial Narrow"/>
                <w:b/>
                <w:sz w:val="20"/>
                <w:szCs w:val="20"/>
              </w:rPr>
              <w:t xml:space="preserve">Direct </w:t>
            </w:r>
            <w:proofErr w:type="spellStart"/>
            <w:r w:rsidRPr="0060730C">
              <w:rPr>
                <w:rFonts w:ascii="Arial Narrow" w:hAnsi="Arial Narrow"/>
                <w:b/>
                <w:sz w:val="20"/>
                <w:szCs w:val="20"/>
              </w:rPr>
              <w:t>randomised</w:t>
            </w:r>
            <w:proofErr w:type="spellEnd"/>
            <w:r w:rsidRPr="0060730C">
              <w:rPr>
                <w:rFonts w:ascii="Arial Narrow" w:hAnsi="Arial Narrow"/>
                <w:b/>
                <w:sz w:val="20"/>
                <w:szCs w:val="20"/>
              </w:rPr>
              <w:t xml:space="preserve"> trial(s)</w:t>
            </w:r>
          </w:p>
        </w:tc>
      </w:tr>
      <w:tr w:rsidR="004D6BEE" w:rsidRPr="0060730C" w:rsidTr="00011D27">
        <w:tc>
          <w:tcPr>
            <w:tcW w:w="2121" w:type="dxa"/>
            <w:shd w:val="clear" w:color="auto" w:fill="FFFFFF" w:themeFill="background1"/>
          </w:tcPr>
          <w:p w:rsidR="004D6BEE" w:rsidRPr="00001E48" w:rsidRDefault="006548F0" w:rsidP="00711AC7">
            <w:pPr>
              <w:keepNext/>
              <w:keepLines/>
              <w:rPr>
                <w:rFonts w:ascii="Arial Narrow" w:hAnsi="Arial Narrow"/>
                <w:b/>
                <w:sz w:val="20"/>
                <w:szCs w:val="20"/>
                <w:lang w:val="en-AU"/>
              </w:rPr>
            </w:pPr>
            <w:r w:rsidRPr="0060730C">
              <w:rPr>
                <w:rFonts w:ascii="Arial Narrow" w:hAnsi="Arial Narrow"/>
                <w:b/>
                <w:sz w:val="20"/>
                <w:szCs w:val="20"/>
              </w:rPr>
              <w:t>SB3-G31-BC</w:t>
            </w:r>
          </w:p>
          <w:p w:rsidR="004D6BEE" w:rsidRPr="00001E48" w:rsidRDefault="004D6BEE" w:rsidP="00711AC7">
            <w:pPr>
              <w:pStyle w:val="tabletextsubmission"/>
              <w:keepNext/>
              <w:jc w:val="left"/>
              <w:rPr>
                <w:rFonts w:ascii="Arial Narrow" w:hAnsi="Arial Narrow"/>
                <w:b/>
                <w:sz w:val="20"/>
                <w:szCs w:val="20"/>
                <w:lang w:val="en-AU"/>
              </w:rPr>
            </w:pPr>
          </w:p>
        </w:tc>
        <w:tc>
          <w:tcPr>
            <w:tcW w:w="5392" w:type="dxa"/>
            <w:shd w:val="clear" w:color="auto" w:fill="FFFFFF" w:themeFill="background1"/>
          </w:tcPr>
          <w:p w:rsidR="004D6BEE" w:rsidRPr="00001E48" w:rsidRDefault="006548F0" w:rsidP="00711AC7">
            <w:pPr>
              <w:keepNext/>
              <w:keepLines/>
              <w:rPr>
                <w:rFonts w:ascii="Arial Narrow" w:hAnsi="Arial Narrow"/>
                <w:sz w:val="20"/>
                <w:szCs w:val="20"/>
                <w:lang w:val="en-AU"/>
              </w:rPr>
            </w:pPr>
            <w:r w:rsidRPr="0060730C">
              <w:rPr>
                <w:rFonts w:ascii="Arial Narrow" w:hAnsi="Arial Narrow"/>
                <w:sz w:val="20"/>
                <w:szCs w:val="20"/>
              </w:rPr>
              <w:t xml:space="preserve">A Phase III </w:t>
            </w:r>
            <w:proofErr w:type="spellStart"/>
            <w:r w:rsidRPr="0060730C">
              <w:rPr>
                <w:rFonts w:ascii="Arial Narrow" w:hAnsi="Arial Narrow"/>
                <w:sz w:val="20"/>
                <w:szCs w:val="20"/>
              </w:rPr>
              <w:t>Randomised</w:t>
            </w:r>
            <w:proofErr w:type="spellEnd"/>
            <w:r w:rsidRPr="0060730C">
              <w:rPr>
                <w:rFonts w:ascii="Arial Narrow" w:hAnsi="Arial Narrow"/>
                <w:sz w:val="20"/>
                <w:szCs w:val="20"/>
              </w:rPr>
              <w:t xml:space="preserve">, Double-Blind, Parallel Group, </w:t>
            </w:r>
            <w:proofErr w:type="spellStart"/>
            <w:r w:rsidRPr="0060730C">
              <w:rPr>
                <w:rFonts w:ascii="Arial Narrow" w:hAnsi="Arial Narrow"/>
                <w:sz w:val="20"/>
                <w:szCs w:val="20"/>
              </w:rPr>
              <w:t>Multicentre</w:t>
            </w:r>
            <w:proofErr w:type="spellEnd"/>
            <w:r w:rsidRPr="0060730C">
              <w:rPr>
                <w:rFonts w:ascii="Arial Narrow" w:hAnsi="Arial Narrow"/>
                <w:sz w:val="20"/>
                <w:szCs w:val="20"/>
              </w:rPr>
              <w:t xml:space="preserve"> Study to Compare the Efficacy, Safety, Pharmacokinetics and Immunogenicity Between SB3 (Proposed </w:t>
            </w:r>
            <w:proofErr w:type="spellStart"/>
            <w:r w:rsidRPr="0060730C">
              <w:rPr>
                <w:rFonts w:ascii="Arial Narrow" w:hAnsi="Arial Narrow"/>
                <w:sz w:val="20"/>
                <w:szCs w:val="20"/>
              </w:rPr>
              <w:t>Trastuzumab</w:t>
            </w:r>
            <w:proofErr w:type="spellEnd"/>
            <w:r w:rsidRPr="0060730C">
              <w:rPr>
                <w:rFonts w:ascii="Arial Narrow" w:hAnsi="Arial Narrow"/>
                <w:sz w:val="20"/>
                <w:szCs w:val="20"/>
              </w:rPr>
              <w:t xml:space="preserve"> Biosimilar) and Herceptin® in Women With Newly Diagnosed HER2 Positive Early or Locally Advanced Breast Cancer in </w:t>
            </w:r>
            <w:proofErr w:type="spellStart"/>
            <w:r w:rsidRPr="0060730C">
              <w:rPr>
                <w:rFonts w:ascii="Arial Narrow" w:hAnsi="Arial Narrow"/>
                <w:sz w:val="20"/>
                <w:szCs w:val="20"/>
              </w:rPr>
              <w:t>Neoadjuvant</w:t>
            </w:r>
            <w:proofErr w:type="spellEnd"/>
            <w:r w:rsidRPr="0060730C">
              <w:rPr>
                <w:rFonts w:ascii="Arial Narrow" w:hAnsi="Arial Narrow"/>
                <w:sz w:val="20"/>
                <w:szCs w:val="20"/>
              </w:rPr>
              <w:t xml:space="preserve"> Setting</w:t>
            </w:r>
            <w:r w:rsidRPr="0060730C">
              <w:rPr>
                <w:rFonts w:ascii="Arial Narrow" w:hAnsi="Arial Narrow"/>
                <w:sz w:val="20"/>
                <w:szCs w:val="20"/>
              </w:rPr>
              <w:br/>
            </w:r>
          </w:p>
        </w:tc>
        <w:tc>
          <w:tcPr>
            <w:tcW w:w="2099" w:type="dxa"/>
            <w:shd w:val="clear" w:color="auto" w:fill="FFFFFF" w:themeFill="background1"/>
          </w:tcPr>
          <w:p w:rsidR="004D6BEE" w:rsidRPr="00001E48" w:rsidRDefault="006548F0" w:rsidP="00711AC7">
            <w:pPr>
              <w:pStyle w:val="tabletextsubmission"/>
              <w:keepNext/>
              <w:rPr>
                <w:rFonts w:ascii="Arial Narrow" w:hAnsi="Arial Narrow"/>
                <w:sz w:val="20"/>
                <w:szCs w:val="20"/>
                <w:lang w:val="en-AU"/>
              </w:rPr>
            </w:pPr>
            <w:r w:rsidRPr="0060730C">
              <w:rPr>
                <w:rFonts w:ascii="Arial Narrow" w:hAnsi="Arial Narrow"/>
                <w:sz w:val="20"/>
                <w:szCs w:val="20"/>
              </w:rPr>
              <w:t>N/A</w:t>
            </w:r>
          </w:p>
        </w:tc>
      </w:tr>
    </w:tbl>
    <w:p w:rsidR="004D6BEE" w:rsidRPr="0060730C" w:rsidRDefault="009638C9" w:rsidP="00711AC7">
      <w:pPr>
        <w:pStyle w:val="tablenotes"/>
        <w:widowControl/>
        <w:spacing w:after="120"/>
        <w:rPr>
          <w:rFonts w:ascii="Arial Narrow" w:hAnsi="Arial Narrow"/>
          <w:sz w:val="18"/>
          <w:szCs w:val="18"/>
        </w:rPr>
      </w:pPr>
      <w:r w:rsidRPr="0060730C">
        <w:rPr>
          <w:rFonts w:ascii="Arial Narrow" w:hAnsi="Arial Narrow"/>
          <w:sz w:val="18"/>
          <w:szCs w:val="18"/>
        </w:rPr>
        <w:t xml:space="preserve">Source: </w:t>
      </w:r>
      <w:r w:rsidR="00EA7E74" w:rsidRPr="0060730C">
        <w:rPr>
          <w:rFonts w:ascii="Arial Narrow" w:hAnsi="Arial Narrow"/>
          <w:sz w:val="18"/>
          <w:szCs w:val="18"/>
        </w:rPr>
        <w:t xml:space="preserve">Page 9 of the Delegate’s Overview provided with the minor submission </w:t>
      </w:r>
    </w:p>
    <w:p w:rsidR="00AE723A" w:rsidRPr="0060730C" w:rsidRDefault="00054BEF" w:rsidP="00706F2F">
      <w:pPr>
        <w:pStyle w:val="ListParagraph"/>
        <w:widowControl/>
        <w:numPr>
          <w:ilvl w:val="1"/>
          <w:numId w:val="14"/>
        </w:numPr>
        <w:spacing w:before="120" w:after="120"/>
        <w:contextualSpacing w:val="0"/>
        <w:rPr>
          <w:rFonts w:ascii="Arial Narrow" w:hAnsi="Arial Narrow"/>
          <w:b/>
          <w:sz w:val="20"/>
        </w:rPr>
      </w:pPr>
      <w:r w:rsidRPr="0060730C">
        <w:rPr>
          <w:rFonts w:asciiTheme="minorHAnsi" w:eastAsiaTheme="minorHAnsi" w:hAnsiTheme="minorHAnsi" w:cstheme="minorBidi"/>
          <w:snapToGrid/>
          <w:sz w:val="24"/>
          <w:szCs w:val="22"/>
        </w:rPr>
        <w:t>The primary efficacy endpoint was the pathological complete response rate of the primary breast tumour (</w:t>
      </w:r>
      <w:proofErr w:type="spellStart"/>
      <w:r w:rsidRPr="0060730C">
        <w:rPr>
          <w:rFonts w:asciiTheme="minorHAnsi" w:eastAsiaTheme="minorHAnsi" w:hAnsiTheme="minorHAnsi" w:cstheme="minorBidi"/>
          <w:snapToGrid/>
          <w:sz w:val="24"/>
          <w:szCs w:val="22"/>
        </w:rPr>
        <w:t>bpCR</w:t>
      </w:r>
      <w:proofErr w:type="spellEnd"/>
      <w:r w:rsidRPr="0060730C">
        <w:rPr>
          <w:rFonts w:asciiTheme="minorHAnsi" w:eastAsiaTheme="minorHAnsi" w:hAnsiTheme="minorHAnsi" w:cstheme="minorBidi"/>
          <w:snapToGrid/>
          <w:sz w:val="24"/>
          <w:szCs w:val="22"/>
        </w:rPr>
        <w:t xml:space="preserve">). The adjusted ratio was found to be 1.259 with a 90% confidence interval (CI) of (1.112, 1.426) </w:t>
      </w:r>
      <w:r w:rsidR="00881520" w:rsidRPr="0060730C">
        <w:rPr>
          <w:rFonts w:asciiTheme="minorHAnsi" w:eastAsiaTheme="minorHAnsi" w:hAnsiTheme="minorHAnsi" w:cstheme="minorBidi"/>
          <w:snapToGrid/>
          <w:sz w:val="24"/>
          <w:szCs w:val="22"/>
        </w:rPr>
        <w:t xml:space="preserve">which the </w:t>
      </w:r>
      <w:r w:rsidR="00502733">
        <w:rPr>
          <w:rFonts w:asciiTheme="minorHAnsi" w:eastAsiaTheme="minorHAnsi" w:hAnsiTheme="minorHAnsi" w:cstheme="minorBidi"/>
          <w:snapToGrid/>
          <w:sz w:val="24"/>
          <w:szCs w:val="22"/>
        </w:rPr>
        <w:t xml:space="preserve">TGA </w:t>
      </w:r>
      <w:r w:rsidR="00881520" w:rsidRPr="0060730C">
        <w:rPr>
          <w:rFonts w:asciiTheme="minorHAnsi" w:eastAsiaTheme="minorHAnsi" w:hAnsiTheme="minorHAnsi" w:cstheme="minorBidi"/>
          <w:snapToGrid/>
          <w:sz w:val="24"/>
          <w:szCs w:val="22"/>
        </w:rPr>
        <w:t>Delegate found to be</w:t>
      </w:r>
      <w:r w:rsidR="004A65A3" w:rsidRPr="0060730C">
        <w:rPr>
          <w:rFonts w:asciiTheme="minorHAnsi" w:eastAsiaTheme="minorHAnsi" w:hAnsiTheme="minorHAnsi" w:cstheme="minorBidi"/>
          <w:snapToGrid/>
          <w:sz w:val="24"/>
          <w:szCs w:val="22"/>
        </w:rPr>
        <w:t xml:space="preserve"> </w:t>
      </w:r>
      <w:r w:rsidRPr="0060730C">
        <w:rPr>
          <w:rFonts w:asciiTheme="minorHAnsi" w:eastAsiaTheme="minorHAnsi" w:hAnsiTheme="minorHAnsi" w:cstheme="minorBidi"/>
          <w:snapToGrid/>
          <w:sz w:val="24"/>
          <w:szCs w:val="22"/>
        </w:rPr>
        <w:t>entirely contained within the pre-defined equivalence margin of (0.785, 1.546).</w:t>
      </w:r>
    </w:p>
    <w:p w:rsidR="00AF443F" w:rsidRPr="0060730C" w:rsidRDefault="00054BEF" w:rsidP="00706F2F">
      <w:pPr>
        <w:pStyle w:val="ListParagraph"/>
        <w:widowControl/>
        <w:numPr>
          <w:ilvl w:val="1"/>
          <w:numId w:val="14"/>
        </w:numPr>
        <w:spacing w:before="120" w:after="120"/>
        <w:contextualSpacing w:val="0"/>
        <w:rPr>
          <w:rFonts w:asciiTheme="minorHAnsi" w:hAnsiTheme="minorHAnsi" w:cstheme="minorHAnsi"/>
          <w:b/>
          <w:sz w:val="20"/>
        </w:rPr>
      </w:pPr>
      <w:r w:rsidRPr="0060730C">
        <w:rPr>
          <w:rFonts w:asciiTheme="minorHAnsi" w:eastAsiaTheme="minorHAnsi" w:hAnsiTheme="minorHAnsi" w:cstheme="minorBidi"/>
          <w:snapToGrid/>
          <w:sz w:val="24"/>
          <w:szCs w:val="22"/>
        </w:rPr>
        <w:lastRenderedPageBreak/>
        <w:t>The secondary efficacy endpoints included total pathological complete response (</w:t>
      </w:r>
      <w:proofErr w:type="spellStart"/>
      <w:r w:rsidRPr="0060730C">
        <w:rPr>
          <w:rFonts w:asciiTheme="minorHAnsi" w:eastAsiaTheme="minorHAnsi" w:hAnsiTheme="minorHAnsi" w:cstheme="minorBidi"/>
          <w:snapToGrid/>
          <w:sz w:val="24"/>
          <w:szCs w:val="22"/>
        </w:rPr>
        <w:t>tpCR</w:t>
      </w:r>
      <w:proofErr w:type="spellEnd"/>
      <w:r w:rsidRPr="0060730C">
        <w:rPr>
          <w:rFonts w:asciiTheme="minorHAnsi" w:eastAsiaTheme="minorHAnsi" w:hAnsiTheme="minorHAnsi" w:cstheme="minorBidi"/>
          <w:snapToGrid/>
          <w:sz w:val="24"/>
          <w:szCs w:val="22"/>
        </w:rPr>
        <w:t>) rate, overall clinical response rate, event-free survival and overall survival.</w:t>
      </w:r>
      <w:r w:rsidR="00E84ECA" w:rsidRPr="0060730C">
        <w:rPr>
          <w:rFonts w:asciiTheme="minorHAnsi" w:eastAsiaTheme="minorHAnsi" w:hAnsiTheme="minorHAnsi" w:cstheme="minorBidi"/>
          <w:snapToGrid/>
          <w:sz w:val="24"/>
          <w:szCs w:val="22"/>
        </w:rPr>
        <w:t xml:space="preserve"> </w:t>
      </w:r>
      <w:r w:rsidR="00881520" w:rsidRPr="0060730C">
        <w:rPr>
          <w:rFonts w:asciiTheme="minorHAnsi" w:eastAsiaTheme="minorHAnsi" w:hAnsiTheme="minorHAnsi" w:cstheme="minorBidi"/>
          <w:snapToGrid/>
          <w:sz w:val="24"/>
          <w:szCs w:val="22"/>
        </w:rPr>
        <w:t xml:space="preserve">The Delegate’s overview states that </w:t>
      </w:r>
      <w:r w:rsidR="00881520" w:rsidRPr="0060730C">
        <w:rPr>
          <w:rFonts w:asciiTheme="minorHAnsi" w:eastAsiaTheme="minorHAnsi" w:hAnsiTheme="minorHAnsi" w:cstheme="minorHAnsi"/>
          <w:snapToGrid/>
          <w:sz w:val="24"/>
          <w:szCs w:val="22"/>
        </w:rPr>
        <w:t>o</w:t>
      </w:r>
      <w:r w:rsidR="00E84ECA" w:rsidRPr="0060730C">
        <w:rPr>
          <w:rFonts w:asciiTheme="minorHAnsi" w:eastAsiaTheme="minorHAnsi" w:hAnsiTheme="minorHAnsi" w:cstheme="minorHAnsi"/>
          <w:snapToGrid/>
          <w:sz w:val="24"/>
          <w:szCs w:val="22"/>
        </w:rPr>
        <w:t>ver 90% of patients achieved complete or partial resp</w:t>
      </w:r>
      <w:r w:rsidR="00966C66" w:rsidRPr="0060730C">
        <w:rPr>
          <w:rFonts w:asciiTheme="minorHAnsi" w:eastAsiaTheme="minorHAnsi" w:hAnsiTheme="minorHAnsi" w:cstheme="minorHAnsi"/>
          <w:snapToGrid/>
          <w:sz w:val="24"/>
          <w:szCs w:val="22"/>
        </w:rPr>
        <w:t xml:space="preserve">onse in both treatment groups. </w:t>
      </w:r>
      <w:r w:rsidR="00881520" w:rsidRPr="0060730C">
        <w:rPr>
          <w:rFonts w:asciiTheme="minorHAnsi" w:eastAsiaTheme="minorHAnsi" w:hAnsiTheme="minorHAnsi" w:cstheme="minorHAnsi"/>
          <w:snapToGrid/>
          <w:sz w:val="24"/>
          <w:szCs w:val="22"/>
        </w:rPr>
        <w:t>The overview also found that o</w:t>
      </w:r>
      <w:r w:rsidR="00E84ECA" w:rsidRPr="0060730C">
        <w:rPr>
          <w:rFonts w:asciiTheme="minorHAnsi" w:eastAsiaTheme="minorHAnsi" w:hAnsiTheme="minorHAnsi" w:cstheme="minorHAnsi"/>
          <w:snapToGrid/>
          <w:sz w:val="24"/>
          <w:szCs w:val="22"/>
        </w:rPr>
        <w:t xml:space="preserve">verall response rates and </w:t>
      </w:r>
      <w:proofErr w:type="spellStart"/>
      <w:r w:rsidR="00E84ECA" w:rsidRPr="0060730C">
        <w:rPr>
          <w:rFonts w:asciiTheme="minorHAnsi" w:eastAsiaTheme="minorHAnsi" w:hAnsiTheme="minorHAnsi" w:cstheme="minorHAnsi"/>
          <w:snapToGrid/>
          <w:sz w:val="24"/>
          <w:szCs w:val="22"/>
        </w:rPr>
        <w:t>tpCRs</w:t>
      </w:r>
      <w:proofErr w:type="spellEnd"/>
      <w:r w:rsidR="00E84ECA" w:rsidRPr="0060730C">
        <w:rPr>
          <w:rFonts w:asciiTheme="minorHAnsi" w:eastAsiaTheme="minorHAnsi" w:hAnsiTheme="minorHAnsi" w:cstheme="minorHAnsi"/>
          <w:snapToGrid/>
          <w:sz w:val="24"/>
          <w:szCs w:val="22"/>
        </w:rPr>
        <w:t xml:space="preserve"> were comparable be</w:t>
      </w:r>
      <w:r w:rsidR="00AF443F" w:rsidRPr="0060730C">
        <w:rPr>
          <w:rFonts w:asciiTheme="minorHAnsi" w:eastAsiaTheme="minorHAnsi" w:hAnsiTheme="minorHAnsi" w:cstheme="minorHAnsi"/>
          <w:snapToGrid/>
          <w:sz w:val="24"/>
          <w:szCs w:val="22"/>
        </w:rPr>
        <w:t>tween the two treatment groups.</w:t>
      </w:r>
    </w:p>
    <w:p w:rsidR="00BD6517" w:rsidRPr="0060730C" w:rsidRDefault="00AF443F" w:rsidP="00706F2F">
      <w:pPr>
        <w:pStyle w:val="ListParagraph"/>
        <w:widowControl/>
        <w:numPr>
          <w:ilvl w:val="1"/>
          <w:numId w:val="14"/>
        </w:numPr>
        <w:spacing w:before="120" w:after="120"/>
        <w:contextualSpacing w:val="0"/>
        <w:rPr>
          <w:rFonts w:asciiTheme="minorHAnsi" w:hAnsiTheme="minorHAnsi" w:cstheme="minorHAnsi"/>
          <w:b/>
          <w:sz w:val="24"/>
          <w:szCs w:val="24"/>
        </w:rPr>
      </w:pPr>
      <w:r w:rsidRPr="0060730C">
        <w:rPr>
          <w:rFonts w:asciiTheme="minorHAnsi" w:hAnsiTheme="minorHAnsi" w:cstheme="minorHAnsi"/>
          <w:sz w:val="24"/>
          <w:szCs w:val="24"/>
        </w:rPr>
        <w:t>The</w:t>
      </w:r>
      <w:r w:rsidR="00881520" w:rsidRPr="0060730C">
        <w:rPr>
          <w:rFonts w:asciiTheme="minorHAnsi" w:hAnsiTheme="minorHAnsi" w:cstheme="minorHAnsi"/>
          <w:sz w:val="24"/>
          <w:szCs w:val="24"/>
        </w:rPr>
        <w:t xml:space="preserve"> Delegate found that the</w:t>
      </w:r>
      <w:r w:rsidRPr="0060730C">
        <w:rPr>
          <w:rFonts w:asciiTheme="minorHAnsi" w:hAnsiTheme="minorHAnsi" w:cstheme="minorHAnsi"/>
          <w:sz w:val="24"/>
          <w:szCs w:val="24"/>
        </w:rPr>
        <w:t xml:space="preserve"> incidence of any adverse effects was comparable between the </w:t>
      </w:r>
      <w:proofErr w:type="spellStart"/>
      <w:r w:rsidRPr="0060730C">
        <w:rPr>
          <w:rFonts w:asciiTheme="minorHAnsi" w:hAnsiTheme="minorHAnsi" w:cstheme="minorHAnsi"/>
          <w:sz w:val="24"/>
          <w:szCs w:val="24"/>
        </w:rPr>
        <w:t>Ontruzant</w:t>
      </w:r>
      <w:proofErr w:type="spellEnd"/>
      <w:r w:rsidRPr="0060730C">
        <w:rPr>
          <w:rFonts w:asciiTheme="minorHAnsi" w:hAnsiTheme="minorHAnsi" w:cstheme="minorHAnsi"/>
          <w:sz w:val="24"/>
          <w:szCs w:val="24"/>
        </w:rPr>
        <w:t xml:space="preserve"> and Herceptin treatment groups during the overall study period. A total of 426 (97.5%) subjects in the </w:t>
      </w:r>
      <w:proofErr w:type="spellStart"/>
      <w:r w:rsidRPr="0060730C">
        <w:rPr>
          <w:rFonts w:asciiTheme="minorHAnsi" w:hAnsiTheme="minorHAnsi" w:cstheme="minorHAnsi"/>
          <w:sz w:val="24"/>
          <w:szCs w:val="24"/>
        </w:rPr>
        <w:t>Ontruzant</w:t>
      </w:r>
      <w:proofErr w:type="spellEnd"/>
      <w:r w:rsidRPr="0060730C">
        <w:rPr>
          <w:rFonts w:asciiTheme="minorHAnsi" w:hAnsiTheme="minorHAnsi" w:cstheme="minorHAnsi"/>
          <w:sz w:val="24"/>
          <w:szCs w:val="24"/>
        </w:rPr>
        <w:t xml:space="preserve"> treatment group and 421 (96.1%) in the Herceptin treatment group reported at least one treatment-emerg</w:t>
      </w:r>
      <w:r w:rsidR="00881520" w:rsidRPr="0060730C">
        <w:rPr>
          <w:rFonts w:asciiTheme="minorHAnsi" w:hAnsiTheme="minorHAnsi" w:cstheme="minorHAnsi"/>
          <w:sz w:val="24"/>
          <w:szCs w:val="24"/>
        </w:rPr>
        <w:t>ent adverse event (TEAE), with the overview concluding that the</w:t>
      </w:r>
      <w:r w:rsidRPr="0060730C">
        <w:rPr>
          <w:rFonts w:asciiTheme="minorHAnsi" w:hAnsiTheme="minorHAnsi" w:cstheme="minorHAnsi"/>
          <w:sz w:val="24"/>
          <w:szCs w:val="24"/>
        </w:rPr>
        <w:t xml:space="preserve"> </w:t>
      </w:r>
      <w:r w:rsidR="00F25814" w:rsidRPr="0060730C">
        <w:rPr>
          <w:rFonts w:asciiTheme="minorHAnsi" w:hAnsiTheme="minorHAnsi" w:cstheme="minorHAnsi"/>
          <w:sz w:val="24"/>
          <w:szCs w:val="24"/>
        </w:rPr>
        <w:t>incidence of specific TEAEs was</w:t>
      </w:r>
      <w:r w:rsidRPr="0060730C">
        <w:rPr>
          <w:rFonts w:asciiTheme="minorHAnsi" w:hAnsiTheme="minorHAnsi" w:cstheme="minorHAnsi"/>
          <w:sz w:val="24"/>
          <w:szCs w:val="24"/>
        </w:rPr>
        <w:t xml:space="preserve"> similar across the treatment groups.</w:t>
      </w:r>
    </w:p>
    <w:p w:rsidR="00113783" w:rsidRPr="0060730C" w:rsidRDefault="00113783" w:rsidP="00706F2F">
      <w:pPr>
        <w:pStyle w:val="ListParagraph"/>
        <w:widowControl/>
        <w:numPr>
          <w:ilvl w:val="1"/>
          <w:numId w:val="14"/>
        </w:numPr>
        <w:spacing w:before="120" w:after="120"/>
        <w:contextualSpacing w:val="0"/>
        <w:rPr>
          <w:rFonts w:asciiTheme="minorHAnsi" w:hAnsiTheme="minorHAnsi" w:cstheme="minorHAnsi"/>
          <w:b/>
          <w:sz w:val="24"/>
          <w:szCs w:val="24"/>
        </w:rPr>
      </w:pPr>
      <w:r w:rsidRPr="0060730C">
        <w:rPr>
          <w:rFonts w:asciiTheme="minorHAnsi" w:hAnsiTheme="minorHAnsi" w:cstheme="minorHAnsi"/>
          <w:sz w:val="24"/>
          <w:szCs w:val="24"/>
        </w:rPr>
        <w:t xml:space="preserve">The sponsor requested to extrapolate the results of the trial to all approved Herceptin indications, including metastatic breast cancer and metastatic gastric cancer. </w:t>
      </w:r>
    </w:p>
    <w:p w:rsidR="005D1C2D" w:rsidRPr="0060730C" w:rsidRDefault="005D1C2D" w:rsidP="00706F2F">
      <w:pPr>
        <w:pStyle w:val="Heading2"/>
        <w:keepLines/>
        <w:spacing w:before="240" w:after="120"/>
        <w:rPr>
          <w:rFonts w:asciiTheme="minorHAnsi" w:eastAsiaTheme="majorEastAsia" w:hAnsiTheme="minorHAnsi" w:cstheme="majorBidi"/>
          <w:sz w:val="28"/>
          <w:szCs w:val="28"/>
          <w:lang w:eastAsia="en-US"/>
        </w:rPr>
      </w:pPr>
      <w:r w:rsidRPr="0060730C">
        <w:rPr>
          <w:rFonts w:asciiTheme="minorHAnsi" w:eastAsiaTheme="majorEastAsia" w:hAnsiTheme="minorHAnsi" w:cstheme="majorBidi"/>
          <w:sz w:val="28"/>
          <w:szCs w:val="28"/>
          <w:lang w:eastAsia="en-US"/>
        </w:rPr>
        <w:t xml:space="preserve">Clinical claim </w:t>
      </w:r>
    </w:p>
    <w:p w:rsidR="005D1C2D" w:rsidRPr="0060730C" w:rsidRDefault="005D1C2D" w:rsidP="00706F2F">
      <w:pPr>
        <w:pStyle w:val="ListParagraph"/>
        <w:widowControl/>
        <w:numPr>
          <w:ilvl w:val="1"/>
          <w:numId w:val="14"/>
        </w:numPr>
        <w:spacing w:before="120" w:after="120"/>
        <w:contextualSpacing w:val="0"/>
        <w:rPr>
          <w:rFonts w:ascii="Arial Narrow" w:hAnsi="Arial Narrow"/>
          <w:b/>
          <w:sz w:val="20"/>
        </w:rPr>
      </w:pPr>
      <w:r w:rsidRPr="0060730C">
        <w:rPr>
          <w:rFonts w:asciiTheme="minorHAnsi" w:eastAsiaTheme="minorHAnsi" w:hAnsiTheme="minorHAnsi" w:cstheme="minorBidi"/>
          <w:snapToGrid/>
          <w:sz w:val="24"/>
          <w:szCs w:val="22"/>
        </w:rPr>
        <w:t xml:space="preserve">The submission’s clinical claim was that </w:t>
      </w:r>
      <w:proofErr w:type="spellStart"/>
      <w:r w:rsidR="00AE723A" w:rsidRPr="0060730C">
        <w:rPr>
          <w:rFonts w:asciiTheme="minorHAnsi" w:eastAsiaTheme="minorHAnsi" w:hAnsiTheme="minorHAnsi" w:cstheme="minorBidi"/>
          <w:snapToGrid/>
          <w:sz w:val="24"/>
          <w:szCs w:val="22"/>
        </w:rPr>
        <w:t>Ontruzant</w:t>
      </w:r>
      <w:proofErr w:type="spellEnd"/>
      <w:r w:rsidRPr="0060730C">
        <w:rPr>
          <w:rFonts w:asciiTheme="minorHAnsi" w:eastAsiaTheme="minorHAnsi" w:hAnsiTheme="minorHAnsi" w:cstheme="minorBidi"/>
          <w:snapToGrid/>
          <w:sz w:val="24"/>
          <w:szCs w:val="22"/>
        </w:rPr>
        <w:t xml:space="preserve"> is non-inferior in terms of comparative effectiveness, and non-inferior in terms of comparative safety, to Herceptin. </w:t>
      </w:r>
    </w:p>
    <w:p w:rsidR="00F25814" w:rsidRPr="0060730C" w:rsidRDefault="009469EF" w:rsidP="00706F2F">
      <w:pPr>
        <w:pStyle w:val="ListParagraph"/>
        <w:widowControl/>
        <w:numPr>
          <w:ilvl w:val="1"/>
          <w:numId w:val="14"/>
        </w:numPr>
        <w:spacing w:before="120" w:after="120"/>
        <w:contextualSpacing w:val="0"/>
        <w:rPr>
          <w:rFonts w:ascii="Arial Narrow" w:hAnsi="Arial Narrow"/>
          <w:b/>
          <w:sz w:val="20"/>
        </w:rPr>
      </w:pPr>
      <w:r>
        <w:rPr>
          <w:rFonts w:asciiTheme="minorHAnsi" w:eastAsiaTheme="minorHAnsi" w:hAnsiTheme="minorHAnsi" w:cstheme="minorBidi"/>
          <w:snapToGrid/>
          <w:sz w:val="24"/>
          <w:szCs w:val="22"/>
        </w:rPr>
        <w:t xml:space="preserve">The TGA was satisfied that the biosimilar brand was non-inferior in terms of both efficacy and safety compared to the reference brand. </w:t>
      </w:r>
      <w:r w:rsidR="00F25814" w:rsidRPr="0060730C">
        <w:rPr>
          <w:rFonts w:asciiTheme="minorHAnsi" w:eastAsiaTheme="minorHAnsi" w:hAnsiTheme="minorHAnsi" w:cstheme="minorBidi"/>
          <w:snapToGrid/>
          <w:sz w:val="24"/>
          <w:szCs w:val="22"/>
        </w:rPr>
        <w:t xml:space="preserve"> </w:t>
      </w:r>
    </w:p>
    <w:p w:rsidR="001B0AE4" w:rsidRPr="0060730C" w:rsidRDefault="001B0AE4" w:rsidP="00706F2F">
      <w:pPr>
        <w:pStyle w:val="ListParagraph"/>
        <w:widowControl/>
        <w:numPr>
          <w:ilvl w:val="1"/>
          <w:numId w:val="14"/>
        </w:numPr>
        <w:spacing w:after="120"/>
        <w:contextualSpacing w:val="0"/>
        <w:rPr>
          <w:rFonts w:asciiTheme="minorHAnsi" w:hAnsiTheme="minorHAnsi"/>
          <w:sz w:val="24"/>
          <w:szCs w:val="24"/>
        </w:rPr>
      </w:pPr>
      <w:r w:rsidRPr="0060730C">
        <w:rPr>
          <w:rFonts w:asciiTheme="minorHAnsi" w:hAnsiTheme="minorHAnsi"/>
          <w:sz w:val="24"/>
          <w:szCs w:val="24"/>
        </w:rPr>
        <w:t xml:space="preserve">The PBAC </w:t>
      </w:r>
      <w:r w:rsidR="006A7AB9" w:rsidRPr="0060730C">
        <w:rPr>
          <w:rFonts w:asciiTheme="minorHAnsi" w:hAnsiTheme="minorHAnsi"/>
          <w:sz w:val="24"/>
          <w:szCs w:val="24"/>
        </w:rPr>
        <w:t xml:space="preserve">considered that the claim of non-inferior comparative effectiveness and non-inferior comparative safety was reasonable. </w:t>
      </w:r>
    </w:p>
    <w:p w:rsidR="005D1C2D" w:rsidRPr="0060730C" w:rsidRDefault="005D1C2D" w:rsidP="00706F2F">
      <w:pPr>
        <w:pStyle w:val="Heading2"/>
        <w:keepLines/>
        <w:spacing w:before="240" w:after="120"/>
        <w:rPr>
          <w:rFonts w:asciiTheme="minorHAnsi" w:eastAsiaTheme="majorEastAsia" w:hAnsiTheme="minorHAnsi" w:cstheme="majorBidi"/>
          <w:sz w:val="28"/>
          <w:szCs w:val="28"/>
          <w:lang w:eastAsia="en-US"/>
        </w:rPr>
      </w:pPr>
      <w:r w:rsidRPr="0060730C">
        <w:rPr>
          <w:rFonts w:asciiTheme="minorHAnsi" w:eastAsiaTheme="majorEastAsia" w:hAnsiTheme="minorHAnsi" w:cstheme="majorBidi"/>
          <w:sz w:val="28"/>
          <w:szCs w:val="28"/>
          <w:lang w:eastAsia="en-US"/>
        </w:rPr>
        <w:t>Estimated PBS usage &amp; financial implications</w:t>
      </w:r>
    </w:p>
    <w:p w:rsidR="00A71F98" w:rsidRPr="0060730C" w:rsidRDefault="007C6884" w:rsidP="00706F2F">
      <w:pPr>
        <w:pStyle w:val="ListParagraph"/>
        <w:widowControl/>
        <w:numPr>
          <w:ilvl w:val="1"/>
          <w:numId w:val="14"/>
        </w:numPr>
        <w:spacing w:before="120" w:after="120"/>
        <w:contextualSpacing w:val="0"/>
        <w:rPr>
          <w:rFonts w:ascii="Arial Narrow" w:hAnsi="Arial Narrow"/>
          <w:b/>
          <w:sz w:val="20"/>
        </w:rPr>
      </w:pPr>
      <w:r w:rsidRPr="0060730C">
        <w:rPr>
          <w:rFonts w:asciiTheme="minorHAnsi" w:eastAsiaTheme="minorHAnsi" w:hAnsiTheme="minorHAnsi" w:cstheme="minorBidi"/>
          <w:snapToGrid/>
          <w:sz w:val="24"/>
          <w:szCs w:val="22"/>
        </w:rPr>
        <w:t xml:space="preserve">The submission stated that listing </w:t>
      </w:r>
      <w:proofErr w:type="spellStart"/>
      <w:r w:rsidR="00A71F98" w:rsidRPr="0060730C">
        <w:rPr>
          <w:rFonts w:asciiTheme="minorHAnsi" w:eastAsiaTheme="minorHAnsi" w:hAnsiTheme="minorHAnsi" w:cstheme="minorBidi"/>
          <w:snapToGrid/>
          <w:sz w:val="24"/>
          <w:szCs w:val="22"/>
        </w:rPr>
        <w:t>Ontruzant</w:t>
      </w:r>
      <w:proofErr w:type="spellEnd"/>
      <w:r w:rsidR="00A71F98" w:rsidRPr="0060730C">
        <w:rPr>
          <w:rFonts w:asciiTheme="minorHAnsi" w:eastAsiaTheme="minorHAnsi" w:hAnsiTheme="minorHAnsi" w:cstheme="minorBidi"/>
          <w:snapToGrid/>
          <w:sz w:val="24"/>
          <w:szCs w:val="22"/>
        </w:rPr>
        <w:t xml:space="preserve"> would confer cost savings to the </w:t>
      </w:r>
      <w:proofErr w:type="gramStart"/>
      <w:r w:rsidR="00A71F98" w:rsidRPr="0060730C">
        <w:rPr>
          <w:rFonts w:asciiTheme="minorHAnsi" w:eastAsiaTheme="minorHAnsi" w:hAnsiTheme="minorHAnsi" w:cstheme="minorBidi"/>
          <w:snapToGrid/>
          <w:sz w:val="24"/>
          <w:szCs w:val="22"/>
        </w:rPr>
        <w:t>PBS</w:t>
      </w:r>
      <w:proofErr w:type="gramEnd"/>
      <w:r w:rsidR="00A71F98" w:rsidRPr="0060730C">
        <w:rPr>
          <w:rFonts w:asciiTheme="minorHAnsi" w:eastAsiaTheme="minorHAnsi" w:hAnsiTheme="minorHAnsi" w:cstheme="minorBidi"/>
          <w:snapToGrid/>
          <w:sz w:val="24"/>
          <w:szCs w:val="22"/>
        </w:rPr>
        <w:t xml:space="preserve"> as it would trigger a </w:t>
      </w:r>
      <w:r w:rsidR="00B03C6F">
        <w:rPr>
          <w:rFonts w:asciiTheme="minorHAnsi" w:eastAsiaTheme="minorHAnsi" w:hAnsiTheme="minorHAnsi" w:cstheme="minorBidi"/>
          <w:snapToGrid/>
          <w:sz w:val="24"/>
          <w:szCs w:val="22"/>
        </w:rPr>
        <w:t>New Brand S</w:t>
      </w:r>
      <w:r w:rsidR="00A71F98" w:rsidRPr="0060730C">
        <w:rPr>
          <w:rFonts w:asciiTheme="minorHAnsi" w:eastAsiaTheme="minorHAnsi" w:hAnsiTheme="minorHAnsi" w:cstheme="minorBidi"/>
          <w:snapToGrid/>
          <w:sz w:val="24"/>
          <w:szCs w:val="22"/>
        </w:rPr>
        <w:t xml:space="preserve">tatutory </w:t>
      </w:r>
      <w:r w:rsidR="00B03C6F">
        <w:rPr>
          <w:rFonts w:asciiTheme="minorHAnsi" w:eastAsiaTheme="minorHAnsi" w:hAnsiTheme="minorHAnsi" w:cstheme="minorBidi"/>
          <w:snapToGrid/>
          <w:sz w:val="24"/>
          <w:szCs w:val="22"/>
        </w:rPr>
        <w:t>P</w:t>
      </w:r>
      <w:r w:rsidR="00A71F98" w:rsidRPr="0060730C">
        <w:rPr>
          <w:rFonts w:asciiTheme="minorHAnsi" w:eastAsiaTheme="minorHAnsi" w:hAnsiTheme="minorHAnsi" w:cstheme="minorBidi"/>
          <w:snapToGrid/>
          <w:sz w:val="24"/>
          <w:szCs w:val="22"/>
        </w:rPr>
        <w:t xml:space="preserve">rice </w:t>
      </w:r>
      <w:r w:rsidR="00B03C6F">
        <w:rPr>
          <w:rFonts w:asciiTheme="minorHAnsi" w:eastAsiaTheme="minorHAnsi" w:hAnsiTheme="minorHAnsi" w:cstheme="minorBidi"/>
          <w:snapToGrid/>
          <w:sz w:val="24"/>
          <w:szCs w:val="22"/>
        </w:rPr>
        <w:t>R</w:t>
      </w:r>
      <w:r w:rsidR="00A71F98" w:rsidRPr="0060730C">
        <w:rPr>
          <w:rFonts w:asciiTheme="minorHAnsi" w:eastAsiaTheme="minorHAnsi" w:hAnsiTheme="minorHAnsi" w:cstheme="minorBidi"/>
          <w:snapToGrid/>
          <w:sz w:val="24"/>
          <w:szCs w:val="22"/>
        </w:rPr>
        <w:t xml:space="preserve">eduction </w:t>
      </w:r>
      <w:r w:rsidR="00B03C6F" w:rsidRPr="004719A3">
        <w:rPr>
          <w:rFonts w:asciiTheme="minorHAnsi" w:eastAsiaTheme="minorHAnsi" w:hAnsiTheme="minorHAnsi" w:cstheme="minorBidi"/>
          <w:snapToGrid/>
          <w:sz w:val="24"/>
          <w:szCs w:val="22"/>
        </w:rPr>
        <w:t>under division 3A of Part VII of the National Health Act 1953</w:t>
      </w:r>
      <w:r w:rsidR="006236A2" w:rsidRPr="0060730C">
        <w:rPr>
          <w:rFonts w:asciiTheme="minorHAnsi" w:eastAsiaTheme="minorHAnsi" w:hAnsiTheme="minorHAnsi" w:cstheme="minorBidi"/>
          <w:snapToGrid/>
          <w:sz w:val="24"/>
          <w:szCs w:val="22"/>
        </w:rPr>
        <w:t>. The submission</w:t>
      </w:r>
      <w:r w:rsidR="00A71F98" w:rsidRPr="0060730C">
        <w:rPr>
          <w:rFonts w:asciiTheme="minorHAnsi" w:eastAsiaTheme="minorHAnsi" w:hAnsiTheme="minorHAnsi" w:cstheme="minorBidi"/>
          <w:snapToGrid/>
          <w:sz w:val="24"/>
          <w:szCs w:val="22"/>
        </w:rPr>
        <w:t xml:space="preserve"> </w:t>
      </w:r>
      <w:r w:rsidR="006236A2" w:rsidRPr="0060730C">
        <w:rPr>
          <w:rFonts w:asciiTheme="minorHAnsi" w:eastAsiaTheme="minorHAnsi" w:hAnsiTheme="minorHAnsi" w:cstheme="minorBidi"/>
          <w:snapToGrid/>
          <w:sz w:val="24"/>
          <w:szCs w:val="22"/>
        </w:rPr>
        <w:t xml:space="preserve">did </w:t>
      </w:r>
      <w:r w:rsidR="00A71F98" w:rsidRPr="0060730C">
        <w:rPr>
          <w:rFonts w:asciiTheme="minorHAnsi" w:eastAsiaTheme="minorHAnsi" w:hAnsiTheme="minorHAnsi" w:cstheme="minorBidi"/>
          <w:snapToGrid/>
          <w:sz w:val="24"/>
          <w:szCs w:val="22"/>
        </w:rPr>
        <w:t xml:space="preserve">not attempt to quantify the savings. </w:t>
      </w:r>
    </w:p>
    <w:p w:rsidR="00A71F98" w:rsidRPr="0060730C" w:rsidRDefault="00A71F98" w:rsidP="00706F2F">
      <w:pPr>
        <w:pStyle w:val="ListParagraph"/>
        <w:widowControl/>
        <w:numPr>
          <w:ilvl w:val="1"/>
          <w:numId w:val="14"/>
        </w:numPr>
        <w:spacing w:before="120" w:after="120"/>
        <w:contextualSpacing w:val="0"/>
        <w:rPr>
          <w:rFonts w:ascii="Arial Narrow" w:hAnsi="Arial Narrow"/>
          <w:b/>
          <w:sz w:val="20"/>
        </w:rPr>
      </w:pPr>
      <w:r w:rsidRPr="0060730C">
        <w:rPr>
          <w:rFonts w:asciiTheme="minorHAnsi" w:eastAsiaTheme="minorHAnsi" w:hAnsiTheme="minorHAnsi" w:cstheme="minorBidi"/>
          <w:snapToGrid/>
          <w:sz w:val="24"/>
          <w:szCs w:val="22"/>
        </w:rPr>
        <w:t>The sponsor noted that Herceptin is subject to a Special Pricing Ar</w:t>
      </w:r>
      <w:r w:rsidR="00872810" w:rsidRPr="0060730C">
        <w:rPr>
          <w:rFonts w:asciiTheme="minorHAnsi" w:eastAsiaTheme="minorHAnsi" w:hAnsiTheme="minorHAnsi" w:cstheme="minorBidi"/>
          <w:snapToGrid/>
          <w:sz w:val="24"/>
          <w:szCs w:val="22"/>
        </w:rPr>
        <w:t>rangement (SPA) and</w:t>
      </w:r>
      <w:r w:rsidR="006236A2" w:rsidRPr="0060730C">
        <w:rPr>
          <w:rFonts w:asciiTheme="minorHAnsi" w:eastAsiaTheme="minorHAnsi" w:hAnsiTheme="minorHAnsi" w:cstheme="minorBidi"/>
          <w:snapToGrid/>
          <w:sz w:val="24"/>
          <w:szCs w:val="22"/>
        </w:rPr>
        <w:t>,</w:t>
      </w:r>
      <w:r w:rsidR="00872810" w:rsidRPr="0060730C">
        <w:rPr>
          <w:rFonts w:asciiTheme="minorHAnsi" w:eastAsiaTheme="minorHAnsi" w:hAnsiTheme="minorHAnsi" w:cstheme="minorBidi"/>
          <w:snapToGrid/>
          <w:sz w:val="24"/>
          <w:szCs w:val="22"/>
        </w:rPr>
        <w:t xml:space="preserve"> as such</w:t>
      </w:r>
      <w:r w:rsidR="006236A2" w:rsidRPr="0060730C">
        <w:rPr>
          <w:rFonts w:asciiTheme="minorHAnsi" w:eastAsiaTheme="minorHAnsi" w:hAnsiTheme="minorHAnsi" w:cstheme="minorBidi"/>
          <w:snapToGrid/>
          <w:sz w:val="24"/>
          <w:szCs w:val="22"/>
        </w:rPr>
        <w:t>,</w:t>
      </w:r>
      <w:r w:rsidR="00872810" w:rsidRPr="0060730C">
        <w:rPr>
          <w:rFonts w:asciiTheme="minorHAnsi" w:eastAsiaTheme="minorHAnsi" w:hAnsiTheme="minorHAnsi" w:cstheme="minorBidi"/>
          <w:snapToGrid/>
          <w:sz w:val="24"/>
          <w:szCs w:val="22"/>
        </w:rPr>
        <w:t xml:space="preserve"> the</w:t>
      </w:r>
      <w:r w:rsidRPr="0060730C">
        <w:rPr>
          <w:rFonts w:asciiTheme="minorHAnsi" w:eastAsiaTheme="minorHAnsi" w:hAnsiTheme="minorHAnsi" w:cstheme="minorBidi"/>
          <w:snapToGrid/>
          <w:sz w:val="24"/>
          <w:szCs w:val="22"/>
        </w:rPr>
        <w:t xml:space="preserve"> proposed </w:t>
      </w:r>
      <w:r w:rsidR="00B03C6F">
        <w:rPr>
          <w:rFonts w:asciiTheme="minorHAnsi" w:eastAsiaTheme="minorHAnsi" w:hAnsiTheme="minorHAnsi" w:cstheme="minorBidi"/>
          <w:snapToGrid/>
          <w:sz w:val="24"/>
          <w:szCs w:val="22"/>
        </w:rPr>
        <w:t xml:space="preserve">AEMP </w:t>
      </w:r>
      <w:r w:rsidRPr="0060730C">
        <w:rPr>
          <w:rFonts w:asciiTheme="minorHAnsi" w:eastAsiaTheme="minorHAnsi" w:hAnsiTheme="minorHAnsi" w:cstheme="minorBidi"/>
          <w:snapToGrid/>
          <w:sz w:val="24"/>
          <w:szCs w:val="22"/>
        </w:rPr>
        <w:t xml:space="preserve">might not reflect the true effective price of </w:t>
      </w:r>
      <w:proofErr w:type="spellStart"/>
      <w:r w:rsidRPr="0060730C">
        <w:rPr>
          <w:rFonts w:asciiTheme="minorHAnsi" w:eastAsiaTheme="minorHAnsi" w:hAnsiTheme="minorHAnsi" w:cstheme="minorBidi"/>
          <w:snapToGrid/>
          <w:sz w:val="24"/>
          <w:szCs w:val="22"/>
        </w:rPr>
        <w:t>trastuzumab</w:t>
      </w:r>
      <w:proofErr w:type="spellEnd"/>
      <w:r w:rsidRPr="0060730C">
        <w:rPr>
          <w:rFonts w:asciiTheme="minorHAnsi" w:eastAsiaTheme="minorHAnsi" w:hAnsiTheme="minorHAnsi" w:cstheme="minorBidi"/>
          <w:snapToGrid/>
          <w:sz w:val="24"/>
          <w:szCs w:val="22"/>
        </w:rPr>
        <w:t xml:space="preserve">. </w:t>
      </w:r>
    </w:p>
    <w:p w:rsidR="001B0AE4" w:rsidRPr="0060730C" w:rsidRDefault="001B0AE4" w:rsidP="00706F2F">
      <w:pPr>
        <w:pStyle w:val="PBACHeading1"/>
        <w:numPr>
          <w:ilvl w:val="0"/>
          <w:numId w:val="0"/>
        </w:numPr>
        <w:spacing w:after="120"/>
        <w:ind w:left="720"/>
        <w:outlineLvl w:val="9"/>
        <w:rPr>
          <w:rFonts w:asciiTheme="minorHAnsi" w:hAnsiTheme="minorHAnsi" w:cstheme="minorHAnsi"/>
          <w:b w:val="0"/>
          <w:i/>
          <w:sz w:val="24"/>
          <w:szCs w:val="24"/>
        </w:rPr>
      </w:pPr>
      <w:r w:rsidRPr="0060730C">
        <w:rPr>
          <w:rFonts w:asciiTheme="minorHAnsi" w:hAnsiTheme="minorHAnsi" w:cstheme="minorHAnsi"/>
          <w:b w:val="0"/>
          <w:i/>
          <w:sz w:val="24"/>
          <w:szCs w:val="24"/>
        </w:rPr>
        <w:t>For more detail on PBAC’s view, see section 5 PBAC outcome.</w:t>
      </w:r>
    </w:p>
    <w:p w:rsidR="001B0AE4" w:rsidRPr="0060730C" w:rsidRDefault="001B0AE4" w:rsidP="00706F2F">
      <w:pPr>
        <w:numPr>
          <w:ilvl w:val="0"/>
          <w:numId w:val="5"/>
        </w:numPr>
        <w:spacing w:before="240" w:after="120"/>
        <w:outlineLvl w:val="0"/>
        <w:rPr>
          <w:rFonts w:asciiTheme="minorHAnsi" w:hAnsiTheme="minorHAnsi" w:cstheme="minorHAnsi"/>
          <w:b/>
          <w:bCs/>
          <w:sz w:val="32"/>
        </w:rPr>
      </w:pPr>
      <w:r w:rsidRPr="0060730C">
        <w:rPr>
          <w:rFonts w:asciiTheme="minorHAnsi" w:hAnsiTheme="minorHAnsi" w:cstheme="minorHAnsi"/>
          <w:b/>
          <w:bCs/>
          <w:sz w:val="32"/>
        </w:rPr>
        <w:t>PBAC Outcome</w:t>
      </w:r>
    </w:p>
    <w:p w:rsidR="006A7AB9" w:rsidRPr="00001E48" w:rsidRDefault="006A7AB9" w:rsidP="00706F2F">
      <w:pPr>
        <w:numPr>
          <w:ilvl w:val="1"/>
          <w:numId w:val="5"/>
        </w:numPr>
        <w:spacing w:after="120"/>
        <w:jc w:val="both"/>
        <w:rPr>
          <w:rFonts w:asciiTheme="minorHAnsi" w:hAnsiTheme="minorHAnsi" w:cstheme="minorHAnsi"/>
          <w:bCs/>
        </w:rPr>
      </w:pPr>
      <w:r w:rsidRPr="00001E48">
        <w:rPr>
          <w:rFonts w:asciiTheme="minorHAnsi" w:hAnsiTheme="minorHAnsi" w:cstheme="minorHAnsi"/>
          <w:bCs/>
        </w:rPr>
        <w:t xml:space="preserve">The PBAC recommended the listing of </w:t>
      </w:r>
      <w:proofErr w:type="spellStart"/>
      <w:r w:rsidRPr="00001E48">
        <w:rPr>
          <w:rFonts w:asciiTheme="minorHAnsi" w:hAnsiTheme="minorHAnsi" w:cstheme="minorHAnsi"/>
          <w:bCs/>
        </w:rPr>
        <w:t>trastuzumab</w:t>
      </w:r>
      <w:proofErr w:type="spellEnd"/>
      <w:r w:rsidRPr="00001E48">
        <w:rPr>
          <w:rFonts w:asciiTheme="minorHAnsi" w:hAnsiTheme="minorHAnsi" w:cstheme="minorHAnsi"/>
          <w:bCs/>
        </w:rPr>
        <w:t xml:space="preserve"> (</w:t>
      </w:r>
      <w:proofErr w:type="spellStart"/>
      <w:r w:rsidRPr="00001E48">
        <w:rPr>
          <w:rFonts w:asciiTheme="minorHAnsi" w:hAnsiTheme="minorHAnsi" w:cstheme="minorHAnsi"/>
          <w:bCs/>
        </w:rPr>
        <w:t>Ontruzant</w:t>
      </w:r>
      <w:proofErr w:type="spellEnd"/>
      <w:r w:rsidRPr="00001E48">
        <w:rPr>
          <w:rFonts w:asciiTheme="minorHAnsi" w:hAnsiTheme="minorHAnsi" w:cstheme="minorHAnsi"/>
          <w:bCs/>
        </w:rPr>
        <w:t xml:space="preserve">) as a </w:t>
      </w:r>
      <w:r w:rsidR="0060730C">
        <w:rPr>
          <w:rFonts w:asciiTheme="minorHAnsi" w:hAnsiTheme="minorHAnsi" w:cstheme="minorHAnsi"/>
          <w:bCs/>
        </w:rPr>
        <w:t xml:space="preserve">biosimilar </w:t>
      </w:r>
      <w:r w:rsidRPr="00001E48">
        <w:rPr>
          <w:rFonts w:asciiTheme="minorHAnsi" w:hAnsiTheme="minorHAnsi" w:cstheme="minorHAnsi"/>
          <w:bCs/>
        </w:rPr>
        <w:t xml:space="preserve">of </w:t>
      </w:r>
      <w:proofErr w:type="spellStart"/>
      <w:r w:rsidRPr="00001E48">
        <w:rPr>
          <w:rFonts w:asciiTheme="minorHAnsi" w:hAnsiTheme="minorHAnsi" w:cstheme="minorHAnsi"/>
          <w:bCs/>
        </w:rPr>
        <w:t>trastuzumab</w:t>
      </w:r>
      <w:proofErr w:type="spellEnd"/>
      <w:r w:rsidRPr="00001E48">
        <w:rPr>
          <w:rFonts w:asciiTheme="minorHAnsi" w:hAnsiTheme="minorHAnsi" w:cstheme="minorHAnsi"/>
          <w:bCs/>
        </w:rPr>
        <w:t xml:space="preserve"> (Herceptin) for all of the indications for which Herceptin is PBS-listed. </w:t>
      </w:r>
    </w:p>
    <w:p w:rsidR="00B63682" w:rsidRPr="00001E48" w:rsidRDefault="009E3061" w:rsidP="00706F2F">
      <w:pPr>
        <w:numPr>
          <w:ilvl w:val="1"/>
          <w:numId w:val="5"/>
        </w:numPr>
        <w:spacing w:after="120"/>
        <w:jc w:val="both"/>
        <w:rPr>
          <w:rFonts w:asciiTheme="minorHAnsi" w:hAnsiTheme="minorHAnsi" w:cstheme="minorHAnsi"/>
          <w:bCs/>
        </w:rPr>
      </w:pPr>
      <w:r w:rsidRPr="009E3061">
        <w:rPr>
          <w:rFonts w:asciiTheme="minorHAnsi" w:hAnsiTheme="minorHAnsi" w:cstheme="minorHAnsi"/>
          <w:bCs/>
        </w:rPr>
        <w:t>T</w:t>
      </w:r>
      <w:r w:rsidR="00B63682" w:rsidRPr="009E3061">
        <w:rPr>
          <w:rFonts w:asciiTheme="minorHAnsi" w:hAnsiTheme="minorHAnsi" w:cstheme="minorHAnsi"/>
          <w:bCs/>
        </w:rPr>
        <w:t>he</w:t>
      </w:r>
      <w:r w:rsidR="006A7AB9" w:rsidRPr="009E3061">
        <w:rPr>
          <w:rFonts w:asciiTheme="minorHAnsi" w:hAnsiTheme="minorHAnsi" w:cstheme="minorHAnsi"/>
          <w:bCs/>
        </w:rPr>
        <w:t xml:space="preserve"> PBAC noted the TGA</w:t>
      </w:r>
      <w:r w:rsidR="00B63682" w:rsidRPr="009E3061">
        <w:rPr>
          <w:rFonts w:asciiTheme="minorHAnsi" w:hAnsiTheme="minorHAnsi" w:cstheme="minorHAnsi"/>
          <w:bCs/>
        </w:rPr>
        <w:t xml:space="preserve"> Delegate did not have concerns</w:t>
      </w:r>
      <w:r w:rsidR="00B63682" w:rsidRPr="00001E48">
        <w:rPr>
          <w:rFonts w:asciiTheme="minorHAnsi" w:hAnsiTheme="minorHAnsi" w:cstheme="minorHAnsi"/>
          <w:bCs/>
        </w:rPr>
        <w:t xml:space="preserve"> around the clinical equivalence of </w:t>
      </w:r>
      <w:proofErr w:type="spellStart"/>
      <w:r w:rsidR="00B63682" w:rsidRPr="00001E48">
        <w:rPr>
          <w:rFonts w:asciiTheme="minorHAnsi" w:hAnsiTheme="minorHAnsi" w:cstheme="minorHAnsi"/>
          <w:bCs/>
        </w:rPr>
        <w:t>Ontruzant</w:t>
      </w:r>
      <w:proofErr w:type="spellEnd"/>
      <w:r w:rsidR="00B63682" w:rsidRPr="00001E48">
        <w:rPr>
          <w:rFonts w:asciiTheme="minorHAnsi" w:hAnsiTheme="minorHAnsi" w:cstheme="minorHAnsi"/>
          <w:bCs/>
        </w:rPr>
        <w:t xml:space="preserve"> with respect to </w:t>
      </w:r>
      <w:r w:rsidR="0060730C" w:rsidRPr="0060730C">
        <w:rPr>
          <w:rFonts w:asciiTheme="minorHAnsi" w:hAnsiTheme="minorHAnsi" w:cstheme="minorHAnsi"/>
          <w:bCs/>
        </w:rPr>
        <w:t>Herceptin</w:t>
      </w:r>
      <w:r w:rsidR="00B63682" w:rsidRPr="00001E48">
        <w:rPr>
          <w:rFonts w:asciiTheme="minorHAnsi" w:hAnsiTheme="minorHAnsi" w:cstheme="minorHAnsi"/>
          <w:bCs/>
        </w:rPr>
        <w:t xml:space="preserve"> for early breast cancer, locally advanced breast cancer, metastatic breast cancer, and advanced gastric cancer. The </w:t>
      </w:r>
      <w:r w:rsidR="00B63682" w:rsidRPr="00001E48">
        <w:rPr>
          <w:rFonts w:asciiTheme="minorHAnsi" w:hAnsiTheme="minorHAnsi" w:cstheme="minorHAnsi"/>
          <w:bCs/>
        </w:rPr>
        <w:lastRenderedPageBreak/>
        <w:t>PBAC also noted that the safety data from the key trial did not show clinically significant differences in any of the safety outcomes assessed</w:t>
      </w:r>
      <w:r w:rsidR="0060730C">
        <w:rPr>
          <w:rFonts w:asciiTheme="minorHAnsi" w:hAnsiTheme="minorHAnsi" w:cstheme="minorHAnsi"/>
          <w:bCs/>
        </w:rPr>
        <w:t xml:space="preserve">. </w:t>
      </w:r>
    </w:p>
    <w:p w:rsidR="006A7AB9" w:rsidRPr="00001E48" w:rsidRDefault="006A7AB9" w:rsidP="00706F2F">
      <w:pPr>
        <w:numPr>
          <w:ilvl w:val="1"/>
          <w:numId w:val="5"/>
        </w:numPr>
        <w:spacing w:after="120"/>
        <w:jc w:val="both"/>
        <w:rPr>
          <w:rFonts w:asciiTheme="minorHAnsi" w:hAnsiTheme="minorHAnsi" w:cstheme="minorHAnsi"/>
          <w:bCs/>
        </w:rPr>
      </w:pPr>
      <w:r w:rsidRPr="0060730C">
        <w:rPr>
          <w:rFonts w:asciiTheme="minorHAnsi" w:eastAsiaTheme="minorHAnsi" w:hAnsiTheme="minorHAnsi" w:cstheme="minorBidi"/>
          <w:szCs w:val="22"/>
        </w:rPr>
        <w:t xml:space="preserve">The PBAC advised there would not be clinical or other concerns about appropriate use of medicines if a policy decision </w:t>
      </w:r>
      <w:proofErr w:type="gramStart"/>
      <w:r w:rsidRPr="0060730C">
        <w:rPr>
          <w:rFonts w:asciiTheme="minorHAnsi" w:eastAsiaTheme="minorHAnsi" w:hAnsiTheme="minorHAnsi" w:cstheme="minorBidi"/>
          <w:szCs w:val="22"/>
        </w:rPr>
        <w:t>were made</w:t>
      </w:r>
      <w:proofErr w:type="gramEnd"/>
      <w:r w:rsidRPr="0060730C">
        <w:rPr>
          <w:rFonts w:asciiTheme="minorHAnsi" w:eastAsiaTheme="minorHAnsi" w:hAnsiTheme="minorHAnsi" w:cstheme="minorBidi"/>
          <w:szCs w:val="22"/>
        </w:rPr>
        <w:t xml:space="preserve"> to lower the authority requirement for the reference biological medicine to align with the biosimilar brand(s).</w:t>
      </w:r>
    </w:p>
    <w:p w:rsidR="006A7AB9" w:rsidRPr="00001E48" w:rsidRDefault="006A7AB9" w:rsidP="00706F2F">
      <w:pPr>
        <w:numPr>
          <w:ilvl w:val="1"/>
          <w:numId w:val="5"/>
        </w:numPr>
        <w:spacing w:after="120"/>
        <w:jc w:val="both"/>
        <w:rPr>
          <w:rFonts w:asciiTheme="minorHAnsi" w:hAnsiTheme="minorHAnsi" w:cstheme="minorHAnsi"/>
          <w:bCs/>
        </w:rPr>
      </w:pPr>
      <w:r w:rsidRPr="0060730C">
        <w:rPr>
          <w:rFonts w:asciiTheme="minorHAnsi" w:eastAsiaTheme="minorHAnsi" w:hAnsiTheme="minorHAnsi" w:cstheme="minorBidi"/>
          <w:szCs w:val="22"/>
        </w:rPr>
        <w:t xml:space="preserve">The PBAC considered that it would be suitable for all </w:t>
      </w:r>
      <w:proofErr w:type="spellStart"/>
      <w:r w:rsidRPr="0060730C">
        <w:rPr>
          <w:rFonts w:asciiTheme="minorHAnsi" w:eastAsiaTheme="minorHAnsi" w:hAnsiTheme="minorHAnsi" w:cstheme="minorBidi"/>
          <w:szCs w:val="22"/>
        </w:rPr>
        <w:t>trastuzumab</w:t>
      </w:r>
      <w:proofErr w:type="spellEnd"/>
      <w:r w:rsidRPr="0060730C">
        <w:rPr>
          <w:rFonts w:asciiTheme="minorHAnsi" w:eastAsiaTheme="minorHAnsi" w:hAnsiTheme="minorHAnsi" w:cstheme="minorBidi"/>
          <w:szCs w:val="22"/>
        </w:rPr>
        <w:t xml:space="preserve"> listings, across all indications, to </w:t>
      </w:r>
      <w:proofErr w:type="gramStart"/>
      <w:r w:rsidRPr="0060730C">
        <w:rPr>
          <w:rFonts w:asciiTheme="minorHAnsi" w:eastAsiaTheme="minorHAnsi" w:hAnsiTheme="minorHAnsi" w:cstheme="minorBidi"/>
          <w:szCs w:val="22"/>
        </w:rPr>
        <w:t>be made</w:t>
      </w:r>
      <w:proofErr w:type="gramEnd"/>
      <w:r w:rsidRPr="0060730C">
        <w:rPr>
          <w:rFonts w:asciiTheme="minorHAnsi" w:eastAsiaTheme="minorHAnsi" w:hAnsiTheme="minorHAnsi" w:cstheme="minorBidi"/>
          <w:szCs w:val="22"/>
        </w:rPr>
        <w:t xml:space="preserve"> Authority Required (STREAMLINED), with a change in wording to allow adjuvant or </w:t>
      </w:r>
      <w:proofErr w:type="spellStart"/>
      <w:r w:rsidRPr="0060730C">
        <w:rPr>
          <w:rFonts w:asciiTheme="minorHAnsi" w:eastAsiaTheme="minorHAnsi" w:hAnsiTheme="minorHAnsi" w:cstheme="minorBidi"/>
          <w:szCs w:val="22"/>
        </w:rPr>
        <w:t>neoadjuvant</w:t>
      </w:r>
      <w:proofErr w:type="spellEnd"/>
      <w:r w:rsidRPr="0060730C">
        <w:rPr>
          <w:rFonts w:asciiTheme="minorHAnsi" w:eastAsiaTheme="minorHAnsi" w:hAnsiTheme="minorHAnsi" w:cstheme="minorBidi"/>
          <w:szCs w:val="22"/>
        </w:rPr>
        <w:t xml:space="preserve"> treatment for ea</w:t>
      </w:r>
      <w:r w:rsidR="001924E8">
        <w:rPr>
          <w:rFonts w:asciiTheme="minorHAnsi" w:eastAsiaTheme="minorHAnsi" w:hAnsiTheme="minorHAnsi" w:cstheme="minorBidi"/>
          <w:szCs w:val="22"/>
        </w:rPr>
        <w:t>rly breast cancer, and to allow treatment in combination with any platinum chemotherapy for advanced gastric cancer.</w:t>
      </w:r>
      <w:r w:rsidRPr="0060730C">
        <w:rPr>
          <w:rFonts w:asciiTheme="minorHAnsi" w:eastAsiaTheme="minorHAnsi" w:hAnsiTheme="minorHAnsi" w:cstheme="minorBidi"/>
          <w:szCs w:val="22"/>
        </w:rPr>
        <w:t xml:space="preserve"> The PBAC also recommended the removal of the ‘locally advanced’ indication and for the written authority requirement to remain for </w:t>
      </w:r>
      <w:proofErr w:type="spellStart"/>
      <w:r w:rsidRPr="0060730C">
        <w:rPr>
          <w:rFonts w:asciiTheme="minorHAnsi" w:eastAsiaTheme="minorHAnsi" w:hAnsiTheme="minorHAnsi" w:cstheme="minorBidi"/>
          <w:szCs w:val="22"/>
        </w:rPr>
        <w:t>pertuzumab</w:t>
      </w:r>
      <w:proofErr w:type="spellEnd"/>
      <w:r w:rsidR="000B5DBD">
        <w:rPr>
          <w:rFonts w:asciiTheme="minorHAnsi" w:eastAsiaTheme="minorHAnsi" w:hAnsiTheme="minorHAnsi" w:cstheme="minorBidi"/>
          <w:szCs w:val="22"/>
        </w:rPr>
        <w:t xml:space="preserve">, </w:t>
      </w:r>
      <w:proofErr w:type="spellStart"/>
      <w:r w:rsidRPr="0060730C">
        <w:rPr>
          <w:rFonts w:asciiTheme="minorHAnsi" w:eastAsiaTheme="minorHAnsi" w:hAnsiTheme="minorHAnsi" w:cstheme="minorBidi"/>
          <w:szCs w:val="22"/>
        </w:rPr>
        <w:t>trastuzumab</w:t>
      </w:r>
      <w:proofErr w:type="spellEnd"/>
      <w:r w:rsidRPr="0060730C">
        <w:rPr>
          <w:rFonts w:asciiTheme="minorHAnsi" w:eastAsiaTheme="minorHAnsi" w:hAnsiTheme="minorHAnsi" w:cstheme="minorBidi"/>
          <w:szCs w:val="22"/>
        </w:rPr>
        <w:t xml:space="preserve"> </w:t>
      </w:r>
      <w:proofErr w:type="spellStart"/>
      <w:r w:rsidRPr="0060730C">
        <w:rPr>
          <w:rFonts w:asciiTheme="minorHAnsi" w:eastAsiaTheme="minorHAnsi" w:hAnsiTheme="minorHAnsi" w:cstheme="minorBidi"/>
          <w:szCs w:val="22"/>
        </w:rPr>
        <w:t>emtansine</w:t>
      </w:r>
      <w:proofErr w:type="spellEnd"/>
      <w:r w:rsidRPr="0060730C">
        <w:rPr>
          <w:rFonts w:asciiTheme="minorHAnsi" w:eastAsiaTheme="minorHAnsi" w:hAnsiTheme="minorHAnsi" w:cstheme="minorBidi"/>
          <w:szCs w:val="22"/>
        </w:rPr>
        <w:t xml:space="preserve"> and </w:t>
      </w:r>
      <w:proofErr w:type="spellStart"/>
      <w:r w:rsidRPr="0060730C">
        <w:rPr>
          <w:rFonts w:asciiTheme="minorHAnsi" w:eastAsiaTheme="minorHAnsi" w:hAnsiTheme="minorHAnsi" w:cstheme="minorBidi"/>
          <w:szCs w:val="22"/>
        </w:rPr>
        <w:t>lapatinib</w:t>
      </w:r>
      <w:proofErr w:type="spellEnd"/>
      <w:r w:rsidRPr="0060730C">
        <w:rPr>
          <w:rFonts w:asciiTheme="minorHAnsi" w:eastAsiaTheme="minorHAnsi" w:hAnsiTheme="minorHAnsi" w:cstheme="minorBidi"/>
          <w:szCs w:val="22"/>
        </w:rPr>
        <w:t xml:space="preserve"> in metastatic breast cancer</w:t>
      </w:r>
      <w:r w:rsidR="0060730C">
        <w:rPr>
          <w:rFonts w:asciiTheme="minorHAnsi" w:eastAsiaTheme="minorHAnsi" w:hAnsiTheme="minorHAnsi" w:cstheme="minorBidi"/>
          <w:szCs w:val="22"/>
        </w:rPr>
        <w:t xml:space="preserve">. </w:t>
      </w:r>
    </w:p>
    <w:p w:rsidR="006A7AB9" w:rsidRPr="00001E48" w:rsidRDefault="006A7AB9" w:rsidP="00706F2F">
      <w:pPr>
        <w:numPr>
          <w:ilvl w:val="1"/>
          <w:numId w:val="5"/>
        </w:numPr>
        <w:spacing w:after="120"/>
        <w:jc w:val="both"/>
        <w:rPr>
          <w:rFonts w:asciiTheme="minorHAnsi" w:hAnsiTheme="minorHAnsi" w:cstheme="minorHAnsi"/>
          <w:b/>
          <w:bCs/>
        </w:rPr>
      </w:pPr>
      <w:r w:rsidRPr="00001E48">
        <w:rPr>
          <w:rFonts w:asciiTheme="minorHAnsi" w:hAnsiTheme="minorHAnsi" w:cstheme="minorHAnsi"/>
          <w:bCs/>
        </w:rPr>
        <w:t xml:space="preserve">The PBAC advised that, under Section 101(4AACD) of the </w:t>
      </w:r>
      <w:r w:rsidRPr="00001E48">
        <w:rPr>
          <w:rFonts w:asciiTheme="minorHAnsi" w:hAnsiTheme="minorHAnsi" w:cstheme="minorHAnsi"/>
          <w:bCs/>
          <w:i/>
        </w:rPr>
        <w:t>National Health Act, 1953</w:t>
      </w:r>
      <w:r w:rsidRPr="00001E48">
        <w:rPr>
          <w:rFonts w:asciiTheme="minorHAnsi" w:hAnsiTheme="minorHAnsi" w:cstheme="minorHAnsi"/>
          <w:bCs/>
        </w:rPr>
        <w:t xml:space="preserve">, in the Schedule of Pharmaceutical Benefits, </w:t>
      </w:r>
      <w:proofErr w:type="spellStart"/>
      <w:r w:rsidRPr="00001E48">
        <w:rPr>
          <w:rFonts w:asciiTheme="minorHAnsi" w:hAnsiTheme="minorHAnsi" w:cstheme="minorHAnsi"/>
          <w:bCs/>
        </w:rPr>
        <w:t>Ontruzant</w:t>
      </w:r>
      <w:proofErr w:type="spellEnd"/>
      <w:r w:rsidRPr="00001E48">
        <w:rPr>
          <w:rFonts w:asciiTheme="minorHAnsi" w:hAnsiTheme="minorHAnsi" w:cstheme="minorHAnsi"/>
          <w:bCs/>
        </w:rPr>
        <w:t xml:space="preserve"> and Herceptin intravenous injections </w:t>
      </w:r>
      <w:proofErr w:type="gramStart"/>
      <w:r w:rsidRPr="00001E48">
        <w:rPr>
          <w:rFonts w:asciiTheme="minorHAnsi" w:hAnsiTheme="minorHAnsi" w:cstheme="minorHAnsi"/>
          <w:bCs/>
        </w:rPr>
        <w:t>should be treated</w:t>
      </w:r>
      <w:proofErr w:type="gramEnd"/>
      <w:r w:rsidRPr="00001E48">
        <w:rPr>
          <w:rFonts w:asciiTheme="minorHAnsi" w:hAnsiTheme="minorHAnsi" w:cstheme="minorHAnsi"/>
          <w:bCs/>
        </w:rPr>
        <w:t xml:space="preserve"> as equivalent to each other. </w:t>
      </w:r>
    </w:p>
    <w:p w:rsidR="006A7AB9" w:rsidRPr="00001E48" w:rsidRDefault="006A7AB9" w:rsidP="00706F2F">
      <w:pPr>
        <w:numPr>
          <w:ilvl w:val="1"/>
          <w:numId w:val="5"/>
        </w:numPr>
        <w:spacing w:after="120"/>
        <w:jc w:val="both"/>
        <w:rPr>
          <w:rFonts w:asciiTheme="minorHAnsi" w:hAnsiTheme="minorHAnsi" w:cstheme="minorHAnsi"/>
          <w:bCs/>
        </w:rPr>
      </w:pPr>
      <w:r w:rsidRPr="0060730C">
        <w:rPr>
          <w:rFonts w:asciiTheme="minorHAnsi" w:eastAsiaTheme="minorHAnsi" w:hAnsiTheme="minorHAnsi" w:cstheme="minorBidi"/>
          <w:szCs w:val="22"/>
        </w:rPr>
        <w:t>The PBAC also considered that application of biosimilar uptake drivers would be appropriate</w:t>
      </w:r>
      <w:r w:rsidR="00D852DE" w:rsidRPr="0060730C">
        <w:rPr>
          <w:rFonts w:asciiTheme="minorHAnsi" w:eastAsiaTheme="minorHAnsi" w:hAnsiTheme="minorHAnsi" w:cstheme="minorBidi"/>
          <w:szCs w:val="22"/>
        </w:rPr>
        <w:t>.</w:t>
      </w:r>
      <w:r w:rsidRPr="0060730C">
        <w:rPr>
          <w:rFonts w:asciiTheme="minorHAnsi" w:eastAsiaTheme="minorHAnsi" w:hAnsiTheme="minorHAnsi" w:cstheme="minorBidi"/>
          <w:szCs w:val="22"/>
        </w:rPr>
        <w:t xml:space="preserve"> </w:t>
      </w:r>
    </w:p>
    <w:p w:rsidR="006A7AB9" w:rsidRPr="00001E48" w:rsidRDefault="006A7AB9" w:rsidP="00706F2F">
      <w:pPr>
        <w:numPr>
          <w:ilvl w:val="1"/>
          <w:numId w:val="5"/>
        </w:numPr>
        <w:spacing w:after="120"/>
        <w:jc w:val="both"/>
        <w:rPr>
          <w:rFonts w:asciiTheme="minorHAnsi" w:hAnsiTheme="minorHAnsi" w:cstheme="minorHAnsi"/>
          <w:b/>
          <w:bCs/>
        </w:rPr>
      </w:pPr>
      <w:r w:rsidRPr="00001E48">
        <w:rPr>
          <w:rFonts w:asciiTheme="minorHAnsi" w:hAnsiTheme="minorHAnsi" w:cstheme="minorHAnsi"/>
          <w:bCs/>
        </w:rPr>
        <w:t>The PBAC reiterated its previous ad</w:t>
      </w:r>
      <w:r w:rsidR="00992F30">
        <w:rPr>
          <w:rFonts w:asciiTheme="minorHAnsi" w:hAnsiTheme="minorHAnsi" w:cstheme="minorHAnsi"/>
          <w:bCs/>
        </w:rPr>
        <w:t xml:space="preserve">vice that </w:t>
      </w:r>
      <w:proofErr w:type="spellStart"/>
      <w:r w:rsidR="00992F30">
        <w:rPr>
          <w:rFonts w:asciiTheme="minorHAnsi" w:hAnsiTheme="minorHAnsi" w:cstheme="minorHAnsi"/>
          <w:bCs/>
        </w:rPr>
        <w:t>trastuzumab</w:t>
      </w:r>
      <w:proofErr w:type="spellEnd"/>
      <w:r w:rsidR="00992F30">
        <w:rPr>
          <w:rFonts w:asciiTheme="minorHAnsi" w:hAnsiTheme="minorHAnsi" w:cstheme="minorHAnsi"/>
          <w:bCs/>
        </w:rPr>
        <w:t xml:space="preserve"> should</w:t>
      </w:r>
      <w:r w:rsidRPr="00001E48">
        <w:rPr>
          <w:rFonts w:asciiTheme="minorHAnsi" w:hAnsiTheme="minorHAnsi" w:cstheme="minorHAnsi"/>
          <w:bCs/>
        </w:rPr>
        <w:t xml:space="preserve"> be exempt from the Early Supply Rule. </w:t>
      </w:r>
    </w:p>
    <w:p w:rsidR="00D852DE" w:rsidRPr="00001E48" w:rsidRDefault="006A7AB9" w:rsidP="00706F2F">
      <w:pPr>
        <w:numPr>
          <w:ilvl w:val="1"/>
          <w:numId w:val="5"/>
        </w:numPr>
        <w:spacing w:after="120"/>
        <w:jc w:val="both"/>
        <w:rPr>
          <w:rFonts w:asciiTheme="minorHAnsi" w:hAnsiTheme="minorHAnsi" w:cstheme="minorHAnsi"/>
          <w:b/>
          <w:bCs/>
        </w:rPr>
      </w:pPr>
      <w:r w:rsidRPr="00001E48">
        <w:rPr>
          <w:rFonts w:asciiTheme="minorHAnsi" w:hAnsiTheme="minorHAnsi" w:cstheme="minorHAnsi"/>
          <w:bCs/>
        </w:rPr>
        <w:t xml:space="preserve">The PBAC reiterated its previous advice that </w:t>
      </w:r>
      <w:proofErr w:type="spellStart"/>
      <w:r w:rsidRPr="00001E48">
        <w:rPr>
          <w:rFonts w:asciiTheme="minorHAnsi" w:hAnsiTheme="minorHAnsi" w:cstheme="minorHAnsi"/>
          <w:bCs/>
        </w:rPr>
        <w:t>trastuzumab</w:t>
      </w:r>
      <w:proofErr w:type="spellEnd"/>
      <w:r w:rsidRPr="00001E48">
        <w:rPr>
          <w:rFonts w:asciiTheme="minorHAnsi" w:hAnsiTheme="minorHAnsi" w:cstheme="minorHAnsi"/>
          <w:bCs/>
        </w:rPr>
        <w:t xml:space="preserve"> is not suitable for prescribing by nurse practitioners.</w:t>
      </w:r>
    </w:p>
    <w:p w:rsidR="006A7AB9" w:rsidRPr="00001E48" w:rsidRDefault="00D852DE" w:rsidP="00706F2F">
      <w:pPr>
        <w:numPr>
          <w:ilvl w:val="1"/>
          <w:numId w:val="5"/>
        </w:numPr>
        <w:spacing w:after="120"/>
        <w:jc w:val="both"/>
        <w:rPr>
          <w:rFonts w:asciiTheme="minorHAnsi" w:hAnsiTheme="minorHAnsi" w:cstheme="minorHAnsi"/>
          <w:b/>
          <w:bCs/>
        </w:rPr>
      </w:pPr>
      <w:r w:rsidRPr="00001E48">
        <w:rPr>
          <w:rFonts w:asciiTheme="minorHAnsi" w:hAnsiTheme="minorHAnsi" w:cstheme="minorHAnsi"/>
          <w:bCs/>
        </w:rPr>
        <w:t xml:space="preserve">The PBAC noted this recommendation does not include the drug </w:t>
      </w:r>
      <w:proofErr w:type="spellStart"/>
      <w:r w:rsidRPr="00001E48">
        <w:rPr>
          <w:rFonts w:asciiTheme="minorHAnsi" w:hAnsiTheme="minorHAnsi" w:cstheme="minorHAnsi"/>
          <w:bCs/>
        </w:rPr>
        <w:t>trastuzumab</w:t>
      </w:r>
      <w:proofErr w:type="spellEnd"/>
      <w:r w:rsidRPr="00001E48">
        <w:rPr>
          <w:rFonts w:asciiTheme="minorHAnsi" w:hAnsiTheme="minorHAnsi" w:cstheme="minorHAnsi"/>
          <w:bCs/>
        </w:rPr>
        <w:t xml:space="preserve"> </w:t>
      </w:r>
      <w:proofErr w:type="spellStart"/>
      <w:r w:rsidRPr="00001E48">
        <w:rPr>
          <w:rFonts w:asciiTheme="minorHAnsi" w:hAnsiTheme="minorHAnsi" w:cstheme="minorHAnsi"/>
          <w:bCs/>
        </w:rPr>
        <w:t>emtansine</w:t>
      </w:r>
      <w:proofErr w:type="spellEnd"/>
      <w:r w:rsidRPr="00001E48">
        <w:rPr>
          <w:rFonts w:asciiTheme="minorHAnsi" w:hAnsiTheme="minorHAnsi" w:cstheme="minorHAnsi"/>
          <w:bCs/>
        </w:rPr>
        <w:t>.</w:t>
      </w:r>
      <w:r w:rsidR="006A7AB9" w:rsidRPr="00001E48">
        <w:rPr>
          <w:rFonts w:asciiTheme="minorHAnsi" w:hAnsiTheme="minorHAnsi" w:cstheme="minorHAnsi"/>
          <w:bCs/>
        </w:rPr>
        <w:t xml:space="preserve"> </w:t>
      </w:r>
    </w:p>
    <w:p w:rsidR="006A7AB9" w:rsidRPr="00001E48" w:rsidRDefault="006A7AB9" w:rsidP="00706F2F">
      <w:pPr>
        <w:numPr>
          <w:ilvl w:val="1"/>
          <w:numId w:val="5"/>
        </w:numPr>
        <w:spacing w:after="120"/>
        <w:jc w:val="both"/>
        <w:rPr>
          <w:rFonts w:asciiTheme="minorHAnsi" w:hAnsiTheme="minorHAnsi" w:cstheme="minorHAnsi"/>
          <w:b/>
          <w:bCs/>
        </w:rPr>
      </w:pPr>
      <w:r w:rsidRPr="00001E48">
        <w:rPr>
          <w:rFonts w:asciiTheme="minorHAnsi" w:hAnsiTheme="minorHAnsi" w:cstheme="minorHAnsi"/>
          <w:bCs/>
        </w:rPr>
        <w:t>The PBAC noted that this submission is not eligible for an I</w:t>
      </w:r>
      <w:r w:rsidR="007C543D" w:rsidRPr="00001E48">
        <w:rPr>
          <w:rFonts w:asciiTheme="minorHAnsi" w:hAnsiTheme="minorHAnsi" w:cstheme="minorHAnsi"/>
          <w:bCs/>
        </w:rPr>
        <w:t>ndependent Review as it was</w:t>
      </w:r>
      <w:r w:rsidRPr="00001E48">
        <w:rPr>
          <w:rFonts w:asciiTheme="minorHAnsi" w:hAnsiTheme="minorHAnsi" w:cstheme="minorHAnsi"/>
          <w:bCs/>
        </w:rPr>
        <w:t xml:space="preserve"> a positive recommendation</w:t>
      </w:r>
      <w:r w:rsidR="0060730C">
        <w:rPr>
          <w:rFonts w:asciiTheme="minorHAnsi" w:hAnsiTheme="minorHAnsi" w:cstheme="minorHAnsi"/>
          <w:bCs/>
        </w:rPr>
        <w:t xml:space="preserve">. </w:t>
      </w:r>
    </w:p>
    <w:p w:rsidR="001B0AE4" w:rsidRPr="00001E48" w:rsidRDefault="001B0AE4" w:rsidP="00706F2F">
      <w:pPr>
        <w:keepNext/>
        <w:spacing w:after="120"/>
        <w:rPr>
          <w:rFonts w:asciiTheme="minorHAnsi" w:hAnsiTheme="minorHAnsi" w:cstheme="minorHAnsi"/>
          <w:b/>
          <w:bCs/>
        </w:rPr>
      </w:pPr>
      <w:r w:rsidRPr="00001E48">
        <w:rPr>
          <w:rFonts w:asciiTheme="minorHAnsi" w:hAnsiTheme="minorHAnsi" w:cstheme="minorHAnsi"/>
          <w:b/>
          <w:bCs/>
        </w:rPr>
        <w:t>Outcome:</w:t>
      </w:r>
    </w:p>
    <w:p w:rsidR="001B0AE4" w:rsidRPr="00001E48" w:rsidRDefault="001B0AE4" w:rsidP="00706F2F">
      <w:pPr>
        <w:spacing w:after="120"/>
        <w:rPr>
          <w:rFonts w:asciiTheme="minorHAnsi" w:hAnsiTheme="minorHAnsi" w:cstheme="minorHAnsi"/>
          <w:bCs/>
        </w:rPr>
      </w:pPr>
      <w:r w:rsidRPr="00001E48">
        <w:rPr>
          <w:rFonts w:asciiTheme="minorHAnsi" w:hAnsiTheme="minorHAnsi" w:cstheme="minorHAnsi"/>
          <w:bCs/>
        </w:rPr>
        <w:t>R</w:t>
      </w:r>
      <w:r w:rsidR="006A7AB9" w:rsidRPr="00001E48">
        <w:rPr>
          <w:rFonts w:asciiTheme="minorHAnsi" w:hAnsiTheme="minorHAnsi" w:cstheme="minorHAnsi"/>
          <w:bCs/>
        </w:rPr>
        <w:t>ecommended</w:t>
      </w:r>
    </w:p>
    <w:p w:rsidR="001B0AE4" w:rsidRPr="0060730C" w:rsidRDefault="001B0AE4" w:rsidP="00706F2F">
      <w:pPr>
        <w:numPr>
          <w:ilvl w:val="0"/>
          <w:numId w:val="5"/>
        </w:numPr>
        <w:spacing w:before="240" w:after="120"/>
        <w:outlineLvl w:val="0"/>
        <w:rPr>
          <w:rFonts w:asciiTheme="minorHAnsi" w:hAnsiTheme="minorHAnsi" w:cstheme="minorHAnsi"/>
          <w:b/>
          <w:bCs/>
          <w:sz w:val="32"/>
        </w:rPr>
      </w:pPr>
      <w:r w:rsidRPr="0060730C">
        <w:rPr>
          <w:rFonts w:asciiTheme="minorHAnsi" w:hAnsiTheme="minorHAnsi" w:cstheme="minorHAnsi"/>
          <w:b/>
          <w:bCs/>
          <w:sz w:val="32"/>
        </w:rPr>
        <w:t>Recommended listing</w:t>
      </w:r>
    </w:p>
    <w:p w:rsidR="00086215" w:rsidRPr="00086215" w:rsidRDefault="006A7AB9" w:rsidP="00706F2F">
      <w:pPr>
        <w:numPr>
          <w:ilvl w:val="1"/>
          <w:numId w:val="5"/>
        </w:numPr>
        <w:spacing w:after="120"/>
        <w:rPr>
          <w:rFonts w:asciiTheme="minorHAnsi" w:hAnsiTheme="minorHAnsi" w:cstheme="minorHAnsi"/>
        </w:rPr>
      </w:pPr>
      <w:r w:rsidRPr="0060730C">
        <w:rPr>
          <w:rFonts w:asciiTheme="minorHAnsi" w:hAnsiTheme="minorHAnsi" w:cstheme="minorHAnsi"/>
          <w:bCs/>
        </w:rPr>
        <w:t xml:space="preserve">Restriction to be finalised. </w:t>
      </w:r>
    </w:p>
    <w:p w:rsidR="00086215" w:rsidRPr="00086215" w:rsidRDefault="00086215" w:rsidP="00706F2F">
      <w:pPr>
        <w:numPr>
          <w:ilvl w:val="0"/>
          <w:numId w:val="5"/>
        </w:numPr>
        <w:spacing w:before="240" w:after="120"/>
        <w:outlineLvl w:val="0"/>
        <w:rPr>
          <w:rFonts w:asciiTheme="minorHAnsi" w:hAnsiTheme="minorHAnsi" w:cstheme="minorHAnsi"/>
          <w:b/>
          <w:bCs/>
          <w:sz w:val="32"/>
        </w:rPr>
      </w:pPr>
      <w:r w:rsidRPr="00086215">
        <w:rPr>
          <w:rFonts w:asciiTheme="minorHAnsi" w:hAnsiTheme="minorHAnsi" w:cstheme="minorHAnsi"/>
          <w:b/>
          <w:bCs/>
          <w:sz w:val="32"/>
        </w:rPr>
        <w:t>Context for Decision</w:t>
      </w:r>
    </w:p>
    <w:p w:rsidR="00086215" w:rsidRPr="0010475D" w:rsidRDefault="00086215" w:rsidP="00706F2F">
      <w:pPr>
        <w:spacing w:after="120"/>
        <w:ind w:left="720"/>
        <w:jc w:val="both"/>
        <w:rPr>
          <w:rFonts w:asciiTheme="minorHAnsi" w:eastAsiaTheme="minorHAnsi" w:hAnsiTheme="minorHAnsi" w:cstheme="minorBidi"/>
          <w:szCs w:val="22"/>
        </w:rPr>
      </w:pPr>
      <w:r w:rsidRPr="0010475D">
        <w:rPr>
          <w:rFonts w:asciiTheme="minorHAnsi" w:eastAsiaTheme="minorHAnsi" w:hAnsiTheme="minorHAnsi" w:cstheme="minorBidi"/>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86215" w:rsidRPr="00086215" w:rsidRDefault="00086215" w:rsidP="00706F2F">
      <w:pPr>
        <w:numPr>
          <w:ilvl w:val="0"/>
          <w:numId w:val="5"/>
        </w:numPr>
        <w:spacing w:before="240" w:after="120"/>
        <w:outlineLvl w:val="0"/>
        <w:rPr>
          <w:rFonts w:asciiTheme="minorHAnsi" w:hAnsiTheme="minorHAnsi" w:cstheme="minorHAnsi"/>
          <w:b/>
          <w:bCs/>
          <w:sz w:val="32"/>
        </w:rPr>
      </w:pPr>
      <w:r w:rsidRPr="00086215">
        <w:rPr>
          <w:rFonts w:asciiTheme="minorHAnsi" w:hAnsiTheme="minorHAnsi" w:cstheme="minorHAnsi"/>
          <w:b/>
          <w:bCs/>
          <w:sz w:val="32"/>
        </w:rPr>
        <w:lastRenderedPageBreak/>
        <w:t>Sponsor’s Comment</w:t>
      </w:r>
    </w:p>
    <w:p w:rsidR="00AE723A" w:rsidRPr="006F2337" w:rsidRDefault="00086215" w:rsidP="006F2337">
      <w:pPr>
        <w:spacing w:after="120"/>
        <w:ind w:left="720"/>
        <w:jc w:val="both"/>
        <w:rPr>
          <w:rFonts w:asciiTheme="minorHAnsi" w:eastAsiaTheme="minorHAnsi" w:hAnsiTheme="minorHAnsi" w:cstheme="minorBidi"/>
          <w:szCs w:val="22"/>
        </w:rPr>
      </w:pPr>
      <w:r w:rsidRPr="0010475D">
        <w:rPr>
          <w:rFonts w:asciiTheme="minorHAnsi" w:eastAsiaTheme="minorHAnsi" w:hAnsiTheme="minorHAnsi" w:cstheme="minorBidi"/>
          <w:szCs w:val="22"/>
        </w:rPr>
        <w:t>The sponsor had no comment.</w:t>
      </w:r>
      <w:bookmarkStart w:id="0" w:name="_GoBack"/>
      <w:bookmarkEnd w:id="0"/>
    </w:p>
    <w:sectPr w:rsidR="00AE723A" w:rsidRPr="006F233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07" w:rsidRDefault="00377A07">
      <w:r>
        <w:separator/>
      </w:r>
    </w:p>
    <w:p w:rsidR="00377A07" w:rsidRDefault="00377A07"/>
  </w:endnote>
  <w:endnote w:type="continuationSeparator" w:id="0">
    <w:p w:rsidR="00377A07" w:rsidRDefault="00377A07">
      <w:r>
        <w:continuationSeparator/>
      </w:r>
    </w:p>
    <w:p w:rsidR="00377A07" w:rsidRDefault="0037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E7720" w:rsidTr="005A3173">
      <w:trPr>
        <w:trHeight w:val="151"/>
      </w:trPr>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7720" w:rsidRPr="005A3173" w:rsidRDefault="00DE772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r>
    <w:tr w:rsidR="00DE7720" w:rsidTr="005A3173">
      <w:trPr>
        <w:trHeight w:val="150"/>
      </w:trPr>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0" w:type="auto"/>
          <w:vMerge/>
          <w:vAlign w:val="center"/>
          <w:hideMark/>
        </w:tcPr>
        <w:p w:rsidR="00DE7720" w:rsidRPr="005A3173" w:rsidRDefault="00DE772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r>
  </w:tbl>
  <w:p w:rsidR="00DE7720" w:rsidRDefault="00DE772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7720" w:rsidRDefault="00DE7720">
    <w:pPr>
      <w:pStyle w:val="Footer"/>
    </w:pPr>
  </w:p>
  <w:p w:rsidR="00DE7720" w:rsidRDefault="00DE772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27638006"/>
      <w:docPartObj>
        <w:docPartGallery w:val="Page Numbers (Bottom of Page)"/>
        <w:docPartUnique/>
      </w:docPartObj>
    </w:sdtPr>
    <w:sdtEndPr>
      <w:rPr>
        <w:b/>
        <w:noProof/>
      </w:rPr>
    </w:sdtEndPr>
    <w:sdtContent>
      <w:p w:rsidR="00711AC7" w:rsidRDefault="00711AC7" w:rsidP="001B0AE4">
        <w:pPr>
          <w:pStyle w:val="Footer"/>
          <w:jc w:val="center"/>
          <w:rPr>
            <w:rFonts w:asciiTheme="minorHAnsi" w:hAnsiTheme="minorHAnsi" w:cstheme="minorHAnsi"/>
          </w:rPr>
        </w:pPr>
      </w:p>
      <w:p w:rsidR="001B0AE4" w:rsidRPr="00286558" w:rsidRDefault="001B0AE4" w:rsidP="001B0AE4">
        <w:pPr>
          <w:pStyle w:val="Footer"/>
          <w:jc w:val="center"/>
          <w:rPr>
            <w:rFonts w:asciiTheme="minorHAnsi" w:hAnsiTheme="minorHAnsi" w:cstheme="minorHAnsi"/>
            <w:b/>
          </w:rPr>
        </w:pPr>
        <w:r w:rsidRPr="00286558">
          <w:rPr>
            <w:rFonts w:asciiTheme="minorHAnsi" w:hAnsiTheme="minorHAnsi" w:cstheme="minorHAnsi"/>
            <w:b/>
          </w:rPr>
          <w:fldChar w:fldCharType="begin"/>
        </w:r>
        <w:r w:rsidRPr="00286558">
          <w:rPr>
            <w:rFonts w:asciiTheme="minorHAnsi" w:hAnsiTheme="minorHAnsi" w:cstheme="minorHAnsi"/>
            <w:b/>
          </w:rPr>
          <w:instrText xml:space="preserve"> PAGE   \* MERGEFORMAT </w:instrText>
        </w:r>
        <w:r w:rsidRPr="00286558">
          <w:rPr>
            <w:rFonts w:asciiTheme="minorHAnsi" w:hAnsiTheme="minorHAnsi" w:cstheme="minorHAnsi"/>
            <w:b/>
          </w:rPr>
          <w:fldChar w:fldCharType="separate"/>
        </w:r>
        <w:r w:rsidR="006F2337">
          <w:rPr>
            <w:rFonts w:asciiTheme="minorHAnsi" w:hAnsiTheme="minorHAnsi" w:cstheme="minorHAnsi"/>
            <w:b/>
            <w:noProof/>
          </w:rPr>
          <w:t>5</w:t>
        </w:r>
        <w:r w:rsidRPr="00286558">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E7720" w:rsidTr="005A3173">
      <w:trPr>
        <w:trHeight w:val="151"/>
      </w:trPr>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7720" w:rsidRPr="005A3173" w:rsidRDefault="00DE772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r>
    <w:tr w:rsidR="00DE7720" w:rsidTr="005A3173">
      <w:trPr>
        <w:trHeight w:val="150"/>
      </w:trPr>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0" w:type="auto"/>
          <w:vMerge/>
          <w:vAlign w:val="center"/>
          <w:hideMark/>
        </w:tcPr>
        <w:p w:rsidR="00DE7720" w:rsidRPr="005A3173" w:rsidRDefault="00DE772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E7720" w:rsidTr="005A3173">
      <w:trPr>
        <w:trHeight w:val="151"/>
      </w:trPr>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7720" w:rsidRPr="005A3173" w:rsidRDefault="00DE772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7720" w:rsidRPr="005A3173" w:rsidRDefault="00DE7720" w:rsidP="005A3173">
          <w:pPr>
            <w:pStyle w:val="Header"/>
            <w:spacing w:line="276" w:lineRule="auto"/>
            <w:rPr>
              <w:rFonts w:ascii="Calibri" w:eastAsia="MS Gothic" w:hAnsi="Calibri"/>
              <w:b/>
              <w:bCs/>
              <w:color w:val="4F81BD"/>
            </w:rPr>
          </w:pPr>
        </w:p>
      </w:tc>
    </w:tr>
    <w:tr w:rsidR="00DE7720" w:rsidTr="005A3173">
      <w:trPr>
        <w:trHeight w:val="150"/>
      </w:trPr>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c>
        <w:tcPr>
          <w:tcW w:w="0" w:type="auto"/>
          <w:vMerge/>
          <w:vAlign w:val="center"/>
          <w:hideMark/>
        </w:tcPr>
        <w:p w:rsidR="00DE7720" w:rsidRPr="005A3173" w:rsidRDefault="00DE772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7720" w:rsidRPr="005A3173" w:rsidRDefault="00DE7720" w:rsidP="005A3173">
          <w:pPr>
            <w:pStyle w:val="Header"/>
            <w:spacing w:line="276" w:lineRule="auto"/>
            <w:rPr>
              <w:rFonts w:ascii="Calibri" w:eastAsia="MS Gothic" w:hAnsi="Calibri"/>
              <w:b/>
              <w:bCs/>
              <w:color w:val="4F81BD"/>
            </w:rPr>
          </w:pPr>
        </w:p>
      </w:tc>
    </w:tr>
  </w:tbl>
  <w:p w:rsidR="00DE7720" w:rsidRPr="007C0F57" w:rsidRDefault="00DE772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E7720" w:rsidRPr="007C0F57" w:rsidRDefault="00DE7720" w:rsidP="007C0F57">
    <w:pPr>
      <w:pStyle w:val="Footer"/>
      <w:jc w:val="center"/>
      <w:rPr>
        <w:b/>
        <w:i/>
        <w:sz w:val="20"/>
        <w:szCs w:val="20"/>
      </w:rPr>
    </w:pPr>
    <w:r w:rsidRPr="007C0F57">
      <w:rPr>
        <w:b/>
        <w:i/>
        <w:sz w:val="20"/>
        <w:szCs w:val="20"/>
      </w:rPr>
      <w:t>Commercial-in-Confidence</w:t>
    </w:r>
  </w:p>
  <w:p w:rsidR="00DE7720" w:rsidRDefault="00DE7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07" w:rsidRDefault="00377A07">
      <w:r>
        <w:separator/>
      </w:r>
    </w:p>
    <w:p w:rsidR="00377A07" w:rsidRDefault="00377A07"/>
  </w:footnote>
  <w:footnote w:type="continuationSeparator" w:id="0">
    <w:p w:rsidR="00377A07" w:rsidRDefault="00377A07">
      <w:r>
        <w:continuationSeparator/>
      </w:r>
    </w:p>
    <w:p w:rsidR="00377A07" w:rsidRDefault="00377A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E7720" w:rsidRPr="008E0D90" w:rsidTr="00A06225">
      <w:trPr>
        <w:trHeight w:val="151"/>
      </w:trPr>
      <w:tc>
        <w:tcPr>
          <w:tcW w:w="2389" w:type="pct"/>
          <w:tcBorders>
            <w:top w:val="nil"/>
            <w:left w:val="nil"/>
            <w:bottom w:val="single" w:sz="4" w:space="0" w:color="4F81BD"/>
            <w:right w:val="nil"/>
          </w:tcBorders>
        </w:tcPr>
        <w:p w:rsidR="00DE7720" w:rsidRPr="00A06225" w:rsidRDefault="00DE7720">
          <w:pPr>
            <w:pStyle w:val="Header"/>
            <w:spacing w:line="276" w:lineRule="auto"/>
            <w:rPr>
              <w:rFonts w:ascii="Cambria" w:eastAsia="MS Gothic" w:hAnsi="Cambria"/>
              <w:b/>
              <w:bCs/>
              <w:color w:val="4F81BD"/>
            </w:rPr>
          </w:pPr>
        </w:p>
      </w:tc>
      <w:tc>
        <w:tcPr>
          <w:tcW w:w="333" w:type="pct"/>
          <w:vMerge w:val="restart"/>
          <w:noWrap/>
          <w:vAlign w:val="center"/>
          <w:hideMark/>
        </w:tcPr>
        <w:p w:rsidR="00DE7720" w:rsidRPr="00A06225" w:rsidRDefault="00DE772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E7720" w:rsidRPr="00A06225" w:rsidRDefault="00DE7720">
          <w:pPr>
            <w:pStyle w:val="Header"/>
            <w:spacing w:line="276" w:lineRule="auto"/>
            <w:rPr>
              <w:rFonts w:ascii="Cambria" w:eastAsia="MS Gothic" w:hAnsi="Cambria"/>
              <w:b/>
              <w:bCs/>
              <w:color w:val="4F81BD"/>
            </w:rPr>
          </w:pPr>
        </w:p>
      </w:tc>
    </w:tr>
    <w:tr w:rsidR="00DE7720" w:rsidRPr="008E0D90" w:rsidTr="00A06225">
      <w:trPr>
        <w:trHeight w:val="150"/>
      </w:trPr>
      <w:tc>
        <w:tcPr>
          <w:tcW w:w="2389" w:type="pct"/>
          <w:tcBorders>
            <w:top w:val="single" w:sz="4" w:space="0" w:color="4F81BD"/>
            <w:left w:val="nil"/>
            <w:bottom w:val="nil"/>
            <w:right w:val="nil"/>
          </w:tcBorders>
        </w:tcPr>
        <w:p w:rsidR="00DE7720" w:rsidRPr="00A06225" w:rsidRDefault="00DE7720">
          <w:pPr>
            <w:pStyle w:val="Header"/>
            <w:spacing w:line="276" w:lineRule="auto"/>
            <w:rPr>
              <w:rFonts w:ascii="Cambria" w:eastAsia="MS Gothic" w:hAnsi="Cambria"/>
              <w:b/>
              <w:bCs/>
              <w:color w:val="4F81BD"/>
            </w:rPr>
          </w:pPr>
        </w:p>
      </w:tc>
      <w:tc>
        <w:tcPr>
          <w:tcW w:w="0" w:type="auto"/>
          <w:vMerge/>
          <w:vAlign w:val="center"/>
          <w:hideMark/>
        </w:tcPr>
        <w:p w:rsidR="00DE7720" w:rsidRPr="00A06225" w:rsidRDefault="00DE7720">
          <w:pPr>
            <w:rPr>
              <w:rFonts w:ascii="Cambria" w:hAnsi="Cambria"/>
              <w:color w:val="4F81BD"/>
              <w:sz w:val="22"/>
              <w:szCs w:val="22"/>
            </w:rPr>
          </w:pPr>
        </w:p>
      </w:tc>
      <w:tc>
        <w:tcPr>
          <w:tcW w:w="2278" w:type="pct"/>
          <w:tcBorders>
            <w:top w:val="single" w:sz="4" w:space="0" w:color="4F81BD"/>
            <w:left w:val="nil"/>
            <w:bottom w:val="nil"/>
            <w:right w:val="nil"/>
          </w:tcBorders>
        </w:tcPr>
        <w:p w:rsidR="00DE7720" w:rsidRPr="00A06225" w:rsidRDefault="00DE7720">
          <w:pPr>
            <w:pStyle w:val="Header"/>
            <w:spacing w:line="276" w:lineRule="auto"/>
            <w:rPr>
              <w:rFonts w:ascii="Cambria" w:eastAsia="MS Gothic" w:hAnsi="Cambria"/>
              <w:b/>
              <w:bCs/>
              <w:color w:val="4F81BD"/>
            </w:rPr>
          </w:pPr>
        </w:p>
      </w:tc>
    </w:tr>
  </w:tbl>
  <w:p w:rsidR="00DE7720" w:rsidRDefault="00DE7720">
    <w:pPr>
      <w:pStyle w:val="Header"/>
    </w:pPr>
  </w:p>
  <w:p w:rsidR="00DE7720" w:rsidRDefault="00DE77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E4" w:rsidRDefault="000640CB" w:rsidP="000640CB">
    <w:pPr>
      <w:tabs>
        <w:tab w:val="left" w:pos="1691"/>
        <w:tab w:val="center" w:pos="4153"/>
        <w:tab w:val="center" w:pos="4513"/>
        <w:tab w:val="right" w:pos="8306"/>
      </w:tabs>
      <w:jc w:val="center"/>
      <w:rPr>
        <w:rFonts w:asciiTheme="minorHAnsi" w:hAnsiTheme="minorHAnsi"/>
        <w:i/>
        <w:color w:val="808080"/>
      </w:rPr>
    </w:pPr>
    <w:r>
      <w:rPr>
        <w:rFonts w:asciiTheme="minorHAnsi" w:hAnsiTheme="minorHAnsi"/>
        <w:i/>
        <w:color w:val="808080"/>
      </w:rPr>
      <w:t>Public Summary Document</w:t>
    </w:r>
    <w:r w:rsidR="001B0AE4" w:rsidRPr="005622AA">
      <w:rPr>
        <w:rFonts w:asciiTheme="minorHAnsi" w:hAnsiTheme="minorHAnsi"/>
        <w:i/>
        <w:color w:val="808080"/>
      </w:rPr>
      <w:t xml:space="preserve"> – March 2019 PBAC Meeting</w:t>
    </w:r>
  </w:p>
  <w:p w:rsidR="00DE7720" w:rsidRDefault="00DE7720" w:rsidP="00011D27">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07" w:rsidRDefault="0037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B4756"/>
    <w:multiLevelType w:val="multilevel"/>
    <w:tmpl w:val="EC7877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2E4F4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27D37BB8"/>
    <w:multiLevelType w:val="hybridMultilevel"/>
    <w:tmpl w:val="499660D4"/>
    <w:lvl w:ilvl="0" w:tplc="C59A200C">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21652"/>
    <w:multiLevelType w:val="hybridMultilevel"/>
    <w:tmpl w:val="0FA0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B212B"/>
    <w:multiLevelType w:val="multilevel"/>
    <w:tmpl w:val="66428134"/>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B2620"/>
    <w:multiLevelType w:val="hybridMultilevel"/>
    <w:tmpl w:val="09E61A08"/>
    <w:lvl w:ilvl="0" w:tplc="0C090001">
      <w:start w:val="1"/>
      <w:numFmt w:val="bullet"/>
      <w:lvlText w:val=""/>
      <w:lvlJc w:val="left"/>
      <w:pPr>
        <w:tabs>
          <w:tab w:val="num" w:pos="720"/>
        </w:tabs>
        <w:ind w:left="720" w:hanging="360"/>
      </w:pPr>
      <w:rPr>
        <w:rFonts w:ascii="Symbol" w:hAnsi="Symbol" w:hint="default"/>
      </w:rPr>
    </w:lvl>
    <w:lvl w:ilvl="1" w:tplc="8F4E3428">
      <w:start w:val="1"/>
      <w:numFmt w:val="bullet"/>
      <w:lvlText w:val="•"/>
      <w:lvlJc w:val="left"/>
      <w:pPr>
        <w:tabs>
          <w:tab w:val="num" w:pos="1440"/>
        </w:tabs>
        <w:ind w:left="1440" w:hanging="360"/>
      </w:pPr>
      <w:rPr>
        <w:rFonts w:ascii="Times New Roman" w:hAnsi="Times New Roman" w:hint="default"/>
      </w:rPr>
    </w:lvl>
    <w:lvl w:ilvl="2" w:tplc="68A052CE">
      <w:start w:val="90"/>
      <w:numFmt w:val="bullet"/>
      <w:lvlText w:val="•"/>
      <w:lvlJc w:val="left"/>
      <w:pPr>
        <w:tabs>
          <w:tab w:val="num" w:pos="2160"/>
        </w:tabs>
        <w:ind w:left="2160" w:hanging="360"/>
      </w:pPr>
      <w:rPr>
        <w:rFonts w:ascii="Times New Roman" w:hAnsi="Times New Roman" w:hint="default"/>
      </w:rPr>
    </w:lvl>
    <w:lvl w:ilvl="3" w:tplc="22989748">
      <w:start w:val="40"/>
      <w:numFmt w:val="bullet"/>
      <w:lvlText w:val=""/>
      <w:lvlJc w:val="left"/>
      <w:pPr>
        <w:ind w:left="2880" w:hanging="360"/>
      </w:pPr>
      <w:rPr>
        <w:rFonts w:ascii="Wingdings" w:eastAsiaTheme="minorEastAsia" w:hAnsi="Wingdings" w:cstheme="minorBidi" w:hint="default"/>
      </w:rPr>
    </w:lvl>
    <w:lvl w:ilvl="4" w:tplc="C76AE892" w:tentative="1">
      <w:start w:val="1"/>
      <w:numFmt w:val="bullet"/>
      <w:lvlText w:val="•"/>
      <w:lvlJc w:val="left"/>
      <w:pPr>
        <w:tabs>
          <w:tab w:val="num" w:pos="3600"/>
        </w:tabs>
        <w:ind w:left="3600" w:hanging="360"/>
      </w:pPr>
      <w:rPr>
        <w:rFonts w:ascii="Times New Roman" w:hAnsi="Times New Roman" w:hint="default"/>
      </w:rPr>
    </w:lvl>
    <w:lvl w:ilvl="5" w:tplc="DEEC7ECE" w:tentative="1">
      <w:start w:val="1"/>
      <w:numFmt w:val="bullet"/>
      <w:lvlText w:val="•"/>
      <w:lvlJc w:val="left"/>
      <w:pPr>
        <w:tabs>
          <w:tab w:val="num" w:pos="4320"/>
        </w:tabs>
        <w:ind w:left="4320" w:hanging="360"/>
      </w:pPr>
      <w:rPr>
        <w:rFonts w:ascii="Times New Roman" w:hAnsi="Times New Roman" w:hint="default"/>
      </w:rPr>
    </w:lvl>
    <w:lvl w:ilvl="6" w:tplc="0F4667AC" w:tentative="1">
      <w:start w:val="1"/>
      <w:numFmt w:val="bullet"/>
      <w:lvlText w:val="•"/>
      <w:lvlJc w:val="left"/>
      <w:pPr>
        <w:tabs>
          <w:tab w:val="num" w:pos="5040"/>
        </w:tabs>
        <w:ind w:left="5040" w:hanging="360"/>
      </w:pPr>
      <w:rPr>
        <w:rFonts w:ascii="Times New Roman" w:hAnsi="Times New Roman" w:hint="default"/>
      </w:rPr>
    </w:lvl>
    <w:lvl w:ilvl="7" w:tplc="9DA89FB8" w:tentative="1">
      <w:start w:val="1"/>
      <w:numFmt w:val="bullet"/>
      <w:lvlText w:val="•"/>
      <w:lvlJc w:val="left"/>
      <w:pPr>
        <w:tabs>
          <w:tab w:val="num" w:pos="5760"/>
        </w:tabs>
        <w:ind w:left="5760" w:hanging="360"/>
      </w:pPr>
      <w:rPr>
        <w:rFonts w:ascii="Times New Roman" w:hAnsi="Times New Roman" w:hint="default"/>
      </w:rPr>
    </w:lvl>
    <w:lvl w:ilvl="8" w:tplc="05D4F26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6F6A2E"/>
    <w:multiLevelType w:val="hybridMultilevel"/>
    <w:tmpl w:val="43DA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4801378"/>
    <w:multiLevelType w:val="hybridMultilevel"/>
    <w:tmpl w:val="709C6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5594F68"/>
    <w:multiLevelType w:val="hybridMultilevel"/>
    <w:tmpl w:val="36BC2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C914A1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74BD502D"/>
    <w:multiLevelType w:val="hybridMultilevel"/>
    <w:tmpl w:val="065E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586399"/>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784D033C"/>
    <w:multiLevelType w:val="multilevel"/>
    <w:tmpl w:val="87EE3D2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5"/>
  </w:num>
  <w:num w:numId="5">
    <w:abstractNumId w:val="33"/>
  </w:num>
  <w:num w:numId="6">
    <w:abstractNumId w:val="9"/>
  </w:num>
  <w:num w:numId="7">
    <w:abstractNumId w:val="20"/>
  </w:num>
  <w:num w:numId="8">
    <w:abstractNumId w:val="4"/>
  </w:num>
  <w:num w:numId="9">
    <w:abstractNumId w:val="19"/>
  </w:num>
  <w:num w:numId="10">
    <w:abstractNumId w:val="17"/>
  </w:num>
  <w:num w:numId="11">
    <w:abstractNumId w:val="16"/>
  </w:num>
  <w:num w:numId="12">
    <w:abstractNumId w:val="1"/>
  </w:num>
  <w:num w:numId="13">
    <w:abstractNumId w:val="0"/>
  </w:num>
  <w:num w:numId="14">
    <w:abstractNumId w:val="33"/>
  </w:num>
  <w:num w:numId="15">
    <w:abstractNumId w:val="33"/>
  </w:num>
  <w:num w:numId="16">
    <w:abstractNumId w:val="22"/>
  </w:num>
  <w:num w:numId="17">
    <w:abstractNumId w:val="32"/>
  </w:num>
  <w:num w:numId="18">
    <w:abstractNumId w:val="21"/>
  </w:num>
  <w:num w:numId="19">
    <w:abstractNumId w:val="13"/>
  </w:num>
  <w:num w:numId="20">
    <w:abstractNumId w:val="30"/>
  </w:num>
  <w:num w:numId="21">
    <w:abstractNumId w:val="6"/>
  </w:num>
  <w:num w:numId="22">
    <w:abstractNumId w:val="8"/>
  </w:num>
  <w:num w:numId="23">
    <w:abstractNumId w:val="24"/>
  </w:num>
  <w:num w:numId="24">
    <w:abstractNumId w:val="18"/>
  </w:num>
  <w:num w:numId="25">
    <w:abstractNumId w:val="11"/>
  </w:num>
  <w:num w:numId="26">
    <w:abstractNumId w:val="29"/>
  </w:num>
  <w:num w:numId="27">
    <w:abstractNumId w:val="15"/>
  </w:num>
  <w:num w:numId="28">
    <w:abstractNumId w:val="23"/>
  </w:num>
  <w:num w:numId="29">
    <w:abstractNumId w:val="28"/>
  </w:num>
  <w:num w:numId="30">
    <w:abstractNumId w:val="14"/>
  </w:num>
  <w:num w:numId="31">
    <w:abstractNumId w:val="26"/>
  </w:num>
  <w:num w:numId="32">
    <w:abstractNumId w:val="5"/>
  </w:num>
  <w:num w:numId="33">
    <w:abstractNumId w:val="2"/>
  </w:num>
  <w:num w:numId="34">
    <w:abstractNumId w:val="12"/>
  </w:num>
  <w:num w:numId="35">
    <w:abstractNumId w:val="31"/>
  </w:num>
  <w:num w:numId="3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E48"/>
    <w:rsid w:val="000025AD"/>
    <w:rsid w:val="0000335D"/>
    <w:rsid w:val="00004AE6"/>
    <w:rsid w:val="00011D27"/>
    <w:rsid w:val="00012623"/>
    <w:rsid w:val="00012908"/>
    <w:rsid w:val="00021B3C"/>
    <w:rsid w:val="0002464A"/>
    <w:rsid w:val="0003106B"/>
    <w:rsid w:val="000421A1"/>
    <w:rsid w:val="0004240E"/>
    <w:rsid w:val="00042931"/>
    <w:rsid w:val="00045E26"/>
    <w:rsid w:val="000514B5"/>
    <w:rsid w:val="00052DCC"/>
    <w:rsid w:val="00054BEF"/>
    <w:rsid w:val="00060E64"/>
    <w:rsid w:val="000640CB"/>
    <w:rsid w:val="00066755"/>
    <w:rsid w:val="00077143"/>
    <w:rsid w:val="00082169"/>
    <w:rsid w:val="00086215"/>
    <w:rsid w:val="000969AD"/>
    <w:rsid w:val="000B558D"/>
    <w:rsid w:val="000B5DBD"/>
    <w:rsid w:val="000C6996"/>
    <w:rsid w:val="000D09B0"/>
    <w:rsid w:val="000D23BA"/>
    <w:rsid w:val="000D7B0D"/>
    <w:rsid w:val="000E5E81"/>
    <w:rsid w:val="000E681E"/>
    <w:rsid w:val="000F0003"/>
    <w:rsid w:val="000F4E6A"/>
    <w:rsid w:val="00104227"/>
    <w:rsid w:val="0010475D"/>
    <w:rsid w:val="001107BF"/>
    <w:rsid w:val="00113783"/>
    <w:rsid w:val="00116F16"/>
    <w:rsid w:val="0012417C"/>
    <w:rsid w:val="00125277"/>
    <w:rsid w:val="00142395"/>
    <w:rsid w:val="00142714"/>
    <w:rsid w:val="00142934"/>
    <w:rsid w:val="001452ED"/>
    <w:rsid w:val="00147E70"/>
    <w:rsid w:val="00163329"/>
    <w:rsid w:val="00164623"/>
    <w:rsid w:val="00165B64"/>
    <w:rsid w:val="00175879"/>
    <w:rsid w:val="00180713"/>
    <w:rsid w:val="001830CE"/>
    <w:rsid w:val="0018643B"/>
    <w:rsid w:val="001879EA"/>
    <w:rsid w:val="00191B6E"/>
    <w:rsid w:val="001924E8"/>
    <w:rsid w:val="00196307"/>
    <w:rsid w:val="001A33EA"/>
    <w:rsid w:val="001B017F"/>
    <w:rsid w:val="001B0AE4"/>
    <w:rsid w:val="001B2BBC"/>
    <w:rsid w:val="001B5129"/>
    <w:rsid w:val="001C1195"/>
    <w:rsid w:val="001D1242"/>
    <w:rsid w:val="001D3A33"/>
    <w:rsid w:val="001F1850"/>
    <w:rsid w:val="002013F8"/>
    <w:rsid w:val="00201FF8"/>
    <w:rsid w:val="00203FAC"/>
    <w:rsid w:val="00213CFB"/>
    <w:rsid w:val="00217BE1"/>
    <w:rsid w:val="002210DC"/>
    <w:rsid w:val="00221309"/>
    <w:rsid w:val="00251D36"/>
    <w:rsid w:val="002554F8"/>
    <w:rsid w:val="0026539F"/>
    <w:rsid w:val="00271BA1"/>
    <w:rsid w:val="002762FA"/>
    <w:rsid w:val="00277505"/>
    <w:rsid w:val="00292E35"/>
    <w:rsid w:val="0029458F"/>
    <w:rsid w:val="00295AE5"/>
    <w:rsid w:val="002A104C"/>
    <w:rsid w:val="002A1FE4"/>
    <w:rsid w:val="002A4960"/>
    <w:rsid w:val="002B1AE6"/>
    <w:rsid w:val="002B2DE8"/>
    <w:rsid w:val="002B30F8"/>
    <w:rsid w:val="002B5596"/>
    <w:rsid w:val="002C212F"/>
    <w:rsid w:val="002D07BF"/>
    <w:rsid w:val="002D4543"/>
    <w:rsid w:val="002E3153"/>
    <w:rsid w:val="002E72CA"/>
    <w:rsid w:val="002F3C11"/>
    <w:rsid w:val="002F600D"/>
    <w:rsid w:val="00300AD6"/>
    <w:rsid w:val="003017CD"/>
    <w:rsid w:val="003030EA"/>
    <w:rsid w:val="00314BE4"/>
    <w:rsid w:val="0031799B"/>
    <w:rsid w:val="00317C6C"/>
    <w:rsid w:val="00326E79"/>
    <w:rsid w:val="0033518A"/>
    <w:rsid w:val="003367EF"/>
    <w:rsid w:val="00340DCD"/>
    <w:rsid w:val="00341AE4"/>
    <w:rsid w:val="00344D2C"/>
    <w:rsid w:val="00351CA7"/>
    <w:rsid w:val="00364809"/>
    <w:rsid w:val="00365C9C"/>
    <w:rsid w:val="003724BB"/>
    <w:rsid w:val="003767C3"/>
    <w:rsid w:val="00377A07"/>
    <w:rsid w:val="003872CF"/>
    <w:rsid w:val="00387337"/>
    <w:rsid w:val="0039782C"/>
    <w:rsid w:val="003A24B8"/>
    <w:rsid w:val="003A5B4A"/>
    <w:rsid w:val="003B23C5"/>
    <w:rsid w:val="003B2A75"/>
    <w:rsid w:val="003B6124"/>
    <w:rsid w:val="003C2FB5"/>
    <w:rsid w:val="003D4AC4"/>
    <w:rsid w:val="003D632F"/>
    <w:rsid w:val="003D63B7"/>
    <w:rsid w:val="003E468B"/>
    <w:rsid w:val="003F3228"/>
    <w:rsid w:val="003F5C8C"/>
    <w:rsid w:val="00412C52"/>
    <w:rsid w:val="00412EEA"/>
    <w:rsid w:val="00412F6C"/>
    <w:rsid w:val="0042244B"/>
    <w:rsid w:val="004252EC"/>
    <w:rsid w:val="004465BD"/>
    <w:rsid w:val="004520D6"/>
    <w:rsid w:val="00462DAB"/>
    <w:rsid w:val="00464361"/>
    <w:rsid w:val="00466ADA"/>
    <w:rsid w:val="00476245"/>
    <w:rsid w:val="00483035"/>
    <w:rsid w:val="00485940"/>
    <w:rsid w:val="0048719E"/>
    <w:rsid w:val="004872B1"/>
    <w:rsid w:val="004A2484"/>
    <w:rsid w:val="004A5515"/>
    <w:rsid w:val="004A5A85"/>
    <w:rsid w:val="004A65A3"/>
    <w:rsid w:val="004A71D1"/>
    <w:rsid w:val="004A747A"/>
    <w:rsid w:val="004B5640"/>
    <w:rsid w:val="004B7025"/>
    <w:rsid w:val="004C1BD7"/>
    <w:rsid w:val="004C2D4B"/>
    <w:rsid w:val="004C31FE"/>
    <w:rsid w:val="004C691D"/>
    <w:rsid w:val="004C6C07"/>
    <w:rsid w:val="004D645B"/>
    <w:rsid w:val="004D6BEE"/>
    <w:rsid w:val="004D71F0"/>
    <w:rsid w:val="004E692D"/>
    <w:rsid w:val="004F0299"/>
    <w:rsid w:val="004F4F99"/>
    <w:rsid w:val="00501554"/>
    <w:rsid w:val="00502733"/>
    <w:rsid w:val="0050661F"/>
    <w:rsid w:val="00514CD7"/>
    <w:rsid w:val="005319B2"/>
    <w:rsid w:val="00532402"/>
    <w:rsid w:val="00532C74"/>
    <w:rsid w:val="00534E2E"/>
    <w:rsid w:val="005371A1"/>
    <w:rsid w:val="00544552"/>
    <w:rsid w:val="00555AE8"/>
    <w:rsid w:val="00577C4D"/>
    <w:rsid w:val="00581932"/>
    <w:rsid w:val="005963BB"/>
    <w:rsid w:val="005A3173"/>
    <w:rsid w:val="005A3223"/>
    <w:rsid w:val="005A3DA3"/>
    <w:rsid w:val="005A52C4"/>
    <w:rsid w:val="005D03AB"/>
    <w:rsid w:val="005D1C2D"/>
    <w:rsid w:val="005D2048"/>
    <w:rsid w:val="005D5017"/>
    <w:rsid w:val="005E1333"/>
    <w:rsid w:val="005E6FBD"/>
    <w:rsid w:val="00601A91"/>
    <w:rsid w:val="00602BA3"/>
    <w:rsid w:val="0060730C"/>
    <w:rsid w:val="00612E34"/>
    <w:rsid w:val="00614159"/>
    <w:rsid w:val="00614FC5"/>
    <w:rsid w:val="00617C00"/>
    <w:rsid w:val="006236A2"/>
    <w:rsid w:val="00623F8E"/>
    <w:rsid w:val="006263BF"/>
    <w:rsid w:val="0062748A"/>
    <w:rsid w:val="00630061"/>
    <w:rsid w:val="00630A2C"/>
    <w:rsid w:val="00636514"/>
    <w:rsid w:val="0063682E"/>
    <w:rsid w:val="006436CD"/>
    <w:rsid w:val="00651169"/>
    <w:rsid w:val="00653D69"/>
    <w:rsid w:val="006548F0"/>
    <w:rsid w:val="00655839"/>
    <w:rsid w:val="006670BE"/>
    <w:rsid w:val="00670A76"/>
    <w:rsid w:val="006711AA"/>
    <w:rsid w:val="00672B57"/>
    <w:rsid w:val="00675622"/>
    <w:rsid w:val="0067747D"/>
    <w:rsid w:val="006906DB"/>
    <w:rsid w:val="00691E6C"/>
    <w:rsid w:val="00696129"/>
    <w:rsid w:val="00697CF2"/>
    <w:rsid w:val="006A12A5"/>
    <w:rsid w:val="006A32E6"/>
    <w:rsid w:val="006A7AB9"/>
    <w:rsid w:val="006B0D94"/>
    <w:rsid w:val="006B485D"/>
    <w:rsid w:val="006B795F"/>
    <w:rsid w:val="006C708E"/>
    <w:rsid w:val="006D14E7"/>
    <w:rsid w:val="006D6493"/>
    <w:rsid w:val="006D6E17"/>
    <w:rsid w:val="006D6EC7"/>
    <w:rsid w:val="006E294E"/>
    <w:rsid w:val="006F2337"/>
    <w:rsid w:val="006F5125"/>
    <w:rsid w:val="006F711E"/>
    <w:rsid w:val="007000D7"/>
    <w:rsid w:val="00702B6F"/>
    <w:rsid w:val="00703394"/>
    <w:rsid w:val="00706F2F"/>
    <w:rsid w:val="00711AC7"/>
    <w:rsid w:val="0071340B"/>
    <w:rsid w:val="00714260"/>
    <w:rsid w:val="007174BB"/>
    <w:rsid w:val="0072025D"/>
    <w:rsid w:val="00727E64"/>
    <w:rsid w:val="00732332"/>
    <w:rsid w:val="007353D3"/>
    <w:rsid w:val="0075330E"/>
    <w:rsid w:val="0075686A"/>
    <w:rsid w:val="0076420C"/>
    <w:rsid w:val="007753C2"/>
    <w:rsid w:val="007838B8"/>
    <w:rsid w:val="007C0F57"/>
    <w:rsid w:val="007C1048"/>
    <w:rsid w:val="007C1365"/>
    <w:rsid w:val="007C40B6"/>
    <w:rsid w:val="007C543D"/>
    <w:rsid w:val="007C6884"/>
    <w:rsid w:val="007C729F"/>
    <w:rsid w:val="007E1D28"/>
    <w:rsid w:val="007E24ED"/>
    <w:rsid w:val="007E2CEC"/>
    <w:rsid w:val="007F2641"/>
    <w:rsid w:val="007F7C36"/>
    <w:rsid w:val="00806796"/>
    <w:rsid w:val="00811CE8"/>
    <w:rsid w:val="008151D6"/>
    <w:rsid w:val="00826F6D"/>
    <w:rsid w:val="008306F3"/>
    <w:rsid w:val="00856A76"/>
    <w:rsid w:val="00856DDD"/>
    <w:rsid w:val="00863E68"/>
    <w:rsid w:val="00872810"/>
    <w:rsid w:val="00881520"/>
    <w:rsid w:val="00882085"/>
    <w:rsid w:val="00883188"/>
    <w:rsid w:val="00887968"/>
    <w:rsid w:val="00890FA2"/>
    <w:rsid w:val="00897113"/>
    <w:rsid w:val="00897D58"/>
    <w:rsid w:val="00897F22"/>
    <w:rsid w:val="008A1956"/>
    <w:rsid w:val="008A4937"/>
    <w:rsid w:val="008A50F1"/>
    <w:rsid w:val="008D1B5C"/>
    <w:rsid w:val="008D3C82"/>
    <w:rsid w:val="008D447E"/>
    <w:rsid w:val="008D5229"/>
    <w:rsid w:val="008D7A41"/>
    <w:rsid w:val="008E0DDD"/>
    <w:rsid w:val="008E3680"/>
    <w:rsid w:val="008E5870"/>
    <w:rsid w:val="008F1434"/>
    <w:rsid w:val="008F3821"/>
    <w:rsid w:val="008F7355"/>
    <w:rsid w:val="009067B7"/>
    <w:rsid w:val="009119CC"/>
    <w:rsid w:val="00930937"/>
    <w:rsid w:val="00933E6C"/>
    <w:rsid w:val="00937958"/>
    <w:rsid w:val="00941417"/>
    <w:rsid w:val="00942160"/>
    <w:rsid w:val="00945CE1"/>
    <w:rsid w:val="009460E8"/>
    <w:rsid w:val="009469EF"/>
    <w:rsid w:val="0094759A"/>
    <w:rsid w:val="0095146F"/>
    <w:rsid w:val="009602C5"/>
    <w:rsid w:val="00960B6E"/>
    <w:rsid w:val="00962223"/>
    <w:rsid w:val="009638C9"/>
    <w:rsid w:val="00966C66"/>
    <w:rsid w:val="00966D0D"/>
    <w:rsid w:val="00974C21"/>
    <w:rsid w:val="00977B02"/>
    <w:rsid w:val="00980BC7"/>
    <w:rsid w:val="00981926"/>
    <w:rsid w:val="009905B5"/>
    <w:rsid w:val="00992F30"/>
    <w:rsid w:val="009A0261"/>
    <w:rsid w:val="009A1030"/>
    <w:rsid w:val="009B0F67"/>
    <w:rsid w:val="009C703C"/>
    <w:rsid w:val="009D3CAA"/>
    <w:rsid w:val="009E3061"/>
    <w:rsid w:val="009E40E1"/>
    <w:rsid w:val="009F4E46"/>
    <w:rsid w:val="009F4EDC"/>
    <w:rsid w:val="009F5B65"/>
    <w:rsid w:val="009F5F2E"/>
    <w:rsid w:val="009F6BA6"/>
    <w:rsid w:val="00A06225"/>
    <w:rsid w:val="00A128E6"/>
    <w:rsid w:val="00A34E6C"/>
    <w:rsid w:val="00A37C8D"/>
    <w:rsid w:val="00A41D51"/>
    <w:rsid w:val="00A455B8"/>
    <w:rsid w:val="00A5273B"/>
    <w:rsid w:val="00A53A9D"/>
    <w:rsid w:val="00A55FEE"/>
    <w:rsid w:val="00A577EE"/>
    <w:rsid w:val="00A57911"/>
    <w:rsid w:val="00A6171F"/>
    <w:rsid w:val="00A62231"/>
    <w:rsid w:val="00A62C1A"/>
    <w:rsid w:val="00A6426D"/>
    <w:rsid w:val="00A665C1"/>
    <w:rsid w:val="00A6662F"/>
    <w:rsid w:val="00A70622"/>
    <w:rsid w:val="00A70977"/>
    <w:rsid w:val="00A71F98"/>
    <w:rsid w:val="00A735D5"/>
    <w:rsid w:val="00A74C25"/>
    <w:rsid w:val="00A77613"/>
    <w:rsid w:val="00A7789A"/>
    <w:rsid w:val="00A8390C"/>
    <w:rsid w:val="00A928BD"/>
    <w:rsid w:val="00AA2160"/>
    <w:rsid w:val="00AA4D1C"/>
    <w:rsid w:val="00AB5600"/>
    <w:rsid w:val="00AC0AF9"/>
    <w:rsid w:val="00AC193C"/>
    <w:rsid w:val="00AC5206"/>
    <w:rsid w:val="00AE11A5"/>
    <w:rsid w:val="00AE13E2"/>
    <w:rsid w:val="00AE22D3"/>
    <w:rsid w:val="00AE723A"/>
    <w:rsid w:val="00AF02F2"/>
    <w:rsid w:val="00AF0F3C"/>
    <w:rsid w:val="00AF443F"/>
    <w:rsid w:val="00AF4607"/>
    <w:rsid w:val="00AF62DF"/>
    <w:rsid w:val="00AF68CC"/>
    <w:rsid w:val="00B03C6F"/>
    <w:rsid w:val="00B1059E"/>
    <w:rsid w:val="00B17467"/>
    <w:rsid w:val="00B176C8"/>
    <w:rsid w:val="00B205AA"/>
    <w:rsid w:val="00B22E84"/>
    <w:rsid w:val="00B25F75"/>
    <w:rsid w:val="00B26B3F"/>
    <w:rsid w:val="00B4031B"/>
    <w:rsid w:val="00B43E90"/>
    <w:rsid w:val="00B467DC"/>
    <w:rsid w:val="00B47FB8"/>
    <w:rsid w:val="00B517AA"/>
    <w:rsid w:val="00B56118"/>
    <w:rsid w:val="00B63682"/>
    <w:rsid w:val="00B64B02"/>
    <w:rsid w:val="00B6773F"/>
    <w:rsid w:val="00B75379"/>
    <w:rsid w:val="00B801BA"/>
    <w:rsid w:val="00B84D5C"/>
    <w:rsid w:val="00BA6413"/>
    <w:rsid w:val="00BB69F5"/>
    <w:rsid w:val="00BB7EC3"/>
    <w:rsid w:val="00BC4B9A"/>
    <w:rsid w:val="00BC6593"/>
    <w:rsid w:val="00BD6517"/>
    <w:rsid w:val="00BD784C"/>
    <w:rsid w:val="00BF4CB6"/>
    <w:rsid w:val="00C00DA7"/>
    <w:rsid w:val="00C1219C"/>
    <w:rsid w:val="00C12768"/>
    <w:rsid w:val="00C27B58"/>
    <w:rsid w:val="00C33774"/>
    <w:rsid w:val="00C35996"/>
    <w:rsid w:val="00C4747E"/>
    <w:rsid w:val="00C5342C"/>
    <w:rsid w:val="00C5477A"/>
    <w:rsid w:val="00C603D4"/>
    <w:rsid w:val="00C6256A"/>
    <w:rsid w:val="00C77891"/>
    <w:rsid w:val="00C91449"/>
    <w:rsid w:val="00C92D10"/>
    <w:rsid w:val="00C95AC3"/>
    <w:rsid w:val="00CB571F"/>
    <w:rsid w:val="00CC0F60"/>
    <w:rsid w:val="00CD7A8C"/>
    <w:rsid w:val="00CE10C4"/>
    <w:rsid w:val="00CE27B5"/>
    <w:rsid w:val="00D0321E"/>
    <w:rsid w:val="00D10589"/>
    <w:rsid w:val="00D1455A"/>
    <w:rsid w:val="00D20FE7"/>
    <w:rsid w:val="00D31150"/>
    <w:rsid w:val="00D3138B"/>
    <w:rsid w:val="00D3280C"/>
    <w:rsid w:val="00D3283D"/>
    <w:rsid w:val="00D3317B"/>
    <w:rsid w:val="00D3406A"/>
    <w:rsid w:val="00D3477C"/>
    <w:rsid w:val="00D362B0"/>
    <w:rsid w:val="00D4560D"/>
    <w:rsid w:val="00D4572C"/>
    <w:rsid w:val="00D469B2"/>
    <w:rsid w:val="00D6136C"/>
    <w:rsid w:val="00D741EB"/>
    <w:rsid w:val="00D74ED0"/>
    <w:rsid w:val="00D812A1"/>
    <w:rsid w:val="00D83605"/>
    <w:rsid w:val="00D84934"/>
    <w:rsid w:val="00D852B2"/>
    <w:rsid w:val="00D852DE"/>
    <w:rsid w:val="00D91271"/>
    <w:rsid w:val="00D919F5"/>
    <w:rsid w:val="00D94F03"/>
    <w:rsid w:val="00D950E0"/>
    <w:rsid w:val="00DA2CB5"/>
    <w:rsid w:val="00DA4BAC"/>
    <w:rsid w:val="00DD09F9"/>
    <w:rsid w:val="00DD1262"/>
    <w:rsid w:val="00DD6EAE"/>
    <w:rsid w:val="00DE6D27"/>
    <w:rsid w:val="00DE7720"/>
    <w:rsid w:val="00DF217D"/>
    <w:rsid w:val="00DF26A7"/>
    <w:rsid w:val="00DF5FED"/>
    <w:rsid w:val="00E133D2"/>
    <w:rsid w:val="00E138D6"/>
    <w:rsid w:val="00E15627"/>
    <w:rsid w:val="00E164B3"/>
    <w:rsid w:val="00E16910"/>
    <w:rsid w:val="00E213FF"/>
    <w:rsid w:val="00E24193"/>
    <w:rsid w:val="00E37B02"/>
    <w:rsid w:val="00E37FBD"/>
    <w:rsid w:val="00E42BDB"/>
    <w:rsid w:val="00E50607"/>
    <w:rsid w:val="00E51B48"/>
    <w:rsid w:val="00E57EEB"/>
    <w:rsid w:val="00E62D94"/>
    <w:rsid w:val="00E65E54"/>
    <w:rsid w:val="00E67658"/>
    <w:rsid w:val="00E737F0"/>
    <w:rsid w:val="00E80155"/>
    <w:rsid w:val="00E81F28"/>
    <w:rsid w:val="00E848C0"/>
    <w:rsid w:val="00E84ECA"/>
    <w:rsid w:val="00E90E4C"/>
    <w:rsid w:val="00E91B96"/>
    <w:rsid w:val="00E93FAD"/>
    <w:rsid w:val="00E941A1"/>
    <w:rsid w:val="00E95CE3"/>
    <w:rsid w:val="00E9799E"/>
    <w:rsid w:val="00E97FED"/>
    <w:rsid w:val="00EA0821"/>
    <w:rsid w:val="00EA2825"/>
    <w:rsid w:val="00EA7E74"/>
    <w:rsid w:val="00EB0B63"/>
    <w:rsid w:val="00EB1936"/>
    <w:rsid w:val="00EB5088"/>
    <w:rsid w:val="00ED1644"/>
    <w:rsid w:val="00ED2593"/>
    <w:rsid w:val="00ED5ED4"/>
    <w:rsid w:val="00ED7D9C"/>
    <w:rsid w:val="00EE241C"/>
    <w:rsid w:val="00EF0897"/>
    <w:rsid w:val="00EF44A0"/>
    <w:rsid w:val="00EF4FED"/>
    <w:rsid w:val="00F050BD"/>
    <w:rsid w:val="00F05657"/>
    <w:rsid w:val="00F14EF3"/>
    <w:rsid w:val="00F25578"/>
    <w:rsid w:val="00F25814"/>
    <w:rsid w:val="00F258E5"/>
    <w:rsid w:val="00F300BC"/>
    <w:rsid w:val="00F3334E"/>
    <w:rsid w:val="00F33F04"/>
    <w:rsid w:val="00F36CCB"/>
    <w:rsid w:val="00F374E5"/>
    <w:rsid w:val="00F43AF2"/>
    <w:rsid w:val="00F50EC4"/>
    <w:rsid w:val="00F550CF"/>
    <w:rsid w:val="00F57A6D"/>
    <w:rsid w:val="00F638CC"/>
    <w:rsid w:val="00F64CC1"/>
    <w:rsid w:val="00F72317"/>
    <w:rsid w:val="00F80475"/>
    <w:rsid w:val="00F8247A"/>
    <w:rsid w:val="00F842B4"/>
    <w:rsid w:val="00F9629A"/>
    <w:rsid w:val="00F97EFC"/>
    <w:rsid w:val="00FA5883"/>
    <w:rsid w:val="00FA6055"/>
    <w:rsid w:val="00FB322F"/>
    <w:rsid w:val="00FB442F"/>
    <w:rsid w:val="00FC1929"/>
    <w:rsid w:val="00FC5B46"/>
    <w:rsid w:val="00FC6170"/>
    <w:rsid w:val="00FC6F48"/>
    <w:rsid w:val="00FD25FA"/>
    <w:rsid w:val="00FD40DE"/>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13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AC0AF9"/>
    <w:rPr>
      <w:i/>
      <w:iCs/>
    </w:rPr>
  </w:style>
  <w:style w:type="paragraph" w:styleId="FootnoteText">
    <w:name w:val="footnote text"/>
    <w:basedOn w:val="Normal"/>
    <w:link w:val="FootnoteTextChar"/>
    <w:rsid w:val="00AC0AF9"/>
    <w:rPr>
      <w:sz w:val="20"/>
      <w:szCs w:val="20"/>
    </w:rPr>
  </w:style>
  <w:style w:type="character" w:customStyle="1" w:styleId="FootnoteTextChar">
    <w:name w:val="Footnote Text Char"/>
    <w:basedOn w:val="DefaultParagraphFont"/>
    <w:link w:val="FootnoteText"/>
    <w:rsid w:val="00AC0AF9"/>
  </w:style>
  <w:style w:type="character" w:styleId="FootnoteReference">
    <w:name w:val="footnote reference"/>
    <w:basedOn w:val="DefaultParagraphFont"/>
    <w:rsid w:val="00AC0AF9"/>
    <w:rPr>
      <w:vertAlign w:val="superscript"/>
    </w:rPr>
  </w:style>
  <w:style w:type="paragraph" w:styleId="NormalWeb">
    <w:name w:val="Normal (Web)"/>
    <w:basedOn w:val="Normal"/>
    <w:uiPriority w:val="99"/>
    <w:rsid w:val="00AC0AF9"/>
    <w:pPr>
      <w:spacing w:before="100" w:after="100"/>
    </w:pPr>
    <w:rPr>
      <w:szCs w:val="20"/>
      <w:lang w:val="en-GB" w:eastAsia="en-US"/>
    </w:rPr>
  </w:style>
  <w:style w:type="table" w:customStyle="1" w:styleId="TableGridLight1">
    <w:name w:val="Table Grid Light1"/>
    <w:basedOn w:val="TableNormal"/>
    <w:uiPriority w:val="40"/>
    <w:rsid w:val="00314BE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EndNoteBibliography">
    <w:name w:val="EndNote Bibliography"/>
    <w:basedOn w:val="Normal"/>
    <w:link w:val="EndNoteBibliographyChar"/>
    <w:rsid w:val="00314BE4"/>
    <w:pPr>
      <w:jc w:val="both"/>
    </w:pPr>
    <w:rPr>
      <w:rFonts w:ascii="Calibri" w:eastAsiaTheme="minorHAnsi" w:hAnsi="Calibri" w:cs="Calibri"/>
      <w:noProof/>
      <w:szCs w:val="22"/>
      <w:lang w:val="en-US" w:eastAsia="en-US"/>
    </w:rPr>
  </w:style>
  <w:style w:type="character" w:customStyle="1" w:styleId="EndNoteBibliographyChar">
    <w:name w:val="EndNote Bibliography Char"/>
    <w:basedOn w:val="DefaultParagraphFont"/>
    <w:link w:val="EndNoteBibliography"/>
    <w:rsid w:val="00314BE4"/>
    <w:rPr>
      <w:rFonts w:ascii="Calibri" w:eastAsiaTheme="minorHAnsi" w:hAnsi="Calibri" w:cs="Calibri"/>
      <w:noProof/>
      <w:sz w:val="24"/>
      <w:szCs w:val="22"/>
      <w:lang w:val="en-US" w:eastAsia="en-US"/>
    </w:rPr>
  </w:style>
  <w:style w:type="paragraph" w:customStyle="1" w:styleId="tabletextsubmission">
    <w:name w:val="table text submission"/>
    <w:basedOn w:val="Normal"/>
    <w:link w:val="tabletextsubmissionChar"/>
    <w:qFormat/>
    <w:rsid w:val="00314BE4"/>
    <w:pPr>
      <w:jc w:val="both"/>
    </w:pPr>
    <w:rPr>
      <w:rFonts w:asciiTheme="minorHAnsi" w:eastAsiaTheme="minorEastAsia" w:hAnsiTheme="minorHAnsi" w:cstheme="minorBidi"/>
      <w:sz w:val="18"/>
      <w:szCs w:val="22"/>
      <w:lang w:eastAsia="ja-JP"/>
    </w:rPr>
  </w:style>
  <w:style w:type="character" w:customStyle="1" w:styleId="tabletextsubmissionChar">
    <w:name w:val="table text submission Char"/>
    <w:basedOn w:val="DefaultParagraphFont"/>
    <w:link w:val="tabletextsubmission"/>
    <w:rsid w:val="00314BE4"/>
    <w:rPr>
      <w:rFonts w:asciiTheme="minorHAnsi" w:eastAsiaTheme="minorEastAsia" w:hAnsiTheme="minorHAnsi" w:cstheme="minorBidi"/>
      <w:sz w:val="18"/>
      <w:szCs w:val="22"/>
      <w:lang w:eastAsia="ja-JP"/>
    </w:rPr>
  </w:style>
  <w:style w:type="paragraph" w:customStyle="1" w:styleId="TableNotesLast">
    <w:name w:val="TableNotesLast"/>
    <w:basedOn w:val="Normal"/>
    <w:qFormat/>
    <w:rsid w:val="0026539F"/>
    <w:pPr>
      <w:jc w:val="both"/>
    </w:pPr>
    <w:rPr>
      <w:rFonts w:asciiTheme="minorHAnsi" w:eastAsiaTheme="minorHAnsi" w:hAnsiTheme="minorHAnsi" w:cstheme="minorBidi"/>
      <w:sz w:val="16"/>
      <w:szCs w:val="22"/>
      <w:lang w:eastAsia="en-US"/>
    </w:rPr>
  </w:style>
  <w:style w:type="paragraph" w:customStyle="1" w:styleId="PBACheading10">
    <w:name w:val="PBAC heading 1"/>
    <w:qFormat/>
    <w:rsid w:val="002F3C11"/>
    <w:pPr>
      <w:ind w:left="720" w:hanging="720"/>
      <w:outlineLvl w:val="0"/>
    </w:pPr>
    <w:rPr>
      <w:rFonts w:ascii="Arial" w:hAnsi="Arial" w:cs="Arial"/>
      <w:b/>
      <w:snapToGrid w:val="0"/>
      <w:sz w:val="22"/>
      <w:szCs w:val="22"/>
      <w:lang w:eastAsia="en-US"/>
    </w:rPr>
  </w:style>
  <w:style w:type="paragraph" w:styleId="Revision">
    <w:name w:val="Revision"/>
    <w:hidden/>
    <w:uiPriority w:val="71"/>
    <w:rsid w:val="00365C9C"/>
    <w:rPr>
      <w:sz w:val="24"/>
      <w:szCs w:val="24"/>
    </w:rPr>
  </w:style>
  <w:style w:type="paragraph" w:customStyle="1" w:styleId="FrontPage1">
    <w:name w:val="Front Page 1"/>
    <w:basedOn w:val="Normal"/>
    <w:next w:val="Normal"/>
    <w:link w:val="FrontPage1Char"/>
    <w:uiPriority w:val="10"/>
    <w:qFormat/>
    <w:rsid w:val="000E5E81"/>
    <w:pPr>
      <w:spacing w:after="200" w:line="276" w:lineRule="auto"/>
      <w:jc w:val="center"/>
    </w:pPr>
    <w:rPr>
      <w:rFonts w:ascii="Calibri" w:eastAsiaTheme="majorEastAsia" w:hAnsi="Calibri" w:cstheme="majorBidi"/>
      <w:b/>
      <w:sz w:val="48"/>
      <w:szCs w:val="22"/>
      <w:lang w:eastAsia="en-US" w:bidi="en-US"/>
    </w:rPr>
  </w:style>
  <w:style w:type="character" w:customStyle="1" w:styleId="FrontPage1Char">
    <w:name w:val="Front Page 1 Char"/>
    <w:basedOn w:val="DefaultParagraphFont"/>
    <w:link w:val="FrontPage1"/>
    <w:uiPriority w:val="10"/>
    <w:rsid w:val="000E5E81"/>
    <w:rPr>
      <w:rFonts w:ascii="Calibri" w:eastAsiaTheme="majorEastAsia" w:hAnsi="Calibri" w:cstheme="majorBidi"/>
      <w:b/>
      <w:sz w:val="48"/>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E23E0-6D25-4BB5-A57F-DF4ACE5F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2019-06-25T00:00:00Z</dcterms:created>
  <dcterms:modified xsi:type="dcterms:W3CDTF">2019-07-01T01:15:00Z</dcterms:modified>
</cp:coreProperties>
</file>