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D6" w:rsidRPr="004925D4" w:rsidRDefault="00FC0FC3" w:rsidP="004520D6">
      <w:pPr>
        <w:pStyle w:val="Title"/>
        <w:spacing w:before="120" w:after="160"/>
        <w:ind w:left="720" w:hanging="720"/>
        <w:rPr>
          <w:rFonts w:asciiTheme="minorHAnsi" w:hAnsiTheme="minorHAnsi"/>
          <w:sz w:val="36"/>
          <w:szCs w:val="36"/>
        </w:rPr>
      </w:pPr>
      <w:r w:rsidRPr="004925D4">
        <w:rPr>
          <w:rFonts w:asciiTheme="minorHAnsi" w:hAnsiTheme="minorHAnsi"/>
          <w:sz w:val="36"/>
          <w:szCs w:val="36"/>
        </w:rPr>
        <w:t>5.16</w:t>
      </w:r>
      <w:r w:rsidR="006D6493" w:rsidRPr="004925D4">
        <w:rPr>
          <w:rFonts w:asciiTheme="minorHAnsi" w:hAnsiTheme="minorHAnsi"/>
          <w:sz w:val="36"/>
          <w:szCs w:val="36"/>
        </w:rPr>
        <w:tab/>
      </w:r>
      <w:r w:rsidR="004520D6" w:rsidRPr="004925D4">
        <w:rPr>
          <w:rFonts w:asciiTheme="minorHAnsi" w:hAnsiTheme="minorHAnsi"/>
          <w:sz w:val="36"/>
          <w:szCs w:val="36"/>
        </w:rPr>
        <w:t>TRASTUZUMAB</w:t>
      </w:r>
      <w:r w:rsidR="006D6493" w:rsidRPr="004925D4">
        <w:rPr>
          <w:rFonts w:asciiTheme="minorHAnsi" w:hAnsiTheme="minorHAnsi"/>
          <w:sz w:val="36"/>
          <w:szCs w:val="36"/>
        </w:rPr>
        <w:t xml:space="preserve"> </w:t>
      </w:r>
      <w:r w:rsidR="006D6493" w:rsidRPr="004925D4">
        <w:rPr>
          <w:rFonts w:asciiTheme="minorHAnsi" w:hAnsiTheme="minorHAnsi"/>
          <w:sz w:val="36"/>
          <w:szCs w:val="36"/>
        </w:rPr>
        <w:br/>
      </w:r>
      <w:r w:rsidR="004520D6" w:rsidRPr="004925D4">
        <w:rPr>
          <w:rFonts w:asciiTheme="minorHAnsi" w:hAnsiTheme="minorHAnsi"/>
          <w:sz w:val="36"/>
          <w:szCs w:val="36"/>
        </w:rPr>
        <w:t>Powder for I.V. infusion 150 mg</w:t>
      </w:r>
      <w:proofErr w:type="gramStart"/>
      <w:r w:rsidR="00E921A3" w:rsidRPr="004925D4">
        <w:rPr>
          <w:rFonts w:asciiTheme="minorHAnsi" w:hAnsiTheme="minorHAnsi"/>
          <w:sz w:val="36"/>
          <w:szCs w:val="36"/>
        </w:rPr>
        <w:t>,</w:t>
      </w:r>
      <w:proofErr w:type="gramEnd"/>
      <w:r w:rsidR="004520D6" w:rsidRPr="004925D4">
        <w:rPr>
          <w:rFonts w:asciiTheme="minorHAnsi" w:hAnsiTheme="minorHAnsi"/>
          <w:sz w:val="36"/>
          <w:szCs w:val="36"/>
        </w:rPr>
        <w:br/>
        <w:t>Powder for I.V. infusion 440 mg with diluent</w:t>
      </w:r>
      <w:r w:rsidR="00E921A3" w:rsidRPr="004925D4">
        <w:rPr>
          <w:rFonts w:asciiTheme="minorHAnsi" w:hAnsiTheme="minorHAnsi"/>
          <w:sz w:val="36"/>
          <w:szCs w:val="36"/>
        </w:rPr>
        <w:t>,</w:t>
      </w:r>
    </w:p>
    <w:p w:rsidR="00584361" w:rsidRPr="004925D4" w:rsidRDefault="00AF0F3C" w:rsidP="00221309">
      <w:pPr>
        <w:pStyle w:val="Title"/>
        <w:spacing w:before="120" w:after="160"/>
        <w:ind w:left="720" w:hanging="11"/>
        <w:rPr>
          <w:rFonts w:asciiTheme="minorHAnsi" w:hAnsiTheme="minorHAnsi"/>
          <w:sz w:val="36"/>
          <w:szCs w:val="36"/>
        </w:rPr>
      </w:pPr>
      <w:proofErr w:type="spellStart"/>
      <w:r w:rsidRPr="004925D4">
        <w:rPr>
          <w:rFonts w:asciiTheme="minorHAnsi" w:hAnsiTheme="minorHAnsi"/>
          <w:sz w:val="36"/>
          <w:szCs w:val="36"/>
        </w:rPr>
        <w:t>Ogivri</w:t>
      </w:r>
      <w:proofErr w:type="spellEnd"/>
      <w:r w:rsidR="006D6493" w:rsidRPr="004925D4">
        <w:rPr>
          <w:rFonts w:asciiTheme="minorHAnsi" w:hAnsiTheme="minorHAnsi"/>
          <w:sz w:val="36"/>
          <w:szCs w:val="36"/>
          <w:vertAlign w:val="superscript"/>
        </w:rPr>
        <w:t>®</w:t>
      </w:r>
      <w:r w:rsidRPr="004925D4">
        <w:rPr>
          <w:rFonts w:asciiTheme="minorHAnsi" w:hAnsiTheme="minorHAnsi"/>
          <w:sz w:val="36"/>
          <w:szCs w:val="36"/>
        </w:rPr>
        <w:t xml:space="preserve">, </w:t>
      </w:r>
      <w:proofErr w:type="spellStart"/>
      <w:r w:rsidRPr="004925D4">
        <w:rPr>
          <w:rFonts w:asciiTheme="minorHAnsi" w:hAnsiTheme="minorHAnsi"/>
          <w:sz w:val="36"/>
          <w:szCs w:val="36"/>
        </w:rPr>
        <w:t>Alphapharm</w:t>
      </w:r>
      <w:proofErr w:type="spellEnd"/>
      <w:r w:rsidRPr="004925D4">
        <w:rPr>
          <w:rFonts w:asciiTheme="minorHAnsi" w:hAnsiTheme="minorHAnsi"/>
          <w:sz w:val="36"/>
          <w:szCs w:val="36"/>
        </w:rPr>
        <w:t xml:space="preserve"> Pty Ltd</w:t>
      </w:r>
    </w:p>
    <w:p w:rsidR="008A50F1" w:rsidRPr="004925D4" w:rsidRDefault="00CE10C4" w:rsidP="007E2CEC">
      <w:pPr>
        <w:pStyle w:val="PBACHeading1"/>
        <w:spacing w:before="240" w:after="120"/>
        <w:ind w:left="709" w:hanging="709"/>
        <w:jc w:val="both"/>
        <w:rPr>
          <w:rFonts w:asciiTheme="minorHAnsi" w:hAnsiTheme="minorHAnsi"/>
          <w:sz w:val="32"/>
          <w:szCs w:val="32"/>
        </w:rPr>
      </w:pPr>
      <w:r w:rsidRPr="004925D4">
        <w:rPr>
          <w:rFonts w:asciiTheme="minorHAnsi" w:hAnsiTheme="minorHAnsi"/>
          <w:sz w:val="32"/>
          <w:szCs w:val="32"/>
        </w:rPr>
        <w:t xml:space="preserve">Purpose of </w:t>
      </w:r>
      <w:r w:rsidR="00021B3C" w:rsidRPr="004925D4">
        <w:rPr>
          <w:rFonts w:asciiTheme="minorHAnsi" w:hAnsiTheme="minorHAnsi"/>
          <w:sz w:val="32"/>
          <w:szCs w:val="32"/>
        </w:rPr>
        <w:t>A</w:t>
      </w:r>
      <w:r w:rsidR="0004240E" w:rsidRPr="004925D4">
        <w:rPr>
          <w:rFonts w:asciiTheme="minorHAnsi" w:hAnsiTheme="minorHAnsi"/>
          <w:sz w:val="32"/>
          <w:szCs w:val="32"/>
        </w:rPr>
        <w:t>pplication</w:t>
      </w:r>
    </w:p>
    <w:p w:rsidR="006A12A5" w:rsidRPr="004925D4" w:rsidRDefault="00221309" w:rsidP="007E2CEC">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 xml:space="preserve">The minor submission sought </w:t>
      </w:r>
      <w:r w:rsidR="00012623" w:rsidRPr="004925D4">
        <w:rPr>
          <w:rFonts w:asciiTheme="minorHAnsi" w:eastAsiaTheme="minorHAnsi" w:hAnsiTheme="minorHAnsi" w:cstheme="minorBidi"/>
          <w:snapToGrid/>
          <w:sz w:val="24"/>
          <w:szCs w:val="22"/>
        </w:rPr>
        <w:t>an Authority Required</w:t>
      </w:r>
      <w:r w:rsidR="004B098F" w:rsidRPr="004925D4">
        <w:rPr>
          <w:rFonts w:asciiTheme="minorHAnsi" w:eastAsiaTheme="minorHAnsi" w:hAnsiTheme="minorHAnsi" w:cstheme="minorBidi"/>
          <w:snapToGrid/>
          <w:sz w:val="24"/>
          <w:szCs w:val="22"/>
        </w:rPr>
        <w:t xml:space="preserve"> (STREAMLINED)</w:t>
      </w:r>
      <w:r w:rsidR="00012623" w:rsidRPr="004925D4">
        <w:rPr>
          <w:rFonts w:asciiTheme="minorHAnsi" w:eastAsiaTheme="minorHAnsi" w:hAnsiTheme="minorHAnsi" w:cstheme="minorBidi"/>
          <w:snapToGrid/>
          <w:sz w:val="24"/>
          <w:szCs w:val="22"/>
        </w:rPr>
        <w:t xml:space="preserve"> </w:t>
      </w:r>
      <w:r w:rsidRPr="004925D4">
        <w:rPr>
          <w:rFonts w:asciiTheme="minorHAnsi" w:eastAsiaTheme="minorHAnsi" w:hAnsiTheme="minorHAnsi" w:cstheme="minorBidi"/>
          <w:snapToGrid/>
          <w:sz w:val="24"/>
          <w:szCs w:val="22"/>
        </w:rPr>
        <w:t>listing for a ne</w:t>
      </w:r>
      <w:r w:rsidR="00AF0F3C" w:rsidRPr="004925D4">
        <w:rPr>
          <w:rFonts w:asciiTheme="minorHAnsi" w:eastAsiaTheme="minorHAnsi" w:hAnsiTheme="minorHAnsi" w:cstheme="minorBidi"/>
          <w:snapToGrid/>
          <w:sz w:val="24"/>
          <w:szCs w:val="22"/>
        </w:rPr>
        <w:t>w biosimilar</w:t>
      </w:r>
      <w:r w:rsidR="001A7556" w:rsidRPr="004925D4">
        <w:rPr>
          <w:rFonts w:asciiTheme="minorHAnsi" w:eastAsiaTheme="minorHAnsi" w:hAnsiTheme="minorHAnsi" w:cstheme="minorBidi"/>
          <w:snapToGrid/>
          <w:sz w:val="24"/>
          <w:szCs w:val="22"/>
        </w:rPr>
        <w:t xml:space="preserve"> brand of </w:t>
      </w:r>
      <w:proofErr w:type="spellStart"/>
      <w:r w:rsidR="001A7556" w:rsidRPr="004925D4">
        <w:rPr>
          <w:rFonts w:asciiTheme="minorHAnsi" w:eastAsiaTheme="minorHAnsi" w:hAnsiTheme="minorHAnsi" w:cstheme="minorBidi"/>
          <w:snapToGrid/>
          <w:sz w:val="24"/>
          <w:szCs w:val="22"/>
        </w:rPr>
        <w:t>trastuzumab</w:t>
      </w:r>
      <w:proofErr w:type="spellEnd"/>
      <w:r w:rsidR="001A7556" w:rsidRPr="004925D4">
        <w:rPr>
          <w:rFonts w:asciiTheme="minorHAnsi" w:eastAsiaTheme="minorHAnsi" w:hAnsiTheme="minorHAnsi" w:cstheme="minorBidi"/>
          <w:snapToGrid/>
          <w:sz w:val="24"/>
          <w:szCs w:val="22"/>
        </w:rPr>
        <w:t xml:space="preserve"> (</w:t>
      </w:r>
      <w:proofErr w:type="spellStart"/>
      <w:r w:rsidR="001A7556"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w:t>
      </w:r>
      <w:r w:rsidR="00012623" w:rsidRPr="004925D4">
        <w:rPr>
          <w:rFonts w:asciiTheme="minorHAnsi" w:eastAsiaTheme="minorHAnsi" w:hAnsiTheme="minorHAnsi" w:cstheme="minorBidi"/>
          <w:snapToGrid/>
          <w:sz w:val="24"/>
          <w:szCs w:val="22"/>
        </w:rPr>
        <w:t>.</w:t>
      </w:r>
    </w:p>
    <w:p w:rsidR="006A12A5" w:rsidRPr="004925D4" w:rsidRDefault="006A12A5" w:rsidP="007E2CEC">
      <w:pPr>
        <w:pStyle w:val="PBACHeading1"/>
        <w:spacing w:before="240" w:after="120"/>
        <w:ind w:left="709" w:hanging="709"/>
        <w:jc w:val="both"/>
        <w:rPr>
          <w:rFonts w:asciiTheme="minorHAnsi" w:hAnsiTheme="minorHAnsi"/>
          <w:sz w:val="32"/>
          <w:szCs w:val="32"/>
        </w:rPr>
      </w:pPr>
      <w:r w:rsidRPr="004925D4">
        <w:rPr>
          <w:rFonts w:asciiTheme="minorHAnsi" w:hAnsiTheme="minorHAnsi"/>
          <w:sz w:val="32"/>
          <w:szCs w:val="32"/>
        </w:rPr>
        <w:t>Requested listing</w:t>
      </w:r>
    </w:p>
    <w:p w:rsidR="00826F6D" w:rsidRPr="004925D4" w:rsidRDefault="00EF44A0" w:rsidP="007E2CE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 xml:space="preserve">The submission </w:t>
      </w:r>
      <w:r w:rsidR="00FF2801" w:rsidRPr="004925D4">
        <w:rPr>
          <w:rFonts w:asciiTheme="minorHAnsi" w:eastAsiaTheme="minorHAnsi" w:hAnsiTheme="minorHAnsi" w:cstheme="minorBidi"/>
          <w:snapToGrid/>
          <w:sz w:val="24"/>
          <w:szCs w:val="22"/>
        </w:rPr>
        <w:t>requested</w:t>
      </w:r>
      <w:r w:rsidRPr="004925D4">
        <w:rPr>
          <w:rFonts w:asciiTheme="minorHAnsi" w:eastAsiaTheme="minorHAnsi" w:hAnsiTheme="minorHAnsi" w:cstheme="minorBidi"/>
          <w:snapToGrid/>
          <w:sz w:val="24"/>
          <w:szCs w:val="22"/>
        </w:rPr>
        <w:t xml:space="preserve"> listing</w:t>
      </w:r>
      <w:r w:rsidR="00AF4607" w:rsidRPr="004925D4">
        <w:rPr>
          <w:rFonts w:asciiTheme="minorHAnsi" w:eastAsiaTheme="minorHAnsi" w:hAnsiTheme="minorHAnsi" w:cstheme="minorBidi"/>
          <w:snapToGrid/>
          <w:sz w:val="24"/>
          <w:szCs w:val="22"/>
        </w:rPr>
        <w:t xml:space="preserve"> </w:t>
      </w:r>
      <w:proofErr w:type="spellStart"/>
      <w:r w:rsidR="00AF4607" w:rsidRPr="004925D4">
        <w:rPr>
          <w:rFonts w:asciiTheme="minorHAnsi" w:eastAsiaTheme="minorHAnsi" w:hAnsiTheme="minorHAnsi" w:cstheme="minorBidi"/>
          <w:snapToGrid/>
          <w:sz w:val="24"/>
          <w:szCs w:val="22"/>
        </w:rPr>
        <w:t>Ogivri</w:t>
      </w:r>
      <w:proofErr w:type="spellEnd"/>
      <w:r w:rsidR="00221309" w:rsidRPr="004925D4">
        <w:rPr>
          <w:rFonts w:asciiTheme="minorHAnsi" w:eastAsiaTheme="minorHAnsi" w:hAnsiTheme="minorHAnsi" w:cstheme="minorBidi"/>
          <w:snapToGrid/>
          <w:sz w:val="24"/>
          <w:szCs w:val="22"/>
        </w:rPr>
        <w:t xml:space="preserve"> for all indications for </w:t>
      </w:r>
      <w:r w:rsidR="00AF4607" w:rsidRPr="004925D4">
        <w:rPr>
          <w:rFonts w:asciiTheme="minorHAnsi" w:eastAsiaTheme="minorHAnsi" w:hAnsiTheme="minorHAnsi" w:cstheme="minorBidi"/>
          <w:snapToGrid/>
          <w:sz w:val="24"/>
          <w:szCs w:val="22"/>
        </w:rPr>
        <w:t>which the reference brand Herceptin</w:t>
      </w:r>
      <w:r w:rsidR="00221309" w:rsidRPr="004925D4">
        <w:rPr>
          <w:rFonts w:asciiTheme="minorHAnsi" w:eastAsiaTheme="minorHAnsi" w:hAnsiTheme="minorHAnsi" w:cstheme="minorBidi"/>
          <w:snapToGrid/>
          <w:sz w:val="24"/>
          <w:szCs w:val="22"/>
        </w:rPr>
        <w:t xml:space="preserve"> is currently PBS listed: </w:t>
      </w:r>
    </w:p>
    <w:p w:rsidR="00A57911" w:rsidRPr="004925D4" w:rsidRDefault="00DD09F9" w:rsidP="007E2CEC">
      <w:pPr>
        <w:pStyle w:val="ListParagraph"/>
        <w:numPr>
          <w:ilvl w:val="1"/>
          <w:numId w:val="21"/>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HER2-positive early, locally advanced and metastatic breast cancer (MBC)</w:t>
      </w:r>
    </w:p>
    <w:p w:rsidR="007E2CEC" w:rsidRPr="004925D4" w:rsidRDefault="00DD09F9" w:rsidP="007E2CEC">
      <w:pPr>
        <w:pStyle w:val="ListParagraph"/>
        <w:numPr>
          <w:ilvl w:val="1"/>
          <w:numId w:val="21"/>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 xml:space="preserve">HER2-positive </w:t>
      </w:r>
      <w:r w:rsidR="007E2CEC" w:rsidRPr="004925D4">
        <w:rPr>
          <w:rFonts w:asciiTheme="minorHAnsi" w:eastAsiaTheme="minorHAnsi" w:hAnsiTheme="minorHAnsi" w:cstheme="minorBidi"/>
          <w:snapToGrid/>
          <w:sz w:val="24"/>
          <w:szCs w:val="22"/>
        </w:rPr>
        <w:t>metastatic gastric cancer (MGC)</w:t>
      </w:r>
    </w:p>
    <w:p w:rsidR="00D3283D" w:rsidRPr="004925D4" w:rsidRDefault="00D3283D" w:rsidP="00D3283D">
      <w:pPr>
        <w:pStyle w:val="ListParagraph"/>
        <w:numPr>
          <w:ilvl w:val="1"/>
          <w:numId w:val="14"/>
        </w:numPr>
        <w:spacing w:after="120"/>
        <w:contextualSpacing w:val="0"/>
        <w:rPr>
          <w:rFonts w:asciiTheme="minorHAnsi" w:eastAsiaTheme="minorHAnsi" w:hAnsiTheme="minorHAnsi" w:cstheme="minorBidi"/>
          <w:snapToGrid/>
          <w:sz w:val="24"/>
          <w:szCs w:val="22"/>
        </w:rPr>
      </w:pPr>
      <w:proofErr w:type="spellStart"/>
      <w:r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 xml:space="preserve"> is TGA approved with the same indications as the reference brand, Herceptin:  early breast cancer, locally advanced breast cancer, metastatic breast cancer, and advanced gastric cancer.</w:t>
      </w:r>
    </w:p>
    <w:p w:rsidR="00DB4E05" w:rsidRPr="004925D4" w:rsidRDefault="00004AE6" w:rsidP="007E2CEC">
      <w:pPr>
        <w:pStyle w:val="ListParagraph"/>
        <w:numPr>
          <w:ilvl w:val="1"/>
          <w:numId w:val="14"/>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T</w:t>
      </w:r>
      <w:r w:rsidR="007E2CEC" w:rsidRPr="004925D4">
        <w:rPr>
          <w:rFonts w:asciiTheme="minorHAnsi" w:eastAsiaTheme="minorHAnsi" w:hAnsiTheme="minorHAnsi" w:cstheme="minorBidi"/>
          <w:snapToGrid/>
          <w:sz w:val="24"/>
          <w:szCs w:val="22"/>
        </w:rPr>
        <w:t>he sponsor requested listing on the following schedules</w:t>
      </w:r>
      <w:r w:rsidR="00DB4E05" w:rsidRPr="004925D4">
        <w:rPr>
          <w:rFonts w:asciiTheme="minorHAnsi" w:eastAsiaTheme="minorHAnsi" w:hAnsiTheme="minorHAnsi" w:cstheme="minorBidi"/>
          <w:snapToGrid/>
          <w:sz w:val="24"/>
          <w:szCs w:val="22"/>
        </w:rPr>
        <w:t xml:space="preserve">: </w:t>
      </w:r>
      <w:r w:rsidR="007E2CEC" w:rsidRPr="004925D4">
        <w:rPr>
          <w:rFonts w:asciiTheme="minorHAnsi" w:eastAsiaTheme="minorHAnsi" w:hAnsiTheme="minorHAnsi" w:cstheme="minorBidi"/>
          <w:snapToGrid/>
          <w:sz w:val="24"/>
          <w:szCs w:val="22"/>
        </w:rPr>
        <w:t>Chemotherapy it</w:t>
      </w:r>
      <w:r w:rsidR="00BD0BB7">
        <w:rPr>
          <w:rFonts w:asciiTheme="minorHAnsi" w:eastAsiaTheme="minorHAnsi" w:hAnsiTheme="minorHAnsi" w:cstheme="minorBidi"/>
          <w:snapToGrid/>
          <w:sz w:val="24"/>
          <w:szCs w:val="22"/>
        </w:rPr>
        <w:t>ems for Public hospital use and</w:t>
      </w:r>
      <w:r w:rsidR="007E2CEC" w:rsidRPr="004925D4">
        <w:rPr>
          <w:rFonts w:asciiTheme="minorHAnsi" w:eastAsiaTheme="minorHAnsi" w:hAnsiTheme="minorHAnsi" w:cstheme="minorBidi"/>
          <w:snapToGrid/>
          <w:sz w:val="24"/>
          <w:szCs w:val="22"/>
        </w:rPr>
        <w:t xml:space="preserve"> Chemotherapy items for Private hospital use</w:t>
      </w:r>
      <w:r w:rsidR="00BD0BB7">
        <w:rPr>
          <w:rFonts w:asciiTheme="minorHAnsi" w:eastAsiaTheme="minorHAnsi" w:hAnsiTheme="minorHAnsi" w:cstheme="minorBidi"/>
          <w:snapToGrid/>
          <w:sz w:val="24"/>
          <w:szCs w:val="22"/>
        </w:rPr>
        <w:t>.</w:t>
      </w:r>
    </w:p>
    <w:p w:rsidR="007E2CEC" w:rsidRPr="004925D4" w:rsidRDefault="00B92941" w:rsidP="007E2CEC">
      <w:pPr>
        <w:pStyle w:val="ListParagraph"/>
        <w:numPr>
          <w:ilvl w:val="1"/>
          <w:numId w:val="14"/>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Due to the length of the</w:t>
      </w:r>
      <w:r w:rsidR="00DB4E05" w:rsidRPr="004925D4">
        <w:rPr>
          <w:rFonts w:asciiTheme="minorHAnsi" w:eastAsiaTheme="minorHAnsi" w:hAnsiTheme="minorHAnsi" w:cstheme="minorBidi"/>
          <w:snapToGrid/>
          <w:sz w:val="24"/>
          <w:szCs w:val="22"/>
        </w:rPr>
        <w:t xml:space="preserve"> proposed restrictions in the submission, </w:t>
      </w:r>
      <w:r w:rsidR="003E374A" w:rsidRPr="004925D4">
        <w:rPr>
          <w:rFonts w:asciiTheme="minorHAnsi" w:eastAsiaTheme="minorHAnsi" w:hAnsiTheme="minorHAnsi" w:cstheme="minorBidi"/>
          <w:snapToGrid/>
          <w:sz w:val="24"/>
          <w:szCs w:val="22"/>
        </w:rPr>
        <w:t>a restriction summary was</w:t>
      </w:r>
      <w:r w:rsidR="00BB099E" w:rsidRPr="004925D4">
        <w:rPr>
          <w:rFonts w:asciiTheme="minorHAnsi" w:eastAsiaTheme="minorHAnsi" w:hAnsiTheme="minorHAnsi" w:cstheme="minorBidi"/>
          <w:snapToGrid/>
          <w:sz w:val="24"/>
          <w:szCs w:val="22"/>
        </w:rPr>
        <w:t xml:space="preserve"> not been included. </w:t>
      </w:r>
      <w:r w:rsidR="00DB4E05" w:rsidRPr="004925D4">
        <w:rPr>
          <w:rFonts w:asciiTheme="minorHAnsi" w:eastAsiaTheme="minorHAnsi" w:hAnsiTheme="minorHAnsi" w:cstheme="minorBidi"/>
          <w:snapToGrid/>
          <w:sz w:val="24"/>
          <w:szCs w:val="22"/>
        </w:rPr>
        <w:t xml:space="preserve">The sponsor requested restriction details and wording that is identical to the listings for the reference product, Herceptin. </w:t>
      </w:r>
    </w:p>
    <w:p w:rsidR="00EE241C" w:rsidRPr="004925D4" w:rsidRDefault="00EE241C" w:rsidP="007E2CEC">
      <w:pPr>
        <w:pStyle w:val="ListParagraph"/>
        <w:numPr>
          <w:ilvl w:val="1"/>
          <w:numId w:val="14"/>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 xml:space="preserve">The requested dispensed price for maximum quantity </w:t>
      </w:r>
      <w:r w:rsidR="00AB63CD" w:rsidRPr="004925D4">
        <w:rPr>
          <w:rFonts w:asciiTheme="minorHAnsi" w:eastAsiaTheme="minorHAnsi" w:hAnsiTheme="minorHAnsi" w:cstheme="minorBidi"/>
          <w:snapToGrid/>
          <w:sz w:val="24"/>
          <w:szCs w:val="22"/>
        </w:rPr>
        <w:t xml:space="preserve">(DPMQ) </w:t>
      </w:r>
      <w:r w:rsidRPr="004925D4">
        <w:rPr>
          <w:rFonts w:asciiTheme="minorHAnsi" w:eastAsiaTheme="minorHAnsi" w:hAnsiTheme="minorHAnsi" w:cstheme="minorBidi"/>
          <w:snapToGrid/>
          <w:sz w:val="24"/>
          <w:szCs w:val="22"/>
        </w:rPr>
        <w:t>was calculated based on the current list price for Herceptin and account</w:t>
      </w:r>
      <w:r w:rsidR="003E374A" w:rsidRPr="004925D4">
        <w:rPr>
          <w:rFonts w:asciiTheme="minorHAnsi" w:eastAsiaTheme="minorHAnsi" w:hAnsiTheme="minorHAnsi" w:cstheme="minorBidi"/>
          <w:snapToGrid/>
          <w:sz w:val="24"/>
          <w:szCs w:val="22"/>
        </w:rPr>
        <w:t>ed</w:t>
      </w:r>
      <w:r w:rsidRPr="004925D4">
        <w:rPr>
          <w:rFonts w:asciiTheme="minorHAnsi" w:eastAsiaTheme="minorHAnsi" w:hAnsiTheme="minorHAnsi" w:cstheme="minorBidi"/>
          <w:snapToGrid/>
          <w:sz w:val="24"/>
          <w:szCs w:val="22"/>
        </w:rPr>
        <w:t xml:space="preserve"> for the 25% statutory price reduction that would occur if </w:t>
      </w:r>
      <w:proofErr w:type="spellStart"/>
      <w:r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 xml:space="preserve"> </w:t>
      </w:r>
      <w:proofErr w:type="gramStart"/>
      <w:r w:rsidRPr="004925D4">
        <w:rPr>
          <w:rFonts w:asciiTheme="minorHAnsi" w:eastAsiaTheme="minorHAnsi" w:hAnsiTheme="minorHAnsi" w:cstheme="minorBidi"/>
          <w:snapToGrid/>
          <w:sz w:val="24"/>
          <w:szCs w:val="22"/>
        </w:rPr>
        <w:t>is</w:t>
      </w:r>
      <w:proofErr w:type="gramEnd"/>
      <w:r w:rsidRPr="004925D4">
        <w:rPr>
          <w:rFonts w:asciiTheme="minorHAnsi" w:eastAsiaTheme="minorHAnsi" w:hAnsiTheme="minorHAnsi" w:cstheme="minorBidi"/>
          <w:snapToGrid/>
          <w:sz w:val="24"/>
          <w:szCs w:val="22"/>
        </w:rPr>
        <w:t xml:space="preserve"> listed on the PBS. </w:t>
      </w:r>
    </w:p>
    <w:p w:rsidR="0026539F" w:rsidRPr="004925D4" w:rsidRDefault="00464361" w:rsidP="007E2CEC">
      <w:pPr>
        <w:pStyle w:val="ListParagraph"/>
        <w:numPr>
          <w:ilvl w:val="1"/>
          <w:numId w:val="14"/>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 xml:space="preserve">The sponsor </w:t>
      </w:r>
      <w:r w:rsidR="007E2CEC" w:rsidRPr="004925D4">
        <w:rPr>
          <w:rFonts w:asciiTheme="minorHAnsi" w:eastAsiaTheme="minorHAnsi" w:hAnsiTheme="minorHAnsi" w:cstheme="minorBidi"/>
          <w:snapToGrid/>
          <w:sz w:val="24"/>
          <w:szCs w:val="22"/>
        </w:rPr>
        <w:t xml:space="preserve">requested that </w:t>
      </w:r>
      <w:proofErr w:type="spellStart"/>
      <w:r w:rsidR="007E2CEC" w:rsidRPr="004925D4">
        <w:rPr>
          <w:rFonts w:asciiTheme="minorHAnsi" w:eastAsiaTheme="minorHAnsi" w:hAnsiTheme="minorHAnsi" w:cstheme="minorBidi"/>
          <w:snapToGrid/>
          <w:sz w:val="24"/>
          <w:szCs w:val="22"/>
        </w:rPr>
        <w:t>Ogivri</w:t>
      </w:r>
      <w:proofErr w:type="spellEnd"/>
      <w:r w:rsidR="007E2CEC" w:rsidRPr="004925D4">
        <w:rPr>
          <w:rFonts w:asciiTheme="minorHAnsi" w:eastAsiaTheme="minorHAnsi" w:hAnsiTheme="minorHAnsi" w:cstheme="minorBidi"/>
          <w:snapToGrid/>
          <w:sz w:val="24"/>
          <w:szCs w:val="22"/>
        </w:rPr>
        <w:t xml:space="preserve"> be ‘a’ flagged against the reference product, with Authority Required (STREAMLINED)</w:t>
      </w:r>
      <w:r w:rsidR="00B92941" w:rsidRPr="004925D4">
        <w:rPr>
          <w:rFonts w:asciiTheme="minorHAnsi" w:eastAsiaTheme="minorHAnsi" w:hAnsiTheme="minorHAnsi" w:cstheme="minorBidi"/>
          <w:snapToGrid/>
          <w:sz w:val="24"/>
          <w:szCs w:val="22"/>
        </w:rPr>
        <w:t xml:space="preserve"> listings across all item</w:t>
      </w:r>
      <w:r w:rsidR="007E2CEC" w:rsidRPr="004925D4">
        <w:rPr>
          <w:rFonts w:asciiTheme="minorHAnsi" w:eastAsiaTheme="minorHAnsi" w:hAnsiTheme="minorHAnsi" w:cstheme="minorBidi"/>
          <w:snapToGrid/>
          <w:sz w:val="24"/>
          <w:szCs w:val="22"/>
        </w:rPr>
        <w:t xml:space="preserve"> codes. </w:t>
      </w:r>
    </w:p>
    <w:p w:rsidR="00A7789A" w:rsidRPr="004925D4" w:rsidRDefault="00A7789A" w:rsidP="007E2CEC">
      <w:pPr>
        <w:pStyle w:val="ListParagraph"/>
        <w:numPr>
          <w:ilvl w:val="1"/>
          <w:numId w:val="14"/>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The item codes r</w:t>
      </w:r>
      <w:r w:rsidR="00E67658" w:rsidRPr="004925D4">
        <w:rPr>
          <w:rFonts w:asciiTheme="minorHAnsi" w:eastAsiaTheme="minorHAnsi" w:hAnsiTheme="minorHAnsi" w:cstheme="minorBidi"/>
          <w:snapToGrid/>
          <w:sz w:val="24"/>
          <w:szCs w:val="22"/>
        </w:rPr>
        <w:t xml:space="preserve">elating to </w:t>
      </w:r>
      <w:r w:rsidR="0021247F" w:rsidRPr="004925D4">
        <w:rPr>
          <w:rFonts w:asciiTheme="minorHAnsi" w:eastAsiaTheme="minorHAnsi" w:hAnsiTheme="minorHAnsi" w:cstheme="minorBidi"/>
          <w:snapToGrid/>
          <w:sz w:val="24"/>
          <w:szCs w:val="22"/>
        </w:rPr>
        <w:t xml:space="preserve">the </w:t>
      </w:r>
      <w:r w:rsidR="00E67658" w:rsidRPr="004925D4">
        <w:rPr>
          <w:rFonts w:asciiTheme="minorHAnsi" w:eastAsiaTheme="minorHAnsi" w:hAnsiTheme="minorHAnsi" w:cstheme="minorBidi"/>
          <w:snapToGrid/>
          <w:sz w:val="24"/>
          <w:szCs w:val="22"/>
        </w:rPr>
        <w:t>Herceptin SC</w:t>
      </w:r>
      <w:r w:rsidR="003E374A" w:rsidRPr="004925D4">
        <w:rPr>
          <w:rFonts w:asciiTheme="minorHAnsi" w:eastAsiaTheme="minorHAnsi" w:hAnsiTheme="minorHAnsi" w:cstheme="minorBidi"/>
          <w:snapToGrid/>
          <w:sz w:val="24"/>
          <w:szCs w:val="22"/>
        </w:rPr>
        <w:t xml:space="preserve"> (subcutaneous injection) </w:t>
      </w:r>
      <w:r w:rsidR="0021247F" w:rsidRPr="004925D4">
        <w:rPr>
          <w:rFonts w:asciiTheme="minorHAnsi" w:eastAsiaTheme="minorHAnsi" w:hAnsiTheme="minorHAnsi" w:cstheme="minorBidi"/>
          <w:snapToGrid/>
          <w:sz w:val="24"/>
          <w:szCs w:val="22"/>
        </w:rPr>
        <w:t xml:space="preserve">brand </w:t>
      </w:r>
      <w:proofErr w:type="gramStart"/>
      <w:r w:rsidR="00E67658" w:rsidRPr="004925D4">
        <w:rPr>
          <w:rFonts w:asciiTheme="minorHAnsi" w:eastAsiaTheme="minorHAnsi" w:hAnsiTheme="minorHAnsi" w:cstheme="minorBidi"/>
          <w:snapToGrid/>
          <w:sz w:val="24"/>
          <w:szCs w:val="22"/>
        </w:rPr>
        <w:t xml:space="preserve">are not </w:t>
      </w:r>
      <w:r w:rsidRPr="004925D4">
        <w:rPr>
          <w:rFonts w:asciiTheme="minorHAnsi" w:eastAsiaTheme="minorHAnsi" w:hAnsiTheme="minorHAnsi" w:cstheme="minorBidi"/>
          <w:snapToGrid/>
          <w:sz w:val="24"/>
          <w:szCs w:val="22"/>
        </w:rPr>
        <w:t>sought</w:t>
      </w:r>
      <w:proofErr w:type="gramEnd"/>
      <w:r w:rsidRPr="004925D4">
        <w:rPr>
          <w:rFonts w:asciiTheme="minorHAnsi" w:eastAsiaTheme="minorHAnsi" w:hAnsiTheme="minorHAnsi" w:cstheme="minorBidi"/>
          <w:snapToGrid/>
          <w:sz w:val="24"/>
          <w:szCs w:val="22"/>
        </w:rPr>
        <w:t xml:space="preserve"> for reimbursement.</w:t>
      </w:r>
    </w:p>
    <w:p w:rsidR="007E2CEC" w:rsidRPr="004925D4" w:rsidRDefault="0021247F" w:rsidP="007E2CEC">
      <w:pPr>
        <w:pStyle w:val="ListParagraph"/>
        <w:numPr>
          <w:ilvl w:val="1"/>
          <w:numId w:val="14"/>
        </w:numPr>
        <w:spacing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 xml:space="preserve">The Herceptin and </w:t>
      </w:r>
      <w:proofErr w:type="spellStart"/>
      <w:r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 xml:space="preserve"> </w:t>
      </w:r>
      <w:r w:rsidR="007E2CEC" w:rsidRPr="004925D4">
        <w:rPr>
          <w:rFonts w:asciiTheme="minorHAnsi" w:eastAsiaTheme="minorHAnsi" w:hAnsiTheme="minorHAnsi" w:cstheme="minorBidi"/>
          <w:snapToGrid/>
          <w:sz w:val="24"/>
          <w:szCs w:val="22"/>
        </w:rPr>
        <w:t xml:space="preserve">brands </w:t>
      </w:r>
      <w:r w:rsidRPr="004925D4">
        <w:rPr>
          <w:rFonts w:asciiTheme="minorHAnsi" w:eastAsiaTheme="minorHAnsi" w:hAnsiTheme="minorHAnsi" w:cstheme="minorBidi"/>
          <w:snapToGrid/>
          <w:sz w:val="24"/>
          <w:szCs w:val="22"/>
        </w:rPr>
        <w:t>share one</w:t>
      </w:r>
      <w:r w:rsidR="007E2CEC" w:rsidRPr="004925D4">
        <w:rPr>
          <w:rFonts w:asciiTheme="minorHAnsi" w:eastAsiaTheme="minorHAnsi" w:hAnsiTheme="minorHAnsi" w:cstheme="minorBidi"/>
          <w:snapToGrid/>
          <w:sz w:val="24"/>
          <w:szCs w:val="22"/>
        </w:rPr>
        <w:t xml:space="preserve"> common presentation</w:t>
      </w:r>
      <w:r w:rsidRPr="004925D4">
        <w:rPr>
          <w:rFonts w:asciiTheme="minorHAnsi" w:eastAsiaTheme="minorHAnsi" w:hAnsiTheme="minorHAnsi" w:cstheme="minorBidi"/>
          <w:snapToGrid/>
          <w:sz w:val="24"/>
          <w:szCs w:val="22"/>
        </w:rPr>
        <w:t>:</w:t>
      </w:r>
      <w:r w:rsidR="007E2CEC" w:rsidRPr="004925D4">
        <w:rPr>
          <w:rFonts w:asciiTheme="minorHAnsi" w:eastAsiaTheme="minorHAnsi" w:hAnsiTheme="minorHAnsi" w:cstheme="minorBidi"/>
          <w:snapToGrid/>
          <w:sz w:val="24"/>
          <w:szCs w:val="22"/>
        </w:rPr>
        <w:t xml:space="preserve"> a single vial with 150</w:t>
      </w:r>
      <w:r w:rsidRPr="004925D4">
        <w:rPr>
          <w:rFonts w:asciiTheme="minorHAnsi" w:eastAsiaTheme="minorHAnsi" w:hAnsiTheme="minorHAnsi" w:cstheme="minorBidi"/>
          <w:snapToGrid/>
          <w:sz w:val="24"/>
          <w:szCs w:val="22"/>
        </w:rPr>
        <w:t xml:space="preserve"> </w:t>
      </w:r>
      <w:r w:rsidR="007E2CEC" w:rsidRPr="004925D4">
        <w:rPr>
          <w:rFonts w:asciiTheme="minorHAnsi" w:eastAsiaTheme="minorHAnsi" w:hAnsiTheme="minorHAnsi" w:cstheme="minorBidi"/>
          <w:snapToGrid/>
          <w:sz w:val="24"/>
          <w:szCs w:val="22"/>
        </w:rPr>
        <w:t>mg powder for reconstitution with steril</w:t>
      </w:r>
      <w:r w:rsidR="00BB099E" w:rsidRPr="004925D4">
        <w:rPr>
          <w:rFonts w:asciiTheme="minorHAnsi" w:eastAsiaTheme="minorHAnsi" w:hAnsiTheme="minorHAnsi" w:cstheme="minorBidi"/>
          <w:snapToGrid/>
          <w:sz w:val="24"/>
          <w:szCs w:val="22"/>
        </w:rPr>
        <w:t xml:space="preserve">e water for IV administration. </w:t>
      </w:r>
      <w:r w:rsidRPr="004925D4">
        <w:rPr>
          <w:rFonts w:asciiTheme="minorHAnsi" w:eastAsiaTheme="minorHAnsi" w:hAnsiTheme="minorHAnsi" w:cstheme="minorBidi"/>
          <w:snapToGrid/>
          <w:sz w:val="24"/>
          <w:szCs w:val="22"/>
        </w:rPr>
        <w:t xml:space="preserve">Each brand also has a </w:t>
      </w:r>
      <w:r w:rsidR="004925D4" w:rsidRPr="004925D4">
        <w:rPr>
          <w:rFonts w:asciiTheme="minorHAnsi" w:eastAsiaTheme="minorHAnsi" w:hAnsiTheme="minorHAnsi" w:cstheme="minorBidi"/>
          <w:snapToGrid/>
          <w:sz w:val="24"/>
          <w:szCs w:val="22"/>
        </w:rPr>
        <w:t>presentation that</w:t>
      </w:r>
      <w:r w:rsidRPr="004925D4">
        <w:rPr>
          <w:rFonts w:asciiTheme="minorHAnsi" w:eastAsiaTheme="minorHAnsi" w:hAnsiTheme="minorHAnsi" w:cstheme="minorBidi"/>
          <w:snapToGrid/>
          <w:sz w:val="24"/>
          <w:szCs w:val="22"/>
        </w:rPr>
        <w:t xml:space="preserve"> </w:t>
      </w:r>
      <w:proofErr w:type="gramStart"/>
      <w:r w:rsidR="005E7ACA" w:rsidRPr="004925D4">
        <w:rPr>
          <w:rFonts w:asciiTheme="minorHAnsi" w:eastAsiaTheme="minorHAnsi" w:hAnsiTheme="minorHAnsi" w:cstheme="minorBidi"/>
          <w:snapToGrid/>
          <w:sz w:val="24"/>
          <w:szCs w:val="22"/>
        </w:rPr>
        <w:t>is not shared</w:t>
      </w:r>
      <w:proofErr w:type="gramEnd"/>
      <w:r w:rsidR="005E7ACA" w:rsidRPr="004925D4">
        <w:rPr>
          <w:rFonts w:asciiTheme="minorHAnsi" w:eastAsiaTheme="minorHAnsi" w:hAnsiTheme="minorHAnsi" w:cstheme="minorBidi"/>
          <w:snapToGrid/>
          <w:sz w:val="24"/>
          <w:szCs w:val="22"/>
        </w:rPr>
        <w:t xml:space="preserve"> by the other brand</w:t>
      </w:r>
      <w:r w:rsidRPr="004925D4">
        <w:rPr>
          <w:rFonts w:asciiTheme="minorHAnsi" w:eastAsiaTheme="minorHAnsi" w:hAnsiTheme="minorHAnsi" w:cstheme="minorBidi"/>
          <w:snapToGrid/>
          <w:sz w:val="24"/>
          <w:szCs w:val="22"/>
        </w:rPr>
        <w:t>: Herceptin</w:t>
      </w:r>
      <w:r w:rsidR="005E7ACA" w:rsidRPr="004925D4">
        <w:rPr>
          <w:rFonts w:asciiTheme="minorHAnsi" w:eastAsiaTheme="minorHAnsi" w:hAnsiTheme="minorHAnsi" w:cstheme="minorBidi"/>
          <w:snapToGrid/>
          <w:sz w:val="24"/>
          <w:szCs w:val="22"/>
        </w:rPr>
        <w:t xml:space="preserve"> has</w:t>
      </w:r>
      <w:r w:rsidRPr="004925D4">
        <w:rPr>
          <w:rFonts w:asciiTheme="minorHAnsi" w:eastAsiaTheme="minorHAnsi" w:hAnsiTheme="minorHAnsi" w:cstheme="minorBidi"/>
          <w:snapToGrid/>
          <w:sz w:val="24"/>
          <w:szCs w:val="22"/>
        </w:rPr>
        <w:t xml:space="preserve"> a 60 mg injection</w:t>
      </w:r>
      <w:r w:rsidR="005E7ACA" w:rsidRPr="004925D4">
        <w:rPr>
          <w:rFonts w:asciiTheme="minorHAnsi" w:eastAsiaTheme="minorHAnsi" w:hAnsiTheme="minorHAnsi" w:cstheme="minorBidi"/>
          <w:snapToGrid/>
          <w:sz w:val="24"/>
          <w:szCs w:val="22"/>
        </w:rPr>
        <w:t xml:space="preserve"> presentation</w:t>
      </w:r>
      <w:r w:rsidRPr="004925D4">
        <w:rPr>
          <w:rFonts w:asciiTheme="minorHAnsi" w:eastAsiaTheme="minorHAnsi" w:hAnsiTheme="minorHAnsi" w:cstheme="minorBidi"/>
          <w:snapToGrid/>
          <w:sz w:val="24"/>
          <w:szCs w:val="22"/>
        </w:rPr>
        <w:t xml:space="preserve"> and </w:t>
      </w:r>
      <w:proofErr w:type="spellStart"/>
      <w:r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 xml:space="preserve"> </w:t>
      </w:r>
      <w:r w:rsidR="007E2CEC" w:rsidRPr="004925D4">
        <w:rPr>
          <w:rFonts w:asciiTheme="minorHAnsi" w:eastAsiaTheme="minorHAnsi" w:hAnsiTheme="minorHAnsi" w:cstheme="minorBidi"/>
          <w:snapToGrid/>
          <w:sz w:val="24"/>
          <w:szCs w:val="22"/>
        </w:rPr>
        <w:t>a 440</w:t>
      </w:r>
      <w:r w:rsidRPr="004925D4">
        <w:rPr>
          <w:rFonts w:asciiTheme="minorHAnsi" w:eastAsiaTheme="minorHAnsi" w:hAnsiTheme="minorHAnsi" w:cstheme="minorBidi"/>
          <w:snapToGrid/>
          <w:sz w:val="24"/>
          <w:szCs w:val="22"/>
        </w:rPr>
        <w:t xml:space="preserve"> </w:t>
      </w:r>
      <w:r w:rsidR="007E2CEC" w:rsidRPr="004925D4">
        <w:rPr>
          <w:rFonts w:asciiTheme="minorHAnsi" w:eastAsiaTheme="minorHAnsi" w:hAnsiTheme="minorHAnsi" w:cstheme="minorBidi"/>
          <w:snapToGrid/>
          <w:sz w:val="24"/>
          <w:szCs w:val="22"/>
        </w:rPr>
        <w:t>mg Pharmacy Bulk Pack</w:t>
      </w:r>
      <w:r w:rsidR="005E7ACA" w:rsidRPr="004925D4">
        <w:rPr>
          <w:rFonts w:asciiTheme="minorHAnsi" w:eastAsiaTheme="minorHAnsi" w:hAnsiTheme="minorHAnsi" w:cstheme="minorBidi"/>
          <w:snapToGrid/>
          <w:sz w:val="24"/>
          <w:szCs w:val="22"/>
        </w:rPr>
        <w:t xml:space="preserve"> presentation</w:t>
      </w:r>
      <w:r w:rsidR="007E2CEC" w:rsidRPr="004925D4">
        <w:rPr>
          <w:rFonts w:asciiTheme="minorHAnsi" w:eastAsiaTheme="minorHAnsi" w:hAnsiTheme="minorHAnsi" w:cstheme="minorBidi"/>
          <w:snapToGrid/>
          <w:sz w:val="24"/>
          <w:szCs w:val="22"/>
        </w:rPr>
        <w:t xml:space="preserve">. </w:t>
      </w:r>
    </w:p>
    <w:p w:rsidR="00813551" w:rsidRPr="00800917" w:rsidRDefault="00813551" w:rsidP="00800917">
      <w:pPr>
        <w:pStyle w:val="ListParagraph"/>
        <w:spacing w:after="120"/>
        <w:contextualSpacing w:val="0"/>
        <w:rPr>
          <w:rFonts w:asciiTheme="minorHAnsi" w:hAnsiTheme="minorHAnsi" w:cstheme="minorHAnsi"/>
          <w:i/>
          <w:sz w:val="24"/>
          <w:szCs w:val="24"/>
        </w:rPr>
      </w:pPr>
      <w:r w:rsidRPr="004925D4">
        <w:rPr>
          <w:rFonts w:asciiTheme="minorHAnsi" w:hAnsiTheme="minorHAnsi" w:cstheme="minorHAnsi"/>
          <w:i/>
          <w:sz w:val="24"/>
          <w:szCs w:val="24"/>
        </w:rPr>
        <w:t>For more detail on PBAC’s view, see section 5 PBAC outcome.</w:t>
      </w:r>
    </w:p>
    <w:p w:rsidR="00C603D4" w:rsidRPr="004925D4" w:rsidRDefault="00CE10C4" w:rsidP="00C354E2">
      <w:pPr>
        <w:pStyle w:val="PBACHeading1"/>
        <w:spacing w:before="240" w:after="120"/>
        <w:ind w:left="709" w:hanging="709"/>
        <w:rPr>
          <w:rFonts w:asciiTheme="minorHAnsi" w:hAnsiTheme="minorHAnsi"/>
          <w:sz w:val="32"/>
          <w:szCs w:val="32"/>
        </w:rPr>
      </w:pPr>
      <w:r w:rsidRPr="004925D4">
        <w:rPr>
          <w:rFonts w:asciiTheme="minorHAnsi" w:hAnsiTheme="minorHAnsi"/>
          <w:sz w:val="32"/>
          <w:szCs w:val="32"/>
        </w:rPr>
        <w:lastRenderedPageBreak/>
        <w:t>Background</w:t>
      </w:r>
    </w:p>
    <w:p w:rsidR="006B0D94" w:rsidRPr="004925D4" w:rsidRDefault="00E67658" w:rsidP="00C354E2">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 xml:space="preserve">The </w:t>
      </w:r>
      <w:proofErr w:type="spellStart"/>
      <w:r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 xml:space="preserve"> brand of </w:t>
      </w:r>
      <w:proofErr w:type="spellStart"/>
      <w:r w:rsidRPr="004925D4">
        <w:rPr>
          <w:rFonts w:asciiTheme="minorHAnsi" w:eastAsiaTheme="minorHAnsi" w:hAnsiTheme="minorHAnsi" w:cstheme="minorBidi"/>
          <w:snapToGrid/>
          <w:sz w:val="24"/>
          <w:szCs w:val="22"/>
        </w:rPr>
        <w:t>trastuzumab</w:t>
      </w:r>
      <w:proofErr w:type="spellEnd"/>
      <w:r w:rsidR="00B47FB8" w:rsidRPr="004925D4">
        <w:rPr>
          <w:rFonts w:asciiTheme="minorHAnsi" w:eastAsiaTheme="minorHAnsi" w:hAnsiTheme="minorHAnsi" w:cstheme="minorBidi"/>
          <w:snapToGrid/>
          <w:sz w:val="24"/>
          <w:szCs w:val="22"/>
        </w:rPr>
        <w:t xml:space="preserve"> was </w:t>
      </w:r>
      <w:r w:rsidRPr="004925D4">
        <w:rPr>
          <w:rFonts w:asciiTheme="minorHAnsi" w:eastAsiaTheme="minorHAnsi" w:hAnsiTheme="minorHAnsi" w:cstheme="minorBidi"/>
          <w:snapToGrid/>
          <w:sz w:val="24"/>
          <w:szCs w:val="22"/>
        </w:rPr>
        <w:t xml:space="preserve">TGA approved on 5 December 2018 </w:t>
      </w:r>
      <w:r w:rsidR="00EE241C" w:rsidRPr="004925D4">
        <w:rPr>
          <w:rFonts w:asciiTheme="minorHAnsi" w:eastAsiaTheme="minorHAnsi" w:hAnsiTheme="minorHAnsi" w:cstheme="minorBidi"/>
          <w:snapToGrid/>
          <w:sz w:val="24"/>
          <w:szCs w:val="22"/>
        </w:rPr>
        <w:t xml:space="preserve">and was determined to be a biosimilar to the reference brand Herceptin. </w:t>
      </w:r>
      <w:r w:rsidRPr="004925D4">
        <w:rPr>
          <w:rFonts w:asciiTheme="minorHAnsi" w:eastAsiaTheme="minorHAnsi" w:hAnsiTheme="minorHAnsi" w:cstheme="minorBidi"/>
          <w:snapToGrid/>
          <w:sz w:val="24"/>
          <w:szCs w:val="22"/>
        </w:rPr>
        <w:t xml:space="preserve"> </w:t>
      </w:r>
    </w:p>
    <w:p w:rsidR="005D1C2D" w:rsidRPr="004925D4" w:rsidRDefault="005F474E" w:rsidP="00C354E2">
      <w:pPr>
        <w:pStyle w:val="ListParagraph"/>
        <w:widowControl/>
        <w:numPr>
          <w:ilvl w:val="1"/>
          <w:numId w:val="14"/>
        </w:numPr>
        <w:spacing w:before="120" w:after="120"/>
        <w:contextualSpacing w:val="0"/>
        <w:rPr>
          <w:rFonts w:asciiTheme="minorHAnsi" w:hAnsiTheme="minorHAnsi"/>
          <w:i/>
          <w:iCs/>
          <w:sz w:val="24"/>
          <w:szCs w:val="24"/>
        </w:rPr>
      </w:pPr>
      <w:r w:rsidRPr="004925D4">
        <w:rPr>
          <w:rFonts w:asciiTheme="minorHAnsi" w:hAnsiTheme="minorHAnsi"/>
          <w:iCs/>
          <w:sz w:val="24"/>
          <w:szCs w:val="24"/>
        </w:rPr>
        <w:t>The PBAC had</w:t>
      </w:r>
      <w:r w:rsidR="00B47FB8" w:rsidRPr="004925D4">
        <w:rPr>
          <w:rFonts w:asciiTheme="minorHAnsi" w:hAnsiTheme="minorHAnsi"/>
          <w:iCs/>
          <w:sz w:val="24"/>
          <w:szCs w:val="24"/>
        </w:rPr>
        <w:t xml:space="preserve"> not previously considered a submiss</w:t>
      </w:r>
      <w:r w:rsidR="00E67658" w:rsidRPr="004925D4">
        <w:rPr>
          <w:rFonts w:asciiTheme="minorHAnsi" w:hAnsiTheme="minorHAnsi"/>
          <w:iCs/>
          <w:sz w:val="24"/>
          <w:szCs w:val="24"/>
        </w:rPr>
        <w:t xml:space="preserve">ion for this brand of </w:t>
      </w:r>
      <w:proofErr w:type="spellStart"/>
      <w:r w:rsidR="00E67658" w:rsidRPr="004925D4">
        <w:rPr>
          <w:rFonts w:asciiTheme="minorHAnsi" w:hAnsiTheme="minorHAnsi"/>
          <w:iCs/>
          <w:sz w:val="24"/>
          <w:szCs w:val="24"/>
        </w:rPr>
        <w:t>trastuzumab</w:t>
      </w:r>
      <w:proofErr w:type="spellEnd"/>
      <w:r w:rsidR="00E67658" w:rsidRPr="004925D4">
        <w:rPr>
          <w:rFonts w:asciiTheme="minorHAnsi" w:hAnsiTheme="minorHAnsi"/>
          <w:iCs/>
          <w:sz w:val="24"/>
          <w:szCs w:val="24"/>
        </w:rPr>
        <w:t xml:space="preserve">. </w:t>
      </w:r>
    </w:p>
    <w:p w:rsidR="00AC0AF9" w:rsidRPr="004925D4" w:rsidRDefault="00AC0AF9" w:rsidP="00C354E2">
      <w:pPr>
        <w:spacing w:before="120" w:after="120"/>
        <w:rPr>
          <w:rStyle w:val="Emphasis"/>
          <w:rFonts w:asciiTheme="minorHAnsi" w:hAnsiTheme="minorHAnsi"/>
          <w:b/>
        </w:rPr>
      </w:pPr>
      <w:r w:rsidRPr="004925D4">
        <w:rPr>
          <w:rStyle w:val="Emphasis"/>
          <w:rFonts w:asciiTheme="minorHAnsi" w:hAnsiTheme="minorHAnsi"/>
          <w:b/>
        </w:rPr>
        <w:t>Brand equivalence and substitution at the pharmacist level (‘a’ flagging)</w:t>
      </w:r>
    </w:p>
    <w:p w:rsidR="00AC0AF9" w:rsidRPr="004925D4" w:rsidRDefault="00DB4E05" w:rsidP="00C354E2">
      <w:pPr>
        <w:pStyle w:val="ListParagraph"/>
        <w:numPr>
          <w:ilvl w:val="1"/>
          <w:numId w:val="14"/>
        </w:numPr>
        <w:spacing w:after="120"/>
        <w:contextualSpacing w:val="0"/>
        <w:rPr>
          <w:rFonts w:asciiTheme="minorHAnsi" w:hAnsiTheme="minorHAnsi"/>
          <w:sz w:val="24"/>
          <w:szCs w:val="24"/>
        </w:rPr>
      </w:pPr>
      <w:r w:rsidRPr="004925D4">
        <w:rPr>
          <w:rFonts w:asciiTheme="minorHAnsi" w:hAnsiTheme="minorHAnsi"/>
          <w:sz w:val="24"/>
          <w:szCs w:val="24"/>
        </w:rPr>
        <w:t>The</w:t>
      </w:r>
      <w:r w:rsidRPr="004925D4">
        <w:rPr>
          <w:rFonts w:asciiTheme="minorHAnsi" w:eastAsiaTheme="minorHAnsi" w:hAnsiTheme="minorHAnsi" w:cstheme="minorBidi"/>
          <w:snapToGrid/>
          <w:sz w:val="24"/>
          <w:szCs w:val="22"/>
        </w:rPr>
        <w:t xml:space="preserve"> sponsor requested that </w:t>
      </w:r>
      <w:proofErr w:type="spellStart"/>
      <w:r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 xml:space="preserve"> be ‘a’ flagged against</w:t>
      </w:r>
      <w:r w:rsidR="00481D93" w:rsidRPr="004925D4">
        <w:rPr>
          <w:rFonts w:asciiTheme="minorHAnsi" w:eastAsiaTheme="minorHAnsi" w:hAnsiTheme="minorHAnsi" w:cstheme="minorBidi"/>
          <w:snapToGrid/>
          <w:sz w:val="24"/>
          <w:szCs w:val="22"/>
        </w:rPr>
        <w:t xml:space="preserve"> the reference product, Hercepti</w:t>
      </w:r>
      <w:r w:rsidR="00F52D78" w:rsidRPr="004925D4">
        <w:rPr>
          <w:rFonts w:asciiTheme="minorHAnsi" w:eastAsiaTheme="minorHAnsi" w:hAnsiTheme="minorHAnsi" w:cstheme="minorBidi"/>
          <w:snapToGrid/>
          <w:sz w:val="24"/>
          <w:szCs w:val="22"/>
        </w:rPr>
        <w:t>n.</w:t>
      </w:r>
    </w:p>
    <w:p w:rsidR="00AC0AF9" w:rsidRPr="004925D4" w:rsidRDefault="00AC0AF9" w:rsidP="00C354E2">
      <w:pPr>
        <w:pStyle w:val="PBACHeading1"/>
        <w:numPr>
          <w:ilvl w:val="0"/>
          <w:numId w:val="0"/>
        </w:numPr>
        <w:spacing w:after="120"/>
        <w:outlineLvl w:val="9"/>
        <w:rPr>
          <w:rStyle w:val="Emphasis"/>
          <w:rFonts w:asciiTheme="minorHAnsi" w:hAnsiTheme="minorHAnsi"/>
          <w:sz w:val="24"/>
          <w:szCs w:val="24"/>
        </w:rPr>
      </w:pPr>
      <w:r w:rsidRPr="004925D4">
        <w:rPr>
          <w:rStyle w:val="Emphasis"/>
          <w:rFonts w:asciiTheme="minorHAnsi" w:hAnsiTheme="minorHAnsi"/>
          <w:sz w:val="24"/>
          <w:szCs w:val="24"/>
        </w:rPr>
        <w:t>Biosimilar uptake measures</w:t>
      </w:r>
    </w:p>
    <w:p w:rsidR="00F52D78" w:rsidRPr="004925D4" w:rsidRDefault="00481D93" w:rsidP="00C354E2">
      <w:pPr>
        <w:pStyle w:val="ListParagraph"/>
        <w:numPr>
          <w:ilvl w:val="1"/>
          <w:numId w:val="5"/>
        </w:numPr>
        <w:spacing w:after="120"/>
        <w:contextualSpacing w:val="0"/>
        <w:rPr>
          <w:rFonts w:asciiTheme="minorHAnsi" w:hAnsiTheme="minorHAnsi" w:cstheme="minorHAnsi"/>
          <w:b/>
          <w:i/>
          <w:sz w:val="24"/>
          <w:szCs w:val="24"/>
        </w:rPr>
      </w:pPr>
      <w:r w:rsidRPr="004925D4">
        <w:rPr>
          <w:rFonts w:asciiTheme="minorHAnsi" w:hAnsiTheme="minorHAnsi"/>
          <w:sz w:val="24"/>
          <w:szCs w:val="24"/>
        </w:rPr>
        <w:t>The</w:t>
      </w:r>
      <w:r w:rsidRPr="004925D4">
        <w:rPr>
          <w:rFonts w:asciiTheme="minorHAnsi" w:eastAsiaTheme="minorHAnsi" w:hAnsiTheme="minorHAnsi" w:cstheme="minorBidi"/>
          <w:snapToGrid/>
          <w:sz w:val="24"/>
          <w:szCs w:val="22"/>
        </w:rPr>
        <w:t xml:space="preserve"> sponsor requested Authority Required (STREAMLINED)</w:t>
      </w:r>
      <w:r w:rsidR="00B92941" w:rsidRPr="004925D4">
        <w:rPr>
          <w:rFonts w:asciiTheme="minorHAnsi" w:eastAsiaTheme="minorHAnsi" w:hAnsiTheme="minorHAnsi" w:cstheme="minorBidi"/>
          <w:snapToGrid/>
          <w:sz w:val="24"/>
          <w:szCs w:val="22"/>
        </w:rPr>
        <w:t xml:space="preserve"> listings across all item</w:t>
      </w:r>
      <w:r w:rsidRPr="004925D4">
        <w:rPr>
          <w:rFonts w:asciiTheme="minorHAnsi" w:eastAsiaTheme="minorHAnsi" w:hAnsiTheme="minorHAnsi" w:cstheme="minorBidi"/>
          <w:snapToGrid/>
          <w:sz w:val="24"/>
          <w:szCs w:val="22"/>
        </w:rPr>
        <w:t xml:space="preserve"> codes for </w:t>
      </w:r>
      <w:proofErr w:type="spellStart"/>
      <w:r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 Herceptin has an Authority Required (Written) and Authority Required (Telephone) listing on the PBS.</w:t>
      </w:r>
      <w:r w:rsidR="00615FF3" w:rsidRPr="004925D4">
        <w:rPr>
          <w:rFonts w:asciiTheme="minorHAnsi" w:eastAsiaTheme="minorHAnsi" w:hAnsiTheme="minorHAnsi" w:cstheme="minorBidi"/>
          <w:snapToGrid/>
          <w:sz w:val="24"/>
          <w:szCs w:val="22"/>
        </w:rPr>
        <w:t xml:space="preserve"> </w:t>
      </w:r>
    </w:p>
    <w:p w:rsidR="00813551" w:rsidRPr="004925D4" w:rsidRDefault="00813551" w:rsidP="00C354E2">
      <w:pPr>
        <w:pStyle w:val="ListParagraph"/>
        <w:spacing w:after="120"/>
        <w:contextualSpacing w:val="0"/>
        <w:rPr>
          <w:rFonts w:asciiTheme="minorHAnsi" w:hAnsiTheme="minorHAnsi" w:cstheme="minorHAnsi"/>
          <w:b/>
          <w:i/>
          <w:sz w:val="24"/>
          <w:szCs w:val="24"/>
        </w:rPr>
      </w:pPr>
      <w:r w:rsidRPr="004925D4">
        <w:rPr>
          <w:rFonts w:asciiTheme="minorHAnsi" w:hAnsiTheme="minorHAnsi" w:cstheme="minorHAnsi"/>
          <w:i/>
          <w:sz w:val="24"/>
          <w:szCs w:val="24"/>
        </w:rPr>
        <w:t>For more detail on PBAC’s view, see section 5 PBAC outcome.</w:t>
      </w:r>
    </w:p>
    <w:p w:rsidR="000B558D" w:rsidRPr="004925D4" w:rsidRDefault="008D7A41" w:rsidP="00C354E2">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4925D4">
        <w:rPr>
          <w:rFonts w:asciiTheme="minorHAnsi" w:hAnsiTheme="minorHAnsi"/>
          <w:sz w:val="32"/>
          <w:szCs w:val="32"/>
        </w:rPr>
        <w:t>C</w:t>
      </w:r>
      <w:r w:rsidR="00D84934" w:rsidRPr="004925D4">
        <w:rPr>
          <w:rFonts w:asciiTheme="minorHAnsi" w:hAnsiTheme="minorHAnsi"/>
          <w:sz w:val="32"/>
          <w:szCs w:val="32"/>
        </w:rPr>
        <w:t>onsideration of the evidence</w:t>
      </w:r>
    </w:p>
    <w:p w:rsidR="000838AA" w:rsidRPr="00C25C88" w:rsidRDefault="000838AA" w:rsidP="00C354E2">
      <w:pPr>
        <w:pStyle w:val="Heading2"/>
        <w:keepLines/>
        <w:spacing w:before="240" w:after="120"/>
        <w:rPr>
          <w:rFonts w:asciiTheme="minorHAnsi" w:eastAsiaTheme="majorEastAsia" w:hAnsiTheme="minorHAnsi" w:cstheme="majorBidi"/>
          <w:sz w:val="28"/>
          <w:szCs w:val="28"/>
          <w:lang w:eastAsia="en-US"/>
        </w:rPr>
      </w:pPr>
      <w:r w:rsidRPr="00C25C88">
        <w:rPr>
          <w:rFonts w:asciiTheme="minorHAnsi" w:eastAsiaTheme="majorEastAsia" w:hAnsiTheme="minorHAnsi" w:cstheme="majorBidi"/>
          <w:sz w:val="28"/>
          <w:szCs w:val="28"/>
          <w:lang w:eastAsia="en-US"/>
        </w:rPr>
        <w:t>Sponsor hearing</w:t>
      </w:r>
    </w:p>
    <w:p w:rsidR="000838AA" w:rsidRPr="000E6927" w:rsidRDefault="000838AA" w:rsidP="00C354E2">
      <w:pPr>
        <w:numPr>
          <w:ilvl w:val="1"/>
          <w:numId w:val="5"/>
        </w:numPr>
        <w:spacing w:after="120"/>
        <w:jc w:val="both"/>
        <w:rPr>
          <w:rFonts w:asciiTheme="minorHAnsi" w:hAnsiTheme="minorHAnsi" w:cs="Arial"/>
          <w:bCs/>
          <w:snapToGrid w:val="0"/>
        </w:rPr>
      </w:pPr>
      <w:r w:rsidRPr="000E6927">
        <w:rPr>
          <w:rFonts w:asciiTheme="minorHAnsi" w:hAnsiTheme="minorHAnsi" w:cs="Arial"/>
          <w:bCs/>
          <w:snapToGrid w:val="0"/>
        </w:rPr>
        <w:t xml:space="preserve"> There was no hearing for this item as it was a minor submission.</w:t>
      </w:r>
    </w:p>
    <w:p w:rsidR="000838AA" w:rsidRPr="00C25C88" w:rsidRDefault="000838AA" w:rsidP="00C354E2">
      <w:pPr>
        <w:pStyle w:val="Heading2"/>
        <w:keepLines/>
        <w:spacing w:before="240" w:after="120"/>
        <w:rPr>
          <w:rFonts w:asciiTheme="minorHAnsi" w:eastAsiaTheme="majorEastAsia" w:hAnsiTheme="minorHAnsi" w:cstheme="majorBidi"/>
          <w:sz w:val="28"/>
          <w:szCs w:val="28"/>
          <w:lang w:eastAsia="en-US"/>
        </w:rPr>
      </w:pPr>
      <w:r w:rsidRPr="00C25C88">
        <w:rPr>
          <w:rFonts w:asciiTheme="minorHAnsi" w:eastAsiaTheme="majorEastAsia" w:hAnsiTheme="minorHAnsi" w:cstheme="majorBidi"/>
          <w:sz w:val="28"/>
          <w:szCs w:val="28"/>
          <w:lang w:eastAsia="en-US"/>
        </w:rPr>
        <w:t>Consumer comments</w:t>
      </w:r>
    </w:p>
    <w:p w:rsidR="000838AA" w:rsidRPr="000E6927" w:rsidRDefault="000838AA" w:rsidP="00C354E2">
      <w:pPr>
        <w:numPr>
          <w:ilvl w:val="1"/>
          <w:numId w:val="5"/>
        </w:numPr>
        <w:spacing w:after="120"/>
        <w:jc w:val="both"/>
        <w:rPr>
          <w:rFonts w:asciiTheme="minorHAnsi" w:hAnsiTheme="minorHAnsi" w:cs="Arial"/>
          <w:bCs/>
          <w:snapToGrid w:val="0"/>
        </w:rPr>
      </w:pPr>
      <w:r w:rsidRPr="000E6927">
        <w:rPr>
          <w:rFonts w:asciiTheme="minorHAnsi" w:hAnsiTheme="minorHAnsi" w:cs="Arial"/>
          <w:bCs/>
          <w:snapToGrid w:val="0"/>
        </w:rPr>
        <w:t xml:space="preserve">The PBAC noted that no consumer comments </w:t>
      </w:r>
      <w:proofErr w:type="gramStart"/>
      <w:r w:rsidRPr="000E6927">
        <w:rPr>
          <w:rFonts w:asciiTheme="minorHAnsi" w:hAnsiTheme="minorHAnsi" w:cs="Arial"/>
          <w:bCs/>
          <w:snapToGrid w:val="0"/>
        </w:rPr>
        <w:t>were received</w:t>
      </w:r>
      <w:proofErr w:type="gramEnd"/>
      <w:r w:rsidRPr="000E6927">
        <w:rPr>
          <w:rFonts w:asciiTheme="minorHAnsi" w:hAnsiTheme="minorHAnsi" w:cs="Arial"/>
          <w:bCs/>
          <w:snapToGrid w:val="0"/>
        </w:rPr>
        <w:t xml:space="preserve"> for this item.</w:t>
      </w:r>
    </w:p>
    <w:p w:rsidR="00D84934" w:rsidRPr="004925D4" w:rsidRDefault="00D84934" w:rsidP="00C354E2">
      <w:pPr>
        <w:pStyle w:val="Heading2"/>
        <w:keepLines/>
        <w:spacing w:before="240" w:after="120"/>
        <w:rPr>
          <w:rFonts w:asciiTheme="minorHAnsi" w:eastAsiaTheme="majorEastAsia" w:hAnsiTheme="minorHAnsi" w:cstheme="majorBidi"/>
          <w:sz w:val="28"/>
          <w:szCs w:val="28"/>
          <w:lang w:eastAsia="en-US"/>
        </w:rPr>
      </w:pPr>
      <w:r w:rsidRPr="004925D4">
        <w:rPr>
          <w:rFonts w:asciiTheme="minorHAnsi" w:eastAsiaTheme="majorEastAsia" w:hAnsiTheme="minorHAnsi" w:cstheme="majorBidi"/>
          <w:sz w:val="28"/>
          <w:szCs w:val="28"/>
          <w:lang w:eastAsia="en-US"/>
        </w:rPr>
        <w:t>Clinical trials</w:t>
      </w:r>
    </w:p>
    <w:p w:rsidR="0076420C" w:rsidRPr="004925D4" w:rsidRDefault="00314BE4" w:rsidP="00C354E2">
      <w:pPr>
        <w:pStyle w:val="ListParagraph"/>
        <w:widowControl/>
        <w:numPr>
          <w:ilvl w:val="1"/>
          <w:numId w:val="14"/>
        </w:numPr>
        <w:spacing w:before="120" w:after="120"/>
        <w:contextualSpacing w:val="0"/>
        <w:rPr>
          <w:rFonts w:ascii="Arial Narrow" w:hAnsi="Arial Narrow"/>
          <w:b/>
          <w:sz w:val="20"/>
        </w:rPr>
      </w:pPr>
      <w:r w:rsidRPr="004925D4">
        <w:rPr>
          <w:rFonts w:asciiTheme="minorHAnsi" w:eastAsiaTheme="minorHAnsi" w:hAnsiTheme="minorHAnsi" w:cstheme="minorBidi"/>
          <w:snapToGrid/>
          <w:sz w:val="24"/>
          <w:szCs w:val="22"/>
        </w:rPr>
        <w:t>The minor submission presented the following clinical trials</w:t>
      </w:r>
      <w:r w:rsidR="0048719E" w:rsidRPr="004925D4">
        <w:rPr>
          <w:rFonts w:asciiTheme="minorHAnsi" w:eastAsiaTheme="minorHAnsi" w:hAnsiTheme="minorHAnsi" w:cstheme="minorBidi"/>
          <w:snapToGrid/>
          <w:sz w:val="24"/>
          <w:szCs w:val="22"/>
        </w:rPr>
        <w:t xml:space="preserve"> to support the </w:t>
      </w:r>
      <w:proofErr w:type="spellStart"/>
      <w:r w:rsidR="003E374A" w:rsidRPr="004925D4">
        <w:rPr>
          <w:rFonts w:asciiTheme="minorHAnsi" w:eastAsiaTheme="minorHAnsi" w:hAnsiTheme="minorHAnsi" w:cstheme="minorBidi"/>
          <w:snapToGrid/>
          <w:sz w:val="24"/>
          <w:szCs w:val="22"/>
        </w:rPr>
        <w:t>biosimilarity</w:t>
      </w:r>
      <w:proofErr w:type="spellEnd"/>
      <w:r w:rsidR="000E5E81" w:rsidRPr="004925D4">
        <w:rPr>
          <w:rFonts w:asciiTheme="minorHAnsi" w:eastAsiaTheme="minorHAnsi" w:hAnsiTheme="minorHAnsi" w:cstheme="minorBidi"/>
          <w:snapToGrid/>
          <w:sz w:val="24"/>
          <w:szCs w:val="22"/>
        </w:rPr>
        <w:t xml:space="preserve"> of </w:t>
      </w:r>
      <w:proofErr w:type="spellStart"/>
      <w:r w:rsidR="000E5E81" w:rsidRPr="004925D4">
        <w:rPr>
          <w:rFonts w:asciiTheme="minorHAnsi" w:eastAsiaTheme="minorHAnsi" w:hAnsiTheme="minorHAnsi" w:cstheme="minorBidi"/>
          <w:snapToGrid/>
          <w:sz w:val="24"/>
          <w:szCs w:val="22"/>
        </w:rPr>
        <w:t>Ogivri</w:t>
      </w:r>
      <w:proofErr w:type="spellEnd"/>
      <w:r w:rsidR="000E5E81" w:rsidRPr="004925D4">
        <w:rPr>
          <w:rFonts w:asciiTheme="minorHAnsi" w:eastAsiaTheme="minorHAnsi" w:hAnsiTheme="minorHAnsi" w:cstheme="minorBidi"/>
          <w:snapToGrid/>
          <w:sz w:val="24"/>
          <w:szCs w:val="22"/>
        </w:rPr>
        <w:t xml:space="preserve"> </w:t>
      </w:r>
      <w:r w:rsidR="003E374A" w:rsidRPr="004925D4">
        <w:rPr>
          <w:rFonts w:asciiTheme="minorHAnsi" w:eastAsiaTheme="minorHAnsi" w:hAnsiTheme="minorHAnsi" w:cstheme="minorBidi"/>
          <w:snapToGrid/>
          <w:sz w:val="24"/>
          <w:szCs w:val="22"/>
        </w:rPr>
        <w:t>and</w:t>
      </w:r>
      <w:r w:rsidR="000E5E81" w:rsidRPr="004925D4">
        <w:rPr>
          <w:rFonts w:asciiTheme="minorHAnsi" w:eastAsiaTheme="minorHAnsi" w:hAnsiTheme="minorHAnsi" w:cstheme="minorBidi"/>
          <w:snapToGrid/>
          <w:sz w:val="24"/>
          <w:szCs w:val="22"/>
        </w:rPr>
        <w:t xml:space="preserve"> Herceptin. </w:t>
      </w:r>
      <w:r w:rsidR="006B795F" w:rsidRPr="004925D4">
        <w:rPr>
          <w:rFonts w:asciiTheme="minorHAnsi" w:eastAsiaTheme="minorHAnsi" w:hAnsiTheme="minorHAnsi" w:cstheme="minorBidi"/>
          <w:snapToGrid/>
          <w:sz w:val="24"/>
          <w:szCs w:val="22"/>
        </w:rPr>
        <w:t>As this was a minor submission, no evaluation of the clinical evidence was undertaken.</w:t>
      </w:r>
    </w:p>
    <w:p w:rsidR="007000D7" w:rsidRPr="004925D4" w:rsidRDefault="00371976" w:rsidP="00800917">
      <w:pPr>
        <w:pStyle w:val="NoSpacing"/>
        <w:keepNext/>
        <w:spacing w:after="60"/>
        <w:ind w:left="709" w:hanging="709"/>
        <w:rPr>
          <w:rFonts w:ascii="Arial Narrow" w:hAnsi="Arial Narrow"/>
          <w:b/>
          <w:sz w:val="20"/>
        </w:rPr>
      </w:pPr>
      <w:r w:rsidRPr="004925D4">
        <w:rPr>
          <w:rFonts w:ascii="Arial Narrow" w:hAnsi="Arial Narrow"/>
          <w:b/>
          <w:sz w:val="20"/>
        </w:rPr>
        <w:lastRenderedPageBreak/>
        <w:t>Table 1:</w:t>
      </w:r>
      <w:r w:rsidR="007000D7" w:rsidRPr="004925D4">
        <w:rPr>
          <w:rFonts w:ascii="Arial Narrow" w:hAnsi="Arial Narrow"/>
          <w:b/>
          <w:sz w:val="20"/>
        </w:rPr>
        <w:t xml:space="preserve"> Trials and associated reports presented in the submission</w:t>
      </w:r>
    </w:p>
    <w:tbl>
      <w:tblPr>
        <w:tblStyle w:val="TableGridLight1"/>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rials and associated reports presented in the submission"/>
      </w:tblPr>
      <w:tblGrid>
        <w:gridCol w:w="1418"/>
        <w:gridCol w:w="5188"/>
        <w:gridCol w:w="2212"/>
      </w:tblGrid>
      <w:tr w:rsidR="00314BE4" w:rsidRPr="004925D4" w:rsidTr="008165F6">
        <w:trPr>
          <w:cnfStyle w:val="100000000000" w:firstRow="1" w:lastRow="0" w:firstColumn="0" w:lastColumn="0" w:oddVBand="0" w:evenVBand="0" w:oddHBand="0" w:evenHBand="0" w:firstRowFirstColumn="0" w:firstRowLastColumn="0" w:lastRowFirstColumn="0" w:lastRowLastColumn="0"/>
          <w:tblHeader/>
        </w:trPr>
        <w:tc>
          <w:tcPr>
            <w:tcW w:w="1418" w:type="dxa"/>
            <w:shd w:val="clear" w:color="auto" w:fill="FFFFFF" w:themeFill="background1"/>
          </w:tcPr>
          <w:p w:rsidR="00314BE4" w:rsidRPr="00655FEF" w:rsidRDefault="00314BE4" w:rsidP="00800917">
            <w:pPr>
              <w:pStyle w:val="tabletextsubmission"/>
              <w:keepNext/>
              <w:jc w:val="left"/>
              <w:rPr>
                <w:rFonts w:ascii="Arial Narrow" w:hAnsi="Arial Narrow"/>
                <w:b/>
                <w:sz w:val="20"/>
                <w:szCs w:val="20"/>
                <w:lang w:val="en-AU"/>
              </w:rPr>
            </w:pPr>
            <w:r w:rsidRPr="004925D4">
              <w:rPr>
                <w:rFonts w:ascii="Arial Narrow" w:hAnsi="Arial Narrow"/>
                <w:b/>
                <w:sz w:val="20"/>
                <w:szCs w:val="20"/>
              </w:rPr>
              <w:t>Trial ID (Full Study No.)</w:t>
            </w:r>
          </w:p>
        </w:tc>
        <w:tc>
          <w:tcPr>
            <w:tcW w:w="5188" w:type="dxa"/>
            <w:shd w:val="clear" w:color="auto" w:fill="FFFFFF" w:themeFill="background1"/>
          </w:tcPr>
          <w:p w:rsidR="00314BE4" w:rsidRPr="00655FEF" w:rsidRDefault="00314BE4" w:rsidP="00800917">
            <w:pPr>
              <w:pStyle w:val="tabletextsubmission"/>
              <w:keepNext/>
              <w:rPr>
                <w:rFonts w:ascii="Arial Narrow" w:hAnsi="Arial Narrow"/>
                <w:b/>
                <w:sz w:val="20"/>
                <w:szCs w:val="20"/>
                <w:lang w:val="en-AU"/>
              </w:rPr>
            </w:pPr>
            <w:r w:rsidRPr="004925D4">
              <w:rPr>
                <w:rFonts w:ascii="Arial Narrow" w:hAnsi="Arial Narrow"/>
                <w:b/>
                <w:sz w:val="20"/>
                <w:szCs w:val="20"/>
              </w:rPr>
              <w:t>Protocol title/publication title</w:t>
            </w:r>
          </w:p>
        </w:tc>
        <w:tc>
          <w:tcPr>
            <w:tcW w:w="2212" w:type="dxa"/>
            <w:shd w:val="clear" w:color="auto" w:fill="FFFFFF" w:themeFill="background1"/>
          </w:tcPr>
          <w:p w:rsidR="00314BE4" w:rsidRPr="00655FEF" w:rsidRDefault="00314BE4" w:rsidP="00800917">
            <w:pPr>
              <w:pStyle w:val="tabletextsubmission"/>
              <w:keepNext/>
              <w:rPr>
                <w:rFonts w:ascii="Arial Narrow" w:hAnsi="Arial Narrow"/>
                <w:b/>
                <w:sz w:val="20"/>
                <w:szCs w:val="20"/>
                <w:lang w:val="en-AU"/>
              </w:rPr>
            </w:pPr>
            <w:r w:rsidRPr="004925D4">
              <w:rPr>
                <w:rFonts w:ascii="Arial Narrow" w:hAnsi="Arial Narrow"/>
                <w:b/>
                <w:sz w:val="20"/>
                <w:szCs w:val="20"/>
              </w:rPr>
              <w:t>Publication citation</w:t>
            </w:r>
          </w:p>
        </w:tc>
      </w:tr>
      <w:tr w:rsidR="00314BE4" w:rsidRPr="004925D4" w:rsidTr="00800917">
        <w:tc>
          <w:tcPr>
            <w:tcW w:w="8818" w:type="dxa"/>
            <w:gridSpan w:val="3"/>
            <w:shd w:val="clear" w:color="auto" w:fill="FFFFFF" w:themeFill="background1"/>
          </w:tcPr>
          <w:p w:rsidR="00314BE4" w:rsidRPr="00655FEF" w:rsidRDefault="00897113" w:rsidP="00800917">
            <w:pPr>
              <w:pStyle w:val="tabletextsubmission"/>
              <w:keepNext/>
              <w:jc w:val="left"/>
              <w:rPr>
                <w:rFonts w:ascii="Arial Narrow" w:hAnsi="Arial Narrow"/>
                <w:b/>
                <w:sz w:val="20"/>
                <w:szCs w:val="20"/>
                <w:lang w:val="en-AU"/>
              </w:rPr>
            </w:pPr>
            <w:r w:rsidRPr="004925D4">
              <w:rPr>
                <w:rFonts w:ascii="Arial Narrow" w:hAnsi="Arial Narrow"/>
                <w:b/>
                <w:sz w:val="20"/>
                <w:szCs w:val="20"/>
              </w:rPr>
              <w:t xml:space="preserve">Direct </w:t>
            </w:r>
            <w:proofErr w:type="spellStart"/>
            <w:r w:rsidRPr="004925D4">
              <w:rPr>
                <w:rFonts w:ascii="Arial Narrow" w:hAnsi="Arial Narrow"/>
                <w:b/>
                <w:sz w:val="20"/>
                <w:szCs w:val="20"/>
              </w:rPr>
              <w:t>randomised</w:t>
            </w:r>
            <w:proofErr w:type="spellEnd"/>
            <w:r w:rsidRPr="004925D4">
              <w:rPr>
                <w:rFonts w:ascii="Arial Narrow" w:hAnsi="Arial Narrow"/>
                <w:b/>
                <w:sz w:val="20"/>
                <w:szCs w:val="20"/>
              </w:rPr>
              <w:t xml:space="preserve"> trial(s)</w:t>
            </w:r>
          </w:p>
        </w:tc>
      </w:tr>
      <w:tr w:rsidR="0048719E" w:rsidRPr="004925D4" w:rsidTr="00800917">
        <w:tc>
          <w:tcPr>
            <w:tcW w:w="1418" w:type="dxa"/>
            <w:vMerge w:val="restart"/>
            <w:shd w:val="clear" w:color="auto" w:fill="FFFFFF" w:themeFill="background1"/>
          </w:tcPr>
          <w:p w:rsidR="00AA2160" w:rsidRPr="00655FEF" w:rsidRDefault="000E5E81" w:rsidP="00800917">
            <w:pPr>
              <w:keepNext/>
              <w:keepLines/>
              <w:rPr>
                <w:rFonts w:ascii="Arial Narrow" w:hAnsi="Arial Narrow"/>
                <w:b/>
                <w:sz w:val="20"/>
                <w:szCs w:val="20"/>
                <w:lang w:val="en-AU"/>
              </w:rPr>
            </w:pPr>
            <w:r w:rsidRPr="004925D4">
              <w:rPr>
                <w:rFonts w:ascii="Arial Narrow" w:hAnsi="Arial Narrow"/>
                <w:b/>
                <w:sz w:val="20"/>
                <w:szCs w:val="20"/>
              </w:rPr>
              <w:t>MYL-Her-3001</w:t>
            </w:r>
          </w:p>
        </w:tc>
        <w:tc>
          <w:tcPr>
            <w:tcW w:w="5188" w:type="dxa"/>
            <w:shd w:val="clear" w:color="auto" w:fill="FFFFFF" w:themeFill="background1"/>
          </w:tcPr>
          <w:p w:rsidR="0048719E" w:rsidRPr="00655FEF" w:rsidRDefault="000E5E81" w:rsidP="00800917">
            <w:pPr>
              <w:keepNext/>
              <w:keepLines/>
              <w:rPr>
                <w:rFonts w:ascii="Arial Narrow" w:hAnsi="Arial Narrow"/>
                <w:sz w:val="20"/>
                <w:szCs w:val="20"/>
                <w:lang w:val="en-AU"/>
              </w:rPr>
            </w:pPr>
            <w:r w:rsidRPr="004925D4">
              <w:rPr>
                <w:rFonts w:ascii="Arial Narrow" w:hAnsi="Arial Narrow"/>
                <w:sz w:val="20"/>
                <w:szCs w:val="20"/>
              </w:rPr>
              <w:t xml:space="preserve">A </w:t>
            </w:r>
            <w:proofErr w:type="spellStart"/>
            <w:r w:rsidRPr="004925D4">
              <w:rPr>
                <w:rFonts w:ascii="Arial Narrow" w:hAnsi="Arial Narrow"/>
                <w:sz w:val="20"/>
                <w:szCs w:val="20"/>
              </w:rPr>
              <w:t>Multicentre</w:t>
            </w:r>
            <w:proofErr w:type="spellEnd"/>
            <w:r w:rsidRPr="004925D4">
              <w:rPr>
                <w:rFonts w:ascii="Arial Narrow" w:hAnsi="Arial Narrow"/>
                <w:sz w:val="20"/>
                <w:szCs w:val="20"/>
              </w:rPr>
              <w:t xml:space="preserve">, Double-blind, Randomized, Parallel-group, Phase III Study of the Efficacy and Safety of Hercules Plus </w:t>
            </w:r>
            <w:proofErr w:type="spellStart"/>
            <w:r w:rsidRPr="004925D4">
              <w:rPr>
                <w:rFonts w:ascii="Arial Narrow" w:hAnsi="Arial Narrow"/>
                <w:sz w:val="20"/>
                <w:szCs w:val="20"/>
              </w:rPr>
              <w:t>Taxane</w:t>
            </w:r>
            <w:proofErr w:type="spellEnd"/>
            <w:r w:rsidRPr="004925D4">
              <w:rPr>
                <w:rFonts w:ascii="Arial Narrow" w:hAnsi="Arial Narrow"/>
                <w:sz w:val="20"/>
                <w:szCs w:val="20"/>
              </w:rPr>
              <w:t xml:space="preserve"> Versus Herceptin® Plus </w:t>
            </w:r>
            <w:proofErr w:type="spellStart"/>
            <w:r w:rsidRPr="004925D4">
              <w:rPr>
                <w:rFonts w:ascii="Arial Narrow" w:hAnsi="Arial Narrow"/>
                <w:sz w:val="20"/>
                <w:szCs w:val="20"/>
              </w:rPr>
              <w:t>Taxane</w:t>
            </w:r>
            <w:proofErr w:type="spellEnd"/>
            <w:r w:rsidRPr="004925D4">
              <w:rPr>
                <w:rFonts w:ascii="Arial Narrow" w:hAnsi="Arial Narrow"/>
                <w:sz w:val="20"/>
                <w:szCs w:val="20"/>
              </w:rPr>
              <w:t xml:space="preserve"> as First Line Therapy in Patients With HER2-Positive Metastatic Breast Cancer</w:t>
            </w:r>
          </w:p>
          <w:p w:rsidR="00AA2160" w:rsidRPr="00655FEF" w:rsidRDefault="00AA2160" w:rsidP="00800917">
            <w:pPr>
              <w:pStyle w:val="tabletextsubmission"/>
              <w:keepNext/>
              <w:rPr>
                <w:rFonts w:ascii="Arial Narrow" w:hAnsi="Arial Narrow"/>
                <w:sz w:val="20"/>
                <w:szCs w:val="20"/>
                <w:lang w:val="en-AU"/>
              </w:rPr>
            </w:pPr>
          </w:p>
        </w:tc>
        <w:tc>
          <w:tcPr>
            <w:tcW w:w="2212" w:type="dxa"/>
            <w:shd w:val="clear" w:color="auto" w:fill="FFFFFF" w:themeFill="background1"/>
          </w:tcPr>
          <w:p w:rsidR="0048719E" w:rsidRPr="00655FEF" w:rsidRDefault="0048719E" w:rsidP="00800917">
            <w:pPr>
              <w:pStyle w:val="tabletextsubmission"/>
              <w:keepNext/>
              <w:rPr>
                <w:rFonts w:ascii="Arial Narrow" w:hAnsi="Arial Narrow"/>
                <w:sz w:val="20"/>
                <w:szCs w:val="20"/>
                <w:lang w:val="en-AU"/>
              </w:rPr>
            </w:pPr>
            <w:r w:rsidRPr="004925D4">
              <w:rPr>
                <w:rFonts w:ascii="Arial Narrow" w:hAnsi="Arial Narrow"/>
                <w:sz w:val="20"/>
                <w:szCs w:val="20"/>
              </w:rPr>
              <w:t>Clinical Study Repor</w:t>
            </w:r>
            <w:r w:rsidR="00AA2160" w:rsidRPr="004925D4">
              <w:rPr>
                <w:rFonts w:ascii="Arial Narrow" w:hAnsi="Arial Narrow"/>
                <w:sz w:val="20"/>
                <w:szCs w:val="20"/>
              </w:rPr>
              <w:t>t</w:t>
            </w:r>
          </w:p>
          <w:p w:rsidR="0048719E" w:rsidRPr="00655FEF" w:rsidRDefault="000E5E81" w:rsidP="00800917">
            <w:pPr>
              <w:pStyle w:val="tabletextsubmission"/>
              <w:keepNext/>
              <w:rPr>
                <w:rFonts w:ascii="Arial Narrow" w:hAnsi="Arial Narrow"/>
                <w:sz w:val="20"/>
                <w:szCs w:val="20"/>
                <w:lang w:val="en-AU"/>
              </w:rPr>
            </w:pPr>
            <w:r w:rsidRPr="004925D4">
              <w:rPr>
                <w:rFonts w:ascii="Arial Narrow" w:hAnsi="Arial Narrow"/>
                <w:sz w:val="20"/>
                <w:szCs w:val="20"/>
              </w:rPr>
              <w:t>Report date:  7 March 2017</w:t>
            </w:r>
          </w:p>
          <w:p w:rsidR="0048719E" w:rsidRPr="00655FEF" w:rsidRDefault="0048719E" w:rsidP="00800917">
            <w:pPr>
              <w:pStyle w:val="tabletextsubmission"/>
              <w:keepNext/>
              <w:rPr>
                <w:rFonts w:ascii="Arial Narrow" w:hAnsi="Arial Narrow"/>
                <w:sz w:val="20"/>
                <w:szCs w:val="20"/>
                <w:lang w:val="en-AU"/>
              </w:rPr>
            </w:pPr>
          </w:p>
        </w:tc>
      </w:tr>
      <w:tr w:rsidR="0048719E" w:rsidRPr="004925D4" w:rsidTr="00800917">
        <w:tc>
          <w:tcPr>
            <w:tcW w:w="1418" w:type="dxa"/>
            <w:vMerge/>
            <w:shd w:val="clear" w:color="auto" w:fill="FFFFFF" w:themeFill="background1"/>
          </w:tcPr>
          <w:p w:rsidR="0048719E" w:rsidRPr="00655FEF" w:rsidRDefault="0048719E" w:rsidP="00800917">
            <w:pPr>
              <w:pStyle w:val="tabletextsubmission"/>
              <w:keepNext/>
              <w:jc w:val="left"/>
              <w:rPr>
                <w:rFonts w:ascii="Arial Narrow" w:hAnsi="Arial Narrow"/>
                <w:b/>
                <w:sz w:val="20"/>
                <w:szCs w:val="20"/>
                <w:lang w:val="en-AU"/>
              </w:rPr>
            </w:pPr>
          </w:p>
        </w:tc>
        <w:tc>
          <w:tcPr>
            <w:tcW w:w="5188" w:type="dxa"/>
            <w:shd w:val="clear" w:color="auto" w:fill="FFFFFF" w:themeFill="background1"/>
          </w:tcPr>
          <w:p w:rsidR="0048719E" w:rsidRPr="00655FEF" w:rsidRDefault="0048719E" w:rsidP="00800917">
            <w:pPr>
              <w:pStyle w:val="tabletextsubmission"/>
              <w:keepNext/>
              <w:rPr>
                <w:rFonts w:ascii="Arial Narrow" w:hAnsi="Arial Narrow"/>
                <w:sz w:val="20"/>
                <w:szCs w:val="20"/>
                <w:u w:val="single"/>
                <w:lang w:val="en-AU"/>
              </w:rPr>
            </w:pPr>
            <w:r w:rsidRPr="004925D4">
              <w:rPr>
                <w:rFonts w:ascii="Arial Narrow" w:hAnsi="Arial Narrow"/>
                <w:sz w:val="20"/>
                <w:szCs w:val="20"/>
                <w:u w:val="single"/>
              </w:rPr>
              <w:t>Main publication</w:t>
            </w:r>
          </w:p>
          <w:p w:rsidR="00AA2160" w:rsidRPr="00655FEF" w:rsidRDefault="000E5E81" w:rsidP="00800917">
            <w:pPr>
              <w:pStyle w:val="tabletextsubmission"/>
              <w:keepNext/>
              <w:rPr>
                <w:rFonts w:ascii="Arial Narrow" w:hAnsi="Arial Narrow"/>
                <w:sz w:val="20"/>
                <w:szCs w:val="20"/>
                <w:lang w:val="en-AU"/>
              </w:rPr>
            </w:pPr>
            <w:proofErr w:type="spellStart"/>
            <w:r w:rsidRPr="00655FEF">
              <w:rPr>
                <w:rFonts w:ascii="Arial Narrow" w:hAnsi="Arial Narrow" w:cs="Times New Roman"/>
                <w:sz w:val="20"/>
                <w:szCs w:val="20"/>
                <w:lang w:val="en-AU"/>
              </w:rPr>
              <w:t>Rugo</w:t>
            </w:r>
            <w:proofErr w:type="spellEnd"/>
            <w:r w:rsidRPr="00655FEF">
              <w:rPr>
                <w:rFonts w:ascii="Arial Narrow" w:hAnsi="Arial Narrow" w:cs="Times New Roman"/>
                <w:sz w:val="20"/>
                <w:szCs w:val="20"/>
                <w:lang w:val="en-AU"/>
              </w:rPr>
              <w:t xml:space="preserve"> HS, </w:t>
            </w:r>
            <w:proofErr w:type="spellStart"/>
            <w:r w:rsidRPr="00655FEF">
              <w:rPr>
                <w:rFonts w:ascii="Arial Narrow" w:hAnsi="Arial Narrow" w:cs="Times New Roman"/>
                <w:sz w:val="20"/>
                <w:szCs w:val="20"/>
                <w:lang w:val="en-AU"/>
              </w:rPr>
              <w:t>Barve</w:t>
            </w:r>
            <w:proofErr w:type="spellEnd"/>
            <w:r w:rsidRPr="00655FEF">
              <w:rPr>
                <w:rFonts w:ascii="Arial Narrow" w:hAnsi="Arial Narrow" w:cs="Times New Roman"/>
                <w:sz w:val="20"/>
                <w:szCs w:val="20"/>
                <w:lang w:val="en-AU"/>
              </w:rPr>
              <w:t xml:space="preserve"> A, Waller CF, et al. for the Heritage Study Investigators. Effect of a proposed </w:t>
            </w:r>
            <w:proofErr w:type="spellStart"/>
            <w:r w:rsidRPr="00655FEF">
              <w:rPr>
                <w:rFonts w:ascii="Arial Narrow" w:hAnsi="Arial Narrow" w:cs="Times New Roman"/>
                <w:sz w:val="20"/>
                <w:szCs w:val="20"/>
                <w:lang w:val="en-AU"/>
              </w:rPr>
              <w:t>trastuzumab</w:t>
            </w:r>
            <w:proofErr w:type="spellEnd"/>
            <w:r w:rsidRPr="00655FEF">
              <w:rPr>
                <w:rFonts w:ascii="Arial Narrow" w:hAnsi="Arial Narrow" w:cs="Times New Roman"/>
                <w:sz w:val="20"/>
                <w:szCs w:val="20"/>
                <w:lang w:val="en-AU"/>
              </w:rPr>
              <w:t xml:space="preserve"> biosimilar compared </w:t>
            </w:r>
            <w:proofErr w:type="gramStart"/>
            <w:r w:rsidRPr="00655FEF">
              <w:rPr>
                <w:rFonts w:ascii="Arial Narrow" w:hAnsi="Arial Narrow" w:cs="Times New Roman"/>
                <w:sz w:val="20"/>
                <w:szCs w:val="20"/>
                <w:lang w:val="en-AU"/>
              </w:rPr>
              <w:t xml:space="preserve">with </w:t>
            </w:r>
            <w:proofErr w:type="spellStart"/>
            <w:r w:rsidRPr="00655FEF">
              <w:rPr>
                <w:rFonts w:ascii="Arial Narrow" w:hAnsi="Arial Narrow" w:cs="Times New Roman"/>
                <w:sz w:val="20"/>
                <w:szCs w:val="20"/>
                <w:lang w:val="en-AU"/>
              </w:rPr>
              <w:t>trastuzumab</w:t>
            </w:r>
            <w:proofErr w:type="spellEnd"/>
            <w:r w:rsidRPr="00655FEF">
              <w:rPr>
                <w:rFonts w:ascii="Arial Narrow" w:hAnsi="Arial Narrow" w:cs="Times New Roman"/>
                <w:sz w:val="20"/>
                <w:szCs w:val="20"/>
                <w:lang w:val="en-AU"/>
              </w:rPr>
              <w:t xml:space="preserve"> on overall response rate in patients with ERBB2 (HER2)-positive metastatic breast cancer</w:t>
            </w:r>
            <w:proofErr w:type="gramEnd"/>
            <w:r w:rsidRPr="00655FEF">
              <w:rPr>
                <w:rFonts w:ascii="Arial Narrow" w:hAnsi="Arial Narrow" w:cs="Times New Roman"/>
                <w:sz w:val="20"/>
                <w:szCs w:val="20"/>
                <w:lang w:val="en-AU"/>
              </w:rPr>
              <w:t xml:space="preserve">: a randomized clinical trial. </w:t>
            </w:r>
          </w:p>
          <w:p w:rsidR="00AA2160" w:rsidRPr="00655FEF" w:rsidRDefault="00AA2160" w:rsidP="00800917">
            <w:pPr>
              <w:pStyle w:val="tabletextsubmission"/>
              <w:keepNext/>
              <w:rPr>
                <w:rFonts w:ascii="Arial Narrow" w:hAnsi="Arial Narrow"/>
                <w:sz w:val="20"/>
                <w:szCs w:val="20"/>
                <w:lang w:val="en-AU"/>
              </w:rPr>
            </w:pPr>
          </w:p>
          <w:p w:rsidR="00DD1262" w:rsidRPr="00655FEF" w:rsidRDefault="00DD1262" w:rsidP="00800917">
            <w:pPr>
              <w:keepNext/>
              <w:autoSpaceDE w:val="0"/>
              <w:autoSpaceDN w:val="0"/>
              <w:adjustRightInd w:val="0"/>
              <w:rPr>
                <w:rFonts w:ascii="Arial Narrow" w:hAnsi="Arial Narrow" w:cs="Times New Roman"/>
                <w:sz w:val="20"/>
                <w:u w:val="single"/>
                <w:lang w:val="en-AU"/>
              </w:rPr>
            </w:pPr>
            <w:r w:rsidRPr="00655FEF">
              <w:rPr>
                <w:rFonts w:ascii="Arial Narrow" w:hAnsi="Arial Narrow"/>
                <w:sz w:val="20"/>
                <w:u w:val="single"/>
                <w:lang w:val="en-AU"/>
              </w:rPr>
              <w:t>Additional citations</w:t>
            </w:r>
          </w:p>
          <w:p w:rsidR="000E5E81" w:rsidRPr="00655FEF" w:rsidRDefault="000E5E81" w:rsidP="00800917">
            <w:pPr>
              <w:keepNext/>
              <w:autoSpaceDE w:val="0"/>
              <w:autoSpaceDN w:val="0"/>
              <w:adjustRightInd w:val="0"/>
              <w:rPr>
                <w:rFonts w:ascii="Arial Narrow" w:hAnsi="Arial Narrow" w:cs="Times New Roman"/>
                <w:sz w:val="20"/>
                <w:lang w:val="en-AU"/>
              </w:rPr>
            </w:pPr>
            <w:proofErr w:type="spellStart"/>
            <w:r w:rsidRPr="00655FEF">
              <w:rPr>
                <w:rFonts w:ascii="Arial Narrow" w:hAnsi="Arial Narrow"/>
                <w:sz w:val="20"/>
                <w:lang w:val="en-AU"/>
              </w:rPr>
              <w:t>Rugo</w:t>
            </w:r>
            <w:proofErr w:type="spellEnd"/>
            <w:r w:rsidRPr="00655FEF">
              <w:rPr>
                <w:rFonts w:ascii="Arial Narrow" w:hAnsi="Arial Narrow"/>
                <w:sz w:val="20"/>
                <w:lang w:val="en-AU"/>
              </w:rPr>
              <w:t xml:space="preserve"> HS, </w:t>
            </w:r>
            <w:proofErr w:type="spellStart"/>
            <w:r w:rsidRPr="00655FEF">
              <w:rPr>
                <w:rFonts w:ascii="Arial Narrow" w:hAnsi="Arial Narrow"/>
                <w:sz w:val="20"/>
                <w:lang w:val="en-AU"/>
              </w:rPr>
              <w:t>Barve</w:t>
            </w:r>
            <w:proofErr w:type="spellEnd"/>
            <w:r w:rsidRPr="00655FEF">
              <w:rPr>
                <w:rFonts w:ascii="Arial Narrow" w:hAnsi="Arial Narrow"/>
                <w:sz w:val="20"/>
                <w:lang w:val="en-AU"/>
              </w:rPr>
              <w:t xml:space="preserve"> A, Waller CF, et al. Heritage: A phase III safety and efficacy trial of the proposed </w:t>
            </w:r>
            <w:proofErr w:type="spellStart"/>
            <w:r w:rsidRPr="00655FEF">
              <w:rPr>
                <w:rFonts w:ascii="Arial Narrow" w:hAnsi="Arial Narrow"/>
                <w:sz w:val="20"/>
                <w:lang w:val="en-AU"/>
              </w:rPr>
              <w:t>trastuzumab</w:t>
            </w:r>
            <w:proofErr w:type="spellEnd"/>
            <w:r w:rsidRPr="00655FEF">
              <w:rPr>
                <w:rFonts w:ascii="Arial Narrow" w:hAnsi="Arial Narrow"/>
                <w:sz w:val="20"/>
                <w:lang w:val="en-AU"/>
              </w:rPr>
              <w:t xml:space="preserve"> biosimilar Myl-1401O versus Herceptin. </w:t>
            </w:r>
          </w:p>
          <w:p w:rsidR="000E5E81" w:rsidRPr="00655FEF" w:rsidRDefault="000E5E81" w:rsidP="00800917">
            <w:pPr>
              <w:keepNext/>
              <w:autoSpaceDE w:val="0"/>
              <w:autoSpaceDN w:val="0"/>
              <w:adjustRightInd w:val="0"/>
              <w:rPr>
                <w:rFonts w:ascii="Arial Narrow" w:hAnsi="Arial Narrow" w:cs="Times New Roman"/>
                <w:sz w:val="20"/>
                <w:lang w:val="en-AU"/>
              </w:rPr>
            </w:pPr>
          </w:p>
          <w:p w:rsidR="00AA2160" w:rsidRPr="00655FEF" w:rsidRDefault="000E5E81" w:rsidP="00800917">
            <w:pPr>
              <w:pStyle w:val="tabletextsubmission"/>
              <w:keepNext/>
              <w:rPr>
                <w:rFonts w:ascii="Arial Narrow" w:hAnsi="Arial Narrow"/>
                <w:sz w:val="20"/>
                <w:szCs w:val="20"/>
                <w:lang w:val="en-AU"/>
              </w:rPr>
            </w:pPr>
            <w:proofErr w:type="spellStart"/>
            <w:r w:rsidRPr="00655FEF">
              <w:rPr>
                <w:rFonts w:ascii="Arial Narrow" w:hAnsi="Arial Narrow" w:cs="Times New Roman"/>
                <w:sz w:val="20"/>
                <w:szCs w:val="20"/>
                <w:lang w:val="en-AU"/>
              </w:rPr>
              <w:t>Rugo</w:t>
            </w:r>
            <w:proofErr w:type="spellEnd"/>
            <w:r w:rsidRPr="00655FEF">
              <w:rPr>
                <w:rFonts w:ascii="Arial Narrow" w:hAnsi="Arial Narrow" w:cs="Times New Roman"/>
                <w:sz w:val="20"/>
                <w:szCs w:val="20"/>
                <w:lang w:val="en-AU"/>
              </w:rPr>
              <w:t xml:space="preserve"> H, </w:t>
            </w:r>
            <w:proofErr w:type="spellStart"/>
            <w:r w:rsidRPr="00655FEF">
              <w:rPr>
                <w:rFonts w:ascii="Arial Narrow" w:hAnsi="Arial Narrow" w:cs="Times New Roman"/>
                <w:sz w:val="20"/>
                <w:szCs w:val="20"/>
                <w:lang w:val="en-AU"/>
              </w:rPr>
              <w:t>Barve</w:t>
            </w:r>
            <w:proofErr w:type="spellEnd"/>
            <w:r w:rsidRPr="00655FEF">
              <w:rPr>
                <w:rFonts w:ascii="Arial Narrow" w:hAnsi="Arial Narrow" w:cs="Times New Roman"/>
                <w:sz w:val="20"/>
                <w:szCs w:val="20"/>
                <w:lang w:val="en-AU"/>
              </w:rPr>
              <w:t xml:space="preserve"> A, Waller CF, et al. Heritage, a phase III safety and efficacy trial of the proposed </w:t>
            </w:r>
            <w:proofErr w:type="spellStart"/>
            <w:r w:rsidRPr="00655FEF">
              <w:rPr>
                <w:rFonts w:ascii="Arial Narrow" w:hAnsi="Arial Narrow" w:cs="Times New Roman"/>
                <w:sz w:val="20"/>
                <w:szCs w:val="20"/>
                <w:lang w:val="en-AU"/>
              </w:rPr>
              <w:t>trastuzumab</w:t>
            </w:r>
            <w:proofErr w:type="spellEnd"/>
            <w:r w:rsidRPr="00655FEF">
              <w:rPr>
                <w:rFonts w:ascii="Arial Narrow" w:hAnsi="Arial Narrow" w:cs="Times New Roman"/>
                <w:sz w:val="20"/>
                <w:szCs w:val="20"/>
                <w:lang w:val="en-AU"/>
              </w:rPr>
              <w:t xml:space="preserve"> biosimilar, Myl-1401O vs </w:t>
            </w:r>
            <w:proofErr w:type="spellStart"/>
            <w:r w:rsidRPr="00655FEF">
              <w:rPr>
                <w:rFonts w:ascii="Arial Narrow" w:hAnsi="Arial Narrow" w:cs="Times New Roman"/>
                <w:sz w:val="20"/>
                <w:szCs w:val="20"/>
                <w:lang w:val="en-AU"/>
              </w:rPr>
              <w:t>trastuzumab</w:t>
            </w:r>
            <w:proofErr w:type="spellEnd"/>
            <w:r w:rsidRPr="00655FEF">
              <w:rPr>
                <w:rFonts w:ascii="Arial Narrow" w:hAnsi="Arial Narrow" w:cs="Times New Roman"/>
                <w:sz w:val="20"/>
                <w:szCs w:val="20"/>
                <w:lang w:val="en-AU"/>
              </w:rPr>
              <w:t xml:space="preserve">. </w:t>
            </w:r>
          </w:p>
        </w:tc>
        <w:tc>
          <w:tcPr>
            <w:tcW w:w="2212" w:type="dxa"/>
            <w:shd w:val="clear" w:color="auto" w:fill="FFFFFF" w:themeFill="background1"/>
          </w:tcPr>
          <w:p w:rsidR="0048719E" w:rsidRPr="00655FEF" w:rsidRDefault="000E5E81" w:rsidP="008165F6">
            <w:pPr>
              <w:pStyle w:val="tabletextsubmission"/>
              <w:keepNext/>
              <w:spacing w:after="480"/>
              <w:rPr>
                <w:rFonts w:ascii="Arial Narrow" w:hAnsi="Arial Narrow" w:cs="Times New Roman"/>
                <w:sz w:val="20"/>
                <w:szCs w:val="20"/>
                <w:lang w:val="en-AU"/>
              </w:rPr>
            </w:pPr>
            <w:r w:rsidRPr="00655FEF">
              <w:rPr>
                <w:rFonts w:ascii="Arial Narrow" w:hAnsi="Arial Narrow" w:cs="Times New Roman"/>
                <w:i/>
                <w:sz w:val="20"/>
                <w:szCs w:val="20"/>
                <w:lang w:val="en-AU"/>
              </w:rPr>
              <w:t>JAMA</w:t>
            </w:r>
            <w:r w:rsidRPr="00655FEF">
              <w:rPr>
                <w:rFonts w:ascii="Arial Narrow" w:hAnsi="Arial Narrow" w:cs="Times New Roman"/>
                <w:sz w:val="20"/>
                <w:szCs w:val="20"/>
                <w:lang w:val="en-AU"/>
              </w:rPr>
              <w:t>. 2017</w:t>
            </w:r>
            <w:proofErr w:type="gramStart"/>
            <w:r w:rsidRPr="00655FEF">
              <w:rPr>
                <w:rFonts w:ascii="Arial Narrow" w:hAnsi="Arial Narrow" w:cs="Times New Roman"/>
                <w:sz w:val="20"/>
                <w:szCs w:val="20"/>
                <w:lang w:val="en-AU"/>
              </w:rPr>
              <w:t>;</w:t>
            </w:r>
            <w:proofErr w:type="gramEnd"/>
            <w:r w:rsidRPr="00655FEF">
              <w:rPr>
                <w:rFonts w:ascii="Arial Narrow" w:hAnsi="Arial Narrow" w:cs="Times New Roman"/>
                <w:sz w:val="20"/>
                <w:szCs w:val="20"/>
                <w:lang w:val="en-AU"/>
              </w:rPr>
              <w:t xml:space="preserve"> 317(1):37-47.</w:t>
            </w:r>
          </w:p>
          <w:p w:rsidR="000E5E81" w:rsidRPr="00655FEF" w:rsidRDefault="000E5E81" w:rsidP="008165F6">
            <w:pPr>
              <w:pStyle w:val="tabletextsubmission"/>
              <w:keepNext/>
              <w:spacing w:after="480"/>
              <w:rPr>
                <w:rFonts w:ascii="Arial Narrow" w:hAnsi="Arial Narrow" w:cs="Times New Roman"/>
                <w:sz w:val="20"/>
                <w:szCs w:val="20"/>
                <w:lang w:val="en-AU"/>
              </w:rPr>
            </w:pPr>
          </w:p>
          <w:p w:rsidR="000E5E81" w:rsidRPr="00655FEF" w:rsidRDefault="000E5E81" w:rsidP="008165F6">
            <w:pPr>
              <w:pStyle w:val="tabletextsubmission"/>
              <w:keepNext/>
              <w:spacing w:after="520"/>
              <w:rPr>
                <w:rFonts w:ascii="Arial Narrow" w:hAnsi="Arial Narrow" w:cs="Times New Roman"/>
                <w:sz w:val="20"/>
                <w:lang w:val="en-AU"/>
              </w:rPr>
            </w:pPr>
            <w:r w:rsidRPr="00655FEF">
              <w:rPr>
                <w:rFonts w:ascii="Arial Narrow" w:hAnsi="Arial Narrow"/>
                <w:i/>
                <w:sz w:val="20"/>
                <w:lang w:val="en-AU"/>
              </w:rPr>
              <w:t xml:space="preserve">J </w:t>
            </w:r>
            <w:proofErr w:type="spellStart"/>
            <w:r w:rsidRPr="00655FEF">
              <w:rPr>
                <w:rFonts w:ascii="Arial Narrow" w:hAnsi="Arial Narrow"/>
                <w:i/>
                <w:sz w:val="20"/>
                <w:lang w:val="en-AU"/>
              </w:rPr>
              <w:t>Clin</w:t>
            </w:r>
            <w:proofErr w:type="spellEnd"/>
            <w:r w:rsidRPr="00655FEF">
              <w:rPr>
                <w:rFonts w:ascii="Arial Narrow" w:hAnsi="Arial Narrow"/>
                <w:i/>
                <w:sz w:val="20"/>
                <w:lang w:val="en-AU"/>
              </w:rPr>
              <w:t xml:space="preserve"> </w:t>
            </w:r>
            <w:proofErr w:type="spellStart"/>
            <w:r w:rsidRPr="00655FEF">
              <w:rPr>
                <w:rFonts w:ascii="Arial Narrow" w:hAnsi="Arial Narrow"/>
                <w:i/>
                <w:sz w:val="20"/>
                <w:lang w:val="en-AU"/>
              </w:rPr>
              <w:t>Oncol</w:t>
            </w:r>
            <w:proofErr w:type="spellEnd"/>
            <w:r w:rsidRPr="00655FEF">
              <w:rPr>
                <w:rFonts w:ascii="Arial Narrow" w:hAnsi="Arial Narrow"/>
                <w:sz w:val="20"/>
                <w:lang w:val="en-AU"/>
              </w:rPr>
              <w:t>. 2016; 34(</w:t>
            </w:r>
            <w:proofErr w:type="spellStart"/>
            <w:r w:rsidRPr="00655FEF">
              <w:rPr>
                <w:rFonts w:ascii="Arial Narrow" w:hAnsi="Arial Narrow"/>
                <w:sz w:val="20"/>
                <w:lang w:val="en-AU"/>
              </w:rPr>
              <w:t>suppl</w:t>
            </w:r>
            <w:proofErr w:type="spellEnd"/>
            <w:r w:rsidRPr="00655FEF">
              <w:rPr>
                <w:rFonts w:ascii="Arial Narrow" w:hAnsi="Arial Narrow"/>
                <w:sz w:val="20"/>
                <w:lang w:val="en-AU"/>
              </w:rPr>
              <w:t xml:space="preserve">; </w:t>
            </w:r>
            <w:proofErr w:type="spellStart"/>
            <w:r w:rsidRPr="00655FEF">
              <w:rPr>
                <w:rFonts w:ascii="Arial Narrow" w:hAnsi="Arial Narrow"/>
                <w:sz w:val="20"/>
                <w:lang w:val="en-AU"/>
              </w:rPr>
              <w:t>abstr</w:t>
            </w:r>
            <w:proofErr w:type="spellEnd"/>
            <w:r w:rsidRPr="00655FEF">
              <w:rPr>
                <w:rFonts w:ascii="Arial Narrow" w:hAnsi="Arial Narrow"/>
                <w:sz w:val="20"/>
                <w:lang w:val="en-AU"/>
              </w:rPr>
              <w:t xml:space="preserve"> LBA503).</w:t>
            </w:r>
          </w:p>
          <w:p w:rsidR="000E5E81" w:rsidRPr="00655FEF" w:rsidRDefault="000E5E81" w:rsidP="000B01EB">
            <w:pPr>
              <w:pStyle w:val="tabletextsubmission"/>
              <w:keepNext/>
              <w:spacing w:after="520"/>
              <w:rPr>
                <w:rFonts w:ascii="Arial Narrow" w:hAnsi="Arial Narrow"/>
                <w:sz w:val="20"/>
                <w:szCs w:val="20"/>
                <w:lang w:val="en-AU"/>
              </w:rPr>
            </w:pPr>
            <w:r w:rsidRPr="00655FEF">
              <w:rPr>
                <w:rFonts w:ascii="Arial Narrow" w:hAnsi="Arial Narrow" w:cs="Times New Roman"/>
                <w:i/>
                <w:sz w:val="20"/>
                <w:szCs w:val="20"/>
                <w:lang w:val="en-AU"/>
              </w:rPr>
              <w:t xml:space="preserve">Ann </w:t>
            </w:r>
            <w:proofErr w:type="spellStart"/>
            <w:r w:rsidRPr="00655FEF">
              <w:rPr>
                <w:rFonts w:ascii="Arial Narrow" w:hAnsi="Arial Narrow" w:cs="Times New Roman"/>
                <w:i/>
                <w:sz w:val="20"/>
                <w:szCs w:val="20"/>
                <w:lang w:val="en-AU"/>
              </w:rPr>
              <w:t>Oncol</w:t>
            </w:r>
            <w:proofErr w:type="spellEnd"/>
            <w:r w:rsidRPr="00655FEF">
              <w:rPr>
                <w:rFonts w:ascii="Arial Narrow" w:hAnsi="Arial Narrow" w:cs="Times New Roman"/>
                <w:sz w:val="20"/>
                <w:szCs w:val="20"/>
                <w:lang w:val="en-AU"/>
              </w:rPr>
              <w:t>. 2016; 27(6):1-36.</w:t>
            </w:r>
          </w:p>
        </w:tc>
      </w:tr>
      <w:tr w:rsidR="00314BE4" w:rsidRPr="004925D4" w:rsidTr="00800917">
        <w:tc>
          <w:tcPr>
            <w:tcW w:w="8818" w:type="dxa"/>
            <w:gridSpan w:val="3"/>
            <w:shd w:val="clear" w:color="auto" w:fill="FFFFFF" w:themeFill="background1"/>
          </w:tcPr>
          <w:p w:rsidR="00314BE4" w:rsidRPr="00655FEF" w:rsidRDefault="00897113" w:rsidP="00800917">
            <w:pPr>
              <w:pStyle w:val="tabletextsubmission"/>
              <w:keepNext/>
              <w:jc w:val="left"/>
              <w:rPr>
                <w:rFonts w:ascii="Arial Narrow" w:hAnsi="Arial Narrow"/>
                <w:b/>
                <w:sz w:val="20"/>
                <w:szCs w:val="20"/>
                <w:lang w:val="en-AU"/>
              </w:rPr>
            </w:pPr>
            <w:r w:rsidRPr="004925D4">
              <w:rPr>
                <w:rFonts w:ascii="Arial Narrow" w:hAnsi="Arial Narrow"/>
                <w:b/>
                <w:sz w:val="20"/>
                <w:szCs w:val="20"/>
              </w:rPr>
              <w:t>Supporting evidence</w:t>
            </w:r>
          </w:p>
        </w:tc>
      </w:tr>
      <w:tr w:rsidR="00314BE4" w:rsidRPr="004925D4" w:rsidTr="00800917">
        <w:tc>
          <w:tcPr>
            <w:tcW w:w="1418" w:type="dxa"/>
            <w:shd w:val="clear" w:color="auto" w:fill="FFFFFF" w:themeFill="background1"/>
          </w:tcPr>
          <w:p w:rsidR="00C95AC3" w:rsidRPr="00655FEF" w:rsidRDefault="00C95AC3" w:rsidP="00800917">
            <w:pPr>
              <w:keepNext/>
              <w:rPr>
                <w:rFonts w:ascii="Arial Narrow" w:eastAsia="Times New Roman" w:hAnsi="Arial Narrow" w:cs="Times New Roman"/>
                <w:b/>
                <w:sz w:val="20"/>
                <w:szCs w:val="20"/>
                <w:lang w:val="en-AU"/>
              </w:rPr>
            </w:pPr>
            <w:r w:rsidRPr="004925D4">
              <w:rPr>
                <w:rFonts w:ascii="Arial Narrow" w:hAnsi="Arial Narrow"/>
                <w:b/>
                <w:sz w:val="20"/>
                <w:szCs w:val="20"/>
              </w:rPr>
              <w:t>BM200-CT3-001-11</w:t>
            </w:r>
          </w:p>
          <w:p w:rsidR="00314BE4" w:rsidRPr="00655FEF" w:rsidRDefault="00314BE4" w:rsidP="00800917">
            <w:pPr>
              <w:pStyle w:val="tabletextsubmission"/>
              <w:keepNext/>
              <w:jc w:val="left"/>
              <w:rPr>
                <w:rFonts w:ascii="Arial Narrow" w:hAnsi="Arial Narrow"/>
                <w:b/>
                <w:sz w:val="20"/>
                <w:szCs w:val="20"/>
                <w:lang w:val="en-AU"/>
              </w:rPr>
            </w:pPr>
          </w:p>
        </w:tc>
        <w:tc>
          <w:tcPr>
            <w:tcW w:w="5188" w:type="dxa"/>
            <w:shd w:val="clear" w:color="auto" w:fill="FFFFFF" w:themeFill="background1"/>
          </w:tcPr>
          <w:p w:rsidR="00DD1262" w:rsidRPr="00655FEF" w:rsidRDefault="00DD1262" w:rsidP="00800917">
            <w:pPr>
              <w:keepNext/>
              <w:keepLines/>
              <w:rPr>
                <w:rFonts w:ascii="Arial Narrow" w:hAnsi="Arial Narrow"/>
                <w:sz w:val="20"/>
                <w:szCs w:val="20"/>
                <w:lang w:val="en-AU"/>
              </w:rPr>
            </w:pPr>
            <w:bookmarkStart w:id="0" w:name="_ENREF_4"/>
            <w:r w:rsidRPr="004925D4">
              <w:rPr>
                <w:rFonts w:ascii="Arial Narrow" w:hAnsi="Arial Narrow"/>
                <w:sz w:val="20"/>
                <w:szCs w:val="20"/>
              </w:rPr>
              <w:t xml:space="preserve">Comparative PK, Efficacy, Safety and Immunogenicity evaluation of Bmab-200 versus Herceptin®, both in combination with Docetaxel in patients with Her2+ Metastatic Breast Cancer: A Double Blind, </w:t>
            </w:r>
            <w:proofErr w:type="spellStart"/>
            <w:r w:rsidRPr="004925D4">
              <w:rPr>
                <w:rFonts w:ascii="Arial Narrow" w:hAnsi="Arial Narrow"/>
                <w:sz w:val="20"/>
                <w:szCs w:val="20"/>
              </w:rPr>
              <w:t>Randomised</w:t>
            </w:r>
            <w:proofErr w:type="spellEnd"/>
            <w:r w:rsidRPr="004925D4">
              <w:rPr>
                <w:rFonts w:ascii="Arial Narrow" w:hAnsi="Arial Narrow"/>
                <w:sz w:val="20"/>
                <w:szCs w:val="20"/>
              </w:rPr>
              <w:t>, Active Control, Parallel assignment, Compa</w:t>
            </w:r>
            <w:r w:rsidR="008B3D46" w:rsidRPr="004925D4">
              <w:rPr>
                <w:rFonts w:ascii="Arial Narrow" w:hAnsi="Arial Narrow"/>
                <w:sz w:val="20"/>
                <w:szCs w:val="20"/>
              </w:rPr>
              <w:t>rative Phase III Clinical Trial</w:t>
            </w:r>
          </w:p>
          <w:p w:rsidR="00314BE4" w:rsidRPr="00655FEF" w:rsidRDefault="00DD1262" w:rsidP="00800917">
            <w:pPr>
              <w:pStyle w:val="tabletextsubmission"/>
              <w:keepNext/>
              <w:rPr>
                <w:rFonts w:ascii="Arial Narrow" w:hAnsi="Arial Narrow"/>
                <w:sz w:val="20"/>
                <w:szCs w:val="20"/>
                <w:lang w:val="en-AU"/>
              </w:rPr>
            </w:pPr>
            <w:r w:rsidRPr="004925D4">
              <w:rPr>
                <w:rFonts w:ascii="Arial Narrow" w:hAnsi="Arial Narrow"/>
                <w:sz w:val="20"/>
                <w:szCs w:val="20"/>
              </w:rPr>
              <w:t>Short Title: Bioequivalence of Bmab-200 with Herceptin®</w:t>
            </w:r>
          </w:p>
          <w:bookmarkEnd w:id="0"/>
          <w:p w:rsidR="00314BE4" w:rsidRPr="00655FEF" w:rsidRDefault="00314BE4" w:rsidP="00800917">
            <w:pPr>
              <w:pStyle w:val="tabletextsubmission"/>
              <w:keepNext/>
              <w:rPr>
                <w:rFonts w:ascii="Arial Narrow" w:hAnsi="Arial Narrow"/>
                <w:sz w:val="20"/>
                <w:szCs w:val="20"/>
                <w:u w:val="single"/>
                <w:lang w:val="en-AU"/>
              </w:rPr>
            </w:pPr>
          </w:p>
        </w:tc>
        <w:tc>
          <w:tcPr>
            <w:tcW w:w="2212" w:type="dxa"/>
            <w:shd w:val="clear" w:color="auto" w:fill="FFFFFF" w:themeFill="background1"/>
          </w:tcPr>
          <w:p w:rsidR="00314BE4" w:rsidRPr="00655FEF" w:rsidRDefault="00314BE4" w:rsidP="00800917">
            <w:pPr>
              <w:pStyle w:val="tabletextsubmission"/>
              <w:keepNext/>
              <w:rPr>
                <w:rFonts w:ascii="Arial Narrow" w:hAnsi="Arial Narrow"/>
                <w:sz w:val="20"/>
                <w:szCs w:val="20"/>
                <w:lang w:val="en-AU"/>
              </w:rPr>
            </w:pPr>
            <w:r w:rsidRPr="004925D4">
              <w:rPr>
                <w:rFonts w:ascii="Arial Narrow" w:hAnsi="Arial Narrow"/>
                <w:sz w:val="20"/>
                <w:szCs w:val="20"/>
              </w:rPr>
              <w:t>Clinical Study Report</w:t>
            </w:r>
          </w:p>
          <w:p w:rsidR="00D10589" w:rsidRPr="00655FEF" w:rsidRDefault="00314BE4" w:rsidP="00800917">
            <w:pPr>
              <w:pStyle w:val="tabletextsubmission"/>
              <w:keepNext/>
              <w:rPr>
                <w:rFonts w:ascii="Arial Narrow" w:hAnsi="Arial Narrow"/>
                <w:sz w:val="20"/>
                <w:szCs w:val="20"/>
                <w:lang w:val="en-AU"/>
              </w:rPr>
            </w:pPr>
            <w:r w:rsidRPr="004925D4">
              <w:rPr>
                <w:rFonts w:ascii="Arial Narrow" w:hAnsi="Arial Narrow"/>
                <w:sz w:val="20"/>
                <w:szCs w:val="20"/>
              </w:rPr>
              <w:t>Report date:</w:t>
            </w:r>
            <w:r w:rsidR="00DD1262" w:rsidRPr="004925D4">
              <w:rPr>
                <w:rFonts w:ascii="Arial Narrow" w:hAnsi="Arial Narrow"/>
                <w:sz w:val="20"/>
                <w:szCs w:val="20"/>
              </w:rPr>
              <w:t xml:space="preserve">  3 October 2013</w:t>
            </w:r>
            <w:r w:rsidRPr="004925D4">
              <w:rPr>
                <w:rFonts w:ascii="Arial Narrow" w:hAnsi="Arial Narrow"/>
                <w:sz w:val="20"/>
                <w:szCs w:val="20"/>
              </w:rPr>
              <w:t xml:space="preserve"> </w:t>
            </w:r>
          </w:p>
        </w:tc>
      </w:tr>
    </w:tbl>
    <w:p w:rsidR="0076420C" w:rsidRPr="004925D4" w:rsidRDefault="0076420C" w:rsidP="00800917">
      <w:pPr>
        <w:pStyle w:val="tablenotes"/>
        <w:spacing w:after="120"/>
        <w:rPr>
          <w:rFonts w:ascii="Arial Narrow" w:hAnsi="Arial Narrow"/>
          <w:sz w:val="18"/>
          <w:szCs w:val="18"/>
        </w:rPr>
      </w:pPr>
      <w:r w:rsidRPr="004925D4">
        <w:rPr>
          <w:rFonts w:ascii="Arial Narrow" w:hAnsi="Arial Narrow"/>
          <w:sz w:val="18"/>
          <w:szCs w:val="18"/>
        </w:rPr>
        <w:t xml:space="preserve">Source: </w:t>
      </w:r>
      <w:r w:rsidR="008D1959" w:rsidRPr="004925D4">
        <w:rPr>
          <w:rFonts w:ascii="Arial Narrow" w:hAnsi="Arial Narrow"/>
          <w:sz w:val="18"/>
          <w:szCs w:val="18"/>
        </w:rPr>
        <w:t>Table 2.</w:t>
      </w:r>
      <w:r w:rsidR="00D10589" w:rsidRPr="004925D4">
        <w:rPr>
          <w:rFonts w:ascii="Arial Narrow" w:hAnsi="Arial Narrow"/>
          <w:sz w:val="18"/>
          <w:szCs w:val="18"/>
        </w:rPr>
        <w:t>2</w:t>
      </w:r>
      <w:r w:rsidR="00B92941" w:rsidRPr="004925D4">
        <w:rPr>
          <w:rFonts w:ascii="Arial Narrow" w:hAnsi="Arial Narrow"/>
          <w:sz w:val="18"/>
          <w:szCs w:val="18"/>
        </w:rPr>
        <w:t xml:space="preserve"> of the submission, page 37</w:t>
      </w:r>
    </w:p>
    <w:p w:rsidR="00887968" w:rsidRPr="004925D4" w:rsidRDefault="00A735D5" w:rsidP="00C354E2">
      <w:pPr>
        <w:pStyle w:val="ListParagraph"/>
        <w:widowControl/>
        <w:numPr>
          <w:ilvl w:val="1"/>
          <w:numId w:val="14"/>
        </w:numPr>
        <w:spacing w:after="120"/>
        <w:contextualSpacing w:val="0"/>
        <w:rPr>
          <w:rFonts w:asciiTheme="minorHAnsi" w:eastAsiaTheme="minorHAnsi" w:hAnsiTheme="minorHAnsi" w:cstheme="minorHAnsi"/>
          <w:snapToGrid/>
          <w:sz w:val="24"/>
          <w:szCs w:val="24"/>
        </w:rPr>
      </w:pPr>
      <w:r w:rsidRPr="004925D4">
        <w:rPr>
          <w:rFonts w:asciiTheme="minorHAnsi" w:eastAsiaTheme="minorHAnsi" w:hAnsiTheme="minorHAnsi" w:cstheme="minorHAnsi"/>
          <w:snapToGrid/>
          <w:sz w:val="24"/>
          <w:szCs w:val="24"/>
        </w:rPr>
        <w:t xml:space="preserve">The </w:t>
      </w:r>
      <w:r w:rsidR="005E6FBD" w:rsidRPr="004925D4">
        <w:rPr>
          <w:rFonts w:asciiTheme="minorHAnsi" w:eastAsiaTheme="minorHAnsi" w:hAnsiTheme="minorHAnsi" w:cstheme="minorHAnsi"/>
          <w:snapToGrid/>
          <w:sz w:val="24"/>
          <w:szCs w:val="24"/>
        </w:rPr>
        <w:t>clinical trials presented in the submission</w:t>
      </w:r>
      <w:r w:rsidR="0031799B" w:rsidRPr="004925D4">
        <w:rPr>
          <w:rFonts w:asciiTheme="minorHAnsi" w:eastAsiaTheme="minorHAnsi" w:hAnsiTheme="minorHAnsi" w:cstheme="minorHAnsi"/>
          <w:snapToGrid/>
          <w:sz w:val="24"/>
          <w:szCs w:val="24"/>
        </w:rPr>
        <w:t xml:space="preserve"> formed part of the sponsor’s TGA documentation, i.e. the summary </w:t>
      </w:r>
      <w:r w:rsidR="007C6884" w:rsidRPr="004925D4">
        <w:rPr>
          <w:rFonts w:asciiTheme="minorHAnsi" w:eastAsiaTheme="minorHAnsi" w:hAnsiTheme="minorHAnsi" w:cstheme="minorHAnsi"/>
          <w:snapToGrid/>
          <w:sz w:val="24"/>
          <w:szCs w:val="24"/>
        </w:rPr>
        <w:t>o</w:t>
      </w:r>
      <w:r w:rsidR="00BB099E" w:rsidRPr="004925D4">
        <w:rPr>
          <w:rFonts w:asciiTheme="minorHAnsi" w:eastAsiaTheme="minorHAnsi" w:hAnsiTheme="minorHAnsi" w:cstheme="minorHAnsi"/>
          <w:snapToGrid/>
          <w:sz w:val="24"/>
          <w:szCs w:val="24"/>
        </w:rPr>
        <w:t xml:space="preserve">f clinical efficacy of </w:t>
      </w:r>
      <w:proofErr w:type="spellStart"/>
      <w:r w:rsidR="00BB099E" w:rsidRPr="004925D4">
        <w:rPr>
          <w:rFonts w:asciiTheme="minorHAnsi" w:eastAsiaTheme="minorHAnsi" w:hAnsiTheme="minorHAnsi" w:cstheme="minorHAnsi"/>
          <w:snapToGrid/>
          <w:sz w:val="24"/>
          <w:szCs w:val="24"/>
        </w:rPr>
        <w:t>Ogivri</w:t>
      </w:r>
      <w:proofErr w:type="spellEnd"/>
      <w:r w:rsidR="00BB099E" w:rsidRPr="004925D4">
        <w:rPr>
          <w:rFonts w:asciiTheme="minorHAnsi" w:eastAsiaTheme="minorHAnsi" w:hAnsiTheme="minorHAnsi" w:cstheme="minorHAnsi"/>
          <w:snapToGrid/>
          <w:sz w:val="24"/>
          <w:szCs w:val="24"/>
        </w:rPr>
        <w:t xml:space="preserve">. </w:t>
      </w:r>
      <w:r w:rsidR="007C6884" w:rsidRPr="004925D4">
        <w:rPr>
          <w:rFonts w:asciiTheme="minorHAnsi" w:eastAsiaTheme="minorHAnsi" w:hAnsiTheme="minorHAnsi" w:cstheme="minorHAnsi"/>
          <w:snapToGrid/>
          <w:sz w:val="24"/>
          <w:szCs w:val="24"/>
        </w:rPr>
        <w:t xml:space="preserve">These </w:t>
      </w:r>
      <w:r w:rsidR="00887968" w:rsidRPr="004925D4">
        <w:rPr>
          <w:rFonts w:asciiTheme="minorHAnsi" w:eastAsiaTheme="minorHAnsi" w:hAnsiTheme="minorHAnsi" w:cstheme="minorHAnsi"/>
          <w:snapToGrid/>
          <w:sz w:val="24"/>
          <w:szCs w:val="24"/>
        </w:rPr>
        <w:t xml:space="preserve">comprised one head-to-head pivotal trial comparing </w:t>
      </w:r>
      <w:proofErr w:type="spellStart"/>
      <w:r w:rsidR="00887968" w:rsidRPr="004925D4">
        <w:rPr>
          <w:rFonts w:asciiTheme="minorHAnsi" w:eastAsiaTheme="minorHAnsi" w:hAnsiTheme="minorHAnsi" w:cstheme="minorHAnsi"/>
          <w:snapToGrid/>
          <w:sz w:val="24"/>
          <w:szCs w:val="24"/>
        </w:rPr>
        <w:t>Ogivri</w:t>
      </w:r>
      <w:proofErr w:type="spellEnd"/>
      <w:r w:rsidR="00887968" w:rsidRPr="004925D4">
        <w:rPr>
          <w:rFonts w:asciiTheme="minorHAnsi" w:eastAsiaTheme="minorHAnsi" w:hAnsiTheme="minorHAnsi" w:cstheme="minorHAnsi"/>
          <w:snapToGrid/>
          <w:sz w:val="24"/>
          <w:szCs w:val="24"/>
        </w:rPr>
        <w:t xml:space="preserve"> to Herceptin in patients </w:t>
      </w:r>
      <w:r w:rsidR="00042931" w:rsidRPr="004925D4">
        <w:rPr>
          <w:rFonts w:asciiTheme="minorHAnsi" w:eastAsiaTheme="minorHAnsi" w:hAnsiTheme="minorHAnsi" w:cstheme="minorHAnsi"/>
          <w:snapToGrid/>
          <w:sz w:val="24"/>
          <w:szCs w:val="24"/>
        </w:rPr>
        <w:t>with HER2-pos</w:t>
      </w:r>
      <w:r w:rsidR="009119CC" w:rsidRPr="004925D4">
        <w:rPr>
          <w:rFonts w:asciiTheme="minorHAnsi" w:eastAsiaTheme="minorHAnsi" w:hAnsiTheme="minorHAnsi" w:cstheme="minorHAnsi"/>
          <w:snapToGrid/>
          <w:sz w:val="24"/>
          <w:szCs w:val="24"/>
        </w:rPr>
        <w:t xml:space="preserve">itive MBC, </w:t>
      </w:r>
      <w:r w:rsidR="00042931" w:rsidRPr="004925D4">
        <w:rPr>
          <w:rFonts w:asciiTheme="minorHAnsi" w:eastAsiaTheme="minorHAnsi" w:hAnsiTheme="minorHAnsi" w:cstheme="minorHAnsi"/>
          <w:snapToGrid/>
          <w:sz w:val="24"/>
          <w:szCs w:val="24"/>
        </w:rPr>
        <w:t xml:space="preserve">and one supportive trial conducted with Bmab-200 (an older formulation of </w:t>
      </w:r>
      <w:proofErr w:type="spellStart"/>
      <w:r w:rsidR="00042931" w:rsidRPr="004925D4">
        <w:rPr>
          <w:rFonts w:asciiTheme="minorHAnsi" w:eastAsiaTheme="minorHAnsi" w:hAnsiTheme="minorHAnsi" w:cstheme="minorHAnsi"/>
          <w:snapToGrid/>
          <w:sz w:val="24"/>
          <w:szCs w:val="24"/>
        </w:rPr>
        <w:t>trastuzumab</w:t>
      </w:r>
      <w:proofErr w:type="spellEnd"/>
      <w:r w:rsidR="00042931" w:rsidRPr="004925D4">
        <w:rPr>
          <w:rFonts w:asciiTheme="minorHAnsi" w:eastAsiaTheme="minorHAnsi" w:hAnsiTheme="minorHAnsi" w:cstheme="minorHAnsi"/>
          <w:snapToGrid/>
          <w:sz w:val="24"/>
          <w:szCs w:val="24"/>
        </w:rPr>
        <w:t xml:space="preserve"> identical to Herceptin) versus Herceptin in patients with HER2-positive metastatic breast cancer. </w:t>
      </w:r>
    </w:p>
    <w:p w:rsidR="00042931" w:rsidRPr="004925D4" w:rsidRDefault="00042931" w:rsidP="00C354E2">
      <w:pPr>
        <w:pStyle w:val="ListParagraph"/>
        <w:widowControl/>
        <w:numPr>
          <w:ilvl w:val="1"/>
          <w:numId w:val="14"/>
        </w:numPr>
        <w:spacing w:after="120"/>
        <w:contextualSpacing w:val="0"/>
        <w:rPr>
          <w:rFonts w:asciiTheme="minorHAnsi" w:eastAsiaTheme="minorHAnsi" w:hAnsiTheme="minorHAnsi" w:cstheme="minorHAnsi"/>
          <w:snapToGrid/>
          <w:sz w:val="24"/>
          <w:szCs w:val="24"/>
        </w:rPr>
      </w:pPr>
      <w:r w:rsidRPr="004925D4">
        <w:rPr>
          <w:rFonts w:asciiTheme="minorHAnsi" w:eastAsiaTheme="minorHAnsi" w:hAnsiTheme="minorHAnsi" w:cstheme="minorHAnsi"/>
          <w:snapToGrid/>
          <w:sz w:val="24"/>
          <w:szCs w:val="24"/>
        </w:rPr>
        <w:t xml:space="preserve">Study MYL-Her-3001 was a multicentre, </w:t>
      </w:r>
      <w:proofErr w:type="gramStart"/>
      <w:r w:rsidRPr="004925D4">
        <w:rPr>
          <w:rFonts w:asciiTheme="minorHAnsi" w:eastAsiaTheme="minorHAnsi" w:hAnsiTheme="minorHAnsi" w:cstheme="minorHAnsi"/>
          <w:snapToGrid/>
          <w:sz w:val="24"/>
          <w:szCs w:val="24"/>
        </w:rPr>
        <w:t>double-blind</w:t>
      </w:r>
      <w:proofErr w:type="gramEnd"/>
      <w:r w:rsidRPr="004925D4">
        <w:rPr>
          <w:rFonts w:asciiTheme="minorHAnsi" w:eastAsiaTheme="minorHAnsi" w:hAnsiTheme="minorHAnsi" w:cstheme="minorHAnsi"/>
          <w:snapToGrid/>
          <w:sz w:val="24"/>
          <w:szCs w:val="24"/>
        </w:rPr>
        <w:t xml:space="preserve">, randomised, parallel-group, Phase III study to compare the efficacy and safety of </w:t>
      </w:r>
      <w:proofErr w:type="spellStart"/>
      <w:r w:rsidRPr="004925D4">
        <w:rPr>
          <w:rFonts w:asciiTheme="minorHAnsi" w:eastAsiaTheme="minorHAnsi" w:hAnsiTheme="minorHAnsi" w:cstheme="minorHAnsi"/>
          <w:snapToGrid/>
          <w:sz w:val="24"/>
          <w:szCs w:val="24"/>
        </w:rPr>
        <w:t>Ogivri</w:t>
      </w:r>
      <w:proofErr w:type="spellEnd"/>
      <w:r w:rsidRPr="004925D4">
        <w:rPr>
          <w:rFonts w:asciiTheme="minorHAnsi" w:eastAsiaTheme="minorHAnsi" w:hAnsiTheme="minorHAnsi" w:cstheme="minorHAnsi"/>
          <w:snapToGrid/>
          <w:sz w:val="24"/>
          <w:szCs w:val="24"/>
        </w:rPr>
        <w:t xml:space="preserve"> (MYL-1401O) versus Herceptin in patients with HER2-positive </w:t>
      </w:r>
      <w:r w:rsidR="009119CC" w:rsidRPr="004925D4">
        <w:rPr>
          <w:rFonts w:asciiTheme="minorHAnsi" w:eastAsiaTheme="minorHAnsi" w:hAnsiTheme="minorHAnsi" w:cstheme="minorHAnsi"/>
          <w:snapToGrid/>
          <w:sz w:val="24"/>
          <w:szCs w:val="24"/>
        </w:rPr>
        <w:t>MBC.</w:t>
      </w:r>
      <w:r w:rsidRPr="004925D4">
        <w:rPr>
          <w:rFonts w:asciiTheme="minorHAnsi" w:eastAsiaTheme="minorHAnsi" w:hAnsiTheme="minorHAnsi" w:cstheme="minorHAnsi"/>
          <w:snapToGrid/>
          <w:sz w:val="24"/>
          <w:szCs w:val="24"/>
        </w:rPr>
        <w:t xml:space="preserve"> </w:t>
      </w:r>
    </w:p>
    <w:p w:rsidR="00042931" w:rsidRPr="004925D4" w:rsidRDefault="00042931" w:rsidP="00C354E2">
      <w:pPr>
        <w:pStyle w:val="ListParagraph"/>
        <w:widowControl/>
        <w:numPr>
          <w:ilvl w:val="1"/>
          <w:numId w:val="14"/>
        </w:numPr>
        <w:spacing w:after="120"/>
        <w:contextualSpacing w:val="0"/>
        <w:rPr>
          <w:rFonts w:asciiTheme="minorHAnsi" w:eastAsiaTheme="minorHAnsi" w:hAnsiTheme="minorHAnsi" w:cstheme="minorHAnsi"/>
          <w:snapToGrid/>
          <w:sz w:val="24"/>
          <w:szCs w:val="24"/>
        </w:rPr>
      </w:pPr>
      <w:r w:rsidRPr="00655FEF">
        <w:rPr>
          <w:rFonts w:asciiTheme="minorHAnsi" w:hAnsiTheme="minorHAnsi" w:cstheme="minorHAnsi"/>
          <w:sz w:val="24"/>
          <w:szCs w:val="24"/>
        </w:rPr>
        <w:t>The results of the primary analysis</w:t>
      </w:r>
      <w:r w:rsidR="00BB099E" w:rsidRPr="00655FEF">
        <w:rPr>
          <w:rFonts w:asciiTheme="minorHAnsi" w:hAnsiTheme="minorHAnsi" w:cstheme="minorHAnsi"/>
          <w:sz w:val="24"/>
          <w:szCs w:val="24"/>
        </w:rPr>
        <w:t xml:space="preserve"> demonstrated the following. </w:t>
      </w:r>
      <w:r w:rsidRPr="00655FEF">
        <w:rPr>
          <w:rFonts w:asciiTheme="minorHAnsi" w:hAnsiTheme="minorHAnsi" w:cstheme="minorHAnsi"/>
          <w:sz w:val="24"/>
          <w:szCs w:val="24"/>
        </w:rPr>
        <w:t>At Week 24, the</w:t>
      </w:r>
      <w:r w:rsidR="00FD40DE" w:rsidRPr="00655FEF">
        <w:rPr>
          <w:rFonts w:asciiTheme="minorHAnsi" w:hAnsiTheme="minorHAnsi" w:cstheme="minorHAnsi"/>
          <w:sz w:val="24"/>
          <w:szCs w:val="24"/>
        </w:rPr>
        <w:t xml:space="preserve"> overall response rate</w:t>
      </w:r>
      <w:r w:rsidRPr="00655FEF">
        <w:rPr>
          <w:rFonts w:asciiTheme="minorHAnsi" w:hAnsiTheme="minorHAnsi" w:cstheme="minorHAnsi"/>
          <w:sz w:val="24"/>
          <w:szCs w:val="24"/>
        </w:rPr>
        <w:t xml:space="preserve"> </w:t>
      </w:r>
      <w:r w:rsidR="00FD40DE" w:rsidRPr="00655FEF">
        <w:rPr>
          <w:rFonts w:asciiTheme="minorHAnsi" w:hAnsiTheme="minorHAnsi" w:cstheme="minorHAnsi"/>
          <w:sz w:val="24"/>
          <w:szCs w:val="24"/>
        </w:rPr>
        <w:t>(</w:t>
      </w:r>
      <w:r w:rsidRPr="00655FEF">
        <w:rPr>
          <w:rFonts w:asciiTheme="minorHAnsi" w:hAnsiTheme="minorHAnsi" w:cstheme="minorHAnsi"/>
          <w:sz w:val="24"/>
          <w:szCs w:val="24"/>
        </w:rPr>
        <w:t>ORR</w:t>
      </w:r>
      <w:r w:rsidR="00FD40DE" w:rsidRPr="00655FEF">
        <w:rPr>
          <w:rFonts w:asciiTheme="minorHAnsi" w:hAnsiTheme="minorHAnsi" w:cstheme="minorHAnsi"/>
          <w:sz w:val="24"/>
          <w:szCs w:val="24"/>
        </w:rPr>
        <w:t>)</w:t>
      </w:r>
      <w:r w:rsidRPr="00655FEF">
        <w:rPr>
          <w:rFonts w:asciiTheme="minorHAnsi" w:hAnsiTheme="minorHAnsi" w:cstheme="minorHAnsi"/>
          <w:sz w:val="24"/>
          <w:szCs w:val="24"/>
        </w:rPr>
        <w:t xml:space="preserve"> in the </w:t>
      </w:r>
      <w:proofErr w:type="spellStart"/>
      <w:r w:rsidRPr="00655FEF">
        <w:rPr>
          <w:rFonts w:asciiTheme="minorHAnsi" w:hAnsiTheme="minorHAnsi" w:cstheme="minorHAnsi"/>
          <w:sz w:val="24"/>
          <w:szCs w:val="24"/>
        </w:rPr>
        <w:t>Ogivri</w:t>
      </w:r>
      <w:proofErr w:type="spellEnd"/>
      <w:r w:rsidRPr="00655FEF">
        <w:rPr>
          <w:rFonts w:asciiTheme="minorHAnsi" w:hAnsiTheme="minorHAnsi" w:cstheme="minorHAnsi"/>
          <w:sz w:val="24"/>
          <w:szCs w:val="24"/>
        </w:rPr>
        <w:t xml:space="preserve"> group was 69.6% and 64.0% in the Herceptin group. For the primary endpoint per </w:t>
      </w:r>
      <w:r w:rsidR="00EA0821" w:rsidRPr="00655FEF">
        <w:rPr>
          <w:rFonts w:asciiTheme="minorHAnsi" w:hAnsiTheme="minorHAnsi" w:cstheme="minorHAnsi"/>
          <w:sz w:val="24"/>
          <w:szCs w:val="24"/>
        </w:rPr>
        <w:t>the Food and Drug Administration</w:t>
      </w:r>
      <w:r w:rsidR="002A1FE4" w:rsidRPr="00655FEF">
        <w:rPr>
          <w:rFonts w:asciiTheme="minorHAnsi" w:hAnsiTheme="minorHAnsi" w:cstheme="minorHAnsi"/>
          <w:sz w:val="24"/>
          <w:szCs w:val="24"/>
        </w:rPr>
        <w:t xml:space="preserve"> (</w:t>
      </w:r>
      <w:r w:rsidR="00EA0821" w:rsidRPr="00655FEF">
        <w:rPr>
          <w:rFonts w:asciiTheme="minorHAnsi" w:hAnsiTheme="minorHAnsi" w:cstheme="minorHAnsi"/>
          <w:sz w:val="24"/>
          <w:szCs w:val="24"/>
        </w:rPr>
        <w:t>FDA</w:t>
      </w:r>
      <w:r w:rsidR="002A1FE4" w:rsidRPr="00655FEF">
        <w:rPr>
          <w:rFonts w:asciiTheme="minorHAnsi" w:hAnsiTheme="minorHAnsi" w:cstheme="minorHAnsi"/>
          <w:sz w:val="24"/>
          <w:szCs w:val="24"/>
        </w:rPr>
        <w:t>)’s</w:t>
      </w:r>
      <w:r w:rsidRPr="00655FEF">
        <w:rPr>
          <w:rFonts w:asciiTheme="minorHAnsi" w:hAnsiTheme="minorHAnsi" w:cstheme="minorHAnsi"/>
          <w:sz w:val="24"/>
          <w:szCs w:val="24"/>
        </w:rPr>
        <w:t xml:space="preserve"> recommendation, the ratio of the ORRs of </w:t>
      </w:r>
      <w:proofErr w:type="spellStart"/>
      <w:r w:rsidRPr="00655FEF">
        <w:rPr>
          <w:rFonts w:asciiTheme="minorHAnsi" w:hAnsiTheme="minorHAnsi" w:cstheme="minorHAnsi"/>
          <w:sz w:val="24"/>
          <w:szCs w:val="24"/>
        </w:rPr>
        <w:t>Ogivri</w:t>
      </w:r>
      <w:proofErr w:type="gramStart"/>
      <w:r w:rsidRPr="00655FEF">
        <w:rPr>
          <w:rFonts w:asciiTheme="minorHAnsi" w:hAnsiTheme="minorHAnsi" w:cstheme="minorHAnsi"/>
          <w:sz w:val="24"/>
          <w:szCs w:val="24"/>
        </w:rPr>
        <w:t>:</w:t>
      </w:r>
      <w:r w:rsidR="00FD40DE" w:rsidRPr="00655FEF">
        <w:rPr>
          <w:rFonts w:asciiTheme="minorHAnsi" w:hAnsiTheme="minorHAnsi" w:cstheme="minorHAnsi"/>
          <w:sz w:val="24"/>
          <w:szCs w:val="24"/>
        </w:rPr>
        <w:t>Herceptin</w:t>
      </w:r>
      <w:proofErr w:type="spellEnd"/>
      <w:proofErr w:type="gramEnd"/>
      <w:r w:rsidR="00FD40DE" w:rsidRPr="00655FEF">
        <w:rPr>
          <w:rFonts w:asciiTheme="minorHAnsi" w:hAnsiTheme="minorHAnsi" w:cstheme="minorHAnsi"/>
          <w:sz w:val="24"/>
          <w:szCs w:val="24"/>
        </w:rPr>
        <w:t xml:space="preserve"> was 1.09 with a 90% confidence interval (CI)</w:t>
      </w:r>
      <w:r w:rsidRPr="00655FEF">
        <w:rPr>
          <w:rFonts w:asciiTheme="minorHAnsi" w:hAnsiTheme="minorHAnsi" w:cstheme="minorHAnsi"/>
          <w:sz w:val="24"/>
          <w:szCs w:val="24"/>
        </w:rPr>
        <w:t xml:space="preserve"> of (0.974, 1.211).</w:t>
      </w:r>
      <w:r w:rsidR="0031799B" w:rsidRPr="00655FEF">
        <w:rPr>
          <w:rFonts w:asciiTheme="minorHAnsi" w:hAnsiTheme="minorHAnsi" w:cstheme="minorHAnsi"/>
          <w:sz w:val="24"/>
          <w:szCs w:val="24"/>
        </w:rPr>
        <w:t xml:space="preserve"> </w:t>
      </w:r>
      <w:r w:rsidRPr="00655FEF">
        <w:rPr>
          <w:rFonts w:asciiTheme="minorHAnsi" w:hAnsiTheme="minorHAnsi" w:cstheme="minorHAnsi"/>
          <w:sz w:val="24"/>
          <w:szCs w:val="24"/>
        </w:rPr>
        <w:t xml:space="preserve">As this CI is entirely within the pre-defined equivalence boundaries of 0.81 and 1.24, </w:t>
      </w:r>
      <w:r w:rsidR="00B92941" w:rsidRPr="00655FEF">
        <w:rPr>
          <w:rFonts w:asciiTheme="minorHAnsi" w:hAnsiTheme="minorHAnsi" w:cstheme="minorHAnsi"/>
          <w:sz w:val="24"/>
          <w:szCs w:val="24"/>
        </w:rPr>
        <w:t xml:space="preserve">the TGA was satisfied that </w:t>
      </w:r>
      <w:r w:rsidRPr="00655FEF">
        <w:rPr>
          <w:rFonts w:asciiTheme="minorHAnsi" w:hAnsiTheme="minorHAnsi" w:cstheme="minorHAnsi"/>
          <w:sz w:val="24"/>
          <w:szCs w:val="24"/>
        </w:rPr>
        <w:t xml:space="preserve">therapeutic </w:t>
      </w:r>
      <w:r w:rsidRPr="00655FEF">
        <w:rPr>
          <w:rFonts w:asciiTheme="minorHAnsi" w:hAnsiTheme="minorHAnsi" w:cstheme="minorHAnsi"/>
          <w:sz w:val="24"/>
          <w:szCs w:val="24"/>
        </w:rPr>
        <w:lastRenderedPageBreak/>
        <w:t xml:space="preserve">equivalence of </w:t>
      </w:r>
      <w:proofErr w:type="spellStart"/>
      <w:r w:rsidRPr="00655FEF">
        <w:rPr>
          <w:rFonts w:asciiTheme="minorHAnsi" w:hAnsiTheme="minorHAnsi" w:cstheme="minorHAnsi"/>
          <w:sz w:val="24"/>
          <w:szCs w:val="24"/>
        </w:rPr>
        <w:t>Ogivri</w:t>
      </w:r>
      <w:proofErr w:type="spellEnd"/>
      <w:r w:rsidRPr="00655FEF">
        <w:rPr>
          <w:rFonts w:asciiTheme="minorHAnsi" w:hAnsiTheme="minorHAnsi" w:cstheme="minorHAnsi"/>
          <w:sz w:val="24"/>
          <w:szCs w:val="24"/>
        </w:rPr>
        <w:t xml:space="preserve"> and Herceptin </w:t>
      </w:r>
      <w:proofErr w:type="gramStart"/>
      <w:r w:rsidRPr="00655FEF">
        <w:rPr>
          <w:rFonts w:asciiTheme="minorHAnsi" w:hAnsiTheme="minorHAnsi" w:cstheme="minorHAnsi"/>
          <w:sz w:val="24"/>
          <w:szCs w:val="24"/>
        </w:rPr>
        <w:t>was statistically confirmed</w:t>
      </w:r>
      <w:proofErr w:type="gramEnd"/>
      <w:r w:rsidRPr="00655FEF">
        <w:rPr>
          <w:rFonts w:asciiTheme="minorHAnsi" w:hAnsiTheme="minorHAnsi" w:cstheme="minorHAnsi"/>
          <w:sz w:val="24"/>
          <w:szCs w:val="24"/>
        </w:rPr>
        <w:t xml:space="preserve"> per the FDA’s recommendation in this study.</w:t>
      </w:r>
    </w:p>
    <w:p w:rsidR="00042931" w:rsidRPr="004925D4" w:rsidRDefault="00042931" w:rsidP="00C354E2">
      <w:pPr>
        <w:pStyle w:val="ListParagraph"/>
        <w:widowControl/>
        <w:numPr>
          <w:ilvl w:val="1"/>
          <w:numId w:val="14"/>
        </w:numPr>
        <w:spacing w:after="120"/>
        <w:contextualSpacing w:val="0"/>
        <w:rPr>
          <w:rFonts w:asciiTheme="minorHAnsi" w:eastAsiaTheme="minorHAnsi" w:hAnsiTheme="minorHAnsi" w:cstheme="minorHAnsi"/>
          <w:snapToGrid/>
          <w:sz w:val="24"/>
          <w:szCs w:val="24"/>
        </w:rPr>
      </w:pPr>
      <w:r w:rsidRPr="00655FEF">
        <w:rPr>
          <w:rFonts w:asciiTheme="minorHAnsi" w:hAnsiTheme="minorHAnsi" w:cstheme="minorHAnsi"/>
          <w:sz w:val="24"/>
          <w:szCs w:val="24"/>
        </w:rPr>
        <w:t>For the primary endpoint per</w:t>
      </w:r>
      <w:r w:rsidR="00EA0821" w:rsidRPr="00655FEF">
        <w:rPr>
          <w:rFonts w:asciiTheme="minorHAnsi" w:hAnsiTheme="minorHAnsi" w:cstheme="minorHAnsi"/>
          <w:sz w:val="24"/>
          <w:szCs w:val="24"/>
        </w:rPr>
        <w:t xml:space="preserve"> the European Medicines Agency</w:t>
      </w:r>
      <w:r w:rsidR="002A1FE4" w:rsidRPr="00655FEF">
        <w:rPr>
          <w:rFonts w:asciiTheme="minorHAnsi" w:hAnsiTheme="minorHAnsi" w:cstheme="minorHAnsi"/>
          <w:sz w:val="24"/>
          <w:szCs w:val="24"/>
        </w:rPr>
        <w:t xml:space="preserve"> (EMA)’s</w:t>
      </w:r>
      <w:r w:rsidRPr="00655FEF">
        <w:rPr>
          <w:rFonts w:asciiTheme="minorHAnsi" w:hAnsiTheme="minorHAnsi" w:cstheme="minorHAnsi"/>
          <w:sz w:val="24"/>
          <w:szCs w:val="24"/>
        </w:rPr>
        <w:t xml:space="preserve"> recommendation, the difference in best ORRs between treatment groups (</w:t>
      </w:r>
      <w:proofErr w:type="spellStart"/>
      <w:r w:rsidRPr="00655FEF">
        <w:rPr>
          <w:rFonts w:asciiTheme="minorHAnsi" w:hAnsiTheme="minorHAnsi" w:cstheme="minorHAnsi"/>
          <w:sz w:val="24"/>
          <w:szCs w:val="24"/>
        </w:rPr>
        <w:t>Ogivri</w:t>
      </w:r>
      <w:proofErr w:type="spellEnd"/>
      <w:r w:rsidRPr="00655FEF">
        <w:rPr>
          <w:rFonts w:asciiTheme="minorHAnsi" w:hAnsiTheme="minorHAnsi" w:cstheme="minorHAnsi"/>
          <w:sz w:val="24"/>
          <w:szCs w:val="24"/>
        </w:rPr>
        <w:t xml:space="preserve"> minus Herceptin) was 5.5% with a 95% CI of (-3.08%, 14.04%). As this CI is entirely within the pre-defined equivalence boundaries of -15% and 15%,</w:t>
      </w:r>
      <w:r w:rsidR="00B92941" w:rsidRPr="00655FEF">
        <w:rPr>
          <w:rFonts w:asciiTheme="minorHAnsi" w:hAnsiTheme="minorHAnsi" w:cstheme="minorHAnsi"/>
          <w:sz w:val="24"/>
          <w:szCs w:val="24"/>
        </w:rPr>
        <w:t xml:space="preserve"> the TGA was satisfied that</w:t>
      </w:r>
      <w:r w:rsidRPr="00655FEF">
        <w:rPr>
          <w:rFonts w:asciiTheme="minorHAnsi" w:hAnsiTheme="minorHAnsi" w:cstheme="minorHAnsi"/>
          <w:sz w:val="24"/>
          <w:szCs w:val="24"/>
        </w:rPr>
        <w:t xml:space="preserve"> therapeutic equivalence of </w:t>
      </w:r>
      <w:proofErr w:type="spellStart"/>
      <w:r w:rsidRPr="00655FEF">
        <w:rPr>
          <w:rFonts w:asciiTheme="minorHAnsi" w:hAnsiTheme="minorHAnsi" w:cstheme="minorHAnsi"/>
          <w:sz w:val="24"/>
          <w:szCs w:val="24"/>
        </w:rPr>
        <w:t>Ogivri</w:t>
      </w:r>
      <w:proofErr w:type="spellEnd"/>
      <w:r w:rsidRPr="00655FEF">
        <w:rPr>
          <w:rFonts w:asciiTheme="minorHAnsi" w:hAnsiTheme="minorHAnsi" w:cstheme="minorHAnsi"/>
          <w:sz w:val="24"/>
          <w:szCs w:val="24"/>
        </w:rPr>
        <w:t xml:space="preserve"> and Herceptin </w:t>
      </w:r>
      <w:proofErr w:type="gramStart"/>
      <w:r w:rsidRPr="00655FEF">
        <w:rPr>
          <w:rFonts w:asciiTheme="minorHAnsi" w:hAnsiTheme="minorHAnsi" w:cstheme="minorHAnsi"/>
          <w:sz w:val="24"/>
          <w:szCs w:val="24"/>
        </w:rPr>
        <w:t>was statistically confirmed</w:t>
      </w:r>
      <w:proofErr w:type="gramEnd"/>
      <w:r w:rsidRPr="00655FEF">
        <w:rPr>
          <w:rFonts w:asciiTheme="minorHAnsi" w:hAnsiTheme="minorHAnsi" w:cstheme="minorHAnsi"/>
          <w:sz w:val="24"/>
          <w:szCs w:val="24"/>
        </w:rPr>
        <w:t xml:space="preserve"> per EMA’s recommendation in this study.</w:t>
      </w:r>
    </w:p>
    <w:p w:rsidR="0031799B" w:rsidRPr="004925D4" w:rsidRDefault="00FD40DE" w:rsidP="00C354E2">
      <w:pPr>
        <w:pStyle w:val="ListParagraph"/>
        <w:widowControl/>
        <w:numPr>
          <w:ilvl w:val="1"/>
          <w:numId w:val="14"/>
        </w:numPr>
        <w:spacing w:after="120"/>
        <w:contextualSpacing w:val="0"/>
        <w:rPr>
          <w:rFonts w:asciiTheme="minorHAnsi" w:eastAsiaTheme="minorHAnsi" w:hAnsiTheme="minorHAnsi" w:cstheme="minorHAnsi"/>
          <w:snapToGrid/>
          <w:sz w:val="24"/>
          <w:szCs w:val="24"/>
        </w:rPr>
      </w:pPr>
      <w:r w:rsidRPr="00655FEF">
        <w:rPr>
          <w:rFonts w:asciiTheme="minorHAnsi" w:hAnsiTheme="minorHAnsi" w:cstheme="minorHAnsi"/>
          <w:sz w:val="24"/>
          <w:szCs w:val="24"/>
        </w:rPr>
        <w:t xml:space="preserve">As secondary analyses, time to tumour progression (TTP), progression-free survival (PFS), and overall survival (OS) </w:t>
      </w:r>
      <w:proofErr w:type="gramStart"/>
      <w:r w:rsidR="0031799B" w:rsidRPr="00655FEF">
        <w:rPr>
          <w:rFonts w:asciiTheme="minorHAnsi" w:hAnsiTheme="minorHAnsi" w:cstheme="minorHAnsi"/>
          <w:sz w:val="24"/>
          <w:szCs w:val="24"/>
        </w:rPr>
        <w:t>were evaluated</w:t>
      </w:r>
      <w:proofErr w:type="gramEnd"/>
      <w:r w:rsidR="0031799B" w:rsidRPr="00655FEF">
        <w:rPr>
          <w:rFonts w:asciiTheme="minorHAnsi" w:hAnsiTheme="minorHAnsi" w:cstheme="minorHAnsi"/>
          <w:sz w:val="24"/>
          <w:szCs w:val="24"/>
        </w:rPr>
        <w:t xml:space="preserve"> at </w:t>
      </w:r>
      <w:r w:rsidRPr="00655FEF">
        <w:rPr>
          <w:rFonts w:asciiTheme="minorHAnsi" w:hAnsiTheme="minorHAnsi" w:cstheme="minorHAnsi"/>
          <w:sz w:val="24"/>
          <w:szCs w:val="24"/>
        </w:rPr>
        <w:t>Week 24 and Week 48 for the intent-to-treat</w:t>
      </w:r>
      <w:r w:rsidR="002A1FE4" w:rsidRPr="00655FEF">
        <w:rPr>
          <w:rFonts w:asciiTheme="minorHAnsi" w:hAnsiTheme="minorHAnsi" w:cstheme="minorHAnsi"/>
          <w:sz w:val="24"/>
          <w:szCs w:val="24"/>
        </w:rPr>
        <w:t xml:space="preserve"> (ITT</w:t>
      </w:r>
      <w:r w:rsidRPr="00655FEF">
        <w:rPr>
          <w:rFonts w:asciiTheme="minorHAnsi" w:hAnsiTheme="minorHAnsi" w:cstheme="minorHAnsi"/>
          <w:sz w:val="24"/>
          <w:szCs w:val="24"/>
        </w:rPr>
        <w:t>)</w:t>
      </w:r>
      <w:r w:rsidR="00BB099E" w:rsidRPr="00655FEF">
        <w:rPr>
          <w:rFonts w:asciiTheme="minorHAnsi" w:hAnsiTheme="minorHAnsi" w:cstheme="minorHAnsi"/>
          <w:sz w:val="24"/>
          <w:szCs w:val="24"/>
        </w:rPr>
        <w:t xml:space="preserve"> population. </w:t>
      </w:r>
      <w:r w:rsidR="0031799B" w:rsidRPr="00655FEF">
        <w:rPr>
          <w:rFonts w:asciiTheme="minorHAnsi" w:hAnsiTheme="minorHAnsi" w:cstheme="minorHAnsi"/>
          <w:sz w:val="24"/>
          <w:szCs w:val="24"/>
        </w:rPr>
        <w:t xml:space="preserve">Furthermore, </w:t>
      </w:r>
      <w:r w:rsidRPr="00655FEF">
        <w:rPr>
          <w:rFonts w:asciiTheme="minorHAnsi" w:hAnsiTheme="minorHAnsi" w:cstheme="minorHAnsi"/>
          <w:sz w:val="24"/>
          <w:szCs w:val="24"/>
        </w:rPr>
        <w:t>duration of response (</w:t>
      </w:r>
      <w:r w:rsidR="0031799B" w:rsidRPr="00655FEF">
        <w:rPr>
          <w:rFonts w:asciiTheme="minorHAnsi" w:hAnsiTheme="minorHAnsi" w:cstheme="minorHAnsi"/>
          <w:sz w:val="24"/>
          <w:szCs w:val="24"/>
        </w:rPr>
        <w:t>DR</w:t>
      </w:r>
      <w:r w:rsidRPr="00655FEF">
        <w:rPr>
          <w:rFonts w:asciiTheme="minorHAnsi" w:hAnsiTheme="minorHAnsi" w:cstheme="minorHAnsi"/>
          <w:sz w:val="24"/>
          <w:szCs w:val="24"/>
        </w:rPr>
        <w:t>)</w:t>
      </w:r>
      <w:r w:rsidR="0031799B" w:rsidRPr="00655FEF">
        <w:rPr>
          <w:rFonts w:asciiTheme="minorHAnsi" w:hAnsiTheme="minorHAnsi" w:cstheme="minorHAnsi"/>
          <w:sz w:val="24"/>
          <w:szCs w:val="24"/>
        </w:rPr>
        <w:t xml:space="preserve"> was analysed</w:t>
      </w:r>
      <w:r w:rsidR="00BB099E" w:rsidRPr="00655FEF">
        <w:rPr>
          <w:rFonts w:asciiTheme="minorHAnsi" w:hAnsiTheme="minorHAnsi" w:cstheme="minorHAnsi"/>
          <w:sz w:val="24"/>
          <w:szCs w:val="24"/>
        </w:rPr>
        <w:t xml:space="preserve"> at Week 48. </w:t>
      </w:r>
      <w:r w:rsidR="00B92941" w:rsidRPr="00655FEF">
        <w:rPr>
          <w:rFonts w:asciiTheme="minorHAnsi" w:hAnsiTheme="minorHAnsi" w:cstheme="minorHAnsi"/>
          <w:sz w:val="24"/>
          <w:szCs w:val="24"/>
        </w:rPr>
        <w:t>The TGA was satisfied that t</w:t>
      </w:r>
      <w:r w:rsidR="0031799B" w:rsidRPr="00655FEF">
        <w:rPr>
          <w:rFonts w:asciiTheme="minorHAnsi" w:hAnsiTheme="minorHAnsi" w:cstheme="minorHAnsi"/>
          <w:sz w:val="24"/>
          <w:szCs w:val="24"/>
        </w:rPr>
        <w:t xml:space="preserve">herapeutic equivalence of </w:t>
      </w:r>
      <w:proofErr w:type="spellStart"/>
      <w:r w:rsidR="0031799B" w:rsidRPr="00655FEF">
        <w:rPr>
          <w:rFonts w:asciiTheme="minorHAnsi" w:hAnsiTheme="minorHAnsi" w:cstheme="minorHAnsi"/>
          <w:sz w:val="24"/>
          <w:szCs w:val="24"/>
        </w:rPr>
        <w:t>Ogivri</w:t>
      </w:r>
      <w:proofErr w:type="spellEnd"/>
      <w:r w:rsidR="0031799B" w:rsidRPr="00655FEF">
        <w:rPr>
          <w:rFonts w:asciiTheme="minorHAnsi" w:hAnsiTheme="minorHAnsi" w:cstheme="minorHAnsi"/>
          <w:sz w:val="24"/>
          <w:szCs w:val="24"/>
        </w:rPr>
        <w:t xml:space="preserve"> and Herceptin </w:t>
      </w:r>
      <w:proofErr w:type="gramStart"/>
      <w:r w:rsidR="0031799B" w:rsidRPr="00655FEF">
        <w:rPr>
          <w:rFonts w:asciiTheme="minorHAnsi" w:hAnsiTheme="minorHAnsi" w:cstheme="minorHAnsi"/>
          <w:sz w:val="24"/>
          <w:szCs w:val="24"/>
        </w:rPr>
        <w:t>was statistically confirmed</w:t>
      </w:r>
      <w:proofErr w:type="gramEnd"/>
      <w:r w:rsidR="0031799B" w:rsidRPr="00655FEF">
        <w:rPr>
          <w:rFonts w:asciiTheme="minorHAnsi" w:hAnsiTheme="minorHAnsi" w:cstheme="minorHAnsi"/>
          <w:sz w:val="24"/>
          <w:szCs w:val="24"/>
        </w:rPr>
        <w:t xml:space="preserve"> by </w:t>
      </w:r>
      <w:r w:rsidR="00B92941" w:rsidRPr="00655FEF">
        <w:rPr>
          <w:rFonts w:asciiTheme="minorHAnsi" w:hAnsiTheme="minorHAnsi" w:cstheme="minorHAnsi"/>
          <w:sz w:val="24"/>
          <w:szCs w:val="24"/>
        </w:rPr>
        <w:t>the primary efficacy analysis, and that a</w:t>
      </w:r>
      <w:r w:rsidR="0031799B" w:rsidRPr="00655FEF">
        <w:rPr>
          <w:rFonts w:asciiTheme="minorHAnsi" w:hAnsiTheme="minorHAnsi" w:cstheme="minorHAnsi"/>
          <w:sz w:val="24"/>
          <w:szCs w:val="24"/>
        </w:rPr>
        <w:t xml:space="preserve">ll secondary efficacy analyses at Week 24 and Week 48 supported the conclusion of therapeutic equivalence. </w:t>
      </w:r>
    </w:p>
    <w:p w:rsidR="007C6884" w:rsidRPr="004925D4" w:rsidRDefault="007C6884" w:rsidP="00C354E2">
      <w:pPr>
        <w:pStyle w:val="ListParagraph"/>
        <w:widowControl/>
        <w:numPr>
          <w:ilvl w:val="1"/>
          <w:numId w:val="14"/>
        </w:numPr>
        <w:spacing w:after="120"/>
        <w:contextualSpacing w:val="0"/>
        <w:rPr>
          <w:rFonts w:asciiTheme="minorHAnsi" w:eastAsiaTheme="minorHAnsi" w:hAnsiTheme="minorHAnsi" w:cstheme="minorHAnsi"/>
          <w:snapToGrid/>
          <w:sz w:val="24"/>
          <w:szCs w:val="24"/>
        </w:rPr>
      </w:pPr>
      <w:r w:rsidRPr="00655FEF">
        <w:rPr>
          <w:rFonts w:asciiTheme="minorHAnsi" w:hAnsiTheme="minorHAnsi" w:cstheme="minorHAnsi"/>
          <w:sz w:val="24"/>
          <w:szCs w:val="24"/>
        </w:rPr>
        <w:t xml:space="preserve">Overall, </w:t>
      </w:r>
      <w:r w:rsidR="00B92941" w:rsidRPr="00655FEF">
        <w:rPr>
          <w:rFonts w:asciiTheme="minorHAnsi" w:hAnsiTheme="minorHAnsi" w:cstheme="minorHAnsi"/>
          <w:sz w:val="24"/>
          <w:szCs w:val="24"/>
        </w:rPr>
        <w:t xml:space="preserve">the TGA confirmed that </w:t>
      </w:r>
      <w:proofErr w:type="spellStart"/>
      <w:r w:rsidRPr="00655FEF">
        <w:rPr>
          <w:rFonts w:asciiTheme="minorHAnsi" w:hAnsiTheme="minorHAnsi" w:cstheme="minorHAnsi"/>
          <w:sz w:val="24"/>
          <w:szCs w:val="24"/>
        </w:rPr>
        <w:t>Ogivri</w:t>
      </w:r>
      <w:proofErr w:type="spellEnd"/>
      <w:r w:rsidRPr="00655FEF">
        <w:rPr>
          <w:rFonts w:asciiTheme="minorHAnsi" w:hAnsiTheme="minorHAnsi" w:cstheme="minorHAnsi"/>
          <w:sz w:val="24"/>
          <w:szCs w:val="24"/>
        </w:rPr>
        <w:t xml:space="preserve"> and Herceptin were well tolerated both in combination with a </w:t>
      </w:r>
      <w:proofErr w:type="spellStart"/>
      <w:r w:rsidRPr="00655FEF">
        <w:rPr>
          <w:rFonts w:asciiTheme="minorHAnsi" w:hAnsiTheme="minorHAnsi" w:cstheme="minorHAnsi"/>
          <w:sz w:val="24"/>
          <w:szCs w:val="24"/>
        </w:rPr>
        <w:t>taxane</w:t>
      </w:r>
      <w:proofErr w:type="spellEnd"/>
      <w:r w:rsidRPr="00655FEF">
        <w:rPr>
          <w:rFonts w:asciiTheme="minorHAnsi" w:hAnsiTheme="minorHAnsi" w:cstheme="minorHAnsi"/>
          <w:sz w:val="24"/>
          <w:szCs w:val="24"/>
        </w:rPr>
        <w:t xml:space="preserve"> </w:t>
      </w:r>
      <w:r w:rsidR="00BB099E" w:rsidRPr="00655FEF">
        <w:rPr>
          <w:rFonts w:asciiTheme="minorHAnsi" w:hAnsiTheme="minorHAnsi" w:cstheme="minorHAnsi"/>
          <w:sz w:val="24"/>
          <w:szCs w:val="24"/>
        </w:rPr>
        <w:t xml:space="preserve">and when given as monotherapy. </w:t>
      </w:r>
      <w:r w:rsidRPr="00655FEF">
        <w:rPr>
          <w:rFonts w:asciiTheme="minorHAnsi" w:hAnsiTheme="minorHAnsi" w:cstheme="minorHAnsi"/>
          <w:sz w:val="24"/>
          <w:szCs w:val="24"/>
        </w:rPr>
        <w:t xml:space="preserve">When administered </w:t>
      </w:r>
      <w:proofErr w:type="gramStart"/>
      <w:r w:rsidRPr="00655FEF">
        <w:rPr>
          <w:rFonts w:asciiTheme="minorHAnsi" w:hAnsiTheme="minorHAnsi" w:cstheme="minorHAnsi"/>
          <w:sz w:val="24"/>
          <w:szCs w:val="24"/>
        </w:rPr>
        <w:t xml:space="preserve">with a </w:t>
      </w:r>
      <w:proofErr w:type="spellStart"/>
      <w:r w:rsidRPr="00655FEF">
        <w:rPr>
          <w:rFonts w:asciiTheme="minorHAnsi" w:hAnsiTheme="minorHAnsi" w:cstheme="minorHAnsi"/>
          <w:sz w:val="24"/>
          <w:szCs w:val="24"/>
        </w:rPr>
        <w:t>taxane</w:t>
      </w:r>
      <w:proofErr w:type="spellEnd"/>
      <w:r w:rsidRPr="00655FEF">
        <w:rPr>
          <w:rFonts w:asciiTheme="minorHAnsi" w:hAnsiTheme="minorHAnsi" w:cstheme="minorHAnsi"/>
          <w:sz w:val="24"/>
          <w:szCs w:val="24"/>
        </w:rPr>
        <w:t xml:space="preserve"> as first-line therapy to patients with HER2-positive MBC,</w:t>
      </w:r>
      <w:proofErr w:type="gramEnd"/>
      <w:r w:rsidRPr="00655FEF">
        <w:rPr>
          <w:rFonts w:asciiTheme="minorHAnsi" w:hAnsiTheme="minorHAnsi" w:cstheme="minorHAnsi"/>
          <w:sz w:val="24"/>
          <w:szCs w:val="24"/>
        </w:rPr>
        <w:t xml:space="preserve"> their safety profiles were similar and no safety concerns were observed. </w:t>
      </w:r>
    </w:p>
    <w:p w:rsidR="007C6884" w:rsidRPr="004925D4" w:rsidRDefault="007C6884" w:rsidP="00C354E2">
      <w:pPr>
        <w:pStyle w:val="ListParagraph"/>
        <w:widowControl/>
        <w:numPr>
          <w:ilvl w:val="1"/>
          <w:numId w:val="14"/>
        </w:numPr>
        <w:spacing w:after="120"/>
        <w:contextualSpacing w:val="0"/>
        <w:rPr>
          <w:rFonts w:asciiTheme="minorHAnsi" w:eastAsiaTheme="minorHAnsi" w:hAnsiTheme="minorHAnsi" w:cstheme="minorHAnsi"/>
          <w:snapToGrid/>
          <w:sz w:val="24"/>
          <w:szCs w:val="24"/>
        </w:rPr>
      </w:pPr>
      <w:r w:rsidRPr="004925D4">
        <w:rPr>
          <w:rFonts w:asciiTheme="minorHAnsi" w:hAnsiTheme="minorHAnsi" w:cstheme="minorHAnsi"/>
          <w:sz w:val="24"/>
          <w:szCs w:val="24"/>
        </w:rPr>
        <w:t xml:space="preserve">With respect to the supporting evidence, </w:t>
      </w:r>
      <w:r w:rsidR="00B92941" w:rsidRPr="004925D4">
        <w:rPr>
          <w:rFonts w:asciiTheme="minorHAnsi" w:hAnsiTheme="minorHAnsi" w:cstheme="minorHAnsi"/>
          <w:sz w:val="24"/>
          <w:szCs w:val="24"/>
        </w:rPr>
        <w:t xml:space="preserve">the TGA found that </w:t>
      </w:r>
      <w:r w:rsidRPr="004925D4">
        <w:rPr>
          <w:rFonts w:asciiTheme="minorHAnsi" w:hAnsiTheme="minorHAnsi" w:cstheme="minorHAnsi"/>
          <w:sz w:val="24"/>
          <w:szCs w:val="24"/>
        </w:rPr>
        <w:t>Bmab-200 is bioequivalent to Herceptin and is similar in safety and efficacy parameters to Herceptin.</w:t>
      </w:r>
      <w:r w:rsidR="00B92941" w:rsidRPr="004925D4">
        <w:rPr>
          <w:rFonts w:asciiTheme="minorHAnsi" w:hAnsiTheme="minorHAnsi" w:cstheme="minorHAnsi"/>
          <w:sz w:val="24"/>
          <w:szCs w:val="24"/>
        </w:rPr>
        <w:t xml:space="preserve"> Furthermore, the TGA was satisfied that t</w:t>
      </w:r>
      <w:r w:rsidRPr="004925D4">
        <w:rPr>
          <w:rFonts w:asciiTheme="minorHAnsi" w:hAnsiTheme="minorHAnsi" w:cstheme="minorHAnsi"/>
          <w:sz w:val="24"/>
          <w:szCs w:val="24"/>
        </w:rPr>
        <w:t>he results of BM200-CT3-001-11 support</w:t>
      </w:r>
      <w:r w:rsidR="002A1FE4" w:rsidRPr="004925D4">
        <w:rPr>
          <w:rFonts w:asciiTheme="minorHAnsi" w:hAnsiTheme="minorHAnsi" w:cstheme="minorHAnsi"/>
          <w:sz w:val="24"/>
          <w:szCs w:val="24"/>
        </w:rPr>
        <w:t>ed</w:t>
      </w:r>
      <w:r w:rsidRPr="004925D4">
        <w:rPr>
          <w:rFonts w:asciiTheme="minorHAnsi" w:hAnsiTheme="minorHAnsi" w:cstheme="minorHAnsi"/>
          <w:sz w:val="24"/>
          <w:szCs w:val="24"/>
        </w:rPr>
        <w:t xml:space="preserve"> a claim of non-inferior safety and efficacy of </w:t>
      </w:r>
      <w:proofErr w:type="spellStart"/>
      <w:r w:rsidRPr="004925D4">
        <w:rPr>
          <w:rFonts w:asciiTheme="minorHAnsi" w:hAnsiTheme="minorHAnsi" w:cstheme="minorHAnsi"/>
          <w:sz w:val="24"/>
          <w:szCs w:val="24"/>
        </w:rPr>
        <w:t>Ogivri</w:t>
      </w:r>
      <w:proofErr w:type="spellEnd"/>
      <w:r w:rsidRPr="004925D4">
        <w:rPr>
          <w:rFonts w:asciiTheme="minorHAnsi" w:hAnsiTheme="minorHAnsi" w:cstheme="minorHAnsi"/>
          <w:sz w:val="24"/>
          <w:szCs w:val="24"/>
        </w:rPr>
        <w:t xml:space="preserve"> compared to Herceptin in patients with HER2-positive metastatic breast cancer.</w:t>
      </w:r>
    </w:p>
    <w:p w:rsidR="005D1C2D" w:rsidRPr="004925D4" w:rsidRDefault="005D1C2D" w:rsidP="005D1C2D">
      <w:pPr>
        <w:pStyle w:val="Heading2"/>
        <w:keepLines/>
        <w:spacing w:before="240" w:after="120"/>
        <w:rPr>
          <w:rFonts w:asciiTheme="minorHAnsi" w:eastAsiaTheme="majorEastAsia" w:hAnsiTheme="minorHAnsi" w:cstheme="majorBidi"/>
          <w:sz w:val="28"/>
          <w:szCs w:val="28"/>
          <w:lang w:eastAsia="en-US"/>
        </w:rPr>
      </w:pPr>
      <w:r w:rsidRPr="004925D4">
        <w:rPr>
          <w:rFonts w:asciiTheme="minorHAnsi" w:eastAsiaTheme="majorEastAsia" w:hAnsiTheme="minorHAnsi" w:cstheme="majorBidi"/>
          <w:sz w:val="28"/>
          <w:szCs w:val="28"/>
          <w:lang w:eastAsia="en-US"/>
        </w:rPr>
        <w:t xml:space="preserve">Clinical claim </w:t>
      </w:r>
    </w:p>
    <w:p w:rsidR="005D1C2D" w:rsidRPr="004925D4" w:rsidRDefault="005D1C2D" w:rsidP="00C354E2">
      <w:pPr>
        <w:pStyle w:val="ListParagraph"/>
        <w:widowControl/>
        <w:numPr>
          <w:ilvl w:val="1"/>
          <w:numId w:val="14"/>
        </w:numPr>
        <w:spacing w:before="120" w:after="120"/>
        <w:contextualSpacing w:val="0"/>
        <w:rPr>
          <w:rFonts w:ascii="Arial Narrow" w:hAnsi="Arial Narrow"/>
          <w:b/>
          <w:sz w:val="20"/>
        </w:rPr>
      </w:pPr>
      <w:r w:rsidRPr="004925D4">
        <w:rPr>
          <w:rFonts w:asciiTheme="minorHAnsi" w:eastAsiaTheme="minorHAnsi" w:hAnsiTheme="minorHAnsi" w:cstheme="minorBidi"/>
          <w:snapToGrid/>
          <w:sz w:val="24"/>
          <w:szCs w:val="22"/>
        </w:rPr>
        <w:t xml:space="preserve">The submission’s clinical claim was that </w:t>
      </w:r>
      <w:proofErr w:type="spellStart"/>
      <w:r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 xml:space="preserve"> is non-inferior in terms of comparative effectiveness, and non-inferior in terms of comparative safety, to Herceptin. </w:t>
      </w:r>
    </w:p>
    <w:p w:rsidR="00A309FA" w:rsidRPr="004925D4" w:rsidRDefault="00A309FA" w:rsidP="00C354E2">
      <w:pPr>
        <w:pStyle w:val="ListParagraph"/>
        <w:widowControl/>
        <w:numPr>
          <w:ilvl w:val="1"/>
          <w:numId w:val="14"/>
        </w:numPr>
        <w:spacing w:before="120" w:after="120"/>
        <w:contextualSpacing w:val="0"/>
        <w:rPr>
          <w:rFonts w:ascii="Arial Narrow" w:hAnsi="Arial Narrow"/>
          <w:b/>
          <w:sz w:val="20"/>
        </w:rPr>
      </w:pPr>
      <w:r w:rsidRPr="004925D4">
        <w:rPr>
          <w:rFonts w:asciiTheme="minorHAnsi" w:eastAsiaTheme="minorHAnsi" w:hAnsiTheme="minorHAnsi" w:cstheme="minorBidi"/>
          <w:snapToGrid/>
          <w:sz w:val="24"/>
          <w:szCs w:val="22"/>
        </w:rPr>
        <w:t xml:space="preserve">The TGA was satisfied that the biosimilar brand was non-inferior in terms of both efficacy and safety compared to the reference brand. </w:t>
      </w:r>
    </w:p>
    <w:p w:rsidR="00813551" w:rsidRPr="004925D4" w:rsidRDefault="00813551" w:rsidP="00C354E2">
      <w:pPr>
        <w:pStyle w:val="ListParagraph"/>
        <w:widowControl/>
        <w:numPr>
          <w:ilvl w:val="1"/>
          <w:numId w:val="14"/>
        </w:numPr>
        <w:spacing w:after="120"/>
        <w:contextualSpacing w:val="0"/>
        <w:rPr>
          <w:rFonts w:asciiTheme="minorHAnsi" w:hAnsiTheme="minorHAnsi"/>
          <w:sz w:val="24"/>
          <w:szCs w:val="24"/>
        </w:rPr>
      </w:pPr>
      <w:r w:rsidRPr="004925D4">
        <w:rPr>
          <w:rFonts w:asciiTheme="minorHAnsi" w:hAnsiTheme="minorHAnsi"/>
          <w:sz w:val="24"/>
          <w:szCs w:val="24"/>
        </w:rPr>
        <w:t>The PBAC consid</w:t>
      </w:r>
      <w:r w:rsidR="00884DAD" w:rsidRPr="004925D4">
        <w:rPr>
          <w:rFonts w:asciiTheme="minorHAnsi" w:hAnsiTheme="minorHAnsi"/>
          <w:sz w:val="24"/>
          <w:szCs w:val="24"/>
        </w:rPr>
        <w:t>ered that the claim of non-inferior</w:t>
      </w:r>
      <w:r w:rsidRPr="004925D4">
        <w:rPr>
          <w:rFonts w:asciiTheme="minorHAnsi" w:hAnsiTheme="minorHAnsi"/>
          <w:sz w:val="24"/>
          <w:szCs w:val="24"/>
        </w:rPr>
        <w:t xml:space="preserve"> comparative effectiveness </w:t>
      </w:r>
      <w:r w:rsidR="00884DAD" w:rsidRPr="004925D4">
        <w:rPr>
          <w:rFonts w:asciiTheme="minorHAnsi" w:hAnsiTheme="minorHAnsi"/>
          <w:sz w:val="24"/>
          <w:szCs w:val="24"/>
        </w:rPr>
        <w:t>and non-inferior comparative safety was reasonable.</w:t>
      </w:r>
    </w:p>
    <w:p w:rsidR="005D1C2D" w:rsidRPr="004925D4" w:rsidRDefault="005D1C2D" w:rsidP="00C354E2">
      <w:pPr>
        <w:pStyle w:val="Heading2"/>
        <w:keepLines/>
        <w:spacing w:before="240" w:after="120"/>
        <w:rPr>
          <w:rFonts w:asciiTheme="minorHAnsi" w:eastAsiaTheme="majorEastAsia" w:hAnsiTheme="minorHAnsi" w:cstheme="majorBidi"/>
          <w:sz w:val="28"/>
          <w:szCs w:val="28"/>
          <w:lang w:eastAsia="en-US"/>
        </w:rPr>
      </w:pPr>
      <w:r w:rsidRPr="004925D4">
        <w:rPr>
          <w:rFonts w:asciiTheme="minorHAnsi" w:eastAsiaTheme="majorEastAsia" w:hAnsiTheme="minorHAnsi" w:cstheme="majorBidi"/>
          <w:sz w:val="28"/>
          <w:szCs w:val="28"/>
          <w:lang w:eastAsia="en-US"/>
        </w:rPr>
        <w:t>Estimated PBS usage &amp; financial implications</w:t>
      </w:r>
    </w:p>
    <w:p w:rsidR="00C354E2" w:rsidRDefault="007C6884" w:rsidP="00C354E2">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925D4">
        <w:rPr>
          <w:rFonts w:asciiTheme="minorHAnsi" w:eastAsiaTheme="minorHAnsi" w:hAnsiTheme="minorHAnsi" w:cstheme="minorBidi"/>
          <w:snapToGrid/>
          <w:sz w:val="24"/>
          <w:szCs w:val="22"/>
        </w:rPr>
        <w:t xml:space="preserve">The submission stated that listing </w:t>
      </w:r>
      <w:proofErr w:type="spellStart"/>
      <w:r w:rsidRPr="004925D4">
        <w:rPr>
          <w:rFonts w:asciiTheme="minorHAnsi" w:eastAsiaTheme="minorHAnsi" w:hAnsiTheme="minorHAnsi" w:cstheme="minorBidi"/>
          <w:snapToGrid/>
          <w:sz w:val="24"/>
          <w:szCs w:val="22"/>
        </w:rPr>
        <w:t>Ogivri</w:t>
      </w:r>
      <w:proofErr w:type="spellEnd"/>
      <w:r w:rsidRPr="004925D4">
        <w:rPr>
          <w:rFonts w:asciiTheme="minorHAnsi" w:eastAsiaTheme="minorHAnsi" w:hAnsiTheme="minorHAnsi" w:cstheme="minorBidi"/>
          <w:snapToGrid/>
          <w:sz w:val="24"/>
          <w:szCs w:val="22"/>
        </w:rPr>
        <w:t xml:space="preserve"> would confer cost savings to the </w:t>
      </w:r>
      <w:proofErr w:type="gramStart"/>
      <w:r w:rsidRPr="004925D4">
        <w:rPr>
          <w:rFonts w:asciiTheme="minorHAnsi" w:eastAsiaTheme="minorHAnsi" w:hAnsiTheme="minorHAnsi" w:cstheme="minorBidi"/>
          <w:snapToGrid/>
          <w:sz w:val="24"/>
          <w:szCs w:val="22"/>
        </w:rPr>
        <w:t>PBS</w:t>
      </w:r>
      <w:proofErr w:type="gramEnd"/>
      <w:r w:rsidRPr="004925D4">
        <w:rPr>
          <w:rFonts w:asciiTheme="minorHAnsi" w:eastAsiaTheme="minorHAnsi" w:hAnsiTheme="minorHAnsi" w:cstheme="minorBidi"/>
          <w:snapToGrid/>
          <w:sz w:val="24"/>
          <w:szCs w:val="22"/>
        </w:rPr>
        <w:t xml:space="preserve"> as it would trigger a 25% </w:t>
      </w:r>
      <w:r w:rsidR="00006552">
        <w:rPr>
          <w:rFonts w:asciiTheme="minorHAnsi" w:eastAsiaTheme="minorHAnsi" w:hAnsiTheme="minorHAnsi" w:cstheme="minorBidi"/>
          <w:snapToGrid/>
          <w:sz w:val="24"/>
          <w:szCs w:val="22"/>
        </w:rPr>
        <w:t>New Brand S</w:t>
      </w:r>
      <w:r w:rsidR="00006552" w:rsidRPr="0060730C">
        <w:rPr>
          <w:rFonts w:asciiTheme="minorHAnsi" w:eastAsiaTheme="minorHAnsi" w:hAnsiTheme="minorHAnsi" w:cstheme="minorBidi"/>
          <w:snapToGrid/>
          <w:sz w:val="24"/>
          <w:szCs w:val="22"/>
        </w:rPr>
        <w:t xml:space="preserve">tatutory </w:t>
      </w:r>
      <w:r w:rsidR="00006552">
        <w:rPr>
          <w:rFonts w:asciiTheme="minorHAnsi" w:eastAsiaTheme="minorHAnsi" w:hAnsiTheme="minorHAnsi" w:cstheme="minorBidi"/>
          <w:snapToGrid/>
          <w:sz w:val="24"/>
          <w:szCs w:val="22"/>
        </w:rPr>
        <w:t>P</w:t>
      </w:r>
      <w:r w:rsidR="00006552" w:rsidRPr="0060730C">
        <w:rPr>
          <w:rFonts w:asciiTheme="minorHAnsi" w:eastAsiaTheme="minorHAnsi" w:hAnsiTheme="minorHAnsi" w:cstheme="minorBidi"/>
          <w:snapToGrid/>
          <w:sz w:val="24"/>
          <w:szCs w:val="22"/>
        </w:rPr>
        <w:t xml:space="preserve">rice </w:t>
      </w:r>
      <w:r w:rsidR="00006552">
        <w:rPr>
          <w:rFonts w:asciiTheme="minorHAnsi" w:eastAsiaTheme="minorHAnsi" w:hAnsiTheme="minorHAnsi" w:cstheme="minorBidi"/>
          <w:snapToGrid/>
          <w:sz w:val="24"/>
          <w:szCs w:val="22"/>
        </w:rPr>
        <w:t>R</w:t>
      </w:r>
      <w:r w:rsidR="00006552" w:rsidRPr="0060730C">
        <w:rPr>
          <w:rFonts w:asciiTheme="minorHAnsi" w:eastAsiaTheme="minorHAnsi" w:hAnsiTheme="minorHAnsi" w:cstheme="minorBidi"/>
          <w:snapToGrid/>
          <w:sz w:val="24"/>
          <w:szCs w:val="22"/>
        </w:rPr>
        <w:t xml:space="preserve">eduction </w:t>
      </w:r>
      <w:r w:rsidR="00006552" w:rsidRPr="004719A3">
        <w:rPr>
          <w:rFonts w:asciiTheme="minorHAnsi" w:eastAsiaTheme="minorHAnsi" w:hAnsiTheme="minorHAnsi" w:cstheme="minorBidi"/>
          <w:snapToGrid/>
          <w:sz w:val="24"/>
          <w:szCs w:val="22"/>
        </w:rPr>
        <w:t>under division 3A of Part VII of the National Health Act 1953</w:t>
      </w:r>
      <w:r w:rsidR="00006552">
        <w:rPr>
          <w:rFonts w:asciiTheme="minorHAnsi" w:eastAsiaTheme="minorHAnsi" w:hAnsiTheme="minorHAnsi" w:cstheme="minorBidi"/>
          <w:snapToGrid/>
          <w:sz w:val="24"/>
          <w:szCs w:val="22"/>
        </w:rPr>
        <w:t xml:space="preserve"> </w:t>
      </w:r>
      <w:r w:rsidRPr="004925D4">
        <w:rPr>
          <w:rFonts w:asciiTheme="minorHAnsi" w:eastAsiaTheme="minorHAnsi" w:hAnsiTheme="minorHAnsi" w:cstheme="minorBidi"/>
          <w:snapToGrid/>
          <w:sz w:val="24"/>
          <w:szCs w:val="22"/>
        </w:rPr>
        <w:t xml:space="preserve">to the ex-manufacturer price of </w:t>
      </w:r>
      <w:r w:rsidR="00BB099E" w:rsidRPr="004925D4">
        <w:rPr>
          <w:rFonts w:asciiTheme="minorHAnsi" w:eastAsiaTheme="minorHAnsi" w:hAnsiTheme="minorHAnsi" w:cstheme="minorBidi"/>
          <w:snapToGrid/>
          <w:sz w:val="24"/>
          <w:szCs w:val="22"/>
        </w:rPr>
        <w:t xml:space="preserve">Herceptin. </w:t>
      </w:r>
      <w:r w:rsidR="003A24B8" w:rsidRPr="004925D4">
        <w:rPr>
          <w:rFonts w:asciiTheme="minorHAnsi" w:eastAsiaTheme="minorHAnsi" w:hAnsiTheme="minorHAnsi" w:cstheme="minorBidi"/>
          <w:snapToGrid/>
          <w:sz w:val="24"/>
          <w:szCs w:val="22"/>
        </w:rPr>
        <w:t xml:space="preserve">The proposed listing </w:t>
      </w:r>
      <w:proofErr w:type="gramStart"/>
      <w:r w:rsidR="003A24B8" w:rsidRPr="004925D4">
        <w:rPr>
          <w:rFonts w:asciiTheme="minorHAnsi" w:eastAsiaTheme="minorHAnsi" w:hAnsiTheme="minorHAnsi" w:cstheme="minorBidi"/>
          <w:snapToGrid/>
          <w:sz w:val="24"/>
          <w:szCs w:val="22"/>
        </w:rPr>
        <w:t>is estimated</w:t>
      </w:r>
      <w:proofErr w:type="gramEnd"/>
      <w:r w:rsidR="003A24B8" w:rsidRPr="004925D4">
        <w:rPr>
          <w:rFonts w:asciiTheme="minorHAnsi" w:eastAsiaTheme="minorHAnsi" w:hAnsiTheme="minorHAnsi" w:cstheme="minorBidi"/>
          <w:snapToGrid/>
          <w:sz w:val="24"/>
          <w:szCs w:val="22"/>
        </w:rPr>
        <w:t xml:space="preserve"> to save the PBS/RPBS </w:t>
      </w:r>
      <w:r w:rsidR="001C12C8">
        <w:rPr>
          <w:rFonts w:asciiTheme="minorHAnsi" w:eastAsiaTheme="minorHAnsi" w:hAnsiTheme="minorHAnsi" w:cstheme="minorBidi"/>
          <w:snapToGrid/>
          <w:sz w:val="24"/>
          <w:szCs w:val="22"/>
        </w:rPr>
        <w:t>$30 to $60 million</w:t>
      </w:r>
      <w:r w:rsidR="003A24B8" w:rsidRPr="004925D4">
        <w:rPr>
          <w:rFonts w:asciiTheme="minorHAnsi" w:eastAsiaTheme="minorHAnsi" w:hAnsiTheme="minorHAnsi" w:cstheme="minorBidi"/>
          <w:snapToGrid/>
          <w:sz w:val="24"/>
          <w:szCs w:val="22"/>
        </w:rPr>
        <w:t xml:space="preserve"> in Year 1, increasing to </w:t>
      </w:r>
      <w:r w:rsidR="00022F9A">
        <w:rPr>
          <w:rFonts w:asciiTheme="minorHAnsi" w:eastAsiaTheme="minorHAnsi" w:hAnsiTheme="minorHAnsi" w:cstheme="minorBidi"/>
          <w:snapToGrid/>
          <w:sz w:val="24"/>
          <w:szCs w:val="22"/>
        </w:rPr>
        <w:t>$60 to $100 million</w:t>
      </w:r>
      <w:r w:rsidR="003A24B8" w:rsidRPr="004925D4">
        <w:rPr>
          <w:rFonts w:asciiTheme="minorHAnsi" w:eastAsiaTheme="minorHAnsi" w:hAnsiTheme="minorHAnsi" w:cstheme="minorBidi"/>
          <w:snapToGrid/>
          <w:sz w:val="24"/>
          <w:szCs w:val="22"/>
        </w:rPr>
        <w:t xml:space="preserve"> in Year 6</w:t>
      </w:r>
      <w:r w:rsidR="005B35E4" w:rsidRPr="004925D4">
        <w:rPr>
          <w:rFonts w:asciiTheme="minorHAnsi" w:eastAsiaTheme="minorHAnsi" w:hAnsiTheme="minorHAnsi" w:cstheme="minorBidi"/>
          <w:snapToGrid/>
          <w:sz w:val="24"/>
          <w:szCs w:val="22"/>
        </w:rPr>
        <w:t xml:space="preserve"> (</w:t>
      </w:r>
      <w:r w:rsidR="00371976" w:rsidRPr="004925D4">
        <w:rPr>
          <w:rFonts w:asciiTheme="minorHAnsi" w:eastAsiaTheme="minorHAnsi" w:hAnsiTheme="minorHAnsi" w:cstheme="minorBidi"/>
          <w:snapToGrid/>
          <w:sz w:val="24"/>
          <w:szCs w:val="22"/>
        </w:rPr>
        <w:t>see Table 2</w:t>
      </w:r>
      <w:r w:rsidR="005B35E4" w:rsidRPr="004925D4">
        <w:rPr>
          <w:rFonts w:asciiTheme="minorHAnsi" w:eastAsiaTheme="minorHAnsi" w:hAnsiTheme="minorHAnsi" w:cstheme="minorBidi"/>
          <w:snapToGrid/>
          <w:sz w:val="24"/>
          <w:szCs w:val="22"/>
        </w:rPr>
        <w:t xml:space="preserve"> below). </w:t>
      </w:r>
    </w:p>
    <w:p w:rsidR="00A309FA" w:rsidRPr="00C354E2" w:rsidRDefault="00C354E2" w:rsidP="00C354E2">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A309FA" w:rsidRPr="004925D4" w:rsidRDefault="00A309FA" w:rsidP="00E81E25">
      <w:pPr>
        <w:pStyle w:val="Caption"/>
        <w:keepNext/>
        <w:ind w:hanging="142"/>
        <w:rPr>
          <w:rFonts w:ascii="Arial Narrow" w:hAnsi="Arial Narrow"/>
          <w:szCs w:val="20"/>
        </w:rPr>
      </w:pPr>
      <w:bookmarkStart w:id="1" w:name="_Ref499799828"/>
      <w:bookmarkStart w:id="2" w:name="_Ref499808266"/>
      <w:bookmarkStart w:id="3" w:name="_Toc501101492"/>
      <w:bookmarkStart w:id="4" w:name="_Toc532413926"/>
      <w:bookmarkStart w:id="5" w:name="_Toc532544495"/>
      <w:r w:rsidRPr="004925D4">
        <w:rPr>
          <w:rFonts w:ascii="Arial Narrow" w:hAnsi="Arial Narrow"/>
          <w:szCs w:val="20"/>
        </w:rPr>
        <w:lastRenderedPageBreak/>
        <w:t xml:space="preserve">Table </w:t>
      </w:r>
      <w:bookmarkEnd w:id="1"/>
      <w:bookmarkEnd w:id="2"/>
      <w:r w:rsidR="00371976" w:rsidRPr="00655FEF">
        <w:rPr>
          <w:rFonts w:ascii="Arial Narrow" w:hAnsi="Arial Narrow"/>
          <w:szCs w:val="20"/>
        </w:rPr>
        <w:t>2:</w:t>
      </w:r>
      <w:r w:rsidRPr="004925D4">
        <w:rPr>
          <w:rFonts w:ascii="Arial Narrow" w:hAnsi="Arial Narrow"/>
          <w:szCs w:val="20"/>
        </w:rPr>
        <w:t xml:space="preserve"> Estimated net cost to the PBS/RPBS for </w:t>
      </w:r>
      <w:bookmarkEnd w:id="3"/>
      <w:proofErr w:type="spellStart"/>
      <w:r w:rsidRPr="004925D4">
        <w:rPr>
          <w:rFonts w:ascii="Arial Narrow" w:hAnsi="Arial Narrow"/>
          <w:szCs w:val="20"/>
        </w:rPr>
        <w:t>Ogivri</w:t>
      </w:r>
      <w:bookmarkStart w:id="6" w:name="_GoBack"/>
      <w:bookmarkEnd w:id="4"/>
      <w:bookmarkEnd w:id="5"/>
      <w:bookmarkEnd w:id="6"/>
      <w:proofErr w:type="spellEnd"/>
    </w:p>
    <w:tbl>
      <w:tblPr>
        <w:tblStyle w:val="Submissionstandard9"/>
        <w:tblpPr w:leftFromText="180" w:rightFromText="180" w:vertAnchor="text" w:horzAnchor="margin" w:tblpX="-44" w:tblpY="33"/>
        <w:tblW w:w="5000" w:type="pct"/>
        <w:shd w:val="clear" w:color="auto" w:fill="FFFFFF" w:themeFill="background1"/>
        <w:tblLook w:val="04A0" w:firstRow="1" w:lastRow="0" w:firstColumn="1" w:lastColumn="0" w:noHBand="0" w:noVBand="1"/>
        <w:tblCaption w:val="Estimated net cost to the PBS/RPBS for Ogivri"/>
      </w:tblPr>
      <w:tblGrid>
        <w:gridCol w:w="1283"/>
        <w:gridCol w:w="1283"/>
        <w:gridCol w:w="1283"/>
        <w:gridCol w:w="1283"/>
        <w:gridCol w:w="1283"/>
        <w:gridCol w:w="1314"/>
        <w:gridCol w:w="1287"/>
      </w:tblGrid>
      <w:tr w:rsidR="00371976" w:rsidRPr="004925D4" w:rsidTr="008165F6">
        <w:trPr>
          <w:cnfStyle w:val="100000000000" w:firstRow="1" w:lastRow="0" w:firstColumn="0" w:lastColumn="0" w:oddVBand="0" w:evenVBand="0" w:oddHBand="0" w:evenHBand="0" w:firstRowFirstColumn="0" w:firstRowLastColumn="0" w:lastRowFirstColumn="0" w:lastRowLastColumn="0"/>
          <w:trHeight w:val="285"/>
          <w:tblHeader/>
        </w:trPr>
        <w:tc>
          <w:tcPr>
            <w:tcW w:w="714" w:type="pct"/>
            <w:shd w:val="clear" w:color="auto" w:fill="auto"/>
            <w:noWrap/>
            <w:hideMark/>
          </w:tcPr>
          <w:p w:rsidR="00A309FA" w:rsidRPr="00655FEF" w:rsidRDefault="00A309FA" w:rsidP="00800917">
            <w:pPr>
              <w:keepNext/>
              <w:rPr>
                <w:rFonts w:ascii="Arial Narrow" w:hAnsi="Arial Narrow"/>
                <w:sz w:val="20"/>
                <w:szCs w:val="20"/>
                <w:lang w:val="en-AU"/>
              </w:rPr>
            </w:pPr>
          </w:p>
        </w:tc>
        <w:tc>
          <w:tcPr>
            <w:tcW w:w="714" w:type="pct"/>
            <w:shd w:val="clear" w:color="auto" w:fill="auto"/>
            <w:noWrap/>
            <w:hideMark/>
          </w:tcPr>
          <w:p w:rsidR="00A309FA" w:rsidRPr="00655FEF" w:rsidRDefault="00A309FA" w:rsidP="00800917">
            <w:pPr>
              <w:keepNext/>
              <w:jc w:val="center"/>
              <w:rPr>
                <w:rFonts w:ascii="Arial Narrow" w:hAnsi="Arial Narrow"/>
                <w:sz w:val="20"/>
                <w:szCs w:val="20"/>
                <w:lang w:val="en-AU"/>
              </w:rPr>
            </w:pPr>
            <w:r w:rsidRPr="004925D4">
              <w:rPr>
                <w:rFonts w:ascii="Arial Narrow" w:hAnsi="Arial Narrow"/>
                <w:sz w:val="20"/>
                <w:szCs w:val="20"/>
              </w:rPr>
              <w:t>2019</w:t>
            </w:r>
          </w:p>
        </w:tc>
        <w:tc>
          <w:tcPr>
            <w:tcW w:w="714" w:type="pct"/>
            <w:shd w:val="clear" w:color="auto" w:fill="auto"/>
            <w:noWrap/>
            <w:hideMark/>
          </w:tcPr>
          <w:p w:rsidR="00A309FA" w:rsidRPr="00655FEF" w:rsidRDefault="00A309FA" w:rsidP="00800917">
            <w:pPr>
              <w:keepNext/>
              <w:jc w:val="center"/>
              <w:rPr>
                <w:rFonts w:ascii="Arial Narrow" w:hAnsi="Arial Narrow"/>
                <w:sz w:val="20"/>
                <w:szCs w:val="20"/>
                <w:lang w:val="en-AU"/>
              </w:rPr>
            </w:pPr>
            <w:r w:rsidRPr="004925D4">
              <w:rPr>
                <w:rFonts w:ascii="Arial Narrow" w:hAnsi="Arial Narrow"/>
                <w:sz w:val="20"/>
                <w:szCs w:val="20"/>
              </w:rPr>
              <w:t>2020</w:t>
            </w:r>
          </w:p>
        </w:tc>
        <w:tc>
          <w:tcPr>
            <w:tcW w:w="714" w:type="pct"/>
            <w:shd w:val="clear" w:color="auto" w:fill="auto"/>
            <w:noWrap/>
            <w:hideMark/>
          </w:tcPr>
          <w:p w:rsidR="00A309FA" w:rsidRPr="00655FEF" w:rsidRDefault="00A309FA" w:rsidP="00800917">
            <w:pPr>
              <w:keepNext/>
              <w:jc w:val="center"/>
              <w:rPr>
                <w:rFonts w:ascii="Arial Narrow" w:hAnsi="Arial Narrow"/>
                <w:sz w:val="20"/>
                <w:szCs w:val="20"/>
                <w:lang w:val="en-AU"/>
              </w:rPr>
            </w:pPr>
            <w:r w:rsidRPr="004925D4">
              <w:rPr>
                <w:rFonts w:ascii="Arial Narrow" w:hAnsi="Arial Narrow"/>
                <w:sz w:val="20"/>
                <w:szCs w:val="20"/>
              </w:rPr>
              <w:t>2021</w:t>
            </w:r>
          </w:p>
        </w:tc>
        <w:tc>
          <w:tcPr>
            <w:tcW w:w="714" w:type="pct"/>
            <w:shd w:val="clear" w:color="auto" w:fill="auto"/>
            <w:noWrap/>
            <w:hideMark/>
          </w:tcPr>
          <w:p w:rsidR="00A309FA" w:rsidRPr="00655FEF" w:rsidRDefault="00A309FA" w:rsidP="00800917">
            <w:pPr>
              <w:keepNext/>
              <w:jc w:val="center"/>
              <w:rPr>
                <w:rFonts w:ascii="Arial Narrow" w:hAnsi="Arial Narrow"/>
                <w:sz w:val="20"/>
                <w:szCs w:val="20"/>
                <w:lang w:val="en-AU"/>
              </w:rPr>
            </w:pPr>
            <w:r w:rsidRPr="004925D4">
              <w:rPr>
                <w:rFonts w:ascii="Arial Narrow" w:hAnsi="Arial Narrow"/>
                <w:sz w:val="20"/>
                <w:szCs w:val="20"/>
              </w:rPr>
              <w:t>2022</w:t>
            </w:r>
          </w:p>
        </w:tc>
        <w:tc>
          <w:tcPr>
            <w:tcW w:w="714" w:type="pct"/>
            <w:shd w:val="clear" w:color="auto" w:fill="auto"/>
            <w:noWrap/>
            <w:hideMark/>
          </w:tcPr>
          <w:p w:rsidR="00A309FA" w:rsidRPr="00655FEF" w:rsidRDefault="00A309FA" w:rsidP="00800917">
            <w:pPr>
              <w:keepNext/>
              <w:jc w:val="center"/>
              <w:rPr>
                <w:rFonts w:ascii="Arial Narrow" w:hAnsi="Arial Narrow"/>
                <w:sz w:val="20"/>
                <w:szCs w:val="20"/>
                <w:lang w:val="en-AU"/>
              </w:rPr>
            </w:pPr>
            <w:r w:rsidRPr="004925D4">
              <w:rPr>
                <w:rFonts w:ascii="Arial Narrow" w:hAnsi="Arial Narrow"/>
                <w:sz w:val="20"/>
                <w:szCs w:val="20"/>
              </w:rPr>
              <w:t>2023</w:t>
            </w:r>
          </w:p>
        </w:tc>
        <w:tc>
          <w:tcPr>
            <w:tcW w:w="714" w:type="pct"/>
            <w:shd w:val="clear" w:color="auto" w:fill="auto"/>
            <w:noWrap/>
            <w:hideMark/>
          </w:tcPr>
          <w:p w:rsidR="00A309FA" w:rsidRPr="00655FEF" w:rsidRDefault="00A309FA" w:rsidP="00800917">
            <w:pPr>
              <w:keepNext/>
              <w:jc w:val="center"/>
              <w:rPr>
                <w:rFonts w:ascii="Arial Narrow" w:hAnsi="Arial Narrow"/>
                <w:sz w:val="20"/>
                <w:szCs w:val="20"/>
                <w:lang w:val="en-AU"/>
              </w:rPr>
            </w:pPr>
            <w:r w:rsidRPr="004925D4">
              <w:rPr>
                <w:rFonts w:ascii="Arial Narrow" w:hAnsi="Arial Narrow"/>
                <w:sz w:val="20"/>
                <w:szCs w:val="20"/>
              </w:rPr>
              <w:t>2024</w:t>
            </w:r>
          </w:p>
        </w:tc>
      </w:tr>
      <w:tr w:rsidR="00A309FA" w:rsidRPr="004925D4" w:rsidTr="006B646F">
        <w:trPr>
          <w:trHeight w:val="285"/>
        </w:trPr>
        <w:tc>
          <w:tcPr>
            <w:tcW w:w="5000" w:type="pct"/>
            <w:gridSpan w:val="7"/>
            <w:noWrap/>
            <w:hideMark/>
          </w:tcPr>
          <w:p w:rsidR="00A309FA" w:rsidRPr="00655FEF" w:rsidRDefault="00A309FA" w:rsidP="00800917">
            <w:pPr>
              <w:keepNext/>
              <w:rPr>
                <w:b/>
                <w:sz w:val="20"/>
                <w:szCs w:val="20"/>
                <w:lang w:val="en-AU"/>
              </w:rPr>
            </w:pPr>
            <w:r w:rsidRPr="004925D4">
              <w:rPr>
                <w:b/>
                <w:sz w:val="20"/>
                <w:szCs w:val="20"/>
              </w:rPr>
              <w:t xml:space="preserve">Projected net cost of new listing: </w:t>
            </w:r>
            <w:proofErr w:type="spellStart"/>
            <w:r w:rsidRPr="004925D4">
              <w:rPr>
                <w:b/>
                <w:sz w:val="20"/>
                <w:szCs w:val="20"/>
              </w:rPr>
              <w:t>Ogivri</w:t>
            </w:r>
            <w:proofErr w:type="spellEnd"/>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RPBS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b/>
                <w:sz w:val="20"/>
                <w:szCs w:val="20"/>
                <w:lang w:val="en-AU"/>
              </w:rPr>
            </w:pPr>
            <w:r w:rsidRPr="004925D4">
              <w:rPr>
                <w:sz w:val="20"/>
                <w:szCs w:val="20"/>
              </w:rPr>
              <w:t>to PBS/RPBS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5000" w:type="pct"/>
            <w:gridSpan w:val="7"/>
            <w:noWrap/>
            <w:hideMark/>
          </w:tcPr>
          <w:p w:rsidR="00A309FA" w:rsidRPr="00655FEF" w:rsidRDefault="00A309FA" w:rsidP="00800917">
            <w:pPr>
              <w:keepNext/>
              <w:rPr>
                <w:b/>
                <w:sz w:val="20"/>
                <w:szCs w:val="20"/>
                <w:lang w:val="en-AU"/>
              </w:rPr>
            </w:pPr>
            <w:r w:rsidRPr="004925D4">
              <w:rPr>
                <w:b/>
                <w:sz w:val="20"/>
                <w:szCs w:val="20"/>
              </w:rPr>
              <w:t>Projected net cost of displaced medicines: Herceptin</w:t>
            </w:r>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RPBS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b/>
                <w:sz w:val="20"/>
                <w:szCs w:val="20"/>
                <w:lang w:val="en-AU"/>
              </w:rPr>
            </w:pPr>
            <w:r w:rsidRPr="004925D4">
              <w:rPr>
                <w:sz w:val="20"/>
                <w:szCs w:val="20"/>
              </w:rPr>
              <w:t>to PBS/RPBS</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5000" w:type="pct"/>
            <w:gridSpan w:val="7"/>
            <w:noWrap/>
            <w:hideMark/>
          </w:tcPr>
          <w:p w:rsidR="00A309FA" w:rsidRPr="00655FEF" w:rsidRDefault="00A309FA" w:rsidP="00800917">
            <w:pPr>
              <w:keepNext/>
              <w:rPr>
                <w:b/>
                <w:sz w:val="20"/>
                <w:szCs w:val="20"/>
                <w:lang w:val="en-AU"/>
              </w:rPr>
            </w:pPr>
            <w:r w:rsidRPr="004925D4">
              <w:rPr>
                <w:b/>
                <w:sz w:val="20"/>
                <w:szCs w:val="20"/>
              </w:rPr>
              <w:t>Net cost to the PBS/RPBS</w:t>
            </w:r>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RPBS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b/>
                <w:sz w:val="20"/>
                <w:szCs w:val="20"/>
                <w:lang w:val="en-AU"/>
              </w:rPr>
            </w:pPr>
            <w:r w:rsidRPr="004925D4">
              <w:rPr>
                <w:sz w:val="20"/>
                <w:szCs w:val="20"/>
              </w:rPr>
              <w:t>to PBS/RPBS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5000" w:type="pct"/>
            <w:gridSpan w:val="7"/>
            <w:noWrap/>
            <w:hideMark/>
          </w:tcPr>
          <w:p w:rsidR="00A309FA" w:rsidRPr="00655FEF" w:rsidRDefault="00A309FA" w:rsidP="00800917">
            <w:pPr>
              <w:keepNext/>
              <w:rPr>
                <w:b/>
                <w:sz w:val="20"/>
                <w:szCs w:val="20"/>
                <w:lang w:val="en-AU"/>
              </w:rPr>
            </w:pPr>
            <w:r w:rsidRPr="004925D4">
              <w:rPr>
                <w:b/>
                <w:sz w:val="20"/>
                <w:szCs w:val="20"/>
              </w:rPr>
              <w:t xml:space="preserve">Projected net cost of Herceptin not replaced with </w:t>
            </w:r>
            <w:proofErr w:type="spellStart"/>
            <w:r w:rsidRPr="004925D4">
              <w:rPr>
                <w:b/>
                <w:sz w:val="20"/>
                <w:szCs w:val="20"/>
              </w:rPr>
              <w:t>Ogivri</w:t>
            </w:r>
            <w:proofErr w:type="spellEnd"/>
            <w:r w:rsidRPr="004925D4">
              <w:rPr>
                <w:b/>
                <w:sz w:val="20"/>
                <w:szCs w:val="20"/>
              </w:rPr>
              <w:t xml:space="preserve"> (after 25% price cut)</w:t>
            </w:r>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RPBS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b/>
                <w:sz w:val="20"/>
                <w:szCs w:val="20"/>
                <w:lang w:val="en-AU"/>
              </w:rPr>
            </w:pPr>
            <w:r w:rsidRPr="004925D4">
              <w:rPr>
                <w:sz w:val="20"/>
                <w:szCs w:val="20"/>
              </w:rPr>
              <w:t>to PBS/RPBS</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5000" w:type="pct"/>
            <w:gridSpan w:val="7"/>
            <w:noWrap/>
            <w:hideMark/>
          </w:tcPr>
          <w:p w:rsidR="00A309FA" w:rsidRPr="00655FEF" w:rsidRDefault="00A309FA" w:rsidP="00800917">
            <w:pPr>
              <w:keepNext/>
              <w:rPr>
                <w:b/>
                <w:sz w:val="20"/>
                <w:szCs w:val="20"/>
                <w:lang w:val="en-AU"/>
              </w:rPr>
            </w:pPr>
            <w:r w:rsidRPr="004925D4">
              <w:rPr>
                <w:b/>
                <w:sz w:val="20"/>
                <w:szCs w:val="20"/>
              </w:rPr>
              <w:t>Overall net cost to the PBS/RPBS</w:t>
            </w:r>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sz w:val="20"/>
                <w:szCs w:val="20"/>
                <w:lang w:val="en-AU"/>
              </w:rPr>
            </w:pPr>
            <w:r w:rsidRPr="004925D4">
              <w:rPr>
                <w:sz w:val="20"/>
                <w:szCs w:val="20"/>
              </w:rPr>
              <w:t>to RPBS</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sz w:val="20"/>
                <w:szCs w:val="20"/>
                <w:lang w:val="en-AU"/>
              </w:rPr>
            </w:pPr>
            <w:r w:rsidRPr="004925D4">
              <w:rPr>
                <w:sz w:val="20"/>
                <w:szCs w:val="20"/>
              </w:rPr>
              <w:t>-$</w:t>
            </w:r>
            <w:r w:rsidR="003A5E1F">
              <w:rPr>
                <w:noProof/>
                <w:color w:val="000000"/>
                <w:sz w:val="20"/>
                <w:szCs w:val="20"/>
                <w:highlight w:val="black"/>
              </w:rPr>
              <w:t>''''''''''''''''''''</w:t>
            </w:r>
          </w:p>
        </w:tc>
      </w:tr>
      <w:tr w:rsidR="00A309FA" w:rsidRPr="004925D4" w:rsidTr="006B646F">
        <w:trPr>
          <w:trHeight w:val="285"/>
        </w:trPr>
        <w:tc>
          <w:tcPr>
            <w:tcW w:w="714" w:type="pct"/>
            <w:noWrap/>
            <w:hideMark/>
          </w:tcPr>
          <w:p w:rsidR="00A309FA" w:rsidRPr="00655FEF" w:rsidRDefault="00A309FA" w:rsidP="00800917">
            <w:pPr>
              <w:keepNext/>
              <w:rPr>
                <w:b/>
                <w:sz w:val="20"/>
                <w:szCs w:val="20"/>
                <w:lang w:val="en-AU"/>
              </w:rPr>
            </w:pPr>
            <w:r w:rsidRPr="004925D4">
              <w:rPr>
                <w:sz w:val="20"/>
                <w:szCs w:val="20"/>
              </w:rPr>
              <w:t>to PBS/RPBS</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c>
          <w:tcPr>
            <w:tcW w:w="714" w:type="pct"/>
            <w:noWrap/>
            <w:hideMark/>
          </w:tcPr>
          <w:p w:rsidR="00A309FA" w:rsidRPr="00655FEF" w:rsidRDefault="00A309FA" w:rsidP="00800917">
            <w:pPr>
              <w:keepNext/>
              <w:jc w:val="center"/>
              <w:rPr>
                <w:b/>
                <w:sz w:val="20"/>
                <w:szCs w:val="20"/>
                <w:lang w:val="en-AU"/>
              </w:rPr>
            </w:pPr>
            <w:r w:rsidRPr="004925D4">
              <w:rPr>
                <w:sz w:val="20"/>
                <w:szCs w:val="20"/>
              </w:rPr>
              <w:t>-$</w:t>
            </w:r>
            <w:r w:rsidR="003A5E1F">
              <w:rPr>
                <w:noProof/>
                <w:color w:val="000000"/>
                <w:sz w:val="20"/>
                <w:szCs w:val="20"/>
                <w:highlight w:val="black"/>
              </w:rPr>
              <w:t>'''''''''''''''''''''''''''''</w:t>
            </w:r>
          </w:p>
        </w:tc>
      </w:tr>
    </w:tbl>
    <w:p w:rsidR="00A309FA" w:rsidRPr="004925D4" w:rsidRDefault="00A309FA" w:rsidP="00856D84">
      <w:pPr>
        <w:pStyle w:val="CaptionFootnote"/>
        <w:rPr>
          <w:rFonts w:ascii="Arial Narrow" w:hAnsi="Arial Narrow"/>
          <w:sz w:val="18"/>
          <w:szCs w:val="18"/>
        </w:rPr>
      </w:pPr>
      <w:r w:rsidRPr="004925D4">
        <w:rPr>
          <w:rFonts w:ascii="Arial Narrow" w:hAnsi="Arial Narrow"/>
          <w:sz w:val="18"/>
          <w:szCs w:val="18"/>
        </w:rPr>
        <w:t xml:space="preserve">Source: </w:t>
      </w:r>
      <w:r w:rsidR="00371976" w:rsidRPr="004925D4">
        <w:rPr>
          <w:rFonts w:ascii="Arial Narrow" w:hAnsi="Arial Narrow"/>
          <w:sz w:val="18"/>
          <w:szCs w:val="18"/>
        </w:rPr>
        <w:t>Minor submission, page 76</w:t>
      </w:r>
    </w:p>
    <w:p w:rsidR="003A24B8" w:rsidRPr="004925D4" w:rsidRDefault="003A24B8" w:rsidP="009D0A6B">
      <w:pPr>
        <w:pStyle w:val="ListParagraph"/>
        <w:widowControl/>
        <w:numPr>
          <w:ilvl w:val="1"/>
          <w:numId w:val="14"/>
        </w:numPr>
        <w:spacing w:before="120" w:after="120"/>
        <w:contextualSpacing w:val="0"/>
        <w:rPr>
          <w:rFonts w:ascii="Arial Narrow" w:hAnsi="Arial Narrow"/>
          <w:b/>
          <w:sz w:val="20"/>
        </w:rPr>
      </w:pPr>
      <w:r w:rsidRPr="004925D4">
        <w:rPr>
          <w:rFonts w:asciiTheme="minorHAnsi" w:eastAsiaTheme="minorHAnsi" w:hAnsiTheme="minorHAnsi" w:cstheme="minorBidi"/>
          <w:snapToGrid/>
          <w:sz w:val="24"/>
          <w:szCs w:val="22"/>
        </w:rPr>
        <w:t xml:space="preserve">The sponsor </w:t>
      </w:r>
      <w:r w:rsidR="00006552">
        <w:rPr>
          <w:rFonts w:asciiTheme="minorHAnsi" w:eastAsiaTheme="minorHAnsi" w:hAnsiTheme="minorHAnsi" w:cstheme="minorBidi"/>
          <w:snapToGrid/>
          <w:sz w:val="24"/>
          <w:szCs w:val="22"/>
        </w:rPr>
        <w:t>stated</w:t>
      </w:r>
      <w:r w:rsidR="00006552" w:rsidRPr="004925D4">
        <w:rPr>
          <w:rFonts w:asciiTheme="minorHAnsi" w:eastAsiaTheme="minorHAnsi" w:hAnsiTheme="minorHAnsi" w:cstheme="minorBidi"/>
          <w:snapToGrid/>
          <w:sz w:val="24"/>
          <w:szCs w:val="22"/>
        </w:rPr>
        <w:t xml:space="preserve"> </w:t>
      </w:r>
      <w:r w:rsidRPr="004925D4">
        <w:rPr>
          <w:rFonts w:asciiTheme="minorHAnsi" w:eastAsiaTheme="minorHAnsi" w:hAnsiTheme="minorHAnsi" w:cstheme="minorBidi"/>
          <w:snapToGrid/>
          <w:sz w:val="24"/>
          <w:szCs w:val="22"/>
        </w:rPr>
        <w:t xml:space="preserve">that the Special Pricing Arrangement (SPA) that currently applies to Herceptin is likely to change the financial estimates presented in the submission.  </w:t>
      </w:r>
    </w:p>
    <w:p w:rsidR="00813551" w:rsidRPr="004925D4" w:rsidRDefault="00813551" w:rsidP="009D0A6B">
      <w:pPr>
        <w:pStyle w:val="PBACHeading1"/>
        <w:numPr>
          <w:ilvl w:val="0"/>
          <w:numId w:val="0"/>
        </w:numPr>
        <w:spacing w:before="120" w:after="120"/>
        <w:ind w:left="720"/>
        <w:outlineLvl w:val="9"/>
        <w:rPr>
          <w:rFonts w:asciiTheme="minorHAnsi" w:hAnsiTheme="minorHAnsi" w:cstheme="minorHAnsi"/>
          <w:b w:val="0"/>
          <w:i/>
          <w:sz w:val="24"/>
          <w:szCs w:val="24"/>
        </w:rPr>
      </w:pPr>
      <w:r w:rsidRPr="004925D4">
        <w:rPr>
          <w:rFonts w:asciiTheme="minorHAnsi" w:hAnsiTheme="minorHAnsi" w:cstheme="minorHAnsi"/>
          <w:b w:val="0"/>
          <w:i/>
          <w:sz w:val="24"/>
          <w:szCs w:val="24"/>
        </w:rPr>
        <w:t>For more detail on PBAC’s view, see section 5 PBAC outcome.</w:t>
      </w:r>
    </w:p>
    <w:p w:rsidR="00813551" w:rsidRPr="004925D4" w:rsidRDefault="00813551" w:rsidP="009D0A6B">
      <w:pPr>
        <w:numPr>
          <w:ilvl w:val="0"/>
          <w:numId w:val="5"/>
        </w:numPr>
        <w:spacing w:before="120" w:after="120"/>
        <w:outlineLvl w:val="0"/>
        <w:rPr>
          <w:rFonts w:asciiTheme="minorHAnsi" w:hAnsiTheme="minorHAnsi" w:cstheme="minorHAnsi"/>
          <w:b/>
          <w:bCs/>
          <w:sz w:val="32"/>
        </w:rPr>
      </w:pPr>
      <w:r w:rsidRPr="004925D4">
        <w:rPr>
          <w:rFonts w:asciiTheme="minorHAnsi" w:hAnsiTheme="minorHAnsi" w:cstheme="minorHAnsi"/>
          <w:b/>
          <w:bCs/>
          <w:sz w:val="32"/>
        </w:rPr>
        <w:t>PBAC Outcome</w:t>
      </w:r>
    </w:p>
    <w:p w:rsidR="00013BDF" w:rsidRPr="00655FEF" w:rsidRDefault="00013BDF" w:rsidP="009D0A6B">
      <w:pPr>
        <w:numPr>
          <w:ilvl w:val="1"/>
          <w:numId w:val="5"/>
        </w:numPr>
        <w:spacing w:before="120" w:after="120"/>
        <w:jc w:val="both"/>
        <w:rPr>
          <w:rFonts w:asciiTheme="minorHAnsi" w:hAnsiTheme="minorHAnsi" w:cstheme="minorHAnsi"/>
          <w:bCs/>
        </w:rPr>
      </w:pPr>
      <w:r w:rsidRPr="00655FEF">
        <w:rPr>
          <w:rFonts w:asciiTheme="minorHAnsi" w:hAnsiTheme="minorHAnsi" w:cstheme="minorHAnsi"/>
          <w:bCs/>
        </w:rPr>
        <w:t xml:space="preserve">The PBAC recommended the listing of </w:t>
      </w:r>
      <w:proofErr w:type="spellStart"/>
      <w:r w:rsidRPr="00655FEF">
        <w:rPr>
          <w:rFonts w:asciiTheme="minorHAnsi" w:hAnsiTheme="minorHAnsi" w:cstheme="minorHAnsi"/>
          <w:bCs/>
        </w:rPr>
        <w:t>trastuzumab</w:t>
      </w:r>
      <w:proofErr w:type="spellEnd"/>
      <w:r w:rsidRPr="00655FEF">
        <w:rPr>
          <w:rFonts w:asciiTheme="minorHAnsi" w:hAnsiTheme="minorHAnsi" w:cstheme="minorHAnsi"/>
          <w:bCs/>
        </w:rPr>
        <w:t xml:space="preserve"> (</w:t>
      </w:r>
      <w:proofErr w:type="spellStart"/>
      <w:r w:rsidRPr="00655FEF">
        <w:rPr>
          <w:rFonts w:asciiTheme="minorHAnsi" w:hAnsiTheme="minorHAnsi" w:cstheme="minorHAnsi"/>
          <w:bCs/>
        </w:rPr>
        <w:t>Ogivri</w:t>
      </w:r>
      <w:proofErr w:type="spellEnd"/>
      <w:r w:rsidRPr="00655FEF">
        <w:rPr>
          <w:rFonts w:asciiTheme="minorHAnsi" w:hAnsiTheme="minorHAnsi" w:cstheme="minorHAnsi"/>
          <w:bCs/>
        </w:rPr>
        <w:t xml:space="preserve">) as a </w:t>
      </w:r>
      <w:r w:rsidR="004925D4">
        <w:rPr>
          <w:rFonts w:asciiTheme="minorHAnsi" w:hAnsiTheme="minorHAnsi" w:cstheme="minorHAnsi"/>
          <w:bCs/>
        </w:rPr>
        <w:t>biosimilar</w:t>
      </w:r>
      <w:r w:rsidRPr="00655FEF">
        <w:rPr>
          <w:rFonts w:asciiTheme="minorHAnsi" w:hAnsiTheme="minorHAnsi" w:cstheme="minorHAnsi"/>
          <w:bCs/>
        </w:rPr>
        <w:t xml:space="preserve"> of </w:t>
      </w:r>
      <w:proofErr w:type="spellStart"/>
      <w:r w:rsidRPr="00655FEF">
        <w:rPr>
          <w:rFonts w:asciiTheme="minorHAnsi" w:hAnsiTheme="minorHAnsi" w:cstheme="minorHAnsi"/>
          <w:bCs/>
        </w:rPr>
        <w:t>trastuzumab</w:t>
      </w:r>
      <w:proofErr w:type="spellEnd"/>
      <w:r w:rsidRPr="00655FEF">
        <w:rPr>
          <w:rFonts w:asciiTheme="minorHAnsi" w:hAnsiTheme="minorHAnsi" w:cstheme="minorHAnsi"/>
          <w:bCs/>
        </w:rPr>
        <w:t xml:space="preserve"> (Herceptin)</w:t>
      </w:r>
      <w:r w:rsidR="00032B26" w:rsidRPr="00655FEF">
        <w:rPr>
          <w:rFonts w:asciiTheme="minorHAnsi" w:hAnsiTheme="minorHAnsi" w:cstheme="minorHAnsi"/>
          <w:bCs/>
        </w:rPr>
        <w:t xml:space="preserve"> for all of the indications for which Herceptin is PBS-listed. </w:t>
      </w:r>
    </w:p>
    <w:p w:rsidR="009E61D8" w:rsidRPr="00655FEF" w:rsidRDefault="00032B26" w:rsidP="009D0A6B">
      <w:pPr>
        <w:numPr>
          <w:ilvl w:val="1"/>
          <w:numId w:val="5"/>
        </w:numPr>
        <w:spacing w:before="120" w:after="120"/>
        <w:jc w:val="both"/>
        <w:rPr>
          <w:rFonts w:asciiTheme="minorHAnsi" w:hAnsiTheme="minorHAnsi" w:cstheme="minorHAnsi"/>
          <w:bCs/>
        </w:rPr>
      </w:pPr>
      <w:r w:rsidRPr="00655FEF">
        <w:rPr>
          <w:rFonts w:asciiTheme="minorHAnsi" w:hAnsiTheme="minorHAnsi" w:cstheme="minorHAnsi"/>
          <w:bCs/>
        </w:rPr>
        <w:t xml:space="preserve">The </w:t>
      </w:r>
      <w:r w:rsidR="00433D6E" w:rsidRPr="00655FEF">
        <w:rPr>
          <w:rFonts w:asciiTheme="minorHAnsi" w:hAnsiTheme="minorHAnsi" w:cstheme="minorHAnsi"/>
          <w:bCs/>
        </w:rPr>
        <w:t>PBAC noted the TGA</w:t>
      </w:r>
      <w:r w:rsidRPr="00655FEF">
        <w:rPr>
          <w:rFonts w:asciiTheme="minorHAnsi" w:hAnsiTheme="minorHAnsi" w:cstheme="minorHAnsi"/>
          <w:bCs/>
        </w:rPr>
        <w:t xml:space="preserve"> was satisfied that the two clinical equivalence studies presented</w:t>
      </w:r>
      <w:r w:rsidR="00884DAD" w:rsidRPr="00655FEF">
        <w:rPr>
          <w:rFonts w:asciiTheme="minorHAnsi" w:hAnsiTheme="minorHAnsi" w:cstheme="minorHAnsi"/>
          <w:bCs/>
        </w:rPr>
        <w:t xml:space="preserve"> in the submission </w:t>
      </w:r>
      <w:r w:rsidRPr="00655FEF">
        <w:rPr>
          <w:rFonts w:asciiTheme="minorHAnsi" w:hAnsiTheme="minorHAnsi" w:cstheme="minorHAnsi"/>
          <w:bCs/>
        </w:rPr>
        <w:t xml:space="preserve">demonstrated clinical equivalence for subjects with </w:t>
      </w:r>
      <w:r w:rsidRPr="004925D4">
        <w:rPr>
          <w:rFonts w:asciiTheme="minorHAnsi" w:eastAsiaTheme="minorHAnsi" w:hAnsiTheme="minorHAnsi" w:cstheme="minorBidi"/>
          <w:szCs w:val="22"/>
        </w:rPr>
        <w:t xml:space="preserve">early breast cancer, locally advanced breast cancer, metastatic breast cancer, and advanced gastric cancer. The PBAC also noted that the safety data from the trials did not show </w:t>
      </w:r>
      <w:r w:rsidR="00B628A6" w:rsidRPr="004925D4">
        <w:rPr>
          <w:rFonts w:asciiTheme="minorHAnsi" w:eastAsiaTheme="minorHAnsi" w:hAnsiTheme="minorHAnsi" w:cstheme="minorBidi"/>
          <w:szCs w:val="22"/>
        </w:rPr>
        <w:t>clinically</w:t>
      </w:r>
      <w:r w:rsidRPr="004925D4">
        <w:rPr>
          <w:rFonts w:asciiTheme="minorHAnsi" w:eastAsiaTheme="minorHAnsi" w:hAnsiTheme="minorHAnsi" w:cstheme="minorBidi"/>
          <w:szCs w:val="22"/>
        </w:rPr>
        <w:t xml:space="preserve"> significant differences in any of the safety outcomes assessed.</w:t>
      </w:r>
    </w:p>
    <w:p w:rsidR="001F72BE" w:rsidRPr="00655FEF" w:rsidRDefault="00D93C9E" w:rsidP="009D0A6B">
      <w:pPr>
        <w:numPr>
          <w:ilvl w:val="1"/>
          <w:numId w:val="5"/>
        </w:numPr>
        <w:spacing w:before="120" w:after="120"/>
        <w:jc w:val="both"/>
        <w:rPr>
          <w:rFonts w:asciiTheme="minorHAnsi" w:hAnsiTheme="minorHAnsi" w:cstheme="minorHAnsi"/>
          <w:bCs/>
        </w:rPr>
      </w:pPr>
      <w:r w:rsidRPr="004925D4">
        <w:rPr>
          <w:rFonts w:asciiTheme="minorHAnsi" w:eastAsiaTheme="minorHAnsi" w:hAnsiTheme="minorHAnsi" w:cstheme="minorBidi"/>
          <w:szCs w:val="22"/>
        </w:rPr>
        <w:t xml:space="preserve">The PBAC advised that there would not be clinical or other concerns about appropriate use of medicines if a policy decision </w:t>
      </w:r>
      <w:proofErr w:type="gramStart"/>
      <w:r w:rsidRPr="004925D4">
        <w:rPr>
          <w:rFonts w:asciiTheme="minorHAnsi" w:eastAsiaTheme="minorHAnsi" w:hAnsiTheme="minorHAnsi" w:cstheme="minorBidi"/>
          <w:szCs w:val="22"/>
        </w:rPr>
        <w:t>were made</w:t>
      </w:r>
      <w:proofErr w:type="gramEnd"/>
      <w:r w:rsidRPr="004925D4">
        <w:rPr>
          <w:rFonts w:asciiTheme="minorHAnsi" w:eastAsiaTheme="minorHAnsi" w:hAnsiTheme="minorHAnsi" w:cstheme="minorBidi"/>
          <w:szCs w:val="22"/>
        </w:rPr>
        <w:t xml:space="preserve"> to lower the authority requirement for th</w:t>
      </w:r>
      <w:r w:rsidR="00EE5635" w:rsidRPr="004925D4">
        <w:rPr>
          <w:rFonts w:asciiTheme="minorHAnsi" w:eastAsiaTheme="minorHAnsi" w:hAnsiTheme="minorHAnsi" w:cstheme="minorBidi"/>
          <w:szCs w:val="22"/>
        </w:rPr>
        <w:t>e</w:t>
      </w:r>
      <w:r w:rsidR="00C604A7" w:rsidRPr="004925D4">
        <w:rPr>
          <w:rFonts w:asciiTheme="minorHAnsi" w:eastAsiaTheme="minorHAnsi" w:hAnsiTheme="minorHAnsi" w:cstheme="minorBidi"/>
          <w:szCs w:val="22"/>
        </w:rPr>
        <w:t xml:space="preserve"> reference biological medicine to align </w:t>
      </w:r>
      <w:r w:rsidR="001F72BE" w:rsidRPr="004925D4">
        <w:rPr>
          <w:rFonts w:asciiTheme="minorHAnsi" w:eastAsiaTheme="minorHAnsi" w:hAnsiTheme="minorHAnsi" w:cstheme="minorBidi"/>
          <w:szCs w:val="22"/>
        </w:rPr>
        <w:t>with the biosimilar brand(s).</w:t>
      </w:r>
    </w:p>
    <w:p w:rsidR="00461DD4" w:rsidRPr="00655FEF" w:rsidRDefault="00BE321D" w:rsidP="009D0A6B">
      <w:pPr>
        <w:numPr>
          <w:ilvl w:val="1"/>
          <w:numId w:val="5"/>
        </w:numPr>
        <w:spacing w:before="120" w:after="120"/>
        <w:jc w:val="both"/>
        <w:rPr>
          <w:rFonts w:asciiTheme="minorHAnsi" w:hAnsiTheme="minorHAnsi" w:cstheme="minorHAnsi"/>
          <w:bCs/>
        </w:rPr>
      </w:pPr>
      <w:r w:rsidRPr="004925D4">
        <w:rPr>
          <w:rFonts w:asciiTheme="minorHAnsi" w:eastAsiaTheme="minorHAnsi" w:hAnsiTheme="minorHAnsi" w:cstheme="minorBidi"/>
          <w:szCs w:val="22"/>
        </w:rPr>
        <w:t>T</w:t>
      </w:r>
      <w:r w:rsidR="001F72BE" w:rsidRPr="004925D4">
        <w:rPr>
          <w:rFonts w:asciiTheme="minorHAnsi" w:eastAsiaTheme="minorHAnsi" w:hAnsiTheme="minorHAnsi" w:cstheme="minorBidi"/>
          <w:szCs w:val="22"/>
        </w:rPr>
        <w:t>he PBAC considered that</w:t>
      </w:r>
      <w:r w:rsidR="00AA5C89">
        <w:rPr>
          <w:rFonts w:asciiTheme="minorHAnsi" w:eastAsiaTheme="minorHAnsi" w:hAnsiTheme="minorHAnsi" w:cstheme="minorBidi"/>
          <w:szCs w:val="22"/>
        </w:rPr>
        <w:t>, upon PBS listing of a biosimilar brand,</w:t>
      </w:r>
      <w:r w:rsidR="001F72BE" w:rsidRPr="004925D4">
        <w:rPr>
          <w:rFonts w:asciiTheme="minorHAnsi" w:eastAsiaTheme="minorHAnsi" w:hAnsiTheme="minorHAnsi" w:cstheme="minorBidi"/>
          <w:szCs w:val="22"/>
        </w:rPr>
        <w:t xml:space="preserve"> it would be suitable for all </w:t>
      </w:r>
      <w:proofErr w:type="spellStart"/>
      <w:r w:rsidR="000F0AA0">
        <w:rPr>
          <w:rFonts w:asciiTheme="minorHAnsi" w:eastAsiaTheme="minorHAnsi" w:hAnsiTheme="minorHAnsi" w:cstheme="minorBidi"/>
          <w:szCs w:val="22"/>
        </w:rPr>
        <w:t>trastuzumab</w:t>
      </w:r>
      <w:proofErr w:type="spellEnd"/>
      <w:r w:rsidR="000F0AA0">
        <w:rPr>
          <w:rFonts w:asciiTheme="minorHAnsi" w:eastAsiaTheme="minorHAnsi" w:hAnsiTheme="minorHAnsi" w:cstheme="minorBidi"/>
          <w:szCs w:val="22"/>
        </w:rPr>
        <w:t xml:space="preserve"> </w:t>
      </w:r>
      <w:r w:rsidR="001F72BE" w:rsidRPr="004925D4">
        <w:rPr>
          <w:rFonts w:asciiTheme="minorHAnsi" w:eastAsiaTheme="minorHAnsi" w:hAnsiTheme="minorHAnsi" w:cstheme="minorBidi"/>
          <w:szCs w:val="22"/>
        </w:rPr>
        <w:t xml:space="preserve">listings, across all indications, to </w:t>
      </w:r>
      <w:proofErr w:type="gramStart"/>
      <w:r w:rsidR="001F72BE" w:rsidRPr="004925D4">
        <w:rPr>
          <w:rFonts w:asciiTheme="minorHAnsi" w:eastAsiaTheme="minorHAnsi" w:hAnsiTheme="minorHAnsi" w:cstheme="minorBidi"/>
          <w:szCs w:val="22"/>
        </w:rPr>
        <w:t>be</w:t>
      </w:r>
      <w:r w:rsidRPr="004925D4">
        <w:rPr>
          <w:rFonts w:asciiTheme="minorHAnsi" w:eastAsiaTheme="minorHAnsi" w:hAnsiTheme="minorHAnsi" w:cstheme="minorBidi"/>
          <w:szCs w:val="22"/>
        </w:rPr>
        <w:t xml:space="preserve"> made</w:t>
      </w:r>
      <w:proofErr w:type="gramEnd"/>
      <w:r w:rsidRPr="004925D4">
        <w:rPr>
          <w:rFonts w:asciiTheme="minorHAnsi" w:eastAsiaTheme="minorHAnsi" w:hAnsiTheme="minorHAnsi" w:cstheme="minorBidi"/>
          <w:szCs w:val="22"/>
        </w:rPr>
        <w:t xml:space="preserve"> </w:t>
      </w:r>
      <w:r w:rsidR="00D1264C" w:rsidRPr="004925D4">
        <w:rPr>
          <w:rFonts w:asciiTheme="minorHAnsi" w:eastAsiaTheme="minorHAnsi" w:hAnsiTheme="minorHAnsi" w:cstheme="minorBidi"/>
          <w:szCs w:val="22"/>
        </w:rPr>
        <w:t>Authority Required (STREAMLINED), with a change in wording to allow ad</w:t>
      </w:r>
      <w:r w:rsidR="001F72BE" w:rsidRPr="004925D4">
        <w:rPr>
          <w:rFonts w:asciiTheme="minorHAnsi" w:eastAsiaTheme="minorHAnsi" w:hAnsiTheme="minorHAnsi" w:cstheme="minorBidi"/>
          <w:szCs w:val="22"/>
        </w:rPr>
        <w:t xml:space="preserve">juvant or </w:t>
      </w:r>
      <w:proofErr w:type="spellStart"/>
      <w:r w:rsidR="001F72BE" w:rsidRPr="004925D4">
        <w:rPr>
          <w:rFonts w:asciiTheme="minorHAnsi" w:eastAsiaTheme="minorHAnsi" w:hAnsiTheme="minorHAnsi" w:cstheme="minorBidi"/>
          <w:szCs w:val="22"/>
        </w:rPr>
        <w:t>neoadjuvant</w:t>
      </w:r>
      <w:proofErr w:type="spellEnd"/>
      <w:r w:rsidR="001F72BE" w:rsidRPr="004925D4">
        <w:rPr>
          <w:rFonts w:asciiTheme="minorHAnsi" w:eastAsiaTheme="minorHAnsi" w:hAnsiTheme="minorHAnsi" w:cstheme="minorBidi"/>
          <w:szCs w:val="22"/>
        </w:rPr>
        <w:t xml:space="preserve"> tr</w:t>
      </w:r>
      <w:r w:rsidR="003F346E">
        <w:rPr>
          <w:rFonts w:asciiTheme="minorHAnsi" w:eastAsiaTheme="minorHAnsi" w:hAnsiTheme="minorHAnsi" w:cstheme="minorBidi"/>
          <w:szCs w:val="22"/>
        </w:rPr>
        <w:t xml:space="preserve">eatment </w:t>
      </w:r>
      <w:r w:rsidR="003F346E">
        <w:rPr>
          <w:rFonts w:asciiTheme="minorHAnsi" w:eastAsiaTheme="minorHAnsi" w:hAnsiTheme="minorHAnsi" w:cstheme="minorBidi"/>
          <w:szCs w:val="22"/>
        </w:rPr>
        <w:lastRenderedPageBreak/>
        <w:t>for early breast cancer, and to allow treatment in combination with any platinum chemotherapy for advanced gastric cancer.</w:t>
      </w:r>
      <w:r w:rsidR="001F72BE" w:rsidRPr="004925D4">
        <w:rPr>
          <w:rFonts w:asciiTheme="minorHAnsi" w:eastAsiaTheme="minorHAnsi" w:hAnsiTheme="minorHAnsi" w:cstheme="minorBidi"/>
          <w:szCs w:val="22"/>
        </w:rPr>
        <w:t xml:space="preserve"> The PBAC also recommended the </w:t>
      </w:r>
      <w:r w:rsidR="00D1264C" w:rsidRPr="004925D4">
        <w:rPr>
          <w:rFonts w:asciiTheme="minorHAnsi" w:eastAsiaTheme="minorHAnsi" w:hAnsiTheme="minorHAnsi" w:cstheme="minorBidi"/>
          <w:szCs w:val="22"/>
        </w:rPr>
        <w:t>removal of the ‘locally advan</w:t>
      </w:r>
      <w:r w:rsidR="001F72BE" w:rsidRPr="004925D4">
        <w:rPr>
          <w:rFonts w:asciiTheme="minorHAnsi" w:eastAsiaTheme="minorHAnsi" w:hAnsiTheme="minorHAnsi" w:cstheme="minorBidi"/>
          <w:szCs w:val="22"/>
        </w:rPr>
        <w:t xml:space="preserve">ced’ indication and for the written authority requirement to remain for </w:t>
      </w:r>
      <w:proofErr w:type="spellStart"/>
      <w:r w:rsidR="001F72BE" w:rsidRPr="004925D4">
        <w:rPr>
          <w:rFonts w:asciiTheme="minorHAnsi" w:eastAsiaTheme="minorHAnsi" w:hAnsiTheme="minorHAnsi" w:cstheme="minorBidi"/>
          <w:szCs w:val="22"/>
        </w:rPr>
        <w:t>pertuzumab</w:t>
      </w:r>
      <w:proofErr w:type="spellEnd"/>
      <w:r w:rsidR="000F0AA0">
        <w:rPr>
          <w:rFonts w:asciiTheme="minorHAnsi" w:eastAsiaTheme="minorHAnsi" w:hAnsiTheme="minorHAnsi" w:cstheme="minorBidi"/>
          <w:szCs w:val="22"/>
        </w:rPr>
        <w:t xml:space="preserve">, </w:t>
      </w:r>
      <w:proofErr w:type="spellStart"/>
      <w:r w:rsidR="001F72BE" w:rsidRPr="004925D4">
        <w:rPr>
          <w:rFonts w:asciiTheme="minorHAnsi" w:eastAsiaTheme="minorHAnsi" w:hAnsiTheme="minorHAnsi" w:cstheme="minorBidi"/>
          <w:szCs w:val="22"/>
        </w:rPr>
        <w:t>trastuzumab</w:t>
      </w:r>
      <w:proofErr w:type="spellEnd"/>
      <w:r w:rsidR="001F72BE" w:rsidRPr="004925D4">
        <w:rPr>
          <w:rFonts w:asciiTheme="minorHAnsi" w:eastAsiaTheme="minorHAnsi" w:hAnsiTheme="minorHAnsi" w:cstheme="minorBidi"/>
          <w:szCs w:val="22"/>
        </w:rPr>
        <w:t xml:space="preserve"> </w:t>
      </w:r>
      <w:proofErr w:type="spellStart"/>
      <w:r w:rsidR="001F72BE" w:rsidRPr="004925D4">
        <w:rPr>
          <w:rFonts w:asciiTheme="minorHAnsi" w:eastAsiaTheme="minorHAnsi" w:hAnsiTheme="minorHAnsi" w:cstheme="minorBidi"/>
          <w:szCs w:val="22"/>
        </w:rPr>
        <w:t>emtansine</w:t>
      </w:r>
      <w:proofErr w:type="spellEnd"/>
      <w:r w:rsidR="001F72BE" w:rsidRPr="004925D4">
        <w:rPr>
          <w:rFonts w:asciiTheme="minorHAnsi" w:eastAsiaTheme="minorHAnsi" w:hAnsiTheme="minorHAnsi" w:cstheme="minorBidi"/>
          <w:szCs w:val="22"/>
        </w:rPr>
        <w:t xml:space="preserve"> and </w:t>
      </w:r>
      <w:proofErr w:type="spellStart"/>
      <w:r w:rsidR="001F72BE" w:rsidRPr="004925D4">
        <w:rPr>
          <w:rFonts w:asciiTheme="minorHAnsi" w:eastAsiaTheme="minorHAnsi" w:hAnsiTheme="minorHAnsi" w:cstheme="minorBidi"/>
          <w:szCs w:val="22"/>
        </w:rPr>
        <w:t>lapatinib</w:t>
      </w:r>
      <w:proofErr w:type="spellEnd"/>
      <w:r w:rsidR="001F72BE" w:rsidRPr="004925D4">
        <w:rPr>
          <w:rFonts w:asciiTheme="minorHAnsi" w:eastAsiaTheme="minorHAnsi" w:hAnsiTheme="minorHAnsi" w:cstheme="minorBidi"/>
          <w:szCs w:val="22"/>
        </w:rPr>
        <w:t xml:space="preserve"> in metastatic breast cancer. </w:t>
      </w:r>
      <w:r w:rsidR="00D1264C" w:rsidRPr="004925D4">
        <w:rPr>
          <w:rFonts w:asciiTheme="minorHAnsi" w:eastAsiaTheme="minorHAnsi" w:hAnsiTheme="minorHAnsi" w:cstheme="minorBidi"/>
          <w:szCs w:val="22"/>
        </w:rPr>
        <w:t xml:space="preserve"> </w:t>
      </w:r>
    </w:p>
    <w:p w:rsidR="00884DAD" w:rsidRPr="00655FEF" w:rsidRDefault="00884DAD" w:rsidP="00C354E2">
      <w:pPr>
        <w:numPr>
          <w:ilvl w:val="1"/>
          <w:numId w:val="5"/>
        </w:numPr>
        <w:spacing w:after="120"/>
        <w:jc w:val="both"/>
        <w:rPr>
          <w:rFonts w:asciiTheme="minorHAnsi" w:hAnsiTheme="minorHAnsi" w:cstheme="minorHAnsi"/>
          <w:b/>
          <w:bCs/>
        </w:rPr>
      </w:pPr>
      <w:r w:rsidRPr="00655FEF">
        <w:rPr>
          <w:rFonts w:asciiTheme="minorHAnsi" w:hAnsiTheme="minorHAnsi" w:cstheme="minorHAnsi"/>
          <w:bCs/>
        </w:rPr>
        <w:t xml:space="preserve">The PBAC advised that, under Section 101(4AACD) of the </w:t>
      </w:r>
      <w:r w:rsidRPr="00655FEF">
        <w:rPr>
          <w:rFonts w:asciiTheme="minorHAnsi" w:hAnsiTheme="minorHAnsi" w:cstheme="minorHAnsi"/>
          <w:bCs/>
          <w:i/>
        </w:rPr>
        <w:t>National Health Act, 1953</w:t>
      </w:r>
      <w:r w:rsidRPr="00655FEF">
        <w:rPr>
          <w:rFonts w:asciiTheme="minorHAnsi" w:hAnsiTheme="minorHAnsi" w:cstheme="minorHAnsi"/>
          <w:bCs/>
        </w:rPr>
        <w:t xml:space="preserve">, in the Schedule of Pharmaceutical Benefits, </w:t>
      </w:r>
      <w:proofErr w:type="spellStart"/>
      <w:r w:rsidRPr="00655FEF">
        <w:rPr>
          <w:rFonts w:asciiTheme="minorHAnsi" w:hAnsiTheme="minorHAnsi" w:cstheme="minorHAnsi"/>
          <w:bCs/>
        </w:rPr>
        <w:t>Ogivri</w:t>
      </w:r>
      <w:proofErr w:type="spellEnd"/>
      <w:r w:rsidR="005F22D4">
        <w:rPr>
          <w:rFonts w:asciiTheme="minorHAnsi" w:hAnsiTheme="minorHAnsi" w:cstheme="minorHAnsi"/>
          <w:bCs/>
        </w:rPr>
        <w:t xml:space="preserve"> </w:t>
      </w:r>
      <w:r w:rsidRPr="00655FEF">
        <w:rPr>
          <w:rFonts w:asciiTheme="minorHAnsi" w:hAnsiTheme="minorHAnsi" w:cstheme="minorHAnsi"/>
          <w:bCs/>
        </w:rPr>
        <w:t xml:space="preserve">and Herceptin </w:t>
      </w:r>
      <w:r w:rsidR="009E61D8" w:rsidRPr="00655FEF">
        <w:rPr>
          <w:rFonts w:asciiTheme="minorHAnsi" w:hAnsiTheme="minorHAnsi" w:cstheme="minorHAnsi"/>
          <w:bCs/>
        </w:rPr>
        <w:t xml:space="preserve">intravenous injections </w:t>
      </w:r>
      <w:proofErr w:type="gramStart"/>
      <w:r w:rsidR="009E61D8" w:rsidRPr="00655FEF">
        <w:rPr>
          <w:rFonts w:asciiTheme="minorHAnsi" w:hAnsiTheme="minorHAnsi" w:cstheme="minorHAnsi"/>
          <w:bCs/>
        </w:rPr>
        <w:t>should be treated</w:t>
      </w:r>
      <w:proofErr w:type="gramEnd"/>
      <w:r w:rsidR="009E61D8" w:rsidRPr="00655FEF">
        <w:rPr>
          <w:rFonts w:asciiTheme="minorHAnsi" w:hAnsiTheme="minorHAnsi" w:cstheme="minorHAnsi"/>
          <w:bCs/>
        </w:rPr>
        <w:t xml:space="preserve"> as equivalent to each other. </w:t>
      </w:r>
    </w:p>
    <w:p w:rsidR="00461DD4" w:rsidRPr="00655FEF" w:rsidRDefault="00461DD4" w:rsidP="00C354E2">
      <w:pPr>
        <w:numPr>
          <w:ilvl w:val="1"/>
          <w:numId w:val="5"/>
        </w:numPr>
        <w:spacing w:after="120"/>
        <w:jc w:val="both"/>
        <w:rPr>
          <w:rFonts w:asciiTheme="minorHAnsi" w:hAnsiTheme="minorHAnsi" w:cstheme="minorHAnsi"/>
          <w:bCs/>
        </w:rPr>
      </w:pPr>
      <w:r w:rsidRPr="004925D4">
        <w:rPr>
          <w:rFonts w:asciiTheme="minorHAnsi" w:eastAsiaTheme="minorHAnsi" w:hAnsiTheme="minorHAnsi" w:cstheme="minorBidi"/>
          <w:szCs w:val="22"/>
        </w:rPr>
        <w:t xml:space="preserve">The PBAC also considered that application of biosimilar </w:t>
      </w:r>
      <w:r w:rsidR="00CB2552" w:rsidRPr="004925D4">
        <w:rPr>
          <w:rFonts w:asciiTheme="minorHAnsi" w:eastAsiaTheme="minorHAnsi" w:hAnsiTheme="minorHAnsi" w:cstheme="minorBidi"/>
          <w:szCs w:val="22"/>
        </w:rPr>
        <w:t>uptake drivers would be appropriate</w:t>
      </w:r>
      <w:r w:rsidR="002251D8" w:rsidRPr="004925D4">
        <w:rPr>
          <w:rFonts w:asciiTheme="minorHAnsi" w:eastAsiaTheme="minorHAnsi" w:hAnsiTheme="minorHAnsi" w:cstheme="minorBidi"/>
          <w:szCs w:val="22"/>
        </w:rPr>
        <w:t>.</w:t>
      </w:r>
      <w:r w:rsidRPr="004925D4">
        <w:rPr>
          <w:rFonts w:asciiTheme="minorHAnsi" w:eastAsiaTheme="minorHAnsi" w:hAnsiTheme="minorHAnsi" w:cstheme="minorBidi"/>
          <w:szCs w:val="22"/>
        </w:rPr>
        <w:t xml:space="preserve"> </w:t>
      </w:r>
    </w:p>
    <w:p w:rsidR="009E61D8" w:rsidRPr="00655FEF" w:rsidRDefault="009E61D8" w:rsidP="00C354E2">
      <w:pPr>
        <w:numPr>
          <w:ilvl w:val="1"/>
          <w:numId w:val="5"/>
        </w:numPr>
        <w:spacing w:after="120"/>
        <w:jc w:val="both"/>
        <w:rPr>
          <w:rFonts w:asciiTheme="minorHAnsi" w:hAnsiTheme="minorHAnsi" w:cstheme="minorHAnsi"/>
          <w:b/>
          <w:bCs/>
        </w:rPr>
      </w:pPr>
      <w:r w:rsidRPr="00655FEF">
        <w:rPr>
          <w:rFonts w:asciiTheme="minorHAnsi" w:hAnsiTheme="minorHAnsi" w:cstheme="minorHAnsi"/>
          <w:bCs/>
        </w:rPr>
        <w:t xml:space="preserve">The PBAC reiterated its previous advice that </w:t>
      </w:r>
      <w:proofErr w:type="spellStart"/>
      <w:r w:rsidRPr="00655FEF">
        <w:rPr>
          <w:rFonts w:asciiTheme="minorHAnsi" w:hAnsiTheme="minorHAnsi" w:cstheme="minorHAnsi"/>
          <w:bCs/>
        </w:rPr>
        <w:t>trastuzumab</w:t>
      </w:r>
      <w:proofErr w:type="spellEnd"/>
      <w:r w:rsidRPr="00655FEF">
        <w:rPr>
          <w:rFonts w:asciiTheme="minorHAnsi" w:hAnsiTheme="minorHAnsi" w:cstheme="minorHAnsi"/>
          <w:bCs/>
        </w:rPr>
        <w:t xml:space="preserve"> should be exempt from the Early Supply Rule. </w:t>
      </w:r>
    </w:p>
    <w:p w:rsidR="009E61D8" w:rsidRPr="00655FEF" w:rsidRDefault="009E61D8" w:rsidP="00C354E2">
      <w:pPr>
        <w:numPr>
          <w:ilvl w:val="1"/>
          <w:numId w:val="5"/>
        </w:numPr>
        <w:spacing w:after="120"/>
        <w:jc w:val="both"/>
        <w:rPr>
          <w:rFonts w:asciiTheme="minorHAnsi" w:hAnsiTheme="minorHAnsi" w:cstheme="minorHAnsi"/>
          <w:b/>
          <w:bCs/>
        </w:rPr>
      </w:pPr>
      <w:r w:rsidRPr="00655FEF">
        <w:rPr>
          <w:rFonts w:asciiTheme="minorHAnsi" w:hAnsiTheme="minorHAnsi" w:cstheme="minorHAnsi"/>
          <w:bCs/>
        </w:rPr>
        <w:t xml:space="preserve">The PBAC reiterated its previous advice that </w:t>
      </w:r>
      <w:proofErr w:type="spellStart"/>
      <w:r w:rsidRPr="00655FEF">
        <w:rPr>
          <w:rFonts w:asciiTheme="minorHAnsi" w:hAnsiTheme="minorHAnsi" w:cstheme="minorHAnsi"/>
          <w:bCs/>
        </w:rPr>
        <w:t>trastuzumab</w:t>
      </w:r>
      <w:proofErr w:type="spellEnd"/>
      <w:r w:rsidRPr="00655FEF">
        <w:rPr>
          <w:rFonts w:asciiTheme="minorHAnsi" w:hAnsiTheme="minorHAnsi" w:cstheme="minorHAnsi"/>
          <w:bCs/>
        </w:rPr>
        <w:t xml:space="preserve"> is not suitable for prescribing by nurse practitioners. </w:t>
      </w:r>
    </w:p>
    <w:p w:rsidR="002251D8" w:rsidRPr="00655FEF" w:rsidRDefault="002251D8" w:rsidP="00C354E2">
      <w:pPr>
        <w:numPr>
          <w:ilvl w:val="1"/>
          <w:numId w:val="5"/>
        </w:numPr>
        <w:spacing w:after="120"/>
        <w:jc w:val="both"/>
        <w:rPr>
          <w:rFonts w:asciiTheme="minorHAnsi" w:hAnsiTheme="minorHAnsi" w:cstheme="minorHAnsi"/>
          <w:b/>
          <w:bCs/>
        </w:rPr>
      </w:pPr>
      <w:r w:rsidRPr="00655FEF">
        <w:rPr>
          <w:rFonts w:asciiTheme="minorHAnsi" w:hAnsiTheme="minorHAnsi" w:cstheme="minorHAnsi"/>
          <w:bCs/>
        </w:rPr>
        <w:t xml:space="preserve">The </w:t>
      </w:r>
      <w:r w:rsidR="004925D4" w:rsidRPr="004925D4">
        <w:rPr>
          <w:rFonts w:asciiTheme="minorHAnsi" w:hAnsiTheme="minorHAnsi" w:cstheme="minorHAnsi"/>
          <w:bCs/>
        </w:rPr>
        <w:t>PBAC noted</w:t>
      </w:r>
      <w:r w:rsidRPr="00655FEF">
        <w:rPr>
          <w:rFonts w:asciiTheme="minorHAnsi" w:hAnsiTheme="minorHAnsi" w:cstheme="minorHAnsi"/>
          <w:bCs/>
        </w:rPr>
        <w:t xml:space="preserve"> this recommendation does not include the drug </w:t>
      </w:r>
      <w:proofErr w:type="spellStart"/>
      <w:r w:rsidRPr="00655FEF">
        <w:rPr>
          <w:rFonts w:asciiTheme="minorHAnsi" w:hAnsiTheme="minorHAnsi" w:cstheme="minorHAnsi"/>
          <w:bCs/>
        </w:rPr>
        <w:t>trastuzumab</w:t>
      </w:r>
      <w:proofErr w:type="spellEnd"/>
      <w:r w:rsidRPr="00655FEF">
        <w:rPr>
          <w:rFonts w:asciiTheme="minorHAnsi" w:hAnsiTheme="minorHAnsi" w:cstheme="minorHAnsi"/>
          <w:bCs/>
        </w:rPr>
        <w:t xml:space="preserve"> </w:t>
      </w:r>
      <w:proofErr w:type="spellStart"/>
      <w:r w:rsidRPr="00655FEF">
        <w:rPr>
          <w:rFonts w:asciiTheme="minorHAnsi" w:hAnsiTheme="minorHAnsi" w:cstheme="minorHAnsi"/>
          <w:bCs/>
        </w:rPr>
        <w:t>emtansine</w:t>
      </w:r>
      <w:proofErr w:type="spellEnd"/>
      <w:r w:rsidRPr="00655FEF">
        <w:rPr>
          <w:rFonts w:asciiTheme="minorHAnsi" w:hAnsiTheme="minorHAnsi" w:cstheme="minorHAnsi"/>
          <w:bCs/>
        </w:rPr>
        <w:t>.</w:t>
      </w:r>
    </w:p>
    <w:p w:rsidR="009E61D8" w:rsidRPr="00655FEF" w:rsidRDefault="009E61D8" w:rsidP="00C354E2">
      <w:pPr>
        <w:numPr>
          <w:ilvl w:val="1"/>
          <w:numId w:val="5"/>
        </w:numPr>
        <w:spacing w:after="120"/>
        <w:jc w:val="both"/>
        <w:rPr>
          <w:rFonts w:asciiTheme="minorHAnsi" w:hAnsiTheme="minorHAnsi" w:cstheme="minorHAnsi"/>
          <w:b/>
          <w:bCs/>
        </w:rPr>
      </w:pPr>
      <w:r w:rsidRPr="00655FEF">
        <w:rPr>
          <w:rFonts w:asciiTheme="minorHAnsi" w:hAnsiTheme="minorHAnsi" w:cstheme="minorHAnsi"/>
          <w:bCs/>
        </w:rPr>
        <w:t>The PBAC noted that this submission is not eligible for an I</w:t>
      </w:r>
      <w:r w:rsidR="008F19D2" w:rsidRPr="00655FEF">
        <w:rPr>
          <w:rFonts w:asciiTheme="minorHAnsi" w:hAnsiTheme="minorHAnsi" w:cstheme="minorHAnsi"/>
          <w:bCs/>
        </w:rPr>
        <w:t>ndependent Review as it was</w:t>
      </w:r>
      <w:r w:rsidRPr="00655FEF">
        <w:rPr>
          <w:rFonts w:asciiTheme="minorHAnsi" w:hAnsiTheme="minorHAnsi" w:cstheme="minorHAnsi"/>
          <w:bCs/>
        </w:rPr>
        <w:t xml:space="preserve"> a positive recommendation. </w:t>
      </w:r>
    </w:p>
    <w:p w:rsidR="00813551" w:rsidRPr="00655FEF" w:rsidRDefault="00813551" w:rsidP="00C354E2">
      <w:pPr>
        <w:spacing w:after="120"/>
        <w:rPr>
          <w:rFonts w:asciiTheme="minorHAnsi" w:hAnsiTheme="minorHAnsi" w:cstheme="minorHAnsi"/>
          <w:b/>
          <w:bCs/>
        </w:rPr>
      </w:pPr>
      <w:r w:rsidRPr="00655FEF">
        <w:rPr>
          <w:rFonts w:asciiTheme="minorHAnsi" w:hAnsiTheme="minorHAnsi" w:cstheme="minorHAnsi"/>
          <w:b/>
          <w:bCs/>
        </w:rPr>
        <w:t>Outcome:</w:t>
      </w:r>
    </w:p>
    <w:p w:rsidR="00813551" w:rsidRPr="00655FEF" w:rsidRDefault="00813551" w:rsidP="00C354E2">
      <w:pPr>
        <w:spacing w:after="120"/>
        <w:rPr>
          <w:rFonts w:asciiTheme="minorHAnsi" w:hAnsiTheme="minorHAnsi" w:cstheme="minorHAnsi"/>
          <w:bCs/>
        </w:rPr>
      </w:pPr>
      <w:r w:rsidRPr="00655FEF">
        <w:rPr>
          <w:rFonts w:asciiTheme="minorHAnsi" w:hAnsiTheme="minorHAnsi" w:cstheme="minorHAnsi"/>
          <w:bCs/>
        </w:rPr>
        <w:t>Recommende</w:t>
      </w:r>
      <w:r w:rsidR="009E61D8" w:rsidRPr="00655FEF">
        <w:rPr>
          <w:rFonts w:asciiTheme="minorHAnsi" w:hAnsiTheme="minorHAnsi" w:cstheme="minorHAnsi"/>
          <w:bCs/>
        </w:rPr>
        <w:t>d</w:t>
      </w:r>
    </w:p>
    <w:p w:rsidR="00813551" w:rsidRPr="004925D4" w:rsidRDefault="00813551" w:rsidP="00C354E2">
      <w:pPr>
        <w:numPr>
          <w:ilvl w:val="0"/>
          <w:numId w:val="5"/>
        </w:numPr>
        <w:spacing w:before="240" w:after="120"/>
        <w:outlineLvl w:val="0"/>
        <w:rPr>
          <w:rFonts w:asciiTheme="minorHAnsi" w:hAnsiTheme="minorHAnsi" w:cstheme="minorHAnsi"/>
          <w:b/>
          <w:bCs/>
          <w:sz w:val="32"/>
        </w:rPr>
      </w:pPr>
      <w:r w:rsidRPr="004925D4">
        <w:rPr>
          <w:rFonts w:asciiTheme="minorHAnsi" w:hAnsiTheme="minorHAnsi" w:cstheme="minorHAnsi"/>
          <w:b/>
          <w:bCs/>
          <w:sz w:val="32"/>
        </w:rPr>
        <w:t>Recommended listing</w:t>
      </w:r>
    </w:p>
    <w:p w:rsidR="003A24B8" w:rsidRPr="001F29CC" w:rsidRDefault="00D02A2B" w:rsidP="00C354E2">
      <w:pPr>
        <w:numPr>
          <w:ilvl w:val="1"/>
          <w:numId w:val="5"/>
        </w:numPr>
        <w:spacing w:after="120"/>
        <w:rPr>
          <w:rFonts w:asciiTheme="minorHAnsi" w:hAnsiTheme="minorHAnsi" w:cstheme="minorHAnsi"/>
        </w:rPr>
      </w:pPr>
      <w:r w:rsidRPr="004925D4">
        <w:rPr>
          <w:rFonts w:asciiTheme="minorHAnsi" w:hAnsiTheme="minorHAnsi" w:cstheme="minorHAnsi"/>
          <w:bCs/>
        </w:rPr>
        <w:t xml:space="preserve">Restriction to be finalised. </w:t>
      </w:r>
    </w:p>
    <w:p w:rsidR="001F29CC" w:rsidRPr="001F29CC" w:rsidRDefault="001F29CC" w:rsidP="00C354E2">
      <w:pPr>
        <w:numPr>
          <w:ilvl w:val="0"/>
          <w:numId w:val="5"/>
        </w:numPr>
        <w:spacing w:before="240" w:after="120"/>
        <w:outlineLvl w:val="0"/>
        <w:rPr>
          <w:rFonts w:asciiTheme="minorHAnsi" w:hAnsiTheme="minorHAnsi" w:cstheme="minorHAnsi"/>
          <w:b/>
          <w:bCs/>
          <w:sz w:val="32"/>
        </w:rPr>
      </w:pPr>
      <w:r w:rsidRPr="001F29CC">
        <w:rPr>
          <w:rFonts w:asciiTheme="minorHAnsi" w:hAnsiTheme="minorHAnsi" w:cstheme="minorHAnsi"/>
          <w:b/>
          <w:bCs/>
          <w:sz w:val="32"/>
        </w:rPr>
        <w:t>Context for Decision</w:t>
      </w:r>
    </w:p>
    <w:p w:rsidR="001F29CC" w:rsidRPr="00FE6B37" w:rsidRDefault="001F29CC" w:rsidP="00C354E2">
      <w:pPr>
        <w:spacing w:after="120"/>
        <w:ind w:left="720"/>
        <w:jc w:val="both"/>
        <w:rPr>
          <w:rFonts w:asciiTheme="minorHAnsi" w:hAnsiTheme="minorHAnsi" w:cstheme="minorHAnsi"/>
          <w:bCs/>
        </w:rPr>
      </w:pPr>
      <w:r w:rsidRPr="00FE6B37">
        <w:rPr>
          <w:rFonts w:asciiTheme="minorHAnsi" w:hAnsiTheme="minorHAnsi" w:cstheme="minorHAnsi"/>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F29CC" w:rsidRPr="001F29CC" w:rsidRDefault="001F29CC" w:rsidP="00C354E2">
      <w:pPr>
        <w:numPr>
          <w:ilvl w:val="0"/>
          <w:numId w:val="5"/>
        </w:numPr>
        <w:spacing w:before="240" w:after="120"/>
        <w:jc w:val="both"/>
        <w:outlineLvl w:val="0"/>
        <w:rPr>
          <w:rFonts w:asciiTheme="minorHAnsi" w:hAnsiTheme="minorHAnsi" w:cstheme="minorHAnsi"/>
          <w:b/>
          <w:bCs/>
          <w:sz w:val="32"/>
        </w:rPr>
      </w:pPr>
      <w:r w:rsidRPr="001F29CC">
        <w:rPr>
          <w:rFonts w:asciiTheme="minorHAnsi" w:hAnsiTheme="minorHAnsi" w:cstheme="minorHAnsi"/>
          <w:b/>
          <w:bCs/>
          <w:sz w:val="32"/>
        </w:rPr>
        <w:t>Sponsor’s Comment</w:t>
      </w:r>
    </w:p>
    <w:p w:rsidR="001F29CC" w:rsidRPr="00FE6B37" w:rsidRDefault="001F29CC" w:rsidP="00C354E2">
      <w:pPr>
        <w:spacing w:after="120"/>
        <w:ind w:left="720"/>
        <w:jc w:val="both"/>
        <w:rPr>
          <w:rFonts w:asciiTheme="minorHAnsi" w:hAnsiTheme="minorHAnsi" w:cstheme="minorHAnsi"/>
          <w:bCs/>
        </w:rPr>
      </w:pPr>
      <w:r w:rsidRPr="00FE6B37">
        <w:rPr>
          <w:rFonts w:asciiTheme="minorHAnsi" w:hAnsiTheme="minorHAnsi" w:cstheme="minorHAnsi"/>
          <w:bCs/>
        </w:rPr>
        <w:t>The sponsor had no comment.</w:t>
      </w:r>
    </w:p>
    <w:p w:rsidR="001F29CC" w:rsidRPr="00800917" w:rsidRDefault="001F29CC" w:rsidP="00EF6F38">
      <w:pPr>
        <w:spacing w:after="120"/>
        <w:jc w:val="both"/>
        <w:rPr>
          <w:rFonts w:asciiTheme="minorHAnsi" w:hAnsiTheme="minorHAnsi" w:cstheme="minorHAnsi"/>
        </w:rPr>
      </w:pPr>
    </w:p>
    <w:sectPr w:rsidR="001F29CC" w:rsidRPr="00800917" w:rsidSect="005E490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E1F" w:rsidRDefault="003A5E1F">
      <w:r>
        <w:separator/>
      </w:r>
    </w:p>
    <w:p w:rsidR="003A5E1F" w:rsidRDefault="003A5E1F"/>
  </w:endnote>
  <w:endnote w:type="continuationSeparator" w:id="0">
    <w:p w:rsidR="003A5E1F" w:rsidRDefault="003A5E1F">
      <w:r>
        <w:continuationSeparator/>
      </w:r>
    </w:p>
    <w:p w:rsidR="003A5E1F" w:rsidRDefault="003A5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E5635" w:rsidTr="005A3173">
      <w:trPr>
        <w:trHeight w:val="151"/>
      </w:trPr>
      <w:tc>
        <w:tcPr>
          <w:tcW w:w="2250" w:type="pct"/>
          <w:tcBorders>
            <w:top w:val="nil"/>
            <w:left w:val="nil"/>
            <w:bottom w:val="single" w:sz="4" w:space="0" w:color="4F81BD"/>
            <w:right w:val="nil"/>
          </w:tcBorders>
        </w:tcPr>
        <w:p w:rsidR="00EE5635" w:rsidRPr="005A3173" w:rsidRDefault="00EE563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5635" w:rsidRPr="005A3173" w:rsidRDefault="00EE56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5635" w:rsidRPr="005A3173" w:rsidRDefault="00EE5635" w:rsidP="005A3173">
          <w:pPr>
            <w:pStyle w:val="Header"/>
            <w:spacing w:line="276" w:lineRule="auto"/>
            <w:rPr>
              <w:rFonts w:ascii="Calibri" w:eastAsia="MS Gothic" w:hAnsi="Calibri"/>
              <w:b/>
              <w:bCs/>
              <w:color w:val="4F81BD"/>
            </w:rPr>
          </w:pPr>
        </w:p>
      </w:tc>
    </w:tr>
    <w:tr w:rsidR="00EE5635" w:rsidTr="005A3173">
      <w:trPr>
        <w:trHeight w:val="150"/>
      </w:trPr>
      <w:tc>
        <w:tcPr>
          <w:tcW w:w="2250" w:type="pct"/>
          <w:tcBorders>
            <w:top w:val="single" w:sz="4" w:space="0" w:color="4F81BD"/>
            <w:left w:val="nil"/>
            <w:bottom w:val="nil"/>
            <w:right w:val="nil"/>
          </w:tcBorders>
        </w:tcPr>
        <w:p w:rsidR="00EE5635" w:rsidRPr="005A3173" w:rsidRDefault="00EE5635" w:rsidP="005A3173">
          <w:pPr>
            <w:pStyle w:val="Header"/>
            <w:spacing w:line="276" w:lineRule="auto"/>
            <w:rPr>
              <w:rFonts w:ascii="Calibri" w:eastAsia="MS Gothic" w:hAnsi="Calibri"/>
              <w:b/>
              <w:bCs/>
              <w:color w:val="4F81BD"/>
            </w:rPr>
          </w:pPr>
        </w:p>
      </w:tc>
      <w:tc>
        <w:tcPr>
          <w:tcW w:w="0" w:type="auto"/>
          <w:vMerge/>
          <w:vAlign w:val="center"/>
          <w:hideMark/>
        </w:tcPr>
        <w:p w:rsidR="00EE5635" w:rsidRPr="005A3173" w:rsidRDefault="00EE5635"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5635" w:rsidRPr="005A3173" w:rsidRDefault="00EE5635" w:rsidP="005A3173">
          <w:pPr>
            <w:pStyle w:val="Header"/>
            <w:spacing w:line="276" w:lineRule="auto"/>
            <w:rPr>
              <w:rFonts w:ascii="Calibri" w:eastAsia="MS Gothic" w:hAnsi="Calibri"/>
              <w:b/>
              <w:bCs/>
              <w:color w:val="4F81BD"/>
            </w:rPr>
          </w:pPr>
        </w:p>
      </w:tc>
    </w:tr>
  </w:tbl>
  <w:p w:rsidR="00EE5635" w:rsidRDefault="00EE563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635" w:rsidRDefault="00EE5635">
    <w:pPr>
      <w:pStyle w:val="Footer"/>
    </w:pPr>
  </w:p>
  <w:p w:rsidR="00EE5635" w:rsidRDefault="00EE563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827638006"/>
      <w:docPartObj>
        <w:docPartGallery w:val="Page Numbers (Bottom of Page)"/>
        <w:docPartUnique/>
      </w:docPartObj>
    </w:sdtPr>
    <w:sdtEndPr>
      <w:rPr>
        <w:b/>
        <w:noProof/>
      </w:rPr>
    </w:sdtEndPr>
    <w:sdtContent>
      <w:p w:rsidR="00800917" w:rsidRDefault="00800917" w:rsidP="00286558">
        <w:pPr>
          <w:pStyle w:val="Footer"/>
          <w:jc w:val="center"/>
          <w:rPr>
            <w:rFonts w:asciiTheme="minorHAnsi" w:hAnsiTheme="minorHAnsi" w:cstheme="minorHAnsi"/>
          </w:rPr>
        </w:pPr>
      </w:p>
      <w:p w:rsidR="00EE5635" w:rsidRPr="00286558" w:rsidRDefault="00EE5635" w:rsidP="00286558">
        <w:pPr>
          <w:pStyle w:val="Footer"/>
          <w:jc w:val="center"/>
          <w:rPr>
            <w:rFonts w:asciiTheme="minorHAnsi" w:hAnsiTheme="minorHAnsi" w:cstheme="minorHAnsi"/>
            <w:b/>
          </w:rPr>
        </w:pPr>
        <w:r w:rsidRPr="00286558">
          <w:rPr>
            <w:rFonts w:asciiTheme="minorHAnsi" w:hAnsiTheme="minorHAnsi" w:cstheme="minorHAnsi"/>
            <w:b/>
          </w:rPr>
          <w:fldChar w:fldCharType="begin"/>
        </w:r>
        <w:r w:rsidRPr="00286558">
          <w:rPr>
            <w:rFonts w:asciiTheme="minorHAnsi" w:hAnsiTheme="minorHAnsi" w:cstheme="minorHAnsi"/>
            <w:b/>
          </w:rPr>
          <w:instrText xml:space="preserve"> PAGE   \* MERGEFORMAT </w:instrText>
        </w:r>
        <w:r w:rsidRPr="00286558">
          <w:rPr>
            <w:rFonts w:asciiTheme="minorHAnsi" w:hAnsiTheme="minorHAnsi" w:cstheme="minorHAnsi"/>
            <w:b/>
          </w:rPr>
          <w:fldChar w:fldCharType="separate"/>
        </w:r>
        <w:r w:rsidR="002C3D5F">
          <w:rPr>
            <w:rFonts w:asciiTheme="minorHAnsi" w:hAnsiTheme="minorHAnsi" w:cstheme="minorHAnsi"/>
            <w:b/>
            <w:noProof/>
          </w:rPr>
          <w:t>6</w:t>
        </w:r>
        <w:r w:rsidRPr="00286558">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EE5635" w:rsidTr="005A3173">
      <w:trPr>
        <w:trHeight w:val="151"/>
      </w:trPr>
      <w:tc>
        <w:tcPr>
          <w:tcW w:w="2250" w:type="pct"/>
          <w:tcBorders>
            <w:top w:val="nil"/>
            <w:left w:val="nil"/>
            <w:bottom w:val="single" w:sz="4" w:space="0" w:color="4F81BD"/>
            <w:right w:val="nil"/>
          </w:tcBorders>
        </w:tcPr>
        <w:p w:rsidR="00EE5635" w:rsidRPr="005A3173" w:rsidRDefault="00EE563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5635" w:rsidRPr="005A3173" w:rsidRDefault="00EE56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5635" w:rsidRPr="005A3173" w:rsidRDefault="00EE5635" w:rsidP="005A3173">
          <w:pPr>
            <w:pStyle w:val="Header"/>
            <w:spacing w:line="276" w:lineRule="auto"/>
            <w:rPr>
              <w:rFonts w:ascii="Calibri" w:eastAsia="MS Gothic" w:hAnsi="Calibri"/>
              <w:b/>
              <w:bCs/>
              <w:color w:val="4F81BD"/>
            </w:rPr>
          </w:pPr>
        </w:p>
      </w:tc>
    </w:tr>
    <w:tr w:rsidR="00EE5635" w:rsidTr="005A3173">
      <w:trPr>
        <w:trHeight w:val="150"/>
      </w:trPr>
      <w:tc>
        <w:tcPr>
          <w:tcW w:w="2250" w:type="pct"/>
          <w:tcBorders>
            <w:top w:val="single" w:sz="4" w:space="0" w:color="4F81BD"/>
            <w:left w:val="nil"/>
            <w:bottom w:val="nil"/>
            <w:right w:val="nil"/>
          </w:tcBorders>
        </w:tcPr>
        <w:p w:rsidR="00EE5635" w:rsidRPr="005A3173" w:rsidRDefault="00EE5635" w:rsidP="005A3173">
          <w:pPr>
            <w:pStyle w:val="Header"/>
            <w:spacing w:line="276" w:lineRule="auto"/>
            <w:rPr>
              <w:rFonts w:ascii="Calibri" w:eastAsia="MS Gothic" w:hAnsi="Calibri"/>
              <w:b/>
              <w:bCs/>
              <w:color w:val="4F81BD"/>
            </w:rPr>
          </w:pPr>
        </w:p>
      </w:tc>
      <w:tc>
        <w:tcPr>
          <w:tcW w:w="0" w:type="auto"/>
          <w:vMerge/>
          <w:vAlign w:val="center"/>
          <w:hideMark/>
        </w:tcPr>
        <w:p w:rsidR="00EE5635" w:rsidRPr="005A3173" w:rsidRDefault="00EE5635"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5635" w:rsidRPr="005A3173" w:rsidRDefault="00EE563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E5635" w:rsidTr="005A3173">
      <w:trPr>
        <w:trHeight w:val="151"/>
      </w:trPr>
      <w:tc>
        <w:tcPr>
          <w:tcW w:w="2250" w:type="pct"/>
          <w:tcBorders>
            <w:top w:val="nil"/>
            <w:left w:val="nil"/>
            <w:bottom w:val="single" w:sz="4" w:space="0" w:color="4F81BD"/>
            <w:right w:val="nil"/>
          </w:tcBorders>
        </w:tcPr>
        <w:p w:rsidR="00EE5635" w:rsidRPr="005A3173" w:rsidRDefault="00EE563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5635" w:rsidRPr="005A3173" w:rsidRDefault="00EE56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5635" w:rsidRPr="005A3173" w:rsidRDefault="00EE5635" w:rsidP="005A3173">
          <w:pPr>
            <w:pStyle w:val="Header"/>
            <w:spacing w:line="276" w:lineRule="auto"/>
            <w:rPr>
              <w:rFonts w:ascii="Calibri" w:eastAsia="MS Gothic" w:hAnsi="Calibri"/>
              <w:b/>
              <w:bCs/>
              <w:color w:val="4F81BD"/>
            </w:rPr>
          </w:pPr>
        </w:p>
      </w:tc>
    </w:tr>
    <w:tr w:rsidR="00EE5635" w:rsidTr="005A3173">
      <w:trPr>
        <w:trHeight w:val="150"/>
      </w:trPr>
      <w:tc>
        <w:tcPr>
          <w:tcW w:w="2250" w:type="pct"/>
          <w:tcBorders>
            <w:top w:val="single" w:sz="4" w:space="0" w:color="4F81BD"/>
            <w:left w:val="nil"/>
            <w:bottom w:val="nil"/>
            <w:right w:val="nil"/>
          </w:tcBorders>
        </w:tcPr>
        <w:p w:rsidR="00EE5635" w:rsidRPr="005A3173" w:rsidRDefault="00EE5635" w:rsidP="005A3173">
          <w:pPr>
            <w:pStyle w:val="Header"/>
            <w:spacing w:line="276" w:lineRule="auto"/>
            <w:rPr>
              <w:rFonts w:ascii="Calibri" w:eastAsia="MS Gothic" w:hAnsi="Calibri"/>
              <w:b/>
              <w:bCs/>
              <w:color w:val="4F81BD"/>
            </w:rPr>
          </w:pPr>
        </w:p>
      </w:tc>
      <w:tc>
        <w:tcPr>
          <w:tcW w:w="0" w:type="auto"/>
          <w:vMerge/>
          <w:vAlign w:val="center"/>
          <w:hideMark/>
        </w:tcPr>
        <w:p w:rsidR="00EE5635" w:rsidRPr="005A3173" w:rsidRDefault="00EE5635"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5635" w:rsidRPr="005A3173" w:rsidRDefault="00EE5635" w:rsidP="005A3173">
          <w:pPr>
            <w:pStyle w:val="Header"/>
            <w:spacing w:line="276" w:lineRule="auto"/>
            <w:rPr>
              <w:rFonts w:ascii="Calibri" w:eastAsia="MS Gothic" w:hAnsi="Calibri"/>
              <w:b/>
              <w:bCs/>
              <w:color w:val="4F81BD"/>
            </w:rPr>
          </w:pPr>
        </w:p>
      </w:tc>
    </w:tr>
  </w:tbl>
  <w:p w:rsidR="00EE5635" w:rsidRPr="007C0F57" w:rsidRDefault="00EE563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E5635" w:rsidRPr="007C0F57" w:rsidRDefault="00EE5635" w:rsidP="007C0F57">
    <w:pPr>
      <w:pStyle w:val="Footer"/>
      <w:jc w:val="center"/>
      <w:rPr>
        <w:b/>
        <w:i/>
        <w:sz w:val="20"/>
        <w:szCs w:val="20"/>
      </w:rPr>
    </w:pPr>
    <w:r w:rsidRPr="007C0F57">
      <w:rPr>
        <w:b/>
        <w:i/>
        <w:sz w:val="20"/>
        <w:szCs w:val="20"/>
      </w:rPr>
      <w:t>Commercial-in-Confidence</w:t>
    </w:r>
  </w:p>
  <w:p w:rsidR="00EE5635" w:rsidRDefault="00EE56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E1F" w:rsidRDefault="003A5E1F">
      <w:r>
        <w:separator/>
      </w:r>
    </w:p>
    <w:p w:rsidR="003A5E1F" w:rsidRDefault="003A5E1F"/>
  </w:footnote>
  <w:footnote w:type="continuationSeparator" w:id="0">
    <w:p w:rsidR="003A5E1F" w:rsidRDefault="003A5E1F">
      <w:r>
        <w:continuationSeparator/>
      </w:r>
    </w:p>
    <w:p w:rsidR="003A5E1F" w:rsidRDefault="003A5E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E5635" w:rsidRPr="008E0D90" w:rsidTr="00A06225">
      <w:trPr>
        <w:trHeight w:val="151"/>
      </w:trPr>
      <w:tc>
        <w:tcPr>
          <w:tcW w:w="2389" w:type="pct"/>
          <w:tcBorders>
            <w:top w:val="nil"/>
            <w:left w:val="nil"/>
            <w:bottom w:val="single" w:sz="4" w:space="0" w:color="4F81BD"/>
            <w:right w:val="nil"/>
          </w:tcBorders>
        </w:tcPr>
        <w:p w:rsidR="00EE5635" w:rsidRPr="00A06225" w:rsidRDefault="00EE5635">
          <w:pPr>
            <w:pStyle w:val="Header"/>
            <w:spacing w:line="276" w:lineRule="auto"/>
            <w:rPr>
              <w:rFonts w:ascii="Cambria" w:eastAsia="MS Gothic" w:hAnsi="Cambria"/>
              <w:b/>
              <w:bCs/>
              <w:color w:val="4F81BD"/>
            </w:rPr>
          </w:pPr>
        </w:p>
      </w:tc>
      <w:tc>
        <w:tcPr>
          <w:tcW w:w="333" w:type="pct"/>
          <w:vMerge w:val="restart"/>
          <w:noWrap/>
          <w:vAlign w:val="center"/>
          <w:hideMark/>
        </w:tcPr>
        <w:p w:rsidR="00EE5635" w:rsidRPr="00A06225" w:rsidRDefault="00EE563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E5635" w:rsidRPr="00A06225" w:rsidRDefault="00EE5635">
          <w:pPr>
            <w:pStyle w:val="Header"/>
            <w:spacing w:line="276" w:lineRule="auto"/>
            <w:rPr>
              <w:rFonts w:ascii="Cambria" w:eastAsia="MS Gothic" w:hAnsi="Cambria"/>
              <w:b/>
              <w:bCs/>
              <w:color w:val="4F81BD"/>
            </w:rPr>
          </w:pPr>
        </w:p>
      </w:tc>
    </w:tr>
    <w:tr w:rsidR="00EE5635" w:rsidRPr="008E0D90" w:rsidTr="00A06225">
      <w:trPr>
        <w:trHeight w:val="150"/>
      </w:trPr>
      <w:tc>
        <w:tcPr>
          <w:tcW w:w="2389" w:type="pct"/>
          <w:tcBorders>
            <w:top w:val="single" w:sz="4" w:space="0" w:color="4F81BD"/>
            <w:left w:val="nil"/>
            <w:bottom w:val="nil"/>
            <w:right w:val="nil"/>
          </w:tcBorders>
        </w:tcPr>
        <w:p w:rsidR="00EE5635" w:rsidRPr="00A06225" w:rsidRDefault="00EE5635">
          <w:pPr>
            <w:pStyle w:val="Header"/>
            <w:spacing w:line="276" w:lineRule="auto"/>
            <w:rPr>
              <w:rFonts w:ascii="Cambria" w:eastAsia="MS Gothic" w:hAnsi="Cambria"/>
              <w:b/>
              <w:bCs/>
              <w:color w:val="4F81BD"/>
            </w:rPr>
          </w:pPr>
        </w:p>
      </w:tc>
      <w:tc>
        <w:tcPr>
          <w:tcW w:w="0" w:type="auto"/>
          <w:vMerge/>
          <w:vAlign w:val="center"/>
          <w:hideMark/>
        </w:tcPr>
        <w:p w:rsidR="00EE5635" w:rsidRPr="00A06225" w:rsidRDefault="00EE5635">
          <w:pPr>
            <w:rPr>
              <w:rFonts w:ascii="Cambria" w:hAnsi="Cambria"/>
              <w:color w:val="4F81BD"/>
              <w:sz w:val="22"/>
              <w:szCs w:val="22"/>
            </w:rPr>
          </w:pPr>
        </w:p>
      </w:tc>
      <w:tc>
        <w:tcPr>
          <w:tcW w:w="2278" w:type="pct"/>
          <w:tcBorders>
            <w:top w:val="single" w:sz="4" w:space="0" w:color="4F81BD"/>
            <w:left w:val="nil"/>
            <w:bottom w:val="nil"/>
            <w:right w:val="nil"/>
          </w:tcBorders>
        </w:tcPr>
        <w:p w:rsidR="00EE5635" w:rsidRPr="00A06225" w:rsidRDefault="00EE5635">
          <w:pPr>
            <w:pStyle w:val="Header"/>
            <w:spacing w:line="276" w:lineRule="auto"/>
            <w:rPr>
              <w:rFonts w:ascii="Cambria" w:eastAsia="MS Gothic" w:hAnsi="Cambria"/>
              <w:b/>
              <w:bCs/>
              <w:color w:val="4F81BD"/>
            </w:rPr>
          </w:pPr>
        </w:p>
      </w:tc>
    </w:tr>
  </w:tbl>
  <w:p w:rsidR="00EE5635" w:rsidRDefault="00EE5635">
    <w:pPr>
      <w:pStyle w:val="Header"/>
    </w:pPr>
  </w:p>
  <w:p w:rsidR="00EE5635" w:rsidRDefault="00EE563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35" w:rsidRDefault="00087208" w:rsidP="00087208">
    <w:pPr>
      <w:tabs>
        <w:tab w:val="left" w:pos="1691"/>
        <w:tab w:val="center" w:pos="4153"/>
        <w:tab w:val="center" w:pos="4513"/>
        <w:tab w:val="right" w:pos="8306"/>
      </w:tabs>
      <w:jc w:val="center"/>
      <w:rPr>
        <w:rFonts w:asciiTheme="minorHAnsi" w:hAnsiTheme="minorHAnsi"/>
        <w:i/>
        <w:color w:val="808080"/>
      </w:rPr>
    </w:pPr>
    <w:r>
      <w:rPr>
        <w:rFonts w:asciiTheme="minorHAnsi" w:hAnsiTheme="minorHAnsi"/>
        <w:i/>
        <w:color w:val="808080"/>
      </w:rPr>
      <w:t>Public Summary Document</w:t>
    </w:r>
    <w:r w:rsidR="00EE5635" w:rsidRPr="005622AA">
      <w:rPr>
        <w:rFonts w:asciiTheme="minorHAnsi" w:hAnsiTheme="minorHAnsi"/>
        <w:i/>
        <w:color w:val="808080"/>
      </w:rPr>
      <w:t xml:space="preserve"> – March 2019 PBAC Meeting</w:t>
    </w:r>
  </w:p>
  <w:p w:rsidR="00EE5635" w:rsidRDefault="00EE563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E1F" w:rsidRDefault="003A5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B4756"/>
    <w:multiLevelType w:val="multilevel"/>
    <w:tmpl w:val="EC78773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2E4F4C"/>
    <w:multiLevelType w:val="multilevel"/>
    <w:tmpl w:val="610ED9D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27D37BB8"/>
    <w:multiLevelType w:val="hybridMultilevel"/>
    <w:tmpl w:val="499660D4"/>
    <w:lvl w:ilvl="0" w:tplc="C59A200C">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21652"/>
    <w:multiLevelType w:val="hybridMultilevel"/>
    <w:tmpl w:val="0FA0C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CB212B"/>
    <w:multiLevelType w:val="multilevel"/>
    <w:tmpl w:val="66428134"/>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B2620"/>
    <w:multiLevelType w:val="hybridMultilevel"/>
    <w:tmpl w:val="09E61A08"/>
    <w:lvl w:ilvl="0" w:tplc="0C090001">
      <w:start w:val="1"/>
      <w:numFmt w:val="bullet"/>
      <w:lvlText w:val=""/>
      <w:lvlJc w:val="left"/>
      <w:pPr>
        <w:tabs>
          <w:tab w:val="num" w:pos="720"/>
        </w:tabs>
        <w:ind w:left="720" w:hanging="360"/>
      </w:pPr>
      <w:rPr>
        <w:rFonts w:ascii="Symbol" w:hAnsi="Symbol" w:hint="default"/>
      </w:rPr>
    </w:lvl>
    <w:lvl w:ilvl="1" w:tplc="8F4E3428">
      <w:start w:val="1"/>
      <w:numFmt w:val="bullet"/>
      <w:lvlText w:val="•"/>
      <w:lvlJc w:val="left"/>
      <w:pPr>
        <w:tabs>
          <w:tab w:val="num" w:pos="1440"/>
        </w:tabs>
        <w:ind w:left="1440" w:hanging="360"/>
      </w:pPr>
      <w:rPr>
        <w:rFonts w:ascii="Times New Roman" w:hAnsi="Times New Roman" w:hint="default"/>
      </w:rPr>
    </w:lvl>
    <w:lvl w:ilvl="2" w:tplc="68A052CE">
      <w:start w:val="90"/>
      <w:numFmt w:val="bullet"/>
      <w:lvlText w:val="•"/>
      <w:lvlJc w:val="left"/>
      <w:pPr>
        <w:tabs>
          <w:tab w:val="num" w:pos="2160"/>
        </w:tabs>
        <w:ind w:left="2160" w:hanging="360"/>
      </w:pPr>
      <w:rPr>
        <w:rFonts w:ascii="Times New Roman" w:hAnsi="Times New Roman" w:hint="default"/>
      </w:rPr>
    </w:lvl>
    <w:lvl w:ilvl="3" w:tplc="22989748">
      <w:start w:val="40"/>
      <w:numFmt w:val="bullet"/>
      <w:lvlText w:val=""/>
      <w:lvlJc w:val="left"/>
      <w:pPr>
        <w:ind w:left="2880" w:hanging="360"/>
      </w:pPr>
      <w:rPr>
        <w:rFonts w:ascii="Wingdings" w:eastAsiaTheme="minorEastAsia" w:hAnsi="Wingdings" w:cstheme="minorBidi" w:hint="default"/>
      </w:rPr>
    </w:lvl>
    <w:lvl w:ilvl="4" w:tplc="C76AE892" w:tentative="1">
      <w:start w:val="1"/>
      <w:numFmt w:val="bullet"/>
      <w:lvlText w:val="•"/>
      <w:lvlJc w:val="left"/>
      <w:pPr>
        <w:tabs>
          <w:tab w:val="num" w:pos="3600"/>
        </w:tabs>
        <w:ind w:left="3600" w:hanging="360"/>
      </w:pPr>
      <w:rPr>
        <w:rFonts w:ascii="Times New Roman" w:hAnsi="Times New Roman" w:hint="default"/>
      </w:rPr>
    </w:lvl>
    <w:lvl w:ilvl="5" w:tplc="DEEC7ECE" w:tentative="1">
      <w:start w:val="1"/>
      <w:numFmt w:val="bullet"/>
      <w:lvlText w:val="•"/>
      <w:lvlJc w:val="left"/>
      <w:pPr>
        <w:tabs>
          <w:tab w:val="num" w:pos="4320"/>
        </w:tabs>
        <w:ind w:left="4320" w:hanging="360"/>
      </w:pPr>
      <w:rPr>
        <w:rFonts w:ascii="Times New Roman" w:hAnsi="Times New Roman" w:hint="default"/>
      </w:rPr>
    </w:lvl>
    <w:lvl w:ilvl="6" w:tplc="0F4667AC" w:tentative="1">
      <w:start w:val="1"/>
      <w:numFmt w:val="bullet"/>
      <w:lvlText w:val="•"/>
      <w:lvlJc w:val="left"/>
      <w:pPr>
        <w:tabs>
          <w:tab w:val="num" w:pos="5040"/>
        </w:tabs>
        <w:ind w:left="5040" w:hanging="360"/>
      </w:pPr>
      <w:rPr>
        <w:rFonts w:ascii="Times New Roman" w:hAnsi="Times New Roman" w:hint="default"/>
      </w:rPr>
    </w:lvl>
    <w:lvl w:ilvl="7" w:tplc="9DA89FB8" w:tentative="1">
      <w:start w:val="1"/>
      <w:numFmt w:val="bullet"/>
      <w:lvlText w:val="•"/>
      <w:lvlJc w:val="left"/>
      <w:pPr>
        <w:tabs>
          <w:tab w:val="num" w:pos="5760"/>
        </w:tabs>
        <w:ind w:left="5760" w:hanging="360"/>
      </w:pPr>
      <w:rPr>
        <w:rFonts w:ascii="Times New Roman" w:hAnsi="Times New Roman" w:hint="default"/>
      </w:rPr>
    </w:lvl>
    <w:lvl w:ilvl="8" w:tplc="05D4F26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6F6A2E"/>
    <w:multiLevelType w:val="hybridMultilevel"/>
    <w:tmpl w:val="43DA7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01378"/>
    <w:multiLevelType w:val="hybridMultilevel"/>
    <w:tmpl w:val="709C6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5594F68"/>
    <w:multiLevelType w:val="hybridMultilevel"/>
    <w:tmpl w:val="36BC2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C914A1C"/>
    <w:multiLevelType w:val="multilevel"/>
    <w:tmpl w:val="610ED9D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2" w15:restartNumberingAfterBreak="0">
    <w:nsid w:val="74BD502D"/>
    <w:multiLevelType w:val="hybridMultilevel"/>
    <w:tmpl w:val="065E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586399"/>
    <w:multiLevelType w:val="multilevel"/>
    <w:tmpl w:val="610ED9D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4" w15:restartNumberingAfterBreak="0">
    <w:nsid w:val="784D033C"/>
    <w:multiLevelType w:val="multilevel"/>
    <w:tmpl w:val="87EE3D2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6"/>
  </w:num>
  <w:num w:numId="5">
    <w:abstractNumId w:val="34"/>
  </w:num>
  <w:num w:numId="6">
    <w:abstractNumId w:val="9"/>
  </w:num>
  <w:num w:numId="7">
    <w:abstractNumId w:val="20"/>
  </w:num>
  <w:num w:numId="8">
    <w:abstractNumId w:val="4"/>
  </w:num>
  <w:num w:numId="9">
    <w:abstractNumId w:val="19"/>
  </w:num>
  <w:num w:numId="10">
    <w:abstractNumId w:val="17"/>
  </w:num>
  <w:num w:numId="11">
    <w:abstractNumId w:val="16"/>
  </w:num>
  <w:num w:numId="12">
    <w:abstractNumId w:val="1"/>
  </w:num>
  <w:num w:numId="13">
    <w:abstractNumId w:val="0"/>
  </w:num>
  <w:num w:numId="14">
    <w:abstractNumId w:val="34"/>
  </w:num>
  <w:num w:numId="15">
    <w:abstractNumId w:val="34"/>
  </w:num>
  <w:num w:numId="16">
    <w:abstractNumId w:val="22"/>
  </w:num>
  <w:num w:numId="17">
    <w:abstractNumId w:val="33"/>
  </w:num>
  <w:num w:numId="18">
    <w:abstractNumId w:val="21"/>
  </w:num>
  <w:num w:numId="19">
    <w:abstractNumId w:val="13"/>
  </w:num>
  <w:num w:numId="20">
    <w:abstractNumId w:val="31"/>
  </w:num>
  <w:num w:numId="21">
    <w:abstractNumId w:val="6"/>
  </w:num>
  <w:num w:numId="22">
    <w:abstractNumId w:val="8"/>
  </w:num>
  <w:num w:numId="23">
    <w:abstractNumId w:val="25"/>
  </w:num>
  <w:num w:numId="24">
    <w:abstractNumId w:val="18"/>
  </w:num>
  <w:num w:numId="25">
    <w:abstractNumId w:val="11"/>
  </w:num>
  <w:num w:numId="26">
    <w:abstractNumId w:val="30"/>
  </w:num>
  <w:num w:numId="27">
    <w:abstractNumId w:val="15"/>
  </w:num>
  <w:num w:numId="28">
    <w:abstractNumId w:val="24"/>
  </w:num>
  <w:num w:numId="29">
    <w:abstractNumId w:val="29"/>
  </w:num>
  <w:num w:numId="30">
    <w:abstractNumId w:val="14"/>
  </w:num>
  <w:num w:numId="31">
    <w:abstractNumId w:val="27"/>
  </w:num>
  <w:num w:numId="32">
    <w:abstractNumId w:val="5"/>
  </w:num>
  <w:num w:numId="33">
    <w:abstractNumId w:val="2"/>
  </w:num>
  <w:num w:numId="34">
    <w:abstractNumId w:val="12"/>
  </w:num>
  <w:num w:numId="35">
    <w:abstractNumId w:val="23"/>
  </w:num>
  <w:num w:numId="36">
    <w:abstractNumId w:val="32"/>
  </w:num>
  <w:num w:numId="37">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AE6"/>
    <w:rsid w:val="00006552"/>
    <w:rsid w:val="00012623"/>
    <w:rsid w:val="00013BDF"/>
    <w:rsid w:val="00021B3C"/>
    <w:rsid w:val="00022F9A"/>
    <w:rsid w:val="0002464A"/>
    <w:rsid w:val="0003106B"/>
    <w:rsid w:val="00032B26"/>
    <w:rsid w:val="00041641"/>
    <w:rsid w:val="000421A1"/>
    <w:rsid w:val="0004240E"/>
    <w:rsid w:val="00042931"/>
    <w:rsid w:val="00045E26"/>
    <w:rsid w:val="000514B5"/>
    <w:rsid w:val="00060E64"/>
    <w:rsid w:val="00066755"/>
    <w:rsid w:val="00077143"/>
    <w:rsid w:val="00082169"/>
    <w:rsid w:val="000838AA"/>
    <w:rsid w:val="000841E5"/>
    <w:rsid w:val="00087208"/>
    <w:rsid w:val="000969AD"/>
    <w:rsid w:val="000B01EB"/>
    <w:rsid w:val="000B3C33"/>
    <w:rsid w:val="000B558D"/>
    <w:rsid w:val="000C6996"/>
    <w:rsid w:val="000D23BA"/>
    <w:rsid w:val="000D4C59"/>
    <w:rsid w:val="000D7B0D"/>
    <w:rsid w:val="000E3EEF"/>
    <w:rsid w:val="000E5B31"/>
    <w:rsid w:val="000E5E81"/>
    <w:rsid w:val="000E681E"/>
    <w:rsid w:val="000F0003"/>
    <w:rsid w:val="000F0AA0"/>
    <w:rsid w:val="000F4E6A"/>
    <w:rsid w:val="00104227"/>
    <w:rsid w:val="001107BF"/>
    <w:rsid w:val="00116F16"/>
    <w:rsid w:val="00123A3F"/>
    <w:rsid w:val="0012417C"/>
    <w:rsid w:val="00125277"/>
    <w:rsid w:val="00142395"/>
    <w:rsid w:val="00142714"/>
    <w:rsid w:val="001452ED"/>
    <w:rsid w:val="00147E70"/>
    <w:rsid w:val="00163329"/>
    <w:rsid w:val="00164623"/>
    <w:rsid w:val="00165B64"/>
    <w:rsid w:val="00175879"/>
    <w:rsid w:val="00180713"/>
    <w:rsid w:val="001830CE"/>
    <w:rsid w:val="0018643B"/>
    <w:rsid w:val="001879EA"/>
    <w:rsid w:val="00191B6E"/>
    <w:rsid w:val="00196307"/>
    <w:rsid w:val="001A33EA"/>
    <w:rsid w:val="001A7556"/>
    <w:rsid w:val="001B017F"/>
    <w:rsid w:val="001B2BBC"/>
    <w:rsid w:val="001B5129"/>
    <w:rsid w:val="001C1195"/>
    <w:rsid w:val="001C12C8"/>
    <w:rsid w:val="001C5658"/>
    <w:rsid w:val="001D1242"/>
    <w:rsid w:val="001D57DF"/>
    <w:rsid w:val="001F1850"/>
    <w:rsid w:val="001F29CC"/>
    <w:rsid w:val="001F72BE"/>
    <w:rsid w:val="002013F8"/>
    <w:rsid w:val="00203FAC"/>
    <w:rsid w:val="0021247F"/>
    <w:rsid w:val="00213CFB"/>
    <w:rsid w:val="00217BE1"/>
    <w:rsid w:val="00221309"/>
    <w:rsid w:val="002251D8"/>
    <w:rsid w:val="002554F8"/>
    <w:rsid w:val="00257C5D"/>
    <w:rsid w:val="0026072A"/>
    <w:rsid w:val="00261E03"/>
    <w:rsid w:val="0026539F"/>
    <w:rsid w:val="00271BA1"/>
    <w:rsid w:val="002762FA"/>
    <w:rsid w:val="00277505"/>
    <w:rsid w:val="00285EBA"/>
    <w:rsid w:val="00286558"/>
    <w:rsid w:val="00292E35"/>
    <w:rsid w:val="0029458F"/>
    <w:rsid w:val="00295AE5"/>
    <w:rsid w:val="002A104C"/>
    <w:rsid w:val="002A1FE4"/>
    <w:rsid w:val="002A4960"/>
    <w:rsid w:val="002B188F"/>
    <w:rsid w:val="002B1AE6"/>
    <w:rsid w:val="002B2DE8"/>
    <w:rsid w:val="002B30F8"/>
    <w:rsid w:val="002B5596"/>
    <w:rsid w:val="002C212F"/>
    <w:rsid w:val="002C3D5F"/>
    <w:rsid w:val="002D4543"/>
    <w:rsid w:val="002E3153"/>
    <w:rsid w:val="002E72CA"/>
    <w:rsid w:val="002F3C11"/>
    <w:rsid w:val="002F600D"/>
    <w:rsid w:val="00300AD6"/>
    <w:rsid w:val="003017CD"/>
    <w:rsid w:val="00314BE4"/>
    <w:rsid w:val="0031799B"/>
    <w:rsid w:val="00317C6C"/>
    <w:rsid w:val="003206DB"/>
    <w:rsid w:val="00326E79"/>
    <w:rsid w:val="0033518A"/>
    <w:rsid w:val="003367EF"/>
    <w:rsid w:val="00340DCD"/>
    <w:rsid w:val="00341AE4"/>
    <w:rsid w:val="00344D2C"/>
    <w:rsid w:val="00351CA7"/>
    <w:rsid w:val="0035495F"/>
    <w:rsid w:val="00364809"/>
    <w:rsid w:val="00365C9C"/>
    <w:rsid w:val="00371976"/>
    <w:rsid w:val="003724BB"/>
    <w:rsid w:val="003872CF"/>
    <w:rsid w:val="0039782C"/>
    <w:rsid w:val="003A24B8"/>
    <w:rsid w:val="003A5B4A"/>
    <w:rsid w:val="003A5E1F"/>
    <w:rsid w:val="003B23C5"/>
    <w:rsid w:val="003B2A75"/>
    <w:rsid w:val="003B6124"/>
    <w:rsid w:val="003C0DA1"/>
    <w:rsid w:val="003C2FB5"/>
    <w:rsid w:val="003D4AC4"/>
    <w:rsid w:val="003D63B7"/>
    <w:rsid w:val="003E374A"/>
    <w:rsid w:val="003E468B"/>
    <w:rsid w:val="003F3228"/>
    <w:rsid w:val="003F346E"/>
    <w:rsid w:val="003F5C8C"/>
    <w:rsid w:val="00412C52"/>
    <w:rsid w:val="00412EEA"/>
    <w:rsid w:val="00412F6C"/>
    <w:rsid w:val="0042244B"/>
    <w:rsid w:val="0042434D"/>
    <w:rsid w:val="004252EC"/>
    <w:rsid w:val="00433D6E"/>
    <w:rsid w:val="004455ED"/>
    <w:rsid w:val="004465BD"/>
    <w:rsid w:val="004520D6"/>
    <w:rsid w:val="00461DD4"/>
    <w:rsid w:val="00462DAB"/>
    <w:rsid w:val="00464361"/>
    <w:rsid w:val="00466ADA"/>
    <w:rsid w:val="00476245"/>
    <w:rsid w:val="00481D93"/>
    <w:rsid w:val="00483035"/>
    <w:rsid w:val="00485940"/>
    <w:rsid w:val="0048719E"/>
    <w:rsid w:val="004925D4"/>
    <w:rsid w:val="004A2484"/>
    <w:rsid w:val="004A5A85"/>
    <w:rsid w:val="004A71D1"/>
    <w:rsid w:val="004A747A"/>
    <w:rsid w:val="004B098F"/>
    <w:rsid w:val="004B5640"/>
    <w:rsid w:val="004C1BD7"/>
    <w:rsid w:val="004C31FE"/>
    <w:rsid w:val="004C691D"/>
    <w:rsid w:val="004C6C07"/>
    <w:rsid w:val="004D645B"/>
    <w:rsid w:val="004D71F0"/>
    <w:rsid w:val="004E692D"/>
    <w:rsid w:val="00501554"/>
    <w:rsid w:val="00505F9C"/>
    <w:rsid w:val="0050661F"/>
    <w:rsid w:val="00514CD7"/>
    <w:rsid w:val="005319B2"/>
    <w:rsid w:val="00532402"/>
    <w:rsid w:val="00532C74"/>
    <w:rsid w:val="00534E2E"/>
    <w:rsid w:val="00544552"/>
    <w:rsid w:val="00577C4D"/>
    <w:rsid w:val="00581932"/>
    <w:rsid w:val="00584361"/>
    <w:rsid w:val="005963BB"/>
    <w:rsid w:val="0059671B"/>
    <w:rsid w:val="00596881"/>
    <w:rsid w:val="005A3173"/>
    <w:rsid w:val="005A3223"/>
    <w:rsid w:val="005A3DA3"/>
    <w:rsid w:val="005A52C4"/>
    <w:rsid w:val="005B32EE"/>
    <w:rsid w:val="005B35E4"/>
    <w:rsid w:val="005B499D"/>
    <w:rsid w:val="005D03AB"/>
    <w:rsid w:val="005D1C2D"/>
    <w:rsid w:val="005D5017"/>
    <w:rsid w:val="005D64E4"/>
    <w:rsid w:val="005E1333"/>
    <w:rsid w:val="005E490E"/>
    <w:rsid w:val="005E6FBD"/>
    <w:rsid w:val="005E7ACA"/>
    <w:rsid w:val="005F22D4"/>
    <w:rsid w:val="005F474E"/>
    <w:rsid w:val="00601A91"/>
    <w:rsid w:val="00602BA3"/>
    <w:rsid w:val="00603599"/>
    <w:rsid w:val="00612E34"/>
    <w:rsid w:val="00614159"/>
    <w:rsid w:val="00615FF3"/>
    <w:rsid w:val="00617C00"/>
    <w:rsid w:val="006263BF"/>
    <w:rsid w:val="0062748A"/>
    <w:rsid w:val="00630A2C"/>
    <w:rsid w:val="00636514"/>
    <w:rsid w:val="0063682E"/>
    <w:rsid w:val="006436CD"/>
    <w:rsid w:val="00651169"/>
    <w:rsid w:val="00653D69"/>
    <w:rsid w:val="00655839"/>
    <w:rsid w:val="00655FEF"/>
    <w:rsid w:val="006670BE"/>
    <w:rsid w:val="00670A76"/>
    <w:rsid w:val="006711AA"/>
    <w:rsid w:val="00672B57"/>
    <w:rsid w:val="006734EF"/>
    <w:rsid w:val="00675622"/>
    <w:rsid w:val="0067747D"/>
    <w:rsid w:val="006906DB"/>
    <w:rsid w:val="00691E6C"/>
    <w:rsid w:val="00696129"/>
    <w:rsid w:val="00697CF2"/>
    <w:rsid w:val="006A12A5"/>
    <w:rsid w:val="006B0D94"/>
    <w:rsid w:val="006B2ACB"/>
    <w:rsid w:val="006B485D"/>
    <w:rsid w:val="006B486C"/>
    <w:rsid w:val="006B646F"/>
    <w:rsid w:val="006B795F"/>
    <w:rsid w:val="006C708E"/>
    <w:rsid w:val="006D14E7"/>
    <w:rsid w:val="006D3BAD"/>
    <w:rsid w:val="006D6493"/>
    <w:rsid w:val="006D6E17"/>
    <w:rsid w:val="006D6EC7"/>
    <w:rsid w:val="006E294E"/>
    <w:rsid w:val="006F5125"/>
    <w:rsid w:val="006F711E"/>
    <w:rsid w:val="007000D7"/>
    <w:rsid w:val="00702B6F"/>
    <w:rsid w:val="00703394"/>
    <w:rsid w:val="0071340B"/>
    <w:rsid w:val="00714260"/>
    <w:rsid w:val="007174BB"/>
    <w:rsid w:val="0072025D"/>
    <w:rsid w:val="00721D46"/>
    <w:rsid w:val="00727E64"/>
    <w:rsid w:val="007353D3"/>
    <w:rsid w:val="0075686A"/>
    <w:rsid w:val="0076420C"/>
    <w:rsid w:val="00766601"/>
    <w:rsid w:val="007753C2"/>
    <w:rsid w:val="007838B8"/>
    <w:rsid w:val="007C0F57"/>
    <w:rsid w:val="007C248E"/>
    <w:rsid w:val="007C40B6"/>
    <w:rsid w:val="007C6884"/>
    <w:rsid w:val="007C729F"/>
    <w:rsid w:val="007E1D28"/>
    <w:rsid w:val="007E24ED"/>
    <w:rsid w:val="007E2CEC"/>
    <w:rsid w:val="007E33C1"/>
    <w:rsid w:val="007F0EE8"/>
    <w:rsid w:val="007F2641"/>
    <w:rsid w:val="007F4DEF"/>
    <w:rsid w:val="007F7C36"/>
    <w:rsid w:val="00800917"/>
    <w:rsid w:val="00806796"/>
    <w:rsid w:val="00810220"/>
    <w:rsid w:val="00813551"/>
    <w:rsid w:val="008151D6"/>
    <w:rsid w:val="008165F6"/>
    <w:rsid w:val="00826F6D"/>
    <w:rsid w:val="008306F3"/>
    <w:rsid w:val="0084180D"/>
    <w:rsid w:val="00856A76"/>
    <w:rsid w:val="00856D84"/>
    <w:rsid w:val="00856DDD"/>
    <w:rsid w:val="00863E68"/>
    <w:rsid w:val="00866C35"/>
    <w:rsid w:val="0087261A"/>
    <w:rsid w:val="008734B8"/>
    <w:rsid w:val="00882085"/>
    <w:rsid w:val="00883188"/>
    <w:rsid w:val="00884DAD"/>
    <w:rsid w:val="00887968"/>
    <w:rsid w:val="00890FA2"/>
    <w:rsid w:val="00897113"/>
    <w:rsid w:val="00897D58"/>
    <w:rsid w:val="00897F22"/>
    <w:rsid w:val="008A1956"/>
    <w:rsid w:val="008A4937"/>
    <w:rsid w:val="008A50F1"/>
    <w:rsid w:val="008B3D46"/>
    <w:rsid w:val="008D1959"/>
    <w:rsid w:val="008D1B5C"/>
    <w:rsid w:val="008D3C82"/>
    <w:rsid w:val="008D447E"/>
    <w:rsid w:val="008D7A41"/>
    <w:rsid w:val="008E149A"/>
    <w:rsid w:val="008E3680"/>
    <w:rsid w:val="008E5870"/>
    <w:rsid w:val="008F1434"/>
    <w:rsid w:val="008F19D2"/>
    <w:rsid w:val="008F7355"/>
    <w:rsid w:val="00902F56"/>
    <w:rsid w:val="009067B7"/>
    <w:rsid w:val="009119CC"/>
    <w:rsid w:val="00924454"/>
    <w:rsid w:val="00930937"/>
    <w:rsid w:val="00931474"/>
    <w:rsid w:val="00933E6C"/>
    <w:rsid w:val="00937958"/>
    <w:rsid w:val="00941765"/>
    <w:rsid w:val="00942160"/>
    <w:rsid w:val="00943D7E"/>
    <w:rsid w:val="00945CE1"/>
    <w:rsid w:val="0095146F"/>
    <w:rsid w:val="009602C5"/>
    <w:rsid w:val="00960B6E"/>
    <w:rsid w:val="00962223"/>
    <w:rsid w:val="00966D0D"/>
    <w:rsid w:val="00971EC4"/>
    <w:rsid w:val="00974C21"/>
    <w:rsid w:val="00977B02"/>
    <w:rsid w:val="009834EC"/>
    <w:rsid w:val="00984ED2"/>
    <w:rsid w:val="009905B5"/>
    <w:rsid w:val="009A1030"/>
    <w:rsid w:val="009B0F67"/>
    <w:rsid w:val="009C703C"/>
    <w:rsid w:val="009C767B"/>
    <w:rsid w:val="009D0A6B"/>
    <w:rsid w:val="009D3CAA"/>
    <w:rsid w:val="009E3E08"/>
    <w:rsid w:val="009E40E1"/>
    <w:rsid w:val="009E61D8"/>
    <w:rsid w:val="009F4E46"/>
    <w:rsid w:val="009F5B65"/>
    <w:rsid w:val="009F5F2E"/>
    <w:rsid w:val="009F6BA6"/>
    <w:rsid w:val="00A06225"/>
    <w:rsid w:val="00A128E6"/>
    <w:rsid w:val="00A157D5"/>
    <w:rsid w:val="00A309FA"/>
    <w:rsid w:val="00A34E6C"/>
    <w:rsid w:val="00A37C8D"/>
    <w:rsid w:val="00A41D51"/>
    <w:rsid w:val="00A509C6"/>
    <w:rsid w:val="00A5273B"/>
    <w:rsid w:val="00A53A9D"/>
    <w:rsid w:val="00A55FEE"/>
    <w:rsid w:val="00A577EE"/>
    <w:rsid w:val="00A57911"/>
    <w:rsid w:val="00A6171F"/>
    <w:rsid w:val="00A62231"/>
    <w:rsid w:val="00A62C1A"/>
    <w:rsid w:val="00A6426D"/>
    <w:rsid w:val="00A647CF"/>
    <w:rsid w:val="00A665C1"/>
    <w:rsid w:val="00A70622"/>
    <w:rsid w:val="00A70977"/>
    <w:rsid w:val="00A735D5"/>
    <w:rsid w:val="00A77613"/>
    <w:rsid w:val="00A7789A"/>
    <w:rsid w:val="00A8390C"/>
    <w:rsid w:val="00A928BD"/>
    <w:rsid w:val="00AA2160"/>
    <w:rsid w:val="00AA4D1C"/>
    <w:rsid w:val="00AA5C89"/>
    <w:rsid w:val="00AA7552"/>
    <w:rsid w:val="00AB5600"/>
    <w:rsid w:val="00AB63CD"/>
    <w:rsid w:val="00AC0AF9"/>
    <w:rsid w:val="00AC193C"/>
    <w:rsid w:val="00AC2CE8"/>
    <w:rsid w:val="00AC5206"/>
    <w:rsid w:val="00AE04DA"/>
    <w:rsid w:val="00AE11A5"/>
    <w:rsid w:val="00AE13E2"/>
    <w:rsid w:val="00AE22D3"/>
    <w:rsid w:val="00AF02F2"/>
    <w:rsid w:val="00AF0F3C"/>
    <w:rsid w:val="00AF4607"/>
    <w:rsid w:val="00AF62DF"/>
    <w:rsid w:val="00AF68CC"/>
    <w:rsid w:val="00B1059E"/>
    <w:rsid w:val="00B176C8"/>
    <w:rsid w:val="00B205AA"/>
    <w:rsid w:val="00B22E84"/>
    <w:rsid w:val="00B25F75"/>
    <w:rsid w:val="00B26B3F"/>
    <w:rsid w:val="00B3321F"/>
    <w:rsid w:val="00B4031B"/>
    <w:rsid w:val="00B43DDA"/>
    <w:rsid w:val="00B43E90"/>
    <w:rsid w:val="00B467DC"/>
    <w:rsid w:val="00B47FB8"/>
    <w:rsid w:val="00B517AA"/>
    <w:rsid w:val="00B56118"/>
    <w:rsid w:val="00B628A6"/>
    <w:rsid w:val="00B6773F"/>
    <w:rsid w:val="00B7122A"/>
    <w:rsid w:val="00B801BA"/>
    <w:rsid w:val="00B84D5C"/>
    <w:rsid w:val="00B858EA"/>
    <w:rsid w:val="00B85D2A"/>
    <w:rsid w:val="00B92941"/>
    <w:rsid w:val="00BB099E"/>
    <w:rsid w:val="00BB69F5"/>
    <w:rsid w:val="00BB7EC3"/>
    <w:rsid w:val="00BC4B9A"/>
    <w:rsid w:val="00BD0BB7"/>
    <w:rsid w:val="00BD784C"/>
    <w:rsid w:val="00BE321D"/>
    <w:rsid w:val="00BE7BAF"/>
    <w:rsid w:val="00BF4CB6"/>
    <w:rsid w:val="00C00DA7"/>
    <w:rsid w:val="00C1219C"/>
    <w:rsid w:val="00C12768"/>
    <w:rsid w:val="00C27B58"/>
    <w:rsid w:val="00C354E2"/>
    <w:rsid w:val="00C35996"/>
    <w:rsid w:val="00C4747E"/>
    <w:rsid w:val="00C5342C"/>
    <w:rsid w:val="00C5477A"/>
    <w:rsid w:val="00C603D4"/>
    <w:rsid w:val="00C604A7"/>
    <w:rsid w:val="00C6256A"/>
    <w:rsid w:val="00C65176"/>
    <w:rsid w:val="00C77891"/>
    <w:rsid w:val="00C8430A"/>
    <w:rsid w:val="00C91449"/>
    <w:rsid w:val="00C9261C"/>
    <w:rsid w:val="00C92D10"/>
    <w:rsid w:val="00C95AC3"/>
    <w:rsid w:val="00CB2552"/>
    <w:rsid w:val="00CB571F"/>
    <w:rsid w:val="00CC1BFC"/>
    <w:rsid w:val="00CD56EF"/>
    <w:rsid w:val="00CD7A8C"/>
    <w:rsid w:val="00CE10C4"/>
    <w:rsid w:val="00CE27B5"/>
    <w:rsid w:val="00D02A2B"/>
    <w:rsid w:val="00D0321E"/>
    <w:rsid w:val="00D10589"/>
    <w:rsid w:val="00D1264C"/>
    <w:rsid w:val="00D1455A"/>
    <w:rsid w:val="00D2682A"/>
    <w:rsid w:val="00D31150"/>
    <w:rsid w:val="00D3138B"/>
    <w:rsid w:val="00D3280C"/>
    <w:rsid w:val="00D3283D"/>
    <w:rsid w:val="00D3406A"/>
    <w:rsid w:val="00D362B0"/>
    <w:rsid w:val="00D416AD"/>
    <w:rsid w:val="00D4572C"/>
    <w:rsid w:val="00D469B2"/>
    <w:rsid w:val="00D741EB"/>
    <w:rsid w:val="00D74ED0"/>
    <w:rsid w:val="00D812A1"/>
    <w:rsid w:val="00D83605"/>
    <w:rsid w:val="00D84934"/>
    <w:rsid w:val="00D91271"/>
    <w:rsid w:val="00D919F5"/>
    <w:rsid w:val="00D93C9E"/>
    <w:rsid w:val="00D94F03"/>
    <w:rsid w:val="00DA2CB5"/>
    <w:rsid w:val="00DA4BAC"/>
    <w:rsid w:val="00DB4E05"/>
    <w:rsid w:val="00DD09F9"/>
    <w:rsid w:val="00DD1262"/>
    <w:rsid w:val="00DD6EAE"/>
    <w:rsid w:val="00DE6D27"/>
    <w:rsid w:val="00DE7720"/>
    <w:rsid w:val="00DF217D"/>
    <w:rsid w:val="00DF26A7"/>
    <w:rsid w:val="00DF5FED"/>
    <w:rsid w:val="00E060EF"/>
    <w:rsid w:val="00E133D2"/>
    <w:rsid w:val="00E144C7"/>
    <w:rsid w:val="00E15627"/>
    <w:rsid w:val="00E164B3"/>
    <w:rsid w:val="00E16910"/>
    <w:rsid w:val="00E213FF"/>
    <w:rsid w:val="00E24193"/>
    <w:rsid w:val="00E42BDB"/>
    <w:rsid w:val="00E50607"/>
    <w:rsid w:val="00E50A93"/>
    <w:rsid w:val="00E51B48"/>
    <w:rsid w:val="00E57EEB"/>
    <w:rsid w:val="00E62D94"/>
    <w:rsid w:val="00E65E54"/>
    <w:rsid w:val="00E67658"/>
    <w:rsid w:val="00E80155"/>
    <w:rsid w:val="00E81317"/>
    <w:rsid w:val="00E81E25"/>
    <w:rsid w:val="00E81F28"/>
    <w:rsid w:val="00E848C0"/>
    <w:rsid w:val="00E91B96"/>
    <w:rsid w:val="00E921A3"/>
    <w:rsid w:val="00E941A1"/>
    <w:rsid w:val="00E95CE3"/>
    <w:rsid w:val="00E9799E"/>
    <w:rsid w:val="00EA0821"/>
    <w:rsid w:val="00EA2825"/>
    <w:rsid w:val="00EB0B63"/>
    <w:rsid w:val="00EB1936"/>
    <w:rsid w:val="00EB5088"/>
    <w:rsid w:val="00ED1644"/>
    <w:rsid w:val="00ED2593"/>
    <w:rsid w:val="00ED5ED4"/>
    <w:rsid w:val="00ED7D9C"/>
    <w:rsid w:val="00EE241C"/>
    <w:rsid w:val="00EE5635"/>
    <w:rsid w:val="00EF44A0"/>
    <w:rsid w:val="00EF4FED"/>
    <w:rsid w:val="00EF6F38"/>
    <w:rsid w:val="00F050BD"/>
    <w:rsid w:val="00F051CD"/>
    <w:rsid w:val="00F05657"/>
    <w:rsid w:val="00F14EF3"/>
    <w:rsid w:val="00F167C3"/>
    <w:rsid w:val="00F16B13"/>
    <w:rsid w:val="00F25578"/>
    <w:rsid w:val="00F258E5"/>
    <w:rsid w:val="00F300BC"/>
    <w:rsid w:val="00F3334E"/>
    <w:rsid w:val="00F33F04"/>
    <w:rsid w:val="00F36CCB"/>
    <w:rsid w:val="00F374E5"/>
    <w:rsid w:val="00F42C12"/>
    <w:rsid w:val="00F43AF2"/>
    <w:rsid w:val="00F50EC4"/>
    <w:rsid w:val="00F52D78"/>
    <w:rsid w:val="00F550CF"/>
    <w:rsid w:val="00F57A6D"/>
    <w:rsid w:val="00F638CC"/>
    <w:rsid w:val="00F64CC1"/>
    <w:rsid w:val="00F65475"/>
    <w:rsid w:val="00F72317"/>
    <w:rsid w:val="00F80475"/>
    <w:rsid w:val="00F8247A"/>
    <w:rsid w:val="00F9629A"/>
    <w:rsid w:val="00F97EFC"/>
    <w:rsid w:val="00FA1733"/>
    <w:rsid w:val="00FA5883"/>
    <w:rsid w:val="00FA6055"/>
    <w:rsid w:val="00FB222A"/>
    <w:rsid w:val="00FB322F"/>
    <w:rsid w:val="00FB442F"/>
    <w:rsid w:val="00FC0FC3"/>
    <w:rsid w:val="00FC1929"/>
    <w:rsid w:val="00FC5B46"/>
    <w:rsid w:val="00FC6F48"/>
    <w:rsid w:val="00FC7493"/>
    <w:rsid w:val="00FD25FA"/>
    <w:rsid w:val="00FD40DE"/>
    <w:rsid w:val="00FD6D8E"/>
    <w:rsid w:val="00FE0E94"/>
    <w:rsid w:val="00FE6B37"/>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Emphasis">
    <w:name w:val="Emphasis"/>
    <w:basedOn w:val="DefaultParagraphFont"/>
    <w:qFormat/>
    <w:rsid w:val="00AC0AF9"/>
    <w:rPr>
      <w:i/>
      <w:iCs/>
    </w:rPr>
  </w:style>
  <w:style w:type="paragraph" w:styleId="FootnoteText">
    <w:name w:val="footnote text"/>
    <w:basedOn w:val="Normal"/>
    <w:link w:val="FootnoteTextChar"/>
    <w:rsid w:val="00AC0AF9"/>
    <w:rPr>
      <w:sz w:val="20"/>
      <w:szCs w:val="20"/>
    </w:rPr>
  </w:style>
  <w:style w:type="character" w:customStyle="1" w:styleId="FootnoteTextChar">
    <w:name w:val="Footnote Text Char"/>
    <w:basedOn w:val="DefaultParagraphFont"/>
    <w:link w:val="FootnoteText"/>
    <w:rsid w:val="00AC0AF9"/>
  </w:style>
  <w:style w:type="character" w:styleId="FootnoteReference">
    <w:name w:val="footnote reference"/>
    <w:basedOn w:val="DefaultParagraphFont"/>
    <w:rsid w:val="00AC0AF9"/>
    <w:rPr>
      <w:vertAlign w:val="superscript"/>
    </w:rPr>
  </w:style>
  <w:style w:type="paragraph" w:styleId="NormalWeb">
    <w:name w:val="Normal (Web)"/>
    <w:basedOn w:val="Normal"/>
    <w:uiPriority w:val="99"/>
    <w:rsid w:val="00AC0AF9"/>
    <w:pPr>
      <w:spacing w:before="100" w:after="100"/>
    </w:pPr>
    <w:rPr>
      <w:szCs w:val="20"/>
      <w:lang w:val="en-GB" w:eastAsia="en-US"/>
    </w:rPr>
  </w:style>
  <w:style w:type="table" w:customStyle="1" w:styleId="TableGridLight1">
    <w:name w:val="Table Grid Light1"/>
    <w:basedOn w:val="TableNormal"/>
    <w:uiPriority w:val="40"/>
    <w:rsid w:val="00314BE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EndNoteBibliography">
    <w:name w:val="EndNote Bibliography"/>
    <w:basedOn w:val="Normal"/>
    <w:link w:val="EndNoteBibliographyChar"/>
    <w:rsid w:val="00314BE4"/>
    <w:pPr>
      <w:jc w:val="both"/>
    </w:pPr>
    <w:rPr>
      <w:rFonts w:ascii="Calibri" w:eastAsiaTheme="minorHAnsi" w:hAnsi="Calibri" w:cs="Calibri"/>
      <w:noProof/>
      <w:szCs w:val="22"/>
      <w:lang w:val="en-US" w:eastAsia="en-US"/>
    </w:rPr>
  </w:style>
  <w:style w:type="character" w:customStyle="1" w:styleId="EndNoteBibliographyChar">
    <w:name w:val="EndNote Bibliography Char"/>
    <w:basedOn w:val="DefaultParagraphFont"/>
    <w:link w:val="EndNoteBibliography"/>
    <w:rsid w:val="00314BE4"/>
    <w:rPr>
      <w:rFonts w:ascii="Calibri" w:eastAsiaTheme="minorHAnsi" w:hAnsi="Calibri" w:cs="Calibri"/>
      <w:noProof/>
      <w:sz w:val="24"/>
      <w:szCs w:val="22"/>
      <w:lang w:val="en-US" w:eastAsia="en-US"/>
    </w:rPr>
  </w:style>
  <w:style w:type="paragraph" w:customStyle="1" w:styleId="tabletextsubmission">
    <w:name w:val="table text submission"/>
    <w:basedOn w:val="Normal"/>
    <w:link w:val="tabletextsubmissionChar"/>
    <w:qFormat/>
    <w:rsid w:val="00314BE4"/>
    <w:pPr>
      <w:jc w:val="both"/>
    </w:pPr>
    <w:rPr>
      <w:rFonts w:asciiTheme="minorHAnsi" w:eastAsiaTheme="minorEastAsia" w:hAnsiTheme="minorHAnsi" w:cstheme="minorBidi"/>
      <w:sz w:val="18"/>
      <w:szCs w:val="22"/>
      <w:lang w:eastAsia="ja-JP"/>
    </w:rPr>
  </w:style>
  <w:style w:type="character" w:customStyle="1" w:styleId="tabletextsubmissionChar">
    <w:name w:val="table text submission Char"/>
    <w:basedOn w:val="DefaultParagraphFont"/>
    <w:link w:val="tabletextsubmission"/>
    <w:rsid w:val="00314BE4"/>
    <w:rPr>
      <w:rFonts w:asciiTheme="minorHAnsi" w:eastAsiaTheme="minorEastAsia" w:hAnsiTheme="minorHAnsi" w:cstheme="minorBidi"/>
      <w:sz w:val="18"/>
      <w:szCs w:val="22"/>
      <w:lang w:eastAsia="ja-JP"/>
    </w:rPr>
  </w:style>
  <w:style w:type="paragraph" w:customStyle="1" w:styleId="TableNotesLast">
    <w:name w:val="TableNotesLast"/>
    <w:basedOn w:val="Normal"/>
    <w:qFormat/>
    <w:rsid w:val="0026539F"/>
    <w:pPr>
      <w:jc w:val="both"/>
    </w:pPr>
    <w:rPr>
      <w:rFonts w:asciiTheme="minorHAnsi" w:eastAsiaTheme="minorHAnsi" w:hAnsiTheme="minorHAnsi" w:cstheme="minorBidi"/>
      <w:sz w:val="16"/>
      <w:szCs w:val="22"/>
      <w:lang w:eastAsia="en-US"/>
    </w:rPr>
  </w:style>
  <w:style w:type="paragraph" w:customStyle="1" w:styleId="PBACheading10">
    <w:name w:val="PBAC heading 1"/>
    <w:qFormat/>
    <w:rsid w:val="002F3C11"/>
    <w:pPr>
      <w:ind w:left="720" w:hanging="720"/>
      <w:outlineLvl w:val="0"/>
    </w:pPr>
    <w:rPr>
      <w:rFonts w:ascii="Arial" w:hAnsi="Arial" w:cs="Arial"/>
      <w:b/>
      <w:snapToGrid w:val="0"/>
      <w:sz w:val="22"/>
      <w:szCs w:val="22"/>
      <w:lang w:eastAsia="en-US"/>
    </w:rPr>
  </w:style>
  <w:style w:type="paragraph" w:styleId="Revision">
    <w:name w:val="Revision"/>
    <w:hidden/>
    <w:uiPriority w:val="71"/>
    <w:rsid w:val="00365C9C"/>
    <w:rPr>
      <w:sz w:val="24"/>
      <w:szCs w:val="24"/>
    </w:rPr>
  </w:style>
  <w:style w:type="paragraph" w:customStyle="1" w:styleId="FrontPage1">
    <w:name w:val="Front Page 1"/>
    <w:basedOn w:val="Normal"/>
    <w:next w:val="Normal"/>
    <w:link w:val="FrontPage1Char"/>
    <w:uiPriority w:val="10"/>
    <w:qFormat/>
    <w:rsid w:val="000E5E81"/>
    <w:pPr>
      <w:spacing w:after="200" w:line="276" w:lineRule="auto"/>
      <w:jc w:val="center"/>
    </w:pPr>
    <w:rPr>
      <w:rFonts w:ascii="Calibri" w:eastAsiaTheme="majorEastAsia" w:hAnsi="Calibri" w:cstheme="majorBidi"/>
      <w:b/>
      <w:sz w:val="48"/>
      <w:szCs w:val="22"/>
      <w:lang w:eastAsia="en-US" w:bidi="en-US"/>
    </w:rPr>
  </w:style>
  <w:style w:type="character" w:customStyle="1" w:styleId="FrontPage1Char">
    <w:name w:val="Front Page 1 Char"/>
    <w:basedOn w:val="DefaultParagraphFont"/>
    <w:link w:val="FrontPage1"/>
    <w:uiPriority w:val="10"/>
    <w:rsid w:val="000E5E81"/>
    <w:rPr>
      <w:rFonts w:ascii="Calibri" w:eastAsiaTheme="majorEastAsia" w:hAnsi="Calibri" w:cstheme="majorBidi"/>
      <w:b/>
      <w:sz w:val="48"/>
      <w:szCs w:val="22"/>
      <w:lang w:eastAsia="en-US" w:bidi="en-US"/>
    </w:rPr>
  </w:style>
  <w:style w:type="paragraph" w:customStyle="1" w:styleId="TableLeft">
    <w:name w:val="Table Left"/>
    <w:basedOn w:val="Normal"/>
    <w:link w:val="TableLeftChar"/>
    <w:uiPriority w:val="99"/>
    <w:qFormat/>
    <w:rsid w:val="00615FF3"/>
    <w:rPr>
      <w:rFonts w:ascii="Calibri" w:eastAsiaTheme="majorEastAsia" w:hAnsi="Calibri" w:cstheme="majorBidi"/>
      <w:sz w:val="18"/>
      <w:szCs w:val="22"/>
      <w:lang w:eastAsia="en-US" w:bidi="en-US"/>
    </w:rPr>
  </w:style>
  <w:style w:type="character" w:customStyle="1" w:styleId="TableLeftChar">
    <w:name w:val="Table Left Char"/>
    <w:basedOn w:val="DefaultParagraphFont"/>
    <w:link w:val="TableLeft"/>
    <w:uiPriority w:val="99"/>
    <w:locked/>
    <w:rsid w:val="00615FF3"/>
    <w:rPr>
      <w:rFonts w:ascii="Calibri" w:eastAsiaTheme="majorEastAsia" w:hAnsi="Calibri" w:cstheme="majorBidi"/>
      <w:sz w:val="18"/>
      <w:szCs w:val="22"/>
      <w:lang w:eastAsia="en-US" w:bidi="en-US"/>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
    <w:basedOn w:val="DefaultParagraphFont"/>
    <w:link w:val="Caption"/>
    <w:uiPriority w:val="99"/>
    <w:rsid w:val="00A309FA"/>
    <w:rPr>
      <w:rFonts w:ascii="Calibri" w:hAnsi="Calibri"/>
      <w:b/>
      <w:bCs/>
      <w:szCs w:val="18"/>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
    <w:basedOn w:val="Normal"/>
    <w:next w:val="Normal"/>
    <w:link w:val="CaptionChar"/>
    <w:uiPriority w:val="99"/>
    <w:qFormat/>
    <w:rsid w:val="00A309FA"/>
    <w:pPr>
      <w:spacing w:after="120"/>
    </w:pPr>
    <w:rPr>
      <w:rFonts w:ascii="Calibri" w:hAnsi="Calibri"/>
      <w:b/>
      <w:bCs/>
      <w:sz w:val="20"/>
      <w:szCs w:val="18"/>
    </w:rPr>
  </w:style>
  <w:style w:type="character" w:customStyle="1" w:styleId="CaptionFootnoteChar">
    <w:name w:val="Caption Footnote Char"/>
    <w:basedOn w:val="DefaultParagraphFont"/>
    <w:link w:val="CaptionFootnote"/>
    <w:rsid w:val="00A309FA"/>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A309FA"/>
    <w:rPr>
      <w:rFonts w:asciiTheme="minorHAnsi" w:hAnsiTheme="minorHAnsi"/>
      <w:kern w:val="28"/>
      <w:sz w:val="16"/>
      <w:lang w:eastAsia="en-GB"/>
    </w:rPr>
  </w:style>
  <w:style w:type="table" w:customStyle="1" w:styleId="Submissionstandard9">
    <w:name w:val="Submission standard9"/>
    <w:basedOn w:val="TableNormal"/>
    <w:uiPriority w:val="99"/>
    <w:qFormat/>
    <w:rsid w:val="00A309FA"/>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Rounded MT Bold" w:hAnsi="Arial Rounded MT Bold"/>
        <w:b/>
        <w:sz w:val="20"/>
      </w:rPr>
      <w:tblPr/>
      <w:tcPr>
        <w:shd w:val="clear" w:color="auto" w:fill="BFBFBF" w:themeFill="background1" w:themeFillShade="BF"/>
      </w:tcPr>
    </w:tblStylePr>
  </w:style>
  <w:style w:type="paragraph" w:customStyle="1" w:styleId="Bulletpoints">
    <w:name w:val="Bullet points"/>
    <w:basedOn w:val="ListParagraph"/>
    <w:qFormat/>
    <w:rsid w:val="00813551"/>
    <w:pPr>
      <w:numPr>
        <w:numId w:val="35"/>
      </w:numPr>
      <w:contextualSpacing w:val="0"/>
    </w:pPr>
    <w:rPr>
      <w:rFonts w:ascii="Calibri" w:hAnsi="Calibri"/>
      <w:sz w:val="24"/>
      <w:szCs w:val="24"/>
    </w:rPr>
  </w:style>
  <w:style w:type="character" w:styleId="FollowedHyperlink">
    <w:name w:val="FollowedHyperlink"/>
    <w:basedOn w:val="DefaultParagraphFont"/>
    <w:semiHidden/>
    <w:unhideWhenUsed/>
    <w:rsid w:val="00F167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26956235">
      <w:bodyDiv w:val="1"/>
      <w:marLeft w:val="0"/>
      <w:marRight w:val="0"/>
      <w:marTop w:val="0"/>
      <w:marBottom w:val="0"/>
      <w:divBdr>
        <w:top w:val="none" w:sz="0" w:space="0" w:color="auto"/>
        <w:left w:val="none" w:sz="0" w:space="0" w:color="auto"/>
        <w:bottom w:val="none" w:sz="0" w:space="0" w:color="auto"/>
        <w:right w:val="none" w:sz="0" w:space="0" w:color="auto"/>
      </w:divBdr>
      <w:divsChild>
        <w:div w:id="759712954">
          <w:marLeft w:val="0"/>
          <w:marRight w:val="0"/>
          <w:marTop w:val="0"/>
          <w:marBottom w:val="0"/>
          <w:divBdr>
            <w:top w:val="none" w:sz="0" w:space="0" w:color="auto"/>
            <w:left w:val="none" w:sz="0" w:space="0" w:color="auto"/>
            <w:bottom w:val="none" w:sz="0" w:space="0" w:color="auto"/>
            <w:right w:val="none" w:sz="0" w:space="0" w:color="auto"/>
          </w:divBdr>
          <w:divsChild>
            <w:div w:id="550770928">
              <w:marLeft w:val="0"/>
              <w:marRight w:val="0"/>
              <w:marTop w:val="0"/>
              <w:marBottom w:val="0"/>
              <w:divBdr>
                <w:top w:val="none" w:sz="0" w:space="0" w:color="auto"/>
                <w:left w:val="none" w:sz="0" w:space="0" w:color="auto"/>
                <w:bottom w:val="none" w:sz="0" w:space="0" w:color="auto"/>
                <w:right w:val="none" w:sz="0" w:space="0" w:color="auto"/>
              </w:divBdr>
              <w:divsChild>
                <w:div w:id="5381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D6A8-0B54-418E-AA19-CA3DABC8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1919</Words>
  <Characters>12430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2019-06-25T04:51:00Z</dcterms:created>
  <dcterms:modified xsi:type="dcterms:W3CDTF">2019-07-01T01:22:00Z</dcterms:modified>
</cp:coreProperties>
</file>